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Override PartName="/word/charts/style7.xml" ContentType="application/vnd.ms-office.chartstyle+xml"/>
  <Override PartName="/word/charts/colors7.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3735D" w14:textId="77777777" w:rsidR="00B24DF4" w:rsidRDefault="00B24DF4" w:rsidP="009424A5">
      <w:bookmarkStart w:id="0" w:name="_Hlk520891239"/>
      <w:bookmarkStart w:id="1" w:name="_Toc476822632"/>
      <w:bookmarkStart w:id="2" w:name="_Toc476822653"/>
      <w:bookmarkStart w:id="3" w:name="_GoBack"/>
      <w:bookmarkEnd w:id="0"/>
      <w:bookmarkEnd w:id="3"/>
      <w:r w:rsidRPr="008A251F">
        <w:rPr>
          <w:rFonts w:eastAsiaTheme="majorEastAsia"/>
          <w:noProof/>
        </w:rPr>
        <w:drawing>
          <wp:inline distT="0" distB="0" distL="0" distR="0" wp14:anchorId="7FDD684A" wp14:editId="6BF6D0C5">
            <wp:extent cx="4335880" cy="612000"/>
            <wp:effectExtent l="0" t="0" r="0" b="0"/>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1"/>
      <w:bookmarkEnd w:id="2"/>
    </w:p>
    <w:p w14:paraId="4DBD9A84" w14:textId="77777777" w:rsidR="000A6F2F" w:rsidRDefault="00E467A7" w:rsidP="009424A5">
      <w:r>
        <w:rPr>
          <w:rFonts w:cs="Arial"/>
          <w:noProof/>
          <w:sz w:val="20"/>
          <w:szCs w:val="20"/>
        </w:rPr>
        <w:drawing>
          <wp:inline distT="0" distB="0" distL="0" distR="0" wp14:anchorId="76B4195D" wp14:editId="763DF21A">
            <wp:extent cx="1536779" cy="48503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URA.png"/>
                    <pic:cNvPicPr/>
                  </pic:nvPicPr>
                  <pic:blipFill>
                    <a:blip r:embed="rId10">
                      <a:extLst>
                        <a:ext uri="{28A0092B-C50C-407E-A947-70E740481C1C}">
                          <a14:useLocalDpi xmlns:a14="http://schemas.microsoft.com/office/drawing/2010/main" val="0"/>
                        </a:ext>
                      </a:extLst>
                    </a:blip>
                    <a:stretch>
                      <a:fillRect/>
                    </a:stretch>
                  </pic:blipFill>
                  <pic:spPr>
                    <a:xfrm>
                      <a:off x="0" y="0"/>
                      <a:ext cx="1561994" cy="492988"/>
                    </a:xfrm>
                    <a:prstGeom prst="rect">
                      <a:avLst/>
                    </a:prstGeom>
                  </pic:spPr>
                </pic:pic>
              </a:graphicData>
            </a:graphic>
          </wp:inline>
        </w:drawing>
      </w:r>
      <w:r>
        <w:rPr>
          <w:rFonts w:cs="Arial"/>
          <w:noProof/>
          <w:sz w:val="20"/>
          <w:szCs w:val="20"/>
        </w:rPr>
        <w:drawing>
          <wp:inline distT="0" distB="0" distL="0" distR="0" wp14:anchorId="417DD03F" wp14:editId="12AAE405">
            <wp:extent cx="850790" cy="436052"/>
            <wp:effectExtent l="0" t="0" r="6985" b="2540"/>
            <wp:docPr id="4" name="Picture 4" descr="D:\Users\StewKi\AppData\Roaming\Hewlett-Packard\HP TRIM\TEMP\HPTRIM.7676\D17-38482  CARAlert-logo---rectangle(2) - 18 Sep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tewKi\AppData\Roaming\Hewlett-Packard\HP TRIM\TEMP\HPTRIM.7676\D17-38482  CARAlert-logo---rectangle(2) - 18 Sep 201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208" cy="441904"/>
                    </a:xfrm>
                    <a:prstGeom prst="rect">
                      <a:avLst/>
                    </a:prstGeom>
                    <a:noFill/>
                    <a:ln>
                      <a:noFill/>
                    </a:ln>
                  </pic:spPr>
                </pic:pic>
              </a:graphicData>
            </a:graphic>
          </wp:inline>
        </w:drawing>
      </w:r>
    </w:p>
    <w:p w14:paraId="371FD411" w14:textId="77777777" w:rsidR="00BC07E4" w:rsidRDefault="00BC07E4" w:rsidP="009424A5">
      <w:pPr>
        <w:pStyle w:val="PublicationDate"/>
      </w:pPr>
    </w:p>
    <w:p w14:paraId="2C39ADE7" w14:textId="77777777" w:rsidR="00BC07E4" w:rsidRDefault="00BC07E4" w:rsidP="009424A5">
      <w:pPr>
        <w:pStyle w:val="PublicationDate"/>
      </w:pPr>
    </w:p>
    <w:p w14:paraId="3BD142AC" w14:textId="77777777" w:rsidR="00BC07E4" w:rsidRPr="003C02C5" w:rsidRDefault="00BC07E4" w:rsidP="009424A5">
      <w:pPr>
        <w:pStyle w:val="PublicationDate"/>
      </w:pPr>
    </w:p>
    <w:p w14:paraId="65F78C76" w14:textId="2118ABEF" w:rsidR="000B0274" w:rsidRPr="000D6C7E" w:rsidRDefault="000D6C7E" w:rsidP="009424A5">
      <w:pPr>
        <w:pStyle w:val="Title"/>
      </w:pPr>
      <w:r w:rsidRPr="000D6C7E">
        <w:t xml:space="preserve">CARAlert </w:t>
      </w:r>
      <w:r w:rsidR="00A16404">
        <w:t>data u</w:t>
      </w:r>
      <w:r w:rsidRPr="000D6C7E">
        <w:t>pdate</w:t>
      </w:r>
      <w:r w:rsidR="00A16404">
        <w:t xml:space="preserve"> </w:t>
      </w:r>
      <w:r w:rsidR="00322930">
        <w:t>11</w:t>
      </w:r>
    </w:p>
    <w:p w14:paraId="64D46BBF" w14:textId="02691E28" w:rsidR="000B0274" w:rsidRPr="003C02C5" w:rsidRDefault="00255B49" w:rsidP="009424A5">
      <w:pPr>
        <w:pStyle w:val="Subheading"/>
      </w:pPr>
      <w:r>
        <w:t xml:space="preserve">1 </w:t>
      </w:r>
      <w:r w:rsidR="00322930">
        <w:t>January</w:t>
      </w:r>
      <w:r>
        <w:t xml:space="preserve"> 201</w:t>
      </w:r>
      <w:r w:rsidR="00322930">
        <w:t>9</w:t>
      </w:r>
      <w:r>
        <w:t>–</w:t>
      </w:r>
      <w:r w:rsidR="00322930">
        <w:t>28</w:t>
      </w:r>
      <w:r w:rsidR="009147D0">
        <w:t xml:space="preserve"> </w:t>
      </w:r>
      <w:r w:rsidR="00322930">
        <w:t>February</w:t>
      </w:r>
      <w:r w:rsidR="000D6C7E" w:rsidRPr="000D6C7E">
        <w:t xml:space="preserve"> 201</w:t>
      </w:r>
      <w:r w:rsidR="00322930">
        <w:t>9</w:t>
      </w:r>
    </w:p>
    <w:p w14:paraId="44367945" w14:textId="77777777" w:rsidR="004E2E12" w:rsidRDefault="004E2E12" w:rsidP="00BC07E4">
      <w:bookmarkStart w:id="4" w:name="_Toc476822633"/>
      <w:bookmarkStart w:id="5" w:name="_Toc476822654"/>
      <w:bookmarkStart w:id="6" w:name="_Toc476822854"/>
      <w:bookmarkStart w:id="7" w:name="_Toc476823158"/>
      <w:bookmarkStart w:id="8" w:name="_Toc476823667"/>
    </w:p>
    <w:p w14:paraId="78D721B5" w14:textId="77777777" w:rsidR="004E2E12" w:rsidRDefault="004E2E12" w:rsidP="00BC07E4"/>
    <w:p w14:paraId="70350E31" w14:textId="77777777" w:rsidR="004E2E12" w:rsidRDefault="004E2E12" w:rsidP="00BC07E4"/>
    <w:p w14:paraId="3E6E6E4E" w14:textId="77777777" w:rsidR="004E2E12" w:rsidRDefault="004E2E12" w:rsidP="00BC07E4"/>
    <w:p w14:paraId="2D8A6D98" w14:textId="77777777" w:rsidR="004E2E12" w:rsidRDefault="004E2E12" w:rsidP="00BC07E4"/>
    <w:p w14:paraId="329B3018" w14:textId="77777777" w:rsidR="004E2E12" w:rsidRDefault="004E2E12" w:rsidP="00BC07E4"/>
    <w:p w14:paraId="0690D453" w14:textId="77777777" w:rsidR="004E2E12" w:rsidRDefault="004E2E12" w:rsidP="00BC07E4"/>
    <w:p w14:paraId="7D2E3231" w14:textId="77777777" w:rsidR="004E2E12" w:rsidRDefault="004E2E12" w:rsidP="00BC07E4"/>
    <w:p w14:paraId="70486AEC" w14:textId="77777777" w:rsidR="004E2E12" w:rsidRDefault="004E2E12" w:rsidP="00BC07E4"/>
    <w:p w14:paraId="253AD9F2" w14:textId="77777777" w:rsidR="004E2E12" w:rsidRDefault="004E2E12" w:rsidP="00BC07E4"/>
    <w:p w14:paraId="5DC7D647" w14:textId="77777777" w:rsidR="004E2E12" w:rsidRDefault="004E2E12" w:rsidP="00BC07E4"/>
    <w:p w14:paraId="567458EE" w14:textId="2D852AE2" w:rsidR="004E2E12" w:rsidRDefault="0020256B" w:rsidP="00BC07E4">
      <w:r>
        <w:t>April</w:t>
      </w:r>
      <w:r w:rsidR="002C2ED4">
        <w:t xml:space="preserve"> 2019</w:t>
      </w:r>
    </w:p>
    <w:p w14:paraId="1C87B452" w14:textId="77777777" w:rsidR="00BC07E4" w:rsidRPr="00BC07E4" w:rsidRDefault="00BC07E4" w:rsidP="00FC36D7">
      <w:r>
        <w:br w:type="page"/>
      </w:r>
    </w:p>
    <w:p w14:paraId="1D1D750C" w14:textId="77777777" w:rsidR="009A007B" w:rsidRPr="009A007B" w:rsidRDefault="009A007B" w:rsidP="009A007B">
      <w:r w:rsidRPr="00B47076">
        <w:lastRenderedPageBreak/>
        <w:t>Published by the Australian Commission on Safety and Quality in Health Care</w:t>
      </w:r>
      <w:r>
        <w:br/>
        <w:t>Level 5, 255 E</w:t>
      </w:r>
      <w:r w:rsidR="000406F8">
        <w:t>lizabeth Street, Sydney NSW 2000</w:t>
      </w:r>
    </w:p>
    <w:p w14:paraId="0E201D3C" w14:textId="77777777" w:rsidR="009A007B" w:rsidRPr="009A007B" w:rsidRDefault="009A007B" w:rsidP="009A007B">
      <w:r w:rsidRPr="00B47076">
        <w:t>Phone: (02) 9126 3600</w:t>
      </w:r>
      <w:r>
        <w:br/>
        <w:t>Fax: (02) 9126 3613</w:t>
      </w:r>
    </w:p>
    <w:p w14:paraId="010E5267" w14:textId="77777777" w:rsidR="009A007B" w:rsidRPr="00A77349" w:rsidRDefault="009A007B" w:rsidP="009A007B">
      <w:pPr>
        <w:rPr>
          <w:rFonts w:ascii="Times New Roman" w:hAnsi="Times New Roman"/>
          <w:snapToGrid w:val="0"/>
          <w:color w:val="000000"/>
          <w:w w:val="0"/>
          <w:sz w:val="0"/>
          <w:szCs w:val="0"/>
          <w:highlight w:val="yellow"/>
          <w:u w:color="000000"/>
          <w:bdr w:val="none" w:sz="0" w:space="0" w:color="000000"/>
          <w:shd w:val="clear" w:color="000000" w:fill="000000"/>
          <w:lang w:eastAsia="x-none" w:bidi="x-none"/>
        </w:rPr>
      </w:pPr>
      <w:r w:rsidRPr="00B47076">
        <w:t xml:space="preserve">Email: </w:t>
      </w:r>
      <w:r w:rsidR="00D67F75">
        <w:t>caralert</w:t>
      </w:r>
      <w:r w:rsidRPr="00B47076">
        <w:t xml:space="preserve">@safetyandquality.gov.au </w:t>
      </w:r>
      <w:r>
        <w:br/>
      </w:r>
      <w:r w:rsidRPr="00B47076">
        <w:t>Website: www.safetyandqu</w:t>
      </w:r>
      <w:r w:rsidRPr="00A77349">
        <w:t>ality.gov.au</w:t>
      </w:r>
      <w:r w:rsidRPr="00A77349">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1D7BF776" w14:textId="1D5B24C5" w:rsidR="009A007B" w:rsidRPr="009A007B" w:rsidRDefault="009A007B" w:rsidP="009A007B">
      <w:r w:rsidRPr="00B47076">
        <w:t xml:space="preserve">© Australian Commission on Safety and Quality in Health Care </w:t>
      </w:r>
      <w:r w:rsidR="00206FE1">
        <w:t>201</w:t>
      </w:r>
      <w:r w:rsidR="00322930">
        <w:t>9</w:t>
      </w:r>
    </w:p>
    <w:p w14:paraId="37D12CA1" w14:textId="77777777" w:rsidR="00EF5C37" w:rsidRPr="00EF5C37" w:rsidRDefault="00EF5C37" w:rsidP="00EF5C37">
      <w:r w:rsidRPr="00EF5C37">
        <w:t xml:space="preserve">All material and work produced by the Australian Commission on Safety and Quality in Health Care (the Commission) is protected by copyright. The Commission reserves the right to set out the terms and conditions for the use of such material. </w:t>
      </w:r>
    </w:p>
    <w:p w14:paraId="6EA9FBC2" w14:textId="77777777" w:rsidR="00EF5C37" w:rsidRPr="00EF5C37" w:rsidRDefault="00EF5C37" w:rsidP="00EF5C37">
      <w:r w:rsidRPr="00EF5C37">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0A2C2CC7" w14:textId="77777777" w:rsidR="00EF5C37" w:rsidRPr="00EF5C37" w:rsidRDefault="00EF5C37" w:rsidP="00EF5C37">
      <w:pPr>
        <w:rPr>
          <w:u w:val="single"/>
        </w:rPr>
      </w:pPr>
      <w:r w:rsidRPr="00EF5C37">
        <w:t>With the exception of any material protected by a trademark, any content provided by third parties and where otherwise noted, all material presented in this publication is licensed under a </w:t>
      </w:r>
      <w:hyperlink r:id="rId12" w:history="1">
        <w:r w:rsidRPr="00EF5C37">
          <w:rPr>
            <w:rStyle w:val="Hyperlink"/>
          </w:rPr>
          <w:t>Creative Commons Attribution–</w:t>
        </w:r>
        <w:proofErr w:type="spellStart"/>
        <w:r w:rsidRPr="00EF5C37">
          <w:rPr>
            <w:rStyle w:val="Hyperlink"/>
          </w:rPr>
          <w:t>NonCommercial</w:t>
        </w:r>
        <w:proofErr w:type="spellEnd"/>
        <w:r w:rsidRPr="00EF5C37">
          <w:rPr>
            <w:rStyle w:val="Hyperlink"/>
          </w:rPr>
          <w:t>–</w:t>
        </w:r>
        <w:proofErr w:type="spellStart"/>
        <w:r w:rsidRPr="00EF5C37">
          <w:rPr>
            <w:rStyle w:val="Hyperlink"/>
          </w:rPr>
          <w:t>NoDerivatives</w:t>
        </w:r>
        <w:proofErr w:type="spellEnd"/>
        <w:r w:rsidRPr="00EF5C37">
          <w:rPr>
            <w:rStyle w:val="Hyperlink"/>
          </w:rPr>
          <w:t xml:space="preserve"> 4.0 International licence</w:t>
        </w:r>
      </w:hyperlink>
      <w:r w:rsidRPr="00EF5C37">
        <w:rPr>
          <w:u w:val="single"/>
        </w:rPr>
        <w:t>.</w:t>
      </w:r>
    </w:p>
    <w:p w14:paraId="5BBE85F7" w14:textId="77777777" w:rsidR="00EF5C37" w:rsidRPr="00EF5C37" w:rsidRDefault="00EF5C37" w:rsidP="00EF5C37">
      <w:r w:rsidRPr="00EF5C37">
        <w:rPr>
          <w:noProof/>
        </w:rPr>
        <w:drawing>
          <wp:inline distT="0" distB="0" distL="0" distR="0" wp14:anchorId="40FA5335" wp14:editId="5E56E55B">
            <wp:extent cx="840105" cy="297815"/>
            <wp:effectExtent l="0" t="0" r="0" b="6985"/>
            <wp:docPr id="9" name="Picture 9"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14:paraId="37262CFF" w14:textId="77777777" w:rsidR="00EF5C37" w:rsidRPr="00EF5C37" w:rsidRDefault="00EF5C37" w:rsidP="00EF5C37">
      <w:r w:rsidRPr="00EF5C37">
        <w:t xml:space="preserve">Enquiries about the licence and any use of this publication are welcome and can be sent to </w:t>
      </w:r>
      <w:hyperlink r:id="rId14" w:history="1">
        <w:r w:rsidRPr="00EF5C37">
          <w:rPr>
            <w:rStyle w:val="Hyperlink"/>
          </w:rPr>
          <w:t>communications@safetyandquality.gov.au</w:t>
        </w:r>
      </w:hyperlink>
      <w:r w:rsidRPr="00EF5C37">
        <w:t>.</w:t>
      </w:r>
    </w:p>
    <w:p w14:paraId="4E990B6D" w14:textId="77777777" w:rsidR="00EF5C37" w:rsidRPr="00EF5C37" w:rsidRDefault="00EF5C37" w:rsidP="00EF5C37">
      <w:r w:rsidRPr="00EF5C37">
        <w:t xml:space="preserve">The Commission’s preference is that you attribute this publication (and any material sourced from it) using the following citation: </w:t>
      </w:r>
    </w:p>
    <w:p w14:paraId="605837CD" w14:textId="77777777" w:rsidR="009A007B" w:rsidRPr="009A007B" w:rsidRDefault="009A007B" w:rsidP="009A007B"/>
    <w:p w14:paraId="3361A032" w14:textId="5A3A5B9F" w:rsidR="009A007B" w:rsidRPr="009A007B" w:rsidRDefault="009A007B" w:rsidP="009A007B">
      <w:pPr>
        <w:ind w:left="720"/>
      </w:pPr>
      <w:proofErr w:type="gramStart"/>
      <w:r w:rsidRPr="00D67F75">
        <w:t>Australian Commission on Safety and Quality in Health Care.</w:t>
      </w:r>
      <w:proofErr w:type="gramEnd"/>
      <w:r w:rsidRPr="00D67F75">
        <w:t xml:space="preserve"> </w:t>
      </w:r>
      <w:r w:rsidR="00D67F75">
        <w:t>CARAlert update</w:t>
      </w:r>
      <w:r w:rsidR="002C2ED4">
        <w:t xml:space="preserve"> </w:t>
      </w:r>
      <w:r w:rsidR="00322930">
        <w:t>11</w:t>
      </w:r>
      <w:r w:rsidR="002C2ED4">
        <w:t>:</w:t>
      </w:r>
      <w:r w:rsidR="00D67F75">
        <w:t xml:space="preserve"> 1</w:t>
      </w:r>
      <w:r w:rsidR="00255B49">
        <w:t xml:space="preserve"> </w:t>
      </w:r>
      <w:r w:rsidR="00322930">
        <w:t>January</w:t>
      </w:r>
      <w:r w:rsidR="00206FE1">
        <w:t xml:space="preserve"> </w:t>
      </w:r>
      <w:r w:rsidR="00255B49">
        <w:t>201</w:t>
      </w:r>
      <w:r w:rsidR="00322930">
        <w:t>9</w:t>
      </w:r>
      <w:r w:rsidR="00255B49">
        <w:t>–</w:t>
      </w:r>
      <w:r w:rsidR="00322930">
        <w:t>28</w:t>
      </w:r>
      <w:r w:rsidR="00206FE1">
        <w:t xml:space="preserve"> </w:t>
      </w:r>
      <w:r w:rsidR="00322930">
        <w:t>February</w:t>
      </w:r>
      <w:r w:rsidR="00D67F75">
        <w:t xml:space="preserve"> 201</w:t>
      </w:r>
      <w:r w:rsidR="00322930">
        <w:t>9</w:t>
      </w:r>
      <w:r w:rsidR="00D67F75">
        <w:t>.</w:t>
      </w:r>
      <w:r w:rsidRPr="00D67F75">
        <w:t xml:space="preserve"> Sydney: ACSQHC; </w:t>
      </w:r>
      <w:r w:rsidR="00D67F75">
        <w:t>201</w:t>
      </w:r>
      <w:r w:rsidR="002C2ED4">
        <w:t>9</w:t>
      </w:r>
      <w:r w:rsidRPr="00D67F75">
        <w:t xml:space="preserve"> </w:t>
      </w:r>
      <w:r w:rsidR="00DB5911" w:rsidRPr="00D67F75">
        <w:br/>
      </w:r>
    </w:p>
    <w:p w14:paraId="434B6725" w14:textId="77777777" w:rsidR="002F7E6F" w:rsidRDefault="002F7E6F" w:rsidP="009A007B">
      <w:pPr>
        <w:rPr>
          <w:rStyle w:val="Strong"/>
        </w:rPr>
      </w:pPr>
    </w:p>
    <w:p w14:paraId="3EC0CD22" w14:textId="77777777" w:rsidR="00EF5C37" w:rsidRPr="00EF5C37" w:rsidRDefault="00EF5C37" w:rsidP="00EF5C37">
      <w:pPr>
        <w:rPr>
          <w:b/>
          <w:bCs/>
        </w:rPr>
      </w:pPr>
      <w:r w:rsidRPr="00EF5C37">
        <w:rPr>
          <w:b/>
          <w:bCs/>
        </w:rPr>
        <w:t>Disclaimer</w:t>
      </w:r>
    </w:p>
    <w:p w14:paraId="058A7143" w14:textId="77777777" w:rsidR="00EF5C37" w:rsidRPr="00EF5C37" w:rsidRDefault="00EF5C37" w:rsidP="00EF5C37">
      <w:pPr>
        <w:rPr>
          <w:bCs/>
        </w:rPr>
      </w:pPr>
      <w:r w:rsidRPr="00EF5C37">
        <w:rPr>
          <w:bCs/>
        </w:rPr>
        <w:t>The content of this document is published in good faith by the Commission for information purposes. The document is not intended to provide guidance on particular healthcare choices.</w:t>
      </w:r>
      <w:r w:rsidR="00E467A7">
        <w:rPr>
          <w:bCs/>
        </w:rPr>
        <w:t xml:space="preserve"> You should contact your health</w:t>
      </w:r>
      <w:r w:rsidRPr="00EF5C37">
        <w:rPr>
          <w:bCs/>
        </w:rPr>
        <w:t xml:space="preserve">care provider for information or advice on particular healthcare choices. </w:t>
      </w:r>
    </w:p>
    <w:p w14:paraId="2B27DE00" w14:textId="79F3143F" w:rsidR="009A007B" w:rsidRPr="00EF5C37" w:rsidRDefault="00EF5C37" w:rsidP="00EF5C37">
      <w:pPr>
        <w:rPr>
          <w:bCs/>
          <w:i/>
          <w:smallCaps/>
        </w:rPr>
      </w:pPr>
      <w:r w:rsidRPr="00EF5C37">
        <w:rPr>
          <w:bCs/>
        </w:rPr>
        <w:t xml:space="preserve">The Commission does not accept any legal liability for any injury, loss or damage incurred by the use of, or reliance on, this document. </w:t>
      </w:r>
    </w:p>
    <w:p w14:paraId="337C647E" w14:textId="77777777" w:rsidR="00BC07E4" w:rsidRPr="00BC07E4" w:rsidRDefault="00BC07E4" w:rsidP="009A007B">
      <w:r>
        <w:br w:type="page"/>
      </w:r>
    </w:p>
    <w:bookmarkEnd w:id="4"/>
    <w:bookmarkEnd w:id="5"/>
    <w:bookmarkEnd w:id="6"/>
    <w:bookmarkEnd w:id="7"/>
    <w:bookmarkEnd w:id="8"/>
    <w:p w14:paraId="3A48E7FB" w14:textId="77777777" w:rsidR="00D87230" w:rsidRDefault="00D87230" w:rsidP="00D87230"/>
    <w:sdt>
      <w:sdtPr>
        <w:rPr>
          <w:rFonts w:asciiTheme="minorHAnsi" w:eastAsia="Times New Roman" w:hAnsiTheme="minorHAnsi" w:cs="Times New Roman"/>
          <w:b w:val="0"/>
          <w:bCs w:val="0"/>
          <w:color w:val="auto"/>
          <w:sz w:val="22"/>
          <w:szCs w:val="22"/>
          <w:lang w:val="en-AU" w:eastAsia="en-AU"/>
        </w:rPr>
        <w:id w:val="443341675"/>
        <w:docPartObj>
          <w:docPartGallery w:val="Table of Contents"/>
          <w:docPartUnique/>
        </w:docPartObj>
      </w:sdtPr>
      <w:sdtEndPr>
        <w:rPr>
          <w:noProof/>
        </w:rPr>
      </w:sdtEndPr>
      <w:sdtContent>
        <w:p w14:paraId="4A470975" w14:textId="0748C18E" w:rsidR="00565833" w:rsidRDefault="00565833">
          <w:pPr>
            <w:pStyle w:val="TOCHeading"/>
          </w:pPr>
          <w:r>
            <w:t>Contents</w:t>
          </w:r>
        </w:p>
        <w:p w14:paraId="651C37BB" w14:textId="77777777" w:rsidR="00882570" w:rsidRDefault="00565833">
          <w:pPr>
            <w:pStyle w:val="TOC2"/>
            <w:rPr>
              <w:rFonts w:eastAsiaTheme="minorEastAsia" w:cstheme="minorBidi"/>
              <w:noProof/>
              <w:szCs w:val="22"/>
            </w:rPr>
          </w:pPr>
          <w:r>
            <w:fldChar w:fldCharType="begin"/>
          </w:r>
          <w:r>
            <w:instrText xml:space="preserve"> TOC \o "1-3" \h \z \u </w:instrText>
          </w:r>
          <w:r>
            <w:fldChar w:fldCharType="separate"/>
          </w:r>
          <w:hyperlink w:anchor="_Toc6318408" w:history="1">
            <w:r w:rsidR="00882570" w:rsidRPr="005151E1">
              <w:rPr>
                <w:rStyle w:val="Hyperlink"/>
                <w:noProof/>
              </w:rPr>
              <w:t>Data Summary</w:t>
            </w:r>
            <w:r w:rsidR="00882570">
              <w:rPr>
                <w:noProof/>
                <w:webHidden/>
              </w:rPr>
              <w:tab/>
            </w:r>
            <w:r w:rsidR="00882570">
              <w:rPr>
                <w:noProof/>
                <w:webHidden/>
              </w:rPr>
              <w:fldChar w:fldCharType="begin"/>
            </w:r>
            <w:r w:rsidR="00882570">
              <w:rPr>
                <w:noProof/>
                <w:webHidden/>
              </w:rPr>
              <w:instrText xml:space="preserve"> PAGEREF _Toc6318408 \h </w:instrText>
            </w:r>
            <w:r w:rsidR="00882570">
              <w:rPr>
                <w:noProof/>
                <w:webHidden/>
              </w:rPr>
            </w:r>
            <w:r w:rsidR="00882570">
              <w:rPr>
                <w:noProof/>
                <w:webHidden/>
              </w:rPr>
              <w:fldChar w:fldCharType="separate"/>
            </w:r>
            <w:r w:rsidR="00882570">
              <w:rPr>
                <w:noProof/>
                <w:webHidden/>
              </w:rPr>
              <w:t>4</w:t>
            </w:r>
            <w:r w:rsidR="00882570">
              <w:rPr>
                <w:noProof/>
                <w:webHidden/>
              </w:rPr>
              <w:fldChar w:fldCharType="end"/>
            </w:r>
          </w:hyperlink>
        </w:p>
        <w:p w14:paraId="0692FB5F" w14:textId="77777777" w:rsidR="00882570" w:rsidRDefault="00D14569">
          <w:pPr>
            <w:pStyle w:val="TOC2"/>
            <w:rPr>
              <w:rFonts w:eastAsiaTheme="minorEastAsia" w:cstheme="minorBidi"/>
              <w:noProof/>
              <w:szCs w:val="22"/>
            </w:rPr>
          </w:pPr>
          <w:hyperlink w:anchor="_Toc6318409" w:history="1">
            <w:r w:rsidR="00882570" w:rsidRPr="005151E1">
              <w:rPr>
                <w:rStyle w:val="Hyperlink"/>
                <w:noProof/>
              </w:rPr>
              <w:t>National summary</w:t>
            </w:r>
            <w:r w:rsidR="00882570">
              <w:rPr>
                <w:noProof/>
                <w:webHidden/>
              </w:rPr>
              <w:tab/>
            </w:r>
            <w:r w:rsidR="00882570">
              <w:rPr>
                <w:noProof/>
                <w:webHidden/>
              </w:rPr>
              <w:fldChar w:fldCharType="begin"/>
            </w:r>
            <w:r w:rsidR="00882570">
              <w:rPr>
                <w:noProof/>
                <w:webHidden/>
              </w:rPr>
              <w:instrText xml:space="preserve"> PAGEREF _Toc6318409 \h </w:instrText>
            </w:r>
            <w:r w:rsidR="00882570">
              <w:rPr>
                <w:noProof/>
                <w:webHidden/>
              </w:rPr>
            </w:r>
            <w:r w:rsidR="00882570">
              <w:rPr>
                <w:noProof/>
                <w:webHidden/>
              </w:rPr>
              <w:fldChar w:fldCharType="separate"/>
            </w:r>
            <w:r w:rsidR="00882570">
              <w:rPr>
                <w:noProof/>
                <w:webHidden/>
              </w:rPr>
              <w:t>5</w:t>
            </w:r>
            <w:r w:rsidR="00882570">
              <w:rPr>
                <w:noProof/>
                <w:webHidden/>
              </w:rPr>
              <w:fldChar w:fldCharType="end"/>
            </w:r>
          </w:hyperlink>
        </w:p>
        <w:p w14:paraId="4FC21758" w14:textId="77777777" w:rsidR="00882570" w:rsidRDefault="00D14569">
          <w:pPr>
            <w:pStyle w:val="TOC2"/>
            <w:rPr>
              <w:rFonts w:eastAsiaTheme="minorEastAsia" w:cstheme="minorBidi"/>
              <w:noProof/>
              <w:szCs w:val="22"/>
            </w:rPr>
          </w:pPr>
          <w:hyperlink w:anchor="_Toc6318410" w:history="1">
            <w:r w:rsidR="00882570" w:rsidRPr="005151E1">
              <w:rPr>
                <w:rStyle w:val="Hyperlink"/>
                <w:noProof/>
              </w:rPr>
              <w:t>Summary by CAR</w:t>
            </w:r>
            <w:r w:rsidR="00882570">
              <w:rPr>
                <w:noProof/>
                <w:webHidden/>
              </w:rPr>
              <w:tab/>
            </w:r>
            <w:r w:rsidR="00882570">
              <w:rPr>
                <w:noProof/>
                <w:webHidden/>
              </w:rPr>
              <w:fldChar w:fldCharType="begin"/>
            </w:r>
            <w:r w:rsidR="00882570">
              <w:rPr>
                <w:noProof/>
                <w:webHidden/>
              </w:rPr>
              <w:instrText xml:space="preserve"> PAGEREF _Toc6318410 \h </w:instrText>
            </w:r>
            <w:r w:rsidR="00882570">
              <w:rPr>
                <w:noProof/>
                <w:webHidden/>
              </w:rPr>
            </w:r>
            <w:r w:rsidR="00882570">
              <w:rPr>
                <w:noProof/>
                <w:webHidden/>
              </w:rPr>
              <w:fldChar w:fldCharType="separate"/>
            </w:r>
            <w:r w:rsidR="00882570">
              <w:rPr>
                <w:noProof/>
                <w:webHidden/>
              </w:rPr>
              <w:t>8</w:t>
            </w:r>
            <w:r w:rsidR="00882570">
              <w:rPr>
                <w:noProof/>
                <w:webHidden/>
              </w:rPr>
              <w:fldChar w:fldCharType="end"/>
            </w:r>
          </w:hyperlink>
        </w:p>
        <w:p w14:paraId="64066EC5" w14:textId="77777777" w:rsidR="00882570" w:rsidRDefault="00D14569">
          <w:pPr>
            <w:pStyle w:val="TOC3"/>
            <w:rPr>
              <w:rFonts w:eastAsiaTheme="minorEastAsia" w:cstheme="minorBidi"/>
              <w:iCs w:val="0"/>
              <w:szCs w:val="22"/>
            </w:rPr>
          </w:pPr>
          <w:hyperlink w:anchor="_Toc6318411" w:history="1">
            <w:r w:rsidR="00882570" w:rsidRPr="005151E1">
              <w:rPr>
                <w:rStyle w:val="Hyperlink"/>
              </w:rPr>
              <w:t>Enterobacterales</w:t>
            </w:r>
            <w:r w:rsidR="00882570">
              <w:rPr>
                <w:webHidden/>
              </w:rPr>
              <w:tab/>
            </w:r>
            <w:r w:rsidR="00882570">
              <w:rPr>
                <w:webHidden/>
              </w:rPr>
              <w:fldChar w:fldCharType="begin"/>
            </w:r>
            <w:r w:rsidR="00882570">
              <w:rPr>
                <w:webHidden/>
              </w:rPr>
              <w:instrText xml:space="preserve"> PAGEREF _Toc6318411 \h </w:instrText>
            </w:r>
            <w:r w:rsidR="00882570">
              <w:rPr>
                <w:webHidden/>
              </w:rPr>
            </w:r>
            <w:r w:rsidR="00882570">
              <w:rPr>
                <w:webHidden/>
              </w:rPr>
              <w:fldChar w:fldCharType="separate"/>
            </w:r>
            <w:r w:rsidR="00882570">
              <w:rPr>
                <w:webHidden/>
              </w:rPr>
              <w:t>8</w:t>
            </w:r>
            <w:r w:rsidR="00882570">
              <w:rPr>
                <w:webHidden/>
              </w:rPr>
              <w:fldChar w:fldCharType="end"/>
            </w:r>
          </w:hyperlink>
        </w:p>
        <w:p w14:paraId="65D479AB" w14:textId="77777777" w:rsidR="00882570" w:rsidRDefault="00D14569">
          <w:pPr>
            <w:pStyle w:val="TOC3"/>
            <w:rPr>
              <w:rFonts w:eastAsiaTheme="minorEastAsia" w:cstheme="minorBidi"/>
              <w:iCs w:val="0"/>
              <w:szCs w:val="22"/>
            </w:rPr>
          </w:pPr>
          <w:hyperlink w:anchor="_Toc6318412" w:history="1">
            <w:r w:rsidR="00882570" w:rsidRPr="005151E1">
              <w:rPr>
                <w:rStyle w:val="Hyperlink"/>
                <w:i/>
              </w:rPr>
              <w:t>Enterococcus</w:t>
            </w:r>
            <w:r w:rsidR="00882570" w:rsidRPr="005151E1">
              <w:rPr>
                <w:rStyle w:val="Hyperlink"/>
              </w:rPr>
              <w:t xml:space="preserve"> species</w:t>
            </w:r>
            <w:r w:rsidR="00882570">
              <w:rPr>
                <w:webHidden/>
              </w:rPr>
              <w:tab/>
            </w:r>
            <w:r w:rsidR="00882570">
              <w:rPr>
                <w:webHidden/>
              </w:rPr>
              <w:fldChar w:fldCharType="begin"/>
            </w:r>
            <w:r w:rsidR="00882570">
              <w:rPr>
                <w:webHidden/>
              </w:rPr>
              <w:instrText xml:space="preserve"> PAGEREF _Toc6318412 \h </w:instrText>
            </w:r>
            <w:r w:rsidR="00882570">
              <w:rPr>
                <w:webHidden/>
              </w:rPr>
            </w:r>
            <w:r w:rsidR="00882570">
              <w:rPr>
                <w:webHidden/>
              </w:rPr>
              <w:fldChar w:fldCharType="separate"/>
            </w:r>
            <w:r w:rsidR="00882570">
              <w:rPr>
                <w:webHidden/>
              </w:rPr>
              <w:t>14</w:t>
            </w:r>
            <w:r w:rsidR="00882570">
              <w:rPr>
                <w:webHidden/>
              </w:rPr>
              <w:fldChar w:fldCharType="end"/>
            </w:r>
          </w:hyperlink>
        </w:p>
        <w:p w14:paraId="234C89DD" w14:textId="77777777" w:rsidR="00882570" w:rsidRDefault="00D14569">
          <w:pPr>
            <w:pStyle w:val="TOC3"/>
            <w:rPr>
              <w:rFonts w:eastAsiaTheme="minorEastAsia" w:cstheme="minorBidi"/>
              <w:iCs w:val="0"/>
              <w:szCs w:val="22"/>
            </w:rPr>
          </w:pPr>
          <w:hyperlink w:anchor="_Toc6318413" w:history="1">
            <w:r w:rsidR="00882570" w:rsidRPr="005151E1">
              <w:rPr>
                <w:rStyle w:val="Hyperlink"/>
                <w:i/>
              </w:rPr>
              <w:t>Mycobacterium tuberculosis</w:t>
            </w:r>
            <w:r w:rsidR="00882570">
              <w:rPr>
                <w:webHidden/>
              </w:rPr>
              <w:tab/>
            </w:r>
            <w:r w:rsidR="00882570">
              <w:rPr>
                <w:webHidden/>
              </w:rPr>
              <w:fldChar w:fldCharType="begin"/>
            </w:r>
            <w:r w:rsidR="00882570">
              <w:rPr>
                <w:webHidden/>
              </w:rPr>
              <w:instrText xml:space="preserve"> PAGEREF _Toc6318413 \h </w:instrText>
            </w:r>
            <w:r w:rsidR="00882570">
              <w:rPr>
                <w:webHidden/>
              </w:rPr>
            </w:r>
            <w:r w:rsidR="00882570">
              <w:rPr>
                <w:webHidden/>
              </w:rPr>
              <w:fldChar w:fldCharType="separate"/>
            </w:r>
            <w:r w:rsidR="00882570">
              <w:rPr>
                <w:webHidden/>
              </w:rPr>
              <w:t>14</w:t>
            </w:r>
            <w:r w:rsidR="00882570">
              <w:rPr>
                <w:webHidden/>
              </w:rPr>
              <w:fldChar w:fldCharType="end"/>
            </w:r>
          </w:hyperlink>
        </w:p>
        <w:p w14:paraId="4A51969C" w14:textId="77777777" w:rsidR="00882570" w:rsidRDefault="00D14569">
          <w:pPr>
            <w:pStyle w:val="TOC3"/>
            <w:rPr>
              <w:rFonts w:eastAsiaTheme="minorEastAsia" w:cstheme="minorBidi"/>
              <w:iCs w:val="0"/>
              <w:szCs w:val="22"/>
            </w:rPr>
          </w:pPr>
          <w:hyperlink w:anchor="_Toc6318414" w:history="1">
            <w:r w:rsidR="00882570" w:rsidRPr="005151E1">
              <w:rPr>
                <w:rStyle w:val="Hyperlink"/>
                <w:i/>
              </w:rPr>
              <w:t>Neisseria gonorrhoeae</w:t>
            </w:r>
            <w:r w:rsidR="00882570">
              <w:rPr>
                <w:webHidden/>
              </w:rPr>
              <w:tab/>
            </w:r>
            <w:r w:rsidR="00882570">
              <w:rPr>
                <w:webHidden/>
              </w:rPr>
              <w:fldChar w:fldCharType="begin"/>
            </w:r>
            <w:r w:rsidR="00882570">
              <w:rPr>
                <w:webHidden/>
              </w:rPr>
              <w:instrText xml:space="preserve"> PAGEREF _Toc6318414 \h </w:instrText>
            </w:r>
            <w:r w:rsidR="00882570">
              <w:rPr>
                <w:webHidden/>
              </w:rPr>
            </w:r>
            <w:r w:rsidR="00882570">
              <w:rPr>
                <w:webHidden/>
              </w:rPr>
              <w:fldChar w:fldCharType="separate"/>
            </w:r>
            <w:r w:rsidR="00882570">
              <w:rPr>
                <w:webHidden/>
              </w:rPr>
              <w:t>15</w:t>
            </w:r>
            <w:r w:rsidR="00882570">
              <w:rPr>
                <w:webHidden/>
              </w:rPr>
              <w:fldChar w:fldCharType="end"/>
            </w:r>
          </w:hyperlink>
        </w:p>
        <w:p w14:paraId="370BC8C5" w14:textId="77777777" w:rsidR="00882570" w:rsidRDefault="00D14569">
          <w:pPr>
            <w:pStyle w:val="TOC3"/>
            <w:rPr>
              <w:rFonts w:eastAsiaTheme="minorEastAsia" w:cstheme="minorBidi"/>
              <w:iCs w:val="0"/>
              <w:szCs w:val="22"/>
            </w:rPr>
          </w:pPr>
          <w:hyperlink w:anchor="_Toc6318415" w:history="1">
            <w:r w:rsidR="00882570" w:rsidRPr="005151E1">
              <w:rPr>
                <w:rStyle w:val="Hyperlink"/>
                <w:i/>
              </w:rPr>
              <w:t>Salmonella</w:t>
            </w:r>
            <w:r w:rsidR="00882570" w:rsidRPr="005151E1">
              <w:rPr>
                <w:rStyle w:val="Hyperlink"/>
              </w:rPr>
              <w:t xml:space="preserve"> species</w:t>
            </w:r>
            <w:r w:rsidR="00882570">
              <w:rPr>
                <w:webHidden/>
              </w:rPr>
              <w:tab/>
            </w:r>
            <w:r w:rsidR="00882570">
              <w:rPr>
                <w:webHidden/>
              </w:rPr>
              <w:fldChar w:fldCharType="begin"/>
            </w:r>
            <w:r w:rsidR="00882570">
              <w:rPr>
                <w:webHidden/>
              </w:rPr>
              <w:instrText xml:space="preserve"> PAGEREF _Toc6318415 \h </w:instrText>
            </w:r>
            <w:r w:rsidR="00882570">
              <w:rPr>
                <w:webHidden/>
              </w:rPr>
            </w:r>
            <w:r w:rsidR="00882570">
              <w:rPr>
                <w:webHidden/>
              </w:rPr>
              <w:fldChar w:fldCharType="separate"/>
            </w:r>
            <w:r w:rsidR="00882570">
              <w:rPr>
                <w:webHidden/>
              </w:rPr>
              <w:t>16</w:t>
            </w:r>
            <w:r w:rsidR="00882570">
              <w:rPr>
                <w:webHidden/>
              </w:rPr>
              <w:fldChar w:fldCharType="end"/>
            </w:r>
          </w:hyperlink>
        </w:p>
        <w:p w14:paraId="5A220F32" w14:textId="77777777" w:rsidR="00882570" w:rsidRDefault="00D14569">
          <w:pPr>
            <w:pStyle w:val="TOC3"/>
            <w:rPr>
              <w:rFonts w:eastAsiaTheme="minorEastAsia" w:cstheme="minorBidi"/>
              <w:iCs w:val="0"/>
              <w:szCs w:val="22"/>
            </w:rPr>
          </w:pPr>
          <w:hyperlink w:anchor="_Toc6318416" w:history="1">
            <w:r w:rsidR="00882570" w:rsidRPr="005151E1">
              <w:rPr>
                <w:rStyle w:val="Hyperlink"/>
                <w:i/>
              </w:rPr>
              <w:t>Shigella</w:t>
            </w:r>
            <w:r w:rsidR="00882570" w:rsidRPr="005151E1">
              <w:rPr>
                <w:rStyle w:val="Hyperlink"/>
              </w:rPr>
              <w:t xml:space="preserve"> species</w:t>
            </w:r>
            <w:r w:rsidR="00882570">
              <w:rPr>
                <w:webHidden/>
              </w:rPr>
              <w:tab/>
            </w:r>
            <w:r w:rsidR="00882570">
              <w:rPr>
                <w:webHidden/>
              </w:rPr>
              <w:fldChar w:fldCharType="begin"/>
            </w:r>
            <w:r w:rsidR="00882570">
              <w:rPr>
                <w:webHidden/>
              </w:rPr>
              <w:instrText xml:space="preserve"> PAGEREF _Toc6318416 \h </w:instrText>
            </w:r>
            <w:r w:rsidR="00882570">
              <w:rPr>
                <w:webHidden/>
              </w:rPr>
            </w:r>
            <w:r w:rsidR="00882570">
              <w:rPr>
                <w:webHidden/>
              </w:rPr>
              <w:fldChar w:fldCharType="separate"/>
            </w:r>
            <w:r w:rsidR="00882570">
              <w:rPr>
                <w:webHidden/>
              </w:rPr>
              <w:t>17</w:t>
            </w:r>
            <w:r w:rsidR="00882570">
              <w:rPr>
                <w:webHidden/>
              </w:rPr>
              <w:fldChar w:fldCharType="end"/>
            </w:r>
          </w:hyperlink>
        </w:p>
        <w:p w14:paraId="67ADE500" w14:textId="77777777" w:rsidR="00882570" w:rsidRDefault="00D14569">
          <w:pPr>
            <w:pStyle w:val="TOC3"/>
            <w:rPr>
              <w:rFonts w:eastAsiaTheme="minorEastAsia" w:cstheme="minorBidi"/>
              <w:iCs w:val="0"/>
              <w:szCs w:val="22"/>
            </w:rPr>
          </w:pPr>
          <w:hyperlink w:anchor="_Toc6318417" w:history="1">
            <w:r w:rsidR="00882570" w:rsidRPr="005151E1">
              <w:rPr>
                <w:rStyle w:val="Hyperlink"/>
                <w:i/>
              </w:rPr>
              <w:t>Staphylococcus aureus</w:t>
            </w:r>
            <w:r w:rsidR="00882570">
              <w:rPr>
                <w:webHidden/>
              </w:rPr>
              <w:tab/>
            </w:r>
            <w:r w:rsidR="00882570">
              <w:rPr>
                <w:webHidden/>
              </w:rPr>
              <w:fldChar w:fldCharType="begin"/>
            </w:r>
            <w:r w:rsidR="00882570">
              <w:rPr>
                <w:webHidden/>
              </w:rPr>
              <w:instrText xml:space="preserve"> PAGEREF _Toc6318417 \h </w:instrText>
            </w:r>
            <w:r w:rsidR="00882570">
              <w:rPr>
                <w:webHidden/>
              </w:rPr>
            </w:r>
            <w:r w:rsidR="00882570">
              <w:rPr>
                <w:webHidden/>
              </w:rPr>
              <w:fldChar w:fldCharType="separate"/>
            </w:r>
            <w:r w:rsidR="00882570">
              <w:rPr>
                <w:webHidden/>
              </w:rPr>
              <w:t>17</w:t>
            </w:r>
            <w:r w:rsidR="00882570">
              <w:rPr>
                <w:webHidden/>
              </w:rPr>
              <w:fldChar w:fldCharType="end"/>
            </w:r>
          </w:hyperlink>
        </w:p>
        <w:p w14:paraId="15372A29" w14:textId="77777777" w:rsidR="00882570" w:rsidRDefault="00D14569">
          <w:pPr>
            <w:pStyle w:val="TOC2"/>
            <w:rPr>
              <w:rFonts w:eastAsiaTheme="minorEastAsia" w:cstheme="minorBidi"/>
              <w:noProof/>
              <w:szCs w:val="22"/>
            </w:rPr>
          </w:pPr>
          <w:hyperlink w:anchor="_Toc6318418" w:history="1">
            <w:r w:rsidR="00882570" w:rsidRPr="005151E1">
              <w:rPr>
                <w:rStyle w:val="Hyperlink"/>
                <w:noProof/>
              </w:rPr>
              <w:t>Appendix</w:t>
            </w:r>
            <w:r w:rsidR="00882570">
              <w:rPr>
                <w:noProof/>
                <w:webHidden/>
              </w:rPr>
              <w:tab/>
            </w:r>
            <w:r w:rsidR="00882570">
              <w:rPr>
                <w:noProof/>
                <w:webHidden/>
              </w:rPr>
              <w:fldChar w:fldCharType="begin"/>
            </w:r>
            <w:r w:rsidR="00882570">
              <w:rPr>
                <w:noProof/>
                <w:webHidden/>
              </w:rPr>
              <w:instrText xml:space="preserve"> PAGEREF _Toc6318418 \h </w:instrText>
            </w:r>
            <w:r w:rsidR="00882570">
              <w:rPr>
                <w:noProof/>
                <w:webHidden/>
              </w:rPr>
            </w:r>
            <w:r w:rsidR="00882570">
              <w:rPr>
                <w:noProof/>
                <w:webHidden/>
              </w:rPr>
              <w:fldChar w:fldCharType="separate"/>
            </w:r>
            <w:r w:rsidR="00882570">
              <w:rPr>
                <w:noProof/>
                <w:webHidden/>
              </w:rPr>
              <w:t>19</w:t>
            </w:r>
            <w:r w:rsidR="00882570">
              <w:rPr>
                <w:noProof/>
                <w:webHidden/>
              </w:rPr>
              <w:fldChar w:fldCharType="end"/>
            </w:r>
          </w:hyperlink>
        </w:p>
        <w:p w14:paraId="005935B9" w14:textId="77777777" w:rsidR="00882570" w:rsidRDefault="00D14569">
          <w:pPr>
            <w:pStyle w:val="TOC3"/>
            <w:rPr>
              <w:rFonts w:eastAsiaTheme="minorEastAsia" w:cstheme="minorBidi"/>
              <w:iCs w:val="0"/>
              <w:szCs w:val="22"/>
            </w:rPr>
          </w:pPr>
          <w:hyperlink w:anchor="_Toc6318419" w:history="1">
            <w:r w:rsidR="00882570" w:rsidRPr="005151E1">
              <w:rPr>
                <w:rStyle w:val="Hyperlink"/>
              </w:rPr>
              <w:t>Data Notes</w:t>
            </w:r>
            <w:r w:rsidR="00882570">
              <w:rPr>
                <w:webHidden/>
              </w:rPr>
              <w:tab/>
            </w:r>
            <w:r w:rsidR="00882570">
              <w:rPr>
                <w:webHidden/>
              </w:rPr>
              <w:fldChar w:fldCharType="begin"/>
            </w:r>
            <w:r w:rsidR="00882570">
              <w:rPr>
                <w:webHidden/>
              </w:rPr>
              <w:instrText xml:space="preserve"> PAGEREF _Toc6318419 \h </w:instrText>
            </w:r>
            <w:r w:rsidR="00882570">
              <w:rPr>
                <w:webHidden/>
              </w:rPr>
            </w:r>
            <w:r w:rsidR="00882570">
              <w:rPr>
                <w:webHidden/>
              </w:rPr>
              <w:fldChar w:fldCharType="separate"/>
            </w:r>
            <w:r w:rsidR="00882570">
              <w:rPr>
                <w:webHidden/>
              </w:rPr>
              <w:t>19</w:t>
            </w:r>
            <w:r w:rsidR="00882570">
              <w:rPr>
                <w:webHidden/>
              </w:rPr>
              <w:fldChar w:fldCharType="end"/>
            </w:r>
          </w:hyperlink>
        </w:p>
        <w:p w14:paraId="796EB0FA" w14:textId="77777777" w:rsidR="00882570" w:rsidRDefault="00D14569">
          <w:pPr>
            <w:pStyle w:val="TOC3"/>
            <w:rPr>
              <w:rFonts w:eastAsiaTheme="minorEastAsia" w:cstheme="minorBidi"/>
              <w:iCs w:val="0"/>
              <w:szCs w:val="22"/>
            </w:rPr>
          </w:pPr>
          <w:hyperlink w:anchor="_Toc6318420" w:history="1">
            <w:r w:rsidR="00882570" w:rsidRPr="005151E1">
              <w:rPr>
                <w:rStyle w:val="Hyperlink"/>
              </w:rPr>
              <w:t>About CARAlert</w:t>
            </w:r>
            <w:r w:rsidR="00882570">
              <w:rPr>
                <w:webHidden/>
              </w:rPr>
              <w:tab/>
            </w:r>
            <w:r w:rsidR="00882570">
              <w:rPr>
                <w:webHidden/>
              </w:rPr>
              <w:fldChar w:fldCharType="begin"/>
            </w:r>
            <w:r w:rsidR="00882570">
              <w:rPr>
                <w:webHidden/>
              </w:rPr>
              <w:instrText xml:space="preserve"> PAGEREF _Toc6318420 \h </w:instrText>
            </w:r>
            <w:r w:rsidR="00882570">
              <w:rPr>
                <w:webHidden/>
              </w:rPr>
            </w:r>
            <w:r w:rsidR="00882570">
              <w:rPr>
                <w:webHidden/>
              </w:rPr>
              <w:fldChar w:fldCharType="separate"/>
            </w:r>
            <w:r w:rsidR="00882570">
              <w:rPr>
                <w:webHidden/>
              </w:rPr>
              <w:t>19</w:t>
            </w:r>
            <w:r w:rsidR="00882570">
              <w:rPr>
                <w:webHidden/>
              </w:rPr>
              <w:fldChar w:fldCharType="end"/>
            </w:r>
          </w:hyperlink>
        </w:p>
        <w:p w14:paraId="2242AC5E" w14:textId="087BD57C" w:rsidR="00565833" w:rsidRDefault="00565833">
          <w:r>
            <w:fldChar w:fldCharType="end"/>
          </w:r>
        </w:p>
      </w:sdtContent>
    </w:sdt>
    <w:p w14:paraId="617AF969" w14:textId="77777777" w:rsidR="00D87230" w:rsidRDefault="00D87230" w:rsidP="00D87230"/>
    <w:p w14:paraId="52546B39" w14:textId="77777777" w:rsidR="00D87230" w:rsidRDefault="00D87230" w:rsidP="00D87230"/>
    <w:p w14:paraId="0BA238D6" w14:textId="77777777" w:rsidR="00D87230" w:rsidRDefault="00D87230" w:rsidP="00D87230"/>
    <w:p w14:paraId="4C38CB6E" w14:textId="199BCF0A" w:rsidR="00D87230" w:rsidRDefault="00D87230" w:rsidP="00D87230">
      <w:pPr>
        <w:pStyle w:val="Heading2"/>
      </w:pPr>
      <w:r>
        <w:br w:type="page"/>
      </w:r>
      <w:bookmarkStart w:id="9" w:name="_Toc6318408"/>
      <w:r>
        <w:lastRenderedPageBreak/>
        <w:t>Data</w:t>
      </w:r>
      <w:r w:rsidR="005D2A3A">
        <w:t xml:space="preserve"> Summary</w:t>
      </w:r>
      <w:bookmarkEnd w:id="9"/>
      <w:r>
        <w:t xml:space="preserve"> </w:t>
      </w:r>
    </w:p>
    <w:p w14:paraId="3F1C813A" w14:textId="1B274C7B" w:rsidR="005A20F4" w:rsidRDefault="000130C8" w:rsidP="000130C8">
      <w:pPr>
        <w:spacing w:before="120"/>
        <w:rPr>
          <w:rFonts w:cs="Arial"/>
          <w:b/>
        </w:rPr>
      </w:pPr>
      <w:r w:rsidRPr="00932DF0">
        <w:rPr>
          <w:rFonts w:cs="Arial"/>
        </w:rPr>
        <w:t xml:space="preserve">This report provides a brief update, and complements previous analyses of and updates on </w:t>
      </w:r>
      <w:hyperlink r:id="rId15" w:history="1">
        <w:r w:rsidRPr="00932DF0">
          <w:rPr>
            <w:rStyle w:val="Hyperlink"/>
            <w:rFonts w:cs="Arial"/>
          </w:rPr>
          <w:t>CARAlert data</w:t>
        </w:r>
      </w:hyperlink>
      <w:r w:rsidR="00A312CD">
        <w:rPr>
          <w:rFonts w:cs="Arial"/>
        </w:rPr>
        <w:t xml:space="preserve">. </w:t>
      </w:r>
      <w:r w:rsidR="002C06A6">
        <w:rPr>
          <w:rFonts w:cs="Arial"/>
          <w:b/>
        </w:rPr>
        <w:t xml:space="preserve">Reporting period: </w:t>
      </w:r>
      <w:r w:rsidRPr="00A10B9D">
        <w:rPr>
          <w:rFonts w:cs="Arial"/>
          <w:b/>
        </w:rPr>
        <w:t>1 January 2019 and 28 February 2019</w:t>
      </w:r>
    </w:p>
    <w:p w14:paraId="4DADD40A" w14:textId="20AC56CE" w:rsidR="00A312CD" w:rsidRPr="006860A0" w:rsidRDefault="00A312CD" w:rsidP="006860A0">
      <w:pPr>
        <w:pStyle w:val="Normal-beforebullets"/>
        <w:rPr>
          <w:b/>
        </w:rPr>
      </w:pPr>
      <w:r w:rsidRPr="006860A0">
        <w:rPr>
          <w:b/>
        </w:rPr>
        <w:t>National overview</w:t>
      </w:r>
    </w:p>
    <w:p w14:paraId="53D05027" w14:textId="7EBF5E9D" w:rsidR="000130C8" w:rsidRPr="00796EEB" w:rsidRDefault="000130C8" w:rsidP="00A837CE">
      <w:pPr>
        <w:pStyle w:val="Bulletlist"/>
        <w:spacing w:after="40"/>
        <w:ind w:left="568" w:hanging="284"/>
      </w:pPr>
      <w:r w:rsidRPr="003121D7">
        <w:t xml:space="preserve">A total of 272 critical antimicrobial resistances </w:t>
      </w:r>
      <w:r w:rsidR="00B1679A">
        <w:t xml:space="preserve">(CARs) </w:t>
      </w:r>
      <w:r w:rsidRPr="003121D7">
        <w:t xml:space="preserve">were reported in CARAlert, an increase of </w:t>
      </w:r>
      <w:r>
        <w:t>8.8</w:t>
      </w:r>
      <w:r w:rsidRPr="003121D7">
        <w:t xml:space="preserve">% compared to </w:t>
      </w:r>
      <w:r>
        <w:t>same period last year.</w:t>
      </w:r>
    </w:p>
    <w:p w14:paraId="799FD782" w14:textId="58A05FDA" w:rsidR="000130C8" w:rsidRPr="00105E40" w:rsidRDefault="00882570" w:rsidP="00A837CE">
      <w:pPr>
        <w:pStyle w:val="Bulletlist"/>
        <w:spacing w:after="40"/>
        <w:ind w:left="568" w:hanging="284"/>
      </w:pPr>
      <w:r>
        <w:t>Carbapenemase</w:t>
      </w:r>
      <w:r w:rsidR="000130C8">
        <w:t xml:space="preserve">-producing </w:t>
      </w:r>
      <w:r w:rsidR="00C2772C">
        <w:t xml:space="preserve">Enterobacterales </w:t>
      </w:r>
      <w:r w:rsidR="000130C8">
        <w:t>(CPE) was the most</w:t>
      </w:r>
      <w:r w:rsidR="000130C8" w:rsidRPr="00EA57F6">
        <w:t xml:space="preserve"> reported </w:t>
      </w:r>
      <w:r w:rsidR="000130C8">
        <w:t xml:space="preserve">CAR, </w:t>
      </w:r>
      <w:r w:rsidR="000130C8" w:rsidRPr="00EA57F6">
        <w:t>(</w:t>
      </w:r>
      <w:r w:rsidR="009A4E07" w:rsidRPr="00A837CE">
        <w:t>n</w:t>
      </w:r>
      <w:r w:rsidR="00C2772C">
        <w:t> </w:t>
      </w:r>
      <w:r w:rsidR="009A4E07">
        <w:t>=</w:t>
      </w:r>
      <w:r w:rsidR="00C2772C">
        <w:t> </w:t>
      </w:r>
      <w:r w:rsidR="009A4E07">
        <w:t xml:space="preserve">156, </w:t>
      </w:r>
      <w:r w:rsidR="00C2772C">
        <w:t>57</w:t>
      </w:r>
      <w:r w:rsidR="000130C8" w:rsidRPr="00EA57F6">
        <w:t>%</w:t>
      </w:r>
      <w:r w:rsidR="009A4E07">
        <w:t>)</w:t>
      </w:r>
      <w:r w:rsidR="000130C8">
        <w:t xml:space="preserve">, followed by </w:t>
      </w:r>
      <w:r w:rsidR="000130C8" w:rsidRPr="00A10B9D">
        <w:t>azithromycin</w:t>
      </w:r>
      <w:r w:rsidR="005F17AF">
        <w:t xml:space="preserve"> </w:t>
      </w:r>
      <w:r w:rsidR="000130C8" w:rsidRPr="00A10B9D">
        <w:t>non</w:t>
      </w:r>
      <w:r w:rsidR="005F17AF">
        <w:t>-</w:t>
      </w:r>
      <w:r w:rsidR="000130C8" w:rsidRPr="00A10B9D">
        <w:t xml:space="preserve">susceptible (low-level resistance, MIC </w:t>
      </w:r>
      <w:r w:rsidR="000130C8" w:rsidRPr="00A837CE">
        <w:t>≤</w:t>
      </w:r>
      <w:r w:rsidR="000130C8" w:rsidRPr="00A10B9D">
        <w:t xml:space="preserve"> 256 mg/L) </w:t>
      </w:r>
      <w:r w:rsidR="000130C8" w:rsidRPr="00A837CE">
        <w:rPr>
          <w:i/>
        </w:rPr>
        <w:t>Neisseria gonorrhoeae</w:t>
      </w:r>
      <w:r w:rsidR="000130C8" w:rsidRPr="00A837CE">
        <w:t xml:space="preserve"> </w:t>
      </w:r>
      <w:r w:rsidR="000130C8" w:rsidRPr="000130C8">
        <w:t>(</w:t>
      </w:r>
      <w:r w:rsidR="009A4E07" w:rsidRPr="00A837CE">
        <w:t>n</w:t>
      </w:r>
      <w:r w:rsidR="00C2772C">
        <w:t> </w:t>
      </w:r>
      <w:r w:rsidR="009A4E07">
        <w:t>=</w:t>
      </w:r>
      <w:r w:rsidR="00C2772C">
        <w:t> </w:t>
      </w:r>
      <w:r w:rsidR="009A4E07">
        <w:t xml:space="preserve">71, </w:t>
      </w:r>
      <w:r w:rsidR="000130C8" w:rsidRPr="000130C8">
        <w:t>26.1%)</w:t>
      </w:r>
      <w:r w:rsidR="000130C8" w:rsidRPr="00A837CE">
        <w:t xml:space="preserve"> </w:t>
      </w:r>
      <w:r w:rsidR="000130C8" w:rsidRPr="000130C8">
        <w:t>and</w:t>
      </w:r>
      <w:r w:rsidR="000130C8" w:rsidRPr="00A837CE">
        <w:t xml:space="preserve"> </w:t>
      </w:r>
      <w:r w:rsidR="000130C8">
        <w:t>daptomycin</w:t>
      </w:r>
      <w:r w:rsidR="005F17AF">
        <w:t xml:space="preserve"> </w:t>
      </w:r>
      <w:r w:rsidR="000130C8">
        <w:t>non</w:t>
      </w:r>
      <w:r w:rsidR="005F17AF">
        <w:t>-</w:t>
      </w:r>
      <w:r w:rsidR="000130C8">
        <w:t xml:space="preserve">susceptible </w:t>
      </w:r>
      <w:r w:rsidR="000130C8" w:rsidRPr="00A837CE">
        <w:rPr>
          <w:i/>
        </w:rPr>
        <w:t>Staphylococcus aureus</w:t>
      </w:r>
      <w:r w:rsidR="000130C8" w:rsidRPr="00A837CE">
        <w:t xml:space="preserve"> (</w:t>
      </w:r>
      <w:r w:rsidR="009A4E07" w:rsidRPr="00A837CE">
        <w:t>n</w:t>
      </w:r>
      <w:r w:rsidR="00C2772C" w:rsidRPr="00A837CE">
        <w:t> </w:t>
      </w:r>
      <w:r w:rsidR="009A4E07" w:rsidRPr="00A837CE">
        <w:t>=</w:t>
      </w:r>
      <w:r w:rsidR="00C2772C" w:rsidRPr="00A837CE">
        <w:t> </w:t>
      </w:r>
      <w:r w:rsidR="009A4E07" w:rsidRPr="00A837CE">
        <w:t xml:space="preserve">23, </w:t>
      </w:r>
      <w:r w:rsidR="000130C8" w:rsidRPr="00A837CE">
        <w:t>8.5%)</w:t>
      </w:r>
      <w:r w:rsidR="00286278" w:rsidRPr="00A837CE">
        <w:t>.</w:t>
      </w:r>
    </w:p>
    <w:p w14:paraId="041B9349" w14:textId="288C38A4" w:rsidR="000130C8" w:rsidRPr="00105E40" w:rsidRDefault="000130C8" w:rsidP="00A837CE">
      <w:pPr>
        <w:pStyle w:val="Bulletlist"/>
        <w:spacing w:after="40"/>
        <w:ind w:left="568" w:hanging="284"/>
      </w:pPr>
      <w:r w:rsidRPr="00105E40">
        <w:t>The greatest increase in reported CARs compared to the same period in 2018 was for CPE</w:t>
      </w:r>
      <w:r w:rsidR="00B1246C">
        <w:t xml:space="preserve"> </w:t>
      </w:r>
      <w:r w:rsidRPr="00105E40">
        <w:t>(</w:t>
      </w:r>
      <w:r w:rsidR="00B1246C">
        <w:t xml:space="preserve">alone or in combination with ribosomal </w:t>
      </w:r>
      <w:r w:rsidR="00CF2528">
        <w:t>methyltransferase</w:t>
      </w:r>
      <w:r w:rsidRPr="00105E40">
        <w:t>)</w:t>
      </w:r>
      <w:r w:rsidR="00286278">
        <w:t xml:space="preserve">, </w:t>
      </w:r>
      <w:r w:rsidRPr="00105E40">
        <w:t>which increased by 53%</w:t>
      </w:r>
      <w:r>
        <w:t>.</w:t>
      </w:r>
    </w:p>
    <w:p w14:paraId="30EE1124" w14:textId="096BF1CC" w:rsidR="000130C8" w:rsidRPr="005601BA" w:rsidRDefault="000130C8" w:rsidP="00A837CE">
      <w:pPr>
        <w:pStyle w:val="Bulletlist"/>
        <w:spacing w:after="40"/>
        <w:ind w:left="568" w:hanging="284"/>
      </w:pPr>
      <w:r>
        <w:t>Reported</w:t>
      </w:r>
      <w:r w:rsidRPr="007815E9">
        <w:t xml:space="preserve"> CARs </w:t>
      </w:r>
      <w:r>
        <w:t>which increased in number, compared to the previous two-month period</w:t>
      </w:r>
      <w:r w:rsidR="00FC626E">
        <w:t>,</w:t>
      </w:r>
      <w:r>
        <w:t xml:space="preserve"> were</w:t>
      </w:r>
      <w:r w:rsidR="00CF2528">
        <w:t>:</w:t>
      </w:r>
      <w:r>
        <w:t xml:space="preserve"> </w:t>
      </w:r>
      <w:r w:rsidRPr="007815E9">
        <w:t>CPE (</w:t>
      </w:r>
      <w:r w:rsidRPr="00A837CE">
        <w:t>n</w:t>
      </w:r>
      <w:r w:rsidR="00FC626E">
        <w:t> </w:t>
      </w:r>
      <w:r w:rsidRPr="007815E9">
        <w:t>=</w:t>
      </w:r>
      <w:r w:rsidR="00FC626E">
        <w:t> </w:t>
      </w:r>
      <w:r w:rsidRPr="003121D7">
        <w:t>156</w:t>
      </w:r>
      <w:r w:rsidR="00FC626E">
        <w:t>,</w:t>
      </w:r>
      <w:r w:rsidRPr="007815E9">
        <w:t xml:space="preserve"> </w:t>
      </w:r>
      <w:r w:rsidR="00A837CE">
        <w:t xml:space="preserve">up </w:t>
      </w:r>
      <w:r>
        <w:t>16</w:t>
      </w:r>
      <w:r w:rsidRPr="007815E9">
        <w:t>%</w:t>
      </w:r>
      <w:r>
        <w:t>)</w:t>
      </w:r>
      <w:r w:rsidRPr="007815E9">
        <w:t xml:space="preserve">, </w:t>
      </w:r>
      <w:r w:rsidR="005601BA" w:rsidRPr="00A837CE">
        <w:t>l</w:t>
      </w:r>
      <w:r w:rsidRPr="00A837CE">
        <w:t>inezolid</w:t>
      </w:r>
      <w:r w:rsidR="005F17AF">
        <w:t xml:space="preserve"> </w:t>
      </w:r>
      <w:r w:rsidRPr="00A837CE">
        <w:t>non</w:t>
      </w:r>
      <w:r w:rsidR="005F17AF">
        <w:t>-</w:t>
      </w:r>
      <w:r w:rsidRPr="00A837CE">
        <w:t xml:space="preserve">susceptible </w:t>
      </w:r>
      <w:r w:rsidRPr="00A837CE">
        <w:rPr>
          <w:i/>
        </w:rPr>
        <w:t>Enterococcus</w:t>
      </w:r>
      <w:r w:rsidRPr="007815E9">
        <w:t xml:space="preserve"> species (</w:t>
      </w:r>
      <w:r w:rsidRPr="00A837CE">
        <w:t>n</w:t>
      </w:r>
      <w:r w:rsidR="00FC626E">
        <w:t> </w:t>
      </w:r>
      <w:r w:rsidRPr="007815E9">
        <w:t>=</w:t>
      </w:r>
      <w:r w:rsidR="00FC626E">
        <w:t> </w:t>
      </w:r>
      <w:r w:rsidRPr="007815E9">
        <w:t>2</w:t>
      </w:r>
      <w:r w:rsidR="00FC626E">
        <w:t>,</w:t>
      </w:r>
      <w:r>
        <w:t xml:space="preserve"> up 100%</w:t>
      </w:r>
      <w:r w:rsidRPr="007815E9">
        <w:t>), m</w:t>
      </w:r>
      <w:r w:rsidRPr="00A837CE">
        <w:t xml:space="preserve">ultidrug-resistant </w:t>
      </w:r>
      <w:r w:rsidR="00FC626E" w:rsidRPr="00A837CE">
        <w:rPr>
          <w:i/>
        </w:rPr>
        <w:t>Mycobacterium tuberculosis</w:t>
      </w:r>
      <w:r w:rsidRPr="00A837CE">
        <w:rPr>
          <w:i/>
        </w:rPr>
        <w:t xml:space="preserve"> </w:t>
      </w:r>
      <w:r w:rsidRPr="00A837CE">
        <w:t>(n</w:t>
      </w:r>
      <w:r w:rsidR="00FC626E" w:rsidRPr="00A837CE">
        <w:t> </w:t>
      </w:r>
      <w:r w:rsidRPr="00A837CE">
        <w:t>=</w:t>
      </w:r>
      <w:r w:rsidR="00FC626E" w:rsidRPr="00A837CE">
        <w:t> </w:t>
      </w:r>
      <w:r w:rsidRPr="00A837CE">
        <w:t>2, up 100%) and daptomycin</w:t>
      </w:r>
      <w:r w:rsidR="005F17AF">
        <w:t xml:space="preserve"> </w:t>
      </w:r>
      <w:r w:rsidRPr="00A837CE">
        <w:t>non</w:t>
      </w:r>
      <w:r w:rsidR="005F17AF">
        <w:t>-</w:t>
      </w:r>
      <w:r w:rsidRPr="00A837CE">
        <w:t xml:space="preserve">susceptible </w:t>
      </w:r>
      <w:r w:rsidR="00062EE2" w:rsidRPr="00A837CE">
        <w:rPr>
          <w:i/>
        </w:rPr>
        <w:t>S.</w:t>
      </w:r>
      <w:r w:rsidR="00062EE2" w:rsidRPr="00A837CE">
        <w:t xml:space="preserve">  </w:t>
      </w:r>
      <w:proofErr w:type="gramStart"/>
      <w:r w:rsidRPr="00A837CE">
        <w:t>aureus</w:t>
      </w:r>
      <w:proofErr w:type="gramEnd"/>
      <w:r w:rsidRPr="00A837CE">
        <w:t xml:space="preserve"> (n</w:t>
      </w:r>
      <w:r w:rsidR="00FC626E" w:rsidRPr="00A837CE">
        <w:t> </w:t>
      </w:r>
      <w:r w:rsidRPr="00A837CE">
        <w:t>=</w:t>
      </w:r>
      <w:r w:rsidR="00FC626E" w:rsidRPr="00A837CE">
        <w:t> </w:t>
      </w:r>
      <w:r w:rsidRPr="00A837CE">
        <w:t>23, up 9.</w:t>
      </w:r>
      <w:r w:rsidR="00FC626E" w:rsidRPr="00A837CE">
        <w:t>5</w:t>
      </w:r>
      <w:r w:rsidRPr="00A837CE">
        <w:t>%)</w:t>
      </w:r>
      <w:r w:rsidR="005601BA" w:rsidRPr="00A837CE">
        <w:t>.</w:t>
      </w:r>
    </w:p>
    <w:p w14:paraId="6EAB8E56" w14:textId="7AED9B9F" w:rsidR="005601BA" w:rsidRPr="005601BA" w:rsidRDefault="005601BA" w:rsidP="00A837CE">
      <w:pPr>
        <w:pStyle w:val="Bulletlist"/>
        <w:spacing w:after="40"/>
        <w:ind w:left="568" w:hanging="284"/>
      </w:pPr>
      <w:r w:rsidRPr="00A837CE">
        <w:t xml:space="preserve">There was a </w:t>
      </w:r>
      <w:r w:rsidR="009A4E07" w:rsidRPr="00A837CE">
        <w:t>decrease</w:t>
      </w:r>
      <w:r w:rsidRPr="00A837CE">
        <w:t xml:space="preserve"> in the number of reported ceftriaxone non-susceptible </w:t>
      </w:r>
      <w:r w:rsidRPr="00A837CE">
        <w:rPr>
          <w:i/>
        </w:rPr>
        <w:t>Salmonella</w:t>
      </w:r>
      <w:r w:rsidRPr="00A837CE">
        <w:t xml:space="preserve"> species (n</w:t>
      </w:r>
      <w:r w:rsidR="00062EE2" w:rsidRPr="00A837CE">
        <w:t> </w:t>
      </w:r>
      <w:r w:rsidRPr="00A837CE">
        <w:t>=</w:t>
      </w:r>
      <w:r w:rsidR="00062EE2" w:rsidRPr="00A837CE">
        <w:t> </w:t>
      </w:r>
      <w:r w:rsidRPr="00A837CE">
        <w:t xml:space="preserve">4, down 33.3%) and multidrug-resistant </w:t>
      </w:r>
      <w:r w:rsidRPr="00A837CE">
        <w:rPr>
          <w:i/>
        </w:rPr>
        <w:t>Shigella</w:t>
      </w:r>
      <w:r w:rsidRPr="00A837CE">
        <w:t xml:space="preserve"> </w:t>
      </w:r>
      <w:r w:rsidR="00062EE2" w:rsidRPr="00A837CE">
        <w:t xml:space="preserve">species </w:t>
      </w:r>
      <w:r w:rsidRPr="00A837CE">
        <w:t>(n</w:t>
      </w:r>
      <w:r w:rsidR="00062EE2" w:rsidRPr="00A837CE">
        <w:t> </w:t>
      </w:r>
      <w:r w:rsidRPr="00A837CE">
        <w:t>=</w:t>
      </w:r>
      <w:r w:rsidR="00062EE2" w:rsidRPr="00A837CE">
        <w:t> </w:t>
      </w:r>
      <w:r w:rsidRPr="00A837CE">
        <w:t>12, down 33.3%)</w:t>
      </w:r>
    </w:p>
    <w:p w14:paraId="38145FB4" w14:textId="5518D5C8" w:rsidR="000130C8" w:rsidRDefault="000130C8" w:rsidP="00A837CE">
      <w:pPr>
        <w:pStyle w:val="Bulletlist"/>
        <w:ind w:left="568" w:hanging="284"/>
      </w:pPr>
      <w:r>
        <w:t>The majority of CARs were reported from public hospitals (n</w:t>
      </w:r>
      <w:r w:rsidR="00062EE2">
        <w:t> </w:t>
      </w:r>
      <w:r>
        <w:t>=</w:t>
      </w:r>
      <w:r w:rsidR="00062EE2">
        <w:t> </w:t>
      </w:r>
      <w:r>
        <w:t>183). There were 17 reports from private hospitals, 55 from community</w:t>
      </w:r>
      <w:r w:rsidR="00A837CE">
        <w:t xml:space="preserve"> settings</w:t>
      </w:r>
      <w:r w:rsidR="00062EE2">
        <w:t>,</w:t>
      </w:r>
      <w:r>
        <w:t xml:space="preserve"> and </w:t>
      </w:r>
      <w:r w:rsidR="00062EE2">
        <w:t>four</w:t>
      </w:r>
      <w:r>
        <w:t xml:space="preserve"> from aged care homes (</w:t>
      </w:r>
      <w:r w:rsidR="00062EE2">
        <w:t xml:space="preserve">three </w:t>
      </w:r>
      <w:r>
        <w:t>daptomycin</w:t>
      </w:r>
      <w:r w:rsidR="005F17AF">
        <w:t xml:space="preserve"> </w:t>
      </w:r>
      <w:r>
        <w:t>non</w:t>
      </w:r>
      <w:r w:rsidR="005F17AF">
        <w:t>-</w:t>
      </w:r>
      <w:r>
        <w:t xml:space="preserve">susceptible </w:t>
      </w:r>
      <w:r w:rsidR="00062EE2" w:rsidRPr="007815E9">
        <w:rPr>
          <w:rFonts w:asciiTheme="minorHAnsi" w:hAnsiTheme="minorHAnsi" w:cstheme="minorHAnsi"/>
          <w:i/>
          <w:iCs/>
          <w:szCs w:val="22"/>
        </w:rPr>
        <w:t>S</w:t>
      </w:r>
      <w:r w:rsidR="00062EE2">
        <w:rPr>
          <w:rFonts w:asciiTheme="minorHAnsi" w:hAnsiTheme="minorHAnsi" w:cstheme="minorHAnsi"/>
          <w:i/>
          <w:iCs/>
          <w:szCs w:val="22"/>
        </w:rPr>
        <w:t>. </w:t>
      </w:r>
      <w:r w:rsidR="00062EE2" w:rsidRPr="007815E9">
        <w:rPr>
          <w:rFonts w:asciiTheme="minorHAnsi" w:hAnsiTheme="minorHAnsi" w:cstheme="minorHAnsi"/>
          <w:i/>
          <w:iCs/>
          <w:szCs w:val="22"/>
        </w:rPr>
        <w:t xml:space="preserve"> </w:t>
      </w:r>
      <w:proofErr w:type="gramStart"/>
      <w:r w:rsidRPr="007815E9">
        <w:rPr>
          <w:rFonts w:asciiTheme="minorHAnsi" w:hAnsiTheme="minorHAnsi" w:cstheme="minorHAnsi"/>
          <w:i/>
          <w:iCs/>
          <w:szCs w:val="22"/>
        </w:rPr>
        <w:t>aureus</w:t>
      </w:r>
      <w:proofErr w:type="gramEnd"/>
      <w:r w:rsidR="00A837CE">
        <w:rPr>
          <w:rFonts w:asciiTheme="minorHAnsi" w:hAnsiTheme="minorHAnsi" w:cstheme="minorHAnsi"/>
          <w:iCs/>
          <w:szCs w:val="22"/>
        </w:rPr>
        <w:t xml:space="preserve"> and one CPE</w:t>
      </w:r>
      <w:r w:rsidRPr="008B05F4">
        <w:rPr>
          <w:rFonts w:cstheme="minorHAnsi"/>
          <w:iCs/>
        </w:rPr>
        <w:t>)</w:t>
      </w:r>
      <w:r w:rsidR="008B05F4">
        <w:t>.</w:t>
      </w:r>
    </w:p>
    <w:p w14:paraId="28AB7DEF" w14:textId="44DDBBFB" w:rsidR="000130C8" w:rsidRPr="006860A0" w:rsidRDefault="00882570" w:rsidP="006860A0">
      <w:pPr>
        <w:pStyle w:val="Normal-beforebullets"/>
        <w:rPr>
          <w:b/>
        </w:rPr>
      </w:pPr>
      <w:r w:rsidRPr="006860A0">
        <w:rPr>
          <w:b/>
        </w:rPr>
        <w:t>Carbapenemase</w:t>
      </w:r>
      <w:r w:rsidR="000130C8" w:rsidRPr="006860A0">
        <w:rPr>
          <w:b/>
        </w:rPr>
        <w:t xml:space="preserve">-producing </w:t>
      </w:r>
      <w:r w:rsidRPr="006860A0">
        <w:rPr>
          <w:b/>
        </w:rPr>
        <w:t>Enterobacterales</w:t>
      </w:r>
      <w:r w:rsidR="000A0A1E" w:rsidRPr="006860A0">
        <w:rPr>
          <w:b/>
        </w:rPr>
        <w:t xml:space="preserve"> (CPE):</w:t>
      </w:r>
    </w:p>
    <w:p w14:paraId="53EF1166" w14:textId="10B531C1" w:rsidR="00A312CD" w:rsidRPr="00A837CE" w:rsidRDefault="007C08EB" w:rsidP="008B05F4">
      <w:pPr>
        <w:pStyle w:val="Bulletlist"/>
        <w:spacing w:after="40"/>
        <w:ind w:left="568" w:hanging="284"/>
      </w:pPr>
      <w:r w:rsidRPr="003A7A14">
        <w:t>IMP (67.3</w:t>
      </w:r>
      <w:r>
        <w:t>%), NDM (20.5</w:t>
      </w:r>
      <w:r w:rsidRPr="003A7A14">
        <w:t xml:space="preserve">%), OXA-48-like (5.1%), and NDM+OXA-48-like </w:t>
      </w:r>
      <w:r>
        <w:t>(4.5</w:t>
      </w:r>
      <w:r w:rsidRPr="003A7A14">
        <w:t>%) types accounted for 97.4</w:t>
      </w:r>
      <w:r>
        <w:t>%</w:t>
      </w:r>
      <w:r w:rsidRPr="003A7A14">
        <w:t xml:space="preserve"> of all CPE reported during this period</w:t>
      </w:r>
      <w:r>
        <w:t xml:space="preserve">. Non-IMP types, </w:t>
      </w:r>
      <w:r w:rsidR="006B461C">
        <w:t xml:space="preserve">which are </w:t>
      </w:r>
      <w:r>
        <w:t>often acquired overseas</w:t>
      </w:r>
      <w:r w:rsidR="00A312CD">
        <w:t>,</w:t>
      </w:r>
      <w:r>
        <w:t xml:space="preserve"> comprise approximately 1 in 3 CPE this reporting period. </w:t>
      </w:r>
    </w:p>
    <w:p w14:paraId="32233AA3" w14:textId="24B320D4" w:rsidR="000130C8" w:rsidRPr="00A837CE" w:rsidRDefault="006B461C" w:rsidP="008B05F4">
      <w:pPr>
        <w:pStyle w:val="Bulletlist"/>
        <w:spacing w:after="40"/>
        <w:ind w:left="568" w:hanging="284"/>
      </w:pPr>
      <w:r w:rsidRPr="00A837CE">
        <w:t>Forty-seven percent</w:t>
      </w:r>
      <w:r w:rsidR="000130C8" w:rsidRPr="00A837CE">
        <w:t xml:space="preserve"> </w:t>
      </w:r>
      <w:r w:rsidRPr="00A837CE">
        <w:t xml:space="preserve">of CPE </w:t>
      </w:r>
      <w:r w:rsidR="000130C8" w:rsidRPr="00A837CE">
        <w:t xml:space="preserve">were from clinical specimens, although differences were seen between states and territories. </w:t>
      </w:r>
    </w:p>
    <w:p w14:paraId="5BE31A91" w14:textId="07BCEDDD" w:rsidR="00C80FC4" w:rsidRPr="00A837CE" w:rsidRDefault="00C80FC4" w:rsidP="008B05F4">
      <w:pPr>
        <w:pStyle w:val="Bulletlist"/>
        <w:spacing w:after="40"/>
        <w:ind w:left="568" w:hanging="284"/>
      </w:pPr>
      <w:r w:rsidRPr="00A837CE">
        <w:t xml:space="preserve">The highest number </w:t>
      </w:r>
      <w:r w:rsidR="00CF2528">
        <w:t xml:space="preserve">of CPE </w:t>
      </w:r>
      <w:r w:rsidR="000A0A1E" w:rsidRPr="00A837CE">
        <w:t>reported</w:t>
      </w:r>
      <w:r w:rsidRPr="00A837CE">
        <w:t xml:space="preserve"> was from Victoria (n</w:t>
      </w:r>
      <w:r w:rsidR="006B461C" w:rsidRPr="00A837CE">
        <w:t> </w:t>
      </w:r>
      <w:r w:rsidRPr="00A837CE">
        <w:t>=</w:t>
      </w:r>
      <w:r w:rsidR="006B461C" w:rsidRPr="00A837CE">
        <w:t> </w:t>
      </w:r>
      <w:r w:rsidRPr="00A837CE">
        <w:t>70, 44.9%), wh</w:t>
      </w:r>
      <w:r w:rsidR="00CF2528">
        <w:t>ich</w:t>
      </w:r>
      <w:r w:rsidRPr="00A837CE">
        <w:t xml:space="preserve"> also had the highest proportion of screening</w:t>
      </w:r>
      <w:r w:rsidR="00CF2528">
        <w:t xml:space="preserve"> isolates reported; o</w:t>
      </w:r>
      <w:r w:rsidR="00A312CD" w:rsidRPr="00A837CE">
        <w:t xml:space="preserve">ne facility accounted for </w:t>
      </w:r>
      <w:r w:rsidR="00596677" w:rsidRPr="00A837CE">
        <w:t xml:space="preserve">62.9% </w:t>
      </w:r>
      <w:r w:rsidR="00A312CD" w:rsidRPr="00A837CE">
        <w:t>of all CPE</w:t>
      </w:r>
      <w:r w:rsidR="00596677" w:rsidRPr="00A837CE">
        <w:t xml:space="preserve"> </w:t>
      </w:r>
      <w:r w:rsidR="00CF2528">
        <w:t xml:space="preserve">reported for </w:t>
      </w:r>
      <w:r w:rsidR="00596677" w:rsidRPr="00A837CE">
        <w:t>this state.</w:t>
      </w:r>
    </w:p>
    <w:p w14:paraId="5C25CF42" w14:textId="75FDF399" w:rsidR="000130C8" w:rsidRPr="00A837CE" w:rsidRDefault="00C80FC4" w:rsidP="008B05F4">
      <w:pPr>
        <w:pStyle w:val="Bulletlist"/>
        <w:spacing w:after="40"/>
        <w:ind w:left="568" w:hanging="284"/>
      </w:pPr>
      <w:r w:rsidRPr="00A837CE">
        <w:t xml:space="preserve">There was an increase in the number of </w:t>
      </w:r>
      <w:r w:rsidR="0049522B" w:rsidRPr="00A837CE">
        <w:t xml:space="preserve">NDM-types from </w:t>
      </w:r>
      <w:r w:rsidRPr="00A837CE">
        <w:t xml:space="preserve">screening </w:t>
      </w:r>
      <w:r w:rsidR="00EF506D" w:rsidRPr="00A837CE">
        <w:t>specimens</w:t>
      </w:r>
      <w:r w:rsidRPr="00A837CE">
        <w:t xml:space="preserve"> (</w:t>
      </w:r>
      <w:r w:rsidR="000130C8" w:rsidRPr="00A837CE">
        <w:t>n = </w:t>
      </w:r>
      <w:r w:rsidR="00EF506D" w:rsidRPr="00A837CE">
        <w:t>1</w:t>
      </w:r>
      <w:r w:rsidR="000130C8" w:rsidRPr="00A837CE">
        <w:t>6</w:t>
      </w:r>
      <w:r w:rsidRPr="00A837CE">
        <w:t>) compared</w:t>
      </w:r>
      <w:r w:rsidR="00CF2528">
        <w:t xml:space="preserve"> to</w:t>
      </w:r>
      <w:r w:rsidRPr="00A837CE">
        <w:t xml:space="preserve"> the same period in 2018 (</w:t>
      </w:r>
      <w:r w:rsidR="000130C8" w:rsidRPr="00A837CE">
        <w:t>n = 6</w:t>
      </w:r>
      <w:r w:rsidRPr="00A837CE">
        <w:t>)</w:t>
      </w:r>
      <w:r w:rsidR="00EF506D" w:rsidRPr="00A837CE">
        <w:t>;</w:t>
      </w:r>
      <w:r w:rsidRPr="00A837CE">
        <w:t xml:space="preserve"> and </w:t>
      </w:r>
      <w:r w:rsidR="000130C8" w:rsidRPr="00A837CE">
        <w:t>IMP type</w:t>
      </w:r>
      <w:r w:rsidR="00EF506D" w:rsidRPr="00A837CE">
        <w:t>s</w:t>
      </w:r>
      <w:r w:rsidR="000130C8" w:rsidRPr="00A837CE">
        <w:t xml:space="preserve"> (n = </w:t>
      </w:r>
      <w:r w:rsidR="00EF506D" w:rsidRPr="00A837CE">
        <w:t>56</w:t>
      </w:r>
      <w:r w:rsidRPr="00A837CE">
        <w:t>) compared to the same</w:t>
      </w:r>
      <w:r w:rsidR="001017CD" w:rsidRPr="00A837CE">
        <w:t xml:space="preserve"> </w:t>
      </w:r>
      <w:r w:rsidRPr="00A837CE">
        <w:t>period in 2018 (</w:t>
      </w:r>
      <w:r w:rsidR="000130C8" w:rsidRPr="00A837CE">
        <w:t>n = </w:t>
      </w:r>
      <w:r w:rsidR="00EF506D" w:rsidRPr="00A837CE">
        <w:t>22</w:t>
      </w:r>
      <w:r w:rsidRPr="00A837CE">
        <w:t xml:space="preserve">). </w:t>
      </w:r>
    </w:p>
    <w:p w14:paraId="58167234" w14:textId="19B0CED7" w:rsidR="00D525BC" w:rsidRPr="00A837CE" w:rsidRDefault="00EF506D" w:rsidP="008B05F4">
      <w:pPr>
        <w:pStyle w:val="Bulletlist"/>
        <w:spacing w:after="40"/>
        <w:ind w:left="568" w:hanging="284"/>
      </w:pPr>
      <w:r w:rsidRPr="00A837CE">
        <w:t xml:space="preserve">CPE was </w:t>
      </w:r>
      <w:r w:rsidR="00C80FC4" w:rsidRPr="00A837CE">
        <w:t>reported across all sectors</w:t>
      </w:r>
      <w:r w:rsidR="00CD6337" w:rsidRPr="00A837CE">
        <w:t xml:space="preserve">; </w:t>
      </w:r>
      <w:r w:rsidR="00C80FC4" w:rsidRPr="00A837CE">
        <w:t>public hospitals, n</w:t>
      </w:r>
      <w:r w:rsidRPr="00A837CE">
        <w:t> </w:t>
      </w:r>
      <w:r w:rsidR="00C80FC4" w:rsidRPr="00A837CE">
        <w:t>=</w:t>
      </w:r>
      <w:r w:rsidRPr="00A837CE">
        <w:t> </w:t>
      </w:r>
      <w:r w:rsidR="00C80FC4" w:rsidRPr="00A837CE">
        <w:t>126</w:t>
      </w:r>
      <w:r w:rsidR="00CD6337" w:rsidRPr="00A837CE">
        <w:t xml:space="preserve"> (</w:t>
      </w:r>
      <w:r w:rsidR="00C80FC4" w:rsidRPr="00A837CE">
        <w:t>80.8%</w:t>
      </w:r>
      <w:r w:rsidR="00CD6337" w:rsidRPr="00A837CE">
        <w:t>),</w:t>
      </w:r>
      <w:r w:rsidR="00C80FC4" w:rsidRPr="00A837CE">
        <w:t xml:space="preserve"> private hospitals n</w:t>
      </w:r>
      <w:r w:rsidRPr="00A837CE">
        <w:rPr>
          <w:rFonts w:asciiTheme="minorHAnsi" w:hAnsiTheme="minorHAnsi" w:cs="Arial"/>
        </w:rPr>
        <w:t> </w:t>
      </w:r>
      <w:r w:rsidR="00C80FC4" w:rsidRPr="00A837CE">
        <w:rPr>
          <w:rFonts w:asciiTheme="minorHAnsi" w:hAnsiTheme="minorHAnsi" w:cs="Arial"/>
        </w:rPr>
        <w:t>=</w:t>
      </w:r>
      <w:r w:rsidRPr="00A837CE">
        <w:rPr>
          <w:rFonts w:asciiTheme="minorHAnsi" w:hAnsiTheme="minorHAnsi" w:cs="Arial"/>
        </w:rPr>
        <w:t> </w:t>
      </w:r>
      <w:r w:rsidR="00C80FC4" w:rsidRPr="00A837CE">
        <w:rPr>
          <w:rFonts w:asciiTheme="minorHAnsi" w:hAnsiTheme="minorHAnsi" w:cs="Arial"/>
        </w:rPr>
        <w:t>15</w:t>
      </w:r>
      <w:r w:rsidR="00CD6337" w:rsidRPr="00A837CE">
        <w:rPr>
          <w:rFonts w:asciiTheme="minorHAnsi" w:hAnsiTheme="minorHAnsi" w:cs="Arial"/>
        </w:rPr>
        <w:t>(9.6</w:t>
      </w:r>
      <w:r w:rsidR="00C80FC4" w:rsidRPr="00A837CE">
        <w:rPr>
          <w:rFonts w:asciiTheme="minorHAnsi" w:hAnsiTheme="minorHAnsi" w:cs="Arial"/>
        </w:rPr>
        <w:t>%</w:t>
      </w:r>
      <w:r w:rsidR="00CD6337" w:rsidRPr="00A837CE">
        <w:rPr>
          <w:rFonts w:asciiTheme="minorHAnsi" w:hAnsiTheme="minorHAnsi" w:cs="Arial"/>
        </w:rPr>
        <w:t>),</w:t>
      </w:r>
      <w:r w:rsidR="00C80FC4" w:rsidRPr="00A837CE">
        <w:rPr>
          <w:rFonts w:asciiTheme="minorHAnsi" w:hAnsiTheme="minorHAnsi" w:cs="Arial"/>
        </w:rPr>
        <w:t xml:space="preserve"> community, </w:t>
      </w:r>
      <w:r w:rsidR="00C80FC4" w:rsidRPr="00A837CE">
        <w:t>n</w:t>
      </w:r>
      <w:r w:rsidRPr="00A837CE">
        <w:t> </w:t>
      </w:r>
      <w:r w:rsidR="00C80FC4" w:rsidRPr="00A837CE">
        <w:t>=</w:t>
      </w:r>
      <w:r w:rsidRPr="00A837CE">
        <w:t> </w:t>
      </w:r>
      <w:r w:rsidR="00C80FC4" w:rsidRPr="00A837CE">
        <w:t xml:space="preserve">8 </w:t>
      </w:r>
      <w:r w:rsidR="00CD6337" w:rsidRPr="00A837CE">
        <w:t>(</w:t>
      </w:r>
      <w:r w:rsidR="00C80FC4" w:rsidRPr="00A837CE">
        <w:t>5.</w:t>
      </w:r>
      <w:r w:rsidR="00CD6337" w:rsidRPr="00A837CE">
        <w:t>1</w:t>
      </w:r>
      <w:r w:rsidR="00C80FC4" w:rsidRPr="00A837CE">
        <w:t>%</w:t>
      </w:r>
      <w:r w:rsidR="00CD6337" w:rsidRPr="00A837CE">
        <w:t>),</w:t>
      </w:r>
      <w:r w:rsidR="00C80FC4" w:rsidRPr="00A837CE">
        <w:t xml:space="preserve"> aged care, n</w:t>
      </w:r>
      <w:r w:rsidRPr="00A837CE">
        <w:t> </w:t>
      </w:r>
      <w:r w:rsidR="00C80FC4" w:rsidRPr="00A837CE">
        <w:t>=</w:t>
      </w:r>
      <w:r w:rsidRPr="00A837CE">
        <w:t> </w:t>
      </w:r>
      <w:r w:rsidR="00C80FC4" w:rsidRPr="00A837CE">
        <w:t xml:space="preserve">1 </w:t>
      </w:r>
      <w:r w:rsidR="00CD6337" w:rsidRPr="00A837CE">
        <w:t>(</w:t>
      </w:r>
      <w:r w:rsidR="00C80FC4" w:rsidRPr="00A837CE">
        <w:t>0.6%</w:t>
      </w:r>
      <w:r w:rsidR="00CD6337" w:rsidRPr="00A837CE">
        <w:t>)</w:t>
      </w:r>
      <w:r w:rsidR="001E2697">
        <w:t>.</w:t>
      </w:r>
    </w:p>
    <w:p w14:paraId="18D2966E" w14:textId="0C6733AA" w:rsidR="000130C8" w:rsidRPr="00A837CE" w:rsidRDefault="00D525BC" w:rsidP="008B05F4">
      <w:pPr>
        <w:pStyle w:val="Bulletlist"/>
        <w:spacing w:after="40"/>
        <w:ind w:left="568" w:hanging="284"/>
      </w:pPr>
      <w:r w:rsidRPr="00A837CE">
        <w:t>Nine</w:t>
      </w:r>
      <w:r w:rsidR="000130C8" w:rsidRPr="00A837CE">
        <w:t xml:space="preserve"> hospitals had more than </w:t>
      </w:r>
      <w:r w:rsidRPr="00A837CE">
        <w:t>two</w:t>
      </w:r>
      <w:r w:rsidR="000130C8" w:rsidRPr="00A837CE">
        <w:t xml:space="preserve"> notifications of </w:t>
      </w:r>
      <w:r w:rsidR="00AF49AF" w:rsidRPr="00A837CE">
        <w:t>IMP-types</w:t>
      </w:r>
      <w:r w:rsidR="000130C8" w:rsidRPr="00A837CE">
        <w:t xml:space="preserve">. These institutions were in New South Wales (n = 6), Victoria (n = 2), and Queensland (n = 1). </w:t>
      </w:r>
      <w:r w:rsidR="00AF49AF" w:rsidRPr="00A837CE">
        <w:t>Two of these institutions (one in New South Wales, and one in Victoria) also had more than two notification</w:t>
      </w:r>
      <w:r w:rsidR="002B4B1E">
        <w:t>s</w:t>
      </w:r>
      <w:r w:rsidR="00AF49AF" w:rsidRPr="00A837CE">
        <w:t xml:space="preserve"> of NDM-types. </w:t>
      </w:r>
    </w:p>
    <w:p w14:paraId="4AA1814B" w14:textId="370D8CBC" w:rsidR="00951507" w:rsidRPr="00951507" w:rsidRDefault="00820174" w:rsidP="00A837CE">
      <w:pPr>
        <w:pStyle w:val="Bulletlist"/>
        <w:rPr>
          <w:rFonts w:cs="Arial"/>
          <w:b/>
        </w:rPr>
      </w:pPr>
      <w:r w:rsidRPr="00820174">
        <w:t xml:space="preserve">Two-year trends show </w:t>
      </w:r>
      <w:r>
        <w:t xml:space="preserve">an </w:t>
      </w:r>
      <w:r w:rsidRPr="00820174">
        <w:t>increase in IMP</w:t>
      </w:r>
      <w:r w:rsidR="005F17AF">
        <w:t>-</w:t>
      </w:r>
      <w:r w:rsidRPr="00820174">
        <w:t>type</w:t>
      </w:r>
      <w:r w:rsidR="00557B62">
        <w:t>s</w:t>
      </w:r>
      <w:r w:rsidRPr="00820174">
        <w:t xml:space="preserve"> in New South Wales, </w:t>
      </w:r>
      <w:r w:rsidR="00557B62">
        <w:t xml:space="preserve">and </w:t>
      </w:r>
      <w:r w:rsidRPr="00820174">
        <w:t>Victoria</w:t>
      </w:r>
      <w:r w:rsidR="00557B62">
        <w:t xml:space="preserve">; </w:t>
      </w:r>
      <w:r>
        <w:t xml:space="preserve">an </w:t>
      </w:r>
      <w:r w:rsidRPr="00820174">
        <w:t xml:space="preserve">upward trend in </w:t>
      </w:r>
      <w:r w:rsidR="00557B62">
        <w:t xml:space="preserve">both IMP- and </w:t>
      </w:r>
      <w:r w:rsidRPr="00820174">
        <w:t>NDM</w:t>
      </w:r>
      <w:r>
        <w:t>-</w:t>
      </w:r>
      <w:r w:rsidRPr="00820174">
        <w:t>type</w:t>
      </w:r>
      <w:r w:rsidR="00557B62">
        <w:t>s</w:t>
      </w:r>
      <w:r w:rsidRPr="00820174">
        <w:t xml:space="preserve"> in Queensland;</w:t>
      </w:r>
      <w:r>
        <w:t xml:space="preserve"> </w:t>
      </w:r>
      <w:r w:rsidRPr="00820174">
        <w:t>downward trend</w:t>
      </w:r>
      <w:r w:rsidR="00557B62">
        <w:t>s</w:t>
      </w:r>
      <w:r w:rsidRPr="00820174">
        <w:t xml:space="preserve"> in CPE reports in the ACT</w:t>
      </w:r>
      <w:r w:rsidR="005F17AF">
        <w:t xml:space="preserve">, </w:t>
      </w:r>
      <w:r w:rsidR="00557B62">
        <w:t xml:space="preserve">and </w:t>
      </w:r>
      <w:r w:rsidR="005F17AF">
        <w:t>sporadic reports in South Australia</w:t>
      </w:r>
      <w:r w:rsidRPr="00820174">
        <w:t xml:space="preserve"> </w:t>
      </w:r>
      <w:r w:rsidR="00557B62">
        <w:t xml:space="preserve">and Tasmania. There were </w:t>
      </w:r>
      <w:r w:rsidRPr="00820174">
        <w:t>no recent reports in the Northern Territory.</w:t>
      </w:r>
    </w:p>
    <w:p w14:paraId="61E1CB42" w14:textId="4AFE89A6" w:rsidR="000130C8" w:rsidRPr="005F17AF" w:rsidRDefault="000130C8" w:rsidP="005F17AF">
      <w:pPr>
        <w:pStyle w:val="Bulletlist"/>
        <w:numPr>
          <w:ilvl w:val="0"/>
          <w:numId w:val="0"/>
        </w:numPr>
        <w:ind w:left="284"/>
        <w:rPr>
          <w:rFonts w:cs="Arial"/>
          <w:b/>
        </w:rPr>
      </w:pPr>
      <w:r w:rsidRPr="005F17AF">
        <w:rPr>
          <w:b/>
        </w:rPr>
        <w:t xml:space="preserve">Azithromycin non-susceptible (low-level resistance, MIC </w:t>
      </w:r>
      <w:r w:rsidRPr="005F17AF">
        <w:rPr>
          <w:rFonts w:cstheme="minorHAnsi"/>
          <w:b/>
        </w:rPr>
        <w:t>≤</w:t>
      </w:r>
      <w:r w:rsidRPr="005F17AF">
        <w:rPr>
          <w:b/>
        </w:rPr>
        <w:t xml:space="preserve"> 256 mg/L) </w:t>
      </w:r>
      <w:r w:rsidR="000A0A1E" w:rsidRPr="005F17AF">
        <w:rPr>
          <w:b/>
          <w:i/>
        </w:rPr>
        <w:t>Neisseria gonorrhoeae</w:t>
      </w:r>
      <w:r w:rsidR="000A0A1E" w:rsidRPr="005F17AF">
        <w:rPr>
          <w:b/>
        </w:rPr>
        <w:t>:</w:t>
      </w:r>
    </w:p>
    <w:p w14:paraId="2E3F7FE4" w14:textId="6637A13E" w:rsidR="000130C8" w:rsidRPr="00A837CE" w:rsidRDefault="00EF7AED" w:rsidP="00A837CE">
      <w:pPr>
        <w:pStyle w:val="Bulletlist"/>
        <w:spacing w:after="40"/>
        <w:ind w:left="568" w:hanging="284"/>
      </w:pPr>
      <w:r>
        <w:t>The</w:t>
      </w:r>
      <w:r w:rsidR="005F17AF">
        <w:t>re was no change in the</w:t>
      </w:r>
      <w:r>
        <w:t xml:space="preserve"> number </w:t>
      </w:r>
      <w:r w:rsidR="008B05F4">
        <w:t xml:space="preserve">of this CAR </w:t>
      </w:r>
      <w:r>
        <w:t>reported</w:t>
      </w:r>
      <w:r w:rsidR="000130C8" w:rsidRPr="00A10B9D">
        <w:t xml:space="preserve"> </w:t>
      </w:r>
      <w:r w:rsidR="000130C8" w:rsidRPr="00AC457A">
        <w:t>(</w:t>
      </w:r>
      <w:r w:rsidR="000130C8" w:rsidRPr="00A837CE">
        <w:t>n </w:t>
      </w:r>
      <w:r w:rsidR="000130C8" w:rsidRPr="00AC457A">
        <w:t>= </w:t>
      </w:r>
      <w:r w:rsidR="000130C8">
        <w:t>71</w:t>
      </w:r>
      <w:r w:rsidR="000130C8" w:rsidRPr="00AC457A">
        <w:t>)</w:t>
      </w:r>
      <w:r w:rsidR="005F17AF">
        <w:t>,</w:t>
      </w:r>
      <w:r w:rsidR="000130C8">
        <w:t xml:space="preserve"> </w:t>
      </w:r>
      <w:r w:rsidR="005F17AF">
        <w:t xml:space="preserve">compared to </w:t>
      </w:r>
      <w:r>
        <w:t>the</w:t>
      </w:r>
      <w:r w:rsidR="000130C8">
        <w:t xml:space="preserve"> previous two-month reporting period</w:t>
      </w:r>
      <w:r w:rsidR="000130C8" w:rsidRPr="00AC457A">
        <w:t xml:space="preserve">. </w:t>
      </w:r>
    </w:p>
    <w:p w14:paraId="551A0A4B" w14:textId="7F31AE06" w:rsidR="000130C8" w:rsidRPr="00A837CE" w:rsidRDefault="000130C8" w:rsidP="00A837CE">
      <w:pPr>
        <w:pStyle w:val="Bulletlist"/>
        <w:spacing w:after="60"/>
        <w:ind w:left="568" w:hanging="284"/>
      </w:pPr>
      <w:r w:rsidRPr="00A837CE">
        <w:t>The majority of cases were reported from NSW (n</w:t>
      </w:r>
      <w:r w:rsidR="00C16DA0" w:rsidRPr="00A837CE">
        <w:t> </w:t>
      </w:r>
      <w:r w:rsidRPr="00A837CE">
        <w:t>=</w:t>
      </w:r>
      <w:r w:rsidR="00C16DA0" w:rsidRPr="00A837CE">
        <w:t> </w:t>
      </w:r>
      <w:r w:rsidRPr="00A837CE">
        <w:t>49, 69%)</w:t>
      </w:r>
      <w:r w:rsidR="005F17AF">
        <w:t>.</w:t>
      </w:r>
    </w:p>
    <w:p w14:paraId="48A09151" w14:textId="59CCCF7D" w:rsidR="001E2697" w:rsidRDefault="000130C8" w:rsidP="00A837CE">
      <w:pPr>
        <w:pStyle w:val="Bulletlist"/>
        <w:ind w:left="568" w:hanging="284"/>
        <w:sectPr w:rsidR="001E2697" w:rsidSect="00565833">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1134" w:bottom="1134" w:left="1134" w:header="709" w:footer="709" w:gutter="0"/>
          <w:cols w:space="708"/>
          <w:titlePg/>
          <w:docGrid w:linePitch="360"/>
        </w:sectPr>
      </w:pPr>
      <w:r>
        <w:t xml:space="preserve">There has been a notable reduction </w:t>
      </w:r>
      <w:r w:rsidR="008B05F4">
        <w:t xml:space="preserve">in </w:t>
      </w:r>
      <w:r w:rsidR="001E2697">
        <w:t xml:space="preserve">reports from </w:t>
      </w:r>
      <w:r>
        <w:t>Victoria (</w:t>
      </w:r>
      <w:r w:rsidRPr="00A837CE">
        <w:t>n</w:t>
      </w:r>
      <w:r w:rsidR="00C16DA0">
        <w:t> </w:t>
      </w:r>
      <w:r>
        <w:t>=</w:t>
      </w:r>
      <w:r w:rsidR="00C16DA0">
        <w:t> </w:t>
      </w:r>
      <w:r>
        <w:t>9)</w:t>
      </w:r>
      <w:r w:rsidR="005F17AF">
        <w:t>,</w:t>
      </w:r>
      <w:r>
        <w:t xml:space="preserve"> compared </w:t>
      </w:r>
      <w:r w:rsidR="005F17AF">
        <w:t xml:space="preserve">to </w:t>
      </w:r>
      <w:r>
        <w:t>the previous two-month reporting period (</w:t>
      </w:r>
      <w:r w:rsidRPr="00A837CE">
        <w:t>n</w:t>
      </w:r>
      <w:r w:rsidR="00EF7AED">
        <w:t> </w:t>
      </w:r>
      <w:r>
        <w:t>=</w:t>
      </w:r>
      <w:r w:rsidR="00EF7AED">
        <w:t> </w:t>
      </w:r>
      <w:r>
        <w:t>30).</w:t>
      </w:r>
    </w:p>
    <w:p w14:paraId="683A45A4" w14:textId="0219FB75" w:rsidR="00217C3E" w:rsidRPr="00F752CA" w:rsidRDefault="000130C8" w:rsidP="00217C3E">
      <w:pPr>
        <w:pStyle w:val="Heading2"/>
        <w:rPr>
          <w:sz w:val="22"/>
          <w:szCs w:val="22"/>
        </w:rPr>
      </w:pPr>
      <w:r>
        <w:lastRenderedPageBreak/>
        <w:t xml:space="preserve"> </w:t>
      </w:r>
      <w:bookmarkStart w:id="10" w:name="_Toc6318409"/>
      <w:r w:rsidR="00217C3E" w:rsidRPr="00446EBA">
        <w:t>National summary</w:t>
      </w:r>
      <w:bookmarkEnd w:id="10"/>
    </w:p>
    <w:p w14:paraId="4F5C9E8D" w14:textId="5F89D149" w:rsidR="003D28CF" w:rsidRPr="00ED7738" w:rsidRDefault="003D28CF" w:rsidP="003D28CF">
      <w:pPr>
        <w:pStyle w:val="FigureTitle"/>
        <w:ind w:left="993" w:hanging="993"/>
      </w:pPr>
      <w:r w:rsidRPr="00B620BA">
        <w:t>Table 1</w:t>
      </w:r>
      <w:r>
        <w:t>:</w:t>
      </w:r>
      <w:r>
        <w:tab/>
        <w:t>Number of critical antimicrobial resistances, by state and territory, 1 January 2019</w:t>
      </w:r>
      <w:r w:rsidR="007F0001">
        <w:t>–</w:t>
      </w:r>
      <w:r>
        <w:t>28 February 2019, and 2018</w:t>
      </w:r>
    </w:p>
    <w:tbl>
      <w:tblPr>
        <w:tblStyle w:val="TableGrid"/>
        <w:tblpPr w:leftFromText="180" w:rightFromText="180" w:vertAnchor="text" w:tblpY="1"/>
        <w:tblOverlap w:val="never"/>
        <w:tblW w:w="5020" w:type="pct"/>
        <w:tblLook w:val="0620" w:firstRow="1" w:lastRow="0" w:firstColumn="0" w:lastColumn="0" w:noHBand="1" w:noVBand="1"/>
      </w:tblPr>
      <w:tblGrid>
        <w:gridCol w:w="1601"/>
        <w:gridCol w:w="3675"/>
        <w:gridCol w:w="543"/>
        <w:gridCol w:w="599"/>
        <w:gridCol w:w="543"/>
        <w:gridCol w:w="543"/>
        <w:gridCol w:w="543"/>
        <w:gridCol w:w="543"/>
        <w:gridCol w:w="543"/>
        <w:gridCol w:w="548"/>
        <w:gridCol w:w="602"/>
        <w:gridCol w:w="602"/>
        <w:gridCol w:w="966"/>
        <w:gridCol w:w="664"/>
        <w:gridCol w:w="664"/>
        <w:gridCol w:w="949"/>
      </w:tblGrid>
      <w:tr w:rsidR="003D28CF" w:rsidRPr="0067738A" w14:paraId="33743F34" w14:textId="77777777" w:rsidTr="001458B7">
        <w:trPr>
          <w:cnfStyle w:val="100000000000" w:firstRow="1" w:lastRow="0" w:firstColumn="0" w:lastColumn="0" w:oddVBand="0" w:evenVBand="0" w:oddHBand="0" w:evenHBand="0" w:firstRowFirstColumn="0" w:firstRowLastColumn="0" w:lastRowFirstColumn="0" w:lastRowLastColumn="0"/>
          <w:trHeight w:hRule="exact" w:val="340"/>
        </w:trPr>
        <w:tc>
          <w:tcPr>
            <w:tcW w:w="567" w:type="pct"/>
            <w:tcBorders>
              <w:top w:val="single" w:sz="4" w:space="0" w:color="auto"/>
              <w:bottom w:val="nil"/>
            </w:tcBorders>
            <w:shd w:val="clear" w:color="auto" w:fill="DAEEF3" w:themeFill="accent5" w:themeFillTint="33"/>
            <w:vAlign w:val="center"/>
          </w:tcPr>
          <w:p w14:paraId="2F3B658F" w14:textId="77777777" w:rsidR="003D28CF" w:rsidRPr="0067738A" w:rsidRDefault="003D28CF" w:rsidP="001458B7">
            <w:pPr>
              <w:spacing w:after="0"/>
              <w:jc w:val="left"/>
              <w:rPr>
                <w:rFonts w:cstheme="minorHAnsi"/>
                <w:b w:val="0"/>
                <w:sz w:val="16"/>
                <w:szCs w:val="16"/>
              </w:rPr>
            </w:pPr>
          </w:p>
        </w:tc>
        <w:tc>
          <w:tcPr>
            <w:tcW w:w="1301" w:type="pct"/>
            <w:tcBorders>
              <w:top w:val="single" w:sz="4" w:space="0" w:color="auto"/>
              <w:bottom w:val="nil"/>
            </w:tcBorders>
            <w:shd w:val="clear" w:color="auto" w:fill="DAEEF3" w:themeFill="accent5" w:themeFillTint="33"/>
            <w:vAlign w:val="center"/>
          </w:tcPr>
          <w:p w14:paraId="14B3ECBA" w14:textId="77777777" w:rsidR="003D28CF" w:rsidRDefault="003D28CF" w:rsidP="001458B7">
            <w:pPr>
              <w:pStyle w:val="Normal-beforebullets"/>
              <w:jc w:val="left"/>
              <w:rPr>
                <w:rFonts w:cstheme="minorHAnsi"/>
                <w:b w:val="0"/>
                <w:sz w:val="16"/>
                <w:szCs w:val="16"/>
              </w:rPr>
            </w:pPr>
          </w:p>
        </w:tc>
        <w:tc>
          <w:tcPr>
            <w:tcW w:w="1558" w:type="pct"/>
            <w:gridSpan w:val="8"/>
            <w:vMerge w:val="restart"/>
            <w:tcBorders>
              <w:top w:val="single" w:sz="4" w:space="0" w:color="auto"/>
              <w:right w:val="single" w:sz="12" w:space="0" w:color="auto"/>
            </w:tcBorders>
            <w:shd w:val="clear" w:color="auto" w:fill="DAEEF3" w:themeFill="accent5" w:themeFillTint="33"/>
            <w:noWrap/>
            <w:vAlign w:val="center"/>
          </w:tcPr>
          <w:p w14:paraId="558D63E0" w14:textId="77777777" w:rsidR="003D28CF" w:rsidRPr="0067738A" w:rsidRDefault="003D28CF" w:rsidP="001458B7">
            <w:pPr>
              <w:spacing w:after="0"/>
              <w:rPr>
                <w:rFonts w:cstheme="minorHAnsi"/>
                <w:bCs/>
                <w:sz w:val="16"/>
                <w:szCs w:val="16"/>
              </w:rPr>
            </w:pPr>
            <w:r>
              <w:rPr>
                <w:rFonts w:cstheme="minorHAnsi"/>
                <w:bCs/>
                <w:sz w:val="16"/>
                <w:szCs w:val="16"/>
              </w:rPr>
              <w:t>State or territory</w:t>
            </w:r>
          </w:p>
        </w:tc>
        <w:tc>
          <w:tcPr>
            <w:tcW w:w="768" w:type="pct"/>
            <w:gridSpan w:val="3"/>
            <w:tcBorders>
              <w:top w:val="single" w:sz="4" w:space="0" w:color="auto"/>
              <w:left w:val="single" w:sz="12" w:space="0" w:color="auto"/>
              <w:right w:val="single" w:sz="12" w:space="0" w:color="auto"/>
            </w:tcBorders>
            <w:shd w:val="clear" w:color="auto" w:fill="E5DFEC" w:themeFill="accent4" w:themeFillTint="33"/>
            <w:vAlign w:val="center"/>
          </w:tcPr>
          <w:p w14:paraId="2C3D6D15" w14:textId="77777777" w:rsidR="003D28CF" w:rsidRPr="0067738A" w:rsidRDefault="003D28CF" w:rsidP="001458B7">
            <w:pPr>
              <w:spacing w:after="0"/>
              <w:rPr>
                <w:rFonts w:cstheme="minorHAnsi"/>
                <w:sz w:val="16"/>
                <w:szCs w:val="16"/>
              </w:rPr>
            </w:pPr>
            <w:r>
              <w:rPr>
                <w:rFonts w:cstheme="minorHAnsi"/>
                <w:sz w:val="16"/>
                <w:szCs w:val="16"/>
              </w:rPr>
              <w:t>Bi-monthly</w:t>
            </w:r>
          </w:p>
        </w:tc>
        <w:tc>
          <w:tcPr>
            <w:tcW w:w="806" w:type="pct"/>
            <w:gridSpan w:val="3"/>
            <w:vMerge w:val="restart"/>
            <w:tcBorders>
              <w:top w:val="single" w:sz="4" w:space="0" w:color="auto"/>
            </w:tcBorders>
            <w:shd w:val="clear" w:color="auto" w:fill="EAF1DD" w:themeFill="accent3" w:themeFillTint="33"/>
            <w:vAlign w:val="center"/>
          </w:tcPr>
          <w:p w14:paraId="4B8E76E6" w14:textId="7ECE3473" w:rsidR="003D28CF" w:rsidRPr="0067738A" w:rsidRDefault="003D28CF" w:rsidP="00AD2D1C">
            <w:pPr>
              <w:pStyle w:val="Normal-beforebullets"/>
              <w:rPr>
                <w:rFonts w:cstheme="minorHAnsi"/>
                <w:sz w:val="16"/>
                <w:szCs w:val="16"/>
              </w:rPr>
            </w:pPr>
            <w:r w:rsidRPr="003F63E8">
              <w:rPr>
                <w:rFonts w:cstheme="minorHAnsi"/>
                <w:b w:val="0"/>
                <w:sz w:val="16"/>
                <w:szCs w:val="16"/>
              </w:rPr>
              <w:t xml:space="preserve">Year to </w:t>
            </w:r>
            <w:r w:rsidR="00AD2D1C" w:rsidRPr="003F63E8">
              <w:rPr>
                <w:rFonts w:cstheme="minorHAnsi"/>
                <w:b w:val="0"/>
                <w:sz w:val="16"/>
                <w:szCs w:val="16"/>
              </w:rPr>
              <w:t>dat</w:t>
            </w:r>
            <w:r w:rsidR="00AD2D1C">
              <w:rPr>
                <w:rFonts w:cstheme="minorHAnsi"/>
                <w:b w:val="0"/>
                <w:sz w:val="16"/>
                <w:szCs w:val="16"/>
              </w:rPr>
              <w:t>e</w:t>
            </w:r>
          </w:p>
        </w:tc>
      </w:tr>
      <w:tr w:rsidR="003D28CF" w:rsidRPr="0067738A" w14:paraId="0A0E9C2E" w14:textId="77777777" w:rsidTr="001458B7">
        <w:trPr>
          <w:trHeight w:hRule="exact" w:val="283"/>
        </w:trPr>
        <w:tc>
          <w:tcPr>
            <w:tcW w:w="567" w:type="pct"/>
            <w:tcBorders>
              <w:top w:val="nil"/>
              <w:bottom w:val="nil"/>
            </w:tcBorders>
            <w:shd w:val="clear" w:color="auto" w:fill="DAEEF3" w:themeFill="accent5" w:themeFillTint="33"/>
            <w:vAlign w:val="center"/>
          </w:tcPr>
          <w:p w14:paraId="0DA98C14" w14:textId="77777777" w:rsidR="003D28CF" w:rsidRPr="0067738A" w:rsidRDefault="003D28CF" w:rsidP="001458B7">
            <w:pPr>
              <w:spacing w:after="0"/>
              <w:rPr>
                <w:rFonts w:cstheme="minorHAnsi"/>
                <w:b/>
                <w:sz w:val="16"/>
                <w:szCs w:val="16"/>
              </w:rPr>
            </w:pPr>
          </w:p>
        </w:tc>
        <w:tc>
          <w:tcPr>
            <w:tcW w:w="1301" w:type="pct"/>
            <w:tcBorders>
              <w:top w:val="nil"/>
              <w:bottom w:val="nil"/>
            </w:tcBorders>
            <w:shd w:val="clear" w:color="auto" w:fill="DAEEF3" w:themeFill="accent5" w:themeFillTint="33"/>
            <w:vAlign w:val="center"/>
          </w:tcPr>
          <w:p w14:paraId="3C6F9B1B" w14:textId="77777777" w:rsidR="003D28CF" w:rsidRPr="009117B9" w:rsidRDefault="003D28CF" w:rsidP="001458B7">
            <w:pPr>
              <w:pStyle w:val="Normal-beforebullets"/>
              <w:rPr>
                <w:rFonts w:cstheme="minorHAnsi"/>
                <w:b/>
                <w:sz w:val="16"/>
                <w:szCs w:val="16"/>
              </w:rPr>
            </w:pPr>
          </w:p>
        </w:tc>
        <w:tc>
          <w:tcPr>
            <w:tcW w:w="1558" w:type="pct"/>
            <w:gridSpan w:val="8"/>
            <w:vMerge/>
            <w:tcBorders>
              <w:right w:val="single" w:sz="12" w:space="0" w:color="auto"/>
            </w:tcBorders>
            <w:shd w:val="clear" w:color="auto" w:fill="DAEEF3" w:themeFill="accent5" w:themeFillTint="33"/>
            <w:noWrap/>
            <w:vAlign w:val="center"/>
          </w:tcPr>
          <w:p w14:paraId="209E2B5C" w14:textId="77777777" w:rsidR="003D28CF" w:rsidRPr="009117B9" w:rsidRDefault="003D28CF" w:rsidP="001458B7">
            <w:pPr>
              <w:spacing w:after="0"/>
              <w:jc w:val="center"/>
              <w:rPr>
                <w:rFonts w:cstheme="minorHAnsi"/>
                <w:b/>
                <w:bCs/>
                <w:sz w:val="16"/>
                <w:szCs w:val="16"/>
              </w:rPr>
            </w:pPr>
          </w:p>
        </w:tc>
        <w:tc>
          <w:tcPr>
            <w:tcW w:w="213" w:type="pct"/>
            <w:tcBorders>
              <w:left w:val="single" w:sz="12" w:space="0" w:color="auto"/>
            </w:tcBorders>
            <w:shd w:val="clear" w:color="auto" w:fill="E5DFEC" w:themeFill="accent4" w:themeFillTint="33"/>
            <w:vAlign w:val="center"/>
          </w:tcPr>
          <w:p w14:paraId="6EF22603" w14:textId="77777777" w:rsidR="003D28CF" w:rsidRDefault="003D28CF" w:rsidP="001458B7">
            <w:pPr>
              <w:spacing w:after="0"/>
              <w:jc w:val="center"/>
              <w:rPr>
                <w:rFonts w:cstheme="minorHAnsi"/>
                <w:b/>
                <w:sz w:val="16"/>
                <w:szCs w:val="16"/>
              </w:rPr>
            </w:pPr>
            <w:r>
              <w:rPr>
                <w:rFonts w:cstheme="minorHAnsi"/>
                <w:b/>
                <w:sz w:val="16"/>
                <w:szCs w:val="16"/>
              </w:rPr>
              <w:t>2019</w:t>
            </w:r>
          </w:p>
        </w:tc>
        <w:tc>
          <w:tcPr>
            <w:tcW w:w="213" w:type="pct"/>
            <w:shd w:val="clear" w:color="auto" w:fill="E5DFEC" w:themeFill="accent4" w:themeFillTint="33"/>
            <w:vAlign w:val="center"/>
          </w:tcPr>
          <w:p w14:paraId="5AA926C4" w14:textId="77777777" w:rsidR="003D28CF" w:rsidRDefault="003D28CF" w:rsidP="001458B7">
            <w:pPr>
              <w:spacing w:after="0"/>
              <w:jc w:val="center"/>
              <w:rPr>
                <w:rFonts w:cstheme="minorHAnsi"/>
                <w:b/>
                <w:sz w:val="16"/>
                <w:szCs w:val="16"/>
              </w:rPr>
            </w:pPr>
            <w:r>
              <w:rPr>
                <w:rFonts w:cstheme="minorHAnsi"/>
                <w:b/>
                <w:sz w:val="16"/>
                <w:szCs w:val="16"/>
              </w:rPr>
              <w:t>2018</w:t>
            </w:r>
          </w:p>
        </w:tc>
        <w:tc>
          <w:tcPr>
            <w:tcW w:w="342" w:type="pct"/>
            <w:tcBorders>
              <w:top w:val="nil"/>
              <w:right w:val="single" w:sz="12" w:space="0" w:color="auto"/>
            </w:tcBorders>
            <w:shd w:val="clear" w:color="auto" w:fill="E5DFEC" w:themeFill="accent4" w:themeFillTint="33"/>
            <w:vAlign w:val="center"/>
          </w:tcPr>
          <w:p w14:paraId="264119C7" w14:textId="77777777" w:rsidR="003D28CF" w:rsidRPr="009117B9" w:rsidRDefault="003D28CF" w:rsidP="001458B7">
            <w:pPr>
              <w:spacing w:after="0"/>
              <w:jc w:val="center"/>
              <w:rPr>
                <w:rFonts w:cstheme="minorHAnsi"/>
                <w:b/>
                <w:sz w:val="16"/>
                <w:szCs w:val="16"/>
              </w:rPr>
            </w:pPr>
          </w:p>
        </w:tc>
        <w:tc>
          <w:tcPr>
            <w:tcW w:w="806" w:type="pct"/>
            <w:gridSpan w:val="3"/>
            <w:vMerge/>
            <w:shd w:val="clear" w:color="auto" w:fill="EAF1DD" w:themeFill="accent3" w:themeFillTint="33"/>
            <w:vAlign w:val="center"/>
          </w:tcPr>
          <w:p w14:paraId="2A86A257" w14:textId="77777777" w:rsidR="003D28CF" w:rsidRPr="003F63E8" w:rsidRDefault="003D28CF" w:rsidP="001458B7">
            <w:pPr>
              <w:pStyle w:val="Normal-beforebullets"/>
              <w:jc w:val="center"/>
              <w:rPr>
                <w:rFonts w:cstheme="minorHAnsi"/>
                <w:b/>
                <w:sz w:val="16"/>
                <w:szCs w:val="16"/>
              </w:rPr>
            </w:pPr>
          </w:p>
        </w:tc>
      </w:tr>
      <w:tr w:rsidR="00D14569" w:rsidRPr="0067738A" w14:paraId="1A0963C3" w14:textId="77777777" w:rsidTr="001458B7">
        <w:trPr>
          <w:trHeight w:hRule="exact" w:val="510"/>
        </w:trPr>
        <w:tc>
          <w:tcPr>
            <w:tcW w:w="567" w:type="pct"/>
            <w:tcBorders>
              <w:top w:val="nil"/>
              <w:right w:val="single" w:sz="4" w:space="0" w:color="auto"/>
            </w:tcBorders>
            <w:shd w:val="clear" w:color="auto" w:fill="DAEEF3" w:themeFill="accent5" w:themeFillTint="33"/>
            <w:vAlign w:val="center"/>
          </w:tcPr>
          <w:p w14:paraId="6D8A4981" w14:textId="77777777" w:rsidR="003D28CF" w:rsidRPr="0067738A" w:rsidRDefault="003D28CF" w:rsidP="001458B7">
            <w:pPr>
              <w:spacing w:after="0"/>
              <w:rPr>
                <w:rFonts w:asciiTheme="minorHAnsi" w:hAnsiTheme="minorHAnsi" w:cstheme="minorHAnsi"/>
                <w:b/>
                <w:sz w:val="16"/>
                <w:szCs w:val="16"/>
              </w:rPr>
            </w:pPr>
            <w:r w:rsidRPr="0067738A">
              <w:rPr>
                <w:rFonts w:asciiTheme="minorHAnsi" w:hAnsiTheme="minorHAnsi" w:cstheme="minorHAnsi"/>
                <w:b/>
                <w:sz w:val="16"/>
                <w:szCs w:val="16"/>
              </w:rPr>
              <w:t>Species</w:t>
            </w:r>
          </w:p>
        </w:tc>
        <w:tc>
          <w:tcPr>
            <w:tcW w:w="1301" w:type="pct"/>
            <w:tcBorders>
              <w:top w:val="nil"/>
              <w:left w:val="single" w:sz="4" w:space="0" w:color="auto"/>
              <w:right w:val="single" w:sz="4" w:space="0" w:color="auto"/>
            </w:tcBorders>
            <w:shd w:val="clear" w:color="auto" w:fill="DAEEF3" w:themeFill="accent5" w:themeFillTint="33"/>
            <w:vAlign w:val="center"/>
          </w:tcPr>
          <w:p w14:paraId="6D32CDED" w14:textId="77777777" w:rsidR="003D28CF" w:rsidRPr="009117B9" w:rsidRDefault="003D28CF" w:rsidP="001458B7">
            <w:pPr>
              <w:pStyle w:val="Normal-beforebullets"/>
              <w:rPr>
                <w:rFonts w:asciiTheme="minorHAnsi" w:hAnsiTheme="minorHAnsi" w:cstheme="minorHAnsi"/>
                <w:b/>
                <w:sz w:val="16"/>
                <w:szCs w:val="16"/>
              </w:rPr>
            </w:pPr>
            <w:r w:rsidRPr="009117B9">
              <w:rPr>
                <w:rFonts w:asciiTheme="minorHAnsi" w:hAnsiTheme="minorHAnsi" w:cstheme="minorHAnsi"/>
                <w:b/>
                <w:sz w:val="16"/>
                <w:szCs w:val="16"/>
              </w:rPr>
              <w:t>Critical resistance</w:t>
            </w:r>
          </w:p>
        </w:tc>
        <w:tc>
          <w:tcPr>
            <w:tcW w:w="192" w:type="pct"/>
            <w:tcBorders>
              <w:left w:val="single" w:sz="4" w:space="0" w:color="auto"/>
            </w:tcBorders>
            <w:shd w:val="clear" w:color="auto" w:fill="DAEEF3" w:themeFill="accent5" w:themeFillTint="33"/>
            <w:noWrap/>
            <w:vAlign w:val="center"/>
          </w:tcPr>
          <w:p w14:paraId="5112E4DF" w14:textId="77777777" w:rsidR="003D28CF" w:rsidRPr="009117B9" w:rsidRDefault="003D28CF" w:rsidP="001458B7">
            <w:pPr>
              <w:spacing w:after="0"/>
              <w:jc w:val="center"/>
              <w:rPr>
                <w:rFonts w:asciiTheme="minorHAnsi" w:hAnsiTheme="minorHAnsi" w:cstheme="minorHAnsi"/>
                <w:b/>
                <w:bCs/>
                <w:sz w:val="16"/>
                <w:szCs w:val="16"/>
              </w:rPr>
            </w:pPr>
            <w:r w:rsidRPr="009117B9">
              <w:rPr>
                <w:rFonts w:asciiTheme="minorHAnsi" w:hAnsiTheme="minorHAnsi" w:cstheme="minorHAnsi"/>
                <w:b/>
                <w:bCs/>
                <w:sz w:val="16"/>
                <w:szCs w:val="16"/>
              </w:rPr>
              <w:t>NSW</w:t>
            </w:r>
          </w:p>
        </w:tc>
        <w:tc>
          <w:tcPr>
            <w:tcW w:w="212" w:type="pct"/>
            <w:shd w:val="clear" w:color="auto" w:fill="DAEEF3" w:themeFill="accent5" w:themeFillTint="33"/>
            <w:noWrap/>
            <w:vAlign w:val="center"/>
          </w:tcPr>
          <w:p w14:paraId="5CE32EE1" w14:textId="77777777" w:rsidR="003D28CF" w:rsidRPr="009117B9" w:rsidRDefault="003D28CF" w:rsidP="001458B7">
            <w:pPr>
              <w:spacing w:after="0"/>
              <w:jc w:val="center"/>
              <w:rPr>
                <w:rFonts w:asciiTheme="minorHAnsi" w:hAnsiTheme="minorHAnsi" w:cstheme="minorHAnsi"/>
                <w:b/>
                <w:bCs/>
                <w:sz w:val="16"/>
                <w:szCs w:val="16"/>
              </w:rPr>
            </w:pPr>
            <w:r w:rsidRPr="009117B9">
              <w:rPr>
                <w:rFonts w:asciiTheme="minorHAnsi" w:hAnsiTheme="minorHAnsi" w:cstheme="minorHAnsi"/>
                <w:b/>
                <w:bCs/>
                <w:sz w:val="16"/>
                <w:szCs w:val="16"/>
              </w:rPr>
              <w:t>Vic</w:t>
            </w:r>
          </w:p>
        </w:tc>
        <w:tc>
          <w:tcPr>
            <w:tcW w:w="192" w:type="pct"/>
            <w:shd w:val="clear" w:color="auto" w:fill="DAEEF3" w:themeFill="accent5" w:themeFillTint="33"/>
            <w:noWrap/>
            <w:vAlign w:val="center"/>
          </w:tcPr>
          <w:p w14:paraId="128A4ED9" w14:textId="77777777" w:rsidR="003D28CF" w:rsidRPr="009117B9" w:rsidRDefault="003D28CF" w:rsidP="001458B7">
            <w:pPr>
              <w:spacing w:after="0"/>
              <w:jc w:val="center"/>
              <w:rPr>
                <w:rFonts w:asciiTheme="minorHAnsi" w:hAnsiTheme="minorHAnsi" w:cstheme="minorHAnsi"/>
                <w:b/>
                <w:bCs/>
                <w:sz w:val="16"/>
                <w:szCs w:val="16"/>
              </w:rPr>
            </w:pPr>
            <w:r w:rsidRPr="009117B9">
              <w:rPr>
                <w:rFonts w:asciiTheme="minorHAnsi" w:hAnsiTheme="minorHAnsi" w:cstheme="minorHAnsi"/>
                <w:b/>
                <w:bCs/>
                <w:sz w:val="16"/>
                <w:szCs w:val="16"/>
              </w:rPr>
              <w:t>Qld</w:t>
            </w:r>
          </w:p>
        </w:tc>
        <w:tc>
          <w:tcPr>
            <w:tcW w:w="192" w:type="pct"/>
            <w:shd w:val="clear" w:color="auto" w:fill="DAEEF3" w:themeFill="accent5" w:themeFillTint="33"/>
            <w:noWrap/>
            <w:vAlign w:val="center"/>
          </w:tcPr>
          <w:p w14:paraId="5EFF9DE4" w14:textId="77777777" w:rsidR="003D28CF" w:rsidRPr="009117B9" w:rsidRDefault="003D28CF" w:rsidP="001458B7">
            <w:pPr>
              <w:spacing w:after="0"/>
              <w:jc w:val="center"/>
              <w:rPr>
                <w:rFonts w:asciiTheme="minorHAnsi" w:hAnsiTheme="minorHAnsi" w:cstheme="minorHAnsi"/>
                <w:b/>
                <w:bCs/>
                <w:sz w:val="16"/>
                <w:szCs w:val="16"/>
              </w:rPr>
            </w:pPr>
            <w:r w:rsidRPr="009117B9">
              <w:rPr>
                <w:rFonts w:asciiTheme="minorHAnsi" w:hAnsiTheme="minorHAnsi" w:cstheme="minorHAnsi"/>
                <w:b/>
                <w:bCs/>
                <w:sz w:val="16"/>
                <w:szCs w:val="16"/>
              </w:rPr>
              <w:t>SA</w:t>
            </w:r>
          </w:p>
        </w:tc>
        <w:tc>
          <w:tcPr>
            <w:tcW w:w="192" w:type="pct"/>
            <w:shd w:val="clear" w:color="auto" w:fill="DAEEF3" w:themeFill="accent5" w:themeFillTint="33"/>
            <w:noWrap/>
            <w:vAlign w:val="center"/>
          </w:tcPr>
          <w:p w14:paraId="0F592379" w14:textId="77777777" w:rsidR="003D28CF" w:rsidRPr="009117B9" w:rsidRDefault="003D28CF" w:rsidP="001458B7">
            <w:pPr>
              <w:spacing w:after="0"/>
              <w:jc w:val="center"/>
              <w:rPr>
                <w:rFonts w:asciiTheme="minorHAnsi" w:hAnsiTheme="minorHAnsi" w:cstheme="minorHAnsi"/>
                <w:b/>
                <w:bCs/>
                <w:sz w:val="16"/>
                <w:szCs w:val="16"/>
              </w:rPr>
            </w:pPr>
            <w:r w:rsidRPr="009117B9">
              <w:rPr>
                <w:rFonts w:asciiTheme="minorHAnsi" w:hAnsiTheme="minorHAnsi" w:cstheme="minorHAnsi"/>
                <w:b/>
                <w:bCs/>
                <w:sz w:val="16"/>
                <w:szCs w:val="16"/>
              </w:rPr>
              <w:t>WA</w:t>
            </w:r>
          </w:p>
        </w:tc>
        <w:tc>
          <w:tcPr>
            <w:tcW w:w="192" w:type="pct"/>
            <w:shd w:val="clear" w:color="auto" w:fill="DAEEF3" w:themeFill="accent5" w:themeFillTint="33"/>
            <w:noWrap/>
            <w:vAlign w:val="center"/>
          </w:tcPr>
          <w:p w14:paraId="69B2A528" w14:textId="77777777" w:rsidR="003D28CF" w:rsidRPr="009117B9" w:rsidRDefault="003D28CF" w:rsidP="001458B7">
            <w:pPr>
              <w:spacing w:after="0"/>
              <w:jc w:val="center"/>
              <w:rPr>
                <w:rFonts w:asciiTheme="minorHAnsi" w:hAnsiTheme="minorHAnsi" w:cstheme="minorHAnsi"/>
                <w:b/>
                <w:bCs/>
                <w:sz w:val="16"/>
                <w:szCs w:val="16"/>
              </w:rPr>
            </w:pPr>
            <w:proofErr w:type="spellStart"/>
            <w:r w:rsidRPr="009117B9">
              <w:rPr>
                <w:rFonts w:asciiTheme="minorHAnsi" w:hAnsiTheme="minorHAnsi" w:cstheme="minorHAnsi"/>
                <w:b/>
                <w:bCs/>
                <w:sz w:val="16"/>
                <w:szCs w:val="16"/>
              </w:rPr>
              <w:t>Tas</w:t>
            </w:r>
            <w:proofErr w:type="spellEnd"/>
          </w:p>
        </w:tc>
        <w:tc>
          <w:tcPr>
            <w:tcW w:w="192" w:type="pct"/>
            <w:shd w:val="clear" w:color="auto" w:fill="DAEEF3" w:themeFill="accent5" w:themeFillTint="33"/>
            <w:noWrap/>
            <w:vAlign w:val="center"/>
          </w:tcPr>
          <w:p w14:paraId="0576E553" w14:textId="77777777" w:rsidR="003D28CF" w:rsidRPr="009117B9" w:rsidRDefault="003D28CF" w:rsidP="001458B7">
            <w:pPr>
              <w:spacing w:after="0"/>
              <w:jc w:val="center"/>
              <w:rPr>
                <w:rFonts w:asciiTheme="minorHAnsi" w:hAnsiTheme="minorHAnsi" w:cstheme="minorHAnsi"/>
                <w:b/>
                <w:bCs/>
                <w:sz w:val="16"/>
                <w:szCs w:val="16"/>
              </w:rPr>
            </w:pPr>
            <w:r w:rsidRPr="009117B9">
              <w:rPr>
                <w:rFonts w:asciiTheme="minorHAnsi" w:hAnsiTheme="minorHAnsi" w:cstheme="minorHAnsi"/>
                <w:b/>
                <w:bCs/>
                <w:sz w:val="16"/>
                <w:szCs w:val="16"/>
              </w:rPr>
              <w:t>NT</w:t>
            </w:r>
          </w:p>
        </w:tc>
        <w:tc>
          <w:tcPr>
            <w:tcW w:w="194" w:type="pct"/>
            <w:tcBorders>
              <w:right w:val="single" w:sz="12" w:space="0" w:color="auto"/>
            </w:tcBorders>
            <w:shd w:val="clear" w:color="auto" w:fill="DAEEF3" w:themeFill="accent5" w:themeFillTint="33"/>
            <w:noWrap/>
            <w:vAlign w:val="center"/>
          </w:tcPr>
          <w:p w14:paraId="3D4842F2" w14:textId="77777777" w:rsidR="003D28CF" w:rsidRPr="009117B9" w:rsidRDefault="003D28CF" w:rsidP="001458B7">
            <w:pPr>
              <w:spacing w:after="0"/>
              <w:jc w:val="center"/>
              <w:rPr>
                <w:rFonts w:asciiTheme="minorHAnsi" w:hAnsiTheme="minorHAnsi" w:cstheme="minorHAnsi"/>
                <w:b/>
                <w:bCs/>
                <w:sz w:val="16"/>
                <w:szCs w:val="16"/>
              </w:rPr>
            </w:pPr>
            <w:r w:rsidRPr="009117B9">
              <w:rPr>
                <w:rFonts w:asciiTheme="minorHAnsi" w:hAnsiTheme="minorHAnsi" w:cstheme="minorHAnsi"/>
                <w:b/>
                <w:bCs/>
                <w:sz w:val="16"/>
                <w:szCs w:val="16"/>
              </w:rPr>
              <w:t>ACT</w:t>
            </w:r>
          </w:p>
        </w:tc>
        <w:tc>
          <w:tcPr>
            <w:tcW w:w="213" w:type="pct"/>
            <w:tcBorders>
              <w:left w:val="single" w:sz="12" w:space="0" w:color="auto"/>
            </w:tcBorders>
            <w:shd w:val="clear" w:color="auto" w:fill="E5DFEC" w:themeFill="accent4" w:themeFillTint="33"/>
            <w:vAlign w:val="center"/>
          </w:tcPr>
          <w:p w14:paraId="183D14AF" w14:textId="77777777" w:rsidR="003D28CF" w:rsidRPr="009117B9" w:rsidRDefault="003D28CF" w:rsidP="001458B7">
            <w:pPr>
              <w:spacing w:after="0"/>
              <w:jc w:val="center"/>
              <w:rPr>
                <w:rFonts w:asciiTheme="minorHAnsi" w:hAnsiTheme="minorHAnsi" w:cstheme="minorHAnsi"/>
                <w:b/>
                <w:sz w:val="16"/>
                <w:szCs w:val="16"/>
              </w:rPr>
            </w:pPr>
            <w:r>
              <w:rPr>
                <w:rFonts w:asciiTheme="minorHAnsi" w:hAnsiTheme="minorHAnsi" w:cstheme="minorHAnsi"/>
                <w:b/>
                <w:sz w:val="16"/>
                <w:szCs w:val="16"/>
              </w:rPr>
              <w:t>Jan-Feb</w:t>
            </w:r>
          </w:p>
        </w:tc>
        <w:tc>
          <w:tcPr>
            <w:tcW w:w="213" w:type="pct"/>
            <w:shd w:val="clear" w:color="auto" w:fill="E5DFEC" w:themeFill="accent4" w:themeFillTint="33"/>
            <w:vAlign w:val="center"/>
          </w:tcPr>
          <w:p w14:paraId="7A4F3E16" w14:textId="77777777" w:rsidR="003D28CF" w:rsidRPr="009117B9" w:rsidRDefault="003D28CF" w:rsidP="001458B7">
            <w:pPr>
              <w:spacing w:after="0"/>
              <w:jc w:val="center"/>
              <w:rPr>
                <w:rFonts w:asciiTheme="minorHAnsi" w:hAnsiTheme="minorHAnsi" w:cstheme="minorHAnsi"/>
                <w:b/>
                <w:sz w:val="16"/>
                <w:szCs w:val="16"/>
              </w:rPr>
            </w:pPr>
            <w:r>
              <w:rPr>
                <w:rFonts w:asciiTheme="minorHAnsi" w:hAnsiTheme="minorHAnsi" w:cstheme="minorHAnsi"/>
                <w:b/>
                <w:sz w:val="16"/>
                <w:szCs w:val="16"/>
              </w:rPr>
              <w:t>Nov-Dec</w:t>
            </w:r>
          </w:p>
        </w:tc>
        <w:tc>
          <w:tcPr>
            <w:tcW w:w="342" w:type="pct"/>
            <w:tcBorders>
              <w:top w:val="nil"/>
              <w:right w:val="single" w:sz="12" w:space="0" w:color="auto"/>
            </w:tcBorders>
            <w:shd w:val="clear" w:color="auto" w:fill="E5DFEC" w:themeFill="accent4" w:themeFillTint="33"/>
            <w:vAlign w:val="center"/>
          </w:tcPr>
          <w:p w14:paraId="4D0DBAE4" w14:textId="77777777" w:rsidR="003D28CF" w:rsidRPr="009117B9" w:rsidRDefault="003D28CF" w:rsidP="001458B7">
            <w:pPr>
              <w:spacing w:after="0"/>
              <w:jc w:val="center"/>
              <w:rPr>
                <w:rFonts w:asciiTheme="minorHAnsi" w:hAnsiTheme="minorHAnsi" w:cstheme="minorHAnsi"/>
                <w:b/>
                <w:sz w:val="16"/>
                <w:szCs w:val="16"/>
              </w:rPr>
            </w:pPr>
            <w:r w:rsidRPr="009117B9">
              <w:rPr>
                <w:rFonts w:asciiTheme="minorHAnsi" w:hAnsiTheme="minorHAnsi" w:cstheme="minorHAnsi"/>
                <w:b/>
                <w:sz w:val="16"/>
                <w:szCs w:val="16"/>
              </w:rPr>
              <w:t>Relative change</w:t>
            </w:r>
          </w:p>
        </w:tc>
        <w:tc>
          <w:tcPr>
            <w:tcW w:w="235" w:type="pct"/>
            <w:shd w:val="clear" w:color="auto" w:fill="EAF1DD" w:themeFill="accent3" w:themeFillTint="33"/>
            <w:vAlign w:val="center"/>
          </w:tcPr>
          <w:p w14:paraId="22C7A20F" w14:textId="77777777" w:rsidR="003D28CF" w:rsidRPr="009117B9" w:rsidRDefault="003D28CF" w:rsidP="001458B7">
            <w:pPr>
              <w:pStyle w:val="Normal-beforebullets"/>
              <w:jc w:val="center"/>
              <w:rPr>
                <w:rFonts w:asciiTheme="minorHAnsi" w:hAnsiTheme="minorHAnsi" w:cstheme="minorHAnsi"/>
                <w:b/>
                <w:color w:val="000000"/>
                <w:sz w:val="16"/>
                <w:szCs w:val="16"/>
              </w:rPr>
            </w:pPr>
            <w:r w:rsidRPr="009117B9">
              <w:rPr>
                <w:rFonts w:asciiTheme="minorHAnsi" w:hAnsiTheme="minorHAnsi" w:cstheme="minorHAnsi"/>
                <w:b/>
                <w:color w:val="000000"/>
                <w:sz w:val="16"/>
                <w:szCs w:val="16"/>
              </w:rPr>
              <w:t>201</w:t>
            </w:r>
            <w:r>
              <w:rPr>
                <w:rFonts w:asciiTheme="minorHAnsi" w:hAnsiTheme="minorHAnsi" w:cstheme="minorHAnsi"/>
                <w:b/>
                <w:color w:val="000000"/>
                <w:sz w:val="16"/>
                <w:szCs w:val="16"/>
              </w:rPr>
              <w:t>9</w:t>
            </w:r>
          </w:p>
        </w:tc>
        <w:tc>
          <w:tcPr>
            <w:tcW w:w="235" w:type="pct"/>
            <w:shd w:val="clear" w:color="auto" w:fill="EAF1DD" w:themeFill="accent3" w:themeFillTint="33"/>
            <w:vAlign w:val="center"/>
          </w:tcPr>
          <w:p w14:paraId="5FA0DC22" w14:textId="77777777" w:rsidR="003D28CF" w:rsidRPr="009117B9" w:rsidRDefault="003D28CF" w:rsidP="001458B7">
            <w:pPr>
              <w:pStyle w:val="Normal-beforebullets"/>
              <w:jc w:val="center"/>
              <w:rPr>
                <w:rFonts w:asciiTheme="minorHAnsi" w:hAnsiTheme="minorHAnsi" w:cstheme="minorHAnsi"/>
                <w:b/>
                <w:color w:val="000000"/>
                <w:sz w:val="16"/>
                <w:szCs w:val="16"/>
              </w:rPr>
            </w:pPr>
            <w:r w:rsidRPr="009117B9">
              <w:rPr>
                <w:rFonts w:asciiTheme="minorHAnsi" w:hAnsiTheme="minorHAnsi" w:cstheme="minorHAnsi"/>
                <w:b/>
                <w:color w:val="000000"/>
                <w:sz w:val="16"/>
                <w:szCs w:val="16"/>
              </w:rPr>
              <w:t>201</w:t>
            </w:r>
            <w:r>
              <w:rPr>
                <w:rFonts w:asciiTheme="minorHAnsi" w:hAnsiTheme="minorHAnsi" w:cstheme="minorHAnsi"/>
                <w:b/>
                <w:color w:val="000000"/>
                <w:sz w:val="16"/>
                <w:szCs w:val="16"/>
              </w:rPr>
              <w:t>8</w:t>
            </w:r>
          </w:p>
        </w:tc>
        <w:tc>
          <w:tcPr>
            <w:tcW w:w="336" w:type="pct"/>
            <w:shd w:val="clear" w:color="auto" w:fill="EAF1DD" w:themeFill="accent3" w:themeFillTint="33"/>
            <w:vAlign w:val="center"/>
          </w:tcPr>
          <w:p w14:paraId="3929F784" w14:textId="77777777" w:rsidR="003D28CF" w:rsidRPr="009117B9" w:rsidRDefault="003D28CF" w:rsidP="001458B7">
            <w:pPr>
              <w:pStyle w:val="Normal-beforebullets"/>
              <w:jc w:val="center"/>
              <w:rPr>
                <w:rFonts w:asciiTheme="minorHAnsi" w:hAnsiTheme="minorHAnsi" w:cstheme="minorHAnsi"/>
                <w:b/>
                <w:sz w:val="16"/>
                <w:szCs w:val="16"/>
              </w:rPr>
            </w:pPr>
            <w:r w:rsidRPr="009117B9">
              <w:rPr>
                <w:rFonts w:asciiTheme="minorHAnsi" w:hAnsiTheme="minorHAnsi" w:cstheme="minorHAnsi"/>
                <w:b/>
                <w:sz w:val="16"/>
                <w:szCs w:val="16"/>
              </w:rPr>
              <w:t>Relative change</w:t>
            </w:r>
          </w:p>
        </w:tc>
      </w:tr>
      <w:tr w:rsidR="003D28CF" w:rsidRPr="0067738A" w14:paraId="031305AE" w14:textId="77777777" w:rsidTr="001458B7">
        <w:trPr>
          <w:trHeight w:val="340"/>
        </w:trPr>
        <w:tc>
          <w:tcPr>
            <w:tcW w:w="567" w:type="pct"/>
            <w:vMerge w:val="restart"/>
            <w:vAlign w:val="center"/>
          </w:tcPr>
          <w:p w14:paraId="7544FD63" w14:textId="77777777" w:rsidR="003D28CF" w:rsidRPr="0067738A" w:rsidRDefault="003D28CF" w:rsidP="001458B7">
            <w:pPr>
              <w:spacing w:after="0"/>
              <w:rPr>
                <w:rFonts w:asciiTheme="minorHAnsi" w:hAnsiTheme="minorHAnsi" w:cstheme="minorHAnsi"/>
                <w:sz w:val="16"/>
                <w:szCs w:val="16"/>
              </w:rPr>
            </w:pPr>
            <w:proofErr w:type="spellStart"/>
            <w:r w:rsidRPr="0067738A">
              <w:rPr>
                <w:rFonts w:asciiTheme="minorHAnsi" w:hAnsiTheme="minorHAnsi" w:cstheme="minorHAnsi"/>
                <w:sz w:val="16"/>
                <w:szCs w:val="16"/>
              </w:rPr>
              <w:t>Enterobacterales</w:t>
            </w:r>
            <w:proofErr w:type="spellEnd"/>
          </w:p>
        </w:tc>
        <w:tc>
          <w:tcPr>
            <w:tcW w:w="1301" w:type="pct"/>
            <w:shd w:val="clear" w:color="auto" w:fill="auto"/>
            <w:vAlign w:val="center"/>
          </w:tcPr>
          <w:p w14:paraId="72B9BF17" w14:textId="77777777" w:rsidR="003D28CF" w:rsidRPr="0067738A" w:rsidRDefault="003D28CF" w:rsidP="001458B7">
            <w:pPr>
              <w:pStyle w:val="Normal-beforebullets"/>
              <w:rPr>
                <w:rFonts w:asciiTheme="minorHAnsi" w:hAnsiTheme="minorHAnsi" w:cstheme="minorHAnsi"/>
                <w:sz w:val="16"/>
                <w:szCs w:val="16"/>
              </w:rPr>
            </w:pPr>
            <w:r w:rsidRPr="0067738A">
              <w:rPr>
                <w:rFonts w:asciiTheme="minorHAnsi" w:hAnsiTheme="minorHAnsi" w:cstheme="minorHAnsi"/>
                <w:sz w:val="16"/>
                <w:szCs w:val="16"/>
              </w:rPr>
              <w:t>Carbapenemase-producing Enterobacterales</w:t>
            </w:r>
          </w:p>
        </w:tc>
        <w:tc>
          <w:tcPr>
            <w:tcW w:w="192" w:type="pct"/>
            <w:shd w:val="clear" w:color="auto" w:fill="auto"/>
            <w:noWrap/>
            <w:vAlign w:val="center"/>
          </w:tcPr>
          <w:p w14:paraId="5AE4C66C" w14:textId="77777777" w:rsidR="003D28CF" w:rsidRPr="0067738A" w:rsidRDefault="003D28CF" w:rsidP="001458B7">
            <w:pPr>
              <w:pStyle w:val="Normal-beforebullets"/>
              <w:jc w:val="center"/>
              <w:rPr>
                <w:rFonts w:asciiTheme="minorHAnsi" w:hAnsiTheme="minorHAnsi" w:cstheme="minorHAnsi"/>
                <w:color w:val="000000"/>
                <w:sz w:val="16"/>
                <w:szCs w:val="16"/>
              </w:rPr>
            </w:pPr>
            <w:r>
              <w:rPr>
                <w:rFonts w:asciiTheme="minorHAnsi" w:hAnsiTheme="minorHAnsi" w:cstheme="minorHAnsi"/>
                <w:sz w:val="16"/>
                <w:szCs w:val="16"/>
              </w:rPr>
              <w:t>50</w:t>
            </w:r>
          </w:p>
        </w:tc>
        <w:tc>
          <w:tcPr>
            <w:tcW w:w="212" w:type="pct"/>
            <w:shd w:val="clear" w:color="auto" w:fill="auto"/>
            <w:noWrap/>
            <w:vAlign w:val="center"/>
          </w:tcPr>
          <w:p w14:paraId="159CFAD3" w14:textId="77777777" w:rsidR="003D28CF" w:rsidRPr="0067738A" w:rsidRDefault="003D28CF" w:rsidP="001458B7">
            <w:pPr>
              <w:pStyle w:val="Normal-beforebullets"/>
              <w:jc w:val="center"/>
              <w:rPr>
                <w:rFonts w:asciiTheme="minorHAnsi" w:hAnsiTheme="minorHAnsi" w:cstheme="minorHAnsi"/>
                <w:color w:val="000000"/>
                <w:sz w:val="16"/>
                <w:szCs w:val="16"/>
              </w:rPr>
            </w:pPr>
            <w:r>
              <w:rPr>
                <w:rFonts w:asciiTheme="minorHAnsi" w:hAnsiTheme="minorHAnsi" w:cstheme="minorHAnsi"/>
                <w:sz w:val="16"/>
                <w:szCs w:val="16"/>
              </w:rPr>
              <w:t>63</w:t>
            </w:r>
          </w:p>
        </w:tc>
        <w:tc>
          <w:tcPr>
            <w:tcW w:w="192" w:type="pct"/>
            <w:shd w:val="clear" w:color="auto" w:fill="auto"/>
            <w:noWrap/>
            <w:vAlign w:val="center"/>
          </w:tcPr>
          <w:p w14:paraId="424F1F1C" w14:textId="77777777" w:rsidR="003D28CF" w:rsidRPr="0067738A" w:rsidRDefault="003D28CF" w:rsidP="001458B7">
            <w:pPr>
              <w:pStyle w:val="Normal-beforebullets"/>
              <w:jc w:val="center"/>
              <w:rPr>
                <w:rFonts w:asciiTheme="minorHAnsi" w:hAnsiTheme="minorHAnsi" w:cstheme="minorHAnsi"/>
                <w:color w:val="000000"/>
                <w:sz w:val="16"/>
                <w:szCs w:val="16"/>
              </w:rPr>
            </w:pPr>
            <w:r>
              <w:rPr>
                <w:rFonts w:asciiTheme="minorHAnsi" w:hAnsiTheme="minorHAnsi" w:cstheme="minorHAnsi"/>
                <w:sz w:val="16"/>
                <w:szCs w:val="16"/>
              </w:rPr>
              <w:t>28</w:t>
            </w:r>
          </w:p>
        </w:tc>
        <w:tc>
          <w:tcPr>
            <w:tcW w:w="192" w:type="pct"/>
            <w:shd w:val="clear" w:color="auto" w:fill="auto"/>
            <w:noWrap/>
            <w:vAlign w:val="center"/>
          </w:tcPr>
          <w:p w14:paraId="70694053" w14:textId="77777777" w:rsidR="003D28CF" w:rsidRPr="0067738A" w:rsidRDefault="003D28CF" w:rsidP="001458B7">
            <w:pPr>
              <w:pStyle w:val="Normal-beforebullets"/>
              <w:jc w:val="center"/>
              <w:rPr>
                <w:rFonts w:asciiTheme="minorHAnsi" w:hAnsiTheme="minorHAnsi" w:cstheme="minorHAnsi"/>
                <w:color w:val="000000"/>
                <w:sz w:val="16"/>
                <w:szCs w:val="16"/>
              </w:rPr>
            </w:pPr>
            <w:r>
              <w:rPr>
                <w:rFonts w:asciiTheme="minorHAnsi" w:hAnsiTheme="minorHAnsi" w:cstheme="minorHAnsi"/>
                <w:sz w:val="16"/>
                <w:szCs w:val="16"/>
              </w:rPr>
              <w:t>3</w:t>
            </w:r>
          </w:p>
        </w:tc>
        <w:tc>
          <w:tcPr>
            <w:tcW w:w="192" w:type="pct"/>
            <w:shd w:val="clear" w:color="auto" w:fill="auto"/>
            <w:noWrap/>
            <w:vAlign w:val="center"/>
          </w:tcPr>
          <w:p w14:paraId="10D5911D" w14:textId="77777777" w:rsidR="003D28CF" w:rsidRPr="0067738A" w:rsidRDefault="003D28CF" w:rsidP="001458B7">
            <w:pPr>
              <w:pStyle w:val="Normal-beforebullets"/>
              <w:jc w:val="center"/>
              <w:rPr>
                <w:rFonts w:asciiTheme="minorHAnsi" w:hAnsiTheme="minorHAnsi" w:cstheme="minorHAnsi"/>
                <w:color w:val="000000"/>
                <w:sz w:val="16"/>
                <w:szCs w:val="16"/>
              </w:rPr>
            </w:pPr>
            <w:r>
              <w:rPr>
                <w:rFonts w:asciiTheme="minorHAnsi" w:hAnsiTheme="minorHAnsi" w:cstheme="minorHAnsi"/>
                <w:sz w:val="16"/>
                <w:szCs w:val="16"/>
              </w:rPr>
              <w:t>3</w:t>
            </w:r>
          </w:p>
        </w:tc>
        <w:tc>
          <w:tcPr>
            <w:tcW w:w="192" w:type="pct"/>
            <w:shd w:val="clear" w:color="auto" w:fill="auto"/>
            <w:noWrap/>
            <w:vAlign w:val="center"/>
          </w:tcPr>
          <w:p w14:paraId="6C2CBAA8" w14:textId="77777777" w:rsidR="003D28CF" w:rsidRPr="0067738A" w:rsidRDefault="003D28CF" w:rsidP="001458B7">
            <w:pPr>
              <w:pStyle w:val="Normal-beforebullets"/>
              <w:jc w:val="center"/>
              <w:rPr>
                <w:rFonts w:asciiTheme="minorHAnsi" w:hAnsiTheme="minorHAnsi" w:cstheme="minorHAnsi"/>
                <w:color w:val="000000"/>
                <w:sz w:val="16"/>
                <w:szCs w:val="16"/>
              </w:rPr>
            </w:pPr>
            <w:r w:rsidRPr="00506C8E">
              <w:rPr>
                <w:rFonts w:asciiTheme="minorHAnsi" w:hAnsiTheme="minorHAnsi" w:cstheme="minorHAnsi"/>
                <w:sz w:val="16"/>
                <w:szCs w:val="16"/>
              </w:rPr>
              <w:t>1</w:t>
            </w:r>
          </w:p>
        </w:tc>
        <w:tc>
          <w:tcPr>
            <w:tcW w:w="192" w:type="pct"/>
            <w:shd w:val="clear" w:color="auto" w:fill="auto"/>
            <w:noWrap/>
            <w:vAlign w:val="center"/>
          </w:tcPr>
          <w:p w14:paraId="0B01B6EC" w14:textId="77777777" w:rsidR="003D28CF" w:rsidRPr="0067738A" w:rsidRDefault="003D28CF" w:rsidP="001458B7">
            <w:pPr>
              <w:pStyle w:val="Normal-beforebullets"/>
              <w:jc w:val="center"/>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194" w:type="pct"/>
            <w:tcBorders>
              <w:right w:val="single" w:sz="12" w:space="0" w:color="auto"/>
            </w:tcBorders>
            <w:shd w:val="clear" w:color="auto" w:fill="auto"/>
            <w:noWrap/>
            <w:vAlign w:val="center"/>
          </w:tcPr>
          <w:p w14:paraId="5BD320D3" w14:textId="77777777" w:rsidR="003D28CF" w:rsidRPr="0067738A" w:rsidRDefault="003D28CF" w:rsidP="001458B7">
            <w:pPr>
              <w:pStyle w:val="Normal-beforebullets"/>
              <w:jc w:val="center"/>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213" w:type="pct"/>
            <w:tcBorders>
              <w:left w:val="single" w:sz="12" w:space="0" w:color="auto"/>
            </w:tcBorders>
            <w:shd w:val="clear" w:color="auto" w:fill="auto"/>
            <w:vAlign w:val="center"/>
          </w:tcPr>
          <w:p w14:paraId="4D9F151E" w14:textId="77777777" w:rsidR="003D28CF" w:rsidRPr="0067738A" w:rsidRDefault="003D28CF" w:rsidP="001458B7">
            <w:pPr>
              <w:pStyle w:val="Normal-beforebullets"/>
              <w:jc w:val="center"/>
              <w:rPr>
                <w:rFonts w:asciiTheme="minorHAnsi" w:hAnsiTheme="minorHAnsi" w:cstheme="minorHAnsi"/>
                <w:color w:val="000000"/>
                <w:sz w:val="16"/>
                <w:szCs w:val="16"/>
              </w:rPr>
            </w:pPr>
            <w:r>
              <w:rPr>
                <w:rFonts w:asciiTheme="minorHAnsi" w:hAnsiTheme="minorHAnsi" w:cstheme="minorHAnsi"/>
                <w:sz w:val="16"/>
                <w:szCs w:val="16"/>
              </w:rPr>
              <w:t>148</w:t>
            </w:r>
          </w:p>
        </w:tc>
        <w:tc>
          <w:tcPr>
            <w:tcW w:w="213" w:type="pct"/>
            <w:vAlign w:val="center"/>
          </w:tcPr>
          <w:p w14:paraId="6AFA1143" w14:textId="77777777"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sz w:val="16"/>
                <w:szCs w:val="16"/>
              </w:rPr>
              <w:t>130</w:t>
            </w:r>
          </w:p>
        </w:tc>
        <w:tc>
          <w:tcPr>
            <w:tcW w:w="342" w:type="pct"/>
            <w:tcBorders>
              <w:right w:val="single" w:sz="12" w:space="0" w:color="auto"/>
            </w:tcBorders>
            <w:vAlign w:val="center"/>
          </w:tcPr>
          <w:p w14:paraId="167530BA" w14:textId="77777777" w:rsidR="003D28CF" w:rsidRPr="001A2873" w:rsidRDefault="003D28CF" w:rsidP="001458B7">
            <w:pPr>
              <w:spacing w:after="0"/>
              <w:jc w:val="center"/>
              <w:rPr>
                <w:rFonts w:asciiTheme="minorHAnsi" w:hAnsiTheme="minorHAnsi" w:cstheme="minorHAnsi"/>
                <w:sz w:val="16"/>
                <w:szCs w:val="16"/>
              </w:rPr>
            </w:pPr>
            <w:r w:rsidRPr="00B620BA">
              <w:rPr>
                <w:rFonts w:asciiTheme="minorHAnsi" w:hAnsiTheme="minorHAnsi" w:cstheme="minorHAnsi"/>
                <w:color w:val="FF0000"/>
                <w:sz w:val="16"/>
                <w:szCs w:val="16"/>
              </w:rPr>
              <w:t xml:space="preserve">▲ </w:t>
            </w:r>
            <w:r w:rsidRPr="00B620BA">
              <w:rPr>
                <w:rFonts w:asciiTheme="minorHAnsi" w:hAnsiTheme="minorHAnsi" w:cstheme="minorHAnsi"/>
                <w:color w:val="auto"/>
                <w:sz w:val="16"/>
                <w:szCs w:val="16"/>
              </w:rPr>
              <w:t>13.8%</w:t>
            </w:r>
          </w:p>
        </w:tc>
        <w:tc>
          <w:tcPr>
            <w:tcW w:w="235" w:type="pct"/>
            <w:shd w:val="clear" w:color="auto" w:fill="auto"/>
            <w:vAlign w:val="center"/>
          </w:tcPr>
          <w:p w14:paraId="28DB0CF0" w14:textId="77777777"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sz w:val="16"/>
                <w:szCs w:val="16"/>
              </w:rPr>
              <w:t>148</w:t>
            </w:r>
          </w:p>
        </w:tc>
        <w:tc>
          <w:tcPr>
            <w:tcW w:w="235" w:type="pct"/>
            <w:shd w:val="clear" w:color="auto" w:fill="auto"/>
            <w:vAlign w:val="center"/>
          </w:tcPr>
          <w:p w14:paraId="768C23F5" w14:textId="77777777"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sz w:val="16"/>
                <w:szCs w:val="16"/>
              </w:rPr>
              <w:t>100</w:t>
            </w:r>
          </w:p>
        </w:tc>
        <w:tc>
          <w:tcPr>
            <w:tcW w:w="336" w:type="pct"/>
            <w:vAlign w:val="center"/>
          </w:tcPr>
          <w:p w14:paraId="794C66DC" w14:textId="77777777" w:rsidR="003D28CF" w:rsidRPr="0067738A" w:rsidRDefault="003D28CF" w:rsidP="001458B7">
            <w:pPr>
              <w:pStyle w:val="Normal-beforebullets"/>
              <w:jc w:val="center"/>
              <w:rPr>
                <w:rFonts w:asciiTheme="minorHAnsi" w:hAnsiTheme="minorHAnsi" w:cstheme="minorHAnsi"/>
                <w:sz w:val="16"/>
                <w:szCs w:val="16"/>
              </w:rPr>
            </w:pPr>
            <w:r w:rsidRPr="004254C8">
              <w:rPr>
                <w:rFonts w:asciiTheme="minorHAnsi" w:hAnsiTheme="minorHAnsi" w:cstheme="minorHAnsi"/>
                <w:color w:val="FF0000"/>
                <w:sz w:val="16"/>
                <w:szCs w:val="16"/>
              </w:rPr>
              <w:t>▲</w:t>
            </w:r>
            <w:r>
              <w:rPr>
                <w:rFonts w:asciiTheme="minorHAnsi" w:hAnsiTheme="minorHAnsi" w:cstheme="minorHAnsi"/>
                <w:sz w:val="16"/>
                <w:szCs w:val="16"/>
              </w:rPr>
              <w:t xml:space="preserve"> 48.0%</w:t>
            </w:r>
          </w:p>
        </w:tc>
      </w:tr>
      <w:tr w:rsidR="003D28CF" w:rsidRPr="0067738A" w14:paraId="538C7748" w14:textId="77777777" w:rsidTr="001458B7">
        <w:trPr>
          <w:trHeight w:val="340"/>
        </w:trPr>
        <w:tc>
          <w:tcPr>
            <w:tcW w:w="567" w:type="pct"/>
            <w:vMerge/>
            <w:vAlign w:val="center"/>
          </w:tcPr>
          <w:p w14:paraId="0BCD8C27" w14:textId="77777777" w:rsidR="003D28CF" w:rsidRPr="0067738A" w:rsidRDefault="003D28CF" w:rsidP="001458B7">
            <w:pPr>
              <w:spacing w:after="0"/>
              <w:rPr>
                <w:rFonts w:asciiTheme="minorHAnsi" w:hAnsiTheme="minorHAnsi" w:cstheme="minorHAnsi"/>
                <w:sz w:val="16"/>
                <w:szCs w:val="16"/>
              </w:rPr>
            </w:pPr>
          </w:p>
        </w:tc>
        <w:tc>
          <w:tcPr>
            <w:tcW w:w="1301" w:type="pct"/>
            <w:shd w:val="clear" w:color="auto" w:fill="auto"/>
            <w:vAlign w:val="center"/>
            <w:hideMark/>
          </w:tcPr>
          <w:p w14:paraId="67866087" w14:textId="77777777" w:rsidR="003D28CF" w:rsidRPr="0067738A" w:rsidRDefault="003D28CF" w:rsidP="001458B7">
            <w:pPr>
              <w:spacing w:after="0"/>
              <w:rPr>
                <w:rFonts w:asciiTheme="minorHAnsi" w:hAnsiTheme="minorHAnsi" w:cstheme="minorHAnsi"/>
                <w:sz w:val="16"/>
                <w:szCs w:val="16"/>
              </w:rPr>
            </w:pPr>
            <w:r w:rsidRPr="0067738A">
              <w:rPr>
                <w:rFonts w:asciiTheme="minorHAnsi" w:hAnsiTheme="minorHAnsi" w:cstheme="minorHAnsi"/>
                <w:sz w:val="16"/>
                <w:szCs w:val="16"/>
              </w:rPr>
              <w:t xml:space="preserve">Carbapenemase and ribosomal methyltransferase-producing </w:t>
            </w:r>
          </w:p>
        </w:tc>
        <w:tc>
          <w:tcPr>
            <w:tcW w:w="192" w:type="pct"/>
            <w:tcBorders>
              <w:bottom w:val="single" w:sz="4" w:space="0" w:color="auto"/>
            </w:tcBorders>
            <w:shd w:val="clear" w:color="auto" w:fill="auto"/>
            <w:noWrap/>
            <w:vAlign w:val="center"/>
          </w:tcPr>
          <w:p w14:paraId="2931F9E5" w14:textId="77777777" w:rsidR="003D28CF" w:rsidRPr="0067738A" w:rsidRDefault="003D28CF" w:rsidP="001458B7">
            <w:pPr>
              <w:spacing w:after="0"/>
              <w:jc w:val="center"/>
              <w:rPr>
                <w:rFonts w:asciiTheme="minorHAnsi" w:hAnsiTheme="minorHAnsi" w:cstheme="minorHAnsi"/>
                <w:sz w:val="16"/>
                <w:szCs w:val="16"/>
              </w:rPr>
            </w:pPr>
            <w:r w:rsidRPr="00506C8E">
              <w:rPr>
                <w:rFonts w:asciiTheme="minorHAnsi" w:hAnsiTheme="minorHAnsi" w:cstheme="minorHAnsi"/>
                <w:sz w:val="16"/>
                <w:szCs w:val="16"/>
              </w:rPr>
              <w:t>1</w:t>
            </w:r>
          </w:p>
        </w:tc>
        <w:tc>
          <w:tcPr>
            <w:tcW w:w="212" w:type="pct"/>
            <w:tcBorders>
              <w:bottom w:val="single" w:sz="4" w:space="0" w:color="auto"/>
            </w:tcBorders>
            <w:shd w:val="clear" w:color="auto" w:fill="auto"/>
            <w:noWrap/>
            <w:vAlign w:val="center"/>
          </w:tcPr>
          <w:p w14:paraId="7D4C8F18"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7</w:t>
            </w:r>
          </w:p>
        </w:tc>
        <w:tc>
          <w:tcPr>
            <w:tcW w:w="192" w:type="pct"/>
            <w:tcBorders>
              <w:bottom w:val="single" w:sz="4" w:space="0" w:color="auto"/>
            </w:tcBorders>
            <w:shd w:val="clear" w:color="auto" w:fill="auto"/>
            <w:noWrap/>
            <w:vAlign w:val="center"/>
          </w:tcPr>
          <w:p w14:paraId="7D1A81CD"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tcBorders>
              <w:bottom w:val="single" w:sz="4" w:space="0" w:color="auto"/>
            </w:tcBorders>
            <w:shd w:val="clear" w:color="auto" w:fill="auto"/>
            <w:noWrap/>
            <w:vAlign w:val="center"/>
          </w:tcPr>
          <w:p w14:paraId="7CF29FDD"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tcBorders>
              <w:bottom w:val="single" w:sz="4" w:space="0" w:color="auto"/>
            </w:tcBorders>
            <w:shd w:val="clear" w:color="auto" w:fill="auto"/>
            <w:noWrap/>
            <w:vAlign w:val="center"/>
          </w:tcPr>
          <w:p w14:paraId="02EBCE03"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tcBorders>
              <w:bottom w:val="single" w:sz="4" w:space="0" w:color="auto"/>
            </w:tcBorders>
            <w:shd w:val="clear" w:color="auto" w:fill="auto"/>
            <w:noWrap/>
            <w:vAlign w:val="center"/>
          </w:tcPr>
          <w:p w14:paraId="2B4AEBC9"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tcBorders>
              <w:bottom w:val="single" w:sz="4" w:space="0" w:color="auto"/>
            </w:tcBorders>
            <w:shd w:val="clear" w:color="auto" w:fill="auto"/>
            <w:noWrap/>
            <w:vAlign w:val="center"/>
          </w:tcPr>
          <w:p w14:paraId="74443551"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4" w:type="pct"/>
            <w:tcBorders>
              <w:bottom w:val="single" w:sz="4" w:space="0" w:color="auto"/>
              <w:right w:val="single" w:sz="12" w:space="0" w:color="auto"/>
            </w:tcBorders>
            <w:shd w:val="clear" w:color="auto" w:fill="auto"/>
            <w:noWrap/>
            <w:vAlign w:val="center"/>
          </w:tcPr>
          <w:p w14:paraId="77BE5736"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13" w:type="pct"/>
            <w:tcBorders>
              <w:left w:val="single" w:sz="12" w:space="0" w:color="auto"/>
              <w:bottom w:val="single" w:sz="4" w:space="0" w:color="auto"/>
            </w:tcBorders>
            <w:shd w:val="clear" w:color="auto" w:fill="auto"/>
            <w:vAlign w:val="center"/>
          </w:tcPr>
          <w:p w14:paraId="5C24BD4F"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color w:val="000000"/>
                <w:sz w:val="16"/>
                <w:szCs w:val="16"/>
              </w:rPr>
              <w:t>8</w:t>
            </w:r>
          </w:p>
        </w:tc>
        <w:tc>
          <w:tcPr>
            <w:tcW w:w="213" w:type="pct"/>
            <w:tcBorders>
              <w:bottom w:val="single" w:sz="4" w:space="0" w:color="auto"/>
            </w:tcBorders>
            <w:vAlign w:val="center"/>
          </w:tcPr>
          <w:p w14:paraId="087F61EF"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5</w:t>
            </w:r>
          </w:p>
        </w:tc>
        <w:tc>
          <w:tcPr>
            <w:tcW w:w="342" w:type="pct"/>
            <w:tcBorders>
              <w:bottom w:val="single" w:sz="4" w:space="0" w:color="auto"/>
              <w:right w:val="single" w:sz="12" w:space="0" w:color="auto"/>
            </w:tcBorders>
            <w:vAlign w:val="center"/>
          </w:tcPr>
          <w:p w14:paraId="19DCC653" w14:textId="77777777" w:rsidR="003D28CF" w:rsidRPr="001A2873" w:rsidRDefault="003D28CF" w:rsidP="001458B7">
            <w:pPr>
              <w:spacing w:after="0"/>
              <w:jc w:val="center"/>
              <w:rPr>
                <w:rFonts w:asciiTheme="minorHAnsi" w:hAnsiTheme="minorHAnsi" w:cstheme="minorHAnsi"/>
                <w:sz w:val="16"/>
                <w:szCs w:val="16"/>
              </w:rPr>
            </w:pPr>
            <w:r w:rsidRPr="004254C8">
              <w:rPr>
                <w:rFonts w:asciiTheme="minorHAnsi" w:hAnsiTheme="minorHAnsi" w:cstheme="minorHAnsi"/>
                <w:color w:val="FF0000"/>
                <w:sz w:val="16"/>
                <w:szCs w:val="16"/>
              </w:rPr>
              <w:t>▲</w:t>
            </w:r>
            <w:r>
              <w:rPr>
                <w:rFonts w:asciiTheme="minorHAnsi" w:hAnsiTheme="minorHAnsi" w:cstheme="minorHAnsi"/>
                <w:color w:val="00B050"/>
                <w:sz w:val="16"/>
                <w:szCs w:val="16"/>
              </w:rPr>
              <w:t xml:space="preserve"> </w:t>
            </w:r>
            <w:r>
              <w:rPr>
                <w:rFonts w:asciiTheme="minorHAnsi" w:hAnsiTheme="minorHAnsi" w:cstheme="minorHAnsi"/>
                <w:sz w:val="16"/>
                <w:szCs w:val="16"/>
              </w:rPr>
              <w:t>60</w:t>
            </w:r>
            <w:r w:rsidRPr="00EE0537">
              <w:rPr>
                <w:rFonts w:asciiTheme="minorHAnsi" w:hAnsiTheme="minorHAnsi" w:cstheme="minorHAnsi"/>
                <w:sz w:val="16"/>
                <w:szCs w:val="16"/>
              </w:rPr>
              <w:t>.0%</w:t>
            </w:r>
          </w:p>
        </w:tc>
        <w:tc>
          <w:tcPr>
            <w:tcW w:w="235" w:type="pct"/>
            <w:shd w:val="clear" w:color="auto" w:fill="auto"/>
            <w:vAlign w:val="center"/>
          </w:tcPr>
          <w:p w14:paraId="45B10FFB"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8</w:t>
            </w:r>
          </w:p>
        </w:tc>
        <w:tc>
          <w:tcPr>
            <w:tcW w:w="235" w:type="pct"/>
            <w:shd w:val="clear" w:color="auto" w:fill="auto"/>
            <w:vAlign w:val="center"/>
          </w:tcPr>
          <w:p w14:paraId="34BEE202"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2</w:t>
            </w:r>
          </w:p>
        </w:tc>
        <w:tc>
          <w:tcPr>
            <w:tcW w:w="336" w:type="pct"/>
            <w:vAlign w:val="center"/>
          </w:tcPr>
          <w:p w14:paraId="19F127B1" w14:textId="77777777" w:rsidR="003D28CF" w:rsidRPr="0067738A" w:rsidRDefault="003D28CF" w:rsidP="001458B7">
            <w:pPr>
              <w:spacing w:after="0"/>
              <w:jc w:val="center"/>
              <w:rPr>
                <w:rFonts w:asciiTheme="minorHAnsi" w:hAnsiTheme="minorHAnsi" w:cstheme="minorHAnsi"/>
                <w:sz w:val="16"/>
                <w:szCs w:val="16"/>
              </w:rPr>
            </w:pPr>
            <w:r w:rsidRPr="004254C8">
              <w:rPr>
                <w:rFonts w:asciiTheme="minorHAnsi" w:hAnsiTheme="minorHAnsi" w:cstheme="minorHAnsi"/>
                <w:color w:val="FF0000"/>
                <w:sz w:val="16"/>
                <w:szCs w:val="16"/>
              </w:rPr>
              <w:t>▲</w:t>
            </w:r>
            <w:r w:rsidRPr="00B620BA">
              <w:rPr>
                <w:rFonts w:asciiTheme="minorHAnsi" w:hAnsiTheme="minorHAnsi" w:cstheme="minorHAnsi"/>
                <w:color w:val="auto"/>
                <w:sz w:val="16"/>
                <w:szCs w:val="16"/>
              </w:rPr>
              <w:t xml:space="preserve"> </w:t>
            </w:r>
            <w:r>
              <w:rPr>
                <w:rFonts w:asciiTheme="minorHAnsi" w:hAnsiTheme="minorHAnsi" w:cstheme="minorHAnsi"/>
                <w:sz w:val="16"/>
                <w:szCs w:val="16"/>
              </w:rPr>
              <w:t>300.0%</w:t>
            </w:r>
          </w:p>
        </w:tc>
      </w:tr>
      <w:tr w:rsidR="003D28CF" w:rsidRPr="0067738A" w14:paraId="71AA5A35" w14:textId="77777777" w:rsidTr="001458B7">
        <w:trPr>
          <w:trHeight w:val="340"/>
        </w:trPr>
        <w:tc>
          <w:tcPr>
            <w:tcW w:w="567" w:type="pct"/>
            <w:vMerge/>
            <w:vAlign w:val="center"/>
          </w:tcPr>
          <w:p w14:paraId="4EC8F805" w14:textId="77777777" w:rsidR="003D28CF" w:rsidRPr="0067738A" w:rsidRDefault="003D28CF" w:rsidP="001458B7">
            <w:pPr>
              <w:spacing w:after="0"/>
              <w:rPr>
                <w:rFonts w:asciiTheme="minorHAnsi" w:hAnsiTheme="minorHAnsi" w:cstheme="minorHAnsi"/>
                <w:sz w:val="16"/>
                <w:szCs w:val="16"/>
              </w:rPr>
            </w:pPr>
          </w:p>
        </w:tc>
        <w:tc>
          <w:tcPr>
            <w:tcW w:w="1301" w:type="pct"/>
            <w:shd w:val="clear" w:color="auto" w:fill="auto"/>
            <w:vAlign w:val="center"/>
          </w:tcPr>
          <w:p w14:paraId="0EDFC31E" w14:textId="77777777" w:rsidR="003D28CF" w:rsidRPr="0067738A" w:rsidRDefault="003D28CF" w:rsidP="001458B7">
            <w:pPr>
              <w:spacing w:after="0"/>
              <w:rPr>
                <w:rFonts w:asciiTheme="minorHAnsi" w:hAnsiTheme="minorHAnsi" w:cstheme="minorHAnsi"/>
                <w:sz w:val="16"/>
                <w:szCs w:val="16"/>
              </w:rPr>
            </w:pPr>
            <w:r w:rsidRPr="0067738A">
              <w:rPr>
                <w:rFonts w:asciiTheme="minorHAnsi" w:hAnsiTheme="minorHAnsi" w:cstheme="minorHAnsi"/>
                <w:sz w:val="16"/>
                <w:szCs w:val="16"/>
              </w:rPr>
              <w:t>Ribosomal methyltransferase-producing</w:t>
            </w:r>
          </w:p>
        </w:tc>
        <w:tc>
          <w:tcPr>
            <w:tcW w:w="192" w:type="pct"/>
            <w:tcBorders>
              <w:bottom w:val="single" w:sz="4" w:space="0" w:color="auto"/>
            </w:tcBorders>
            <w:shd w:val="clear" w:color="auto" w:fill="auto"/>
            <w:noWrap/>
            <w:vAlign w:val="center"/>
          </w:tcPr>
          <w:p w14:paraId="394D0D92"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1</w:t>
            </w:r>
          </w:p>
        </w:tc>
        <w:tc>
          <w:tcPr>
            <w:tcW w:w="212" w:type="pct"/>
            <w:tcBorders>
              <w:bottom w:val="single" w:sz="4" w:space="0" w:color="auto"/>
            </w:tcBorders>
            <w:shd w:val="clear" w:color="auto" w:fill="auto"/>
            <w:noWrap/>
            <w:vAlign w:val="center"/>
          </w:tcPr>
          <w:p w14:paraId="5C0E724E"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1</w:t>
            </w:r>
          </w:p>
        </w:tc>
        <w:tc>
          <w:tcPr>
            <w:tcW w:w="192" w:type="pct"/>
            <w:tcBorders>
              <w:bottom w:val="single" w:sz="4" w:space="0" w:color="auto"/>
            </w:tcBorders>
            <w:shd w:val="clear" w:color="auto" w:fill="auto"/>
            <w:noWrap/>
            <w:vAlign w:val="center"/>
          </w:tcPr>
          <w:p w14:paraId="3143F321"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tcBorders>
              <w:bottom w:val="single" w:sz="4" w:space="0" w:color="auto"/>
            </w:tcBorders>
            <w:shd w:val="clear" w:color="auto" w:fill="auto"/>
            <w:noWrap/>
            <w:vAlign w:val="center"/>
          </w:tcPr>
          <w:p w14:paraId="16D2F5D5"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tcBorders>
              <w:bottom w:val="single" w:sz="4" w:space="0" w:color="auto"/>
            </w:tcBorders>
            <w:shd w:val="clear" w:color="auto" w:fill="auto"/>
            <w:noWrap/>
            <w:vAlign w:val="center"/>
          </w:tcPr>
          <w:p w14:paraId="362DB2BD"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tcBorders>
              <w:bottom w:val="single" w:sz="4" w:space="0" w:color="auto"/>
            </w:tcBorders>
            <w:shd w:val="clear" w:color="auto" w:fill="auto"/>
            <w:noWrap/>
            <w:vAlign w:val="center"/>
          </w:tcPr>
          <w:p w14:paraId="122EC5A5"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tcBorders>
              <w:bottom w:val="single" w:sz="4" w:space="0" w:color="auto"/>
            </w:tcBorders>
            <w:shd w:val="clear" w:color="auto" w:fill="auto"/>
            <w:noWrap/>
            <w:vAlign w:val="center"/>
          </w:tcPr>
          <w:p w14:paraId="2760FB46"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4" w:type="pct"/>
            <w:tcBorders>
              <w:bottom w:val="single" w:sz="4" w:space="0" w:color="auto"/>
              <w:right w:val="single" w:sz="12" w:space="0" w:color="auto"/>
            </w:tcBorders>
            <w:shd w:val="clear" w:color="auto" w:fill="auto"/>
            <w:noWrap/>
            <w:vAlign w:val="center"/>
          </w:tcPr>
          <w:p w14:paraId="4E9465F9"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13" w:type="pct"/>
            <w:tcBorders>
              <w:left w:val="single" w:sz="12" w:space="0" w:color="auto"/>
              <w:bottom w:val="single" w:sz="4" w:space="0" w:color="auto"/>
            </w:tcBorders>
            <w:shd w:val="clear" w:color="auto" w:fill="auto"/>
            <w:vAlign w:val="center"/>
          </w:tcPr>
          <w:p w14:paraId="2E18EE7B"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2</w:t>
            </w:r>
          </w:p>
        </w:tc>
        <w:tc>
          <w:tcPr>
            <w:tcW w:w="213" w:type="pct"/>
            <w:tcBorders>
              <w:bottom w:val="single" w:sz="4" w:space="0" w:color="auto"/>
            </w:tcBorders>
            <w:vAlign w:val="center"/>
          </w:tcPr>
          <w:p w14:paraId="0D81A32D"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342" w:type="pct"/>
            <w:tcBorders>
              <w:bottom w:val="single" w:sz="4" w:space="0" w:color="auto"/>
              <w:right w:val="single" w:sz="12" w:space="0" w:color="auto"/>
            </w:tcBorders>
            <w:vAlign w:val="center"/>
          </w:tcPr>
          <w:p w14:paraId="415DBB8E" w14:textId="77777777" w:rsidR="003D28CF" w:rsidRPr="001A2873" w:rsidRDefault="003D28CF" w:rsidP="001458B7">
            <w:pPr>
              <w:spacing w:after="0"/>
              <w:jc w:val="center"/>
              <w:rPr>
                <w:rFonts w:asciiTheme="minorHAnsi" w:hAnsiTheme="minorHAnsi" w:cstheme="minorHAnsi"/>
                <w:sz w:val="16"/>
                <w:szCs w:val="16"/>
              </w:rPr>
            </w:pPr>
            <w:r w:rsidRPr="001A2873">
              <w:rPr>
                <w:rFonts w:asciiTheme="minorHAnsi" w:hAnsiTheme="minorHAnsi" w:cstheme="minorHAnsi"/>
                <w:sz w:val="16"/>
                <w:szCs w:val="16"/>
              </w:rPr>
              <w:t>–</w:t>
            </w:r>
          </w:p>
        </w:tc>
        <w:tc>
          <w:tcPr>
            <w:tcW w:w="235" w:type="pct"/>
            <w:shd w:val="clear" w:color="auto" w:fill="auto"/>
            <w:vAlign w:val="center"/>
          </w:tcPr>
          <w:p w14:paraId="43F117FE"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2</w:t>
            </w:r>
          </w:p>
        </w:tc>
        <w:tc>
          <w:tcPr>
            <w:tcW w:w="235" w:type="pct"/>
            <w:shd w:val="clear" w:color="auto" w:fill="auto"/>
            <w:vAlign w:val="center"/>
          </w:tcPr>
          <w:p w14:paraId="13324A36"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336" w:type="pct"/>
            <w:vAlign w:val="center"/>
          </w:tcPr>
          <w:p w14:paraId="0B55B26B" w14:textId="77777777" w:rsidR="003D28CF" w:rsidRPr="0067738A" w:rsidRDefault="003D28CF" w:rsidP="001458B7">
            <w:pPr>
              <w:spacing w:after="0"/>
              <w:jc w:val="center"/>
              <w:rPr>
                <w:rFonts w:asciiTheme="minorHAnsi" w:hAnsiTheme="minorHAnsi" w:cstheme="minorHAnsi"/>
                <w:sz w:val="16"/>
                <w:szCs w:val="16"/>
              </w:rPr>
            </w:pPr>
            <w:r w:rsidRPr="001A2873">
              <w:rPr>
                <w:rFonts w:asciiTheme="minorHAnsi" w:hAnsiTheme="minorHAnsi" w:cstheme="minorHAnsi"/>
                <w:sz w:val="16"/>
                <w:szCs w:val="16"/>
              </w:rPr>
              <w:t>–</w:t>
            </w:r>
          </w:p>
        </w:tc>
      </w:tr>
      <w:tr w:rsidR="003D28CF" w:rsidRPr="0067738A" w14:paraId="04868187" w14:textId="77777777" w:rsidTr="001458B7">
        <w:trPr>
          <w:trHeight w:val="340"/>
        </w:trPr>
        <w:tc>
          <w:tcPr>
            <w:tcW w:w="567" w:type="pct"/>
            <w:vAlign w:val="center"/>
          </w:tcPr>
          <w:p w14:paraId="2F538AF5" w14:textId="77777777" w:rsidR="003D28CF" w:rsidRPr="0067738A" w:rsidRDefault="003D28CF" w:rsidP="001458B7">
            <w:pPr>
              <w:spacing w:after="0"/>
              <w:rPr>
                <w:rFonts w:asciiTheme="minorHAnsi" w:hAnsiTheme="minorHAnsi" w:cstheme="minorHAnsi"/>
                <w:sz w:val="16"/>
                <w:szCs w:val="16"/>
              </w:rPr>
            </w:pPr>
            <w:r w:rsidRPr="0067738A">
              <w:rPr>
                <w:rFonts w:asciiTheme="minorHAnsi" w:hAnsiTheme="minorHAnsi" w:cstheme="minorHAnsi"/>
                <w:i/>
                <w:iCs/>
                <w:sz w:val="16"/>
                <w:szCs w:val="16"/>
              </w:rPr>
              <w:t xml:space="preserve">Enterococcus </w:t>
            </w:r>
            <w:r w:rsidRPr="00B31D3C">
              <w:rPr>
                <w:rFonts w:asciiTheme="minorHAnsi" w:hAnsiTheme="minorHAnsi" w:cstheme="minorHAnsi"/>
                <w:iCs/>
                <w:sz w:val="16"/>
                <w:szCs w:val="16"/>
              </w:rPr>
              <w:t>species</w:t>
            </w:r>
          </w:p>
        </w:tc>
        <w:tc>
          <w:tcPr>
            <w:tcW w:w="1301" w:type="pct"/>
            <w:shd w:val="clear" w:color="auto" w:fill="auto"/>
            <w:vAlign w:val="center"/>
            <w:hideMark/>
          </w:tcPr>
          <w:p w14:paraId="33069B77" w14:textId="0964B5F8" w:rsidR="003D28CF" w:rsidRPr="0067738A" w:rsidRDefault="003D28CF" w:rsidP="005F17AF">
            <w:pPr>
              <w:spacing w:after="0"/>
              <w:rPr>
                <w:rFonts w:asciiTheme="minorHAnsi" w:hAnsiTheme="minorHAnsi" w:cstheme="minorHAnsi"/>
                <w:sz w:val="16"/>
                <w:szCs w:val="16"/>
              </w:rPr>
            </w:pPr>
            <w:r w:rsidRPr="0067738A">
              <w:rPr>
                <w:rFonts w:asciiTheme="minorHAnsi" w:hAnsiTheme="minorHAnsi" w:cstheme="minorHAnsi"/>
                <w:sz w:val="16"/>
                <w:szCs w:val="16"/>
              </w:rPr>
              <w:t>Linezolid</w:t>
            </w:r>
            <w:r w:rsidR="005F17AF">
              <w:rPr>
                <w:rFonts w:asciiTheme="minorHAnsi" w:hAnsiTheme="minorHAnsi" w:cstheme="minorHAnsi"/>
                <w:sz w:val="16"/>
                <w:szCs w:val="16"/>
              </w:rPr>
              <w:t xml:space="preserve"> </w:t>
            </w:r>
            <w:r w:rsidRPr="0067738A">
              <w:rPr>
                <w:rFonts w:asciiTheme="minorHAnsi" w:hAnsiTheme="minorHAnsi" w:cstheme="minorHAnsi"/>
                <w:sz w:val="16"/>
                <w:szCs w:val="16"/>
              </w:rPr>
              <w:t>non</w:t>
            </w:r>
            <w:r w:rsidR="005F17AF">
              <w:rPr>
                <w:rFonts w:asciiTheme="minorHAnsi" w:hAnsiTheme="minorHAnsi" w:cstheme="minorHAnsi"/>
                <w:sz w:val="16"/>
                <w:szCs w:val="16"/>
              </w:rPr>
              <w:t>-</w:t>
            </w:r>
            <w:r w:rsidRPr="0067738A">
              <w:rPr>
                <w:rFonts w:asciiTheme="minorHAnsi" w:hAnsiTheme="minorHAnsi" w:cstheme="minorHAnsi"/>
                <w:sz w:val="16"/>
                <w:szCs w:val="16"/>
              </w:rPr>
              <w:t>susceptible</w:t>
            </w:r>
          </w:p>
        </w:tc>
        <w:tc>
          <w:tcPr>
            <w:tcW w:w="192" w:type="pct"/>
            <w:shd w:val="clear" w:color="auto" w:fill="auto"/>
            <w:noWrap/>
            <w:vAlign w:val="center"/>
          </w:tcPr>
          <w:p w14:paraId="1F87027E"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1</w:t>
            </w:r>
          </w:p>
        </w:tc>
        <w:tc>
          <w:tcPr>
            <w:tcW w:w="212" w:type="pct"/>
            <w:shd w:val="clear" w:color="auto" w:fill="auto"/>
            <w:noWrap/>
            <w:vAlign w:val="center"/>
          </w:tcPr>
          <w:p w14:paraId="19776295" w14:textId="77777777" w:rsidR="003D28CF" w:rsidRPr="0067738A" w:rsidRDefault="003D28CF" w:rsidP="001458B7">
            <w:pPr>
              <w:spacing w:after="0"/>
              <w:jc w:val="center"/>
              <w:rPr>
                <w:rFonts w:asciiTheme="minorHAnsi" w:hAnsiTheme="minorHAnsi" w:cstheme="minorHAnsi"/>
                <w:sz w:val="16"/>
                <w:szCs w:val="16"/>
              </w:rPr>
            </w:pPr>
            <w:r w:rsidRPr="00506C8E">
              <w:rPr>
                <w:rFonts w:asciiTheme="minorHAnsi" w:hAnsiTheme="minorHAnsi" w:cstheme="minorHAnsi"/>
                <w:sz w:val="16"/>
                <w:szCs w:val="16"/>
              </w:rPr>
              <w:t>1</w:t>
            </w:r>
          </w:p>
        </w:tc>
        <w:tc>
          <w:tcPr>
            <w:tcW w:w="192" w:type="pct"/>
            <w:shd w:val="clear" w:color="auto" w:fill="auto"/>
            <w:noWrap/>
            <w:vAlign w:val="center"/>
          </w:tcPr>
          <w:p w14:paraId="140DBA8F"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shd w:val="clear" w:color="auto" w:fill="auto"/>
            <w:noWrap/>
            <w:vAlign w:val="center"/>
          </w:tcPr>
          <w:p w14:paraId="6DBABDEA"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shd w:val="clear" w:color="auto" w:fill="auto"/>
            <w:noWrap/>
            <w:vAlign w:val="center"/>
          </w:tcPr>
          <w:p w14:paraId="30149C2A"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shd w:val="clear" w:color="auto" w:fill="auto"/>
            <w:noWrap/>
            <w:vAlign w:val="center"/>
          </w:tcPr>
          <w:p w14:paraId="21B7CF27"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shd w:val="clear" w:color="auto" w:fill="auto"/>
            <w:noWrap/>
            <w:vAlign w:val="center"/>
          </w:tcPr>
          <w:p w14:paraId="2392C11E"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4" w:type="pct"/>
            <w:tcBorders>
              <w:right w:val="single" w:sz="12" w:space="0" w:color="auto"/>
            </w:tcBorders>
            <w:shd w:val="clear" w:color="auto" w:fill="auto"/>
            <w:noWrap/>
            <w:vAlign w:val="center"/>
          </w:tcPr>
          <w:p w14:paraId="50076D58"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13" w:type="pct"/>
            <w:tcBorders>
              <w:left w:val="single" w:sz="12" w:space="0" w:color="auto"/>
            </w:tcBorders>
            <w:shd w:val="clear" w:color="auto" w:fill="auto"/>
            <w:vAlign w:val="center"/>
          </w:tcPr>
          <w:p w14:paraId="47FAB3D1"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2</w:t>
            </w:r>
          </w:p>
        </w:tc>
        <w:tc>
          <w:tcPr>
            <w:tcW w:w="213" w:type="pct"/>
            <w:vAlign w:val="center"/>
          </w:tcPr>
          <w:p w14:paraId="77D13383"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1</w:t>
            </w:r>
          </w:p>
        </w:tc>
        <w:tc>
          <w:tcPr>
            <w:tcW w:w="342" w:type="pct"/>
            <w:tcBorders>
              <w:right w:val="single" w:sz="12" w:space="0" w:color="auto"/>
            </w:tcBorders>
            <w:vAlign w:val="center"/>
          </w:tcPr>
          <w:p w14:paraId="2FB21995" w14:textId="77777777" w:rsidR="003D28CF" w:rsidRPr="001A2873" w:rsidRDefault="003D28CF" w:rsidP="001458B7">
            <w:pPr>
              <w:spacing w:after="0"/>
              <w:jc w:val="center"/>
              <w:rPr>
                <w:rFonts w:asciiTheme="minorHAnsi" w:hAnsiTheme="minorHAnsi" w:cstheme="minorHAnsi"/>
                <w:sz w:val="16"/>
                <w:szCs w:val="16"/>
              </w:rPr>
            </w:pPr>
            <w:r w:rsidRPr="004254C8">
              <w:rPr>
                <w:rFonts w:asciiTheme="minorHAnsi" w:hAnsiTheme="minorHAnsi" w:cstheme="minorHAnsi"/>
                <w:color w:val="FF0000"/>
                <w:sz w:val="16"/>
                <w:szCs w:val="16"/>
              </w:rPr>
              <w:t>▲</w:t>
            </w:r>
            <w:r>
              <w:rPr>
                <w:rFonts w:asciiTheme="minorHAnsi" w:hAnsiTheme="minorHAnsi" w:cstheme="minorHAnsi"/>
                <w:sz w:val="16"/>
                <w:szCs w:val="16"/>
              </w:rPr>
              <w:t xml:space="preserve"> 100.0%</w:t>
            </w:r>
          </w:p>
        </w:tc>
        <w:tc>
          <w:tcPr>
            <w:tcW w:w="235" w:type="pct"/>
            <w:shd w:val="clear" w:color="auto" w:fill="auto"/>
            <w:vAlign w:val="center"/>
          </w:tcPr>
          <w:p w14:paraId="5E8C3FAB"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2</w:t>
            </w:r>
          </w:p>
        </w:tc>
        <w:tc>
          <w:tcPr>
            <w:tcW w:w="235" w:type="pct"/>
            <w:shd w:val="clear" w:color="auto" w:fill="auto"/>
            <w:vAlign w:val="center"/>
          </w:tcPr>
          <w:p w14:paraId="45737B75"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3</w:t>
            </w:r>
          </w:p>
        </w:tc>
        <w:tc>
          <w:tcPr>
            <w:tcW w:w="336" w:type="pct"/>
            <w:vAlign w:val="center"/>
          </w:tcPr>
          <w:p w14:paraId="7A540666" w14:textId="77777777" w:rsidR="003D28CF" w:rsidRPr="00EB1BC2" w:rsidRDefault="003D28CF" w:rsidP="001458B7">
            <w:pPr>
              <w:spacing w:after="0"/>
              <w:jc w:val="center"/>
              <w:rPr>
                <w:rFonts w:cstheme="minorHAnsi"/>
                <w:sz w:val="16"/>
                <w:szCs w:val="16"/>
              </w:rPr>
            </w:pPr>
            <w:r w:rsidRPr="00EB1BC2">
              <w:rPr>
                <w:rFonts w:cstheme="minorHAnsi"/>
                <w:color w:val="00B050"/>
                <w:sz w:val="16"/>
                <w:szCs w:val="16"/>
              </w:rPr>
              <w:t>▼</w:t>
            </w:r>
            <w:r>
              <w:rPr>
                <w:rFonts w:cstheme="minorHAnsi"/>
                <w:sz w:val="16"/>
                <w:szCs w:val="16"/>
              </w:rPr>
              <w:t xml:space="preserve"> 33.3</w:t>
            </w:r>
            <w:r w:rsidRPr="00EB1BC2">
              <w:rPr>
                <w:rFonts w:cstheme="minorHAnsi"/>
                <w:sz w:val="16"/>
                <w:szCs w:val="16"/>
              </w:rPr>
              <w:t>%</w:t>
            </w:r>
          </w:p>
        </w:tc>
      </w:tr>
      <w:tr w:rsidR="003D28CF" w:rsidRPr="0067738A" w14:paraId="0E7E2D8E" w14:textId="77777777" w:rsidTr="001458B7">
        <w:trPr>
          <w:trHeight w:val="340"/>
        </w:trPr>
        <w:tc>
          <w:tcPr>
            <w:tcW w:w="567" w:type="pct"/>
            <w:vAlign w:val="center"/>
          </w:tcPr>
          <w:p w14:paraId="3723BEEE" w14:textId="77777777" w:rsidR="003D28CF" w:rsidRPr="0067738A" w:rsidRDefault="003D28CF" w:rsidP="001458B7">
            <w:pPr>
              <w:spacing w:after="0"/>
              <w:rPr>
                <w:rFonts w:asciiTheme="minorHAnsi" w:hAnsiTheme="minorHAnsi" w:cstheme="minorHAnsi"/>
                <w:i/>
                <w:iCs/>
                <w:sz w:val="16"/>
                <w:szCs w:val="16"/>
              </w:rPr>
            </w:pPr>
            <w:r w:rsidRPr="0067738A">
              <w:rPr>
                <w:rFonts w:asciiTheme="minorHAnsi" w:hAnsiTheme="minorHAnsi" w:cstheme="minorHAnsi"/>
                <w:i/>
                <w:iCs/>
                <w:sz w:val="16"/>
                <w:szCs w:val="16"/>
              </w:rPr>
              <w:t>Mycobacterium tuberculosis</w:t>
            </w:r>
          </w:p>
        </w:tc>
        <w:tc>
          <w:tcPr>
            <w:tcW w:w="1301" w:type="pct"/>
            <w:shd w:val="clear" w:color="auto" w:fill="auto"/>
            <w:vAlign w:val="center"/>
            <w:hideMark/>
          </w:tcPr>
          <w:p w14:paraId="716094B6" w14:textId="77777777" w:rsidR="003D28CF" w:rsidRPr="0067738A" w:rsidRDefault="003D28CF" w:rsidP="001458B7">
            <w:pPr>
              <w:spacing w:after="0"/>
              <w:rPr>
                <w:rFonts w:asciiTheme="minorHAnsi" w:hAnsiTheme="minorHAnsi" w:cstheme="minorHAnsi"/>
                <w:sz w:val="16"/>
                <w:szCs w:val="16"/>
              </w:rPr>
            </w:pPr>
            <w:r w:rsidRPr="0067738A">
              <w:rPr>
                <w:rFonts w:asciiTheme="minorHAnsi" w:hAnsiTheme="minorHAnsi" w:cstheme="minorHAnsi"/>
                <w:sz w:val="16"/>
                <w:szCs w:val="16"/>
              </w:rPr>
              <w:t>Multidrug-resistant – at least rifampicin- and isoniazid-resistant strains</w:t>
            </w:r>
          </w:p>
        </w:tc>
        <w:tc>
          <w:tcPr>
            <w:tcW w:w="192" w:type="pct"/>
            <w:shd w:val="clear" w:color="auto" w:fill="auto"/>
            <w:noWrap/>
            <w:vAlign w:val="center"/>
          </w:tcPr>
          <w:p w14:paraId="21360BAC"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12" w:type="pct"/>
            <w:shd w:val="clear" w:color="auto" w:fill="auto"/>
            <w:noWrap/>
            <w:vAlign w:val="center"/>
          </w:tcPr>
          <w:p w14:paraId="316A7B36"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2</w:t>
            </w:r>
          </w:p>
        </w:tc>
        <w:tc>
          <w:tcPr>
            <w:tcW w:w="192" w:type="pct"/>
            <w:shd w:val="clear" w:color="auto" w:fill="auto"/>
            <w:noWrap/>
            <w:vAlign w:val="center"/>
          </w:tcPr>
          <w:p w14:paraId="5D058328"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shd w:val="clear" w:color="auto" w:fill="auto"/>
            <w:noWrap/>
            <w:vAlign w:val="center"/>
          </w:tcPr>
          <w:p w14:paraId="37858CBE"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shd w:val="clear" w:color="auto" w:fill="auto"/>
            <w:noWrap/>
            <w:vAlign w:val="center"/>
          </w:tcPr>
          <w:p w14:paraId="19752E7E"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shd w:val="clear" w:color="auto" w:fill="auto"/>
            <w:noWrap/>
            <w:vAlign w:val="center"/>
          </w:tcPr>
          <w:p w14:paraId="3F85469B"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shd w:val="clear" w:color="auto" w:fill="auto"/>
            <w:noWrap/>
            <w:vAlign w:val="center"/>
          </w:tcPr>
          <w:p w14:paraId="76F26FF0"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4" w:type="pct"/>
            <w:tcBorders>
              <w:right w:val="single" w:sz="12" w:space="0" w:color="auto"/>
            </w:tcBorders>
            <w:shd w:val="clear" w:color="auto" w:fill="auto"/>
            <w:noWrap/>
            <w:vAlign w:val="center"/>
          </w:tcPr>
          <w:p w14:paraId="4DBD3CE7"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13" w:type="pct"/>
            <w:tcBorders>
              <w:left w:val="single" w:sz="12" w:space="0" w:color="auto"/>
            </w:tcBorders>
            <w:shd w:val="clear" w:color="auto" w:fill="auto"/>
            <w:vAlign w:val="center"/>
          </w:tcPr>
          <w:p w14:paraId="6FD6475A"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2</w:t>
            </w:r>
          </w:p>
        </w:tc>
        <w:tc>
          <w:tcPr>
            <w:tcW w:w="213" w:type="pct"/>
            <w:vAlign w:val="center"/>
          </w:tcPr>
          <w:p w14:paraId="0A7C34F2"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1</w:t>
            </w:r>
          </w:p>
        </w:tc>
        <w:tc>
          <w:tcPr>
            <w:tcW w:w="342" w:type="pct"/>
            <w:tcBorders>
              <w:right w:val="single" w:sz="12" w:space="0" w:color="auto"/>
            </w:tcBorders>
            <w:vAlign w:val="center"/>
          </w:tcPr>
          <w:p w14:paraId="5A07D4F2" w14:textId="77777777" w:rsidR="003D28CF" w:rsidRPr="001A2873" w:rsidRDefault="003D28CF" w:rsidP="001458B7">
            <w:pPr>
              <w:spacing w:after="0"/>
              <w:jc w:val="center"/>
              <w:rPr>
                <w:rFonts w:asciiTheme="minorHAnsi" w:hAnsiTheme="minorHAnsi" w:cstheme="minorHAnsi"/>
                <w:sz w:val="16"/>
                <w:szCs w:val="16"/>
              </w:rPr>
            </w:pPr>
            <w:r w:rsidRPr="004254C8">
              <w:rPr>
                <w:rFonts w:asciiTheme="minorHAnsi" w:hAnsiTheme="minorHAnsi" w:cstheme="minorHAnsi"/>
                <w:color w:val="FF0000"/>
                <w:sz w:val="16"/>
                <w:szCs w:val="16"/>
              </w:rPr>
              <w:t>▲</w:t>
            </w:r>
            <w:r>
              <w:rPr>
                <w:rFonts w:asciiTheme="minorHAnsi" w:hAnsiTheme="minorHAnsi" w:cstheme="minorHAnsi"/>
                <w:sz w:val="16"/>
                <w:szCs w:val="16"/>
              </w:rPr>
              <w:t xml:space="preserve"> 100.0%</w:t>
            </w:r>
          </w:p>
        </w:tc>
        <w:tc>
          <w:tcPr>
            <w:tcW w:w="235" w:type="pct"/>
            <w:shd w:val="clear" w:color="auto" w:fill="auto"/>
            <w:vAlign w:val="center"/>
          </w:tcPr>
          <w:p w14:paraId="7981281E"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2</w:t>
            </w:r>
          </w:p>
        </w:tc>
        <w:tc>
          <w:tcPr>
            <w:tcW w:w="235" w:type="pct"/>
            <w:shd w:val="clear" w:color="auto" w:fill="auto"/>
            <w:vAlign w:val="center"/>
          </w:tcPr>
          <w:p w14:paraId="6AED0FCA"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5</w:t>
            </w:r>
          </w:p>
        </w:tc>
        <w:tc>
          <w:tcPr>
            <w:tcW w:w="336" w:type="pct"/>
            <w:vAlign w:val="center"/>
          </w:tcPr>
          <w:p w14:paraId="2383B331"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color w:val="00B050"/>
                <w:sz w:val="16"/>
                <w:szCs w:val="16"/>
              </w:rPr>
              <w:t xml:space="preserve">▼ </w:t>
            </w:r>
            <w:r>
              <w:rPr>
                <w:rFonts w:asciiTheme="minorHAnsi" w:hAnsiTheme="minorHAnsi" w:cstheme="minorHAnsi"/>
                <w:sz w:val="16"/>
                <w:szCs w:val="16"/>
              </w:rPr>
              <w:t>60</w:t>
            </w:r>
            <w:r w:rsidRPr="00D0006A">
              <w:rPr>
                <w:rFonts w:asciiTheme="minorHAnsi" w:hAnsiTheme="minorHAnsi" w:cstheme="minorHAnsi"/>
                <w:sz w:val="16"/>
                <w:szCs w:val="16"/>
              </w:rPr>
              <w:t>.0%</w:t>
            </w:r>
          </w:p>
        </w:tc>
      </w:tr>
      <w:tr w:rsidR="003D28CF" w:rsidRPr="0067738A" w14:paraId="288BD58A" w14:textId="77777777" w:rsidTr="001458B7">
        <w:trPr>
          <w:trHeight w:val="340"/>
        </w:trPr>
        <w:tc>
          <w:tcPr>
            <w:tcW w:w="567" w:type="pct"/>
            <w:vMerge w:val="restart"/>
            <w:shd w:val="clear" w:color="auto" w:fill="auto"/>
            <w:vAlign w:val="center"/>
          </w:tcPr>
          <w:p w14:paraId="19A65065" w14:textId="77777777" w:rsidR="003D28CF" w:rsidRPr="0067738A" w:rsidRDefault="003D28CF" w:rsidP="001458B7">
            <w:pPr>
              <w:spacing w:after="0"/>
              <w:rPr>
                <w:rFonts w:asciiTheme="minorHAnsi" w:hAnsiTheme="minorHAnsi" w:cstheme="minorHAnsi"/>
                <w:bCs/>
                <w:i/>
                <w:iCs/>
                <w:sz w:val="16"/>
                <w:szCs w:val="16"/>
              </w:rPr>
            </w:pPr>
            <w:r w:rsidRPr="0067738A">
              <w:rPr>
                <w:rFonts w:asciiTheme="minorHAnsi" w:hAnsiTheme="minorHAnsi" w:cstheme="minorHAnsi"/>
                <w:i/>
                <w:iCs/>
                <w:sz w:val="16"/>
                <w:szCs w:val="16"/>
              </w:rPr>
              <w:t>Neisseria gonorrhoeae</w:t>
            </w:r>
          </w:p>
        </w:tc>
        <w:tc>
          <w:tcPr>
            <w:tcW w:w="1301" w:type="pct"/>
            <w:shd w:val="clear" w:color="auto" w:fill="auto"/>
            <w:vAlign w:val="center"/>
            <w:hideMark/>
          </w:tcPr>
          <w:p w14:paraId="1C66E1D3" w14:textId="61FC6330" w:rsidR="003D28CF" w:rsidRPr="0067738A" w:rsidRDefault="003D28CF" w:rsidP="005F17AF">
            <w:pPr>
              <w:spacing w:after="0"/>
              <w:rPr>
                <w:rFonts w:asciiTheme="minorHAnsi" w:hAnsiTheme="minorHAnsi" w:cstheme="minorHAnsi"/>
                <w:sz w:val="16"/>
                <w:szCs w:val="16"/>
              </w:rPr>
            </w:pPr>
            <w:r w:rsidRPr="0067738A">
              <w:rPr>
                <w:rFonts w:asciiTheme="minorHAnsi" w:hAnsiTheme="minorHAnsi" w:cstheme="minorHAnsi"/>
                <w:sz w:val="16"/>
                <w:szCs w:val="16"/>
              </w:rPr>
              <w:t>Azithromycin</w:t>
            </w:r>
            <w:r w:rsidR="005F17AF">
              <w:rPr>
                <w:rFonts w:asciiTheme="minorHAnsi" w:hAnsiTheme="minorHAnsi" w:cstheme="minorHAnsi"/>
                <w:sz w:val="16"/>
                <w:szCs w:val="16"/>
              </w:rPr>
              <w:t xml:space="preserve"> </w:t>
            </w:r>
            <w:r w:rsidRPr="0067738A">
              <w:rPr>
                <w:rFonts w:asciiTheme="minorHAnsi" w:hAnsiTheme="minorHAnsi" w:cstheme="minorHAnsi"/>
                <w:sz w:val="16"/>
                <w:szCs w:val="16"/>
              </w:rPr>
              <w:t>non</w:t>
            </w:r>
            <w:r w:rsidR="0085765B">
              <w:rPr>
                <w:rFonts w:asciiTheme="minorHAnsi" w:hAnsiTheme="minorHAnsi" w:cstheme="minorHAnsi"/>
                <w:sz w:val="16"/>
                <w:szCs w:val="16"/>
              </w:rPr>
              <w:t>-</w:t>
            </w:r>
            <w:r w:rsidRPr="0067738A">
              <w:rPr>
                <w:rFonts w:asciiTheme="minorHAnsi" w:hAnsiTheme="minorHAnsi" w:cstheme="minorHAnsi"/>
                <w:sz w:val="16"/>
                <w:szCs w:val="16"/>
              </w:rPr>
              <w:t>susceptible (LLR &lt; 256 mg/L)</w:t>
            </w:r>
          </w:p>
        </w:tc>
        <w:tc>
          <w:tcPr>
            <w:tcW w:w="192" w:type="pct"/>
            <w:shd w:val="clear" w:color="auto" w:fill="auto"/>
            <w:noWrap/>
            <w:vAlign w:val="center"/>
          </w:tcPr>
          <w:p w14:paraId="31F218CC" w14:textId="77777777" w:rsidR="003D28CF" w:rsidRPr="0067738A" w:rsidRDefault="003D28CF" w:rsidP="001458B7">
            <w:pPr>
              <w:pStyle w:val="Normal-beforebullets"/>
              <w:jc w:val="center"/>
              <w:rPr>
                <w:rFonts w:asciiTheme="minorHAnsi" w:hAnsiTheme="minorHAnsi" w:cstheme="minorHAnsi"/>
                <w:color w:val="000000"/>
                <w:sz w:val="16"/>
                <w:szCs w:val="16"/>
              </w:rPr>
            </w:pPr>
            <w:r>
              <w:rPr>
                <w:rFonts w:asciiTheme="minorHAnsi" w:hAnsiTheme="minorHAnsi" w:cstheme="minorHAnsi"/>
                <w:sz w:val="16"/>
                <w:szCs w:val="16"/>
              </w:rPr>
              <w:t>49</w:t>
            </w:r>
          </w:p>
        </w:tc>
        <w:tc>
          <w:tcPr>
            <w:tcW w:w="212" w:type="pct"/>
            <w:shd w:val="clear" w:color="auto" w:fill="auto"/>
            <w:noWrap/>
            <w:vAlign w:val="center"/>
          </w:tcPr>
          <w:p w14:paraId="2FAE05FA" w14:textId="77777777" w:rsidR="003D28CF" w:rsidRPr="0067738A" w:rsidRDefault="003D28CF" w:rsidP="001458B7">
            <w:pPr>
              <w:pStyle w:val="Normal-beforebullets"/>
              <w:jc w:val="center"/>
              <w:rPr>
                <w:rFonts w:asciiTheme="minorHAnsi" w:hAnsiTheme="minorHAnsi" w:cstheme="minorHAnsi"/>
                <w:color w:val="000000"/>
                <w:sz w:val="16"/>
                <w:szCs w:val="16"/>
              </w:rPr>
            </w:pPr>
            <w:r w:rsidRPr="00506C8E">
              <w:rPr>
                <w:rFonts w:asciiTheme="minorHAnsi" w:hAnsiTheme="minorHAnsi" w:cstheme="minorHAnsi"/>
                <w:sz w:val="16"/>
                <w:szCs w:val="16"/>
              </w:rPr>
              <w:t>9</w:t>
            </w:r>
          </w:p>
        </w:tc>
        <w:tc>
          <w:tcPr>
            <w:tcW w:w="192" w:type="pct"/>
            <w:shd w:val="clear" w:color="auto" w:fill="auto"/>
            <w:noWrap/>
            <w:vAlign w:val="center"/>
          </w:tcPr>
          <w:p w14:paraId="422826AE" w14:textId="77777777" w:rsidR="003D28CF" w:rsidRPr="0067738A" w:rsidRDefault="003D28CF" w:rsidP="001458B7">
            <w:pPr>
              <w:pStyle w:val="Normal-beforebullets"/>
              <w:jc w:val="center"/>
              <w:rPr>
                <w:rFonts w:asciiTheme="minorHAnsi" w:hAnsiTheme="minorHAnsi" w:cstheme="minorHAnsi"/>
                <w:color w:val="000000"/>
                <w:sz w:val="16"/>
                <w:szCs w:val="16"/>
              </w:rPr>
            </w:pPr>
            <w:r w:rsidRPr="00506C8E">
              <w:rPr>
                <w:rFonts w:asciiTheme="minorHAnsi" w:hAnsiTheme="minorHAnsi" w:cstheme="minorHAnsi"/>
                <w:sz w:val="16"/>
                <w:szCs w:val="16"/>
              </w:rPr>
              <w:t>4</w:t>
            </w:r>
          </w:p>
        </w:tc>
        <w:tc>
          <w:tcPr>
            <w:tcW w:w="192" w:type="pct"/>
            <w:shd w:val="clear" w:color="auto" w:fill="auto"/>
            <w:noWrap/>
            <w:vAlign w:val="center"/>
          </w:tcPr>
          <w:p w14:paraId="1960B967" w14:textId="77777777" w:rsidR="003D28CF" w:rsidRPr="0067738A" w:rsidRDefault="003D28CF" w:rsidP="001458B7">
            <w:pPr>
              <w:pStyle w:val="Normal-beforebullets"/>
              <w:jc w:val="center"/>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192" w:type="pct"/>
            <w:shd w:val="clear" w:color="auto" w:fill="auto"/>
            <w:noWrap/>
            <w:vAlign w:val="center"/>
          </w:tcPr>
          <w:p w14:paraId="2EB5763E" w14:textId="77777777" w:rsidR="003D28CF" w:rsidRPr="0067738A" w:rsidRDefault="003D28CF" w:rsidP="001458B7">
            <w:pPr>
              <w:pStyle w:val="Normal-beforebullets"/>
              <w:jc w:val="center"/>
              <w:rPr>
                <w:rFonts w:asciiTheme="minorHAnsi" w:hAnsiTheme="minorHAnsi" w:cstheme="minorHAnsi"/>
                <w:sz w:val="16"/>
                <w:szCs w:val="16"/>
              </w:rPr>
            </w:pPr>
            <w:r w:rsidRPr="00506C8E">
              <w:rPr>
                <w:rFonts w:asciiTheme="minorHAnsi" w:hAnsiTheme="minorHAnsi" w:cstheme="minorHAnsi"/>
                <w:sz w:val="16"/>
                <w:szCs w:val="16"/>
              </w:rPr>
              <w:t>5</w:t>
            </w:r>
          </w:p>
        </w:tc>
        <w:tc>
          <w:tcPr>
            <w:tcW w:w="192" w:type="pct"/>
            <w:shd w:val="clear" w:color="auto" w:fill="auto"/>
            <w:noWrap/>
            <w:vAlign w:val="center"/>
          </w:tcPr>
          <w:p w14:paraId="0285E97E" w14:textId="77777777"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shd w:val="clear" w:color="auto" w:fill="auto"/>
            <w:noWrap/>
            <w:vAlign w:val="center"/>
          </w:tcPr>
          <w:p w14:paraId="665B2664" w14:textId="77777777"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sz w:val="16"/>
                <w:szCs w:val="16"/>
              </w:rPr>
              <w:t>0</w:t>
            </w:r>
          </w:p>
        </w:tc>
        <w:tc>
          <w:tcPr>
            <w:tcW w:w="194" w:type="pct"/>
            <w:tcBorders>
              <w:right w:val="single" w:sz="12" w:space="0" w:color="auto"/>
            </w:tcBorders>
            <w:shd w:val="clear" w:color="auto" w:fill="auto"/>
            <w:noWrap/>
            <w:vAlign w:val="center"/>
          </w:tcPr>
          <w:p w14:paraId="51DCBD32" w14:textId="77777777"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sz w:val="16"/>
                <w:szCs w:val="16"/>
              </w:rPr>
              <w:t>4</w:t>
            </w:r>
          </w:p>
        </w:tc>
        <w:tc>
          <w:tcPr>
            <w:tcW w:w="213" w:type="pct"/>
            <w:tcBorders>
              <w:left w:val="single" w:sz="12" w:space="0" w:color="auto"/>
            </w:tcBorders>
            <w:shd w:val="clear" w:color="auto" w:fill="auto"/>
            <w:vAlign w:val="center"/>
          </w:tcPr>
          <w:p w14:paraId="1C53031B" w14:textId="77777777" w:rsidR="003D28CF" w:rsidRPr="0067738A" w:rsidRDefault="003D28CF" w:rsidP="001458B7">
            <w:pPr>
              <w:pStyle w:val="Normal-beforebullets"/>
              <w:jc w:val="center"/>
              <w:rPr>
                <w:rFonts w:asciiTheme="minorHAnsi" w:hAnsiTheme="minorHAnsi" w:cstheme="minorHAnsi"/>
                <w:color w:val="000000"/>
                <w:sz w:val="16"/>
                <w:szCs w:val="16"/>
              </w:rPr>
            </w:pPr>
            <w:r>
              <w:rPr>
                <w:rFonts w:asciiTheme="minorHAnsi" w:hAnsiTheme="minorHAnsi" w:cstheme="minorHAnsi"/>
                <w:sz w:val="16"/>
                <w:szCs w:val="16"/>
              </w:rPr>
              <w:t>71</w:t>
            </w:r>
          </w:p>
        </w:tc>
        <w:tc>
          <w:tcPr>
            <w:tcW w:w="213" w:type="pct"/>
            <w:vAlign w:val="center"/>
          </w:tcPr>
          <w:p w14:paraId="37AAD16A" w14:textId="2E8B3AD2"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sz w:val="16"/>
                <w:szCs w:val="16"/>
              </w:rPr>
              <w:t>7</w:t>
            </w:r>
            <w:r w:rsidR="007268C6">
              <w:rPr>
                <w:rFonts w:asciiTheme="minorHAnsi" w:hAnsiTheme="minorHAnsi" w:cstheme="minorHAnsi"/>
                <w:sz w:val="16"/>
                <w:szCs w:val="16"/>
              </w:rPr>
              <w:t>1</w:t>
            </w:r>
          </w:p>
        </w:tc>
        <w:tc>
          <w:tcPr>
            <w:tcW w:w="342" w:type="pct"/>
            <w:tcBorders>
              <w:right w:val="single" w:sz="12" w:space="0" w:color="auto"/>
            </w:tcBorders>
            <w:vAlign w:val="center"/>
          </w:tcPr>
          <w:p w14:paraId="2F30A899" w14:textId="4C1421B0" w:rsidR="003D28CF" w:rsidRPr="001A2873" w:rsidRDefault="007268C6" w:rsidP="001458B7">
            <w:pPr>
              <w:spacing w:after="0"/>
              <w:jc w:val="center"/>
              <w:rPr>
                <w:rFonts w:asciiTheme="minorHAnsi" w:hAnsiTheme="minorHAnsi" w:cstheme="minorHAnsi"/>
                <w:sz w:val="16"/>
                <w:szCs w:val="16"/>
              </w:rPr>
            </w:pPr>
            <w:r>
              <w:rPr>
                <w:rFonts w:asciiTheme="minorHAnsi" w:hAnsiTheme="minorHAnsi" w:cstheme="minorHAnsi"/>
                <w:color w:val="auto"/>
                <w:sz w:val="16"/>
                <w:szCs w:val="16"/>
              </w:rPr>
              <w:t>0.0</w:t>
            </w:r>
            <w:r w:rsidR="003D28CF" w:rsidRPr="00B620BA">
              <w:rPr>
                <w:rFonts w:asciiTheme="minorHAnsi" w:hAnsiTheme="minorHAnsi" w:cstheme="minorHAnsi"/>
                <w:color w:val="auto"/>
                <w:sz w:val="16"/>
                <w:szCs w:val="16"/>
              </w:rPr>
              <w:t>%</w:t>
            </w:r>
          </w:p>
        </w:tc>
        <w:tc>
          <w:tcPr>
            <w:tcW w:w="235" w:type="pct"/>
            <w:shd w:val="clear" w:color="auto" w:fill="auto"/>
            <w:vAlign w:val="center"/>
          </w:tcPr>
          <w:p w14:paraId="78C0CE4B" w14:textId="77777777"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sz w:val="16"/>
                <w:szCs w:val="16"/>
              </w:rPr>
              <w:t>71</w:t>
            </w:r>
          </w:p>
        </w:tc>
        <w:tc>
          <w:tcPr>
            <w:tcW w:w="235" w:type="pct"/>
            <w:shd w:val="clear" w:color="auto" w:fill="auto"/>
            <w:vAlign w:val="center"/>
          </w:tcPr>
          <w:p w14:paraId="17B715D9" w14:textId="77777777"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sz w:val="16"/>
                <w:szCs w:val="16"/>
              </w:rPr>
              <w:t>87</w:t>
            </w:r>
          </w:p>
        </w:tc>
        <w:tc>
          <w:tcPr>
            <w:tcW w:w="336" w:type="pct"/>
            <w:vAlign w:val="center"/>
          </w:tcPr>
          <w:p w14:paraId="65CDF062" w14:textId="77777777"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color w:val="00B050"/>
                <w:sz w:val="16"/>
                <w:szCs w:val="16"/>
              </w:rPr>
              <w:t xml:space="preserve">▼ </w:t>
            </w:r>
            <w:r>
              <w:rPr>
                <w:rFonts w:asciiTheme="minorHAnsi" w:hAnsiTheme="minorHAnsi" w:cstheme="minorHAnsi"/>
                <w:sz w:val="16"/>
                <w:szCs w:val="16"/>
              </w:rPr>
              <w:t>18.4%</w:t>
            </w:r>
          </w:p>
        </w:tc>
      </w:tr>
      <w:tr w:rsidR="003D28CF" w:rsidRPr="0067738A" w14:paraId="245EE05E" w14:textId="77777777" w:rsidTr="001458B7">
        <w:trPr>
          <w:trHeight w:val="340"/>
        </w:trPr>
        <w:tc>
          <w:tcPr>
            <w:tcW w:w="567" w:type="pct"/>
            <w:vMerge/>
            <w:shd w:val="clear" w:color="auto" w:fill="auto"/>
            <w:vAlign w:val="center"/>
          </w:tcPr>
          <w:p w14:paraId="178BE53A" w14:textId="77777777" w:rsidR="003D28CF" w:rsidRPr="0067738A" w:rsidRDefault="003D28CF" w:rsidP="001458B7">
            <w:pPr>
              <w:spacing w:after="0"/>
              <w:rPr>
                <w:rFonts w:asciiTheme="minorHAnsi" w:hAnsiTheme="minorHAnsi" w:cstheme="minorHAnsi"/>
                <w:i/>
                <w:iCs/>
                <w:sz w:val="16"/>
                <w:szCs w:val="16"/>
              </w:rPr>
            </w:pPr>
          </w:p>
        </w:tc>
        <w:tc>
          <w:tcPr>
            <w:tcW w:w="1301" w:type="pct"/>
            <w:shd w:val="clear" w:color="auto" w:fill="auto"/>
            <w:vAlign w:val="center"/>
          </w:tcPr>
          <w:p w14:paraId="6CE5B098" w14:textId="3B3B399E" w:rsidR="003D28CF" w:rsidRPr="0067738A" w:rsidRDefault="003D28CF" w:rsidP="001458B7">
            <w:pPr>
              <w:spacing w:after="0"/>
              <w:rPr>
                <w:rFonts w:asciiTheme="minorHAnsi" w:hAnsiTheme="minorHAnsi" w:cstheme="minorHAnsi"/>
                <w:sz w:val="16"/>
                <w:szCs w:val="16"/>
              </w:rPr>
            </w:pPr>
            <w:r w:rsidRPr="0067738A">
              <w:rPr>
                <w:rFonts w:asciiTheme="minorHAnsi" w:hAnsiTheme="minorHAnsi" w:cstheme="minorHAnsi"/>
                <w:sz w:val="16"/>
                <w:szCs w:val="16"/>
              </w:rPr>
              <w:t>Azithromycin non</w:t>
            </w:r>
            <w:r w:rsidR="0085765B">
              <w:rPr>
                <w:rFonts w:asciiTheme="minorHAnsi" w:hAnsiTheme="minorHAnsi" w:cstheme="minorHAnsi"/>
                <w:sz w:val="16"/>
                <w:szCs w:val="16"/>
              </w:rPr>
              <w:t>-</w:t>
            </w:r>
            <w:r w:rsidRPr="0067738A">
              <w:rPr>
                <w:rFonts w:asciiTheme="minorHAnsi" w:hAnsiTheme="minorHAnsi" w:cstheme="minorHAnsi"/>
                <w:sz w:val="16"/>
                <w:szCs w:val="16"/>
              </w:rPr>
              <w:t>susceptible (HLR &gt; 256 mg/L</w:t>
            </w:r>
          </w:p>
        </w:tc>
        <w:tc>
          <w:tcPr>
            <w:tcW w:w="192" w:type="pct"/>
            <w:shd w:val="clear" w:color="auto" w:fill="auto"/>
            <w:noWrap/>
            <w:vAlign w:val="center"/>
          </w:tcPr>
          <w:p w14:paraId="42B49ED8"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12" w:type="pct"/>
            <w:shd w:val="clear" w:color="auto" w:fill="auto"/>
            <w:noWrap/>
            <w:vAlign w:val="center"/>
          </w:tcPr>
          <w:p w14:paraId="263EA667"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shd w:val="clear" w:color="auto" w:fill="auto"/>
            <w:noWrap/>
            <w:vAlign w:val="center"/>
          </w:tcPr>
          <w:p w14:paraId="4C828067"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shd w:val="clear" w:color="auto" w:fill="auto"/>
            <w:noWrap/>
            <w:vAlign w:val="center"/>
          </w:tcPr>
          <w:p w14:paraId="4584D818"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shd w:val="clear" w:color="auto" w:fill="auto"/>
            <w:noWrap/>
            <w:vAlign w:val="center"/>
          </w:tcPr>
          <w:p w14:paraId="1462E10B"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shd w:val="clear" w:color="auto" w:fill="auto"/>
            <w:noWrap/>
            <w:vAlign w:val="center"/>
          </w:tcPr>
          <w:p w14:paraId="3060320C"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shd w:val="clear" w:color="auto" w:fill="auto"/>
            <w:noWrap/>
            <w:vAlign w:val="center"/>
          </w:tcPr>
          <w:p w14:paraId="756CC209"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4" w:type="pct"/>
            <w:tcBorders>
              <w:right w:val="single" w:sz="12" w:space="0" w:color="auto"/>
            </w:tcBorders>
            <w:shd w:val="clear" w:color="auto" w:fill="auto"/>
            <w:noWrap/>
            <w:vAlign w:val="center"/>
          </w:tcPr>
          <w:p w14:paraId="685CBEA4"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13" w:type="pct"/>
            <w:tcBorders>
              <w:left w:val="single" w:sz="12" w:space="0" w:color="auto"/>
            </w:tcBorders>
            <w:shd w:val="clear" w:color="auto" w:fill="auto"/>
            <w:vAlign w:val="center"/>
          </w:tcPr>
          <w:p w14:paraId="490A7EA8"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13" w:type="pct"/>
            <w:vAlign w:val="center"/>
          </w:tcPr>
          <w:p w14:paraId="32A9CE25"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342" w:type="pct"/>
            <w:tcBorders>
              <w:right w:val="single" w:sz="12" w:space="0" w:color="auto"/>
            </w:tcBorders>
            <w:vAlign w:val="center"/>
          </w:tcPr>
          <w:p w14:paraId="3756367C" w14:textId="77777777" w:rsidR="003D28CF" w:rsidRPr="001A2873" w:rsidRDefault="003D28CF" w:rsidP="001458B7">
            <w:pPr>
              <w:spacing w:after="0"/>
              <w:jc w:val="center"/>
              <w:rPr>
                <w:rFonts w:asciiTheme="minorHAnsi" w:hAnsiTheme="minorHAnsi" w:cstheme="minorHAnsi"/>
                <w:sz w:val="16"/>
                <w:szCs w:val="16"/>
              </w:rPr>
            </w:pPr>
            <w:r w:rsidRPr="001A2873">
              <w:rPr>
                <w:rFonts w:asciiTheme="minorHAnsi" w:hAnsiTheme="minorHAnsi" w:cstheme="minorHAnsi"/>
                <w:sz w:val="16"/>
                <w:szCs w:val="16"/>
              </w:rPr>
              <w:t>–</w:t>
            </w:r>
          </w:p>
        </w:tc>
        <w:tc>
          <w:tcPr>
            <w:tcW w:w="235" w:type="pct"/>
            <w:shd w:val="clear" w:color="auto" w:fill="auto"/>
            <w:vAlign w:val="center"/>
          </w:tcPr>
          <w:p w14:paraId="0175131C"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35" w:type="pct"/>
            <w:shd w:val="clear" w:color="auto" w:fill="auto"/>
            <w:vAlign w:val="center"/>
          </w:tcPr>
          <w:p w14:paraId="036AC768"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3</w:t>
            </w:r>
          </w:p>
        </w:tc>
        <w:tc>
          <w:tcPr>
            <w:tcW w:w="336" w:type="pct"/>
            <w:vAlign w:val="center"/>
          </w:tcPr>
          <w:p w14:paraId="32709708"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color w:val="00B050"/>
                <w:sz w:val="16"/>
                <w:szCs w:val="16"/>
              </w:rPr>
              <w:t xml:space="preserve">▼ </w:t>
            </w:r>
            <w:r>
              <w:rPr>
                <w:rFonts w:asciiTheme="minorHAnsi" w:hAnsiTheme="minorHAnsi" w:cstheme="minorHAnsi"/>
                <w:sz w:val="16"/>
                <w:szCs w:val="16"/>
              </w:rPr>
              <w:t>100.0%</w:t>
            </w:r>
          </w:p>
        </w:tc>
      </w:tr>
      <w:tr w:rsidR="003D28CF" w:rsidRPr="0067738A" w14:paraId="2A3535F3" w14:textId="77777777" w:rsidTr="001458B7">
        <w:trPr>
          <w:trHeight w:val="340"/>
        </w:trPr>
        <w:tc>
          <w:tcPr>
            <w:tcW w:w="567" w:type="pct"/>
            <w:vMerge/>
            <w:shd w:val="clear" w:color="auto" w:fill="auto"/>
            <w:vAlign w:val="center"/>
          </w:tcPr>
          <w:p w14:paraId="66D238CC" w14:textId="77777777" w:rsidR="003D28CF" w:rsidRPr="0067738A" w:rsidRDefault="003D28CF" w:rsidP="001458B7">
            <w:pPr>
              <w:spacing w:after="0"/>
              <w:rPr>
                <w:rFonts w:cstheme="minorHAnsi"/>
                <w:i/>
                <w:iCs/>
                <w:sz w:val="16"/>
                <w:szCs w:val="16"/>
              </w:rPr>
            </w:pPr>
          </w:p>
        </w:tc>
        <w:tc>
          <w:tcPr>
            <w:tcW w:w="1301" w:type="pct"/>
            <w:shd w:val="clear" w:color="auto" w:fill="auto"/>
            <w:vAlign w:val="center"/>
          </w:tcPr>
          <w:p w14:paraId="29D9C69C" w14:textId="26DF8BFA" w:rsidR="003D28CF" w:rsidRPr="0067738A" w:rsidRDefault="003D28CF" w:rsidP="001458B7">
            <w:pPr>
              <w:spacing w:after="0"/>
              <w:rPr>
                <w:rFonts w:cstheme="minorHAnsi"/>
                <w:sz w:val="16"/>
                <w:szCs w:val="16"/>
              </w:rPr>
            </w:pPr>
            <w:r w:rsidRPr="0067738A">
              <w:rPr>
                <w:rFonts w:asciiTheme="minorHAnsi" w:hAnsiTheme="minorHAnsi" w:cstheme="minorHAnsi"/>
                <w:sz w:val="16"/>
                <w:szCs w:val="16"/>
              </w:rPr>
              <w:t>Ceftriaxone non</w:t>
            </w:r>
            <w:r w:rsidR="0085765B">
              <w:rPr>
                <w:rFonts w:asciiTheme="minorHAnsi" w:hAnsiTheme="minorHAnsi" w:cstheme="minorHAnsi"/>
                <w:sz w:val="16"/>
                <w:szCs w:val="16"/>
              </w:rPr>
              <w:t>-</w:t>
            </w:r>
            <w:r w:rsidRPr="0067738A">
              <w:rPr>
                <w:rFonts w:asciiTheme="minorHAnsi" w:hAnsiTheme="minorHAnsi" w:cstheme="minorHAnsi"/>
                <w:sz w:val="16"/>
                <w:szCs w:val="16"/>
              </w:rPr>
              <w:t xml:space="preserve">susceptible </w:t>
            </w:r>
          </w:p>
        </w:tc>
        <w:tc>
          <w:tcPr>
            <w:tcW w:w="192" w:type="pct"/>
            <w:shd w:val="clear" w:color="auto" w:fill="auto"/>
            <w:noWrap/>
            <w:vAlign w:val="center"/>
          </w:tcPr>
          <w:p w14:paraId="22A51E66" w14:textId="77777777" w:rsidR="003D28CF" w:rsidRPr="0067738A" w:rsidRDefault="003D28CF" w:rsidP="001458B7">
            <w:pPr>
              <w:pStyle w:val="Normal-beforebullets"/>
              <w:jc w:val="center"/>
              <w:rPr>
                <w:rFonts w:cstheme="minorHAnsi"/>
                <w:color w:val="000000"/>
                <w:sz w:val="16"/>
                <w:szCs w:val="16"/>
              </w:rPr>
            </w:pPr>
            <w:r w:rsidRPr="0067738A">
              <w:rPr>
                <w:rFonts w:asciiTheme="minorHAnsi" w:hAnsiTheme="minorHAnsi" w:cstheme="minorHAnsi"/>
                <w:sz w:val="16"/>
                <w:szCs w:val="16"/>
              </w:rPr>
              <w:t>0</w:t>
            </w:r>
          </w:p>
        </w:tc>
        <w:tc>
          <w:tcPr>
            <w:tcW w:w="212" w:type="pct"/>
            <w:shd w:val="clear" w:color="auto" w:fill="auto"/>
            <w:noWrap/>
            <w:vAlign w:val="center"/>
          </w:tcPr>
          <w:p w14:paraId="338BECB9" w14:textId="77777777" w:rsidR="003D28CF" w:rsidRPr="0067738A" w:rsidRDefault="003D28CF" w:rsidP="001458B7">
            <w:pPr>
              <w:pStyle w:val="Normal-beforebullets"/>
              <w:jc w:val="center"/>
              <w:rPr>
                <w:rFonts w:cstheme="minorHAnsi"/>
                <w:color w:val="000000"/>
                <w:sz w:val="16"/>
                <w:szCs w:val="16"/>
              </w:rPr>
            </w:pPr>
            <w:r w:rsidRPr="0067738A">
              <w:rPr>
                <w:rFonts w:asciiTheme="minorHAnsi" w:hAnsiTheme="minorHAnsi" w:cstheme="minorHAnsi"/>
                <w:sz w:val="16"/>
                <w:szCs w:val="16"/>
              </w:rPr>
              <w:t>0</w:t>
            </w:r>
          </w:p>
        </w:tc>
        <w:tc>
          <w:tcPr>
            <w:tcW w:w="192" w:type="pct"/>
            <w:shd w:val="clear" w:color="auto" w:fill="auto"/>
            <w:noWrap/>
            <w:vAlign w:val="center"/>
          </w:tcPr>
          <w:p w14:paraId="1A053B7E" w14:textId="77777777" w:rsidR="003D28CF" w:rsidRPr="0067738A" w:rsidRDefault="003D28CF" w:rsidP="001458B7">
            <w:pPr>
              <w:pStyle w:val="Normal-beforebullets"/>
              <w:jc w:val="center"/>
              <w:rPr>
                <w:rFonts w:cstheme="minorHAnsi"/>
                <w:color w:val="000000"/>
                <w:sz w:val="16"/>
                <w:szCs w:val="16"/>
              </w:rPr>
            </w:pPr>
            <w:r>
              <w:rPr>
                <w:rFonts w:asciiTheme="minorHAnsi" w:hAnsiTheme="minorHAnsi" w:cstheme="minorHAnsi"/>
                <w:sz w:val="16"/>
                <w:szCs w:val="16"/>
              </w:rPr>
              <w:t>0</w:t>
            </w:r>
          </w:p>
        </w:tc>
        <w:tc>
          <w:tcPr>
            <w:tcW w:w="192" w:type="pct"/>
            <w:shd w:val="clear" w:color="auto" w:fill="auto"/>
            <w:noWrap/>
            <w:vAlign w:val="center"/>
          </w:tcPr>
          <w:p w14:paraId="55C812C9" w14:textId="77777777" w:rsidR="003D28CF" w:rsidRPr="0067738A" w:rsidRDefault="003D28CF" w:rsidP="001458B7">
            <w:pPr>
              <w:pStyle w:val="Normal-beforebullets"/>
              <w:jc w:val="center"/>
              <w:rPr>
                <w:rFonts w:cstheme="minorHAnsi"/>
                <w:sz w:val="16"/>
                <w:szCs w:val="16"/>
              </w:rPr>
            </w:pPr>
            <w:r w:rsidRPr="0067738A">
              <w:rPr>
                <w:rFonts w:asciiTheme="minorHAnsi" w:hAnsiTheme="minorHAnsi" w:cstheme="minorHAnsi"/>
                <w:sz w:val="16"/>
                <w:szCs w:val="16"/>
              </w:rPr>
              <w:t>0</w:t>
            </w:r>
          </w:p>
        </w:tc>
        <w:tc>
          <w:tcPr>
            <w:tcW w:w="192" w:type="pct"/>
            <w:shd w:val="clear" w:color="auto" w:fill="auto"/>
            <w:noWrap/>
            <w:vAlign w:val="center"/>
          </w:tcPr>
          <w:p w14:paraId="778583D4" w14:textId="77777777" w:rsidR="003D28CF" w:rsidRPr="0067738A" w:rsidRDefault="003D28CF" w:rsidP="001458B7">
            <w:pPr>
              <w:pStyle w:val="Normal-beforebullets"/>
              <w:jc w:val="center"/>
              <w:rPr>
                <w:rFonts w:cstheme="minorHAnsi"/>
                <w:sz w:val="16"/>
                <w:szCs w:val="16"/>
              </w:rPr>
            </w:pPr>
            <w:r w:rsidRPr="0067738A">
              <w:rPr>
                <w:rFonts w:asciiTheme="minorHAnsi" w:hAnsiTheme="minorHAnsi" w:cstheme="minorHAnsi"/>
                <w:sz w:val="16"/>
                <w:szCs w:val="16"/>
              </w:rPr>
              <w:t>0</w:t>
            </w:r>
          </w:p>
        </w:tc>
        <w:tc>
          <w:tcPr>
            <w:tcW w:w="192" w:type="pct"/>
            <w:shd w:val="clear" w:color="auto" w:fill="auto"/>
            <w:noWrap/>
            <w:vAlign w:val="center"/>
          </w:tcPr>
          <w:p w14:paraId="581F61E9" w14:textId="77777777" w:rsidR="003D28CF" w:rsidRPr="0067738A" w:rsidRDefault="003D28CF" w:rsidP="001458B7">
            <w:pPr>
              <w:pStyle w:val="Normal-beforebullets"/>
              <w:jc w:val="center"/>
              <w:rPr>
                <w:rFonts w:cstheme="minorHAnsi"/>
                <w:sz w:val="16"/>
                <w:szCs w:val="16"/>
              </w:rPr>
            </w:pPr>
            <w:r w:rsidRPr="0067738A">
              <w:rPr>
                <w:rFonts w:asciiTheme="minorHAnsi" w:hAnsiTheme="minorHAnsi" w:cstheme="minorHAnsi"/>
                <w:sz w:val="16"/>
                <w:szCs w:val="16"/>
              </w:rPr>
              <w:t>0</w:t>
            </w:r>
          </w:p>
        </w:tc>
        <w:tc>
          <w:tcPr>
            <w:tcW w:w="192" w:type="pct"/>
            <w:shd w:val="clear" w:color="auto" w:fill="auto"/>
            <w:noWrap/>
            <w:vAlign w:val="center"/>
          </w:tcPr>
          <w:p w14:paraId="46FC1843" w14:textId="77777777" w:rsidR="003D28CF" w:rsidRPr="0067738A" w:rsidRDefault="003D28CF" w:rsidP="001458B7">
            <w:pPr>
              <w:pStyle w:val="Normal-beforebullets"/>
              <w:jc w:val="center"/>
              <w:rPr>
                <w:rFonts w:cstheme="minorHAnsi"/>
                <w:sz w:val="16"/>
                <w:szCs w:val="16"/>
              </w:rPr>
            </w:pPr>
            <w:r w:rsidRPr="0067738A">
              <w:rPr>
                <w:rFonts w:asciiTheme="minorHAnsi" w:hAnsiTheme="minorHAnsi" w:cstheme="minorHAnsi"/>
                <w:sz w:val="16"/>
                <w:szCs w:val="16"/>
              </w:rPr>
              <w:t>0</w:t>
            </w:r>
          </w:p>
        </w:tc>
        <w:tc>
          <w:tcPr>
            <w:tcW w:w="194" w:type="pct"/>
            <w:tcBorders>
              <w:right w:val="single" w:sz="12" w:space="0" w:color="auto"/>
            </w:tcBorders>
            <w:shd w:val="clear" w:color="auto" w:fill="auto"/>
            <w:noWrap/>
            <w:vAlign w:val="center"/>
          </w:tcPr>
          <w:p w14:paraId="503B9C67" w14:textId="77777777" w:rsidR="003D28CF" w:rsidRPr="0067738A" w:rsidRDefault="003D28CF" w:rsidP="001458B7">
            <w:pPr>
              <w:pStyle w:val="Normal-beforebullets"/>
              <w:jc w:val="center"/>
              <w:rPr>
                <w:rFonts w:cstheme="minorHAnsi"/>
                <w:sz w:val="16"/>
                <w:szCs w:val="16"/>
              </w:rPr>
            </w:pPr>
            <w:r w:rsidRPr="0067738A">
              <w:rPr>
                <w:rFonts w:asciiTheme="minorHAnsi" w:hAnsiTheme="minorHAnsi" w:cstheme="minorHAnsi"/>
                <w:sz w:val="16"/>
                <w:szCs w:val="16"/>
              </w:rPr>
              <w:t>0</w:t>
            </w:r>
          </w:p>
        </w:tc>
        <w:tc>
          <w:tcPr>
            <w:tcW w:w="213" w:type="pct"/>
            <w:tcBorders>
              <w:left w:val="single" w:sz="12" w:space="0" w:color="auto"/>
            </w:tcBorders>
            <w:shd w:val="clear" w:color="auto" w:fill="auto"/>
            <w:vAlign w:val="center"/>
          </w:tcPr>
          <w:p w14:paraId="19EC01FF" w14:textId="77777777" w:rsidR="003D28CF" w:rsidRPr="0067738A" w:rsidRDefault="003D28CF" w:rsidP="001458B7">
            <w:pPr>
              <w:pStyle w:val="Normal-beforebullets"/>
              <w:jc w:val="center"/>
              <w:rPr>
                <w:rFonts w:cstheme="minorHAnsi"/>
                <w:color w:val="000000"/>
                <w:sz w:val="16"/>
                <w:szCs w:val="16"/>
              </w:rPr>
            </w:pPr>
            <w:r>
              <w:rPr>
                <w:rFonts w:asciiTheme="minorHAnsi" w:hAnsiTheme="minorHAnsi" w:cstheme="minorHAnsi"/>
                <w:sz w:val="16"/>
                <w:szCs w:val="16"/>
              </w:rPr>
              <w:t>0</w:t>
            </w:r>
          </w:p>
        </w:tc>
        <w:tc>
          <w:tcPr>
            <w:tcW w:w="213" w:type="pct"/>
            <w:vAlign w:val="center"/>
          </w:tcPr>
          <w:p w14:paraId="0E1560AB" w14:textId="77777777" w:rsidR="003D28CF" w:rsidRPr="0067738A" w:rsidRDefault="003D28CF" w:rsidP="001458B7">
            <w:pPr>
              <w:pStyle w:val="Normal-beforebullets"/>
              <w:jc w:val="center"/>
              <w:rPr>
                <w:rFonts w:cstheme="minorHAnsi"/>
                <w:sz w:val="16"/>
                <w:szCs w:val="16"/>
              </w:rPr>
            </w:pPr>
            <w:r>
              <w:rPr>
                <w:rFonts w:cstheme="minorHAnsi"/>
                <w:sz w:val="16"/>
                <w:szCs w:val="16"/>
              </w:rPr>
              <w:t>1</w:t>
            </w:r>
          </w:p>
        </w:tc>
        <w:tc>
          <w:tcPr>
            <w:tcW w:w="342" w:type="pct"/>
            <w:tcBorders>
              <w:right w:val="single" w:sz="12" w:space="0" w:color="auto"/>
            </w:tcBorders>
            <w:vAlign w:val="center"/>
          </w:tcPr>
          <w:p w14:paraId="652A291B" w14:textId="77777777" w:rsidR="003D28CF" w:rsidRPr="001A2873" w:rsidRDefault="003D28CF" w:rsidP="001458B7">
            <w:pPr>
              <w:spacing w:after="0"/>
              <w:jc w:val="center"/>
              <w:rPr>
                <w:rFonts w:cstheme="minorHAnsi"/>
                <w:sz w:val="16"/>
                <w:szCs w:val="16"/>
              </w:rPr>
            </w:pPr>
            <w:r>
              <w:rPr>
                <w:rFonts w:asciiTheme="minorHAnsi" w:hAnsiTheme="minorHAnsi" w:cstheme="minorHAnsi"/>
                <w:color w:val="00B050"/>
                <w:sz w:val="16"/>
                <w:szCs w:val="16"/>
              </w:rPr>
              <w:t xml:space="preserve">▼ </w:t>
            </w:r>
            <w:r>
              <w:rPr>
                <w:rFonts w:asciiTheme="minorHAnsi" w:hAnsiTheme="minorHAnsi" w:cstheme="minorHAnsi"/>
                <w:sz w:val="16"/>
                <w:szCs w:val="16"/>
              </w:rPr>
              <w:t>100.0%</w:t>
            </w:r>
          </w:p>
        </w:tc>
        <w:tc>
          <w:tcPr>
            <w:tcW w:w="235" w:type="pct"/>
            <w:shd w:val="clear" w:color="auto" w:fill="auto"/>
            <w:vAlign w:val="center"/>
          </w:tcPr>
          <w:p w14:paraId="1D77D85D" w14:textId="77777777" w:rsidR="003D28CF" w:rsidRPr="0067738A" w:rsidRDefault="003D28CF" w:rsidP="001458B7">
            <w:pPr>
              <w:pStyle w:val="Normal-beforebullets"/>
              <w:jc w:val="center"/>
              <w:rPr>
                <w:rFonts w:cstheme="minorHAnsi"/>
                <w:color w:val="000000"/>
                <w:sz w:val="16"/>
                <w:szCs w:val="16"/>
              </w:rPr>
            </w:pPr>
            <w:r>
              <w:rPr>
                <w:rFonts w:asciiTheme="minorHAnsi" w:hAnsiTheme="minorHAnsi" w:cstheme="minorHAnsi"/>
                <w:sz w:val="16"/>
                <w:szCs w:val="16"/>
              </w:rPr>
              <w:t>0</w:t>
            </w:r>
          </w:p>
        </w:tc>
        <w:tc>
          <w:tcPr>
            <w:tcW w:w="235" w:type="pct"/>
            <w:shd w:val="clear" w:color="auto" w:fill="auto"/>
            <w:vAlign w:val="center"/>
          </w:tcPr>
          <w:p w14:paraId="19B41C50" w14:textId="77777777" w:rsidR="003D28CF" w:rsidRPr="0067738A" w:rsidRDefault="003D28CF" w:rsidP="001458B7">
            <w:pPr>
              <w:pStyle w:val="Normal-beforebullets"/>
              <w:jc w:val="center"/>
              <w:rPr>
                <w:rFonts w:cstheme="minorHAnsi"/>
                <w:color w:val="000000"/>
                <w:sz w:val="16"/>
                <w:szCs w:val="16"/>
              </w:rPr>
            </w:pPr>
            <w:r>
              <w:rPr>
                <w:rFonts w:cstheme="minorHAnsi"/>
                <w:color w:val="000000"/>
                <w:sz w:val="16"/>
                <w:szCs w:val="16"/>
              </w:rPr>
              <w:t>0</w:t>
            </w:r>
          </w:p>
        </w:tc>
        <w:tc>
          <w:tcPr>
            <w:tcW w:w="336" w:type="pct"/>
            <w:vAlign w:val="center"/>
          </w:tcPr>
          <w:p w14:paraId="2DAEE934" w14:textId="77777777" w:rsidR="003D28CF" w:rsidRPr="0067738A" w:rsidRDefault="003D28CF" w:rsidP="001458B7">
            <w:pPr>
              <w:pStyle w:val="Normal-beforebullets"/>
              <w:jc w:val="center"/>
              <w:rPr>
                <w:rFonts w:cstheme="minorHAnsi"/>
                <w:sz w:val="16"/>
                <w:szCs w:val="16"/>
              </w:rPr>
            </w:pPr>
            <w:r w:rsidRPr="001A2873">
              <w:rPr>
                <w:rFonts w:asciiTheme="minorHAnsi" w:hAnsiTheme="minorHAnsi" w:cstheme="minorHAnsi"/>
                <w:sz w:val="16"/>
                <w:szCs w:val="16"/>
              </w:rPr>
              <w:t>–</w:t>
            </w:r>
          </w:p>
        </w:tc>
      </w:tr>
      <w:tr w:rsidR="003D28CF" w:rsidRPr="0067738A" w14:paraId="31AC45C9" w14:textId="77777777" w:rsidTr="001458B7">
        <w:trPr>
          <w:trHeight w:val="340"/>
        </w:trPr>
        <w:tc>
          <w:tcPr>
            <w:tcW w:w="567" w:type="pct"/>
            <w:vMerge/>
            <w:shd w:val="clear" w:color="auto" w:fill="auto"/>
            <w:vAlign w:val="center"/>
          </w:tcPr>
          <w:p w14:paraId="56637EBF" w14:textId="77777777" w:rsidR="003D28CF" w:rsidRPr="0067738A" w:rsidRDefault="003D28CF" w:rsidP="001458B7">
            <w:pPr>
              <w:spacing w:after="0"/>
              <w:rPr>
                <w:rFonts w:asciiTheme="minorHAnsi" w:hAnsiTheme="minorHAnsi" w:cstheme="minorHAnsi"/>
                <w:i/>
                <w:iCs/>
                <w:sz w:val="16"/>
                <w:szCs w:val="16"/>
              </w:rPr>
            </w:pPr>
          </w:p>
        </w:tc>
        <w:tc>
          <w:tcPr>
            <w:tcW w:w="1301" w:type="pct"/>
            <w:shd w:val="clear" w:color="auto" w:fill="auto"/>
            <w:vAlign w:val="center"/>
          </w:tcPr>
          <w:p w14:paraId="42024C90" w14:textId="2B8E34DC" w:rsidR="003D28CF" w:rsidRPr="0067738A" w:rsidRDefault="003D28CF" w:rsidP="001458B7">
            <w:pPr>
              <w:spacing w:after="0"/>
              <w:rPr>
                <w:rFonts w:asciiTheme="minorHAnsi" w:hAnsiTheme="minorHAnsi" w:cstheme="minorHAnsi"/>
                <w:sz w:val="16"/>
                <w:szCs w:val="16"/>
              </w:rPr>
            </w:pPr>
            <w:r w:rsidRPr="0067738A">
              <w:rPr>
                <w:rFonts w:asciiTheme="minorHAnsi" w:hAnsiTheme="minorHAnsi" w:cstheme="minorHAnsi"/>
                <w:sz w:val="16"/>
                <w:szCs w:val="16"/>
              </w:rPr>
              <w:t>Ceftriaxone non</w:t>
            </w:r>
            <w:r w:rsidR="0085765B">
              <w:rPr>
                <w:rFonts w:asciiTheme="minorHAnsi" w:hAnsiTheme="minorHAnsi" w:cstheme="minorHAnsi"/>
                <w:sz w:val="16"/>
                <w:szCs w:val="16"/>
              </w:rPr>
              <w:t>-</w:t>
            </w:r>
            <w:r w:rsidRPr="0067738A">
              <w:rPr>
                <w:rFonts w:asciiTheme="minorHAnsi" w:hAnsiTheme="minorHAnsi" w:cstheme="minorHAnsi"/>
                <w:sz w:val="16"/>
                <w:szCs w:val="16"/>
              </w:rPr>
              <w:t>suscep</w:t>
            </w:r>
            <w:r w:rsidR="00D10523">
              <w:rPr>
                <w:rFonts w:asciiTheme="minorHAnsi" w:hAnsiTheme="minorHAnsi" w:cstheme="minorHAnsi"/>
                <w:sz w:val="16"/>
                <w:szCs w:val="16"/>
              </w:rPr>
              <w:t>tible and azithromycin non</w:t>
            </w:r>
            <w:r w:rsidR="0085765B">
              <w:rPr>
                <w:rFonts w:asciiTheme="minorHAnsi" w:hAnsiTheme="minorHAnsi" w:cstheme="minorHAnsi"/>
                <w:sz w:val="16"/>
                <w:szCs w:val="16"/>
              </w:rPr>
              <w:t>-</w:t>
            </w:r>
            <w:r w:rsidR="00D10523">
              <w:rPr>
                <w:rFonts w:asciiTheme="minorHAnsi" w:hAnsiTheme="minorHAnsi" w:cstheme="minorHAnsi"/>
                <w:sz w:val="16"/>
                <w:szCs w:val="16"/>
              </w:rPr>
              <w:t>susceptible</w:t>
            </w:r>
            <w:r w:rsidRPr="0067738A">
              <w:rPr>
                <w:rFonts w:asciiTheme="minorHAnsi" w:hAnsiTheme="minorHAnsi" w:cstheme="minorHAnsi"/>
                <w:sz w:val="16"/>
                <w:szCs w:val="16"/>
              </w:rPr>
              <w:t xml:space="preserve"> (LLR &lt; 256 mg/L)</w:t>
            </w:r>
          </w:p>
        </w:tc>
        <w:tc>
          <w:tcPr>
            <w:tcW w:w="192" w:type="pct"/>
            <w:shd w:val="clear" w:color="auto" w:fill="auto"/>
            <w:noWrap/>
            <w:vAlign w:val="center"/>
          </w:tcPr>
          <w:p w14:paraId="6D400EB8" w14:textId="77777777" w:rsidR="003D28CF" w:rsidRPr="0067738A" w:rsidRDefault="003D28CF" w:rsidP="001458B7">
            <w:pPr>
              <w:pStyle w:val="Normal-beforebullets"/>
              <w:jc w:val="center"/>
              <w:rPr>
                <w:rFonts w:asciiTheme="minorHAnsi" w:hAnsiTheme="minorHAnsi" w:cstheme="minorHAnsi"/>
                <w:color w:val="000000"/>
                <w:sz w:val="16"/>
                <w:szCs w:val="16"/>
              </w:rPr>
            </w:pPr>
            <w:r w:rsidRPr="0067738A">
              <w:rPr>
                <w:rFonts w:asciiTheme="minorHAnsi" w:hAnsiTheme="minorHAnsi" w:cstheme="minorHAnsi"/>
                <w:color w:val="000000"/>
                <w:sz w:val="16"/>
                <w:szCs w:val="16"/>
              </w:rPr>
              <w:t>0</w:t>
            </w:r>
          </w:p>
        </w:tc>
        <w:tc>
          <w:tcPr>
            <w:tcW w:w="212" w:type="pct"/>
            <w:shd w:val="clear" w:color="auto" w:fill="auto"/>
            <w:noWrap/>
            <w:vAlign w:val="center"/>
          </w:tcPr>
          <w:p w14:paraId="4D81A3F3" w14:textId="77777777" w:rsidR="003D28CF" w:rsidRPr="0067738A" w:rsidRDefault="003D28CF" w:rsidP="001458B7">
            <w:pPr>
              <w:pStyle w:val="Normal-beforebullets"/>
              <w:jc w:val="center"/>
              <w:rPr>
                <w:rFonts w:asciiTheme="minorHAnsi" w:hAnsiTheme="minorHAnsi" w:cstheme="minorHAnsi"/>
                <w:color w:val="000000"/>
                <w:sz w:val="16"/>
                <w:szCs w:val="16"/>
              </w:rPr>
            </w:pPr>
            <w:r w:rsidRPr="0067738A">
              <w:rPr>
                <w:rFonts w:asciiTheme="minorHAnsi" w:hAnsiTheme="minorHAnsi" w:cstheme="minorHAnsi"/>
                <w:color w:val="000000"/>
                <w:sz w:val="16"/>
                <w:szCs w:val="16"/>
              </w:rPr>
              <w:t>0</w:t>
            </w:r>
          </w:p>
        </w:tc>
        <w:tc>
          <w:tcPr>
            <w:tcW w:w="192" w:type="pct"/>
            <w:shd w:val="clear" w:color="auto" w:fill="auto"/>
            <w:noWrap/>
            <w:vAlign w:val="center"/>
          </w:tcPr>
          <w:p w14:paraId="017B8BE8" w14:textId="77777777" w:rsidR="003D28CF" w:rsidRPr="0067738A" w:rsidRDefault="003D28CF" w:rsidP="001458B7">
            <w:pPr>
              <w:pStyle w:val="Normal-beforebullets"/>
              <w:jc w:val="center"/>
              <w:rPr>
                <w:rFonts w:asciiTheme="minorHAnsi" w:hAnsiTheme="minorHAnsi" w:cstheme="minorHAnsi"/>
                <w:color w:val="000000"/>
                <w:sz w:val="16"/>
                <w:szCs w:val="16"/>
              </w:rPr>
            </w:pPr>
            <w:r w:rsidRPr="0067738A">
              <w:rPr>
                <w:rFonts w:asciiTheme="minorHAnsi" w:hAnsiTheme="minorHAnsi" w:cstheme="minorHAnsi"/>
                <w:color w:val="000000"/>
                <w:sz w:val="16"/>
                <w:szCs w:val="16"/>
              </w:rPr>
              <w:t>0</w:t>
            </w:r>
          </w:p>
        </w:tc>
        <w:tc>
          <w:tcPr>
            <w:tcW w:w="192" w:type="pct"/>
            <w:shd w:val="clear" w:color="auto" w:fill="auto"/>
            <w:noWrap/>
            <w:vAlign w:val="center"/>
          </w:tcPr>
          <w:p w14:paraId="7BB2E299" w14:textId="77777777" w:rsidR="003D28CF" w:rsidRPr="0067738A" w:rsidRDefault="003D28CF" w:rsidP="001458B7">
            <w:pPr>
              <w:pStyle w:val="Normal-beforebullets"/>
              <w:jc w:val="center"/>
              <w:rPr>
                <w:rFonts w:asciiTheme="minorHAnsi" w:hAnsiTheme="minorHAnsi" w:cstheme="minorHAnsi"/>
                <w:sz w:val="16"/>
                <w:szCs w:val="16"/>
              </w:rPr>
            </w:pPr>
            <w:r w:rsidRPr="0067738A">
              <w:rPr>
                <w:rFonts w:asciiTheme="minorHAnsi" w:hAnsiTheme="minorHAnsi" w:cstheme="minorHAnsi"/>
                <w:sz w:val="16"/>
                <w:szCs w:val="16"/>
              </w:rPr>
              <w:t>0</w:t>
            </w:r>
          </w:p>
        </w:tc>
        <w:tc>
          <w:tcPr>
            <w:tcW w:w="192" w:type="pct"/>
            <w:shd w:val="clear" w:color="auto" w:fill="auto"/>
            <w:noWrap/>
            <w:vAlign w:val="center"/>
          </w:tcPr>
          <w:p w14:paraId="18AC04F1" w14:textId="77777777" w:rsidR="003D28CF" w:rsidRPr="0067738A" w:rsidRDefault="003D28CF" w:rsidP="001458B7">
            <w:pPr>
              <w:pStyle w:val="Normal-beforebullets"/>
              <w:jc w:val="center"/>
              <w:rPr>
                <w:rFonts w:asciiTheme="minorHAnsi" w:hAnsiTheme="minorHAnsi" w:cstheme="minorHAnsi"/>
                <w:sz w:val="16"/>
                <w:szCs w:val="16"/>
              </w:rPr>
            </w:pPr>
            <w:r w:rsidRPr="0067738A">
              <w:rPr>
                <w:rFonts w:asciiTheme="minorHAnsi" w:hAnsiTheme="minorHAnsi" w:cstheme="minorHAnsi"/>
                <w:sz w:val="16"/>
                <w:szCs w:val="16"/>
              </w:rPr>
              <w:t>0</w:t>
            </w:r>
          </w:p>
        </w:tc>
        <w:tc>
          <w:tcPr>
            <w:tcW w:w="192" w:type="pct"/>
            <w:shd w:val="clear" w:color="auto" w:fill="auto"/>
            <w:noWrap/>
            <w:vAlign w:val="center"/>
          </w:tcPr>
          <w:p w14:paraId="1A464C13" w14:textId="77777777" w:rsidR="003D28CF" w:rsidRPr="0067738A" w:rsidRDefault="003D28CF" w:rsidP="001458B7">
            <w:pPr>
              <w:pStyle w:val="Normal-beforebullets"/>
              <w:jc w:val="center"/>
              <w:rPr>
                <w:rFonts w:asciiTheme="minorHAnsi" w:hAnsiTheme="minorHAnsi" w:cstheme="minorHAnsi"/>
                <w:sz w:val="16"/>
                <w:szCs w:val="16"/>
              </w:rPr>
            </w:pPr>
            <w:r w:rsidRPr="0067738A">
              <w:rPr>
                <w:rFonts w:asciiTheme="minorHAnsi" w:hAnsiTheme="minorHAnsi" w:cstheme="minorHAnsi"/>
                <w:sz w:val="16"/>
                <w:szCs w:val="16"/>
              </w:rPr>
              <w:t>0</w:t>
            </w:r>
          </w:p>
        </w:tc>
        <w:tc>
          <w:tcPr>
            <w:tcW w:w="192" w:type="pct"/>
            <w:shd w:val="clear" w:color="auto" w:fill="auto"/>
            <w:noWrap/>
            <w:vAlign w:val="center"/>
          </w:tcPr>
          <w:p w14:paraId="15E12310" w14:textId="77777777" w:rsidR="003D28CF" w:rsidRPr="0067738A" w:rsidRDefault="003D28CF" w:rsidP="001458B7">
            <w:pPr>
              <w:pStyle w:val="Normal-beforebullets"/>
              <w:jc w:val="center"/>
              <w:rPr>
                <w:rFonts w:asciiTheme="minorHAnsi" w:hAnsiTheme="minorHAnsi" w:cstheme="minorHAnsi"/>
                <w:sz w:val="16"/>
                <w:szCs w:val="16"/>
              </w:rPr>
            </w:pPr>
            <w:r w:rsidRPr="0067738A">
              <w:rPr>
                <w:rFonts w:asciiTheme="minorHAnsi" w:hAnsiTheme="minorHAnsi" w:cstheme="minorHAnsi"/>
                <w:sz w:val="16"/>
                <w:szCs w:val="16"/>
              </w:rPr>
              <w:t>0</w:t>
            </w:r>
          </w:p>
        </w:tc>
        <w:tc>
          <w:tcPr>
            <w:tcW w:w="194" w:type="pct"/>
            <w:tcBorders>
              <w:right w:val="single" w:sz="12" w:space="0" w:color="auto"/>
            </w:tcBorders>
            <w:shd w:val="clear" w:color="auto" w:fill="auto"/>
            <w:noWrap/>
            <w:vAlign w:val="center"/>
          </w:tcPr>
          <w:p w14:paraId="790ACC17" w14:textId="77777777" w:rsidR="003D28CF" w:rsidRPr="0067738A" w:rsidRDefault="003D28CF" w:rsidP="001458B7">
            <w:pPr>
              <w:pStyle w:val="Normal-beforebullets"/>
              <w:jc w:val="center"/>
              <w:rPr>
                <w:rFonts w:asciiTheme="minorHAnsi" w:hAnsiTheme="minorHAnsi" w:cstheme="minorHAnsi"/>
                <w:sz w:val="16"/>
                <w:szCs w:val="16"/>
              </w:rPr>
            </w:pPr>
            <w:r w:rsidRPr="0067738A">
              <w:rPr>
                <w:rFonts w:asciiTheme="minorHAnsi" w:hAnsiTheme="minorHAnsi" w:cstheme="minorHAnsi"/>
                <w:sz w:val="16"/>
                <w:szCs w:val="16"/>
              </w:rPr>
              <w:t>0</w:t>
            </w:r>
          </w:p>
        </w:tc>
        <w:tc>
          <w:tcPr>
            <w:tcW w:w="213" w:type="pct"/>
            <w:tcBorders>
              <w:left w:val="single" w:sz="12" w:space="0" w:color="auto"/>
            </w:tcBorders>
            <w:shd w:val="clear" w:color="auto" w:fill="auto"/>
            <w:vAlign w:val="center"/>
          </w:tcPr>
          <w:p w14:paraId="2E447FCC" w14:textId="77777777" w:rsidR="003D28CF" w:rsidRPr="0067738A" w:rsidRDefault="003D28CF" w:rsidP="001458B7">
            <w:pPr>
              <w:pStyle w:val="Normal-beforebullets"/>
              <w:jc w:val="center"/>
              <w:rPr>
                <w:rFonts w:asciiTheme="minorHAnsi" w:hAnsiTheme="minorHAnsi" w:cstheme="minorHAnsi"/>
                <w:color w:val="000000"/>
                <w:sz w:val="16"/>
                <w:szCs w:val="16"/>
              </w:rPr>
            </w:pPr>
            <w:r w:rsidRPr="0067738A">
              <w:rPr>
                <w:rFonts w:asciiTheme="minorHAnsi" w:hAnsiTheme="minorHAnsi" w:cstheme="minorHAnsi"/>
                <w:color w:val="000000"/>
                <w:sz w:val="16"/>
                <w:szCs w:val="16"/>
              </w:rPr>
              <w:t>0</w:t>
            </w:r>
          </w:p>
        </w:tc>
        <w:tc>
          <w:tcPr>
            <w:tcW w:w="213" w:type="pct"/>
            <w:vAlign w:val="center"/>
          </w:tcPr>
          <w:p w14:paraId="14E78F1A" w14:textId="77777777"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sz w:val="16"/>
                <w:szCs w:val="16"/>
              </w:rPr>
              <w:t>0</w:t>
            </w:r>
          </w:p>
        </w:tc>
        <w:tc>
          <w:tcPr>
            <w:tcW w:w="342" w:type="pct"/>
            <w:tcBorders>
              <w:right w:val="single" w:sz="12" w:space="0" w:color="auto"/>
            </w:tcBorders>
            <w:vAlign w:val="center"/>
          </w:tcPr>
          <w:p w14:paraId="126991B2" w14:textId="77777777" w:rsidR="003D28CF" w:rsidRPr="001A2873" w:rsidRDefault="003D28CF" w:rsidP="001458B7">
            <w:pPr>
              <w:spacing w:after="0"/>
              <w:jc w:val="center"/>
              <w:rPr>
                <w:rFonts w:asciiTheme="minorHAnsi" w:hAnsiTheme="minorHAnsi" w:cstheme="minorHAnsi"/>
                <w:sz w:val="16"/>
                <w:szCs w:val="16"/>
              </w:rPr>
            </w:pPr>
            <w:r w:rsidRPr="001A2873">
              <w:rPr>
                <w:rFonts w:asciiTheme="minorHAnsi" w:hAnsiTheme="minorHAnsi" w:cstheme="minorHAnsi"/>
                <w:sz w:val="16"/>
                <w:szCs w:val="16"/>
              </w:rPr>
              <w:t>–</w:t>
            </w:r>
          </w:p>
        </w:tc>
        <w:tc>
          <w:tcPr>
            <w:tcW w:w="235" w:type="pct"/>
            <w:shd w:val="clear" w:color="auto" w:fill="auto"/>
            <w:vAlign w:val="center"/>
          </w:tcPr>
          <w:p w14:paraId="77070472" w14:textId="77777777"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color w:val="000000"/>
                <w:sz w:val="16"/>
                <w:szCs w:val="16"/>
              </w:rPr>
              <w:t>0</w:t>
            </w:r>
          </w:p>
        </w:tc>
        <w:tc>
          <w:tcPr>
            <w:tcW w:w="235" w:type="pct"/>
            <w:shd w:val="clear" w:color="auto" w:fill="auto"/>
            <w:vAlign w:val="center"/>
          </w:tcPr>
          <w:p w14:paraId="63427EC0" w14:textId="77777777"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sz w:val="16"/>
                <w:szCs w:val="16"/>
              </w:rPr>
              <w:t>0</w:t>
            </w:r>
          </w:p>
        </w:tc>
        <w:tc>
          <w:tcPr>
            <w:tcW w:w="336" w:type="pct"/>
            <w:vAlign w:val="center"/>
          </w:tcPr>
          <w:p w14:paraId="090576D4" w14:textId="77777777" w:rsidR="003D28CF" w:rsidRPr="0067738A" w:rsidRDefault="003D28CF" w:rsidP="001458B7">
            <w:pPr>
              <w:pStyle w:val="Normal-beforebullets"/>
              <w:jc w:val="center"/>
              <w:rPr>
                <w:rFonts w:asciiTheme="minorHAnsi" w:hAnsiTheme="minorHAnsi" w:cstheme="minorHAnsi"/>
                <w:sz w:val="16"/>
                <w:szCs w:val="16"/>
              </w:rPr>
            </w:pPr>
            <w:r w:rsidRPr="001A2873">
              <w:rPr>
                <w:rFonts w:asciiTheme="minorHAnsi" w:hAnsiTheme="minorHAnsi" w:cstheme="minorHAnsi"/>
                <w:sz w:val="16"/>
                <w:szCs w:val="16"/>
              </w:rPr>
              <w:t>–</w:t>
            </w:r>
          </w:p>
        </w:tc>
      </w:tr>
      <w:tr w:rsidR="003D28CF" w:rsidRPr="0067738A" w14:paraId="4FB0452D" w14:textId="77777777" w:rsidTr="001458B7">
        <w:trPr>
          <w:trHeight w:val="340"/>
        </w:trPr>
        <w:tc>
          <w:tcPr>
            <w:tcW w:w="567" w:type="pct"/>
            <w:vMerge/>
            <w:shd w:val="clear" w:color="auto" w:fill="auto"/>
            <w:vAlign w:val="center"/>
          </w:tcPr>
          <w:p w14:paraId="38FDEE49" w14:textId="77777777" w:rsidR="003D28CF" w:rsidRPr="0067738A" w:rsidRDefault="003D28CF" w:rsidP="001458B7">
            <w:pPr>
              <w:spacing w:after="0"/>
              <w:rPr>
                <w:rFonts w:asciiTheme="minorHAnsi" w:hAnsiTheme="minorHAnsi" w:cstheme="minorHAnsi"/>
                <w:i/>
                <w:iCs/>
                <w:sz w:val="16"/>
                <w:szCs w:val="16"/>
              </w:rPr>
            </w:pPr>
          </w:p>
        </w:tc>
        <w:tc>
          <w:tcPr>
            <w:tcW w:w="1301" w:type="pct"/>
            <w:shd w:val="clear" w:color="auto" w:fill="auto"/>
            <w:vAlign w:val="center"/>
          </w:tcPr>
          <w:p w14:paraId="00AB3E31" w14:textId="421C544E" w:rsidR="003D28CF" w:rsidRPr="0067738A" w:rsidRDefault="003D28CF" w:rsidP="001458B7">
            <w:pPr>
              <w:spacing w:after="0"/>
              <w:rPr>
                <w:rFonts w:asciiTheme="minorHAnsi" w:hAnsiTheme="minorHAnsi" w:cstheme="minorHAnsi"/>
                <w:sz w:val="16"/>
                <w:szCs w:val="16"/>
              </w:rPr>
            </w:pPr>
            <w:r w:rsidRPr="0067738A">
              <w:rPr>
                <w:rFonts w:asciiTheme="minorHAnsi" w:hAnsiTheme="minorHAnsi" w:cstheme="minorHAnsi"/>
                <w:sz w:val="16"/>
                <w:szCs w:val="16"/>
              </w:rPr>
              <w:t>Ceftriaxone non</w:t>
            </w:r>
            <w:r w:rsidR="0085765B">
              <w:rPr>
                <w:rFonts w:asciiTheme="minorHAnsi" w:hAnsiTheme="minorHAnsi" w:cstheme="minorHAnsi"/>
                <w:sz w:val="16"/>
                <w:szCs w:val="16"/>
              </w:rPr>
              <w:t>-</w:t>
            </w:r>
            <w:r w:rsidRPr="0067738A">
              <w:rPr>
                <w:rFonts w:asciiTheme="minorHAnsi" w:hAnsiTheme="minorHAnsi" w:cstheme="minorHAnsi"/>
                <w:sz w:val="16"/>
                <w:szCs w:val="16"/>
              </w:rPr>
              <w:t>suscep</w:t>
            </w:r>
            <w:r w:rsidR="00D10523">
              <w:rPr>
                <w:rFonts w:asciiTheme="minorHAnsi" w:hAnsiTheme="minorHAnsi" w:cstheme="minorHAnsi"/>
                <w:sz w:val="16"/>
                <w:szCs w:val="16"/>
              </w:rPr>
              <w:t>tible and azithromycin non</w:t>
            </w:r>
            <w:r w:rsidR="0085765B">
              <w:rPr>
                <w:rFonts w:asciiTheme="minorHAnsi" w:hAnsiTheme="minorHAnsi" w:cstheme="minorHAnsi"/>
                <w:sz w:val="16"/>
                <w:szCs w:val="16"/>
              </w:rPr>
              <w:t>-</w:t>
            </w:r>
            <w:r w:rsidR="00D10523">
              <w:rPr>
                <w:rFonts w:asciiTheme="minorHAnsi" w:hAnsiTheme="minorHAnsi" w:cstheme="minorHAnsi"/>
                <w:sz w:val="16"/>
                <w:szCs w:val="16"/>
              </w:rPr>
              <w:t>susceptible</w:t>
            </w:r>
            <w:r w:rsidRPr="0067738A">
              <w:rPr>
                <w:rFonts w:asciiTheme="minorHAnsi" w:hAnsiTheme="minorHAnsi" w:cstheme="minorHAnsi"/>
                <w:sz w:val="16"/>
                <w:szCs w:val="16"/>
              </w:rPr>
              <w:t xml:space="preserve"> (HLR &gt; 256 mg/L)</w:t>
            </w:r>
          </w:p>
        </w:tc>
        <w:tc>
          <w:tcPr>
            <w:tcW w:w="192" w:type="pct"/>
            <w:shd w:val="clear" w:color="auto" w:fill="auto"/>
            <w:noWrap/>
            <w:vAlign w:val="center"/>
          </w:tcPr>
          <w:p w14:paraId="447D7ED8" w14:textId="77777777" w:rsidR="003D28CF" w:rsidRPr="0067738A" w:rsidRDefault="003D28CF" w:rsidP="001458B7">
            <w:pPr>
              <w:spacing w:after="0"/>
              <w:jc w:val="center"/>
              <w:rPr>
                <w:rFonts w:asciiTheme="minorHAnsi" w:hAnsiTheme="minorHAnsi" w:cstheme="minorHAnsi"/>
                <w:sz w:val="16"/>
                <w:szCs w:val="16"/>
              </w:rPr>
            </w:pPr>
            <w:r w:rsidRPr="0067738A">
              <w:rPr>
                <w:rFonts w:asciiTheme="minorHAnsi" w:hAnsiTheme="minorHAnsi" w:cstheme="minorHAnsi"/>
                <w:sz w:val="16"/>
                <w:szCs w:val="16"/>
              </w:rPr>
              <w:t>0</w:t>
            </w:r>
          </w:p>
        </w:tc>
        <w:tc>
          <w:tcPr>
            <w:tcW w:w="212" w:type="pct"/>
            <w:shd w:val="clear" w:color="auto" w:fill="auto"/>
            <w:noWrap/>
            <w:vAlign w:val="center"/>
          </w:tcPr>
          <w:p w14:paraId="1D780248" w14:textId="77777777" w:rsidR="003D28CF" w:rsidRPr="0067738A" w:rsidRDefault="003D28CF" w:rsidP="001458B7">
            <w:pPr>
              <w:spacing w:after="0"/>
              <w:jc w:val="center"/>
              <w:rPr>
                <w:rFonts w:asciiTheme="minorHAnsi" w:hAnsiTheme="minorHAnsi" w:cstheme="minorHAnsi"/>
                <w:sz w:val="16"/>
                <w:szCs w:val="16"/>
              </w:rPr>
            </w:pPr>
            <w:r w:rsidRPr="0067738A">
              <w:rPr>
                <w:rFonts w:asciiTheme="minorHAnsi" w:hAnsiTheme="minorHAnsi" w:cstheme="minorHAnsi"/>
                <w:sz w:val="16"/>
                <w:szCs w:val="16"/>
              </w:rPr>
              <w:t>0</w:t>
            </w:r>
          </w:p>
        </w:tc>
        <w:tc>
          <w:tcPr>
            <w:tcW w:w="192" w:type="pct"/>
            <w:shd w:val="clear" w:color="auto" w:fill="auto"/>
            <w:noWrap/>
            <w:vAlign w:val="center"/>
          </w:tcPr>
          <w:p w14:paraId="1FFC52FC" w14:textId="77777777" w:rsidR="003D28CF" w:rsidRPr="0067738A" w:rsidRDefault="003D28CF" w:rsidP="001458B7">
            <w:pPr>
              <w:spacing w:after="0"/>
              <w:jc w:val="center"/>
              <w:rPr>
                <w:rFonts w:asciiTheme="minorHAnsi" w:hAnsiTheme="minorHAnsi" w:cstheme="minorHAnsi"/>
                <w:sz w:val="16"/>
                <w:szCs w:val="16"/>
              </w:rPr>
            </w:pPr>
            <w:r w:rsidRPr="0067738A">
              <w:rPr>
                <w:rFonts w:asciiTheme="minorHAnsi" w:hAnsiTheme="minorHAnsi" w:cstheme="minorHAnsi"/>
                <w:sz w:val="16"/>
                <w:szCs w:val="16"/>
              </w:rPr>
              <w:t>0</w:t>
            </w:r>
          </w:p>
        </w:tc>
        <w:tc>
          <w:tcPr>
            <w:tcW w:w="192" w:type="pct"/>
            <w:shd w:val="clear" w:color="auto" w:fill="auto"/>
            <w:noWrap/>
            <w:vAlign w:val="center"/>
          </w:tcPr>
          <w:p w14:paraId="2E084452" w14:textId="77777777" w:rsidR="003D28CF" w:rsidRPr="0067738A" w:rsidRDefault="003D28CF" w:rsidP="001458B7">
            <w:pPr>
              <w:spacing w:after="0"/>
              <w:jc w:val="center"/>
              <w:rPr>
                <w:rFonts w:asciiTheme="minorHAnsi" w:hAnsiTheme="minorHAnsi" w:cstheme="minorHAnsi"/>
                <w:sz w:val="16"/>
                <w:szCs w:val="16"/>
              </w:rPr>
            </w:pPr>
            <w:r w:rsidRPr="0067738A">
              <w:rPr>
                <w:rFonts w:asciiTheme="minorHAnsi" w:hAnsiTheme="minorHAnsi" w:cstheme="minorHAnsi"/>
                <w:sz w:val="16"/>
                <w:szCs w:val="16"/>
              </w:rPr>
              <w:t>0</w:t>
            </w:r>
          </w:p>
        </w:tc>
        <w:tc>
          <w:tcPr>
            <w:tcW w:w="192" w:type="pct"/>
            <w:shd w:val="clear" w:color="auto" w:fill="auto"/>
            <w:noWrap/>
            <w:vAlign w:val="center"/>
          </w:tcPr>
          <w:p w14:paraId="0E31CF2A" w14:textId="77777777" w:rsidR="003D28CF" w:rsidRPr="0067738A" w:rsidRDefault="003D28CF" w:rsidP="001458B7">
            <w:pPr>
              <w:spacing w:after="0"/>
              <w:jc w:val="center"/>
              <w:rPr>
                <w:rFonts w:asciiTheme="minorHAnsi" w:hAnsiTheme="minorHAnsi" w:cstheme="minorHAnsi"/>
                <w:sz w:val="16"/>
                <w:szCs w:val="16"/>
              </w:rPr>
            </w:pPr>
            <w:r w:rsidRPr="0067738A">
              <w:rPr>
                <w:rFonts w:asciiTheme="minorHAnsi" w:hAnsiTheme="minorHAnsi" w:cstheme="minorHAnsi"/>
                <w:sz w:val="16"/>
                <w:szCs w:val="16"/>
              </w:rPr>
              <w:t>0</w:t>
            </w:r>
          </w:p>
        </w:tc>
        <w:tc>
          <w:tcPr>
            <w:tcW w:w="192" w:type="pct"/>
            <w:shd w:val="clear" w:color="auto" w:fill="auto"/>
            <w:noWrap/>
            <w:vAlign w:val="center"/>
          </w:tcPr>
          <w:p w14:paraId="27E53BC7" w14:textId="77777777" w:rsidR="003D28CF" w:rsidRPr="0067738A" w:rsidRDefault="003D28CF" w:rsidP="001458B7">
            <w:pPr>
              <w:spacing w:after="0"/>
              <w:jc w:val="center"/>
              <w:rPr>
                <w:rFonts w:asciiTheme="minorHAnsi" w:hAnsiTheme="minorHAnsi" w:cstheme="minorHAnsi"/>
                <w:sz w:val="16"/>
                <w:szCs w:val="16"/>
              </w:rPr>
            </w:pPr>
            <w:r w:rsidRPr="0067738A">
              <w:rPr>
                <w:rFonts w:asciiTheme="minorHAnsi" w:hAnsiTheme="minorHAnsi" w:cstheme="minorHAnsi"/>
                <w:sz w:val="16"/>
                <w:szCs w:val="16"/>
              </w:rPr>
              <w:t>0</w:t>
            </w:r>
          </w:p>
        </w:tc>
        <w:tc>
          <w:tcPr>
            <w:tcW w:w="192" w:type="pct"/>
            <w:shd w:val="clear" w:color="auto" w:fill="auto"/>
            <w:noWrap/>
            <w:vAlign w:val="center"/>
          </w:tcPr>
          <w:p w14:paraId="2032F9A4" w14:textId="77777777" w:rsidR="003D28CF" w:rsidRPr="0067738A" w:rsidRDefault="003D28CF" w:rsidP="001458B7">
            <w:pPr>
              <w:spacing w:after="0"/>
              <w:jc w:val="center"/>
              <w:rPr>
                <w:rFonts w:asciiTheme="minorHAnsi" w:hAnsiTheme="minorHAnsi" w:cstheme="minorHAnsi"/>
                <w:sz w:val="16"/>
                <w:szCs w:val="16"/>
              </w:rPr>
            </w:pPr>
            <w:r w:rsidRPr="0067738A">
              <w:rPr>
                <w:rFonts w:asciiTheme="minorHAnsi" w:hAnsiTheme="minorHAnsi" w:cstheme="minorHAnsi"/>
                <w:sz w:val="16"/>
                <w:szCs w:val="16"/>
              </w:rPr>
              <w:t>0</w:t>
            </w:r>
          </w:p>
        </w:tc>
        <w:tc>
          <w:tcPr>
            <w:tcW w:w="194" w:type="pct"/>
            <w:tcBorders>
              <w:right w:val="single" w:sz="12" w:space="0" w:color="auto"/>
            </w:tcBorders>
            <w:shd w:val="clear" w:color="auto" w:fill="auto"/>
            <w:noWrap/>
            <w:vAlign w:val="center"/>
          </w:tcPr>
          <w:p w14:paraId="5E9FD2D5" w14:textId="77777777" w:rsidR="003D28CF" w:rsidRPr="0067738A" w:rsidRDefault="003D28CF" w:rsidP="001458B7">
            <w:pPr>
              <w:spacing w:after="0"/>
              <w:jc w:val="center"/>
              <w:rPr>
                <w:rFonts w:asciiTheme="minorHAnsi" w:hAnsiTheme="minorHAnsi" w:cstheme="minorHAnsi"/>
                <w:sz w:val="16"/>
                <w:szCs w:val="16"/>
              </w:rPr>
            </w:pPr>
            <w:r w:rsidRPr="0067738A">
              <w:rPr>
                <w:rFonts w:asciiTheme="minorHAnsi" w:hAnsiTheme="minorHAnsi" w:cstheme="minorHAnsi"/>
                <w:sz w:val="16"/>
                <w:szCs w:val="16"/>
              </w:rPr>
              <w:t>0</w:t>
            </w:r>
          </w:p>
        </w:tc>
        <w:tc>
          <w:tcPr>
            <w:tcW w:w="213" w:type="pct"/>
            <w:tcBorders>
              <w:left w:val="single" w:sz="12" w:space="0" w:color="auto"/>
            </w:tcBorders>
            <w:shd w:val="clear" w:color="auto" w:fill="auto"/>
            <w:vAlign w:val="center"/>
          </w:tcPr>
          <w:p w14:paraId="34680F72" w14:textId="77777777" w:rsidR="003D28CF" w:rsidRPr="0067738A" w:rsidRDefault="003D28CF" w:rsidP="001458B7">
            <w:pPr>
              <w:spacing w:after="0"/>
              <w:jc w:val="center"/>
              <w:rPr>
                <w:rFonts w:asciiTheme="minorHAnsi" w:hAnsiTheme="minorHAnsi" w:cstheme="minorHAnsi"/>
                <w:sz w:val="16"/>
                <w:szCs w:val="16"/>
              </w:rPr>
            </w:pPr>
            <w:r w:rsidRPr="0067738A">
              <w:rPr>
                <w:rFonts w:asciiTheme="minorHAnsi" w:hAnsiTheme="minorHAnsi" w:cstheme="minorHAnsi"/>
                <w:sz w:val="16"/>
                <w:szCs w:val="16"/>
              </w:rPr>
              <w:t>0</w:t>
            </w:r>
          </w:p>
        </w:tc>
        <w:tc>
          <w:tcPr>
            <w:tcW w:w="213" w:type="pct"/>
            <w:vAlign w:val="center"/>
          </w:tcPr>
          <w:p w14:paraId="172548A1"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342" w:type="pct"/>
            <w:tcBorders>
              <w:right w:val="single" w:sz="12" w:space="0" w:color="auto"/>
            </w:tcBorders>
            <w:vAlign w:val="center"/>
          </w:tcPr>
          <w:p w14:paraId="0C601585" w14:textId="77777777" w:rsidR="003D28CF" w:rsidRPr="001A2873" w:rsidRDefault="003D28CF" w:rsidP="001458B7">
            <w:pPr>
              <w:spacing w:after="0"/>
              <w:jc w:val="center"/>
              <w:rPr>
                <w:rFonts w:asciiTheme="minorHAnsi" w:hAnsiTheme="minorHAnsi" w:cstheme="minorHAnsi"/>
                <w:sz w:val="16"/>
                <w:szCs w:val="16"/>
              </w:rPr>
            </w:pPr>
            <w:r w:rsidRPr="001A2873">
              <w:rPr>
                <w:rFonts w:asciiTheme="minorHAnsi" w:hAnsiTheme="minorHAnsi" w:cstheme="minorHAnsi"/>
                <w:sz w:val="16"/>
                <w:szCs w:val="16"/>
              </w:rPr>
              <w:t>–</w:t>
            </w:r>
          </w:p>
        </w:tc>
        <w:tc>
          <w:tcPr>
            <w:tcW w:w="235" w:type="pct"/>
            <w:shd w:val="clear" w:color="auto" w:fill="auto"/>
            <w:vAlign w:val="center"/>
          </w:tcPr>
          <w:p w14:paraId="5D26384D"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35" w:type="pct"/>
            <w:shd w:val="clear" w:color="auto" w:fill="auto"/>
            <w:vAlign w:val="center"/>
          </w:tcPr>
          <w:p w14:paraId="1E4AC987"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1</w:t>
            </w:r>
          </w:p>
        </w:tc>
        <w:tc>
          <w:tcPr>
            <w:tcW w:w="336" w:type="pct"/>
            <w:vAlign w:val="center"/>
          </w:tcPr>
          <w:p w14:paraId="3621F492"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color w:val="00B050"/>
                <w:sz w:val="16"/>
                <w:szCs w:val="16"/>
              </w:rPr>
              <w:t xml:space="preserve">▼ </w:t>
            </w:r>
            <w:r>
              <w:rPr>
                <w:rFonts w:asciiTheme="minorHAnsi" w:hAnsiTheme="minorHAnsi" w:cstheme="minorHAnsi"/>
                <w:sz w:val="16"/>
                <w:szCs w:val="16"/>
              </w:rPr>
              <w:t>100.0%</w:t>
            </w:r>
          </w:p>
        </w:tc>
      </w:tr>
      <w:tr w:rsidR="003D28CF" w:rsidRPr="0067738A" w14:paraId="61B6434E" w14:textId="77777777" w:rsidTr="001458B7">
        <w:trPr>
          <w:trHeight w:val="340"/>
        </w:trPr>
        <w:tc>
          <w:tcPr>
            <w:tcW w:w="567" w:type="pct"/>
            <w:shd w:val="clear" w:color="auto" w:fill="auto"/>
            <w:vAlign w:val="center"/>
          </w:tcPr>
          <w:p w14:paraId="385ABBC5" w14:textId="77777777" w:rsidR="003D28CF" w:rsidRPr="0067738A" w:rsidRDefault="003D28CF" w:rsidP="001458B7">
            <w:pPr>
              <w:spacing w:after="0"/>
              <w:rPr>
                <w:rFonts w:asciiTheme="minorHAnsi" w:hAnsiTheme="minorHAnsi" w:cstheme="minorHAnsi"/>
                <w:bCs/>
                <w:i/>
                <w:iCs/>
                <w:sz w:val="16"/>
                <w:szCs w:val="16"/>
              </w:rPr>
            </w:pPr>
            <w:r w:rsidRPr="0067738A">
              <w:rPr>
                <w:rFonts w:asciiTheme="minorHAnsi" w:hAnsiTheme="minorHAnsi" w:cstheme="minorHAnsi"/>
                <w:i/>
                <w:iCs/>
                <w:sz w:val="16"/>
                <w:szCs w:val="16"/>
              </w:rPr>
              <w:t xml:space="preserve">Salmonella </w:t>
            </w:r>
            <w:r w:rsidRPr="0067738A">
              <w:rPr>
                <w:rFonts w:asciiTheme="minorHAnsi" w:hAnsiTheme="minorHAnsi" w:cstheme="minorHAnsi"/>
                <w:sz w:val="16"/>
                <w:szCs w:val="16"/>
              </w:rPr>
              <w:t>species</w:t>
            </w:r>
          </w:p>
        </w:tc>
        <w:tc>
          <w:tcPr>
            <w:tcW w:w="1301" w:type="pct"/>
            <w:shd w:val="clear" w:color="auto" w:fill="auto"/>
            <w:vAlign w:val="center"/>
            <w:hideMark/>
          </w:tcPr>
          <w:p w14:paraId="0BE2480A" w14:textId="53DB196A" w:rsidR="003D28CF" w:rsidRPr="0067738A" w:rsidRDefault="003D28CF" w:rsidP="001458B7">
            <w:pPr>
              <w:spacing w:after="0"/>
              <w:rPr>
                <w:rFonts w:asciiTheme="minorHAnsi" w:hAnsiTheme="minorHAnsi" w:cstheme="minorHAnsi"/>
                <w:sz w:val="16"/>
                <w:szCs w:val="16"/>
              </w:rPr>
            </w:pPr>
            <w:r w:rsidRPr="0067738A">
              <w:rPr>
                <w:rFonts w:asciiTheme="minorHAnsi" w:hAnsiTheme="minorHAnsi" w:cstheme="minorHAnsi"/>
                <w:sz w:val="16"/>
                <w:szCs w:val="16"/>
              </w:rPr>
              <w:t>Ceftriaxone no</w:t>
            </w:r>
            <w:r w:rsidR="007F0001">
              <w:rPr>
                <w:rFonts w:asciiTheme="minorHAnsi" w:hAnsiTheme="minorHAnsi" w:cstheme="minorHAnsi"/>
                <w:sz w:val="16"/>
                <w:szCs w:val="16"/>
              </w:rPr>
              <w:t>n</w:t>
            </w:r>
            <w:r w:rsidR="0085765B">
              <w:rPr>
                <w:rFonts w:asciiTheme="minorHAnsi" w:hAnsiTheme="minorHAnsi" w:cstheme="minorHAnsi"/>
                <w:sz w:val="16"/>
                <w:szCs w:val="16"/>
              </w:rPr>
              <w:t>-</w:t>
            </w:r>
            <w:r w:rsidRPr="0067738A">
              <w:rPr>
                <w:rFonts w:asciiTheme="minorHAnsi" w:hAnsiTheme="minorHAnsi" w:cstheme="minorHAnsi"/>
                <w:sz w:val="16"/>
                <w:szCs w:val="16"/>
              </w:rPr>
              <w:t xml:space="preserve">susceptible </w:t>
            </w:r>
          </w:p>
        </w:tc>
        <w:tc>
          <w:tcPr>
            <w:tcW w:w="192" w:type="pct"/>
            <w:shd w:val="clear" w:color="auto" w:fill="auto"/>
            <w:noWrap/>
            <w:vAlign w:val="center"/>
          </w:tcPr>
          <w:p w14:paraId="02F26873"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12" w:type="pct"/>
            <w:shd w:val="clear" w:color="auto" w:fill="auto"/>
            <w:noWrap/>
            <w:vAlign w:val="center"/>
          </w:tcPr>
          <w:p w14:paraId="289DBBD3" w14:textId="77777777" w:rsidR="003D28CF" w:rsidRPr="0067738A" w:rsidRDefault="003D28CF" w:rsidP="001458B7">
            <w:pPr>
              <w:spacing w:after="0"/>
              <w:jc w:val="center"/>
              <w:rPr>
                <w:rFonts w:asciiTheme="minorHAnsi" w:hAnsiTheme="minorHAnsi" w:cstheme="minorHAnsi"/>
                <w:sz w:val="16"/>
                <w:szCs w:val="16"/>
              </w:rPr>
            </w:pPr>
            <w:r w:rsidRPr="00506C8E">
              <w:rPr>
                <w:rFonts w:asciiTheme="minorHAnsi" w:hAnsiTheme="minorHAnsi" w:cstheme="minorHAnsi"/>
                <w:sz w:val="16"/>
                <w:szCs w:val="16"/>
              </w:rPr>
              <w:t>1</w:t>
            </w:r>
          </w:p>
        </w:tc>
        <w:tc>
          <w:tcPr>
            <w:tcW w:w="192" w:type="pct"/>
            <w:shd w:val="clear" w:color="auto" w:fill="auto"/>
            <w:noWrap/>
            <w:vAlign w:val="center"/>
          </w:tcPr>
          <w:p w14:paraId="463B6266"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2</w:t>
            </w:r>
          </w:p>
        </w:tc>
        <w:tc>
          <w:tcPr>
            <w:tcW w:w="192" w:type="pct"/>
            <w:shd w:val="clear" w:color="auto" w:fill="auto"/>
            <w:noWrap/>
            <w:vAlign w:val="center"/>
          </w:tcPr>
          <w:p w14:paraId="6F3ABE3D"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shd w:val="clear" w:color="auto" w:fill="auto"/>
            <w:noWrap/>
            <w:vAlign w:val="center"/>
          </w:tcPr>
          <w:p w14:paraId="3BA12C89"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1</w:t>
            </w:r>
          </w:p>
        </w:tc>
        <w:tc>
          <w:tcPr>
            <w:tcW w:w="192" w:type="pct"/>
            <w:shd w:val="clear" w:color="auto" w:fill="auto"/>
            <w:noWrap/>
            <w:vAlign w:val="center"/>
          </w:tcPr>
          <w:p w14:paraId="31365FB5"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shd w:val="clear" w:color="auto" w:fill="auto"/>
            <w:noWrap/>
            <w:vAlign w:val="center"/>
          </w:tcPr>
          <w:p w14:paraId="0E0277BA"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4" w:type="pct"/>
            <w:tcBorders>
              <w:right w:val="single" w:sz="12" w:space="0" w:color="auto"/>
            </w:tcBorders>
            <w:shd w:val="clear" w:color="auto" w:fill="auto"/>
            <w:noWrap/>
            <w:vAlign w:val="center"/>
          </w:tcPr>
          <w:p w14:paraId="0FB7CD4D"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13" w:type="pct"/>
            <w:tcBorders>
              <w:left w:val="single" w:sz="12" w:space="0" w:color="auto"/>
            </w:tcBorders>
            <w:shd w:val="clear" w:color="auto" w:fill="auto"/>
            <w:vAlign w:val="center"/>
          </w:tcPr>
          <w:p w14:paraId="194BB554"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4</w:t>
            </w:r>
          </w:p>
        </w:tc>
        <w:tc>
          <w:tcPr>
            <w:tcW w:w="213" w:type="pct"/>
            <w:vAlign w:val="center"/>
          </w:tcPr>
          <w:p w14:paraId="08780D65"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6</w:t>
            </w:r>
          </w:p>
        </w:tc>
        <w:tc>
          <w:tcPr>
            <w:tcW w:w="342" w:type="pct"/>
            <w:tcBorders>
              <w:right w:val="single" w:sz="12" w:space="0" w:color="auto"/>
            </w:tcBorders>
            <w:vAlign w:val="center"/>
          </w:tcPr>
          <w:p w14:paraId="00A67FD0" w14:textId="77777777" w:rsidR="003D28CF" w:rsidRPr="001A2873" w:rsidRDefault="003D28CF" w:rsidP="001458B7">
            <w:pPr>
              <w:spacing w:after="0"/>
              <w:jc w:val="center"/>
              <w:rPr>
                <w:rFonts w:asciiTheme="minorHAnsi" w:hAnsiTheme="minorHAnsi" w:cstheme="minorHAnsi"/>
                <w:sz w:val="16"/>
                <w:szCs w:val="16"/>
              </w:rPr>
            </w:pPr>
            <w:r>
              <w:rPr>
                <w:rFonts w:asciiTheme="minorHAnsi" w:hAnsiTheme="minorHAnsi" w:cstheme="minorHAnsi"/>
                <w:color w:val="00B050"/>
                <w:sz w:val="16"/>
                <w:szCs w:val="16"/>
              </w:rPr>
              <w:t>▼</w:t>
            </w:r>
            <w:r w:rsidRPr="00F56B51">
              <w:rPr>
                <w:rFonts w:asciiTheme="minorHAnsi" w:hAnsiTheme="minorHAnsi" w:cstheme="minorHAnsi"/>
                <w:color w:val="auto"/>
                <w:sz w:val="16"/>
                <w:szCs w:val="16"/>
              </w:rPr>
              <w:t xml:space="preserve"> </w:t>
            </w:r>
            <w:r>
              <w:rPr>
                <w:rFonts w:asciiTheme="minorHAnsi" w:hAnsiTheme="minorHAnsi" w:cstheme="minorHAnsi"/>
                <w:color w:val="auto"/>
                <w:sz w:val="16"/>
                <w:szCs w:val="16"/>
              </w:rPr>
              <w:t>33.3</w:t>
            </w:r>
            <w:r w:rsidRPr="007C7975">
              <w:rPr>
                <w:rFonts w:asciiTheme="minorHAnsi" w:hAnsiTheme="minorHAnsi" w:cstheme="minorHAnsi"/>
                <w:color w:val="auto"/>
                <w:sz w:val="16"/>
                <w:szCs w:val="16"/>
              </w:rPr>
              <w:t>%</w:t>
            </w:r>
          </w:p>
        </w:tc>
        <w:tc>
          <w:tcPr>
            <w:tcW w:w="235" w:type="pct"/>
            <w:shd w:val="clear" w:color="auto" w:fill="auto"/>
            <w:vAlign w:val="center"/>
          </w:tcPr>
          <w:p w14:paraId="0E81F0CF"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4</w:t>
            </w:r>
          </w:p>
        </w:tc>
        <w:tc>
          <w:tcPr>
            <w:tcW w:w="235" w:type="pct"/>
            <w:shd w:val="clear" w:color="auto" w:fill="auto"/>
            <w:vAlign w:val="center"/>
          </w:tcPr>
          <w:p w14:paraId="29FFE90D"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8</w:t>
            </w:r>
          </w:p>
        </w:tc>
        <w:tc>
          <w:tcPr>
            <w:tcW w:w="336" w:type="pct"/>
            <w:vAlign w:val="center"/>
          </w:tcPr>
          <w:p w14:paraId="599C7160"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color w:val="00B050"/>
                <w:sz w:val="16"/>
                <w:szCs w:val="16"/>
              </w:rPr>
              <w:t xml:space="preserve">▼ </w:t>
            </w:r>
            <w:r>
              <w:rPr>
                <w:rFonts w:asciiTheme="minorHAnsi" w:hAnsiTheme="minorHAnsi" w:cstheme="minorHAnsi"/>
                <w:sz w:val="16"/>
                <w:szCs w:val="16"/>
              </w:rPr>
              <w:t>50.0%</w:t>
            </w:r>
          </w:p>
        </w:tc>
      </w:tr>
      <w:tr w:rsidR="003D28CF" w:rsidRPr="0067738A" w14:paraId="042331A6" w14:textId="77777777" w:rsidTr="001458B7">
        <w:trPr>
          <w:trHeight w:val="340"/>
        </w:trPr>
        <w:tc>
          <w:tcPr>
            <w:tcW w:w="567" w:type="pct"/>
            <w:shd w:val="clear" w:color="auto" w:fill="auto"/>
            <w:vAlign w:val="center"/>
          </w:tcPr>
          <w:p w14:paraId="2840FE40" w14:textId="77777777" w:rsidR="003D28CF" w:rsidRPr="0067738A" w:rsidRDefault="003D28CF" w:rsidP="001458B7">
            <w:pPr>
              <w:spacing w:after="0"/>
              <w:rPr>
                <w:rFonts w:asciiTheme="minorHAnsi" w:hAnsiTheme="minorHAnsi" w:cstheme="minorHAnsi"/>
                <w:bCs/>
                <w:i/>
                <w:iCs/>
                <w:sz w:val="16"/>
                <w:szCs w:val="16"/>
              </w:rPr>
            </w:pPr>
            <w:r w:rsidRPr="0067738A">
              <w:rPr>
                <w:rFonts w:asciiTheme="minorHAnsi" w:hAnsiTheme="minorHAnsi" w:cstheme="minorHAnsi"/>
                <w:i/>
                <w:iCs/>
                <w:sz w:val="16"/>
                <w:szCs w:val="16"/>
              </w:rPr>
              <w:t xml:space="preserve">Shigella </w:t>
            </w:r>
            <w:r w:rsidRPr="0067738A">
              <w:rPr>
                <w:rFonts w:asciiTheme="minorHAnsi" w:hAnsiTheme="minorHAnsi" w:cstheme="minorHAnsi"/>
                <w:sz w:val="16"/>
                <w:szCs w:val="16"/>
              </w:rPr>
              <w:t>species</w:t>
            </w:r>
          </w:p>
        </w:tc>
        <w:tc>
          <w:tcPr>
            <w:tcW w:w="1301" w:type="pct"/>
            <w:shd w:val="clear" w:color="auto" w:fill="auto"/>
            <w:vAlign w:val="center"/>
            <w:hideMark/>
          </w:tcPr>
          <w:p w14:paraId="60669AD7" w14:textId="77777777" w:rsidR="003D28CF" w:rsidRPr="0067738A" w:rsidRDefault="003D28CF" w:rsidP="001458B7">
            <w:pPr>
              <w:spacing w:after="0"/>
              <w:rPr>
                <w:rFonts w:asciiTheme="minorHAnsi" w:hAnsiTheme="minorHAnsi" w:cstheme="minorHAnsi"/>
                <w:sz w:val="16"/>
                <w:szCs w:val="16"/>
              </w:rPr>
            </w:pPr>
            <w:r w:rsidRPr="0067738A">
              <w:rPr>
                <w:rFonts w:asciiTheme="minorHAnsi" w:hAnsiTheme="minorHAnsi" w:cstheme="minorHAnsi"/>
                <w:sz w:val="16"/>
                <w:szCs w:val="16"/>
              </w:rPr>
              <w:t>Multidrug-resistant</w:t>
            </w:r>
          </w:p>
        </w:tc>
        <w:tc>
          <w:tcPr>
            <w:tcW w:w="192" w:type="pct"/>
            <w:shd w:val="clear" w:color="auto" w:fill="auto"/>
            <w:noWrap/>
            <w:vAlign w:val="center"/>
          </w:tcPr>
          <w:p w14:paraId="5B4F0FC8" w14:textId="77777777" w:rsidR="003D28CF" w:rsidRPr="0067738A" w:rsidRDefault="003D28CF" w:rsidP="001458B7">
            <w:pPr>
              <w:spacing w:after="0"/>
              <w:jc w:val="center"/>
              <w:rPr>
                <w:rFonts w:asciiTheme="minorHAnsi" w:hAnsiTheme="minorHAnsi" w:cstheme="minorHAnsi"/>
                <w:sz w:val="16"/>
                <w:szCs w:val="16"/>
              </w:rPr>
            </w:pPr>
            <w:r w:rsidRPr="00506C8E">
              <w:rPr>
                <w:rFonts w:asciiTheme="minorHAnsi" w:hAnsiTheme="minorHAnsi" w:cstheme="minorHAnsi"/>
                <w:sz w:val="16"/>
                <w:szCs w:val="16"/>
              </w:rPr>
              <w:t>3</w:t>
            </w:r>
          </w:p>
        </w:tc>
        <w:tc>
          <w:tcPr>
            <w:tcW w:w="212" w:type="pct"/>
            <w:shd w:val="clear" w:color="auto" w:fill="auto"/>
            <w:noWrap/>
            <w:vAlign w:val="center"/>
          </w:tcPr>
          <w:p w14:paraId="031D5828"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shd w:val="clear" w:color="auto" w:fill="auto"/>
            <w:noWrap/>
            <w:vAlign w:val="center"/>
          </w:tcPr>
          <w:p w14:paraId="17CBAA9C"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7</w:t>
            </w:r>
          </w:p>
        </w:tc>
        <w:tc>
          <w:tcPr>
            <w:tcW w:w="192" w:type="pct"/>
            <w:shd w:val="clear" w:color="auto" w:fill="auto"/>
            <w:noWrap/>
            <w:vAlign w:val="center"/>
          </w:tcPr>
          <w:p w14:paraId="7B5CDF5D" w14:textId="77777777" w:rsidR="003D28CF" w:rsidRPr="0067738A" w:rsidRDefault="003D28CF" w:rsidP="001458B7">
            <w:pPr>
              <w:spacing w:after="0"/>
              <w:jc w:val="center"/>
              <w:rPr>
                <w:rFonts w:asciiTheme="minorHAnsi" w:hAnsiTheme="minorHAnsi" w:cstheme="minorHAnsi"/>
                <w:sz w:val="16"/>
                <w:szCs w:val="16"/>
              </w:rPr>
            </w:pPr>
            <w:r w:rsidRPr="00506C8E">
              <w:rPr>
                <w:rFonts w:asciiTheme="minorHAnsi" w:hAnsiTheme="minorHAnsi" w:cstheme="minorHAnsi"/>
                <w:sz w:val="16"/>
                <w:szCs w:val="16"/>
              </w:rPr>
              <w:t>1</w:t>
            </w:r>
          </w:p>
        </w:tc>
        <w:tc>
          <w:tcPr>
            <w:tcW w:w="192" w:type="pct"/>
            <w:shd w:val="clear" w:color="auto" w:fill="auto"/>
            <w:noWrap/>
            <w:vAlign w:val="center"/>
          </w:tcPr>
          <w:p w14:paraId="34F1E893" w14:textId="77777777" w:rsidR="003D28CF" w:rsidRPr="0067738A" w:rsidRDefault="003D28CF" w:rsidP="001458B7">
            <w:pPr>
              <w:spacing w:after="0"/>
              <w:jc w:val="center"/>
              <w:rPr>
                <w:rFonts w:asciiTheme="minorHAnsi" w:hAnsiTheme="minorHAnsi" w:cstheme="minorHAnsi"/>
                <w:sz w:val="16"/>
                <w:szCs w:val="16"/>
              </w:rPr>
            </w:pPr>
            <w:r w:rsidRPr="00506C8E">
              <w:rPr>
                <w:rFonts w:asciiTheme="minorHAnsi" w:hAnsiTheme="minorHAnsi" w:cstheme="minorHAnsi"/>
                <w:sz w:val="16"/>
                <w:szCs w:val="16"/>
              </w:rPr>
              <w:t>1</w:t>
            </w:r>
          </w:p>
        </w:tc>
        <w:tc>
          <w:tcPr>
            <w:tcW w:w="192" w:type="pct"/>
            <w:shd w:val="clear" w:color="auto" w:fill="auto"/>
            <w:noWrap/>
            <w:vAlign w:val="center"/>
          </w:tcPr>
          <w:p w14:paraId="3F74178F"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2" w:type="pct"/>
            <w:shd w:val="clear" w:color="auto" w:fill="auto"/>
            <w:noWrap/>
            <w:vAlign w:val="center"/>
          </w:tcPr>
          <w:p w14:paraId="63B89FB7"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4" w:type="pct"/>
            <w:tcBorders>
              <w:right w:val="single" w:sz="12" w:space="0" w:color="auto"/>
            </w:tcBorders>
            <w:shd w:val="clear" w:color="auto" w:fill="auto"/>
            <w:noWrap/>
            <w:vAlign w:val="center"/>
          </w:tcPr>
          <w:p w14:paraId="3CD4165C"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13" w:type="pct"/>
            <w:tcBorders>
              <w:left w:val="single" w:sz="12" w:space="0" w:color="auto"/>
            </w:tcBorders>
            <w:shd w:val="clear" w:color="auto" w:fill="auto"/>
            <w:vAlign w:val="center"/>
          </w:tcPr>
          <w:p w14:paraId="2F6A89F6"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12</w:t>
            </w:r>
          </w:p>
        </w:tc>
        <w:tc>
          <w:tcPr>
            <w:tcW w:w="213" w:type="pct"/>
            <w:vAlign w:val="center"/>
          </w:tcPr>
          <w:p w14:paraId="253B613C"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18</w:t>
            </w:r>
          </w:p>
        </w:tc>
        <w:tc>
          <w:tcPr>
            <w:tcW w:w="342" w:type="pct"/>
            <w:tcBorders>
              <w:right w:val="single" w:sz="12" w:space="0" w:color="auto"/>
            </w:tcBorders>
            <w:vAlign w:val="center"/>
          </w:tcPr>
          <w:p w14:paraId="720DFD7B" w14:textId="77777777" w:rsidR="003D28CF" w:rsidRPr="001A2873" w:rsidRDefault="003D28CF" w:rsidP="001458B7">
            <w:pPr>
              <w:spacing w:after="0"/>
              <w:jc w:val="center"/>
              <w:rPr>
                <w:rFonts w:asciiTheme="minorHAnsi" w:hAnsiTheme="minorHAnsi" w:cstheme="minorHAnsi"/>
                <w:sz w:val="16"/>
                <w:szCs w:val="16"/>
              </w:rPr>
            </w:pPr>
            <w:r>
              <w:rPr>
                <w:rFonts w:asciiTheme="minorHAnsi" w:hAnsiTheme="minorHAnsi" w:cstheme="minorHAnsi"/>
                <w:color w:val="00B050"/>
                <w:sz w:val="16"/>
                <w:szCs w:val="16"/>
              </w:rPr>
              <w:t xml:space="preserve">▼ </w:t>
            </w:r>
            <w:r w:rsidRPr="003F63E8">
              <w:rPr>
                <w:rFonts w:asciiTheme="minorHAnsi" w:hAnsiTheme="minorHAnsi" w:cstheme="minorHAnsi"/>
                <w:color w:val="auto"/>
                <w:sz w:val="16"/>
                <w:szCs w:val="16"/>
              </w:rPr>
              <w:t>33.3</w:t>
            </w:r>
            <w:r w:rsidRPr="007C7975">
              <w:rPr>
                <w:rFonts w:asciiTheme="minorHAnsi" w:hAnsiTheme="minorHAnsi" w:cstheme="minorHAnsi"/>
                <w:color w:val="auto"/>
                <w:sz w:val="16"/>
                <w:szCs w:val="16"/>
              </w:rPr>
              <w:t>%</w:t>
            </w:r>
          </w:p>
        </w:tc>
        <w:tc>
          <w:tcPr>
            <w:tcW w:w="235" w:type="pct"/>
            <w:shd w:val="clear" w:color="auto" w:fill="auto"/>
            <w:vAlign w:val="center"/>
          </w:tcPr>
          <w:p w14:paraId="1DC24ADA"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12</w:t>
            </w:r>
          </w:p>
        </w:tc>
        <w:tc>
          <w:tcPr>
            <w:tcW w:w="235" w:type="pct"/>
            <w:shd w:val="clear" w:color="auto" w:fill="auto"/>
            <w:vAlign w:val="center"/>
          </w:tcPr>
          <w:p w14:paraId="41BE47B7"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20</w:t>
            </w:r>
          </w:p>
        </w:tc>
        <w:tc>
          <w:tcPr>
            <w:tcW w:w="336" w:type="pct"/>
            <w:vAlign w:val="center"/>
          </w:tcPr>
          <w:p w14:paraId="3BD20C00"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color w:val="00B050"/>
                <w:sz w:val="16"/>
                <w:szCs w:val="16"/>
              </w:rPr>
              <w:t xml:space="preserve">▼ </w:t>
            </w:r>
            <w:r>
              <w:rPr>
                <w:rFonts w:asciiTheme="minorHAnsi" w:hAnsiTheme="minorHAnsi" w:cstheme="minorHAnsi"/>
                <w:sz w:val="16"/>
                <w:szCs w:val="16"/>
              </w:rPr>
              <w:t>40.0</w:t>
            </w:r>
          </w:p>
        </w:tc>
      </w:tr>
    </w:tbl>
    <w:p w14:paraId="55345205" w14:textId="77777777" w:rsidR="003D28CF" w:rsidRPr="005D69B0" w:rsidRDefault="003D28CF" w:rsidP="003D28CF">
      <w:pPr>
        <w:spacing w:before="120" w:after="0"/>
        <w:rPr>
          <w:rFonts w:cs="Arial"/>
          <w:sz w:val="16"/>
          <w:szCs w:val="16"/>
        </w:rPr>
      </w:pPr>
      <w:r w:rsidRPr="005D69B0">
        <w:rPr>
          <w:rFonts w:cs="Arial"/>
          <w:sz w:val="16"/>
          <w:szCs w:val="16"/>
        </w:rPr>
        <w:t xml:space="preserve">HLR = high-level resistance; LLR = low-level resistance; </w:t>
      </w:r>
      <w:r>
        <w:rPr>
          <w:rFonts w:cs="Arial"/>
          <w:sz w:val="16"/>
          <w:szCs w:val="16"/>
        </w:rPr>
        <w:t>– = not applicable</w:t>
      </w:r>
    </w:p>
    <w:p w14:paraId="533B63CE" w14:textId="77777777" w:rsidR="003D28CF" w:rsidRPr="00C11AC9" w:rsidRDefault="003D28CF" w:rsidP="003D28CF">
      <w:pPr>
        <w:spacing w:before="60" w:after="0"/>
        <w:rPr>
          <w:rFonts w:cs="Arial"/>
          <w:sz w:val="18"/>
          <w:szCs w:val="20"/>
        </w:rPr>
      </w:pPr>
      <w:r w:rsidRPr="00654C4F">
        <w:rPr>
          <w:rFonts w:cs="Arial"/>
          <w:sz w:val="18"/>
          <w:szCs w:val="20"/>
        </w:rPr>
        <w:t xml:space="preserve">* </w:t>
      </w:r>
      <w:r w:rsidRPr="007F4447">
        <w:rPr>
          <w:rFonts w:cs="Arial"/>
          <w:sz w:val="16"/>
          <w:szCs w:val="16"/>
        </w:rPr>
        <w:t>Relative change = absolute change between period in 2018 and same period in 2019, for each CAR, expressed as a percentage of 2018 base</w:t>
      </w:r>
    </w:p>
    <w:p w14:paraId="06EDA791" w14:textId="77777777" w:rsidR="003D28CF" w:rsidRDefault="003D28CF">
      <w:pPr>
        <w:spacing w:after="80"/>
        <w:rPr>
          <w:rFonts w:cs="Arial"/>
          <w:sz w:val="16"/>
          <w:szCs w:val="16"/>
        </w:rPr>
      </w:pPr>
      <w:r>
        <w:rPr>
          <w:rFonts w:cs="Arial"/>
          <w:sz w:val="16"/>
          <w:szCs w:val="16"/>
        </w:rPr>
        <w:br w:type="page"/>
      </w:r>
    </w:p>
    <w:p w14:paraId="054336B4" w14:textId="77777777" w:rsidR="003D28CF" w:rsidRPr="00446EBA" w:rsidRDefault="003D28CF" w:rsidP="003D28CF">
      <w:pPr>
        <w:pStyle w:val="FigureTitle"/>
      </w:pPr>
      <w:r w:rsidRPr="00B620BA">
        <w:lastRenderedPageBreak/>
        <w:t>Table 1 (continued)</w:t>
      </w:r>
    </w:p>
    <w:p w14:paraId="121F37AD" w14:textId="77777777" w:rsidR="003D28CF" w:rsidRDefault="003D28CF">
      <w:pPr>
        <w:spacing w:after="80"/>
        <w:rPr>
          <w:rFonts w:cs="Arial"/>
          <w:sz w:val="16"/>
          <w:szCs w:val="16"/>
        </w:rPr>
      </w:pPr>
    </w:p>
    <w:tbl>
      <w:tblPr>
        <w:tblStyle w:val="TableGrid"/>
        <w:tblpPr w:leftFromText="180" w:rightFromText="180" w:vertAnchor="text" w:horzAnchor="margin" w:tblpY="-14"/>
        <w:tblOverlap w:val="never"/>
        <w:tblW w:w="5000" w:type="pct"/>
        <w:tblLook w:val="0620" w:firstRow="1" w:lastRow="0" w:firstColumn="0" w:lastColumn="0" w:noHBand="1" w:noVBand="1"/>
      </w:tblPr>
      <w:tblGrid>
        <w:gridCol w:w="1602"/>
        <w:gridCol w:w="3677"/>
        <w:gridCol w:w="543"/>
        <w:gridCol w:w="543"/>
        <w:gridCol w:w="543"/>
        <w:gridCol w:w="543"/>
        <w:gridCol w:w="543"/>
        <w:gridCol w:w="543"/>
        <w:gridCol w:w="543"/>
        <w:gridCol w:w="543"/>
        <w:gridCol w:w="602"/>
        <w:gridCol w:w="602"/>
        <w:gridCol w:w="963"/>
        <w:gridCol w:w="664"/>
        <w:gridCol w:w="664"/>
        <w:gridCol w:w="954"/>
      </w:tblGrid>
      <w:tr w:rsidR="003D28CF" w:rsidRPr="00446EBA" w14:paraId="1061680B" w14:textId="77777777" w:rsidTr="003D28CF">
        <w:trPr>
          <w:cnfStyle w:val="100000000000" w:firstRow="1" w:lastRow="0" w:firstColumn="0" w:lastColumn="0" w:oddVBand="0" w:evenVBand="0" w:oddHBand="0" w:evenHBand="0" w:firstRowFirstColumn="0" w:firstRowLastColumn="0" w:lastRowFirstColumn="0" w:lastRowLastColumn="0"/>
          <w:trHeight w:val="340"/>
        </w:trPr>
        <w:tc>
          <w:tcPr>
            <w:tcW w:w="569" w:type="pct"/>
            <w:tcBorders>
              <w:bottom w:val="nil"/>
            </w:tcBorders>
            <w:shd w:val="clear" w:color="auto" w:fill="DAEEF3" w:themeFill="accent5" w:themeFillTint="33"/>
            <w:vAlign w:val="center"/>
          </w:tcPr>
          <w:p w14:paraId="307DC638" w14:textId="77777777" w:rsidR="003D28CF" w:rsidRPr="00446EBA" w:rsidRDefault="003D28CF" w:rsidP="001458B7">
            <w:pPr>
              <w:spacing w:after="0"/>
              <w:rPr>
                <w:rFonts w:cstheme="minorHAnsi"/>
                <w:i/>
                <w:iCs/>
                <w:color w:val="auto"/>
                <w:sz w:val="16"/>
                <w:szCs w:val="16"/>
              </w:rPr>
            </w:pPr>
          </w:p>
        </w:tc>
        <w:tc>
          <w:tcPr>
            <w:tcW w:w="1306" w:type="pct"/>
            <w:tcBorders>
              <w:bottom w:val="nil"/>
            </w:tcBorders>
            <w:shd w:val="clear" w:color="auto" w:fill="DAEEF3" w:themeFill="accent5" w:themeFillTint="33"/>
            <w:vAlign w:val="center"/>
          </w:tcPr>
          <w:p w14:paraId="642A115C" w14:textId="77777777" w:rsidR="003D28CF" w:rsidRPr="00446EBA" w:rsidRDefault="003D28CF" w:rsidP="001458B7">
            <w:pPr>
              <w:spacing w:after="0"/>
              <w:rPr>
                <w:rFonts w:cstheme="minorHAnsi"/>
                <w:color w:val="auto"/>
                <w:sz w:val="16"/>
                <w:szCs w:val="16"/>
              </w:rPr>
            </w:pPr>
          </w:p>
        </w:tc>
        <w:tc>
          <w:tcPr>
            <w:tcW w:w="1543" w:type="pct"/>
            <w:gridSpan w:val="8"/>
            <w:vMerge w:val="restart"/>
            <w:tcBorders>
              <w:right w:val="single" w:sz="12" w:space="0" w:color="auto"/>
            </w:tcBorders>
            <w:shd w:val="clear" w:color="auto" w:fill="DAEEF3" w:themeFill="accent5" w:themeFillTint="33"/>
            <w:noWrap/>
            <w:vAlign w:val="center"/>
          </w:tcPr>
          <w:p w14:paraId="3CE8D28C" w14:textId="77777777" w:rsidR="003D28CF" w:rsidRPr="00446EBA" w:rsidRDefault="003D28CF" w:rsidP="001458B7">
            <w:pPr>
              <w:spacing w:after="0"/>
              <w:rPr>
                <w:rFonts w:cstheme="minorHAnsi"/>
                <w:color w:val="auto"/>
                <w:sz w:val="16"/>
                <w:szCs w:val="16"/>
              </w:rPr>
            </w:pPr>
            <w:r>
              <w:rPr>
                <w:rFonts w:cstheme="minorHAnsi"/>
                <w:bCs/>
                <w:sz w:val="16"/>
                <w:szCs w:val="16"/>
              </w:rPr>
              <w:t>State or territory</w:t>
            </w:r>
          </w:p>
        </w:tc>
        <w:tc>
          <w:tcPr>
            <w:tcW w:w="770" w:type="pct"/>
            <w:gridSpan w:val="3"/>
            <w:tcBorders>
              <w:left w:val="single" w:sz="12" w:space="0" w:color="auto"/>
              <w:right w:val="single" w:sz="12" w:space="0" w:color="auto"/>
            </w:tcBorders>
            <w:shd w:val="clear" w:color="auto" w:fill="E5DFEC" w:themeFill="accent4" w:themeFillTint="33"/>
            <w:vAlign w:val="center"/>
          </w:tcPr>
          <w:p w14:paraId="4AE2181B" w14:textId="77777777" w:rsidR="003D28CF" w:rsidRPr="00446EBA" w:rsidRDefault="003D28CF" w:rsidP="001458B7">
            <w:pPr>
              <w:spacing w:after="0"/>
              <w:rPr>
                <w:rFonts w:cstheme="minorHAnsi"/>
                <w:color w:val="auto"/>
                <w:sz w:val="16"/>
                <w:szCs w:val="16"/>
              </w:rPr>
            </w:pPr>
            <w:r w:rsidRPr="005E23AD">
              <w:rPr>
                <w:rFonts w:cstheme="minorHAnsi"/>
                <w:color w:val="auto"/>
                <w:sz w:val="16"/>
                <w:szCs w:val="16"/>
              </w:rPr>
              <w:t>Bi monthly</w:t>
            </w:r>
          </w:p>
        </w:tc>
        <w:tc>
          <w:tcPr>
            <w:tcW w:w="811" w:type="pct"/>
            <w:gridSpan w:val="3"/>
            <w:vMerge w:val="restart"/>
            <w:shd w:val="clear" w:color="auto" w:fill="EAF1DD" w:themeFill="accent3" w:themeFillTint="33"/>
            <w:vAlign w:val="center"/>
          </w:tcPr>
          <w:p w14:paraId="5EC39614" w14:textId="77777777" w:rsidR="003D28CF" w:rsidRPr="00446EBA" w:rsidRDefault="003D28CF" w:rsidP="001458B7">
            <w:pPr>
              <w:spacing w:after="0"/>
              <w:rPr>
                <w:rFonts w:cstheme="minorHAnsi"/>
                <w:color w:val="auto"/>
                <w:sz w:val="16"/>
                <w:szCs w:val="16"/>
              </w:rPr>
            </w:pPr>
            <w:r>
              <w:rPr>
                <w:rFonts w:cstheme="minorHAnsi"/>
                <w:sz w:val="16"/>
                <w:szCs w:val="16"/>
              </w:rPr>
              <w:t>Year to date</w:t>
            </w:r>
          </w:p>
        </w:tc>
      </w:tr>
      <w:tr w:rsidR="003D28CF" w:rsidRPr="00446EBA" w14:paraId="6C2A1295" w14:textId="77777777" w:rsidTr="003D28CF">
        <w:trPr>
          <w:trHeight w:val="340"/>
        </w:trPr>
        <w:tc>
          <w:tcPr>
            <w:tcW w:w="569" w:type="pct"/>
            <w:tcBorders>
              <w:top w:val="nil"/>
            </w:tcBorders>
            <w:shd w:val="clear" w:color="auto" w:fill="DAEEF3" w:themeFill="accent5" w:themeFillTint="33"/>
            <w:vAlign w:val="center"/>
          </w:tcPr>
          <w:p w14:paraId="03E11B42" w14:textId="77777777" w:rsidR="003D28CF" w:rsidRPr="0067738A" w:rsidRDefault="003D28CF" w:rsidP="001458B7">
            <w:pPr>
              <w:spacing w:after="0"/>
              <w:rPr>
                <w:rFonts w:cstheme="minorHAnsi"/>
                <w:b/>
                <w:sz w:val="16"/>
                <w:szCs w:val="16"/>
              </w:rPr>
            </w:pPr>
          </w:p>
        </w:tc>
        <w:tc>
          <w:tcPr>
            <w:tcW w:w="1306" w:type="pct"/>
            <w:tcBorders>
              <w:top w:val="nil"/>
            </w:tcBorders>
            <w:shd w:val="clear" w:color="auto" w:fill="DAEEF3" w:themeFill="accent5" w:themeFillTint="33"/>
            <w:vAlign w:val="center"/>
          </w:tcPr>
          <w:p w14:paraId="6DDF5B5C" w14:textId="77777777" w:rsidR="003D28CF" w:rsidRPr="009117B9" w:rsidRDefault="003D28CF" w:rsidP="001458B7">
            <w:pPr>
              <w:spacing w:after="0"/>
              <w:rPr>
                <w:rFonts w:cstheme="minorHAnsi"/>
                <w:b/>
                <w:sz w:val="16"/>
                <w:szCs w:val="16"/>
              </w:rPr>
            </w:pPr>
          </w:p>
        </w:tc>
        <w:tc>
          <w:tcPr>
            <w:tcW w:w="1543" w:type="pct"/>
            <w:gridSpan w:val="8"/>
            <w:vMerge/>
            <w:tcBorders>
              <w:right w:val="single" w:sz="12" w:space="0" w:color="auto"/>
            </w:tcBorders>
            <w:shd w:val="clear" w:color="auto" w:fill="DAEEF3" w:themeFill="accent5" w:themeFillTint="33"/>
            <w:noWrap/>
            <w:vAlign w:val="center"/>
          </w:tcPr>
          <w:p w14:paraId="2CC0D4F4" w14:textId="77777777" w:rsidR="003D28CF" w:rsidRPr="009117B9" w:rsidRDefault="003D28CF" w:rsidP="001458B7">
            <w:pPr>
              <w:spacing w:after="0"/>
              <w:jc w:val="center"/>
              <w:rPr>
                <w:rFonts w:cstheme="minorHAnsi"/>
                <w:b/>
                <w:bCs/>
                <w:sz w:val="16"/>
                <w:szCs w:val="16"/>
              </w:rPr>
            </w:pPr>
          </w:p>
        </w:tc>
        <w:tc>
          <w:tcPr>
            <w:tcW w:w="214" w:type="pct"/>
            <w:tcBorders>
              <w:left w:val="single" w:sz="12" w:space="0" w:color="auto"/>
            </w:tcBorders>
            <w:shd w:val="clear" w:color="auto" w:fill="E5DFEC" w:themeFill="accent4" w:themeFillTint="33"/>
            <w:vAlign w:val="center"/>
          </w:tcPr>
          <w:p w14:paraId="7CB66A21" w14:textId="77777777" w:rsidR="003D28CF" w:rsidRDefault="003D28CF" w:rsidP="001458B7">
            <w:pPr>
              <w:spacing w:after="0"/>
              <w:jc w:val="center"/>
              <w:rPr>
                <w:rFonts w:cstheme="minorHAnsi"/>
                <w:b/>
                <w:sz w:val="16"/>
                <w:szCs w:val="16"/>
              </w:rPr>
            </w:pPr>
            <w:r>
              <w:rPr>
                <w:rFonts w:cstheme="minorHAnsi"/>
                <w:b/>
                <w:sz w:val="16"/>
                <w:szCs w:val="16"/>
              </w:rPr>
              <w:t>2018</w:t>
            </w:r>
          </w:p>
        </w:tc>
        <w:tc>
          <w:tcPr>
            <w:tcW w:w="214" w:type="pct"/>
            <w:shd w:val="clear" w:color="auto" w:fill="E5DFEC" w:themeFill="accent4" w:themeFillTint="33"/>
            <w:vAlign w:val="center"/>
          </w:tcPr>
          <w:p w14:paraId="7D127DDA" w14:textId="77777777" w:rsidR="003D28CF" w:rsidRDefault="003D28CF" w:rsidP="001458B7">
            <w:pPr>
              <w:spacing w:after="0"/>
              <w:jc w:val="center"/>
              <w:rPr>
                <w:rFonts w:cstheme="minorHAnsi"/>
                <w:b/>
                <w:sz w:val="16"/>
                <w:szCs w:val="16"/>
              </w:rPr>
            </w:pPr>
            <w:r>
              <w:rPr>
                <w:rFonts w:cstheme="minorHAnsi"/>
                <w:b/>
                <w:sz w:val="16"/>
                <w:szCs w:val="16"/>
              </w:rPr>
              <w:t>2019</w:t>
            </w:r>
          </w:p>
        </w:tc>
        <w:tc>
          <w:tcPr>
            <w:tcW w:w="342" w:type="pct"/>
            <w:tcBorders>
              <w:right w:val="single" w:sz="12" w:space="0" w:color="auto"/>
            </w:tcBorders>
            <w:shd w:val="clear" w:color="auto" w:fill="E5DFEC" w:themeFill="accent4" w:themeFillTint="33"/>
            <w:vAlign w:val="center"/>
          </w:tcPr>
          <w:p w14:paraId="49731CCA" w14:textId="77777777" w:rsidR="003D28CF" w:rsidRPr="009117B9" w:rsidRDefault="003D28CF" w:rsidP="001458B7">
            <w:pPr>
              <w:spacing w:after="0"/>
              <w:jc w:val="center"/>
              <w:rPr>
                <w:rFonts w:cstheme="minorHAnsi"/>
                <w:b/>
                <w:sz w:val="16"/>
                <w:szCs w:val="16"/>
              </w:rPr>
            </w:pPr>
          </w:p>
        </w:tc>
        <w:tc>
          <w:tcPr>
            <w:tcW w:w="811" w:type="pct"/>
            <w:gridSpan w:val="3"/>
            <w:vMerge/>
            <w:shd w:val="clear" w:color="auto" w:fill="EAF1DD" w:themeFill="accent3" w:themeFillTint="33"/>
            <w:vAlign w:val="center"/>
          </w:tcPr>
          <w:p w14:paraId="60245051" w14:textId="77777777" w:rsidR="003D28CF" w:rsidRPr="009117B9" w:rsidRDefault="003D28CF" w:rsidP="001458B7">
            <w:pPr>
              <w:spacing w:after="0"/>
              <w:jc w:val="center"/>
              <w:rPr>
                <w:rFonts w:cstheme="minorHAnsi"/>
                <w:b/>
                <w:sz w:val="16"/>
                <w:szCs w:val="16"/>
              </w:rPr>
            </w:pPr>
          </w:p>
        </w:tc>
      </w:tr>
      <w:tr w:rsidR="00D14569" w:rsidRPr="00446EBA" w14:paraId="7499CA6D" w14:textId="77777777" w:rsidTr="001458B7">
        <w:trPr>
          <w:trHeight w:val="340"/>
        </w:trPr>
        <w:tc>
          <w:tcPr>
            <w:tcW w:w="569" w:type="pct"/>
            <w:tcBorders>
              <w:top w:val="nil"/>
            </w:tcBorders>
            <w:shd w:val="clear" w:color="auto" w:fill="DAEEF3" w:themeFill="accent5" w:themeFillTint="33"/>
            <w:vAlign w:val="center"/>
          </w:tcPr>
          <w:p w14:paraId="2517D232" w14:textId="77777777" w:rsidR="003D28CF" w:rsidRPr="00446EBA" w:rsidRDefault="003D28CF" w:rsidP="001458B7">
            <w:pPr>
              <w:spacing w:after="0"/>
              <w:rPr>
                <w:rFonts w:cstheme="minorHAnsi"/>
                <w:i/>
                <w:iCs/>
                <w:color w:val="auto"/>
                <w:sz w:val="16"/>
                <w:szCs w:val="16"/>
              </w:rPr>
            </w:pPr>
            <w:r w:rsidRPr="0067738A">
              <w:rPr>
                <w:rFonts w:asciiTheme="minorHAnsi" w:hAnsiTheme="minorHAnsi" w:cstheme="minorHAnsi"/>
                <w:b/>
                <w:sz w:val="16"/>
                <w:szCs w:val="16"/>
              </w:rPr>
              <w:t>Species</w:t>
            </w:r>
          </w:p>
        </w:tc>
        <w:tc>
          <w:tcPr>
            <w:tcW w:w="1306" w:type="pct"/>
            <w:tcBorders>
              <w:top w:val="nil"/>
            </w:tcBorders>
            <w:shd w:val="clear" w:color="auto" w:fill="DAEEF3" w:themeFill="accent5" w:themeFillTint="33"/>
            <w:vAlign w:val="center"/>
          </w:tcPr>
          <w:p w14:paraId="1DE78994" w14:textId="77777777" w:rsidR="003D28CF" w:rsidRPr="00446EBA" w:rsidRDefault="003D28CF" w:rsidP="001458B7">
            <w:pPr>
              <w:spacing w:after="0"/>
              <w:rPr>
                <w:rFonts w:cstheme="minorHAnsi"/>
                <w:color w:val="auto"/>
                <w:sz w:val="16"/>
                <w:szCs w:val="16"/>
              </w:rPr>
            </w:pPr>
            <w:r w:rsidRPr="009117B9">
              <w:rPr>
                <w:rFonts w:asciiTheme="minorHAnsi" w:hAnsiTheme="minorHAnsi" w:cstheme="minorHAnsi"/>
                <w:b/>
                <w:sz w:val="16"/>
                <w:szCs w:val="16"/>
              </w:rPr>
              <w:t>Critical resistance</w:t>
            </w:r>
          </w:p>
        </w:tc>
        <w:tc>
          <w:tcPr>
            <w:tcW w:w="193" w:type="pct"/>
            <w:shd w:val="clear" w:color="auto" w:fill="DAEEF3" w:themeFill="accent5" w:themeFillTint="33"/>
            <w:noWrap/>
            <w:vAlign w:val="center"/>
          </w:tcPr>
          <w:p w14:paraId="5695BC32" w14:textId="77777777" w:rsidR="003D28CF" w:rsidRPr="00446EBA" w:rsidRDefault="003D28CF" w:rsidP="001458B7">
            <w:pPr>
              <w:spacing w:after="0"/>
              <w:jc w:val="center"/>
              <w:rPr>
                <w:rFonts w:cstheme="minorHAnsi"/>
                <w:color w:val="auto"/>
                <w:sz w:val="16"/>
                <w:szCs w:val="16"/>
              </w:rPr>
            </w:pPr>
            <w:r w:rsidRPr="009117B9">
              <w:rPr>
                <w:rFonts w:asciiTheme="minorHAnsi" w:hAnsiTheme="minorHAnsi" w:cstheme="minorHAnsi"/>
                <w:b/>
                <w:bCs/>
                <w:sz w:val="16"/>
                <w:szCs w:val="16"/>
              </w:rPr>
              <w:t>NSW</w:t>
            </w:r>
          </w:p>
        </w:tc>
        <w:tc>
          <w:tcPr>
            <w:tcW w:w="193" w:type="pct"/>
            <w:shd w:val="clear" w:color="auto" w:fill="DAEEF3" w:themeFill="accent5" w:themeFillTint="33"/>
            <w:noWrap/>
            <w:vAlign w:val="center"/>
          </w:tcPr>
          <w:p w14:paraId="4961A44D" w14:textId="77777777" w:rsidR="003D28CF" w:rsidRPr="00446EBA" w:rsidRDefault="003D28CF" w:rsidP="001458B7">
            <w:pPr>
              <w:spacing w:after="0"/>
              <w:jc w:val="center"/>
              <w:rPr>
                <w:rFonts w:cstheme="minorHAnsi"/>
                <w:color w:val="auto"/>
                <w:sz w:val="16"/>
                <w:szCs w:val="16"/>
              </w:rPr>
            </w:pPr>
            <w:r w:rsidRPr="009117B9">
              <w:rPr>
                <w:rFonts w:asciiTheme="minorHAnsi" w:hAnsiTheme="minorHAnsi" w:cstheme="minorHAnsi"/>
                <w:b/>
                <w:bCs/>
                <w:sz w:val="16"/>
                <w:szCs w:val="16"/>
              </w:rPr>
              <w:t>Vic</w:t>
            </w:r>
          </w:p>
        </w:tc>
        <w:tc>
          <w:tcPr>
            <w:tcW w:w="193" w:type="pct"/>
            <w:shd w:val="clear" w:color="auto" w:fill="DAEEF3" w:themeFill="accent5" w:themeFillTint="33"/>
            <w:noWrap/>
            <w:vAlign w:val="center"/>
          </w:tcPr>
          <w:p w14:paraId="41E90B85" w14:textId="77777777" w:rsidR="003D28CF" w:rsidRPr="00446EBA" w:rsidRDefault="003D28CF" w:rsidP="001458B7">
            <w:pPr>
              <w:spacing w:after="0"/>
              <w:jc w:val="center"/>
              <w:rPr>
                <w:rFonts w:cstheme="minorHAnsi"/>
                <w:color w:val="auto"/>
                <w:sz w:val="16"/>
                <w:szCs w:val="16"/>
              </w:rPr>
            </w:pPr>
            <w:r w:rsidRPr="009117B9">
              <w:rPr>
                <w:rFonts w:asciiTheme="minorHAnsi" w:hAnsiTheme="minorHAnsi" w:cstheme="minorHAnsi"/>
                <w:b/>
                <w:bCs/>
                <w:sz w:val="16"/>
                <w:szCs w:val="16"/>
              </w:rPr>
              <w:t>Qld</w:t>
            </w:r>
          </w:p>
        </w:tc>
        <w:tc>
          <w:tcPr>
            <w:tcW w:w="193" w:type="pct"/>
            <w:shd w:val="clear" w:color="auto" w:fill="DAEEF3" w:themeFill="accent5" w:themeFillTint="33"/>
            <w:noWrap/>
            <w:vAlign w:val="center"/>
          </w:tcPr>
          <w:p w14:paraId="246BB639" w14:textId="77777777" w:rsidR="003D28CF" w:rsidRPr="00446EBA" w:rsidRDefault="003D28CF" w:rsidP="001458B7">
            <w:pPr>
              <w:spacing w:after="0"/>
              <w:jc w:val="center"/>
              <w:rPr>
                <w:rFonts w:cstheme="minorHAnsi"/>
                <w:color w:val="auto"/>
                <w:sz w:val="16"/>
                <w:szCs w:val="16"/>
              </w:rPr>
            </w:pPr>
            <w:r w:rsidRPr="009117B9">
              <w:rPr>
                <w:rFonts w:asciiTheme="minorHAnsi" w:hAnsiTheme="minorHAnsi" w:cstheme="minorHAnsi"/>
                <w:b/>
                <w:bCs/>
                <w:sz w:val="16"/>
                <w:szCs w:val="16"/>
              </w:rPr>
              <w:t>SA</w:t>
            </w:r>
          </w:p>
        </w:tc>
        <w:tc>
          <w:tcPr>
            <w:tcW w:w="193" w:type="pct"/>
            <w:shd w:val="clear" w:color="auto" w:fill="DAEEF3" w:themeFill="accent5" w:themeFillTint="33"/>
            <w:noWrap/>
            <w:vAlign w:val="center"/>
          </w:tcPr>
          <w:p w14:paraId="533A786E" w14:textId="77777777" w:rsidR="003D28CF" w:rsidRPr="00446EBA" w:rsidRDefault="003D28CF" w:rsidP="001458B7">
            <w:pPr>
              <w:spacing w:after="0"/>
              <w:jc w:val="center"/>
              <w:rPr>
                <w:rFonts w:cstheme="minorHAnsi"/>
                <w:color w:val="auto"/>
                <w:sz w:val="16"/>
                <w:szCs w:val="16"/>
              </w:rPr>
            </w:pPr>
            <w:r w:rsidRPr="009117B9">
              <w:rPr>
                <w:rFonts w:asciiTheme="minorHAnsi" w:hAnsiTheme="minorHAnsi" w:cstheme="minorHAnsi"/>
                <w:b/>
                <w:bCs/>
                <w:sz w:val="16"/>
                <w:szCs w:val="16"/>
              </w:rPr>
              <w:t>WA</w:t>
            </w:r>
          </w:p>
        </w:tc>
        <w:tc>
          <w:tcPr>
            <w:tcW w:w="193" w:type="pct"/>
            <w:shd w:val="clear" w:color="auto" w:fill="DAEEF3" w:themeFill="accent5" w:themeFillTint="33"/>
            <w:noWrap/>
            <w:vAlign w:val="center"/>
          </w:tcPr>
          <w:p w14:paraId="052AF7FE" w14:textId="77777777" w:rsidR="003D28CF" w:rsidRPr="00446EBA" w:rsidRDefault="003D28CF" w:rsidP="001458B7">
            <w:pPr>
              <w:spacing w:after="0"/>
              <w:jc w:val="center"/>
              <w:rPr>
                <w:rFonts w:cstheme="minorHAnsi"/>
                <w:color w:val="auto"/>
                <w:sz w:val="16"/>
                <w:szCs w:val="16"/>
              </w:rPr>
            </w:pPr>
            <w:proofErr w:type="spellStart"/>
            <w:r w:rsidRPr="009117B9">
              <w:rPr>
                <w:rFonts w:asciiTheme="minorHAnsi" w:hAnsiTheme="minorHAnsi" w:cstheme="minorHAnsi"/>
                <w:b/>
                <w:bCs/>
                <w:sz w:val="16"/>
                <w:szCs w:val="16"/>
              </w:rPr>
              <w:t>Tas</w:t>
            </w:r>
            <w:proofErr w:type="spellEnd"/>
          </w:p>
        </w:tc>
        <w:tc>
          <w:tcPr>
            <w:tcW w:w="193" w:type="pct"/>
            <w:shd w:val="clear" w:color="auto" w:fill="DAEEF3" w:themeFill="accent5" w:themeFillTint="33"/>
            <w:noWrap/>
            <w:vAlign w:val="center"/>
          </w:tcPr>
          <w:p w14:paraId="5C78918E" w14:textId="77777777" w:rsidR="003D28CF" w:rsidRPr="00446EBA" w:rsidRDefault="003D28CF" w:rsidP="001458B7">
            <w:pPr>
              <w:spacing w:after="0"/>
              <w:jc w:val="center"/>
              <w:rPr>
                <w:rFonts w:cstheme="minorHAnsi"/>
                <w:color w:val="auto"/>
                <w:sz w:val="16"/>
                <w:szCs w:val="16"/>
              </w:rPr>
            </w:pPr>
            <w:r w:rsidRPr="009117B9">
              <w:rPr>
                <w:rFonts w:asciiTheme="minorHAnsi" w:hAnsiTheme="minorHAnsi" w:cstheme="minorHAnsi"/>
                <w:b/>
                <w:bCs/>
                <w:sz w:val="16"/>
                <w:szCs w:val="16"/>
              </w:rPr>
              <w:t>NT</w:t>
            </w:r>
          </w:p>
        </w:tc>
        <w:tc>
          <w:tcPr>
            <w:tcW w:w="193" w:type="pct"/>
            <w:tcBorders>
              <w:right w:val="single" w:sz="12" w:space="0" w:color="auto"/>
            </w:tcBorders>
            <w:shd w:val="clear" w:color="auto" w:fill="DAEEF3" w:themeFill="accent5" w:themeFillTint="33"/>
            <w:noWrap/>
            <w:vAlign w:val="center"/>
          </w:tcPr>
          <w:p w14:paraId="1874DCF7" w14:textId="77777777" w:rsidR="003D28CF" w:rsidRPr="00446EBA" w:rsidRDefault="003D28CF" w:rsidP="001458B7">
            <w:pPr>
              <w:spacing w:after="0"/>
              <w:jc w:val="center"/>
              <w:rPr>
                <w:rFonts w:cstheme="minorHAnsi"/>
                <w:color w:val="auto"/>
                <w:sz w:val="16"/>
                <w:szCs w:val="16"/>
              </w:rPr>
            </w:pPr>
            <w:r w:rsidRPr="009117B9">
              <w:rPr>
                <w:rFonts w:asciiTheme="minorHAnsi" w:hAnsiTheme="minorHAnsi" w:cstheme="minorHAnsi"/>
                <w:b/>
                <w:bCs/>
                <w:sz w:val="16"/>
                <w:szCs w:val="16"/>
              </w:rPr>
              <w:t>ACT</w:t>
            </w:r>
          </w:p>
        </w:tc>
        <w:tc>
          <w:tcPr>
            <w:tcW w:w="214" w:type="pct"/>
            <w:tcBorders>
              <w:left w:val="single" w:sz="12" w:space="0" w:color="auto"/>
            </w:tcBorders>
            <w:shd w:val="clear" w:color="auto" w:fill="E5DFEC" w:themeFill="accent4" w:themeFillTint="33"/>
            <w:vAlign w:val="center"/>
          </w:tcPr>
          <w:p w14:paraId="564DA42E" w14:textId="77777777" w:rsidR="003D28CF" w:rsidRPr="00446EBA" w:rsidRDefault="003D28CF" w:rsidP="001458B7">
            <w:pPr>
              <w:spacing w:after="0"/>
              <w:jc w:val="center"/>
              <w:rPr>
                <w:rFonts w:cstheme="minorHAnsi"/>
                <w:color w:val="auto"/>
                <w:sz w:val="16"/>
                <w:szCs w:val="16"/>
              </w:rPr>
            </w:pPr>
            <w:r>
              <w:rPr>
                <w:rFonts w:asciiTheme="minorHAnsi" w:hAnsiTheme="minorHAnsi" w:cstheme="minorHAnsi"/>
                <w:b/>
                <w:sz w:val="16"/>
                <w:szCs w:val="16"/>
              </w:rPr>
              <w:t>Jan-Feb</w:t>
            </w:r>
          </w:p>
        </w:tc>
        <w:tc>
          <w:tcPr>
            <w:tcW w:w="214" w:type="pct"/>
            <w:shd w:val="clear" w:color="auto" w:fill="E5DFEC" w:themeFill="accent4" w:themeFillTint="33"/>
            <w:vAlign w:val="center"/>
          </w:tcPr>
          <w:p w14:paraId="7BA0583E" w14:textId="77777777" w:rsidR="003D28CF" w:rsidRPr="00446EBA" w:rsidRDefault="003D28CF" w:rsidP="001458B7">
            <w:pPr>
              <w:spacing w:after="0"/>
              <w:jc w:val="center"/>
              <w:rPr>
                <w:rFonts w:cstheme="minorHAnsi"/>
                <w:color w:val="auto"/>
                <w:sz w:val="16"/>
                <w:szCs w:val="16"/>
              </w:rPr>
            </w:pPr>
            <w:r>
              <w:rPr>
                <w:rFonts w:asciiTheme="minorHAnsi" w:hAnsiTheme="minorHAnsi" w:cstheme="minorHAnsi"/>
                <w:b/>
                <w:sz w:val="16"/>
                <w:szCs w:val="16"/>
              </w:rPr>
              <w:t>Nov-Dec</w:t>
            </w:r>
          </w:p>
        </w:tc>
        <w:tc>
          <w:tcPr>
            <w:tcW w:w="342" w:type="pct"/>
            <w:tcBorders>
              <w:right w:val="single" w:sz="12" w:space="0" w:color="auto"/>
            </w:tcBorders>
            <w:shd w:val="clear" w:color="auto" w:fill="E5DFEC" w:themeFill="accent4" w:themeFillTint="33"/>
            <w:vAlign w:val="center"/>
          </w:tcPr>
          <w:p w14:paraId="51663311" w14:textId="77777777" w:rsidR="003D28CF" w:rsidRPr="00446EBA" w:rsidRDefault="003D28CF" w:rsidP="001458B7">
            <w:pPr>
              <w:spacing w:after="0"/>
              <w:jc w:val="center"/>
              <w:rPr>
                <w:rFonts w:cstheme="minorHAnsi"/>
                <w:color w:val="auto"/>
                <w:sz w:val="16"/>
                <w:szCs w:val="16"/>
              </w:rPr>
            </w:pPr>
            <w:r w:rsidRPr="009117B9">
              <w:rPr>
                <w:rFonts w:asciiTheme="minorHAnsi" w:hAnsiTheme="minorHAnsi" w:cstheme="minorHAnsi"/>
                <w:b/>
                <w:sz w:val="16"/>
                <w:szCs w:val="16"/>
              </w:rPr>
              <w:t>Relative change</w:t>
            </w:r>
          </w:p>
        </w:tc>
        <w:tc>
          <w:tcPr>
            <w:tcW w:w="236" w:type="pct"/>
            <w:shd w:val="clear" w:color="auto" w:fill="EAF1DD" w:themeFill="accent3" w:themeFillTint="33"/>
            <w:vAlign w:val="center"/>
          </w:tcPr>
          <w:p w14:paraId="58C1E645" w14:textId="77777777" w:rsidR="003D28CF" w:rsidRPr="00446EBA" w:rsidRDefault="003D28CF" w:rsidP="001458B7">
            <w:pPr>
              <w:spacing w:after="0"/>
              <w:jc w:val="center"/>
              <w:rPr>
                <w:rFonts w:cstheme="minorHAnsi"/>
                <w:color w:val="auto"/>
                <w:sz w:val="16"/>
                <w:szCs w:val="16"/>
              </w:rPr>
            </w:pPr>
            <w:r w:rsidRPr="009117B9">
              <w:rPr>
                <w:rFonts w:asciiTheme="minorHAnsi" w:hAnsiTheme="minorHAnsi" w:cstheme="minorHAnsi"/>
                <w:b/>
                <w:color w:val="000000"/>
                <w:sz w:val="16"/>
                <w:szCs w:val="16"/>
              </w:rPr>
              <w:t>201</w:t>
            </w:r>
            <w:r>
              <w:rPr>
                <w:rFonts w:asciiTheme="minorHAnsi" w:hAnsiTheme="minorHAnsi" w:cstheme="minorHAnsi"/>
                <w:b/>
                <w:color w:val="000000"/>
                <w:sz w:val="16"/>
                <w:szCs w:val="16"/>
              </w:rPr>
              <w:t>9</w:t>
            </w:r>
          </w:p>
        </w:tc>
        <w:tc>
          <w:tcPr>
            <w:tcW w:w="236" w:type="pct"/>
            <w:shd w:val="clear" w:color="auto" w:fill="EAF1DD" w:themeFill="accent3" w:themeFillTint="33"/>
            <w:vAlign w:val="center"/>
          </w:tcPr>
          <w:p w14:paraId="21ABCFC4" w14:textId="77777777" w:rsidR="003D28CF" w:rsidRPr="00446EBA" w:rsidRDefault="003D28CF" w:rsidP="001458B7">
            <w:pPr>
              <w:spacing w:after="0"/>
              <w:jc w:val="center"/>
              <w:rPr>
                <w:rFonts w:cstheme="minorHAnsi"/>
                <w:color w:val="auto"/>
                <w:sz w:val="16"/>
                <w:szCs w:val="16"/>
              </w:rPr>
            </w:pPr>
            <w:r w:rsidRPr="009117B9">
              <w:rPr>
                <w:rFonts w:asciiTheme="minorHAnsi" w:hAnsiTheme="minorHAnsi" w:cstheme="minorHAnsi"/>
                <w:b/>
                <w:color w:val="000000"/>
                <w:sz w:val="16"/>
                <w:szCs w:val="16"/>
              </w:rPr>
              <w:t>201</w:t>
            </w:r>
            <w:r>
              <w:rPr>
                <w:rFonts w:asciiTheme="minorHAnsi" w:hAnsiTheme="minorHAnsi" w:cstheme="minorHAnsi"/>
                <w:b/>
                <w:color w:val="000000"/>
                <w:sz w:val="16"/>
                <w:szCs w:val="16"/>
              </w:rPr>
              <w:t>8</w:t>
            </w:r>
          </w:p>
        </w:tc>
        <w:tc>
          <w:tcPr>
            <w:tcW w:w="339" w:type="pct"/>
            <w:shd w:val="clear" w:color="auto" w:fill="EAF1DD" w:themeFill="accent3" w:themeFillTint="33"/>
            <w:vAlign w:val="center"/>
          </w:tcPr>
          <w:p w14:paraId="574E5EDB" w14:textId="77777777" w:rsidR="003D28CF" w:rsidRPr="00446EBA" w:rsidRDefault="003D28CF" w:rsidP="001458B7">
            <w:pPr>
              <w:spacing w:after="0"/>
              <w:jc w:val="center"/>
              <w:rPr>
                <w:rFonts w:cstheme="minorHAnsi"/>
                <w:color w:val="auto"/>
                <w:sz w:val="16"/>
                <w:szCs w:val="16"/>
              </w:rPr>
            </w:pPr>
            <w:r w:rsidRPr="009117B9">
              <w:rPr>
                <w:rFonts w:asciiTheme="minorHAnsi" w:hAnsiTheme="minorHAnsi" w:cstheme="minorHAnsi"/>
                <w:b/>
                <w:sz w:val="16"/>
                <w:szCs w:val="16"/>
              </w:rPr>
              <w:t>Relative change</w:t>
            </w:r>
          </w:p>
        </w:tc>
      </w:tr>
      <w:tr w:rsidR="003D28CF" w:rsidRPr="0067738A" w14:paraId="0590B0D7" w14:textId="77777777" w:rsidTr="001458B7">
        <w:trPr>
          <w:trHeight w:val="340"/>
        </w:trPr>
        <w:tc>
          <w:tcPr>
            <w:tcW w:w="569" w:type="pct"/>
            <w:vMerge w:val="restart"/>
            <w:shd w:val="clear" w:color="auto" w:fill="auto"/>
            <w:vAlign w:val="center"/>
          </w:tcPr>
          <w:p w14:paraId="4AF7B3C1" w14:textId="77777777" w:rsidR="003D28CF" w:rsidRPr="0067738A" w:rsidRDefault="003D28CF" w:rsidP="001458B7">
            <w:pPr>
              <w:spacing w:after="0"/>
              <w:rPr>
                <w:rFonts w:asciiTheme="minorHAnsi" w:hAnsiTheme="minorHAnsi" w:cstheme="minorHAnsi"/>
                <w:bCs/>
                <w:i/>
                <w:iCs/>
                <w:sz w:val="16"/>
                <w:szCs w:val="16"/>
              </w:rPr>
            </w:pPr>
            <w:r w:rsidRPr="0067738A">
              <w:rPr>
                <w:rFonts w:asciiTheme="minorHAnsi" w:hAnsiTheme="minorHAnsi" w:cstheme="minorHAnsi"/>
                <w:i/>
                <w:iCs/>
                <w:sz w:val="16"/>
                <w:szCs w:val="16"/>
              </w:rPr>
              <w:t>Staphylococcus aureus</w:t>
            </w:r>
          </w:p>
        </w:tc>
        <w:tc>
          <w:tcPr>
            <w:tcW w:w="1306" w:type="pct"/>
            <w:shd w:val="clear" w:color="auto" w:fill="auto"/>
            <w:vAlign w:val="center"/>
            <w:hideMark/>
          </w:tcPr>
          <w:p w14:paraId="1BB7CC35" w14:textId="77777777" w:rsidR="003D28CF" w:rsidRPr="0067738A" w:rsidRDefault="003D28CF" w:rsidP="001458B7">
            <w:pPr>
              <w:spacing w:after="0"/>
              <w:rPr>
                <w:rFonts w:asciiTheme="minorHAnsi" w:hAnsiTheme="minorHAnsi" w:cstheme="minorHAnsi"/>
                <w:sz w:val="16"/>
                <w:szCs w:val="16"/>
              </w:rPr>
            </w:pPr>
            <w:r w:rsidRPr="0067738A">
              <w:rPr>
                <w:rFonts w:asciiTheme="minorHAnsi" w:hAnsiTheme="minorHAnsi" w:cstheme="minorHAnsi"/>
                <w:sz w:val="16"/>
                <w:szCs w:val="16"/>
              </w:rPr>
              <w:t>Daptomycin non-susceptible</w:t>
            </w:r>
          </w:p>
        </w:tc>
        <w:tc>
          <w:tcPr>
            <w:tcW w:w="193" w:type="pct"/>
            <w:shd w:val="clear" w:color="auto" w:fill="auto"/>
            <w:noWrap/>
            <w:vAlign w:val="center"/>
          </w:tcPr>
          <w:p w14:paraId="7521BF9A"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3</w:t>
            </w:r>
          </w:p>
        </w:tc>
        <w:tc>
          <w:tcPr>
            <w:tcW w:w="193" w:type="pct"/>
            <w:shd w:val="clear" w:color="auto" w:fill="auto"/>
            <w:noWrap/>
            <w:vAlign w:val="center"/>
          </w:tcPr>
          <w:p w14:paraId="2AC0798C"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9</w:t>
            </w:r>
          </w:p>
        </w:tc>
        <w:tc>
          <w:tcPr>
            <w:tcW w:w="193" w:type="pct"/>
            <w:shd w:val="clear" w:color="auto" w:fill="auto"/>
            <w:noWrap/>
            <w:vAlign w:val="center"/>
          </w:tcPr>
          <w:p w14:paraId="3503BA6A"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3</w:t>
            </w:r>
          </w:p>
        </w:tc>
        <w:tc>
          <w:tcPr>
            <w:tcW w:w="193" w:type="pct"/>
            <w:shd w:val="clear" w:color="auto" w:fill="auto"/>
            <w:noWrap/>
            <w:vAlign w:val="center"/>
          </w:tcPr>
          <w:p w14:paraId="6B134414"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shd w:val="clear" w:color="auto" w:fill="auto"/>
            <w:noWrap/>
            <w:vAlign w:val="center"/>
          </w:tcPr>
          <w:p w14:paraId="5D27AFB8"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8</w:t>
            </w:r>
          </w:p>
        </w:tc>
        <w:tc>
          <w:tcPr>
            <w:tcW w:w="193" w:type="pct"/>
            <w:shd w:val="clear" w:color="auto" w:fill="auto"/>
            <w:noWrap/>
            <w:vAlign w:val="center"/>
          </w:tcPr>
          <w:p w14:paraId="568D1ACE"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shd w:val="clear" w:color="auto" w:fill="auto"/>
            <w:noWrap/>
            <w:vAlign w:val="center"/>
          </w:tcPr>
          <w:p w14:paraId="7E4A3F6D"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tcBorders>
              <w:right w:val="single" w:sz="12" w:space="0" w:color="auto"/>
            </w:tcBorders>
            <w:shd w:val="clear" w:color="auto" w:fill="auto"/>
            <w:noWrap/>
            <w:vAlign w:val="center"/>
          </w:tcPr>
          <w:p w14:paraId="01703CB3"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14" w:type="pct"/>
            <w:tcBorders>
              <w:left w:val="single" w:sz="12" w:space="0" w:color="auto"/>
            </w:tcBorders>
            <w:shd w:val="clear" w:color="auto" w:fill="auto"/>
            <w:vAlign w:val="center"/>
          </w:tcPr>
          <w:p w14:paraId="49D55B7F"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23</w:t>
            </w:r>
          </w:p>
        </w:tc>
        <w:tc>
          <w:tcPr>
            <w:tcW w:w="214" w:type="pct"/>
            <w:vAlign w:val="center"/>
          </w:tcPr>
          <w:p w14:paraId="1923E105"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21</w:t>
            </w:r>
          </w:p>
        </w:tc>
        <w:tc>
          <w:tcPr>
            <w:tcW w:w="342" w:type="pct"/>
            <w:tcBorders>
              <w:right w:val="single" w:sz="12" w:space="0" w:color="auto"/>
            </w:tcBorders>
            <w:vAlign w:val="center"/>
          </w:tcPr>
          <w:p w14:paraId="107C3F81" w14:textId="77777777" w:rsidR="003D28CF" w:rsidRPr="001A2873" w:rsidRDefault="003D28CF" w:rsidP="001458B7">
            <w:pPr>
              <w:spacing w:after="0"/>
              <w:jc w:val="center"/>
              <w:rPr>
                <w:rFonts w:asciiTheme="minorHAnsi" w:hAnsiTheme="minorHAnsi" w:cstheme="minorHAnsi"/>
                <w:sz w:val="16"/>
                <w:szCs w:val="16"/>
              </w:rPr>
            </w:pPr>
            <w:r w:rsidRPr="004254C8">
              <w:rPr>
                <w:rFonts w:asciiTheme="minorHAnsi" w:hAnsiTheme="minorHAnsi" w:cstheme="minorHAnsi"/>
                <w:color w:val="FF0000"/>
                <w:sz w:val="16"/>
                <w:szCs w:val="16"/>
              </w:rPr>
              <w:t>▲</w:t>
            </w:r>
            <w:r>
              <w:rPr>
                <w:rFonts w:asciiTheme="minorHAnsi" w:hAnsiTheme="minorHAnsi" w:cstheme="minorHAnsi"/>
                <w:color w:val="00B050"/>
                <w:sz w:val="16"/>
                <w:szCs w:val="16"/>
              </w:rPr>
              <w:t xml:space="preserve"> </w:t>
            </w:r>
            <w:r>
              <w:rPr>
                <w:rFonts w:asciiTheme="minorHAnsi" w:hAnsiTheme="minorHAnsi" w:cstheme="minorHAnsi"/>
                <w:sz w:val="16"/>
                <w:szCs w:val="16"/>
              </w:rPr>
              <w:t>9.5%</w:t>
            </w:r>
          </w:p>
        </w:tc>
        <w:tc>
          <w:tcPr>
            <w:tcW w:w="236" w:type="pct"/>
            <w:shd w:val="clear" w:color="auto" w:fill="auto"/>
            <w:vAlign w:val="center"/>
          </w:tcPr>
          <w:p w14:paraId="099D04AB"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23</w:t>
            </w:r>
          </w:p>
        </w:tc>
        <w:tc>
          <w:tcPr>
            <w:tcW w:w="236" w:type="pct"/>
            <w:shd w:val="clear" w:color="auto" w:fill="auto"/>
            <w:vAlign w:val="center"/>
          </w:tcPr>
          <w:p w14:paraId="67C8CE90"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20</w:t>
            </w:r>
          </w:p>
        </w:tc>
        <w:tc>
          <w:tcPr>
            <w:tcW w:w="339" w:type="pct"/>
            <w:vAlign w:val="center"/>
          </w:tcPr>
          <w:p w14:paraId="1DA95E3B" w14:textId="77777777" w:rsidR="003D28CF" w:rsidRPr="0067738A" w:rsidRDefault="003D28CF" w:rsidP="001458B7">
            <w:pPr>
              <w:spacing w:after="0"/>
              <w:jc w:val="center"/>
              <w:rPr>
                <w:rFonts w:asciiTheme="minorHAnsi" w:hAnsiTheme="minorHAnsi" w:cstheme="minorHAnsi"/>
                <w:sz w:val="16"/>
                <w:szCs w:val="16"/>
              </w:rPr>
            </w:pPr>
            <w:r w:rsidRPr="004254C8">
              <w:rPr>
                <w:rFonts w:asciiTheme="minorHAnsi" w:hAnsiTheme="minorHAnsi" w:cstheme="minorHAnsi"/>
                <w:color w:val="FF0000"/>
                <w:sz w:val="16"/>
                <w:szCs w:val="16"/>
              </w:rPr>
              <w:t>▲</w:t>
            </w:r>
            <w:r>
              <w:rPr>
                <w:rFonts w:asciiTheme="minorHAnsi" w:hAnsiTheme="minorHAnsi" w:cstheme="minorHAnsi"/>
                <w:color w:val="00B050"/>
                <w:sz w:val="16"/>
                <w:szCs w:val="16"/>
              </w:rPr>
              <w:t xml:space="preserve"> </w:t>
            </w:r>
            <w:r>
              <w:rPr>
                <w:rFonts w:asciiTheme="minorHAnsi" w:hAnsiTheme="minorHAnsi" w:cstheme="minorHAnsi"/>
                <w:sz w:val="16"/>
                <w:szCs w:val="16"/>
              </w:rPr>
              <w:t>15.0%</w:t>
            </w:r>
          </w:p>
        </w:tc>
      </w:tr>
      <w:tr w:rsidR="003D28CF" w:rsidRPr="0067738A" w14:paraId="149D9586" w14:textId="77777777" w:rsidTr="001458B7">
        <w:trPr>
          <w:trHeight w:val="340"/>
        </w:trPr>
        <w:tc>
          <w:tcPr>
            <w:tcW w:w="569" w:type="pct"/>
            <w:vMerge/>
            <w:shd w:val="clear" w:color="auto" w:fill="auto"/>
            <w:vAlign w:val="center"/>
          </w:tcPr>
          <w:p w14:paraId="1ADCCC73" w14:textId="77777777" w:rsidR="003D28CF" w:rsidRPr="0067738A" w:rsidRDefault="003D28CF" w:rsidP="001458B7">
            <w:pPr>
              <w:spacing w:after="0"/>
              <w:rPr>
                <w:rFonts w:asciiTheme="minorHAnsi" w:hAnsiTheme="minorHAnsi" w:cstheme="minorHAnsi"/>
                <w:sz w:val="16"/>
                <w:szCs w:val="16"/>
              </w:rPr>
            </w:pPr>
          </w:p>
        </w:tc>
        <w:tc>
          <w:tcPr>
            <w:tcW w:w="1306" w:type="pct"/>
            <w:shd w:val="clear" w:color="auto" w:fill="auto"/>
            <w:vAlign w:val="center"/>
          </w:tcPr>
          <w:p w14:paraId="239C0EED" w14:textId="77777777" w:rsidR="003D28CF" w:rsidRPr="0067738A" w:rsidRDefault="003D28CF" w:rsidP="001458B7">
            <w:pPr>
              <w:spacing w:after="0"/>
              <w:rPr>
                <w:rFonts w:asciiTheme="minorHAnsi" w:hAnsiTheme="minorHAnsi" w:cstheme="minorHAnsi"/>
                <w:sz w:val="16"/>
                <w:szCs w:val="16"/>
              </w:rPr>
            </w:pPr>
            <w:r w:rsidRPr="0067738A">
              <w:rPr>
                <w:rFonts w:asciiTheme="minorHAnsi" w:hAnsiTheme="minorHAnsi" w:cstheme="minorHAnsi"/>
                <w:sz w:val="16"/>
                <w:szCs w:val="16"/>
              </w:rPr>
              <w:t>Daptomycin and vancomycin non-susceptible</w:t>
            </w:r>
          </w:p>
        </w:tc>
        <w:tc>
          <w:tcPr>
            <w:tcW w:w="193" w:type="pct"/>
            <w:shd w:val="clear" w:color="auto" w:fill="auto"/>
            <w:noWrap/>
            <w:vAlign w:val="center"/>
          </w:tcPr>
          <w:p w14:paraId="34F567F3" w14:textId="77777777" w:rsidR="003D28CF" w:rsidRPr="0067738A" w:rsidRDefault="003D28CF" w:rsidP="001458B7">
            <w:pPr>
              <w:pStyle w:val="Normal-beforebullets"/>
              <w:jc w:val="center"/>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193" w:type="pct"/>
            <w:shd w:val="clear" w:color="auto" w:fill="auto"/>
            <w:noWrap/>
            <w:vAlign w:val="center"/>
          </w:tcPr>
          <w:p w14:paraId="45A1A48D" w14:textId="77777777"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shd w:val="clear" w:color="auto" w:fill="auto"/>
            <w:noWrap/>
            <w:vAlign w:val="center"/>
          </w:tcPr>
          <w:p w14:paraId="653295CE" w14:textId="77777777" w:rsidR="003D28CF" w:rsidRPr="0067738A" w:rsidRDefault="003D28CF" w:rsidP="001458B7">
            <w:pPr>
              <w:pStyle w:val="Normal-beforebullets"/>
              <w:jc w:val="center"/>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193" w:type="pct"/>
            <w:shd w:val="clear" w:color="auto" w:fill="auto"/>
            <w:noWrap/>
            <w:vAlign w:val="center"/>
          </w:tcPr>
          <w:p w14:paraId="60A9DED8" w14:textId="77777777" w:rsidR="003D28CF" w:rsidRPr="0067738A" w:rsidRDefault="003D28CF" w:rsidP="001458B7">
            <w:pPr>
              <w:pStyle w:val="Normal-beforebullets"/>
              <w:jc w:val="center"/>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193" w:type="pct"/>
            <w:shd w:val="clear" w:color="auto" w:fill="auto"/>
            <w:noWrap/>
            <w:vAlign w:val="center"/>
          </w:tcPr>
          <w:p w14:paraId="6FD6EA98" w14:textId="77777777"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shd w:val="clear" w:color="auto" w:fill="auto"/>
            <w:noWrap/>
            <w:vAlign w:val="center"/>
          </w:tcPr>
          <w:p w14:paraId="22F2B92A" w14:textId="77777777"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shd w:val="clear" w:color="auto" w:fill="auto"/>
            <w:noWrap/>
            <w:vAlign w:val="center"/>
          </w:tcPr>
          <w:p w14:paraId="54B641F8" w14:textId="77777777"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tcBorders>
              <w:right w:val="single" w:sz="12" w:space="0" w:color="auto"/>
            </w:tcBorders>
            <w:shd w:val="clear" w:color="auto" w:fill="auto"/>
            <w:noWrap/>
            <w:vAlign w:val="center"/>
          </w:tcPr>
          <w:p w14:paraId="6F0DAC65" w14:textId="77777777"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sz w:val="16"/>
                <w:szCs w:val="16"/>
              </w:rPr>
              <w:t>0</w:t>
            </w:r>
          </w:p>
        </w:tc>
        <w:tc>
          <w:tcPr>
            <w:tcW w:w="214" w:type="pct"/>
            <w:tcBorders>
              <w:left w:val="single" w:sz="12" w:space="0" w:color="auto"/>
            </w:tcBorders>
            <w:shd w:val="clear" w:color="auto" w:fill="auto"/>
            <w:vAlign w:val="center"/>
          </w:tcPr>
          <w:p w14:paraId="7A9B8EB5" w14:textId="77777777"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sz w:val="16"/>
                <w:szCs w:val="16"/>
              </w:rPr>
              <w:t>0</w:t>
            </w:r>
          </w:p>
        </w:tc>
        <w:tc>
          <w:tcPr>
            <w:tcW w:w="214" w:type="pct"/>
            <w:vAlign w:val="center"/>
          </w:tcPr>
          <w:p w14:paraId="3CBEA4E0" w14:textId="77777777"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sz w:val="16"/>
                <w:szCs w:val="16"/>
              </w:rPr>
              <w:t>1</w:t>
            </w:r>
          </w:p>
        </w:tc>
        <w:tc>
          <w:tcPr>
            <w:tcW w:w="342" w:type="pct"/>
            <w:tcBorders>
              <w:right w:val="single" w:sz="12" w:space="0" w:color="auto"/>
            </w:tcBorders>
            <w:vAlign w:val="center"/>
          </w:tcPr>
          <w:p w14:paraId="78C7E73C" w14:textId="77777777" w:rsidR="003D28CF" w:rsidRPr="001A2873"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color w:val="00B050"/>
                <w:sz w:val="16"/>
                <w:szCs w:val="16"/>
              </w:rPr>
              <w:t xml:space="preserve">▼ </w:t>
            </w:r>
            <w:r>
              <w:rPr>
                <w:rFonts w:asciiTheme="minorHAnsi" w:hAnsiTheme="minorHAnsi" w:cstheme="minorHAnsi"/>
                <w:sz w:val="16"/>
                <w:szCs w:val="16"/>
              </w:rPr>
              <w:t>100.0%</w:t>
            </w:r>
          </w:p>
        </w:tc>
        <w:tc>
          <w:tcPr>
            <w:tcW w:w="236" w:type="pct"/>
            <w:shd w:val="clear" w:color="auto" w:fill="auto"/>
            <w:vAlign w:val="center"/>
          </w:tcPr>
          <w:p w14:paraId="27FEDC0A" w14:textId="77777777" w:rsidR="003D28CF" w:rsidRPr="0067738A" w:rsidRDefault="003D28CF" w:rsidP="001458B7">
            <w:pPr>
              <w:pStyle w:val="Normal-beforebullets"/>
              <w:jc w:val="center"/>
              <w:rPr>
                <w:rFonts w:asciiTheme="minorHAnsi" w:hAnsiTheme="minorHAnsi" w:cstheme="minorHAnsi"/>
                <w:sz w:val="16"/>
                <w:szCs w:val="16"/>
              </w:rPr>
            </w:pPr>
            <w:r w:rsidRPr="0067738A">
              <w:rPr>
                <w:rFonts w:asciiTheme="minorHAnsi" w:hAnsiTheme="minorHAnsi" w:cstheme="minorHAnsi"/>
                <w:color w:val="000000"/>
                <w:sz w:val="16"/>
                <w:szCs w:val="16"/>
              </w:rPr>
              <w:t>1</w:t>
            </w:r>
          </w:p>
        </w:tc>
        <w:tc>
          <w:tcPr>
            <w:tcW w:w="236" w:type="pct"/>
            <w:shd w:val="clear" w:color="auto" w:fill="auto"/>
            <w:vAlign w:val="center"/>
          </w:tcPr>
          <w:p w14:paraId="774C2D0B" w14:textId="77777777" w:rsidR="003D28CF" w:rsidRPr="0067738A" w:rsidRDefault="003D28CF" w:rsidP="001458B7">
            <w:pPr>
              <w:pStyle w:val="Normal-beforebullets"/>
              <w:jc w:val="center"/>
              <w:rPr>
                <w:rFonts w:asciiTheme="minorHAnsi" w:hAnsiTheme="minorHAnsi" w:cstheme="minorHAnsi"/>
                <w:sz w:val="16"/>
                <w:szCs w:val="16"/>
              </w:rPr>
            </w:pPr>
            <w:r>
              <w:rPr>
                <w:rFonts w:asciiTheme="minorHAnsi" w:hAnsiTheme="minorHAnsi" w:cstheme="minorHAnsi"/>
                <w:sz w:val="16"/>
                <w:szCs w:val="16"/>
              </w:rPr>
              <w:t>0</w:t>
            </w:r>
          </w:p>
        </w:tc>
        <w:tc>
          <w:tcPr>
            <w:tcW w:w="339" w:type="pct"/>
            <w:vAlign w:val="center"/>
          </w:tcPr>
          <w:p w14:paraId="4068EECA" w14:textId="77777777" w:rsidR="003D28CF" w:rsidRPr="0067738A" w:rsidRDefault="003D28CF" w:rsidP="001458B7">
            <w:pPr>
              <w:pStyle w:val="Normal-beforebullets"/>
              <w:jc w:val="center"/>
              <w:rPr>
                <w:rFonts w:asciiTheme="minorHAnsi" w:hAnsiTheme="minorHAnsi" w:cstheme="minorHAnsi"/>
                <w:color w:val="000000"/>
                <w:sz w:val="16"/>
                <w:szCs w:val="16"/>
              </w:rPr>
            </w:pPr>
            <w:r w:rsidRPr="0067738A">
              <w:rPr>
                <w:rFonts w:asciiTheme="minorHAnsi" w:hAnsiTheme="minorHAnsi" w:cstheme="minorHAnsi"/>
                <w:color w:val="000000"/>
                <w:sz w:val="16"/>
                <w:szCs w:val="16"/>
              </w:rPr>
              <w:t>–</w:t>
            </w:r>
          </w:p>
        </w:tc>
      </w:tr>
      <w:tr w:rsidR="003D28CF" w:rsidRPr="0067738A" w14:paraId="6D7A6B39" w14:textId="77777777" w:rsidTr="001458B7">
        <w:trPr>
          <w:trHeight w:val="340"/>
        </w:trPr>
        <w:tc>
          <w:tcPr>
            <w:tcW w:w="569" w:type="pct"/>
            <w:vMerge/>
            <w:shd w:val="clear" w:color="auto" w:fill="auto"/>
            <w:vAlign w:val="center"/>
          </w:tcPr>
          <w:p w14:paraId="7C7DFCDC" w14:textId="77777777" w:rsidR="003D28CF" w:rsidRPr="0067738A" w:rsidRDefault="003D28CF" w:rsidP="001458B7">
            <w:pPr>
              <w:spacing w:after="0"/>
              <w:rPr>
                <w:rFonts w:asciiTheme="minorHAnsi" w:hAnsiTheme="minorHAnsi" w:cstheme="minorHAnsi"/>
                <w:sz w:val="16"/>
                <w:szCs w:val="16"/>
              </w:rPr>
            </w:pPr>
          </w:p>
        </w:tc>
        <w:tc>
          <w:tcPr>
            <w:tcW w:w="1306" w:type="pct"/>
            <w:shd w:val="clear" w:color="auto" w:fill="auto"/>
            <w:vAlign w:val="center"/>
            <w:hideMark/>
          </w:tcPr>
          <w:p w14:paraId="085A7332" w14:textId="77777777" w:rsidR="003D28CF" w:rsidRPr="0067738A" w:rsidRDefault="003D28CF" w:rsidP="001458B7">
            <w:pPr>
              <w:spacing w:after="0"/>
              <w:rPr>
                <w:rFonts w:asciiTheme="minorHAnsi" w:hAnsiTheme="minorHAnsi" w:cstheme="minorHAnsi"/>
                <w:sz w:val="16"/>
                <w:szCs w:val="16"/>
              </w:rPr>
            </w:pPr>
            <w:r w:rsidRPr="0067738A">
              <w:rPr>
                <w:rFonts w:asciiTheme="minorHAnsi" w:hAnsiTheme="minorHAnsi" w:cstheme="minorHAnsi"/>
                <w:sz w:val="16"/>
                <w:szCs w:val="16"/>
              </w:rPr>
              <w:t>Linezolid non-susceptible</w:t>
            </w:r>
          </w:p>
        </w:tc>
        <w:tc>
          <w:tcPr>
            <w:tcW w:w="193" w:type="pct"/>
            <w:shd w:val="clear" w:color="auto" w:fill="auto"/>
            <w:noWrap/>
            <w:vAlign w:val="center"/>
          </w:tcPr>
          <w:p w14:paraId="1101EE9A"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shd w:val="clear" w:color="auto" w:fill="auto"/>
            <w:noWrap/>
            <w:vAlign w:val="center"/>
          </w:tcPr>
          <w:p w14:paraId="122B4E95"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shd w:val="clear" w:color="auto" w:fill="auto"/>
            <w:noWrap/>
            <w:vAlign w:val="center"/>
          </w:tcPr>
          <w:p w14:paraId="22726C4B"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shd w:val="clear" w:color="auto" w:fill="auto"/>
            <w:noWrap/>
            <w:vAlign w:val="center"/>
          </w:tcPr>
          <w:p w14:paraId="1AB13BA3"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shd w:val="clear" w:color="auto" w:fill="auto"/>
            <w:noWrap/>
            <w:vAlign w:val="center"/>
          </w:tcPr>
          <w:p w14:paraId="1C498D25"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shd w:val="clear" w:color="auto" w:fill="auto"/>
            <w:noWrap/>
            <w:vAlign w:val="center"/>
          </w:tcPr>
          <w:p w14:paraId="4CB88F5F"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shd w:val="clear" w:color="auto" w:fill="auto"/>
            <w:noWrap/>
            <w:vAlign w:val="center"/>
          </w:tcPr>
          <w:p w14:paraId="5F60FB90"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tcBorders>
              <w:right w:val="single" w:sz="12" w:space="0" w:color="auto"/>
            </w:tcBorders>
            <w:shd w:val="clear" w:color="auto" w:fill="auto"/>
            <w:noWrap/>
            <w:vAlign w:val="center"/>
          </w:tcPr>
          <w:p w14:paraId="269FAB2A"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14" w:type="pct"/>
            <w:tcBorders>
              <w:left w:val="single" w:sz="12" w:space="0" w:color="auto"/>
            </w:tcBorders>
            <w:shd w:val="clear" w:color="auto" w:fill="auto"/>
            <w:vAlign w:val="center"/>
          </w:tcPr>
          <w:p w14:paraId="56763AA8"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14" w:type="pct"/>
            <w:vAlign w:val="center"/>
          </w:tcPr>
          <w:p w14:paraId="10B5150D"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1</w:t>
            </w:r>
          </w:p>
        </w:tc>
        <w:tc>
          <w:tcPr>
            <w:tcW w:w="342" w:type="pct"/>
            <w:tcBorders>
              <w:right w:val="single" w:sz="12" w:space="0" w:color="auto"/>
            </w:tcBorders>
            <w:vAlign w:val="center"/>
          </w:tcPr>
          <w:p w14:paraId="0DF55B48" w14:textId="77777777" w:rsidR="003D28CF" w:rsidRPr="001A2873" w:rsidRDefault="003D28CF" w:rsidP="001458B7">
            <w:pPr>
              <w:spacing w:after="0"/>
              <w:jc w:val="center"/>
              <w:rPr>
                <w:rFonts w:asciiTheme="minorHAnsi" w:hAnsiTheme="minorHAnsi" w:cstheme="minorHAnsi"/>
                <w:sz w:val="16"/>
                <w:szCs w:val="16"/>
              </w:rPr>
            </w:pPr>
            <w:r>
              <w:rPr>
                <w:rFonts w:asciiTheme="minorHAnsi" w:hAnsiTheme="minorHAnsi" w:cstheme="minorHAnsi"/>
                <w:color w:val="00B050"/>
                <w:sz w:val="16"/>
                <w:szCs w:val="16"/>
              </w:rPr>
              <w:t xml:space="preserve">▼ </w:t>
            </w:r>
            <w:r>
              <w:rPr>
                <w:rFonts w:asciiTheme="minorHAnsi" w:hAnsiTheme="minorHAnsi" w:cstheme="minorHAnsi"/>
                <w:sz w:val="16"/>
                <w:szCs w:val="16"/>
              </w:rPr>
              <w:t>100.0%</w:t>
            </w:r>
          </w:p>
        </w:tc>
        <w:tc>
          <w:tcPr>
            <w:tcW w:w="236" w:type="pct"/>
            <w:shd w:val="clear" w:color="auto" w:fill="auto"/>
            <w:vAlign w:val="center"/>
          </w:tcPr>
          <w:p w14:paraId="18BB9E8B"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36" w:type="pct"/>
            <w:shd w:val="clear" w:color="auto" w:fill="auto"/>
            <w:vAlign w:val="center"/>
          </w:tcPr>
          <w:p w14:paraId="70BDF59D"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1</w:t>
            </w:r>
          </w:p>
        </w:tc>
        <w:tc>
          <w:tcPr>
            <w:tcW w:w="339" w:type="pct"/>
            <w:vAlign w:val="center"/>
          </w:tcPr>
          <w:p w14:paraId="42846DF0"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color w:val="00B050"/>
                <w:sz w:val="16"/>
                <w:szCs w:val="16"/>
              </w:rPr>
              <w:t xml:space="preserve">▼ </w:t>
            </w:r>
            <w:r>
              <w:rPr>
                <w:rFonts w:asciiTheme="minorHAnsi" w:hAnsiTheme="minorHAnsi" w:cstheme="minorHAnsi"/>
                <w:sz w:val="16"/>
                <w:szCs w:val="16"/>
              </w:rPr>
              <w:t>100.0%</w:t>
            </w:r>
          </w:p>
        </w:tc>
      </w:tr>
      <w:tr w:rsidR="003D28CF" w:rsidRPr="0067738A" w14:paraId="28F9CE9A" w14:textId="77777777" w:rsidTr="001458B7">
        <w:trPr>
          <w:trHeight w:val="340"/>
        </w:trPr>
        <w:tc>
          <w:tcPr>
            <w:tcW w:w="569" w:type="pct"/>
            <w:vMerge/>
            <w:shd w:val="clear" w:color="auto" w:fill="auto"/>
            <w:vAlign w:val="center"/>
          </w:tcPr>
          <w:p w14:paraId="0C705E26" w14:textId="77777777" w:rsidR="003D28CF" w:rsidRPr="0067738A" w:rsidRDefault="003D28CF" w:rsidP="001458B7">
            <w:pPr>
              <w:spacing w:after="0"/>
              <w:rPr>
                <w:rFonts w:asciiTheme="minorHAnsi" w:hAnsiTheme="minorHAnsi" w:cstheme="minorHAnsi"/>
                <w:sz w:val="16"/>
                <w:szCs w:val="16"/>
              </w:rPr>
            </w:pPr>
          </w:p>
        </w:tc>
        <w:tc>
          <w:tcPr>
            <w:tcW w:w="1306" w:type="pct"/>
            <w:shd w:val="clear" w:color="auto" w:fill="auto"/>
            <w:vAlign w:val="center"/>
          </w:tcPr>
          <w:p w14:paraId="4DD8959F" w14:textId="77777777" w:rsidR="003D28CF" w:rsidRPr="0067738A" w:rsidRDefault="003D28CF" w:rsidP="001458B7">
            <w:pPr>
              <w:spacing w:after="0"/>
              <w:rPr>
                <w:rFonts w:asciiTheme="minorHAnsi" w:hAnsiTheme="minorHAnsi" w:cstheme="minorHAnsi"/>
                <w:sz w:val="16"/>
                <w:szCs w:val="16"/>
              </w:rPr>
            </w:pPr>
            <w:r w:rsidRPr="0067738A">
              <w:rPr>
                <w:rFonts w:asciiTheme="minorHAnsi" w:hAnsiTheme="minorHAnsi" w:cstheme="minorHAnsi"/>
                <w:sz w:val="16"/>
                <w:szCs w:val="16"/>
              </w:rPr>
              <w:t>Vancomycin non-susceptible</w:t>
            </w:r>
          </w:p>
        </w:tc>
        <w:tc>
          <w:tcPr>
            <w:tcW w:w="193" w:type="pct"/>
            <w:shd w:val="clear" w:color="auto" w:fill="auto"/>
            <w:noWrap/>
            <w:vAlign w:val="center"/>
          </w:tcPr>
          <w:p w14:paraId="08F0C8FC"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shd w:val="clear" w:color="auto" w:fill="auto"/>
            <w:noWrap/>
            <w:vAlign w:val="center"/>
          </w:tcPr>
          <w:p w14:paraId="185B2552"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shd w:val="clear" w:color="auto" w:fill="auto"/>
            <w:noWrap/>
            <w:vAlign w:val="center"/>
          </w:tcPr>
          <w:p w14:paraId="7BB36FFC"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shd w:val="clear" w:color="auto" w:fill="auto"/>
            <w:noWrap/>
            <w:vAlign w:val="center"/>
          </w:tcPr>
          <w:p w14:paraId="2DDC1567"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shd w:val="clear" w:color="auto" w:fill="auto"/>
            <w:noWrap/>
            <w:vAlign w:val="center"/>
          </w:tcPr>
          <w:p w14:paraId="6F2DD7D2"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shd w:val="clear" w:color="auto" w:fill="auto"/>
            <w:noWrap/>
            <w:vAlign w:val="center"/>
          </w:tcPr>
          <w:p w14:paraId="4CBD9776"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shd w:val="clear" w:color="auto" w:fill="auto"/>
            <w:noWrap/>
            <w:vAlign w:val="center"/>
          </w:tcPr>
          <w:p w14:paraId="20687398"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tcBorders>
              <w:right w:val="single" w:sz="12" w:space="0" w:color="auto"/>
            </w:tcBorders>
            <w:shd w:val="clear" w:color="auto" w:fill="auto"/>
            <w:noWrap/>
            <w:vAlign w:val="center"/>
          </w:tcPr>
          <w:p w14:paraId="62274D02"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14" w:type="pct"/>
            <w:tcBorders>
              <w:left w:val="single" w:sz="12" w:space="0" w:color="auto"/>
            </w:tcBorders>
            <w:shd w:val="clear" w:color="auto" w:fill="auto"/>
            <w:vAlign w:val="center"/>
          </w:tcPr>
          <w:p w14:paraId="18C227CF"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14" w:type="pct"/>
            <w:vAlign w:val="center"/>
          </w:tcPr>
          <w:p w14:paraId="6B7E011F"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342" w:type="pct"/>
            <w:tcBorders>
              <w:right w:val="single" w:sz="12" w:space="0" w:color="auto"/>
            </w:tcBorders>
            <w:vAlign w:val="center"/>
          </w:tcPr>
          <w:p w14:paraId="5BFDE2B1" w14:textId="77777777" w:rsidR="003D28CF" w:rsidRPr="001A2873" w:rsidRDefault="003D28CF" w:rsidP="001458B7">
            <w:pPr>
              <w:spacing w:after="0"/>
              <w:jc w:val="center"/>
              <w:rPr>
                <w:rFonts w:asciiTheme="minorHAnsi" w:hAnsiTheme="minorHAnsi" w:cstheme="minorHAnsi"/>
                <w:sz w:val="16"/>
                <w:szCs w:val="16"/>
              </w:rPr>
            </w:pPr>
            <w:r w:rsidRPr="001A2873">
              <w:rPr>
                <w:rFonts w:asciiTheme="minorHAnsi" w:hAnsiTheme="minorHAnsi" w:cstheme="minorHAnsi"/>
                <w:sz w:val="16"/>
                <w:szCs w:val="16"/>
              </w:rPr>
              <w:t>–</w:t>
            </w:r>
          </w:p>
        </w:tc>
        <w:tc>
          <w:tcPr>
            <w:tcW w:w="236" w:type="pct"/>
            <w:shd w:val="clear" w:color="auto" w:fill="auto"/>
            <w:vAlign w:val="center"/>
          </w:tcPr>
          <w:p w14:paraId="35EE97D0"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36" w:type="pct"/>
            <w:shd w:val="clear" w:color="auto" w:fill="auto"/>
            <w:vAlign w:val="center"/>
          </w:tcPr>
          <w:p w14:paraId="1D42D58A"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339" w:type="pct"/>
            <w:vAlign w:val="center"/>
          </w:tcPr>
          <w:p w14:paraId="2806D3D8" w14:textId="77777777" w:rsidR="003D28CF" w:rsidRPr="0067738A" w:rsidRDefault="003D28CF" w:rsidP="001458B7">
            <w:pPr>
              <w:spacing w:after="0"/>
              <w:jc w:val="center"/>
              <w:rPr>
                <w:rFonts w:asciiTheme="minorHAnsi" w:hAnsiTheme="minorHAnsi" w:cstheme="minorHAnsi"/>
                <w:sz w:val="16"/>
                <w:szCs w:val="16"/>
              </w:rPr>
            </w:pPr>
            <w:r w:rsidRPr="001A2873">
              <w:rPr>
                <w:rFonts w:asciiTheme="minorHAnsi" w:hAnsiTheme="minorHAnsi" w:cstheme="minorHAnsi"/>
                <w:sz w:val="16"/>
                <w:szCs w:val="16"/>
              </w:rPr>
              <w:t>–</w:t>
            </w:r>
          </w:p>
        </w:tc>
      </w:tr>
      <w:tr w:rsidR="003D28CF" w:rsidRPr="0067738A" w14:paraId="383886AB" w14:textId="77777777" w:rsidTr="001458B7">
        <w:trPr>
          <w:trHeight w:val="340"/>
        </w:trPr>
        <w:tc>
          <w:tcPr>
            <w:tcW w:w="569" w:type="pct"/>
            <w:tcBorders>
              <w:bottom w:val="single" w:sz="4" w:space="0" w:color="auto"/>
            </w:tcBorders>
            <w:shd w:val="clear" w:color="auto" w:fill="auto"/>
            <w:vAlign w:val="center"/>
          </w:tcPr>
          <w:p w14:paraId="1277A837" w14:textId="77777777" w:rsidR="003D28CF" w:rsidRPr="0067738A" w:rsidRDefault="003D28CF" w:rsidP="001458B7">
            <w:pPr>
              <w:spacing w:after="0"/>
              <w:rPr>
                <w:rFonts w:asciiTheme="minorHAnsi" w:hAnsiTheme="minorHAnsi" w:cstheme="minorHAnsi"/>
                <w:sz w:val="16"/>
                <w:szCs w:val="16"/>
              </w:rPr>
            </w:pPr>
            <w:r w:rsidRPr="0067738A">
              <w:rPr>
                <w:rFonts w:asciiTheme="minorHAnsi" w:hAnsiTheme="minorHAnsi" w:cstheme="minorHAnsi"/>
                <w:i/>
                <w:iCs/>
                <w:sz w:val="16"/>
                <w:szCs w:val="16"/>
              </w:rPr>
              <w:t>Streptococcus pyogenes</w:t>
            </w:r>
          </w:p>
        </w:tc>
        <w:tc>
          <w:tcPr>
            <w:tcW w:w="1306" w:type="pct"/>
            <w:tcBorders>
              <w:bottom w:val="single" w:sz="4" w:space="0" w:color="auto"/>
            </w:tcBorders>
            <w:shd w:val="clear" w:color="auto" w:fill="auto"/>
            <w:vAlign w:val="center"/>
            <w:hideMark/>
          </w:tcPr>
          <w:p w14:paraId="137CF749" w14:textId="77777777" w:rsidR="003D28CF" w:rsidRPr="0067738A" w:rsidRDefault="003D28CF" w:rsidP="001458B7">
            <w:pPr>
              <w:spacing w:after="0"/>
              <w:rPr>
                <w:rFonts w:asciiTheme="minorHAnsi" w:hAnsiTheme="minorHAnsi" w:cstheme="minorHAnsi"/>
                <w:sz w:val="16"/>
                <w:szCs w:val="16"/>
              </w:rPr>
            </w:pPr>
            <w:r w:rsidRPr="0067738A">
              <w:rPr>
                <w:rFonts w:asciiTheme="minorHAnsi" w:hAnsiTheme="minorHAnsi" w:cstheme="minorHAnsi"/>
                <w:sz w:val="16"/>
                <w:szCs w:val="16"/>
              </w:rPr>
              <w:t>Penicillin reduced susceptibility</w:t>
            </w:r>
          </w:p>
        </w:tc>
        <w:tc>
          <w:tcPr>
            <w:tcW w:w="193" w:type="pct"/>
            <w:tcBorders>
              <w:bottom w:val="single" w:sz="4" w:space="0" w:color="auto"/>
            </w:tcBorders>
            <w:shd w:val="clear" w:color="auto" w:fill="auto"/>
            <w:noWrap/>
            <w:vAlign w:val="center"/>
          </w:tcPr>
          <w:p w14:paraId="3C2772ED"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tcBorders>
              <w:bottom w:val="single" w:sz="4" w:space="0" w:color="auto"/>
            </w:tcBorders>
            <w:shd w:val="clear" w:color="auto" w:fill="auto"/>
            <w:noWrap/>
            <w:vAlign w:val="center"/>
          </w:tcPr>
          <w:p w14:paraId="5070CBE8"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tcBorders>
              <w:bottom w:val="single" w:sz="4" w:space="0" w:color="auto"/>
            </w:tcBorders>
            <w:shd w:val="clear" w:color="auto" w:fill="auto"/>
            <w:noWrap/>
            <w:vAlign w:val="center"/>
          </w:tcPr>
          <w:p w14:paraId="124B6D02"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tcBorders>
              <w:bottom w:val="single" w:sz="4" w:space="0" w:color="auto"/>
            </w:tcBorders>
            <w:shd w:val="clear" w:color="auto" w:fill="auto"/>
            <w:noWrap/>
            <w:vAlign w:val="center"/>
          </w:tcPr>
          <w:p w14:paraId="72A1A484"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tcBorders>
              <w:bottom w:val="single" w:sz="4" w:space="0" w:color="auto"/>
            </w:tcBorders>
            <w:shd w:val="clear" w:color="auto" w:fill="auto"/>
            <w:noWrap/>
            <w:vAlign w:val="center"/>
          </w:tcPr>
          <w:p w14:paraId="3E313E09"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tcBorders>
              <w:bottom w:val="single" w:sz="4" w:space="0" w:color="auto"/>
            </w:tcBorders>
            <w:shd w:val="clear" w:color="auto" w:fill="auto"/>
            <w:noWrap/>
            <w:vAlign w:val="center"/>
          </w:tcPr>
          <w:p w14:paraId="0225B045"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tcBorders>
              <w:bottom w:val="single" w:sz="4" w:space="0" w:color="auto"/>
            </w:tcBorders>
            <w:shd w:val="clear" w:color="auto" w:fill="auto"/>
            <w:noWrap/>
            <w:vAlign w:val="center"/>
          </w:tcPr>
          <w:p w14:paraId="7AE8081A"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193" w:type="pct"/>
            <w:tcBorders>
              <w:bottom w:val="single" w:sz="4" w:space="0" w:color="auto"/>
              <w:right w:val="single" w:sz="12" w:space="0" w:color="auto"/>
            </w:tcBorders>
            <w:shd w:val="clear" w:color="auto" w:fill="auto"/>
            <w:noWrap/>
            <w:vAlign w:val="center"/>
          </w:tcPr>
          <w:p w14:paraId="328BC0C3"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14" w:type="pct"/>
            <w:tcBorders>
              <w:left w:val="single" w:sz="12" w:space="0" w:color="auto"/>
              <w:bottom w:val="single" w:sz="4" w:space="0" w:color="auto"/>
            </w:tcBorders>
            <w:shd w:val="clear" w:color="auto" w:fill="auto"/>
            <w:vAlign w:val="center"/>
          </w:tcPr>
          <w:p w14:paraId="366ED839"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14" w:type="pct"/>
            <w:tcBorders>
              <w:bottom w:val="single" w:sz="4" w:space="0" w:color="auto"/>
            </w:tcBorders>
            <w:vAlign w:val="center"/>
          </w:tcPr>
          <w:p w14:paraId="5569E550"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342" w:type="pct"/>
            <w:tcBorders>
              <w:bottom w:val="single" w:sz="4" w:space="0" w:color="auto"/>
              <w:right w:val="single" w:sz="12" w:space="0" w:color="auto"/>
            </w:tcBorders>
            <w:vAlign w:val="center"/>
          </w:tcPr>
          <w:p w14:paraId="5A8F0966" w14:textId="77777777" w:rsidR="003D28CF" w:rsidRPr="001A2873" w:rsidRDefault="003D28CF" w:rsidP="001458B7">
            <w:pPr>
              <w:spacing w:after="0"/>
              <w:jc w:val="center"/>
              <w:rPr>
                <w:rFonts w:asciiTheme="minorHAnsi" w:hAnsiTheme="minorHAnsi" w:cstheme="minorHAnsi"/>
                <w:sz w:val="16"/>
                <w:szCs w:val="16"/>
              </w:rPr>
            </w:pPr>
            <w:r w:rsidRPr="001A2873">
              <w:rPr>
                <w:rFonts w:asciiTheme="minorHAnsi" w:hAnsiTheme="minorHAnsi" w:cstheme="minorHAnsi"/>
                <w:sz w:val="16"/>
                <w:szCs w:val="16"/>
              </w:rPr>
              <w:t>–</w:t>
            </w:r>
          </w:p>
        </w:tc>
        <w:tc>
          <w:tcPr>
            <w:tcW w:w="236" w:type="pct"/>
            <w:tcBorders>
              <w:bottom w:val="single" w:sz="4" w:space="0" w:color="auto"/>
            </w:tcBorders>
            <w:shd w:val="clear" w:color="auto" w:fill="auto"/>
            <w:vAlign w:val="center"/>
          </w:tcPr>
          <w:p w14:paraId="3C687801" w14:textId="77777777" w:rsidR="003D28CF" w:rsidRPr="0067738A"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236" w:type="pct"/>
            <w:tcBorders>
              <w:bottom w:val="single" w:sz="4" w:space="0" w:color="auto"/>
            </w:tcBorders>
            <w:shd w:val="clear" w:color="auto" w:fill="auto"/>
            <w:vAlign w:val="center"/>
          </w:tcPr>
          <w:p w14:paraId="0ED09210" w14:textId="77777777" w:rsidR="003D28CF" w:rsidRPr="004254C8" w:rsidRDefault="003D28CF" w:rsidP="001458B7">
            <w:pPr>
              <w:spacing w:after="0"/>
              <w:jc w:val="center"/>
              <w:rPr>
                <w:rFonts w:asciiTheme="minorHAnsi" w:hAnsiTheme="minorHAnsi" w:cstheme="minorHAnsi"/>
                <w:sz w:val="16"/>
                <w:szCs w:val="16"/>
              </w:rPr>
            </w:pPr>
            <w:r>
              <w:rPr>
                <w:rFonts w:asciiTheme="minorHAnsi" w:hAnsiTheme="minorHAnsi" w:cstheme="minorHAnsi"/>
                <w:sz w:val="16"/>
                <w:szCs w:val="16"/>
              </w:rPr>
              <w:t>0</w:t>
            </w:r>
          </w:p>
        </w:tc>
        <w:tc>
          <w:tcPr>
            <w:tcW w:w="339" w:type="pct"/>
            <w:tcBorders>
              <w:bottom w:val="single" w:sz="4" w:space="0" w:color="auto"/>
            </w:tcBorders>
            <w:vAlign w:val="center"/>
          </w:tcPr>
          <w:p w14:paraId="72801F2A" w14:textId="77777777" w:rsidR="003D28CF" w:rsidRPr="0067738A" w:rsidRDefault="003D28CF" w:rsidP="001458B7">
            <w:pPr>
              <w:spacing w:after="0"/>
              <w:jc w:val="center"/>
              <w:rPr>
                <w:rFonts w:asciiTheme="minorHAnsi" w:hAnsiTheme="minorHAnsi" w:cstheme="minorHAnsi"/>
                <w:sz w:val="16"/>
                <w:szCs w:val="16"/>
              </w:rPr>
            </w:pPr>
            <w:r w:rsidRPr="001A2873">
              <w:rPr>
                <w:rFonts w:asciiTheme="minorHAnsi" w:hAnsiTheme="minorHAnsi" w:cstheme="minorHAnsi"/>
                <w:sz w:val="16"/>
                <w:szCs w:val="16"/>
              </w:rPr>
              <w:t>–</w:t>
            </w:r>
          </w:p>
        </w:tc>
      </w:tr>
      <w:tr w:rsidR="00D14569" w:rsidRPr="0067738A" w14:paraId="0EBD602C" w14:textId="77777777" w:rsidTr="001458B7">
        <w:trPr>
          <w:trHeight w:val="340"/>
        </w:trPr>
        <w:tc>
          <w:tcPr>
            <w:tcW w:w="569" w:type="pct"/>
            <w:tcBorders>
              <w:bottom w:val="single" w:sz="4" w:space="0" w:color="auto"/>
            </w:tcBorders>
            <w:shd w:val="clear" w:color="auto" w:fill="DAEEF3" w:themeFill="accent5" w:themeFillTint="33"/>
            <w:vAlign w:val="center"/>
          </w:tcPr>
          <w:p w14:paraId="6B932410" w14:textId="77777777" w:rsidR="003D28CF" w:rsidRPr="0067738A" w:rsidRDefault="003D28CF" w:rsidP="001458B7">
            <w:pPr>
              <w:spacing w:after="0"/>
              <w:rPr>
                <w:rFonts w:asciiTheme="minorHAnsi" w:hAnsiTheme="minorHAnsi" w:cstheme="minorHAnsi"/>
                <w:b/>
                <w:bCs/>
                <w:sz w:val="16"/>
                <w:szCs w:val="16"/>
              </w:rPr>
            </w:pPr>
          </w:p>
        </w:tc>
        <w:tc>
          <w:tcPr>
            <w:tcW w:w="1306" w:type="pct"/>
            <w:tcBorders>
              <w:bottom w:val="single" w:sz="4" w:space="0" w:color="auto"/>
            </w:tcBorders>
            <w:shd w:val="clear" w:color="auto" w:fill="DAEEF3" w:themeFill="accent5" w:themeFillTint="33"/>
            <w:noWrap/>
            <w:vAlign w:val="center"/>
            <w:hideMark/>
          </w:tcPr>
          <w:p w14:paraId="06DB60C5" w14:textId="77777777" w:rsidR="003D28CF" w:rsidRPr="0067738A" w:rsidRDefault="003D28CF" w:rsidP="001458B7">
            <w:pPr>
              <w:spacing w:after="0"/>
              <w:rPr>
                <w:rFonts w:asciiTheme="minorHAnsi" w:hAnsiTheme="minorHAnsi" w:cstheme="minorHAnsi"/>
                <w:b/>
                <w:bCs/>
                <w:sz w:val="16"/>
                <w:szCs w:val="16"/>
              </w:rPr>
            </w:pPr>
            <w:r w:rsidRPr="0067738A">
              <w:rPr>
                <w:rFonts w:asciiTheme="minorHAnsi" w:hAnsiTheme="minorHAnsi" w:cstheme="minorHAnsi"/>
                <w:b/>
                <w:bCs/>
                <w:sz w:val="16"/>
                <w:szCs w:val="16"/>
              </w:rPr>
              <w:t xml:space="preserve">Total (reported by </w:t>
            </w:r>
            <w:r w:rsidRPr="00EE0537">
              <w:rPr>
                <w:rFonts w:asciiTheme="minorHAnsi" w:hAnsiTheme="minorHAnsi" w:cstheme="minorHAnsi"/>
                <w:b/>
                <w:bCs/>
                <w:sz w:val="16"/>
                <w:szCs w:val="16"/>
              </w:rPr>
              <w:t>31 March</w:t>
            </w:r>
            <w:r w:rsidRPr="0067738A">
              <w:rPr>
                <w:rFonts w:asciiTheme="minorHAnsi" w:hAnsiTheme="minorHAnsi" w:cstheme="minorHAnsi"/>
                <w:b/>
                <w:bCs/>
                <w:sz w:val="16"/>
                <w:szCs w:val="16"/>
              </w:rPr>
              <w:t xml:space="preserve"> 2019)</w:t>
            </w:r>
          </w:p>
        </w:tc>
        <w:tc>
          <w:tcPr>
            <w:tcW w:w="193" w:type="pct"/>
            <w:tcBorders>
              <w:bottom w:val="single" w:sz="4" w:space="0" w:color="auto"/>
            </w:tcBorders>
            <w:shd w:val="clear" w:color="auto" w:fill="DAEEF3" w:themeFill="accent5" w:themeFillTint="33"/>
            <w:noWrap/>
            <w:vAlign w:val="center"/>
            <w:hideMark/>
          </w:tcPr>
          <w:p w14:paraId="291C08B6" w14:textId="77777777" w:rsidR="003D28CF" w:rsidRPr="0067738A" w:rsidRDefault="003D28CF" w:rsidP="001458B7">
            <w:pPr>
              <w:spacing w:after="0"/>
              <w:jc w:val="center"/>
              <w:rPr>
                <w:rFonts w:asciiTheme="minorHAnsi" w:hAnsiTheme="minorHAnsi" w:cstheme="minorHAnsi"/>
                <w:b/>
                <w:bCs/>
                <w:color w:val="000000"/>
                <w:sz w:val="16"/>
                <w:szCs w:val="16"/>
              </w:rPr>
            </w:pPr>
            <w:r>
              <w:rPr>
                <w:rFonts w:asciiTheme="minorHAnsi" w:hAnsiTheme="minorHAnsi" w:cstheme="minorHAnsi"/>
                <w:b/>
                <w:bCs/>
                <w:sz w:val="16"/>
                <w:szCs w:val="16"/>
              </w:rPr>
              <w:t>108</w:t>
            </w:r>
          </w:p>
        </w:tc>
        <w:tc>
          <w:tcPr>
            <w:tcW w:w="193" w:type="pct"/>
            <w:tcBorders>
              <w:bottom w:val="single" w:sz="4" w:space="0" w:color="auto"/>
            </w:tcBorders>
            <w:shd w:val="clear" w:color="auto" w:fill="DAEEF3" w:themeFill="accent5" w:themeFillTint="33"/>
            <w:noWrap/>
            <w:vAlign w:val="center"/>
            <w:hideMark/>
          </w:tcPr>
          <w:p w14:paraId="3386E8DD" w14:textId="77777777" w:rsidR="003D28CF" w:rsidRPr="0067738A" w:rsidRDefault="003D28CF" w:rsidP="001458B7">
            <w:pPr>
              <w:spacing w:after="0"/>
              <w:jc w:val="center"/>
              <w:rPr>
                <w:rFonts w:asciiTheme="minorHAnsi" w:hAnsiTheme="minorHAnsi" w:cstheme="minorHAnsi"/>
                <w:b/>
                <w:bCs/>
                <w:color w:val="000000"/>
                <w:sz w:val="16"/>
                <w:szCs w:val="16"/>
              </w:rPr>
            </w:pPr>
            <w:r>
              <w:rPr>
                <w:rFonts w:asciiTheme="minorHAnsi" w:hAnsiTheme="minorHAnsi" w:cstheme="minorHAnsi"/>
                <w:b/>
                <w:bCs/>
                <w:sz w:val="16"/>
                <w:szCs w:val="16"/>
              </w:rPr>
              <w:t>93</w:t>
            </w:r>
          </w:p>
        </w:tc>
        <w:tc>
          <w:tcPr>
            <w:tcW w:w="193" w:type="pct"/>
            <w:tcBorders>
              <w:bottom w:val="single" w:sz="4" w:space="0" w:color="auto"/>
            </w:tcBorders>
            <w:shd w:val="clear" w:color="auto" w:fill="DAEEF3" w:themeFill="accent5" w:themeFillTint="33"/>
            <w:noWrap/>
            <w:vAlign w:val="center"/>
            <w:hideMark/>
          </w:tcPr>
          <w:p w14:paraId="59A02958" w14:textId="77777777" w:rsidR="003D28CF" w:rsidRPr="0067738A" w:rsidRDefault="003D28CF" w:rsidP="001458B7">
            <w:pPr>
              <w:spacing w:after="0"/>
              <w:jc w:val="center"/>
              <w:rPr>
                <w:rFonts w:asciiTheme="minorHAnsi" w:hAnsiTheme="minorHAnsi" w:cstheme="minorHAnsi"/>
                <w:b/>
                <w:bCs/>
                <w:color w:val="000000"/>
                <w:sz w:val="16"/>
                <w:szCs w:val="16"/>
              </w:rPr>
            </w:pPr>
            <w:r>
              <w:rPr>
                <w:rFonts w:asciiTheme="minorHAnsi" w:hAnsiTheme="minorHAnsi" w:cstheme="minorHAnsi"/>
                <w:b/>
                <w:bCs/>
                <w:sz w:val="16"/>
                <w:szCs w:val="16"/>
              </w:rPr>
              <w:t>44</w:t>
            </w:r>
          </w:p>
        </w:tc>
        <w:tc>
          <w:tcPr>
            <w:tcW w:w="193" w:type="pct"/>
            <w:tcBorders>
              <w:bottom w:val="single" w:sz="4" w:space="0" w:color="auto"/>
            </w:tcBorders>
            <w:shd w:val="clear" w:color="auto" w:fill="DAEEF3" w:themeFill="accent5" w:themeFillTint="33"/>
            <w:noWrap/>
            <w:vAlign w:val="center"/>
            <w:hideMark/>
          </w:tcPr>
          <w:p w14:paraId="705F049C" w14:textId="77777777" w:rsidR="003D28CF" w:rsidRPr="0067738A" w:rsidRDefault="003D28CF" w:rsidP="001458B7">
            <w:pPr>
              <w:spacing w:after="0"/>
              <w:jc w:val="center"/>
              <w:rPr>
                <w:rFonts w:asciiTheme="minorHAnsi" w:hAnsiTheme="minorHAnsi" w:cstheme="minorHAnsi"/>
                <w:b/>
                <w:bCs/>
                <w:color w:val="000000"/>
                <w:sz w:val="16"/>
                <w:szCs w:val="16"/>
              </w:rPr>
            </w:pPr>
            <w:r>
              <w:rPr>
                <w:rFonts w:asciiTheme="minorHAnsi" w:hAnsiTheme="minorHAnsi" w:cstheme="minorHAnsi"/>
                <w:b/>
                <w:bCs/>
                <w:sz w:val="16"/>
                <w:szCs w:val="16"/>
              </w:rPr>
              <w:t>4</w:t>
            </w:r>
          </w:p>
        </w:tc>
        <w:tc>
          <w:tcPr>
            <w:tcW w:w="193" w:type="pct"/>
            <w:tcBorders>
              <w:bottom w:val="single" w:sz="4" w:space="0" w:color="auto"/>
            </w:tcBorders>
            <w:shd w:val="clear" w:color="auto" w:fill="DAEEF3" w:themeFill="accent5" w:themeFillTint="33"/>
            <w:noWrap/>
            <w:vAlign w:val="center"/>
            <w:hideMark/>
          </w:tcPr>
          <w:p w14:paraId="0840C73E" w14:textId="77777777" w:rsidR="003D28CF" w:rsidRPr="0067738A" w:rsidRDefault="003D28CF" w:rsidP="001458B7">
            <w:pPr>
              <w:spacing w:after="0"/>
              <w:jc w:val="center"/>
              <w:rPr>
                <w:rFonts w:asciiTheme="minorHAnsi" w:hAnsiTheme="minorHAnsi" w:cstheme="minorHAnsi"/>
                <w:b/>
                <w:bCs/>
                <w:color w:val="000000"/>
                <w:sz w:val="16"/>
                <w:szCs w:val="16"/>
              </w:rPr>
            </w:pPr>
            <w:r>
              <w:rPr>
                <w:rFonts w:asciiTheme="minorHAnsi" w:hAnsiTheme="minorHAnsi" w:cstheme="minorHAnsi"/>
                <w:b/>
                <w:bCs/>
                <w:sz w:val="16"/>
                <w:szCs w:val="16"/>
              </w:rPr>
              <w:t>18</w:t>
            </w:r>
          </w:p>
        </w:tc>
        <w:tc>
          <w:tcPr>
            <w:tcW w:w="193" w:type="pct"/>
            <w:tcBorders>
              <w:bottom w:val="single" w:sz="4" w:space="0" w:color="auto"/>
            </w:tcBorders>
            <w:shd w:val="clear" w:color="auto" w:fill="DAEEF3" w:themeFill="accent5" w:themeFillTint="33"/>
            <w:noWrap/>
            <w:vAlign w:val="center"/>
            <w:hideMark/>
          </w:tcPr>
          <w:p w14:paraId="38283EA9" w14:textId="77777777" w:rsidR="003D28CF" w:rsidRPr="0067738A" w:rsidRDefault="003D28CF" w:rsidP="001458B7">
            <w:pPr>
              <w:spacing w:after="0"/>
              <w:jc w:val="center"/>
              <w:rPr>
                <w:rFonts w:asciiTheme="minorHAnsi" w:hAnsiTheme="minorHAnsi" w:cstheme="minorHAnsi"/>
                <w:b/>
                <w:bCs/>
                <w:color w:val="000000"/>
                <w:sz w:val="16"/>
                <w:szCs w:val="16"/>
              </w:rPr>
            </w:pPr>
            <w:r w:rsidRPr="00506C8E">
              <w:rPr>
                <w:rFonts w:asciiTheme="minorHAnsi" w:hAnsiTheme="minorHAnsi" w:cstheme="minorHAnsi"/>
                <w:b/>
                <w:bCs/>
                <w:sz w:val="16"/>
                <w:szCs w:val="16"/>
              </w:rPr>
              <w:t>1</w:t>
            </w:r>
          </w:p>
        </w:tc>
        <w:tc>
          <w:tcPr>
            <w:tcW w:w="193" w:type="pct"/>
            <w:tcBorders>
              <w:bottom w:val="single" w:sz="4" w:space="0" w:color="auto"/>
            </w:tcBorders>
            <w:shd w:val="clear" w:color="auto" w:fill="DAEEF3" w:themeFill="accent5" w:themeFillTint="33"/>
            <w:noWrap/>
            <w:vAlign w:val="center"/>
            <w:hideMark/>
          </w:tcPr>
          <w:p w14:paraId="7AF8A884" w14:textId="77777777" w:rsidR="003D28CF" w:rsidRPr="0067738A" w:rsidRDefault="003D28CF" w:rsidP="001458B7">
            <w:pPr>
              <w:spacing w:after="0"/>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0</w:t>
            </w:r>
          </w:p>
        </w:tc>
        <w:tc>
          <w:tcPr>
            <w:tcW w:w="193" w:type="pct"/>
            <w:tcBorders>
              <w:bottom w:val="single" w:sz="4" w:space="0" w:color="auto"/>
              <w:right w:val="single" w:sz="12" w:space="0" w:color="auto"/>
            </w:tcBorders>
            <w:shd w:val="clear" w:color="auto" w:fill="DAEEF3" w:themeFill="accent5" w:themeFillTint="33"/>
            <w:noWrap/>
            <w:vAlign w:val="center"/>
            <w:hideMark/>
          </w:tcPr>
          <w:p w14:paraId="3065C8F7" w14:textId="77777777" w:rsidR="003D28CF" w:rsidRPr="0067738A" w:rsidRDefault="003D28CF" w:rsidP="001458B7">
            <w:pPr>
              <w:spacing w:after="0"/>
              <w:jc w:val="center"/>
              <w:rPr>
                <w:rFonts w:asciiTheme="minorHAnsi" w:hAnsiTheme="minorHAnsi" w:cstheme="minorHAnsi"/>
                <w:b/>
                <w:bCs/>
                <w:color w:val="000000"/>
                <w:sz w:val="16"/>
                <w:szCs w:val="16"/>
              </w:rPr>
            </w:pPr>
            <w:r>
              <w:rPr>
                <w:rFonts w:asciiTheme="minorHAnsi" w:hAnsiTheme="minorHAnsi" w:cstheme="minorHAnsi"/>
                <w:b/>
                <w:bCs/>
                <w:sz w:val="16"/>
                <w:szCs w:val="16"/>
              </w:rPr>
              <w:t>4</w:t>
            </w:r>
          </w:p>
        </w:tc>
        <w:tc>
          <w:tcPr>
            <w:tcW w:w="214" w:type="pct"/>
            <w:tcBorders>
              <w:left w:val="single" w:sz="12" w:space="0" w:color="auto"/>
              <w:bottom w:val="single" w:sz="4" w:space="0" w:color="auto"/>
            </w:tcBorders>
            <w:shd w:val="clear" w:color="auto" w:fill="E5DFEC" w:themeFill="accent4" w:themeFillTint="33"/>
            <w:vAlign w:val="center"/>
          </w:tcPr>
          <w:p w14:paraId="4BDB6CB1" w14:textId="77777777" w:rsidR="003D28CF" w:rsidRPr="0067738A" w:rsidRDefault="003D28CF" w:rsidP="001458B7">
            <w:pPr>
              <w:spacing w:after="0"/>
              <w:jc w:val="center"/>
              <w:rPr>
                <w:rFonts w:asciiTheme="minorHAnsi" w:hAnsiTheme="minorHAnsi" w:cstheme="minorHAnsi"/>
                <w:b/>
                <w:bCs/>
                <w:sz w:val="16"/>
                <w:szCs w:val="16"/>
              </w:rPr>
            </w:pPr>
            <w:r>
              <w:rPr>
                <w:rFonts w:asciiTheme="minorHAnsi" w:hAnsiTheme="minorHAnsi" w:cstheme="minorHAnsi"/>
                <w:b/>
                <w:bCs/>
                <w:sz w:val="16"/>
                <w:szCs w:val="16"/>
              </w:rPr>
              <w:t>272</w:t>
            </w:r>
          </w:p>
        </w:tc>
        <w:tc>
          <w:tcPr>
            <w:tcW w:w="214" w:type="pct"/>
            <w:tcBorders>
              <w:bottom w:val="single" w:sz="4" w:space="0" w:color="auto"/>
            </w:tcBorders>
            <w:shd w:val="clear" w:color="auto" w:fill="E5DFEC" w:themeFill="accent4" w:themeFillTint="33"/>
            <w:vAlign w:val="center"/>
          </w:tcPr>
          <w:p w14:paraId="3BE5AEA6" w14:textId="04A623F7" w:rsidR="003D28CF" w:rsidRPr="0067738A" w:rsidRDefault="003D28CF" w:rsidP="001458B7">
            <w:pPr>
              <w:spacing w:after="0"/>
              <w:jc w:val="center"/>
              <w:rPr>
                <w:rFonts w:asciiTheme="minorHAnsi" w:hAnsiTheme="minorHAnsi" w:cstheme="minorHAnsi"/>
                <w:b/>
                <w:bCs/>
                <w:sz w:val="16"/>
                <w:szCs w:val="16"/>
              </w:rPr>
            </w:pPr>
            <w:r>
              <w:rPr>
                <w:rFonts w:asciiTheme="minorHAnsi" w:hAnsiTheme="minorHAnsi" w:cstheme="minorHAnsi"/>
                <w:b/>
                <w:bCs/>
                <w:sz w:val="16"/>
                <w:szCs w:val="16"/>
              </w:rPr>
              <w:t>25</w:t>
            </w:r>
            <w:r w:rsidR="007268C6">
              <w:rPr>
                <w:rFonts w:asciiTheme="minorHAnsi" w:hAnsiTheme="minorHAnsi" w:cstheme="minorHAnsi"/>
                <w:b/>
                <w:bCs/>
                <w:sz w:val="16"/>
                <w:szCs w:val="16"/>
              </w:rPr>
              <w:t>6</w:t>
            </w:r>
          </w:p>
        </w:tc>
        <w:tc>
          <w:tcPr>
            <w:tcW w:w="342" w:type="pct"/>
            <w:tcBorders>
              <w:bottom w:val="single" w:sz="4" w:space="0" w:color="auto"/>
              <w:right w:val="single" w:sz="12" w:space="0" w:color="auto"/>
            </w:tcBorders>
            <w:shd w:val="clear" w:color="auto" w:fill="E5DFEC" w:themeFill="accent4" w:themeFillTint="33"/>
            <w:vAlign w:val="center"/>
          </w:tcPr>
          <w:p w14:paraId="7569E2CE" w14:textId="45378AA2" w:rsidR="003D28CF" w:rsidRPr="0067738A" w:rsidRDefault="003D28CF" w:rsidP="001458B7">
            <w:pPr>
              <w:spacing w:after="0"/>
              <w:jc w:val="center"/>
              <w:rPr>
                <w:rFonts w:asciiTheme="minorHAnsi" w:hAnsiTheme="minorHAnsi" w:cstheme="minorHAnsi"/>
                <w:b/>
                <w:bCs/>
                <w:sz w:val="16"/>
                <w:szCs w:val="16"/>
              </w:rPr>
            </w:pPr>
            <w:r w:rsidRPr="004254C8">
              <w:rPr>
                <w:rFonts w:asciiTheme="minorHAnsi" w:hAnsiTheme="minorHAnsi" w:cstheme="minorHAnsi"/>
                <w:color w:val="FF0000"/>
                <w:sz w:val="16"/>
                <w:szCs w:val="16"/>
              </w:rPr>
              <w:t>▲</w:t>
            </w:r>
            <w:r>
              <w:rPr>
                <w:rFonts w:asciiTheme="minorHAnsi" w:hAnsiTheme="minorHAnsi" w:cstheme="minorHAnsi"/>
                <w:color w:val="00B050"/>
                <w:sz w:val="16"/>
                <w:szCs w:val="16"/>
              </w:rPr>
              <w:t xml:space="preserve"> </w:t>
            </w:r>
            <w:r w:rsidR="007268C6">
              <w:rPr>
                <w:rFonts w:asciiTheme="minorHAnsi" w:hAnsiTheme="minorHAnsi" w:cstheme="minorHAnsi"/>
                <w:b/>
                <w:sz w:val="16"/>
                <w:szCs w:val="16"/>
              </w:rPr>
              <w:t>6.3</w:t>
            </w:r>
            <w:r w:rsidRPr="00D0006A">
              <w:rPr>
                <w:rFonts w:asciiTheme="minorHAnsi" w:hAnsiTheme="minorHAnsi" w:cstheme="minorHAnsi"/>
                <w:b/>
                <w:bCs/>
                <w:sz w:val="16"/>
                <w:szCs w:val="16"/>
              </w:rPr>
              <w:t>%</w:t>
            </w:r>
          </w:p>
        </w:tc>
        <w:tc>
          <w:tcPr>
            <w:tcW w:w="236" w:type="pct"/>
            <w:tcBorders>
              <w:bottom w:val="single" w:sz="4" w:space="0" w:color="auto"/>
            </w:tcBorders>
            <w:shd w:val="clear" w:color="auto" w:fill="EAF1DD" w:themeFill="accent3" w:themeFillTint="33"/>
            <w:vAlign w:val="center"/>
          </w:tcPr>
          <w:p w14:paraId="7A2EE421" w14:textId="77777777" w:rsidR="003D28CF" w:rsidRPr="0067738A" w:rsidRDefault="003D28CF" w:rsidP="001458B7">
            <w:pPr>
              <w:spacing w:after="0"/>
              <w:jc w:val="center"/>
              <w:rPr>
                <w:rFonts w:asciiTheme="minorHAnsi" w:hAnsiTheme="minorHAnsi" w:cstheme="minorHAnsi"/>
                <w:b/>
                <w:bCs/>
                <w:sz w:val="16"/>
                <w:szCs w:val="16"/>
              </w:rPr>
            </w:pPr>
            <w:r>
              <w:rPr>
                <w:rFonts w:asciiTheme="minorHAnsi" w:hAnsiTheme="minorHAnsi" w:cstheme="minorHAnsi"/>
                <w:b/>
                <w:bCs/>
                <w:sz w:val="16"/>
                <w:szCs w:val="16"/>
              </w:rPr>
              <w:t>272</w:t>
            </w:r>
          </w:p>
        </w:tc>
        <w:tc>
          <w:tcPr>
            <w:tcW w:w="236" w:type="pct"/>
            <w:tcBorders>
              <w:bottom w:val="single" w:sz="4" w:space="0" w:color="auto"/>
            </w:tcBorders>
            <w:shd w:val="clear" w:color="auto" w:fill="EAF1DD" w:themeFill="accent3" w:themeFillTint="33"/>
            <w:vAlign w:val="center"/>
          </w:tcPr>
          <w:p w14:paraId="73F2CA62" w14:textId="77777777" w:rsidR="003D28CF" w:rsidRPr="004254C8" w:rsidRDefault="003D28CF" w:rsidP="001458B7">
            <w:pPr>
              <w:spacing w:after="0"/>
              <w:jc w:val="center"/>
              <w:rPr>
                <w:rFonts w:asciiTheme="minorHAnsi" w:hAnsiTheme="minorHAnsi" w:cstheme="minorHAnsi"/>
                <w:b/>
                <w:bCs/>
                <w:sz w:val="16"/>
                <w:szCs w:val="16"/>
              </w:rPr>
            </w:pPr>
            <w:r w:rsidRPr="004254C8">
              <w:rPr>
                <w:rFonts w:asciiTheme="minorHAnsi" w:hAnsiTheme="minorHAnsi" w:cstheme="minorHAnsi"/>
                <w:b/>
                <w:bCs/>
                <w:sz w:val="16"/>
                <w:szCs w:val="16"/>
              </w:rPr>
              <w:t>2</w:t>
            </w:r>
            <w:r>
              <w:rPr>
                <w:rFonts w:asciiTheme="minorHAnsi" w:hAnsiTheme="minorHAnsi" w:cstheme="minorHAnsi"/>
                <w:b/>
                <w:bCs/>
                <w:sz w:val="16"/>
                <w:szCs w:val="16"/>
              </w:rPr>
              <w:t>50</w:t>
            </w:r>
          </w:p>
        </w:tc>
        <w:tc>
          <w:tcPr>
            <w:tcW w:w="339" w:type="pct"/>
            <w:tcBorders>
              <w:bottom w:val="single" w:sz="4" w:space="0" w:color="auto"/>
            </w:tcBorders>
            <w:shd w:val="clear" w:color="auto" w:fill="EAF1DD" w:themeFill="accent3" w:themeFillTint="33"/>
            <w:vAlign w:val="center"/>
          </w:tcPr>
          <w:p w14:paraId="444B104E" w14:textId="77777777" w:rsidR="003D28CF" w:rsidRPr="0067738A" w:rsidRDefault="003D28CF" w:rsidP="001458B7">
            <w:pPr>
              <w:spacing w:after="0"/>
              <w:jc w:val="center"/>
              <w:rPr>
                <w:rFonts w:asciiTheme="minorHAnsi" w:hAnsiTheme="minorHAnsi" w:cstheme="minorHAnsi"/>
                <w:b/>
                <w:bCs/>
                <w:sz w:val="16"/>
                <w:szCs w:val="16"/>
              </w:rPr>
            </w:pPr>
            <w:r w:rsidRPr="004254C8">
              <w:rPr>
                <w:rFonts w:asciiTheme="minorHAnsi" w:hAnsiTheme="minorHAnsi" w:cstheme="minorHAnsi"/>
                <w:color w:val="FF0000"/>
                <w:sz w:val="16"/>
                <w:szCs w:val="16"/>
              </w:rPr>
              <w:t>▲</w:t>
            </w:r>
            <w:r w:rsidRPr="00D0006A">
              <w:rPr>
                <w:rFonts w:asciiTheme="minorHAnsi" w:hAnsiTheme="minorHAnsi" w:cstheme="minorHAnsi"/>
                <w:color w:val="auto"/>
                <w:sz w:val="16"/>
                <w:szCs w:val="16"/>
              </w:rPr>
              <w:t xml:space="preserve"> </w:t>
            </w:r>
            <w:r>
              <w:rPr>
                <w:rFonts w:asciiTheme="minorHAnsi" w:hAnsiTheme="minorHAnsi" w:cstheme="minorHAnsi"/>
                <w:b/>
                <w:color w:val="auto"/>
                <w:sz w:val="16"/>
                <w:szCs w:val="16"/>
              </w:rPr>
              <w:t>8.8</w:t>
            </w:r>
            <w:r w:rsidRPr="0067738A">
              <w:rPr>
                <w:rFonts w:asciiTheme="minorHAnsi" w:hAnsiTheme="minorHAnsi" w:cstheme="minorHAnsi"/>
                <w:b/>
                <w:color w:val="000000"/>
                <w:sz w:val="16"/>
                <w:szCs w:val="16"/>
              </w:rPr>
              <w:t>%</w:t>
            </w:r>
          </w:p>
        </w:tc>
      </w:tr>
    </w:tbl>
    <w:p w14:paraId="01979D64" w14:textId="3EB27FF2" w:rsidR="003D28CF" w:rsidRPr="007F4447" w:rsidRDefault="003D28CF" w:rsidP="003D28CF">
      <w:pPr>
        <w:spacing w:after="80"/>
        <w:rPr>
          <w:rFonts w:cs="Arial"/>
          <w:sz w:val="16"/>
          <w:szCs w:val="16"/>
        </w:rPr>
      </w:pPr>
      <w:r w:rsidRPr="007F4447">
        <w:rPr>
          <w:rFonts w:cs="Arial"/>
          <w:sz w:val="16"/>
          <w:szCs w:val="16"/>
        </w:rPr>
        <w:t>* Relative change = absolute change between period in 2018 and same period in 2019, for each CAR, expressed as a percentage of 2018 base</w:t>
      </w:r>
    </w:p>
    <w:p w14:paraId="4B61A387" w14:textId="77777777" w:rsidR="003D28CF" w:rsidRDefault="003D28CF" w:rsidP="003D28CF">
      <w:pPr>
        <w:spacing w:after="80"/>
        <w:rPr>
          <w:rFonts w:cs="Arial"/>
          <w:sz w:val="16"/>
          <w:szCs w:val="16"/>
        </w:rPr>
      </w:pPr>
    </w:p>
    <w:p w14:paraId="7BCB53BF" w14:textId="77777777" w:rsidR="003D28CF" w:rsidRDefault="003D28CF">
      <w:pPr>
        <w:spacing w:after="80"/>
        <w:rPr>
          <w:rFonts w:cs="Arial"/>
          <w:sz w:val="16"/>
          <w:szCs w:val="16"/>
        </w:rPr>
      </w:pPr>
    </w:p>
    <w:p w14:paraId="4258C132" w14:textId="77777777" w:rsidR="003D28CF" w:rsidRDefault="003D28CF">
      <w:pPr>
        <w:spacing w:after="80"/>
        <w:rPr>
          <w:rFonts w:cs="Arial"/>
          <w:sz w:val="16"/>
          <w:szCs w:val="16"/>
        </w:rPr>
        <w:sectPr w:rsidR="003D28CF" w:rsidSect="002B4B1E">
          <w:headerReference w:type="even" r:id="rId22"/>
          <w:headerReference w:type="default" r:id="rId23"/>
          <w:footerReference w:type="default" r:id="rId24"/>
          <w:headerReference w:type="first" r:id="rId25"/>
          <w:pgSz w:w="16838" w:h="11906" w:orient="landscape"/>
          <w:pgMar w:top="1440" w:right="1440" w:bottom="1440" w:left="1440" w:header="709" w:footer="709" w:gutter="0"/>
          <w:cols w:space="708"/>
          <w:docGrid w:linePitch="360"/>
        </w:sectPr>
      </w:pPr>
    </w:p>
    <w:p w14:paraId="772D0AC4" w14:textId="3D4B500F" w:rsidR="00EF03DA" w:rsidRDefault="00EF03DA" w:rsidP="003D28CF">
      <w:pPr>
        <w:ind w:left="993" w:hanging="993"/>
        <w:rPr>
          <w:b/>
        </w:rPr>
      </w:pPr>
      <w:r w:rsidRPr="006314D0">
        <w:rPr>
          <w:b/>
        </w:rPr>
        <w:lastRenderedPageBreak/>
        <w:t xml:space="preserve">Table </w:t>
      </w:r>
      <w:r>
        <w:rPr>
          <w:b/>
        </w:rPr>
        <w:t>2</w:t>
      </w:r>
      <w:r w:rsidR="003D28CF">
        <w:rPr>
          <w:b/>
        </w:rPr>
        <w:t>:</w:t>
      </w:r>
      <w:r w:rsidR="003D28CF">
        <w:rPr>
          <w:b/>
        </w:rPr>
        <w:tab/>
      </w:r>
      <w:r w:rsidRPr="006314D0">
        <w:rPr>
          <w:b/>
        </w:rPr>
        <w:t xml:space="preserve">Number of critical antimicrobial resistance isolates, by </w:t>
      </w:r>
      <w:r>
        <w:rPr>
          <w:b/>
        </w:rPr>
        <w:t>setting</w:t>
      </w:r>
      <w:r w:rsidRPr="006314D0">
        <w:rPr>
          <w:b/>
        </w:rPr>
        <w:t xml:space="preserve">, </w:t>
      </w:r>
      <w:r w:rsidR="00C774FF">
        <w:rPr>
          <w:b/>
        </w:rPr>
        <w:t>national,</w:t>
      </w:r>
      <w:r w:rsidR="007268C6">
        <w:rPr>
          <w:b/>
        </w:rPr>
        <w:t xml:space="preserve"> </w:t>
      </w:r>
      <w:r w:rsidR="003D28CF">
        <w:rPr>
          <w:b/>
        </w:rPr>
        <w:t>1 </w:t>
      </w:r>
      <w:r w:rsidRPr="006314D0">
        <w:rPr>
          <w:b/>
        </w:rPr>
        <w:t>January</w:t>
      </w:r>
      <w:r w:rsidR="007268C6">
        <w:rPr>
          <w:b/>
        </w:rPr>
        <w:t> </w:t>
      </w:r>
      <w:r w:rsidRPr="006314D0">
        <w:rPr>
          <w:b/>
        </w:rPr>
        <w:t>201</w:t>
      </w:r>
      <w:r w:rsidR="00284CB1">
        <w:rPr>
          <w:b/>
        </w:rPr>
        <w:t>9</w:t>
      </w:r>
      <w:r w:rsidR="007268C6">
        <w:rPr>
          <w:b/>
        </w:rPr>
        <w:t>–</w:t>
      </w:r>
      <w:r>
        <w:rPr>
          <w:b/>
        </w:rPr>
        <w:t>28</w:t>
      </w:r>
      <w:r w:rsidRPr="006314D0">
        <w:rPr>
          <w:b/>
        </w:rPr>
        <w:t xml:space="preserve"> </w:t>
      </w:r>
      <w:r>
        <w:rPr>
          <w:b/>
        </w:rPr>
        <w:t xml:space="preserve">February 2019 </w:t>
      </w:r>
    </w:p>
    <w:tbl>
      <w:tblPr>
        <w:tblStyle w:val="TableGrid"/>
        <w:tblpPr w:leftFromText="180" w:rightFromText="180" w:vertAnchor="text" w:tblpY="1"/>
        <w:tblOverlap w:val="never"/>
        <w:tblW w:w="5000" w:type="pct"/>
        <w:tblLook w:val="0620" w:firstRow="1" w:lastRow="0" w:firstColumn="0" w:lastColumn="0" w:noHBand="1" w:noVBand="1"/>
      </w:tblPr>
      <w:tblGrid>
        <w:gridCol w:w="1562"/>
        <w:gridCol w:w="2877"/>
        <w:gridCol w:w="891"/>
        <w:gridCol w:w="913"/>
        <w:gridCol w:w="850"/>
        <w:gridCol w:w="995"/>
        <w:gridCol w:w="835"/>
        <w:gridCol w:w="829"/>
      </w:tblGrid>
      <w:tr w:rsidR="00EB3B00" w:rsidRPr="0067738A" w14:paraId="32B691AD" w14:textId="77777777" w:rsidTr="00EB3B00">
        <w:trPr>
          <w:cnfStyle w:val="100000000000" w:firstRow="1" w:lastRow="0" w:firstColumn="0" w:lastColumn="0" w:oddVBand="0" w:evenVBand="0" w:oddHBand="0" w:evenHBand="0" w:firstRowFirstColumn="0" w:firstRowLastColumn="0" w:lastRowFirstColumn="0" w:lastRowLastColumn="0"/>
          <w:trHeight w:hRule="exact" w:val="510"/>
        </w:trPr>
        <w:tc>
          <w:tcPr>
            <w:tcW w:w="801" w:type="pct"/>
            <w:tcBorders>
              <w:top w:val="single" w:sz="4" w:space="0" w:color="auto"/>
              <w:bottom w:val="nil"/>
              <w:right w:val="single" w:sz="4" w:space="0" w:color="auto"/>
            </w:tcBorders>
            <w:shd w:val="clear" w:color="auto" w:fill="DAEEF3" w:themeFill="accent5" w:themeFillTint="33"/>
            <w:vAlign w:val="center"/>
          </w:tcPr>
          <w:p w14:paraId="58C48777" w14:textId="77777777" w:rsidR="00EB3B00" w:rsidRPr="0067738A" w:rsidRDefault="00EB3B00" w:rsidP="00EB3B00">
            <w:pPr>
              <w:spacing w:after="0"/>
              <w:rPr>
                <w:rFonts w:cstheme="minorHAnsi"/>
                <w:b w:val="0"/>
                <w:sz w:val="16"/>
                <w:szCs w:val="16"/>
              </w:rPr>
            </w:pPr>
          </w:p>
        </w:tc>
        <w:tc>
          <w:tcPr>
            <w:tcW w:w="1475" w:type="pct"/>
            <w:tcBorders>
              <w:top w:val="single" w:sz="4" w:space="0" w:color="auto"/>
              <w:left w:val="single" w:sz="4" w:space="0" w:color="auto"/>
              <w:bottom w:val="nil"/>
              <w:right w:val="single" w:sz="4" w:space="0" w:color="auto"/>
            </w:tcBorders>
            <w:shd w:val="clear" w:color="auto" w:fill="DAEEF3" w:themeFill="accent5" w:themeFillTint="33"/>
            <w:vAlign w:val="center"/>
          </w:tcPr>
          <w:p w14:paraId="068DD319" w14:textId="77777777" w:rsidR="00EB3B00" w:rsidRPr="009117B9" w:rsidRDefault="00EB3B00" w:rsidP="00EB3B00">
            <w:pPr>
              <w:pStyle w:val="Normal-beforebullets"/>
              <w:rPr>
                <w:rFonts w:cstheme="minorHAnsi"/>
                <w:b w:val="0"/>
                <w:sz w:val="16"/>
                <w:szCs w:val="16"/>
              </w:rPr>
            </w:pPr>
          </w:p>
        </w:tc>
        <w:tc>
          <w:tcPr>
            <w:tcW w:w="2299" w:type="pct"/>
            <w:gridSpan w:val="5"/>
            <w:tcBorders>
              <w:top w:val="single" w:sz="4" w:space="0" w:color="auto"/>
              <w:left w:val="single" w:sz="4" w:space="0" w:color="auto"/>
              <w:right w:val="single" w:sz="4" w:space="0" w:color="auto"/>
            </w:tcBorders>
            <w:shd w:val="clear" w:color="auto" w:fill="DAEEF3" w:themeFill="accent5" w:themeFillTint="33"/>
            <w:vAlign w:val="center"/>
          </w:tcPr>
          <w:p w14:paraId="09E82B05" w14:textId="77777777" w:rsidR="00EB3B00" w:rsidRDefault="00EB3B00" w:rsidP="00EB3B00">
            <w:pPr>
              <w:pStyle w:val="Normal-beforebullets"/>
              <w:rPr>
                <w:rFonts w:cstheme="minorHAnsi"/>
                <w:b w:val="0"/>
                <w:sz w:val="16"/>
                <w:szCs w:val="16"/>
              </w:rPr>
            </w:pPr>
            <w:r>
              <w:rPr>
                <w:rFonts w:cstheme="minorHAnsi"/>
                <w:b w:val="0"/>
                <w:sz w:val="16"/>
                <w:szCs w:val="16"/>
              </w:rPr>
              <w:t>Setting</w:t>
            </w:r>
          </w:p>
        </w:tc>
        <w:tc>
          <w:tcPr>
            <w:tcW w:w="425" w:type="pct"/>
            <w:tcBorders>
              <w:top w:val="single" w:sz="4" w:space="0" w:color="auto"/>
              <w:left w:val="single" w:sz="4" w:space="0" w:color="auto"/>
              <w:bottom w:val="nil"/>
              <w:right w:val="single" w:sz="4" w:space="0" w:color="auto"/>
            </w:tcBorders>
            <w:shd w:val="clear" w:color="auto" w:fill="DAEEF3" w:themeFill="accent5" w:themeFillTint="33"/>
          </w:tcPr>
          <w:p w14:paraId="2AC7167D" w14:textId="77777777" w:rsidR="00EB3B00" w:rsidRDefault="00EB3B00" w:rsidP="00EB3B00">
            <w:pPr>
              <w:pStyle w:val="Normal-beforebullets"/>
              <w:rPr>
                <w:rFonts w:cstheme="minorHAnsi"/>
                <w:b w:val="0"/>
                <w:sz w:val="16"/>
                <w:szCs w:val="16"/>
              </w:rPr>
            </w:pPr>
          </w:p>
        </w:tc>
      </w:tr>
      <w:tr w:rsidR="004D7F84" w:rsidRPr="0067738A" w14:paraId="5E4CBB39" w14:textId="77777777" w:rsidTr="005A20F4">
        <w:trPr>
          <w:trHeight w:hRule="exact" w:val="772"/>
        </w:trPr>
        <w:tc>
          <w:tcPr>
            <w:tcW w:w="801" w:type="pct"/>
            <w:tcBorders>
              <w:top w:val="nil"/>
              <w:right w:val="single" w:sz="4" w:space="0" w:color="auto"/>
            </w:tcBorders>
            <w:shd w:val="clear" w:color="auto" w:fill="DAEEF3" w:themeFill="accent5" w:themeFillTint="33"/>
            <w:vAlign w:val="center"/>
          </w:tcPr>
          <w:p w14:paraId="20FF72A4" w14:textId="77777777" w:rsidR="00EB3B00" w:rsidRPr="0067738A" w:rsidRDefault="00EB3B00" w:rsidP="00EB3B00">
            <w:pPr>
              <w:spacing w:after="0"/>
              <w:rPr>
                <w:rFonts w:asciiTheme="minorHAnsi" w:hAnsiTheme="minorHAnsi" w:cstheme="minorHAnsi"/>
                <w:b/>
                <w:sz w:val="16"/>
                <w:szCs w:val="16"/>
              </w:rPr>
            </w:pPr>
            <w:r w:rsidRPr="0067738A">
              <w:rPr>
                <w:rFonts w:asciiTheme="minorHAnsi" w:hAnsiTheme="minorHAnsi" w:cstheme="minorHAnsi"/>
                <w:b/>
                <w:sz w:val="16"/>
                <w:szCs w:val="16"/>
              </w:rPr>
              <w:t>Species</w:t>
            </w:r>
          </w:p>
        </w:tc>
        <w:tc>
          <w:tcPr>
            <w:tcW w:w="1475" w:type="pct"/>
            <w:tcBorders>
              <w:top w:val="nil"/>
              <w:left w:val="single" w:sz="4" w:space="0" w:color="auto"/>
              <w:right w:val="single" w:sz="4" w:space="0" w:color="auto"/>
            </w:tcBorders>
            <w:shd w:val="clear" w:color="auto" w:fill="DAEEF3" w:themeFill="accent5" w:themeFillTint="33"/>
            <w:vAlign w:val="center"/>
          </w:tcPr>
          <w:p w14:paraId="02DDBA6D" w14:textId="77777777" w:rsidR="00EB3B00" w:rsidRPr="009117B9" w:rsidRDefault="00EB3B00" w:rsidP="00EB3B00">
            <w:pPr>
              <w:pStyle w:val="Normal-beforebullets"/>
              <w:rPr>
                <w:rFonts w:asciiTheme="minorHAnsi" w:hAnsiTheme="minorHAnsi" w:cstheme="minorHAnsi"/>
                <w:b/>
                <w:sz w:val="16"/>
                <w:szCs w:val="16"/>
              </w:rPr>
            </w:pPr>
            <w:r w:rsidRPr="009117B9">
              <w:rPr>
                <w:rFonts w:asciiTheme="minorHAnsi" w:hAnsiTheme="minorHAnsi" w:cstheme="minorHAnsi"/>
                <w:b/>
                <w:sz w:val="16"/>
                <w:szCs w:val="16"/>
              </w:rPr>
              <w:t>Critical resistance</w:t>
            </w:r>
          </w:p>
        </w:tc>
        <w:tc>
          <w:tcPr>
            <w:tcW w:w="457" w:type="pct"/>
            <w:tcBorders>
              <w:top w:val="single" w:sz="4" w:space="0" w:color="auto"/>
              <w:left w:val="single" w:sz="4" w:space="0" w:color="auto"/>
              <w:right w:val="single" w:sz="4" w:space="0" w:color="auto"/>
            </w:tcBorders>
            <w:shd w:val="clear" w:color="auto" w:fill="DAEEF3" w:themeFill="accent5" w:themeFillTint="33"/>
            <w:vAlign w:val="center"/>
          </w:tcPr>
          <w:p w14:paraId="0F458798" w14:textId="77777777" w:rsidR="00EB3B00" w:rsidRPr="009117B9" w:rsidRDefault="00EB3B00" w:rsidP="00EB3B00">
            <w:pPr>
              <w:pStyle w:val="Normal-beforebullets"/>
              <w:jc w:val="center"/>
              <w:rPr>
                <w:rFonts w:cstheme="minorHAnsi"/>
                <w:b/>
                <w:sz w:val="16"/>
                <w:szCs w:val="16"/>
              </w:rPr>
            </w:pPr>
            <w:r>
              <w:rPr>
                <w:rFonts w:cstheme="minorHAnsi"/>
                <w:b/>
                <w:sz w:val="16"/>
                <w:szCs w:val="16"/>
              </w:rPr>
              <w:t>Public hospital</w:t>
            </w:r>
          </w:p>
        </w:tc>
        <w:tc>
          <w:tcPr>
            <w:tcW w:w="468" w:type="pct"/>
            <w:tcBorders>
              <w:top w:val="single" w:sz="4" w:space="0" w:color="auto"/>
              <w:left w:val="single" w:sz="4" w:space="0" w:color="auto"/>
              <w:right w:val="single" w:sz="4" w:space="0" w:color="auto"/>
            </w:tcBorders>
            <w:shd w:val="clear" w:color="auto" w:fill="DAEEF3" w:themeFill="accent5" w:themeFillTint="33"/>
            <w:vAlign w:val="center"/>
          </w:tcPr>
          <w:p w14:paraId="796F9B33" w14:textId="77777777" w:rsidR="00EB3B00" w:rsidRPr="009117B9" w:rsidRDefault="00EB3B00" w:rsidP="00EB3B00">
            <w:pPr>
              <w:pStyle w:val="Normal-beforebullets"/>
              <w:jc w:val="center"/>
              <w:rPr>
                <w:rFonts w:cstheme="minorHAnsi"/>
                <w:b/>
                <w:sz w:val="16"/>
                <w:szCs w:val="16"/>
              </w:rPr>
            </w:pPr>
            <w:r>
              <w:rPr>
                <w:rFonts w:cstheme="minorHAnsi"/>
                <w:b/>
                <w:sz w:val="16"/>
                <w:szCs w:val="16"/>
              </w:rPr>
              <w:t>Private hospital</w:t>
            </w:r>
          </w:p>
        </w:tc>
        <w:tc>
          <w:tcPr>
            <w:tcW w:w="436" w:type="pct"/>
            <w:tcBorders>
              <w:top w:val="single" w:sz="4" w:space="0" w:color="auto"/>
              <w:left w:val="single" w:sz="4" w:space="0" w:color="auto"/>
              <w:right w:val="single" w:sz="4" w:space="0" w:color="auto"/>
            </w:tcBorders>
            <w:shd w:val="clear" w:color="auto" w:fill="DAEEF3" w:themeFill="accent5" w:themeFillTint="33"/>
            <w:vAlign w:val="center"/>
          </w:tcPr>
          <w:p w14:paraId="49A1E139" w14:textId="77777777" w:rsidR="00EB3B00" w:rsidRPr="009117B9" w:rsidRDefault="00EB3B00" w:rsidP="00EB3B00">
            <w:pPr>
              <w:pStyle w:val="Normal-beforebullets"/>
              <w:jc w:val="center"/>
              <w:rPr>
                <w:rFonts w:cstheme="minorHAnsi"/>
                <w:b/>
                <w:sz w:val="16"/>
                <w:szCs w:val="16"/>
              </w:rPr>
            </w:pPr>
            <w:r>
              <w:rPr>
                <w:rFonts w:cstheme="minorHAnsi"/>
                <w:b/>
                <w:sz w:val="16"/>
                <w:szCs w:val="16"/>
              </w:rPr>
              <w:t>Aged care home</w:t>
            </w:r>
          </w:p>
        </w:tc>
        <w:tc>
          <w:tcPr>
            <w:tcW w:w="510" w:type="pct"/>
            <w:tcBorders>
              <w:top w:val="single" w:sz="4" w:space="0" w:color="auto"/>
              <w:left w:val="single" w:sz="4" w:space="0" w:color="auto"/>
              <w:right w:val="single" w:sz="4" w:space="0" w:color="auto"/>
            </w:tcBorders>
            <w:shd w:val="clear" w:color="auto" w:fill="DAEEF3" w:themeFill="accent5" w:themeFillTint="33"/>
            <w:vAlign w:val="center"/>
          </w:tcPr>
          <w:p w14:paraId="624A1E8C" w14:textId="77777777" w:rsidR="00EB3B00" w:rsidRPr="009117B9" w:rsidRDefault="00EB3B00" w:rsidP="00EB3B00">
            <w:pPr>
              <w:pStyle w:val="Normal-beforebullets"/>
              <w:jc w:val="center"/>
              <w:rPr>
                <w:rFonts w:cstheme="minorHAnsi"/>
                <w:b/>
                <w:sz w:val="16"/>
                <w:szCs w:val="16"/>
              </w:rPr>
            </w:pPr>
            <w:r>
              <w:rPr>
                <w:rFonts w:cstheme="minorHAnsi"/>
                <w:b/>
                <w:sz w:val="16"/>
                <w:szCs w:val="16"/>
              </w:rPr>
              <w:t>Community</w:t>
            </w:r>
          </w:p>
        </w:tc>
        <w:tc>
          <w:tcPr>
            <w:tcW w:w="428" w:type="pct"/>
            <w:tcBorders>
              <w:top w:val="single" w:sz="4" w:space="0" w:color="auto"/>
              <w:left w:val="single" w:sz="4" w:space="0" w:color="auto"/>
              <w:right w:val="single" w:sz="4" w:space="0" w:color="auto"/>
            </w:tcBorders>
            <w:shd w:val="clear" w:color="auto" w:fill="DAEEF3" w:themeFill="accent5" w:themeFillTint="33"/>
            <w:vAlign w:val="center"/>
          </w:tcPr>
          <w:p w14:paraId="5082CEB4" w14:textId="77777777" w:rsidR="00EB3B00" w:rsidRPr="009117B9" w:rsidRDefault="00EB3B00" w:rsidP="00EB3B00">
            <w:pPr>
              <w:pStyle w:val="Normal-beforebullets"/>
              <w:jc w:val="center"/>
              <w:rPr>
                <w:rFonts w:cstheme="minorHAnsi"/>
                <w:b/>
                <w:sz w:val="16"/>
                <w:szCs w:val="16"/>
              </w:rPr>
            </w:pPr>
            <w:r>
              <w:rPr>
                <w:rFonts w:cstheme="minorHAnsi"/>
                <w:b/>
                <w:sz w:val="16"/>
                <w:szCs w:val="16"/>
              </w:rPr>
              <w:t>Unknown</w:t>
            </w:r>
          </w:p>
        </w:tc>
        <w:tc>
          <w:tcPr>
            <w:tcW w:w="425" w:type="pct"/>
            <w:tcBorders>
              <w:top w:val="nil"/>
              <w:left w:val="single" w:sz="4" w:space="0" w:color="auto"/>
              <w:right w:val="single" w:sz="4" w:space="0" w:color="auto"/>
            </w:tcBorders>
            <w:shd w:val="clear" w:color="auto" w:fill="DAEEF3" w:themeFill="accent5" w:themeFillTint="33"/>
            <w:vAlign w:val="center"/>
          </w:tcPr>
          <w:p w14:paraId="4540B42B" w14:textId="266E3F14" w:rsidR="00EB3B00" w:rsidRDefault="007A23DD" w:rsidP="00EB3B00">
            <w:pPr>
              <w:pStyle w:val="Normal-beforebullets"/>
              <w:jc w:val="center"/>
              <w:rPr>
                <w:rFonts w:cstheme="minorHAnsi"/>
                <w:b/>
                <w:sz w:val="16"/>
                <w:szCs w:val="16"/>
              </w:rPr>
            </w:pPr>
            <w:r>
              <w:rPr>
                <w:rFonts w:cstheme="minorHAnsi"/>
                <w:b/>
                <w:sz w:val="16"/>
                <w:szCs w:val="16"/>
              </w:rPr>
              <w:t>Total</w:t>
            </w:r>
          </w:p>
        </w:tc>
      </w:tr>
      <w:tr w:rsidR="00EB3B00" w:rsidRPr="0067738A" w14:paraId="281C77EF" w14:textId="77777777" w:rsidTr="00EB3B00">
        <w:trPr>
          <w:trHeight w:val="340"/>
        </w:trPr>
        <w:tc>
          <w:tcPr>
            <w:tcW w:w="801" w:type="pct"/>
            <w:vMerge w:val="restart"/>
            <w:vAlign w:val="center"/>
          </w:tcPr>
          <w:p w14:paraId="40B75F3C" w14:textId="77777777" w:rsidR="00EB3B00" w:rsidRPr="0067738A" w:rsidRDefault="00EB3B00" w:rsidP="00EB3B00">
            <w:pPr>
              <w:spacing w:after="0"/>
              <w:rPr>
                <w:rFonts w:asciiTheme="minorHAnsi" w:hAnsiTheme="minorHAnsi" w:cstheme="minorHAnsi"/>
                <w:sz w:val="16"/>
                <w:szCs w:val="16"/>
              </w:rPr>
            </w:pPr>
            <w:r w:rsidRPr="0067738A">
              <w:rPr>
                <w:rFonts w:asciiTheme="minorHAnsi" w:hAnsiTheme="minorHAnsi" w:cstheme="minorHAnsi"/>
                <w:sz w:val="16"/>
                <w:szCs w:val="16"/>
              </w:rPr>
              <w:t>Enterobacterales</w:t>
            </w:r>
          </w:p>
        </w:tc>
        <w:tc>
          <w:tcPr>
            <w:tcW w:w="1475" w:type="pct"/>
            <w:shd w:val="clear" w:color="auto" w:fill="auto"/>
            <w:vAlign w:val="center"/>
          </w:tcPr>
          <w:p w14:paraId="55CD5F5B" w14:textId="77777777" w:rsidR="00EB3B00" w:rsidRPr="0067738A" w:rsidRDefault="00EB3B00" w:rsidP="00EB3B00">
            <w:pPr>
              <w:pStyle w:val="Normal-beforebullets"/>
              <w:rPr>
                <w:rFonts w:asciiTheme="minorHAnsi" w:hAnsiTheme="minorHAnsi" w:cstheme="minorHAnsi"/>
                <w:sz w:val="16"/>
                <w:szCs w:val="16"/>
              </w:rPr>
            </w:pPr>
            <w:r w:rsidRPr="0067738A">
              <w:rPr>
                <w:rFonts w:asciiTheme="minorHAnsi" w:hAnsiTheme="minorHAnsi" w:cstheme="minorHAnsi"/>
                <w:sz w:val="16"/>
                <w:szCs w:val="16"/>
              </w:rPr>
              <w:t>Carbapenemase-producing Enterobacterales</w:t>
            </w:r>
          </w:p>
        </w:tc>
        <w:tc>
          <w:tcPr>
            <w:tcW w:w="457" w:type="pct"/>
            <w:vAlign w:val="center"/>
          </w:tcPr>
          <w:p w14:paraId="42D008BD" w14:textId="77777777" w:rsidR="00EB3B00" w:rsidRPr="0067738A" w:rsidRDefault="00EB3B00" w:rsidP="00EB3B00">
            <w:pPr>
              <w:pStyle w:val="Normal-beforebullets"/>
              <w:jc w:val="center"/>
              <w:rPr>
                <w:rFonts w:cstheme="minorHAnsi"/>
                <w:sz w:val="16"/>
                <w:szCs w:val="16"/>
              </w:rPr>
            </w:pPr>
            <w:r w:rsidRPr="006570DB">
              <w:rPr>
                <w:rFonts w:asciiTheme="minorHAnsi" w:hAnsiTheme="minorHAnsi" w:cstheme="minorHAnsi"/>
                <w:color w:val="000000"/>
                <w:sz w:val="16"/>
                <w:szCs w:val="16"/>
              </w:rPr>
              <w:t>118</w:t>
            </w:r>
          </w:p>
        </w:tc>
        <w:tc>
          <w:tcPr>
            <w:tcW w:w="468" w:type="pct"/>
            <w:vAlign w:val="center"/>
          </w:tcPr>
          <w:p w14:paraId="41EC1CF7" w14:textId="77777777" w:rsidR="00EB3B00" w:rsidRPr="0067738A" w:rsidRDefault="00EB3B00" w:rsidP="00EB3B00">
            <w:pPr>
              <w:pStyle w:val="Normal-beforebullets"/>
              <w:jc w:val="center"/>
              <w:rPr>
                <w:rFonts w:cstheme="minorHAnsi"/>
                <w:sz w:val="16"/>
                <w:szCs w:val="16"/>
              </w:rPr>
            </w:pPr>
            <w:r w:rsidRPr="006570DB">
              <w:rPr>
                <w:rFonts w:asciiTheme="minorHAnsi" w:hAnsiTheme="minorHAnsi" w:cstheme="minorHAnsi"/>
                <w:color w:val="000000"/>
                <w:sz w:val="16"/>
                <w:szCs w:val="16"/>
              </w:rPr>
              <w:t>15</w:t>
            </w:r>
          </w:p>
        </w:tc>
        <w:tc>
          <w:tcPr>
            <w:tcW w:w="436" w:type="pct"/>
            <w:vAlign w:val="center"/>
          </w:tcPr>
          <w:p w14:paraId="1A201590" w14:textId="77777777" w:rsidR="00EB3B00" w:rsidRPr="0067738A" w:rsidRDefault="00EB3B00" w:rsidP="00EB3B00">
            <w:pPr>
              <w:pStyle w:val="Normal-beforebullets"/>
              <w:jc w:val="center"/>
              <w:rPr>
                <w:rFonts w:cstheme="minorHAnsi"/>
                <w:sz w:val="16"/>
                <w:szCs w:val="16"/>
              </w:rPr>
            </w:pPr>
            <w:r w:rsidRPr="006570DB">
              <w:rPr>
                <w:rFonts w:asciiTheme="minorHAnsi" w:hAnsiTheme="minorHAnsi" w:cstheme="minorHAnsi"/>
                <w:color w:val="000000"/>
                <w:sz w:val="16"/>
                <w:szCs w:val="16"/>
              </w:rPr>
              <w:t>1</w:t>
            </w:r>
          </w:p>
        </w:tc>
        <w:tc>
          <w:tcPr>
            <w:tcW w:w="510" w:type="pct"/>
            <w:vAlign w:val="center"/>
          </w:tcPr>
          <w:p w14:paraId="5BE7E304" w14:textId="77777777" w:rsidR="00EB3B00" w:rsidRPr="0067738A" w:rsidRDefault="00EB3B00" w:rsidP="00EB3B00">
            <w:pPr>
              <w:pStyle w:val="Normal-beforebullets"/>
              <w:jc w:val="center"/>
              <w:rPr>
                <w:rFonts w:cstheme="minorHAnsi"/>
                <w:sz w:val="16"/>
                <w:szCs w:val="16"/>
              </w:rPr>
            </w:pPr>
            <w:r w:rsidRPr="006570DB">
              <w:rPr>
                <w:rFonts w:asciiTheme="minorHAnsi" w:hAnsiTheme="minorHAnsi" w:cstheme="minorHAnsi"/>
                <w:color w:val="000000"/>
                <w:sz w:val="16"/>
                <w:szCs w:val="16"/>
              </w:rPr>
              <w:t>8</w:t>
            </w:r>
          </w:p>
        </w:tc>
        <w:tc>
          <w:tcPr>
            <w:tcW w:w="428" w:type="pct"/>
            <w:vAlign w:val="center"/>
          </w:tcPr>
          <w:p w14:paraId="69FD0903" w14:textId="77777777" w:rsidR="00EB3B00" w:rsidRPr="0067738A" w:rsidRDefault="00EB3B00" w:rsidP="00EB3B00">
            <w:pPr>
              <w:pStyle w:val="Normal-beforebullets"/>
              <w:jc w:val="center"/>
              <w:rPr>
                <w:rFonts w:cstheme="minorHAnsi"/>
                <w:sz w:val="16"/>
                <w:szCs w:val="16"/>
              </w:rPr>
            </w:pPr>
            <w:r w:rsidRPr="006570DB">
              <w:rPr>
                <w:rFonts w:asciiTheme="minorHAnsi" w:hAnsiTheme="minorHAnsi" w:cstheme="minorHAnsi"/>
                <w:color w:val="000000"/>
                <w:sz w:val="16"/>
                <w:szCs w:val="16"/>
              </w:rPr>
              <w:t>6</w:t>
            </w:r>
          </w:p>
        </w:tc>
        <w:tc>
          <w:tcPr>
            <w:tcW w:w="425" w:type="pct"/>
            <w:vAlign w:val="center"/>
          </w:tcPr>
          <w:p w14:paraId="2B4F9BE5" w14:textId="77777777" w:rsidR="00EB3B00" w:rsidRPr="006570DB" w:rsidRDefault="00EB3B00" w:rsidP="00EB3B00">
            <w:pPr>
              <w:pStyle w:val="Normal-beforebullets"/>
              <w:jc w:val="center"/>
              <w:rPr>
                <w:rFonts w:cstheme="minorHAnsi"/>
                <w:color w:val="000000"/>
                <w:sz w:val="16"/>
                <w:szCs w:val="16"/>
              </w:rPr>
            </w:pPr>
            <w:r>
              <w:rPr>
                <w:rFonts w:cstheme="minorHAnsi"/>
                <w:color w:val="000000"/>
                <w:sz w:val="16"/>
                <w:szCs w:val="16"/>
              </w:rPr>
              <w:t>148</w:t>
            </w:r>
          </w:p>
        </w:tc>
      </w:tr>
      <w:tr w:rsidR="00EB3B00" w:rsidRPr="0067738A" w14:paraId="536924A4" w14:textId="77777777" w:rsidTr="00EB3B00">
        <w:trPr>
          <w:trHeight w:val="340"/>
        </w:trPr>
        <w:tc>
          <w:tcPr>
            <w:tcW w:w="801" w:type="pct"/>
            <w:vMerge/>
            <w:vAlign w:val="center"/>
          </w:tcPr>
          <w:p w14:paraId="6731DA32" w14:textId="77777777" w:rsidR="00EB3B00" w:rsidRPr="0067738A" w:rsidRDefault="00EB3B00" w:rsidP="00EB3B00">
            <w:pPr>
              <w:spacing w:after="0"/>
              <w:rPr>
                <w:rFonts w:asciiTheme="minorHAnsi" w:hAnsiTheme="minorHAnsi" w:cstheme="minorHAnsi"/>
                <w:sz w:val="16"/>
                <w:szCs w:val="16"/>
              </w:rPr>
            </w:pPr>
          </w:p>
        </w:tc>
        <w:tc>
          <w:tcPr>
            <w:tcW w:w="1475" w:type="pct"/>
            <w:shd w:val="clear" w:color="auto" w:fill="auto"/>
            <w:vAlign w:val="center"/>
            <w:hideMark/>
          </w:tcPr>
          <w:p w14:paraId="7E8CB037" w14:textId="77777777" w:rsidR="00EB3B00" w:rsidRPr="0067738A" w:rsidRDefault="00EB3B00" w:rsidP="00EB3B00">
            <w:pPr>
              <w:spacing w:after="0"/>
              <w:rPr>
                <w:rFonts w:asciiTheme="minorHAnsi" w:hAnsiTheme="minorHAnsi" w:cstheme="minorHAnsi"/>
                <w:sz w:val="16"/>
                <w:szCs w:val="16"/>
              </w:rPr>
            </w:pPr>
            <w:r w:rsidRPr="0067738A">
              <w:rPr>
                <w:rFonts w:asciiTheme="minorHAnsi" w:hAnsiTheme="minorHAnsi" w:cstheme="minorHAnsi"/>
                <w:sz w:val="16"/>
                <w:szCs w:val="16"/>
              </w:rPr>
              <w:t xml:space="preserve">Carbapenemase and ribosomal methyltransferase-producing </w:t>
            </w:r>
          </w:p>
        </w:tc>
        <w:tc>
          <w:tcPr>
            <w:tcW w:w="457" w:type="pct"/>
            <w:vAlign w:val="center"/>
          </w:tcPr>
          <w:p w14:paraId="76511813" w14:textId="77777777" w:rsidR="00EB3B00" w:rsidRPr="0067738A" w:rsidRDefault="00EB3B00" w:rsidP="00EB3B00">
            <w:pPr>
              <w:spacing w:after="0"/>
              <w:jc w:val="center"/>
              <w:rPr>
                <w:rFonts w:cstheme="minorHAnsi"/>
                <w:sz w:val="16"/>
                <w:szCs w:val="16"/>
              </w:rPr>
            </w:pPr>
            <w:r w:rsidRPr="006570DB">
              <w:rPr>
                <w:rFonts w:asciiTheme="minorHAnsi" w:hAnsiTheme="minorHAnsi" w:cstheme="minorHAnsi"/>
                <w:color w:val="000000"/>
                <w:sz w:val="16"/>
                <w:szCs w:val="16"/>
              </w:rPr>
              <w:t>8</w:t>
            </w:r>
          </w:p>
        </w:tc>
        <w:tc>
          <w:tcPr>
            <w:tcW w:w="468" w:type="pct"/>
            <w:vAlign w:val="center"/>
          </w:tcPr>
          <w:p w14:paraId="201598E6"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36" w:type="pct"/>
            <w:vAlign w:val="center"/>
          </w:tcPr>
          <w:p w14:paraId="77977D1A"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510" w:type="pct"/>
            <w:vAlign w:val="center"/>
          </w:tcPr>
          <w:p w14:paraId="09A74E94"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8" w:type="pct"/>
            <w:vAlign w:val="center"/>
          </w:tcPr>
          <w:p w14:paraId="727E281A"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5" w:type="pct"/>
            <w:vAlign w:val="center"/>
          </w:tcPr>
          <w:p w14:paraId="6CD57151" w14:textId="77777777" w:rsidR="00EB3B00" w:rsidRDefault="00EB3B00" w:rsidP="00EB3B00">
            <w:pPr>
              <w:spacing w:after="0"/>
              <w:jc w:val="center"/>
              <w:rPr>
                <w:rFonts w:cstheme="minorHAnsi"/>
                <w:sz w:val="16"/>
                <w:szCs w:val="16"/>
              </w:rPr>
            </w:pPr>
            <w:r>
              <w:rPr>
                <w:rFonts w:cstheme="minorHAnsi"/>
                <w:sz w:val="16"/>
                <w:szCs w:val="16"/>
              </w:rPr>
              <w:t>8</w:t>
            </w:r>
          </w:p>
        </w:tc>
      </w:tr>
      <w:tr w:rsidR="00EB3B00" w:rsidRPr="0067738A" w14:paraId="3D6907EE" w14:textId="77777777" w:rsidTr="00EB3B00">
        <w:trPr>
          <w:trHeight w:val="340"/>
        </w:trPr>
        <w:tc>
          <w:tcPr>
            <w:tcW w:w="801" w:type="pct"/>
            <w:vMerge/>
            <w:vAlign w:val="center"/>
          </w:tcPr>
          <w:p w14:paraId="03AF76EE" w14:textId="77777777" w:rsidR="00EB3B00" w:rsidRPr="0067738A" w:rsidRDefault="00EB3B00" w:rsidP="00EB3B00">
            <w:pPr>
              <w:spacing w:after="0"/>
              <w:rPr>
                <w:rFonts w:asciiTheme="minorHAnsi" w:hAnsiTheme="minorHAnsi" w:cstheme="minorHAnsi"/>
                <w:sz w:val="16"/>
                <w:szCs w:val="16"/>
              </w:rPr>
            </w:pPr>
          </w:p>
        </w:tc>
        <w:tc>
          <w:tcPr>
            <w:tcW w:w="1475" w:type="pct"/>
            <w:shd w:val="clear" w:color="auto" w:fill="auto"/>
            <w:vAlign w:val="center"/>
          </w:tcPr>
          <w:p w14:paraId="7D7249A5" w14:textId="77777777" w:rsidR="00EB3B00" w:rsidRPr="0067738A" w:rsidRDefault="00EB3B00" w:rsidP="00EB3B00">
            <w:pPr>
              <w:spacing w:after="0"/>
              <w:rPr>
                <w:rFonts w:asciiTheme="minorHAnsi" w:hAnsiTheme="minorHAnsi" w:cstheme="minorHAnsi"/>
                <w:sz w:val="16"/>
                <w:szCs w:val="16"/>
              </w:rPr>
            </w:pPr>
            <w:r w:rsidRPr="0067738A">
              <w:rPr>
                <w:rFonts w:asciiTheme="minorHAnsi" w:hAnsiTheme="minorHAnsi" w:cstheme="minorHAnsi"/>
                <w:sz w:val="16"/>
                <w:szCs w:val="16"/>
              </w:rPr>
              <w:t>Ribosomal methyltransferase-producing</w:t>
            </w:r>
          </w:p>
        </w:tc>
        <w:tc>
          <w:tcPr>
            <w:tcW w:w="457" w:type="pct"/>
            <w:vAlign w:val="center"/>
          </w:tcPr>
          <w:p w14:paraId="24804032" w14:textId="77777777" w:rsidR="00EB3B00" w:rsidRPr="0067738A" w:rsidRDefault="00EB3B00" w:rsidP="00EB3B00">
            <w:pPr>
              <w:spacing w:after="0"/>
              <w:jc w:val="center"/>
              <w:rPr>
                <w:rFonts w:cstheme="minorHAnsi"/>
                <w:sz w:val="16"/>
                <w:szCs w:val="16"/>
              </w:rPr>
            </w:pPr>
            <w:r w:rsidRPr="006570DB">
              <w:rPr>
                <w:rFonts w:asciiTheme="minorHAnsi" w:hAnsiTheme="minorHAnsi" w:cstheme="minorHAnsi"/>
                <w:color w:val="000000"/>
                <w:sz w:val="16"/>
                <w:szCs w:val="16"/>
              </w:rPr>
              <w:t>2</w:t>
            </w:r>
          </w:p>
        </w:tc>
        <w:tc>
          <w:tcPr>
            <w:tcW w:w="468" w:type="pct"/>
            <w:vAlign w:val="center"/>
          </w:tcPr>
          <w:p w14:paraId="672B7E60"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36" w:type="pct"/>
            <w:vAlign w:val="center"/>
          </w:tcPr>
          <w:p w14:paraId="0A9C1C45"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510" w:type="pct"/>
            <w:vAlign w:val="center"/>
          </w:tcPr>
          <w:p w14:paraId="21F52C0E"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8" w:type="pct"/>
            <w:vAlign w:val="center"/>
          </w:tcPr>
          <w:p w14:paraId="55A7D646"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5" w:type="pct"/>
            <w:vAlign w:val="center"/>
          </w:tcPr>
          <w:p w14:paraId="22D41652" w14:textId="77777777" w:rsidR="00EB3B00" w:rsidRDefault="00EB3B00" w:rsidP="00EB3B00">
            <w:pPr>
              <w:spacing w:after="0"/>
              <w:jc w:val="center"/>
              <w:rPr>
                <w:rFonts w:cstheme="minorHAnsi"/>
                <w:sz w:val="16"/>
                <w:szCs w:val="16"/>
              </w:rPr>
            </w:pPr>
            <w:r>
              <w:rPr>
                <w:rFonts w:cstheme="minorHAnsi"/>
                <w:sz w:val="16"/>
                <w:szCs w:val="16"/>
              </w:rPr>
              <w:t>2</w:t>
            </w:r>
          </w:p>
        </w:tc>
      </w:tr>
      <w:tr w:rsidR="00EB3B00" w:rsidRPr="0067738A" w14:paraId="398EA777" w14:textId="77777777" w:rsidTr="00EB3B00">
        <w:trPr>
          <w:trHeight w:val="340"/>
        </w:trPr>
        <w:tc>
          <w:tcPr>
            <w:tcW w:w="801" w:type="pct"/>
            <w:vAlign w:val="center"/>
          </w:tcPr>
          <w:p w14:paraId="0161FB86" w14:textId="77777777" w:rsidR="00EB3B00" w:rsidRPr="0067738A" w:rsidRDefault="00EB3B00" w:rsidP="00EB3B00">
            <w:pPr>
              <w:spacing w:after="0"/>
              <w:rPr>
                <w:rFonts w:asciiTheme="minorHAnsi" w:hAnsiTheme="minorHAnsi" w:cstheme="minorHAnsi"/>
                <w:sz w:val="16"/>
                <w:szCs w:val="16"/>
              </w:rPr>
            </w:pPr>
            <w:r w:rsidRPr="0067738A">
              <w:rPr>
                <w:rFonts w:asciiTheme="minorHAnsi" w:hAnsiTheme="minorHAnsi" w:cstheme="minorHAnsi"/>
                <w:i/>
                <w:iCs/>
                <w:sz w:val="16"/>
                <w:szCs w:val="16"/>
              </w:rPr>
              <w:t xml:space="preserve">Enterococcus </w:t>
            </w:r>
            <w:r w:rsidRPr="00B31D3C">
              <w:rPr>
                <w:rFonts w:asciiTheme="minorHAnsi" w:hAnsiTheme="minorHAnsi" w:cstheme="minorHAnsi"/>
                <w:iCs/>
                <w:sz w:val="16"/>
                <w:szCs w:val="16"/>
              </w:rPr>
              <w:t>species</w:t>
            </w:r>
          </w:p>
        </w:tc>
        <w:tc>
          <w:tcPr>
            <w:tcW w:w="1475" w:type="pct"/>
            <w:shd w:val="clear" w:color="auto" w:fill="auto"/>
            <w:vAlign w:val="center"/>
            <w:hideMark/>
          </w:tcPr>
          <w:p w14:paraId="26FAF0CA" w14:textId="77777777" w:rsidR="00EB3B00" w:rsidRPr="0067738A" w:rsidRDefault="00EB3B00" w:rsidP="00EB3B00">
            <w:pPr>
              <w:spacing w:after="0"/>
              <w:rPr>
                <w:rFonts w:asciiTheme="minorHAnsi" w:hAnsiTheme="minorHAnsi" w:cstheme="minorHAnsi"/>
                <w:sz w:val="16"/>
                <w:szCs w:val="16"/>
              </w:rPr>
            </w:pPr>
            <w:r w:rsidRPr="0067738A">
              <w:rPr>
                <w:rFonts w:asciiTheme="minorHAnsi" w:hAnsiTheme="minorHAnsi" w:cstheme="minorHAnsi"/>
                <w:sz w:val="16"/>
                <w:szCs w:val="16"/>
              </w:rPr>
              <w:t>Linezolid non-susceptible</w:t>
            </w:r>
          </w:p>
        </w:tc>
        <w:tc>
          <w:tcPr>
            <w:tcW w:w="457" w:type="pct"/>
            <w:vAlign w:val="center"/>
          </w:tcPr>
          <w:p w14:paraId="03F43633" w14:textId="77777777" w:rsidR="00EB3B00" w:rsidRPr="0067738A" w:rsidRDefault="00EB3B00" w:rsidP="00EB3B00">
            <w:pPr>
              <w:spacing w:after="0"/>
              <w:jc w:val="center"/>
              <w:rPr>
                <w:rFonts w:cstheme="minorHAnsi"/>
                <w:sz w:val="16"/>
                <w:szCs w:val="16"/>
              </w:rPr>
            </w:pPr>
            <w:r w:rsidRPr="006570DB">
              <w:rPr>
                <w:rFonts w:asciiTheme="minorHAnsi" w:hAnsiTheme="minorHAnsi" w:cstheme="minorHAnsi"/>
                <w:color w:val="000000"/>
                <w:sz w:val="16"/>
                <w:szCs w:val="16"/>
              </w:rPr>
              <w:t>2</w:t>
            </w:r>
          </w:p>
        </w:tc>
        <w:tc>
          <w:tcPr>
            <w:tcW w:w="468" w:type="pct"/>
            <w:vAlign w:val="center"/>
          </w:tcPr>
          <w:p w14:paraId="4AD00613"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36" w:type="pct"/>
            <w:vAlign w:val="center"/>
          </w:tcPr>
          <w:p w14:paraId="2985EA4C"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510" w:type="pct"/>
            <w:vAlign w:val="center"/>
          </w:tcPr>
          <w:p w14:paraId="117A2A3F"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8" w:type="pct"/>
            <w:vAlign w:val="center"/>
          </w:tcPr>
          <w:p w14:paraId="16B3750D"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5" w:type="pct"/>
            <w:vAlign w:val="center"/>
          </w:tcPr>
          <w:p w14:paraId="7D9E361B" w14:textId="77777777" w:rsidR="00EB3B00" w:rsidRDefault="00EB3B00" w:rsidP="00EB3B00">
            <w:pPr>
              <w:spacing w:after="0"/>
              <w:jc w:val="center"/>
              <w:rPr>
                <w:rFonts w:cstheme="minorHAnsi"/>
                <w:sz w:val="16"/>
                <w:szCs w:val="16"/>
              </w:rPr>
            </w:pPr>
            <w:r>
              <w:rPr>
                <w:rFonts w:cstheme="minorHAnsi"/>
                <w:sz w:val="16"/>
                <w:szCs w:val="16"/>
              </w:rPr>
              <w:t>2</w:t>
            </w:r>
          </w:p>
        </w:tc>
      </w:tr>
      <w:tr w:rsidR="00EB3B00" w:rsidRPr="0067738A" w14:paraId="4E45DDC6" w14:textId="77777777" w:rsidTr="00EB3B00">
        <w:trPr>
          <w:trHeight w:val="340"/>
        </w:trPr>
        <w:tc>
          <w:tcPr>
            <w:tcW w:w="801" w:type="pct"/>
            <w:vAlign w:val="center"/>
          </w:tcPr>
          <w:p w14:paraId="30BB4B3C" w14:textId="77777777" w:rsidR="00EB3B00" w:rsidRPr="0067738A" w:rsidRDefault="00EB3B00" w:rsidP="00EB3B00">
            <w:pPr>
              <w:spacing w:after="0"/>
              <w:rPr>
                <w:rFonts w:asciiTheme="minorHAnsi" w:hAnsiTheme="minorHAnsi" w:cstheme="minorHAnsi"/>
                <w:i/>
                <w:iCs/>
                <w:sz w:val="16"/>
                <w:szCs w:val="16"/>
              </w:rPr>
            </w:pPr>
            <w:r w:rsidRPr="0067738A">
              <w:rPr>
                <w:rFonts w:asciiTheme="minorHAnsi" w:hAnsiTheme="minorHAnsi" w:cstheme="minorHAnsi"/>
                <w:i/>
                <w:iCs/>
                <w:sz w:val="16"/>
                <w:szCs w:val="16"/>
              </w:rPr>
              <w:t>Mycobacterium tuberculosis</w:t>
            </w:r>
          </w:p>
        </w:tc>
        <w:tc>
          <w:tcPr>
            <w:tcW w:w="1475" w:type="pct"/>
            <w:shd w:val="clear" w:color="auto" w:fill="auto"/>
            <w:vAlign w:val="center"/>
            <w:hideMark/>
          </w:tcPr>
          <w:p w14:paraId="1C420FD2" w14:textId="77777777" w:rsidR="00EB3B00" w:rsidRPr="0067738A" w:rsidRDefault="00EB3B00" w:rsidP="00EB3B00">
            <w:pPr>
              <w:spacing w:after="0"/>
              <w:rPr>
                <w:rFonts w:asciiTheme="minorHAnsi" w:hAnsiTheme="minorHAnsi" w:cstheme="minorHAnsi"/>
                <w:sz w:val="16"/>
                <w:szCs w:val="16"/>
              </w:rPr>
            </w:pPr>
            <w:r w:rsidRPr="0067738A">
              <w:rPr>
                <w:rFonts w:asciiTheme="minorHAnsi" w:hAnsiTheme="minorHAnsi" w:cstheme="minorHAnsi"/>
                <w:sz w:val="16"/>
                <w:szCs w:val="16"/>
              </w:rPr>
              <w:t>Multidrug-resistant – at least rifampicin- and isoniazid-resistant strains</w:t>
            </w:r>
          </w:p>
        </w:tc>
        <w:tc>
          <w:tcPr>
            <w:tcW w:w="457" w:type="pct"/>
            <w:vAlign w:val="center"/>
          </w:tcPr>
          <w:p w14:paraId="2D65A8A8" w14:textId="77777777" w:rsidR="00EB3B00" w:rsidRPr="0067738A" w:rsidRDefault="00EB3B00" w:rsidP="00EB3B00">
            <w:pPr>
              <w:spacing w:after="0"/>
              <w:jc w:val="center"/>
              <w:rPr>
                <w:rFonts w:cstheme="minorHAnsi"/>
                <w:sz w:val="16"/>
                <w:szCs w:val="16"/>
              </w:rPr>
            </w:pPr>
            <w:r w:rsidRPr="006570DB">
              <w:rPr>
                <w:rFonts w:asciiTheme="minorHAnsi" w:hAnsiTheme="minorHAnsi" w:cstheme="minorHAnsi"/>
                <w:color w:val="000000"/>
                <w:sz w:val="16"/>
                <w:szCs w:val="16"/>
              </w:rPr>
              <w:t>2</w:t>
            </w:r>
          </w:p>
        </w:tc>
        <w:tc>
          <w:tcPr>
            <w:tcW w:w="468" w:type="pct"/>
            <w:vAlign w:val="center"/>
          </w:tcPr>
          <w:p w14:paraId="300405CE"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36" w:type="pct"/>
            <w:vAlign w:val="center"/>
          </w:tcPr>
          <w:p w14:paraId="255F8255"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510" w:type="pct"/>
            <w:vAlign w:val="center"/>
          </w:tcPr>
          <w:p w14:paraId="5C17D031"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8" w:type="pct"/>
            <w:vAlign w:val="center"/>
          </w:tcPr>
          <w:p w14:paraId="189AD56C"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5" w:type="pct"/>
            <w:vAlign w:val="center"/>
          </w:tcPr>
          <w:p w14:paraId="06FA601D" w14:textId="77777777" w:rsidR="00EB3B00" w:rsidRDefault="00EB3B00" w:rsidP="00EB3B00">
            <w:pPr>
              <w:spacing w:after="0"/>
              <w:jc w:val="center"/>
              <w:rPr>
                <w:rFonts w:cstheme="minorHAnsi"/>
                <w:sz w:val="16"/>
                <w:szCs w:val="16"/>
              </w:rPr>
            </w:pPr>
            <w:r>
              <w:rPr>
                <w:rFonts w:cstheme="minorHAnsi"/>
                <w:sz w:val="16"/>
                <w:szCs w:val="16"/>
              </w:rPr>
              <w:t>2</w:t>
            </w:r>
          </w:p>
        </w:tc>
      </w:tr>
      <w:tr w:rsidR="00EB3B00" w:rsidRPr="0067738A" w14:paraId="1EA397D1" w14:textId="77777777" w:rsidTr="00EB3B00">
        <w:trPr>
          <w:trHeight w:val="340"/>
        </w:trPr>
        <w:tc>
          <w:tcPr>
            <w:tcW w:w="801" w:type="pct"/>
            <w:vMerge w:val="restart"/>
            <w:shd w:val="clear" w:color="auto" w:fill="auto"/>
            <w:vAlign w:val="center"/>
          </w:tcPr>
          <w:p w14:paraId="6959D955" w14:textId="77777777" w:rsidR="00EB3B00" w:rsidRPr="0067738A" w:rsidRDefault="00EB3B00" w:rsidP="00EB3B00">
            <w:pPr>
              <w:spacing w:after="0"/>
              <w:rPr>
                <w:rFonts w:asciiTheme="minorHAnsi" w:hAnsiTheme="minorHAnsi" w:cstheme="minorHAnsi"/>
                <w:bCs/>
                <w:i/>
                <w:iCs/>
                <w:sz w:val="16"/>
                <w:szCs w:val="16"/>
              </w:rPr>
            </w:pPr>
            <w:r w:rsidRPr="0067738A">
              <w:rPr>
                <w:rFonts w:asciiTheme="minorHAnsi" w:hAnsiTheme="minorHAnsi" w:cstheme="minorHAnsi"/>
                <w:i/>
                <w:iCs/>
                <w:sz w:val="16"/>
                <w:szCs w:val="16"/>
              </w:rPr>
              <w:t>Neisseria gonorrhoeae</w:t>
            </w:r>
          </w:p>
        </w:tc>
        <w:tc>
          <w:tcPr>
            <w:tcW w:w="1475" w:type="pct"/>
            <w:shd w:val="clear" w:color="auto" w:fill="auto"/>
            <w:vAlign w:val="center"/>
            <w:hideMark/>
          </w:tcPr>
          <w:p w14:paraId="36F37B01" w14:textId="77777777" w:rsidR="00EB3B00" w:rsidRPr="0067738A" w:rsidRDefault="00EB3B00" w:rsidP="00EB3B00">
            <w:pPr>
              <w:spacing w:after="0"/>
              <w:rPr>
                <w:rFonts w:asciiTheme="minorHAnsi" w:hAnsiTheme="minorHAnsi" w:cstheme="minorHAnsi"/>
                <w:sz w:val="16"/>
                <w:szCs w:val="16"/>
              </w:rPr>
            </w:pPr>
            <w:r w:rsidRPr="0067738A">
              <w:rPr>
                <w:rFonts w:asciiTheme="minorHAnsi" w:hAnsiTheme="minorHAnsi" w:cstheme="minorHAnsi"/>
                <w:sz w:val="16"/>
                <w:szCs w:val="16"/>
              </w:rPr>
              <w:t>Azithromycin non-susceptible (LLR &lt; 256 mg/L)</w:t>
            </w:r>
          </w:p>
        </w:tc>
        <w:tc>
          <w:tcPr>
            <w:tcW w:w="457" w:type="pct"/>
            <w:vAlign w:val="center"/>
          </w:tcPr>
          <w:p w14:paraId="35C2A922" w14:textId="3320CD38" w:rsidR="00EB3B00" w:rsidRPr="0067738A" w:rsidRDefault="00EB3B00" w:rsidP="00EB3B00">
            <w:pPr>
              <w:spacing w:after="0"/>
              <w:jc w:val="center"/>
              <w:rPr>
                <w:rFonts w:cstheme="minorHAnsi"/>
                <w:sz w:val="16"/>
                <w:szCs w:val="16"/>
              </w:rPr>
            </w:pPr>
            <w:r w:rsidRPr="006570DB">
              <w:rPr>
                <w:rFonts w:asciiTheme="minorHAnsi" w:hAnsiTheme="minorHAnsi" w:cstheme="minorHAnsi"/>
                <w:color w:val="000000"/>
                <w:sz w:val="16"/>
                <w:szCs w:val="16"/>
              </w:rPr>
              <w:t>30</w:t>
            </w:r>
            <w:r w:rsidR="007268C6">
              <w:rPr>
                <w:rFonts w:asciiTheme="minorHAnsi" w:hAnsiTheme="minorHAnsi" w:cstheme="minorHAnsi"/>
                <w:color w:val="000000"/>
                <w:sz w:val="16"/>
                <w:szCs w:val="16"/>
              </w:rPr>
              <w:t>*</w:t>
            </w:r>
          </w:p>
        </w:tc>
        <w:tc>
          <w:tcPr>
            <w:tcW w:w="468" w:type="pct"/>
            <w:vAlign w:val="center"/>
          </w:tcPr>
          <w:p w14:paraId="07DF5A0B"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36" w:type="pct"/>
            <w:vAlign w:val="center"/>
          </w:tcPr>
          <w:p w14:paraId="1E8DFF90"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510" w:type="pct"/>
            <w:vAlign w:val="center"/>
          </w:tcPr>
          <w:p w14:paraId="4891E731" w14:textId="77777777" w:rsidR="00EB3B00" w:rsidRPr="0067738A" w:rsidRDefault="00EB3B00" w:rsidP="00EB3B00">
            <w:pPr>
              <w:spacing w:after="0"/>
              <w:jc w:val="center"/>
              <w:rPr>
                <w:rFonts w:cstheme="minorHAnsi"/>
                <w:sz w:val="16"/>
                <w:szCs w:val="16"/>
              </w:rPr>
            </w:pPr>
            <w:r w:rsidRPr="006570DB">
              <w:rPr>
                <w:rFonts w:asciiTheme="minorHAnsi" w:hAnsiTheme="minorHAnsi" w:cstheme="minorHAnsi"/>
                <w:color w:val="000000"/>
                <w:sz w:val="16"/>
                <w:szCs w:val="16"/>
              </w:rPr>
              <w:t>39</w:t>
            </w:r>
          </w:p>
        </w:tc>
        <w:tc>
          <w:tcPr>
            <w:tcW w:w="428" w:type="pct"/>
            <w:vAlign w:val="center"/>
          </w:tcPr>
          <w:p w14:paraId="205F1F44" w14:textId="77777777" w:rsidR="00EB3B00" w:rsidRPr="0067738A" w:rsidRDefault="00EB3B00" w:rsidP="00EB3B00">
            <w:pPr>
              <w:spacing w:after="0"/>
              <w:jc w:val="center"/>
              <w:rPr>
                <w:rFonts w:cstheme="minorHAnsi"/>
                <w:sz w:val="16"/>
                <w:szCs w:val="16"/>
              </w:rPr>
            </w:pPr>
            <w:r w:rsidRPr="006570DB">
              <w:rPr>
                <w:rFonts w:asciiTheme="minorHAnsi" w:hAnsiTheme="minorHAnsi" w:cstheme="minorHAnsi"/>
                <w:color w:val="000000"/>
                <w:sz w:val="16"/>
                <w:szCs w:val="16"/>
              </w:rPr>
              <w:t>2</w:t>
            </w:r>
          </w:p>
        </w:tc>
        <w:tc>
          <w:tcPr>
            <w:tcW w:w="425" w:type="pct"/>
            <w:vAlign w:val="center"/>
          </w:tcPr>
          <w:p w14:paraId="7C3F2CB8" w14:textId="77777777" w:rsidR="00EB3B00" w:rsidRPr="006570DB" w:rsidRDefault="00EB3B00" w:rsidP="00EB3B00">
            <w:pPr>
              <w:spacing w:after="0"/>
              <w:jc w:val="center"/>
              <w:rPr>
                <w:rFonts w:cstheme="minorHAnsi"/>
                <w:color w:val="000000"/>
                <w:sz w:val="16"/>
                <w:szCs w:val="16"/>
              </w:rPr>
            </w:pPr>
            <w:r>
              <w:rPr>
                <w:rFonts w:cstheme="minorHAnsi"/>
                <w:color w:val="000000"/>
                <w:sz w:val="16"/>
                <w:szCs w:val="16"/>
              </w:rPr>
              <w:t>71</w:t>
            </w:r>
          </w:p>
        </w:tc>
      </w:tr>
      <w:tr w:rsidR="00EB3B00" w:rsidRPr="0067738A" w14:paraId="578C6284" w14:textId="77777777" w:rsidTr="00EB3B00">
        <w:trPr>
          <w:trHeight w:val="340"/>
        </w:trPr>
        <w:tc>
          <w:tcPr>
            <w:tcW w:w="801" w:type="pct"/>
            <w:vMerge/>
            <w:shd w:val="clear" w:color="auto" w:fill="auto"/>
            <w:vAlign w:val="center"/>
          </w:tcPr>
          <w:p w14:paraId="0503E1E7" w14:textId="77777777" w:rsidR="00EB3B00" w:rsidRPr="0067738A" w:rsidRDefault="00EB3B00" w:rsidP="00EB3B00">
            <w:pPr>
              <w:spacing w:after="0"/>
              <w:rPr>
                <w:rFonts w:asciiTheme="minorHAnsi" w:hAnsiTheme="minorHAnsi" w:cstheme="minorHAnsi"/>
                <w:i/>
                <w:iCs/>
                <w:sz w:val="16"/>
                <w:szCs w:val="16"/>
              </w:rPr>
            </w:pPr>
          </w:p>
        </w:tc>
        <w:tc>
          <w:tcPr>
            <w:tcW w:w="1475" w:type="pct"/>
            <w:shd w:val="clear" w:color="auto" w:fill="auto"/>
            <w:vAlign w:val="center"/>
          </w:tcPr>
          <w:p w14:paraId="00FE1E82" w14:textId="77777777" w:rsidR="00EB3B00" w:rsidRPr="0067738A" w:rsidRDefault="00EB3B00" w:rsidP="00EB3B00">
            <w:pPr>
              <w:spacing w:after="0"/>
              <w:rPr>
                <w:rFonts w:asciiTheme="minorHAnsi" w:hAnsiTheme="minorHAnsi" w:cstheme="minorHAnsi"/>
                <w:sz w:val="16"/>
                <w:szCs w:val="16"/>
              </w:rPr>
            </w:pPr>
            <w:r w:rsidRPr="0067738A">
              <w:rPr>
                <w:rFonts w:asciiTheme="minorHAnsi" w:hAnsiTheme="minorHAnsi" w:cstheme="minorHAnsi"/>
                <w:sz w:val="16"/>
                <w:szCs w:val="16"/>
              </w:rPr>
              <w:t>Azithromycin non-susceptible (HLR &gt; 256 mg/L</w:t>
            </w:r>
          </w:p>
        </w:tc>
        <w:tc>
          <w:tcPr>
            <w:tcW w:w="457" w:type="pct"/>
            <w:vAlign w:val="center"/>
          </w:tcPr>
          <w:p w14:paraId="2FE50E8F"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68" w:type="pct"/>
            <w:vAlign w:val="center"/>
          </w:tcPr>
          <w:p w14:paraId="016C59AC"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36" w:type="pct"/>
            <w:vAlign w:val="center"/>
          </w:tcPr>
          <w:p w14:paraId="34B8D2AC"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510" w:type="pct"/>
            <w:vAlign w:val="center"/>
          </w:tcPr>
          <w:p w14:paraId="3176CEA4"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8" w:type="pct"/>
            <w:vAlign w:val="center"/>
          </w:tcPr>
          <w:p w14:paraId="35E22F1D"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5" w:type="pct"/>
            <w:vAlign w:val="center"/>
          </w:tcPr>
          <w:p w14:paraId="41363497" w14:textId="77777777" w:rsidR="00EB3B00" w:rsidRDefault="00EB3B00" w:rsidP="00EB3B00">
            <w:pPr>
              <w:spacing w:after="0"/>
              <w:jc w:val="center"/>
              <w:rPr>
                <w:rFonts w:cstheme="minorHAnsi"/>
                <w:sz w:val="16"/>
                <w:szCs w:val="16"/>
              </w:rPr>
            </w:pPr>
            <w:r>
              <w:rPr>
                <w:rFonts w:cstheme="minorHAnsi"/>
                <w:sz w:val="16"/>
                <w:szCs w:val="16"/>
              </w:rPr>
              <w:t>0</w:t>
            </w:r>
          </w:p>
        </w:tc>
      </w:tr>
      <w:tr w:rsidR="00EB3B00" w:rsidRPr="0067738A" w14:paraId="23D1FDD6" w14:textId="77777777" w:rsidTr="00EB3B00">
        <w:trPr>
          <w:trHeight w:val="340"/>
        </w:trPr>
        <w:tc>
          <w:tcPr>
            <w:tcW w:w="801" w:type="pct"/>
            <w:vMerge/>
            <w:shd w:val="clear" w:color="auto" w:fill="auto"/>
            <w:vAlign w:val="center"/>
          </w:tcPr>
          <w:p w14:paraId="3FAC3DBE" w14:textId="77777777" w:rsidR="00EB3B00" w:rsidRPr="0067738A" w:rsidRDefault="00EB3B00" w:rsidP="00EB3B00">
            <w:pPr>
              <w:spacing w:after="0"/>
              <w:rPr>
                <w:rFonts w:cstheme="minorHAnsi"/>
                <w:i/>
                <w:iCs/>
                <w:sz w:val="16"/>
                <w:szCs w:val="16"/>
              </w:rPr>
            </w:pPr>
          </w:p>
        </w:tc>
        <w:tc>
          <w:tcPr>
            <w:tcW w:w="1475" w:type="pct"/>
            <w:shd w:val="clear" w:color="auto" w:fill="auto"/>
            <w:vAlign w:val="center"/>
          </w:tcPr>
          <w:p w14:paraId="4DC9690E" w14:textId="77777777" w:rsidR="00EB3B00" w:rsidRPr="0067738A" w:rsidRDefault="00EB3B00" w:rsidP="00EB3B00">
            <w:pPr>
              <w:spacing w:after="0"/>
              <w:rPr>
                <w:rFonts w:cstheme="minorHAnsi"/>
                <w:sz w:val="16"/>
                <w:szCs w:val="16"/>
              </w:rPr>
            </w:pPr>
            <w:r w:rsidRPr="0067738A">
              <w:rPr>
                <w:rFonts w:asciiTheme="minorHAnsi" w:hAnsiTheme="minorHAnsi" w:cstheme="minorHAnsi"/>
                <w:sz w:val="16"/>
                <w:szCs w:val="16"/>
              </w:rPr>
              <w:t xml:space="preserve">Ceftriaxone non-susceptible </w:t>
            </w:r>
          </w:p>
        </w:tc>
        <w:tc>
          <w:tcPr>
            <w:tcW w:w="457" w:type="pct"/>
            <w:vAlign w:val="center"/>
          </w:tcPr>
          <w:p w14:paraId="42D01F6B"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68" w:type="pct"/>
            <w:vAlign w:val="center"/>
          </w:tcPr>
          <w:p w14:paraId="455223D6"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36" w:type="pct"/>
            <w:vAlign w:val="center"/>
          </w:tcPr>
          <w:p w14:paraId="7B35AC05"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510" w:type="pct"/>
            <w:vAlign w:val="center"/>
          </w:tcPr>
          <w:p w14:paraId="55152F81"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8" w:type="pct"/>
            <w:vAlign w:val="center"/>
          </w:tcPr>
          <w:p w14:paraId="28CC5316"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5" w:type="pct"/>
            <w:vAlign w:val="center"/>
          </w:tcPr>
          <w:p w14:paraId="419C4A0F" w14:textId="77777777" w:rsidR="00EB3B00" w:rsidRDefault="00EB3B00" w:rsidP="00EB3B00">
            <w:pPr>
              <w:spacing w:after="0"/>
              <w:jc w:val="center"/>
              <w:rPr>
                <w:rFonts w:cstheme="minorHAnsi"/>
                <w:sz w:val="16"/>
                <w:szCs w:val="16"/>
              </w:rPr>
            </w:pPr>
            <w:r>
              <w:rPr>
                <w:rFonts w:cstheme="minorHAnsi"/>
                <w:sz w:val="16"/>
                <w:szCs w:val="16"/>
              </w:rPr>
              <w:t>0</w:t>
            </w:r>
          </w:p>
        </w:tc>
      </w:tr>
      <w:tr w:rsidR="00EB3B00" w:rsidRPr="0067738A" w14:paraId="47FF89DD" w14:textId="77777777" w:rsidTr="00EB3B00">
        <w:trPr>
          <w:trHeight w:val="340"/>
        </w:trPr>
        <w:tc>
          <w:tcPr>
            <w:tcW w:w="801" w:type="pct"/>
            <w:vMerge/>
            <w:shd w:val="clear" w:color="auto" w:fill="auto"/>
            <w:vAlign w:val="center"/>
          </w:tcPr>
          <w:p w14:paraId="4A03D328" w14:textId="77777777" w:rsidR="00EB3B00" w:rsidRPr="0067738A" w:rsidRDefault="00EB3B00" w:rsidP="00EB3B00">
            <w:pPr>
              <w:spacing w:after="0"/>
              <w:rPr>
                <w:rFonts w:asciiTheme="minorHAnsi" w:hAnsiTheme="minorHAnsi" w:cstheme="minorHAnsi"/>
                <w:i/>
                <w:iCs/>
                <w:sz w:val="16"/>
                <w:szCs w:val="16"/>
              </w:rPr>
            </w:pPr>
          </w:p>
        </w:tc>
        <w:tc>
          <w:tcPr>
            <w:tcW w:w="1475" w:type="pct"/>
            <w:shd w:val="clear" w:color="auto" w:fill="auto"/>
            <w:vAlign w:val="center"/>
          </w:tcPr>
          <w:p w14:paraId="0FC88C43" w14:textId="07580B13" w:rsidR="00EB3B00" w:rsidRPr="0067738A" w:rsidRDefault="00EB3B00" w:rsidP="00EB3B00">
            <w:pPr>
              <w:spacing w:after="0"/>
              <w:rPr>
                <w:rFonts w:asciiTheme="minorHAnsi" w:hAnsiTheme="minorHAnsi" w:cstheme="minorHAnsi"/>
                <w:sz w:val="16"/>
                <w:szCs w:val="16"/>
              </w:rPr>
            </w:pPr>
            <w:r w:rsidRPr="0067738A">
              <w:rPr>
                <w:rFonts w:asciiTheme="minorHAnsi" w:hAnsiTheme="minorHAnsi" w:cstheme="minorHAnsi"/>
                <w:sz w:val="16"/>
                <w:szCs w:val="16"/>
              </w:rPr>
              <w:t>Ceftriaxone non-suscep</w:t>
            </w:r>
            <w:r w:rsidR="00D10523">
              <w:rPr>
                <w:rFonts w:asciiTheme="minorHAnsi" w:hAnsiTheme="minorHAnsi" w:cstheme="minorHAnsi"/>
                <w:sz w:val="16"/>
                <w:szCs w:val="16"/>
              </w:rPr>
              <w:t>tible and azithromycin non-susceptible</w:t>
            </w:r>
            <w:r w:rsidRPr="0067738A">
              <w:rPr>
                <w:rFonts w:asciiTheme="minorHAnsi" w:hAnsiTheme="minorHAnsi" w:cstheme="minorHAnsi"/>
                <w:sz w:val="16"/>
                <w:szCs w:val="16"/>
              </w:rPr>
              <w:t xml:space="preserve"> (LLR &lt; 256 mg/L)</w:t>
            </w:r>
          </w:p>
        </w:tc>
        <w:tc>
          <w:tcPr>
            <w:tcW w:w="457" w:type="pct"/>
            <w:vAlign w:val="center"/>
          </w:tcPr>
          <w:p w14:paraId="1BB99AF1"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68" w:type="pct"/>
            <w:vAlign w:val="center"/>
          </w:tcPr>
          <w:p w14:paraId="3A79D6A9"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36" w:type="pct"/>
            <w:vAlign w:val="center"/>
          </w:tcPr>
          <w:p w14:paraId="6F2CD354"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510" w:type="pct"/>
            <w:vAlign w:val="center"/>
          </w:tcPr>
          <w:p w14:paraId="25B437BA"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8" w:type="pct"/>
            <w:vAlign w:val="center"/>
          </w:tcPr>
          <w:p w14:paraId="0DCA97F1"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5" w:type="pct"/>
            <w:vAlign w:val="center"/>
          </w:tcPr>
          <w:p w14:paraId="3033A2F6" w14:textId="77777777" w:rsidR="00EB3B00" w:rsidRDefault="00EB3B00" w:rsidP="00EB3B00">
            <w:pPr>
              <w:spacing w:after="0"/>
              <w:jc w:val="center"/>
              <w:rPr>
                <w:rFonts w:cstheme="minorHAnsi"/>
                <w:sz w:val="16"/>
                <w:szCs w:val="16"/>
              </w:rPr>
            </w:pPr>
            <w:r>
              <w:rPr>
                <w:rFonts w:cstheme="minorHAnsi"/>
                <w:sz w:val="16"/>
                <w:szCs w:val="16"/>
              </w:rPr>
              <w:t>0</w:t>
            </w:r>
          </w:p>
        </w:tc>
      </w:tr>
      <w:tr w:rsidR="00EB3B00" w:rsidRPr="0067738A" w14:paraId="4C026D0A" w14:textId="77777777" w:rsidTr="00EB3B00">
        <w:trPr>
          <w:trHeight w:val="340"/>
        </w:trPr>
        <w:tc>
          <w:tcPr>
            <w:tcW w:w="801" w:type="pct"/>
            <w:vMerge/>
            <w:shd w:val="clear" w:color="auto" w:fill="auto"/>
            <w:vAlign w:val="center"/>
          </w:tcPr>
          <w:p w14:paraId="3158BC9A" w14:textId="77777777" w:rsidR="00EB3B00" w:rsidRPr="0067738A" w:rsidRDefault="00EB3B00" w:rsidP="00EB3B00">
            <w:pPr>
              <w:spacing w:after="0"/>
              <w:rPr>
                <w:rFonts w:asciiTheme="minorHAnsi" w:hAnsiTheme="minorHAnsi" w:cstheme="minorHAnsi"/>
                <w:i/>
                <w:iCs/>
                <w:sz w:val="16"/>
                <w:szCs w:val="16"/>
              </w:rPr>
            </w:pPr>
          </w:p>
        </w:tc>
        <w:tc>
          <w:tcPr>
            <w:tcW w:w="1475" w:type="pct"/>
            <w:shd w:val="clear" w:color="auto" w:fill="auto"/>
            <w:vAlign w:val="center"/>
          </w:tcPr>
          <w:p w14:paraId="34482734" w14:textId="203159A9" w:rsidR="00EB3B00" w:rsidRPr="0067738A" w:rsidRDefault="00EB3B00" w:rsidP="00EB3B00">
            <w:pPr>
              <w:spacing w:after="0"/>
              <w:rPr>
                <w:rFonts w:asciiTheme="minorHAnsi" w:hAnsiTheme="minorHAnsi" w:cstheme="minorHAnsi"/>
                <w:sz w:val="16"/>
                <w:szCs w:val="16"/>
              </w:rPr>
            </w:pPr>
            <w:r w:rsidRPr="0067738A">
              <w:rPr>
                <w:rFonts w:asciiTheme="minorHAnsi" w:hAnsiTheme="minorHAnsi" w:cstheme="minorHAnsi"/>
                <w:sz w:val="16"/>
                <w:szCs w:val="16"/>
              </w:rPr>
              <w:t>Ceftriaxone non-suscep</w:t>
            </w:r>
            <w:r w:rsidR="00D10523">
              <w:rPr>
                <w:rFonts w:asciiTheme="minorHAnsi" w:hAnsiTheme="minorHAnsi" w:cstheme="minorHAnsi"/>
                <w:sz w:val="16"/>
                <w:szCs w:val="16"/>
              </w:rPr>
              <w:t>tible and azithromycin non-susceptible</w:t>
            </w:r>
            <w:r w:rsidRPr="0067738A">
              <w:rPr>
                <w:rFonts w:asciiTheme="minorHAnsi" w:hAnsiTheme="minorHAnsi" w:cstheme="minorHAnsi"/>
                <w:sz w:val="16"/>
                <w:szCs w:val="16"/>
              </w:rPr>
              <w:t xml:space="preserve"> (HLR &gt; 256 mg/L)</w:t>
            </w:r>
          </w:p>
        </w:tc>
        <w:tc>
          <w:tcPr>
            <w:tcW w:w="457" w:type="pct"/>
            <w:vAlign w:val="center"/>
          </w:tcPr>
          <w:p w14:paraId="4F14C5C3"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68" w:type="pct"/>
            <w:vAlign w:val="center"/>
          </w:tcPr>
          <w:p w14:paraId="6AF3BBCE"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36" w:type="pct"/>
            <w:vAlign w:val="center"/>
          </w:tcPr>
          <w:p w14:paraId="2378B23E"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510" w:type="pct"/>
            <w:vAlign w:val="center"/>
          </w:tcPr>
          <w:p w14:paraId="685AB748"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8" w:type="pct"/>
            <w:vAlign w:val="center"/>
          </w:tcPr>
          <w:p w14:paraId="7B363F49"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5" w:type="pct"/>
            <w:vAlign w:val="center"/>
          </w:tcPr>
          <w:p w14:paraId="6B26D691" w14:textId="77777777" w:rsidR="00EB3B00" w:rsidRDefault="00EB3B00" w:rsidP="00EB3B00">
            <w:pPr>
              <w:spacing w:after="0"/>
              <w:jc w:val="center"/>
              <w:rPr>
                <w:rFonts w:cstheme="minorHAnsi"/>
                <w:sz w:val="16"/>
                <w:szCs w:val="16"/>
              </w:rPr>
            </w:pPr>
            <w:r>
              <w:rPr>
                <w:rFonts w:cstheme="minorHAnsi"/>
                <w:sz w:val="16"/>
                <w:szCs w:val="16"/>
              </w:rPr>
              <w:t>0</w:t>
            </w:r>
          </w:p>
        </w:tc>
      </w:tr>
      <w:tr w:rsidR="00EB3B00" w:rsidRPr="0067738A" w14:paraId="2D38A539" w14:textId="77777777" w:rsidTr="00EB3B00">
        <w:trPr>
          <w:trHeight w:val="340"/>
        </w:trPr>
        <w:tc>
          <w:tcPr>
            <w:tcW w:w="801" w:type="pct"/>
            <w:shd w:val="clear" w:color="auto" w:fill="auto"/>
            <w:vAlign w:val="center"/>
          </w:tcPr>
          <w:p w14:paraId="141DF5EC" w14:textId="77777777" w:rsidR="00EB3B00" w:rsidRPr="0067738A" w:rsidRDefault="00EB3B00" w:rsidP="00EB3B00">
            <w:pPr>
              <w:spacing w:after="0"/>
              <w:rPr>
                <w:rFonts w:asciiTheme="minorHAnsi" w:hAnsiTheme="minorHAnsi" w:cstheme="minorHAnsi"/>
                <w:bCs/>
                <w:i/>
                <w:iCs/>
                <w:sz w:val="16"/>
                <w:szCs w:val="16"/>
              </w:rPr>
            </w:pPr>
            <w:r w:rsidRPr="0067738A">
              <w:rPr>
                <w:rFonts w:asciiTheme="minorHAnsi" w:hAnsiTheme="minorHAnsi" w:cstheme="minorHAnsi"/>
                <w:i/>
                <w:iCs/>
                <w:sz w:val="16"/>
                <w:szCs w:val="16"/>
              </w:rPr>
              <w:t xml:space="preserve">Salmonella </w:t>
            </w:r>
            <w:r w:rsidRPr="0067738A">
              <w:rPr>
                <w:rFonts w:asciiTheme="minorHAnsi" w:hAnsiTheme="minorHAnsi" w:cstheme="minorHAnsi"/>
                <w:sz w:val="16"/>
                <w:szCs w:val="16"/>
              </w:rPr>
              <w:t>species</w:t>
            </w:r>
          </w:p>
        </w:tc>
        <w:tc>
          <w:tcPr>
            <w:tcW w:w="1475" w:type="pct"/>
            <w:shd w:val="clear" w:color="auto" w:fill="auto"/>
            <w:vAlign w:val="center"/>
            <w:hideMark/>
          </w:tcPr>
          <w:p w14:paraId="5C7017AE" w14:textId="77777777" w:rsidR="00EB3B00" w:rsidRPr="0067738A" w:rsidRDefault="00EB3B00" w:rsidP="00EB3B00">
            <w:pPr>
              <w:spacing w:after="0"/>
              <w:rPr>
                <w:rFonts w:asciiTheme="minorHAnsi" w:hAnsiTheme="minorHAnsi" w:cstheme="minorHAnsi"/>
                <w:sz w:val="16"/>
                <w:szCs w:val="16"/>
              </w:rPr>
            </w:pPr>
            <w:r w:rsidRPr="0067738A">
              <w:rPr>
                <w:rFonts w:asciiTheme="minorHAnsi" w:hAnsiTheme="minorHAnsi" w:cstheme="minorHAnsi"/>
                <w:sz w:val="16"/>
                <w:szCs w:val="16"/>
              </w:rPr>
              <w:t xml:space="preserve">Ceftriaxone non-susceptible </w:t>
            </w:r>
          </w:p>
        </w:tc>
        <w:tc>
          <w:tcPr>
            <w:tcW w:w="457" w:type="pct"/>
            <w:vAlign w:val="center"/>
          </w:tcPr>
          <w:p w14:paraId="534949D9" w14:textId="77777777" w:rsidR="00EB3B00" w:rsidRPr="0067738A" w:rsidRDefault="00EB3B00" w:rsidP="00EB3B00">
            <w:pPr>
              <w:spacing w:after="0"/>
              <w:jc w:val="center"/>
              <w:rPr>
                <w:rFonts w:cstheme="minorHAnsi"/>
                <w:sz w:val="16"/>
                <w:szCs w:val="16"/>
              </w:rPr>
            </w:pPr>
            <w:r w:rsidRPr="006570DB">
              <w:rPr>
                <w:rFonts w:asciiTheme="minorHAnsi" w:hAnsiTheme="minorHAnsi" w:cstheme="minorHAnsi"/>
                <w:color w:val="000000"/>
                <w:sz w:val="16"/>
                <w:szCs w:val="16"/>
              </w:rPr>
              <w:t>3</w:t>
            </w:r>
          </w:p>
        </w:tc>
        <w:tc>
          <w:tcPr>
            <w:tcW w:w="468" w:type="pct"/>
            <w:vAlign w:val="center"/>
          </w:tcPr>
          <w:p w14:paraId="3DA2E94B"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36" w:type="pct"/>
            <w:vAlign w:val="center"/>
          </w:tcPr>
          <w:p w14:paraId="2DDCA575"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510" w:type="pct"/>
            <w:vAlign w:val="center"/>
          </w:tcPr>
          <w:p w14:paraId="04C450B9" w14:textId="77777777" w:rsidR="00EB3B00" w:rsidRPr="0067738A" w:rsidRDefault="00EB3B00" w:rsidP="00EB3B00">
            <w:pPr>
              <w:spacing w:after="0"/>
              <w:jc w:val="center"/>
              <w:rPr>
                <w:rFonts w:cstheme="minorHAnsi"/>
                <w:sz w:val="16"/>
                <w:szCs w:val="16"/>
              </w:rPr>
            </w:pPr>
            <w:r w:rsidRPr="006570DB">
              <w:rPr>
                <w:rFonts w:asciiTheme="minorHAnsi" w:hAnsiTheme="minorHAnsi" w:cstheme="minorHAnsi"/>
                <w:color w:val="000000"/>
                <w:sz w:val="16"/>
                <w:szCs w:val="16"/>
              </w:rPr>
              <w:t>1</w:t>
            </w:r>
          </w:p>
        </w:tc>
        <w:tc>
          <w:tcPr>
            <w:tcW w:w="428" w:type="pct"/>
            <w:vAlign w:val="center"/>
          </w:tcPr>
          <w:p w14:paraId="7A598D2A"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5" w:type="pct"/>
            <w:vAlign w:val="center"/>
          </w:tcPr>
          <w:p w14:paraId="58897ACB" w14:textId="77777777" w:rsidR="00EB3B00" w:rsidRDefault="00EB3B00" w:rsidP="00EB3B00">
            <w:pPr>
              <w:spacing w:after="0"/>
              <w:jc w:val="center"/>
              <w:rPr>
                <w:rFonts w:cstheme="minorHAnsi"/>
                <w:sz w:val="16"/>
                <w:szCs w:val="16"/>
              </w:rPr>
            </w:pPr>
            <w:r>
              <w:rPr>
                <w:rFonts w:cstheme="minorHAnsi"/>
                <w:sz w:val="16"/>
                <w:szCs w:val="16"/>
              </w:rPr>
              <w:t>4</w:t>
            </w:r>
          </w:p>
        </w:tc>
      </w:tr>
      <w:tr w:rsidR="00EB3B00" w:rsidRPr="0067738A" w14:paraId="700B8798" w14:textId="77777777" w:rsidTr="00EB3B00">
        <w:trPr>
          <w:trHeight w:val="340"/>
        </w:trPr>
        <w:tc>
          <w:tcPr>
            <w:tcW w:w="801" w:type="pct"/>
            <w:shd w:val="clear" w:color="auto" w:fill="auto"/>
            <w:vAlign w:val="center"/>
          </w:tcPr>
          <w:p w14:paraId="71274FA0" w14:textId="77777777" w:rsidR="00EB3B00" w:rsidRPr="0067738A" w:rsidRDefault="00EB3B00" w:rsidP="00EB3B00">
            <w:pPr>
              <w:spacing w:after="0"/>
              <w:rPr>
                <w:rFonts w:asciiTheme="minorHAnsi" w:hAnsiTheme="minorHAnsi" w:cstheme="minorHAnsi"/>
                <w:bCs/>
                <w:i/>
                <w:iCs/>
                <w:sz w:val="16"/>
                <w:szCs w:val="16"/>
              </w:rPr>
            </w:pPr>
            <w:r w:rsidRPr="0067738A">
              <w:rPr>
                <w:rFonts w:asciiTheme="minorHAnsi" w:hAnsiTheme="minorHAnsi" w:cstheme="minorHAnsi"/>
                <w:i/>
                <w:iCs/>
                <w:sz w:val="16"/>
                <w:szCs w:val="16"/>
              </w:rPr>
              <w:t xml:space="preserve">Shigella </w:t>
            </w:r>
            <w:r w:rsidRPr="0067738A">
              <w:rPr>
                <w:rFonts w:asciiTheme="minorHAnsi" w:hAnsiTheme="minorHAnsi" w:cstheme="minorHAnsi"/>
                <w:sz w:val="16"/>
                <w:szCs w:val="16"/>
              </w:rPr>
              <w:t>species</w:t>
            </w:r>
          </w:p>
        </w:tc>
        <w:tc>
          <w:tcPr>
            <w:tcW w:w="1475" w:type="pct"/>
            <w:shd w:val="clear" w:color="auto" w:fill="auto"/>
            <w:vAlign w:val="center"/>
            <w:hideMark/>
          </w:tcPr>
          <w:p w14:paraId="0C2697C0" w14:textId="77777777" w:rsidR="00EB3B00" w:rsidRPr="0067738A" w:rsidRDefault="00EB3B00" w:rsidP="00EB3B00">
            <w:pPr>
              <w:spacing w:after="0"/>
              <w:rPr>
                <w:rFonts w:asciiTheme="minorHAnsi" w:hAnsiTheme="minorHAnsi" w:cstheme="minorHAnsi"/>
                <w:sz w:val="16"/>
                <w:szCs w:val="16"/>
              </w:rPr>
            </w:pPr>
            <w:r w:rsidRPr="0067738A">
              <w:rPr>
                <w:rFonts w:asciiTheme="minorHAnsi" w:hAnsiTheme="minorHAnsi" w:cstheme="minorHAnsi"/>
                <w:sz w:val="16"/>
                <w:szCs w:val="16"/>
              </w:rPr>
              <w:t>Multidrug-resistant</w:t>
            </w:r>
          </w:p>
        </w:tc>
        <w:tc>
          <w:tcPr>
            <w:tcW w:w="457" w:type="pct"/>
            <w:vAlign w:val="center"/>
          </w:tcPr>
          <w:p w14:paraId="3F986682"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68" w:type="pct"/>
            <w:vAlign w:val="center"/>
          </w:tcPr>
          <w:p w14:paraId="54A16730" w14:textId="77777777" w:rsidR="00EB3B00" w:rsidRPr="0067738A" w:rsidRDefault="00EB3B00" w:rsidP="00EB3B00">
            <w:pPr>
              <w:spacing w:after="0"/>
              <w:jc w:val="center"/>
              <w:rPr>
                <w:rFonts w:cstheme="minorHAnsi"/>
                <w:sz w:val="16"/>
                <w:szCs w:val="16"/>
              </w:rPr>
            </w:pPr>
            <w:r w:rsidRPr="006570DB">
              <w:rPr>
                <w:rFonts w:asciiTheme="minorHAnsi" w:hAnsiTheme="minorHAnsi" w:cstheme="minorHAnsi"/>
                <w:color w:val="000000"/>
                <w:sz w:val="16"/>
                <w:szCs w:val="16"/>
              </w:rPr>
              <w:t>1</w:t>
            </w:r>
          </w:p>
        </w:tc>
        <w:tc>
          <w:tcPr>
            <w:tcW w:w="436" w:type="pct"/>
            <w:vAlign w:val="center"/>
          </w:tcPr>
          <w:p w14:paraId="4F006DBC"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510" w:type="pct"/>
            <w:vAlign w:val="center"/>
          </w:tcPr>
          <w:p w14:paraId="5E7EA235" w14:textId="77777777" w:rsidR="00EB3B00" w:rsidRPr="0067738A" w:rsidRDefault="00EB3B00" w:rsidP="00EB3B00">
            <w:pPr>
              <w:spacing w:after="0"/>
              <w:jc w:val="center"/>
              <w:rPr>
                <w:rFonts w:cstheme="minorHAnsi"/>
                <w:sz w:val="16"/>
                <w:szCs w:val="16"/>
              </w:rPr>
            </w:pPr>
            <w:r w:rsidRPr="006570DB">
              <w:rPr>
                <w:rFonts w:asciiTheme="minorHAnsi" w:hAnsiTheme="minorHAnsi" w:cstheme="minorHAnsi"/>
                <w:color w:val="000000"/>
                <w:sz w:val="16"/>
                <w:szCs w:val="16"/>
              </w:rPr>
              <w:t>6</w:t>
            </w:r>
          </w:p>
        </w:tc>
        <w:tc>
          <w:tcPr>
            <w:tcW w:w="428" w:type="pct"/>
            <w:vAlign w:val="center"/>
          </w:tcPr>
          <w:p w14:paraId="3B21AE16" w14:textId="77777777" w:rsidR="00EB3B00" w:rsidRPr="0067738A" w:rsidRDefault="00EB3B00" w:rsidP="00EB3B00">
            <w:pPr>
              <w:spacing w:after="0"/>
              <w:jc w:val="center"/>
              <w:rPr>
                <w:rFonts w:cstheme="minorHAnsi"/>
                <w:sz w:val="16"/>
                <w:szCs w:val="16"/>
              </w:rPr>
            </w:pPr>
            <w:r w:rsidRPr="006570DB">
              <w:rPr>
                <w:rFonts w:asciiTheme="minorHAnsi" w:hAnsiTheme="minorHAnsi" w:cstheme="minorHAnsi"/>
                <w:color w:val="000000"/>
                <w:sz w:val="16"/>
                <w:szCs w:val="16"/>
              </w:rPr>
              <w:t>5</w:t>
            </w:r>
          </w:p>
        </w:tc>
        <w:tc>
          <w:tcPr>
            <w:tcW w:w="425" w:type="pct"/>
            <w:vAlign w:val="center"/>
          </w:tcPr>
          <w:p w14:paraId="16204BE0" w14:textId="77777777" w:rsidR="00EB3B00" w:rsidRPr="006570DB" w:rsidRDefault="00EB3B00" w:rsidP="00EB3B00">
            <w:pPr>
              <w:spacing w:after="0"/>
              <w:jc w:val="center"/>
              <w:rPr>
                <w:rFonts w:cstheme="minorHAnsi"/>
                <w:color w:val="000000"/>
                <w:sz w:val="16"/>
                <w:szCs w:val="16"/>
              </w:rPr>
            </w:pPr>
            <w:r>
              <w:rPr>
                <w:rFonts w:cstheme="minorHAnsi"/>
                <w:color w:val="000000"/>
                <w:sz w:val="16"/>
                <w:szCs w:val="16"/>
              </w:rPr>
              <w:t>12</w:t>
            </w:r>
          </w:p>
        </w:tc>
      </w:tr>
      <w:tr w:rsidR="00EB3B00" w:rsidRPr="0067738A" w14:paraId="52D315E4" w14:textId="77777777" w:rsidTr="00EB3B00">
        <w:trPr>
          <w:trHeight w:val="340"/>
        </w:trPr>
        <w:tc>
          <w:tcPr>
            <w:tcW w:w="801" w:type="pct"/>
            <w:shd w:val="clear" w:color="auto" w:fill="auto"/>
            <w:vAlign w:val="center"/>
          </w:tcPr>
          <w:p w14:paraId="055DCD68" w14:textId="77777777" w:rsidR="00EB3B00" w:rsidRPr="0067738A" w:rsidRDefault="00EB3B00" w:rsidP="00EB3B00">
            <w:pPr>
              <w:spacing w:after="0"/>
              <w:rPr>
                <w:rFonts w:cstheme="minorHAnsi"/>
                <w:i/>
                <w:iCs/>
                <w:sz w:val="16"/>
                <w:szCs w:val="16"/>
              </w:rPr>
            </w:pPr>
            <w:r w:rsidRPr="0067738A">
              <w:rPr>
                <w:rFonts w:asciiTheme="minorHAnsi" w:hAnsiTheme="minorHAnsi" w:cstheme="minorHAnsi"/>
                <w:i/>
                <w:iCs/>
                <w:sz w:val="16"/>
                <w:szCs w:val="16"/>
              </w:rPr>
              <w:t>Staphylococcus aureus</w:t>
            </w:r>
          </w:p>
        </w:tc>
        <w:tc>
          <w:tcPr>
            <w:tcW w:w="1475" w:type="pct"/>
            <w:shd w:val="clear" w:color="auto" w:fill="auto"/>
            <w:vAlign w:val="center"/>
          </w:tcPr>
          <w:p w14:paraId="7A9DB391" w14:textId="77777777" w:rsidR="00EB3B00" w:rsidRPr="0067738A" w:rsidRDefault="00EB3B00" w:rsidP="00EB3B00">
            <w:pPr>
              <w:spacing w:after="0"/>
              <w:rPr>
                <w:rFonts w:cstheme="minorHAnsi"/>
                <w:sz w:val="16"/>
                <w:szCs w:val="16"/>
              </w:rPr>
            </w:pPr>
            <w:r w:rsidRPr="0067738A">
              <w:rPr>
                <w:rFonts w:asciiTheme="minorHAnsi" w:hAnsiTheme="minorHAnsi" w:cstheme="minorHAnsi"/>
                <w:sz w:val="16"/>
                <w:szCs w:val="16"/>
              </w:rPr>
              <w:t>Daptomycin non-susceptible</w:t>
            </w:r>
          </w:p>
        </w:tc>
        <w:tc>
          <w:tcPr>
            <w:tcW w:w="457" w:type="pct"/>
            <w:vAlign w:val="center"/>
          </w:tcPr>
          <w:p w14:paraId="0EFEC900" w14:textId="77777777" w:rsidR="00EB3B00" w:rsidRPr="0067738A" w:rsidRDefault="00EB3B00" w:rsidP="00EB3B00">
            <w:pPr>
              <w:spacing w:after="0"/>
              <w:jc w:val="center"/>
              <w:rPr>
                <w:rFonts w:cstheme="minorHAnsi"/>
                <w:sz w:val="16"/>
                <w:szCs w:val="16"/>
              </w:rPr>
            </w:pPr>
            <w:r w:rsidRPr="006570DB">
              <w:rPr>
                <w:rFonts w:asciiTheme="minorHAnsi" w:hAnsiTheme="minorHAnsi" w:cstheme="minorHAnsi"/>
                <w:color w:val="000000"/>
                <w:sz w:val="16"/>
                <w:szCs w:val="16"/>
              </w:rPr>
              <w:t>18</w:t>
            </w:r>
          </w:p>
        </w:tc>
        <w:tc>
          <w:tcPr>
            <w:tcW w:w="468" w:type="pct"/>
            <w:vAlign w:val="center"/>
          </w:tcPr>
          <w:p w14:paraId="5F71BA1F" w14:textId="77777777" w:rsidR="00EB3B00" w:rsidRPr="0067738A" w:rsidRDefault="00EB3B00" w:rsidP="00EB3B00">
            <w:pPr>
              <w:spacing w:after="0"/>
              <w:jc w:val="center"/>
              <w:rPr>
                <w:rFonts w:cstheme="minorHAnsi"/>
                <w:sz w:val="16"/>
                <w:szCs w:val="16"/>
              </w:rPr>
            </w:pPr>
            <w:r w:rsidRPr="006570DB">
              <w:rPr>
                <w:rFonts w:asciiTheme="minorHAnsi" w:hAnsiTheme="minorHAnsi" w:cstheme="minorHAnsi"/>
                <w:color w:val="000000"/>
                <w:sz w:val="16"/>
                <w:szCs w:val="16"/>
              </w:rPr>
              <w:t>1</w:t>
            </w:r>
          </w:p>
        </w:tc>
        <w:tc>
          <w:tcPr>
            <w:tcW w:w="436" w:type="pct"/>
            <w:vAlign w:val="center"/>
          </w:tcPr>
          <w:p w14:paraId="28FE2F26" w14:textId="77777777" w:rsidR="00EB3B00" w:rsidRPr="0067738A" w:rsidRDefault="00EB3B00" w:rsidP="00EB3B00">
            <w:pPr>
              <w:spacing w:after="0"/>
              <w:jc w:val="center"/>
              <w:rPr>
                <w:rFonts w:cstheme="minorHAnsi"/>
                <w:sz w:val="16"/>
                <w:szCs w:val="16"/>
              </w:rPr>
            </w:pPr>
            <w:r w:rsidRPr="006570DB">
              <w:rPr>
                <w:rFonts w:asciiTheme="minorHAnsi" w:hAnsiTheme="minorHAnsi" w:cstheme="minorHAnsi"/>
                <w:color w:val="000000"/>
                <w:sz w:val="16"/>
                <w:szCs w:val="16"/>
              </w:rPr>
              <w:t>3</w:t>
            </w:r>
          </w:p>
        </w:tc>
        <w:tc>
          <w:tcPr>
            <w:tcW w:w="510" w:type="pct"/>
            <w:vAlign w:val="center"/>
          </w:tcPr>
          <w:p w14:paraId="3A639042" w14:textId="77777777" w:rsidR="00EB3B00" w:rsidRPr="0067738A" w:rsidRDefault="00EB3B00" w:rsidP="00EB3B00">
            <w:pPr>
              <w:spacing w:after="0"/>
              <w:jc w:val="center"/>
              <w:rPr>
                <w:rFonts w:cstheme="minorHAnsi"/>
                <w:sz w:val="16"/>
                <w:szCs w:val="16"/>
              </w:rPr>
            </w:pPr>
            <w:r w:rsidRPr="006570DB">
              <w:rPr>
                <w:rFonts w:asciiTheme="minorHAnsi" w:hAnsiTheme="minorHAnsi" w:cstheme="minorHAnsi"/>
                <w:color w:val="000000"/>
                <w:sz w:val="16"/>
                <w:szCs w:val="16"/>
              </w:rPr>
              <w:t>1</w:t>
            </w:r>
          </w:p>
        </w:tc>
        <w:tc>
          <w:tcPr>
            <w:tcW w:w="428" w:type="pct"/>
            <w:vAlign w:val="center"/>
          </w:tcPr>
          <w:p w14:paraId="18A20A72"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5" w:type="pct"/>
            <w:vAlign w:val="center"/>
          </w:tcPr>
          <w:p w14:paraId="1B77826B" w14:textId="77777777" w:rsidR="00EB3B00" w:rsidRDefault="00EB3B00" w:rsidP="00EB3B00">
            <w:pPr>
              <w:spacing w:after="0"/>
              <w:jc w:val="center"/>
              <w:rPr>
                <w:rFonts w:cstheme="minorHAnsi"/>
                <w:sz w:val="16"/>
                <w:szCs w:val="16"/>
              </w:rPr>
            </w:pPr>
            <w:r>
              <w:rPr>
                <w:rFonts w:cstheme="minorHAnsi"/>
                <w:sz w:val="16"/>
                <w:szCs w:val="16"/>
              </w:rPr>
              <w:t>23</w:t>
            </w:r>
          </w:p>
        </w:tc>
      </w:tr>
      <w:tr w:rsidR="00EB3B00" w:rsidRPr="0067738A" w14:paraId="799071BC" w14:textId="77777777" w:rsidTr="00EB3B00">
        <w:trPr>
          <w:trHeight w:val="340"/>
        </w:trPr>
        <w:tc>
          <w:tcPr>
            <w:tcW w:w="801" w:type="pct"/>
            <w:shd w:val="clear" w:color="auto" w:fill="auto"/>
            <w:vAlign w:val="center"/>
          </w:tcPr>
          <w:p w14:paraId="06FBAF90" w14:textId="77777777" w:rsidR="00EB3B00" w:rsidRPr="0067738A" w:rsidRDefault="00EB3B00" w:rsidP="00EB3B00">
            <w:pPr>
              <w:spacing w:after="0"/>
              <w:rPr>
                <w:rFonts w:cstheme="minorHAnsi"/>
                <w:i/>
                <w:iCs/>
                <w:sz w:val="16"/>
                <w:szCs w:val="16"/>
              </w:rPr>
            </w:pPr>
          </w:p>
        </w:tc>
        <w:tc>
          <w:tcPr>
            <w:tcW w:w="1475" w:type="pct"/>
            <w:shd w:val="clear" w:color="auto" w:fill="auto"/>
            <w:vAlign w:val="center"/>
          </w:tcPr>
          <w:p w14:paraId="008AD1BA" w14:textId="77777777" w:rsidR="00EB3B00" w:rsidRPr="0067738A" w:rsidRDefault="00EB3B00" w:rsidP="00EB3B00">
            <w:pPr>
              <w:spacing w:after="0"/>
              <w:rPr>
                <w:rFonts w:cstheme="minorHAnsi"/>
                <w:sz w:val="16"/>
                <w:szCs w:val="16"/>
              </w:rPr>
            </w:pPr>
            <w:r w:rsidRPr="0067738A">
              <w:rPr>
                <w:rFonts w:asciiTheme="minorHAnsi" w:hAnsiTheme="minorHAnsi" w:cstheme="minorHAnsi"/>
                <w:sz w:val="16"/>
                <w:szCs w:val="16"/>
              </w:rPr>
              <w:t>Daptomycin and vancomycin non-susceptible</w:t>
            </w:r>
          </w:p>
        </w:tc>
        <w:tc>
          <w:tcPr>
            <w:tcW w:w="457" w:type="pct"/>
            <w:vAlign w:val="center"/>
          </w:tcPr>
          <w:p w14:paraId="689C78B3" w14:textId="77777777" w:rsidR="00EB3B00" w:rsidRPr="0067738A" w:rsidRDefault="00EB3B00" w:rsidP="00EB3B00">
            <w:pPr>
              <w:spacing w:after="0"/>
              <w:jc w:val="center"/>
              <w:rPr>
                <w:rFonts w:cstheme="minorHAnsi"/>
                <w:sz w:val="16"/>
                <w:szCs w:val="16"/>
              </w:rPr>
            </w:pPr>
            <w:r>
              <w:rPr>
                <w:rFonts w:asciiTheme="minorHAnsi" w:hAnsiTheme="minorHAnsi" w:cstheme="minorHAnsi"/>
                <w:color w:val="000000"/>
                <w:sz w:val="16"/>
                <w:szCs w:val="16"/>
              </w:rPr>
              <w:t>0</w:t>
            </w:r>
          </w:p>
        </w:tc>
        <w:tc>
          <w:tcPr>
            <w:tcW w:w="468" w:type="pct"/>
            <w:vAlign w:val="center"/>
          </w:tcPr>
          <w:p w14:paraId="55CF6AB5" w14:textId="77777777" w:rsidR="00EB3B00" w:rsidRPr="0067738A" w:rsidRDefault="00EB3B00" w:rsidP="00EB3B00">
            <w:pPr>
              <w:spacing w:after="0"/>
              <w:jc w:val="center"/>
              <w:rPr>
                <w:rFonts w:cstheme="minorHAnsi"/>
                <w:sz w:val="16"/>
                <w:szCs w:val="16"/>
              </w:rPr>
            </w:pPr>
            <w:r>
              <w:rPr>
                <w:rFonts w:asciiTheme="minorHAnsi" w:hAnsiTheme="minorHAnsi" w:cstheme="minorHAnsi"/>
                <w:color w:val="000000"/>
                <w:sz w:val="16"/>
                <w:szCs w:val="16"/>
              </w:rPr>
              <w:t>0</w:t>
            </w:r>
          </w:p>
        </w:tc>
        <w:tc>
          <w:tcPr>
            <w:tcW w:w="436" w:type="pct"/>
            <w:vAlign w:val="center"/>
          </w:tcPr>
          <w:p w14:paraId="113D747A" w14:textId="77777777" w:rsidR="00EB3B00" w:rsidRPr="0067738A" w:rsidRDefault="00EB3B00" w:rsidP="00EB3B00">
            <w:pPr>
              <w:spacing w:after="0"/>
              <w:jc w:val="center"/>
              <w:rPr>
                <w:rFonts w:cstheme="minorHAnsi"/>
                <w:sz w:val="16"/>
                <w:szCs w:val="16"/>
              </w:rPr>
            </w:pPr>
            <w:r>
              <w:rPr>
                <w:rFonts w:asciiTheme="minorHAnsi" w:hAnsiTheme="minorHAnsi" w:cstheme="minorHAnsi"/>
                <w:color w:val="000000"/>
                <w:sz w:val="16"/>
                <w:szCs w:val="16"/>
              </w:rPr>
              <w:t>0</w:t>
            </w:r>
          </w:p>
        </w:tc>
        <w:tc>
          <w:tcPr>
            <w:tcW w:w="510" w:type="pct"/>
            <w:vAlign w:val="center"/>
          </w:tcPr>
          <w:p w14:paraId="7DAA342C" w14:textId="77777777" w:rsidR="00EB3B00" w:rsidRPr="0067738A" w:rsidRDefault="00EB3B00" w:rsidP="00EB3B00">
            <w:pPr>
              <w:spacing w:after="0"/>
              <w:jc w:val="center"/>
              <w:rPr>
                <w:rFonts w:cstheme="minorHAnsi"/>
                <w:sz w:val="16"/>
                <w:szCs w:val="16"/>
              </w:rPr>
            </w:pPr>
            <w:r>
              <w:rPr>
                <w:rFonts w:asciiTheme="minorHAnsi" w:hAnsiTheme="minorHAnsi" w:cstheme="minorHAnsi"/>
                <w:color w:val="000000"/>
                <w:sz w:val="16"/>
                <w:szCs w:val="16"/>
              </w:rPr>
              <w:t>0</w:t>
            </w:r>
          </w:p>
        </w:tc>
        <w:tc>
          <w:tcPr>
            <w:tcW w:w="428" w:type="pct"/>
            <w:vAlign w:val="center"/>
          </w:tcPr>
          <w:p w14:paraId="05A0839C"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5" w:type="pct"/>
            <w:vAlign w:val="center"/>
          </w:tcPr>
          <w:p w14:paraId="79E5A24E" w14:textId="77777777" w:rsidR="00EB3B00" w:rsidRDefault="00EB3B00" w:rsidP="00EB3B00">
            <w:pPr>
              <w:spacing w:after="0"/>
              <w:jc w:val="center"/>
              <w:rPr>
                <w:rFonts w:cstheme="minorHAnsi"/>
                <w:sz w:val="16"/>
                <w:szCs w:val="16"/>
              </w:rPr>
            </w:pPr>
            <w:r>
              <w:rPr>
                <w:rFonts w:cstheme="minorHAnsi"/>
                <w:sz w:val="16"/>
                <w:szCs w:val="16"/>
              </w:rPr>
              <w:t>0</w:t>
            </w:r>
          </w:p>
        </w:tc>
      </w:tr>
      <w:tr w:rsidR="00EB3B00" w:rsidRPr="0067738A" w14:paraId="5F40359F" w14:textId="77777777" w:rsidTr="00EB3B00">
        <w:trPr>
          <w:trHeight w:val="340"/>
        </w:trPr>
        <w:tc>
          <w:tcPr>
            <w:tcW w:w="801" w:type="pct"/>
            <w:shd w:val="clear" w:color="auto" w:fill="auto"/>
            <w:vAlign w:val="center"/>
          </w:tcPr>
          <w:p w14:paraId="35682C9D" w14:textId="77777777" w:rsidR="00EB3B00" w:rsidRPr="0067738A" w:rsidRDefault="00EB3B00" w:rsidP="00EB3B00">
            <w:pPr>
              <w:spacing w:after="0"/>
              <w:rPr>
                <w:rFonts w:cstheme="minorHAnsi"/>
                <w:i/>
                <w:iCs/>
                <w:sz w:val="16"/>
                <w:szCs w:val="16"/>
              </w:rPr>
            </w:pPr>
          </w:p>
        </w:tc>
        <w:tc>
          <w:tcPr>
            <w:tcW w:w="1475" w:type="pct"/>
            <w:shd w:val="clear" w:color="auto" w:fill="auto"/>
            <w:vAlign w:val="center"/>
          </w:tcPr>
          <w:p w14:paraId="78844B7D" w14:textId="77777777" w:rsidR="00EB3B00" w:rsidRPr="0067738A" w:rsidRDefault="00EB3B00" w:rsidP="00EB3B00">
            <w:pPr>
              <w:spacing w:after="0"/>
              <w:rPr>
                <w:rFonts w:cstheme="minorHAnsi"/>
                <w:sz w:val="16"/>
                <w:szCs w:val="16"/>
              </w:rPr>
            </w:pPr>
            <w:r w:rsidRPr="0067738A">
              <w:rPr>
                <w:rFonts w:asciiTheme="minorHAnsi" w:hAnsiTheme="minorHAnsi" w:cstheme="minorHAnsi"/>
                <w:sz w:val="16"/>
                <w:szCs w:val="16"/>
              </w:rPr>
              <w:t>Linezolid non-susceptible</w:t>
            </w:r>
          </w:p>
        </w:tc>
        <w:tc>
          <w:tcPr>
            <w:tcW w:w="457" w:type="pct"/>
            <w:vAlign w:val="center"/>
          </w:tcPr>
          <w:p w14:paraId="0650ED0E"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68" w:type="pct"/>
            <w:vAlign w:val="center"/>
          </w:tcPr>
          <w:p w14:paraId="69A2E21D"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36" w:type="pct"/>
            <w:vAlign w:val="center"/>
          </w:tcPr>
          <w:p w14:paraId="28C95CEF"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510" w:type="pct"/>
            <w:vAlign w:val="center"/>
          </w:tcPr>
          <w:p w14:paraId="4FFF13F7"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8" w:type="pct"/>
            <w:vAlign w:val="center"/>
          </w:tcPr>
          <w:p w14:paraId="07ADCE17"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5" w:type="pct"/>
            <w:vAlign w:val="center"/>
          </w:tcPr>
          <w:p w14:paraId="31C7F64A" w14:textId="77777777" w:rsidR="00EB3B00" w:rsidRDefault="00EB3B00" w:rsidP="00EB3B00">
            <w:pPr>
              <w:spacing w:after="0"/>
              <w:jc w:val="center"/>
              <w:rPr>
                <w:rFonts w:cstheme="minorHAnsi"/>
                <w:sz w:val="16"/>
                <w:szCs w:val="16"/>
              </w:rPr>
            </w:pPr>
            <w:r>
              <w:rPr>
                <w:rFonts w:cstheme="minorHAnsi"/>
                <w:sz w:val="16"/>
                <w:szCs w:val="16"/>
              </w:rPr>
              <w:t>0</w:t>
            </w:r>
          </w:p>
        </w:tc>
      </w:tr>
      <w:tr w:rsidR="00EB3B00" w:rsidRPr="0067738A" w14:paraId="13C7820C" w14:textId="77777777" w:rsidTr="00EB3B00">
        <w:trPr>
          <w:trHeight w:val="340"/>
        </w:trPr>
        <w:tc>
          <w:tcPr>
            <w:tcW w:w="801" w:type="pct"/>
            <w:shd w:val="clear" w:color="auto" w:fill="auto"/>
            <w:vAlign w:val="center"/>
          </w:tcPr>
          <w:p w14:paraId="3D55EC34" w14:textId="77777777" w:rsidR="00EB3B00" w:rsidRPr="0067738A" w:rsidRDefault="00EB3B00" w:rsidP="00EB3B00">
            <w:pPr>
              <w:spacing w:after="0"/>
              <w:rPr>
                <w:rFonts w:cstheme="minorHAnsi"/>
                <w:i/>
                <w:iCs/>
                <w:sz w:val="16"/>
                <w:szCs w:val="16"/>
              </w:rPr>
            </w:pPr>
          </w:p>
        </w:tc>
        <w:tc>
          <w:tcPr>
            <w:tcW w:w="1475" w:type="pct"/>
            <w:shd w:val="clear" w:color="auto" w:fill="auto"/>
            <w:vAlign w:val="center"/>
          </w:tcPr>
          <w:p w14:paraId="24535FC2" w14:textId="77777777" w:rsidR="00EB3B00" w:rsidRPr="0067738A" w:rsidRDefault="00EB3B00" w:rsidP="00EB3B00">
            <w:pPr>
              <w:spacing w:after="0"/>
              <w:rPr>
                <w:rFonts w:cstheme="minorHAnsi"/>
                <w:sz w:val="16"/>
                <w:szCs w:val="16"/>
              </w:rPr>
            </w:pPr>
            <w:r w:rsidRPr="0067738A">
              <w:rPr>
                <w:rFonts w:asciiTheme="minorHAnsi" w:hAnsiTheme="minorHAnsi" w:cstheme="minorHAnsi"/>
                <w:sz w:val="16"/>
                <w:szCs w:val="16"/>
              </w:rPr>
              <w:t>Vancomycin non-susceptible</w:t>
            </w:r>
          </w:p>
        </w:tc>
        <w:tc>
          <w:tcPr>
            <w:tcW w:w="457" w:type="pct"/>
            <w:vAlign w:val="center"/>
          </w:tcPr>
          <w:p w14:paraId="2D8D594A"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68" w:type="pct"/>
            <w:vAlign w:val="center"/>
          </w:tcPr>
          <w:p w14:paraId="22A72E1F"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36" w:type="pct"/>
            <w:vAlign w:val="center"/>
          </w:tcPr>
          <w:p w14:paraId="02A1249F"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510" w:type="pct"/>
            <w:vAlign w:val="center"/>
          </w:tcPr>
          <w:p w14:paraId="7B069491"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8" w:type="pct"/>
            <w:vAlign w:val="center"/>
          </w:tcPr>
          <w:p w14:paraId="467E7058"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5" w:type="pct"/>
            <w:vAlign w:val="center"/>
          </w:tcPr>
          <w:p w14:paraId="7BA8BF80" w14:textId="77777777" w:rsidR="00EB3B00" w:rsidRDefault="00EB3B00" w:rsidP="00EB3B00">
            <w:pPr>
              <w:spacing w:after="0"/>
              <w:jc w:val="center"/>
              <w:rPr>
                <w:rFonts w:cstheme="minorHAnsi"/>
                <w:sz w:val="16"/>
                <w:szCs w:val="16"/>
              </w:rPr>
            </w:pPr>
            <w:r>
              <w:rPr>
                <w:rFonts w:cstheme="minorHAnsi"/>
                <w:sz w:val="16"/>
                <w:szCs w:val="16"/>
              </w:rPr>
              <w:t>0</w:t>
            </w:r>
          </w:p>
        </w:tc>
      </w:tr>
      <w:tr w:rsidR="00EB3B00" w:rsidRPr="0067738A" w14:paraId="2C5D6A35" w14:textId="77777777" w:rsidTr="00EB3B00">
        <w:trPr>
          <w:trHeight w:val="340"/>
        </w:trPr>
        <w:tc>
          <w:tcPr>
            <w:tcW w:w="801" w:type="pct"/>
            <w:shd w:val="clear" w:color="auto" w:fill="auto"/>
            <w:vAlign w:val="center"/>
          </w:tcPr>
          <w:p w14:paraId="67D4B317" w14:textId="77777777" w:rsidR="00EB3B00" w:rsidRPr="0067738A" w:rsidRDefault="00EB3B00" w:rsidP="00EB3B00">
            <w:pPr>
              <w:spacing w:after="0"/>
              <w:rPr>
                <w:rFonts w:cstheme="minorHAnsi"/>
                <w:i/>
                <w:iCs/>
                <w:sz w:val="16"/>
                <w:szCs w:val="16"/>
              </w:rPr>
            </w:pPr>
            <w:r w:rsidRPr="0067738A">
              <w:rPr>
                <w:rFonts w:asciiTheme="minorHAnsi" w:hAnsiTheme="minorHAnsi" w:cstheme="minorHAnsi"/>
                <w:i/>
                <w:iCs/>
                <w:sz w:val="16"/>
                <w:szCs w:val="16"/>
              </w:rPr>
              <w:t>Streptococcus pyogenes</w:t>
            </w:r>
          </w:p>
        </w:tc>
        <w:tc>
          <w:tcPr>
            <w:tcW w:w="1475" w:type="pct"/>
            <w:shd w:val="clear" w:color="auto" w:fill="auto"/>
            <w:vAlign w:val="center"/>
          </w:tcPr>
          <w:p w14:paraId="65E7640D" w14:textId="77777777" w:rsidR="00EB3B00" w:rsidRPr="0067738A" w:rsidRDefault="00EB3B00" w:rsidP="00EB3B00">
            <w:pPr>
              <w:spacing w:after="0"/>
              <w:rPr>
                <w:rFonts w:cstheme="minorHAnsi"/>
                <w:sz w:val="16"/>
                <w:szCs w:val="16"/>
              </w:rPr>
            </w:pPr>
            <w:r w:rsidRPr="0067738A">
              <w:rPr>
                <w:rFonts w:asciiTheme="minorHAnsi" w:hAnsiTheme="minorHAnsi" w:cstheme="minorHAnsi"/>
                <w:sz w:val="16"/>
                <w:szCs w:val="16"/>
              </w:rPr>
              <w:t>Penicillin reduced susceptibility</w:t>
            </w:r>
          </w:p>
        </w:tc>
        <w:tc>
          <w:tcPr>
            <w:tcW w:w="457" w:type="pct"/>
            <w:vAlign w:val="center"/>
          </w:tcPr>
          <w:p w14:paraId="78F639BC"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68" w:type="pct"/>
            <w:vAlign w:val="center"/>
          </w:tcPr>
          <w:p w14:paraId="1911DA89"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36" w:type="pct"/>
            <w:vAlign w:val="center"/>
          </w:tcPr>
          <w:p w14:paraId="5CF96933"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510" w:type="pct"/>
            <w:vAlign w:val="center"/>
          </w:tcPr>
          <w:p w14:paraId="6745A28A"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8" w:type="pct"/>
            <w:vAlign w:val="center"/>
          </w:tcPr>
          <w:p w14:paraId="7579803D" w14:textId="77777777" w:rsidR="00EB3B00" w:rsidRPr="0067738A" w:rsidRDefault="00EB3B00" w:rsidP="00EB3B00">
            <w:pPr>
              <w:spacing w:after="0"/>
              <w:jc w:val="center"/>
              <w:rPr>
                <w:rFonts w:cstheme="minorHAnsi"/>
                <w:sz w:val="16"/>
                <w:szCs w:val="16"/>
              </w:rPr>
            </w:pPr>
            <w:r>
              <w:rPr>
                <w:rFonts w:cstheme="minorHAnsi"/>
                <w:sz w:val="16"/>
                <w:szCs w:val="16"/>
              </w:rPr>
              <w:t>0</w:t>
            </w:r>
          </w:p>
        </w:tc>
        <w:tc>
          <w:tcPr>
            <w:tcW w:w="425" w:type="pct"/>
            <w:vAlign w:val="center"/>
          </w:tcPr>
          <w:p w14:paraId="5139AAE1" w14:textId="77777777" w:rsidR="00EB3B00" w:rsidRDefault="00EB3B00" w:rsidP="00EB3B00">
            <w:pPr>
              <w:spacing w:after="0"/>
              <w:jc w:val="center"/>
              <w:rPr>
                <w:rFonts w:cstheme="minorHAnsi"/>
                <w:sz w:val="16"/>
                <w:szCs w:val="16"/>
              </w:rPr>
            </w:pPr>
            <w:r>
              <w:rPr>
                <w:rFonts w:cstheme="minorHAnsi"/>
                <w:sz w:val="16"/>
                <w:szCs w:val="16"/>
              </w:rPr>
              <w:t>0</w:t>
            </w:r>
          </w:p>
        </w:tc>
      </w:tr>
      <w:tr w:rsidR="00EB3B00" w:rsidRPr="0067738A" w14:paraId="48F73B84" w14:textId="77777777" w:rsidTr="00EB3B00">
        <w:trPr>
          <w:trHeight w:val="340"/>
        </w:trPr>
        <w:tc>
          <w:tcPr>
            <w:tcW w:w="801" w:type="pct"/>
            <w:shd w:val="clear" w:color="auto" w:fill="auto"/>
            <w:vAlign w:val="center"/>
          </w:tcPr>
          <w:p w14:paraId="16C03F62" w14:textId="77777777" w:rsidR="00EB3B00" w:rsidRPr="0067738A" w:rsidRDefault="00EB3B00" w:rsidP="00EB3B00">
            <w:pPr>
              <w:spacing w:after="0"/>
              <w:rPr>
                <w:rFonts w:cstheme="minorHAnsi"/>
                <w:i/>
                <w:iCs/>
                <w:sz w:val="16"/>
                <w:szCs w:val="16"/>
              </w:rPr>
            </w:pPr>
          </w:p>
        </w:tc>
        <w:tc>
          <w:tcPr>
            <w:tcW w:w="1475" w:type="pct"/>
            <w:shd w:val="clear" w:color="auto" w:fill="auto"/>
            <w:vAlign w:val="center"/>
          </w:tcPr>
          <w:p w14:paraId="684C5B0E" w14:textId="77777777" w:rsidR="00EB3B00" w:rsidRPr="0067738A" w:rsidRDefault="00EB3B00" w:rsidP="00EB3B00">
            <w:pPr>
              <w:spacing w:after="0"/>
              <w:rPr>
                <w:rFonts w:cstheme="minorHAnsi"/>
                <w:sz w:val="16"/>
                <w:szCs w:val="16"/>
              </w:rPr>
            </w:pPr>
            <w:r w:rsidRPr="0067738A">
              <w:rPr>
                <w:rFonts w:asciiTheme="minorHAnsi" w:hAnsiTheme="minorHAnsi" w:cstheme="minorHAnsi"/>
                <w:b/>
                <w:bCs/>
                <w:sz w:val="16"/>
                <w:szCs w:val="16"/>
              </w:rPr>
              <w:t xml:space="preserve">Total (reported by </w:t>
            </w:r>
            <w:r w:rsidRPr="00EE0537">
              <w:rPr>
                <w:rFonts w:asciiTheme="minorHAnsi" w:hAnsiTheme="minorHAnsi" w:cstheme="minorHAnsi"/>
                <w:b/>
                <w:bCs/>
                <w:sz w:val="16"/>
                <w:szCs w:val="16"/>
              </w:rPr>
              <w:t>31 March</w:t>
            </w:r>
            <w:r w:rsidRPr="0067738A">
              <w:rPr>
                <w:rFonts w:asciiTheme="minorHAnsi" w:hAnsiTheme="minorHAnsi" w:cstheme="minorHAnsi"/>
                <w:b/>
                <w:bCs/>
                <w:sz w:val="16"/>
                <w:szCs w:val="16"/>
              </w:rPr>
              <w:t xml:space="preserve"> 2019)</w:t>
            </w:r>
          </w:p>
        </w:tc>
        <w:tc>
          <w:tcPr>
            <w:tcW w:w="457" w:type="pct"/>
            <w:vAlign w:val="center"/>
          </w:tcPr>
          <w:p w14:paraId="544E1ABA" w14:textId="77777777" w:rsidR="00EB3B00" w:rsidRPr="0067738A" w:rsidRDefault="00EB3B00" w:rsidP="00EB3B00">
            <w:pPr>
              <w:spacing w:after="0"/>
              <w:jc w:val="center"/>
              <w:rPr>
                <w:rFonts w:cstheme="minorHAnsi"/>
                <w:sz w:val="16"/>
                <w:szCs w:val="16"/>
              </w:rPr>
            </w:pPr>
            <w:r w:rsidRPr="006570DB">
              <w:rPr>
                <w:rFonts w:asciiTheme="minorHAnsi" w:hAnsiTheme="minorHAnsi" w:cstheme="minorHAnsi"/>
                <w:b/>
                <w:bCs/>
                <w:color w:val="000000"/>
                <w:sz w:val="16"/>
                <w:szCs w:val="16"/>
              </w:rPr>
              <w:t>183</w:t>
            </w:r>
          </w:p>
        </w:tc>
        <w:tc>
          <w:tcPr>
            <w:tcW w:w="468" w:type="pct"/>
            <w:vAlign w:val="center"/>
          </w:tcPr>
          <w:p w14:paraId="536427F6" w14:textId="77777777" w:rsidR="00EB3B00" w:rsidRPr="0067738A" w:rsidRDefault="00EB3B00" w:rsidP="00EB3B00">
            <w:pPr>
              <w:spacing w:after="0"/>
              <w:jc w:val="center"/>
              <w:rPr>
                <w:rFonts w:cstheme="minorHAnsi"/>
                <w:sz w:val="16"/>
                <w:szCs w:val="16"/>
              </w:rPr>
            </w:pPr>
            <w:r w:rsidRPr="006570DB">
              <w:rPr>
                <w:rFonts w:asciiTheme="minorHAnsi" w:hAnsiTheme="minorHAnsi" w:cstheme="minorHAnsi"/>
                <w:b/>
                <w:bCs/>
                <w:color w:val="000000"/>
                <w:sz w:val="16"/>
                <w:szCs w:val="16"/>
              </w:rPr>
              <w:t>17</w:t>
            </w:r>
          </w:p>
        </w:tc>
        <w:tc>
          <w:tcPr>
            <w:tcW w:w="436" w:type="pct"/>
            <w:vAlign w:val="center"/>
          </w:tcPr>
          <w:p w14:paraId="445DF2C4" w14:textId="77777777" w:rsidR="00EB3B00" w:rsidRPr="0067738A" w:rsidRDefault="00EB3B00" w:rsidP="00EB3B00">
            <w:pPr>
              <w:spacing w:after="0"/>
              <w:jc w:val="center"/>
              <w:rPr>
                <w:rFonts w:cstheme="minorHAnsi"/>
                <w:sz w:val="16"/>
                <w:szCs w:val="16"/>
              </w:rPr>
            </w:pPr>
            <w:r w:rsidRPr="006570DB">
              <w:rPr>
                <w:rFonts w:asciiTheme="minorHAnsi" w:hAnsiTheme="minorHAnsi" w:cstheme="minorHAnsi"/>
                <w:b/>
                <w:bCs/>
                <w:color w:val="000000"/>
                <w:sz w:val="16"/>
                <w:szCs w:val="16"/>
              </w:rPr>
              <w:t>4</w:t>
            </w:r>
          </w:p>
        </w:tc>
        <w:tc>
          <w:tcPr>
            <w:tcW w:w="510" w:type="pct"/>
            <w:vAlign w:val="center"/>
          </w:tcPr>
          <w:p w14:paraId="63372058" w14:textId="77777777" w:rsidR="00EB3B00" w:rsidRPr="0067738A" w:rsidRDefault="00EB3B00" w:rsidP="00EB3B00">
            <w:pPr>
              <w:spacing w:after="0"/>
              <w:jc w:val="center"/>
              <w:rPr>
                <w:rFonts w:cstheme="minorHAnsi"/>
                <w:sz w:val="16"/>
                <w:szCs w:val="16"/>
              </w:rPr>
            </w:pPr>
            <w:r w:rsidRPr="006570DB">
              <w:rPr>
                <w:rFonts w:asciiTheme="minorHAnsi" w:hAnsiTheme="minorHAnsi" w:cstheme="minorHAnsi"/>
                <w:b/>
                <w:bCs/>
                <w:color w:val="000000"/>
                <w:sz w:val="16"/>
                <w:szCs w:val="16"/>
              </w:rPr>
              <w:t>55</w:t>
            </w:r>
          </w:p>
        </w:tc>
        <w:tc>
          <w:tcPr>
            <w:tcW w:w="428" w:type="pct"/>
            <w:vAlign w:val="center"/>
          </w:tcPr>
          <w:p w14:paraId="54E0B353" w14:textId="77777777" w:rsidR="00EB3B00" w:rsidRPr="0067738A" w:rsidRDefault="00EB3B00" w:rsidP="00EB3B00">
            <w:pPr>
              <w:spacing w:after="0"/>
              <w:jc w:val="center"/>
              <w:rPr>
                <w:rFonts w:cstheme="minorHAnsi"/>
                <w:sz w:val="16"/>
                <w:szCs w:val="16"/>
              </w:rPr>
            </w:pPr>
            <w:r w:rsidRPr="006570DB">
              <w:rPr>
                <w:rFonts w:asciiTheme="minorHAnsi" w:hAnsiTheme="minorHAnsi" w:cstheme="minorHAnsi"/>
                <w:b/>
                <w:bCs/>
                <w:color w:val="000000"/>
                <w:sz w:val="16"/>
                <w:szCs w:val="16"/>
              </w:rPr>
              <w:t>13</w:t>
            </w:r>
          </w:p>
        </w:tc>
        <w:tc>
          <w:tcPr>
            <w:tcW w:w="425" w:type="pct"/>
            <w:vAlign w:val="center"/>
          </w:tcPr>
          <w:p w14:paraId="4B4C4B72" w14:textId="77777777" w:rsidR="00EB3B00" w:rsidRPr="006570DB" w:rsidRDefault="00EB3B00" w:rsidP="00EB3B00">
            <w:pPr>
              <w:spacing w:after="0"/>
              <w:jc w:val="center"/>
              <w:rPr>
                <w:rFonts w:cstheme="minorHAnsi"/>
                <w:b/>
                <w:bCs/>
                <w:color w:val="000000"/>
                <w:sz w:val="16"/>
                <w:szCs w:val="16"/>
              </w:rPr>
            </w:pPr>
            <w:r>
              <w:rPr>
                <w:rFonts w:cstheme="minorHAnsi"/>
                <w:b/>
                <w:bCs/>
                <w:color w:val="000000"/>
                <w:sz w:val="16"/>
                <w:szCs w:val="16"/>
              </w:rPr>
              <w:t>272</w:t>
            </w:r>
          </w:p>
        </w:tc>
      </w:tr>
    </w:tbl>
    <w:p w14:paraId="71512290" w14:textId="77777777" w:rsidR="007268C6" w:rsidRPr="007268C6" w:rsidRDefault="007268C6" w:rsidP="007268C6">
      <w:pPr>
        <w:pStyle w:val="Normal-beforebullets"/>
        <w:rPr>
          <w:sz w:val="16"/>
        </w:rPr>
      </w:pPr>
    </w:p>
    <w:p w14:paraId="08EFDC39" w14:textId="63A11147" w:rsidR="00EB3B00" w:rsidRPr="007268C6" w:rsidRDefault="007268C6" w:rsidP="007268C6">
      <w:pPr>
        <w:spacing w:after="80"/>
        <w:rPr>
          <w:sz w:val="16"/>
        </w:rPr>
      </w:pPr>
      <w:r w:rsidRPr="007268C6">
        <w:rPr>
          <w:sz w:val="16"/>
        </w:rPr>
        <w:t>*</w:t>
      </w:r>
      <w:r>
        <w:rPr>
          <w:sz w:val="16"/>
        </w:rPr>
        <w:t xml:space="preserve"> Mostly sexual health clinics</w:t>
      </w:r>
      <w:r w:rsidR="00BC3FAD">
        <w:rPr>
          <w:sz w:val="16"/>
        </w:rPr>
        <w:t xml:space="preserve"> located within a hospital</w:t>
      </w:r>
    </w:p>
    <w:p w14:paraId="4110E983" w14:textId="77777777" w:rsidR="003D28CF" w:rsidRDefault="003D28CF" w:rsidP="00EF03DA">
      <w:pPr>
        <w:pStyle w:val="CommentText"/>
      </w:pPr>
    </w:p>
    <w:p w14:paraId="3AD730D1" w14:textId="79987C52" w:rsidR="0025563E" w:rsidRDefault="00EF03DA" w:rsidP="0025563E">
      <w:pPr>
        <w:spacing w:after="80"/>
      </w:pPr>
      <w:r>
        <w:br w:type="page"/>
      </w:r>
    </w:p>
    <w:p w14:paraId="462861AF" w14:textId="76CFEBEC" w:rsidR="00175B27" w:rsidRPr="00175B27" w:rsidRDefault="00300498" w:rsidP="001C48E3">
      <w:pPr>
        <w:pStyle w:val="Heading2"/>
      </w:pPr>
      <w:bookmarkStart w:id="11" w:name="_Toc6318410"/>
      <w:r>
        <w:lastRenderedPageBreak/>
        <w:t>S</w:t>
      </w:r>
      <w:r w:rsidR="00BE3768">
        <w:t>ummary</w:t>
      </w:r>
      <w:r w:rsidR="00323961">
        <w:t xml:space="preserve"> by CAR</w:t>
      </w:r>
      <w:bookmarkEnd w:id="11"/>
    </w:p>
    <w:p w14:paraId="5D042B10" w14:textId="4118A21C" w:rsidR="00BE3768" w:rsidRDefault="00BE3768" w:rsidP="00175B27">
      <w:pPr>
        <w:pStyle w:val="Heading3"/>
      </w:pPr>
      <w:bookmarkStart w:id="12" w:name="_Toc6318411"/>
      <w:r w:rsidRPr="00175B27">
        <w:t>Enterobacterales</w:t>
      </w:r>
      <w:bookmarkEnd w:id="12"/>
    </w:p>
    <w:p w14:paraId="68EB2582" w14:textId="200AC971" w:rsidR="00B57CDE" w:rsidRPr="00B57CDE" w:rsidRDefault="00B57CDE" w:rsidP="0072102E">
      <w:pPr>
        <w:pStyle w:val="Heading4"/>
      </w:pPr>
      <w:r>
        <w:t>National data</w:t>
      </w:r>
    </w:p>
    <w:p w14:paraId="11AD4F03" w14:textId="36D13213" w:rsidR="00323961" w:rsidRPr="00D124FC" w:rsidRDefault="001D2E47" w:rsidP="006F544D">
      <w:pPr>
        <w:pStyle w:val="FigureTitle"/>
        <w:ind w:left="1134" w:hanging="1134"/>
        <w:rPr>
          <w:b w:val="0"/>
        </w:rPr>
      </w:pPr>
      <w:bookmarkStart w:id="13" w:name="_Toc491785924"/>
      <w:bookmarkStart w:id="14" w:name="_Hlk517226691"/>
      <w:r w:rsidRPr="00F823B5">
        <w:rPr>
          <w:noProof/>
        </w:rPr>
        <w:drawing>
          <wp:anchor distT="0" distB="0" distL="114300" distR="114300" simplePos="0" relativeHeight="251661824" behindDoc="1" locked="0" layoutInCell="1" allowOverlap="1" wp14:anchorId="29C7EC45" wp14:editId="525C9EC6">
            <wp:simplePos x="0" y="0"/>
            <wp:positionH relativeFrom="column">
              <wp:posOffset>-2540</wp:posOffset>
            </wp:positionH>
            <wp:positionV relativeFrom="paragraph">
              <wp:posOffset>483350</wp:posOffset>
            </wp:positionV>
            <wp:extent cx="6119495" cy="2447925"/>
            <wp:effectExtent l="0" t="0" r="0" b="0"/>
            <wp:wrapTopAndBottom/>
            <wp:docPr id="40" name="Chart 4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B4139FE-A1A2-41AF-AC9A-F0079DBF6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V relativeFrom="margin">
              <wp14:pctHeight>0</wp14:pctHeight>
            </wp14:sizeRelV>
          </wp:anchor>
        </w:drawing>
      </w:r>
      <w:r w:rsidR="00323961" w:rsidRPr="00F823B5">
        <w:t xml:space="preserve">Figure </w:t>
      </w:r>
      <w:r w:rsidR="00BE382F">
        <w:t>1</w:t>
      </w:r>
      <w:r w:rsidR="006F544D">
        <w:t>:</w:t>
      </w:r>
      <w:r w:rsidR="006F544D">
        <w:tab/>
      </w:r>
      <w:r w:rsidR="00323961" w:rsidRPr="00F823B5">
        <w:t>Carbapenemase-producing Enterobacterales</w:t>
      </w:r>
      <w:r w:rsidR="007B4819" w:rsidRPr="00F823B5">
        <w:t>*</w:t>
      </w:r>
      <w:r w:rsidR="00323961" w:rsidRPr="00F823B5">
        <w:t xml:space="preserve">, number reported </w:t>
      </w:r>
      <w:r w:rsidR="008200D0">
        <w:t xml:space="preserve">by specimen type </w:t>
      </w:r>
      <w:r w:rsidR="00AE4359">
        <w:t xml:space="preserve">for 2019, compared with the </w:t>
      </w:r>
      <w:r w:rsidR="008200D0">
        <w:t xml:space="preserve">total for </w:t>
      </w:r>
      <w:r w:rsidR="00AE4359">
        <w:t>previous year, national</w:t>
      </w:r>
    </w:p>
    <w:p w14:paraId="1AA25ECD" w14:textId="4D650081" w:rsidR="0025563E" w:rsidRDefault="0025563E" w:rsidP="00323961">
      <w:pPr>
        <w:pStyle w:val="FigureTitle"/>
        <w:rPr>
          <w:b w:val="0"/>
          <w:sz w:val="18"/>
        </w:rPr>
      </w:pPr>
    </w:p>
    <w:p w14:paraId="389072D1" w14:textId="793DDE14" w:rsidR="00737ECE" w:rsidRDefault="0025563E" w:rsidP="00323961">
      <w:pPr>
        <w:pStyle w:val="FigureTitle"/>
        <w:rPr>
          <w:b w:val="0"/>
          <w:sz w:val="18"/>
        </w:rPr>
      </w:pPr>
      <w:r w:rsidRPr="004852C6">
        <w:rPr>
          <w:b w:val="0"/>
          <w:sz w:val="18"/>
        </w:rPr>
        <w:t xml:space="preserve">* </w:t>
      </w:r>
      <w:r>
        <w:rPr>
          <w:b w:val="0"/>
          <w:sz w:val="18"/>
        </w:rPr>
        <w:t xml:space="preserve">Carbapenemase-producing alone or in combination with ribosomal </w:t>
      </w:r>
      <w:r w:rsidR="00951507">
        <w:rPr>
          <w:b w:val="0"/>
          <w:sz w:val="18"/>
        </w:rPr>
        <w:t>methyltransferases</w:t>
      </w:r>
    </w:p>
    <w:p w14:paraId="621BA1E8" w14:textId="77777777" w:rsidR="0025563E" w:rsidRDefault="0025563E" w:rsidP="006F544D">
      <w:pPr>
        <w:pStyle w:val="Normal-beforebullets"/>
      </w:pPr>
    </w:p>
    <w:p w14:paraId="591F2D67" w14:textId="77777777" w:rsidR="0025563E" w:rsidRDefault="0025563E" w:rsidP="00323961">
      <w:pPr>
        <w:pStyle w:val="FigureTitle"/>
      </w:pPr>
    </w:p>
    <w:p w14:paraId="601B73A0" w14:textId="547FBA4F" w:rsidR="0025563E" w:rsidRPr="006F544D" w:rsidRDefault="0025563E" w:rsidP="006F544D">
      <w:pPr>
        <w:pStyle w:val="FigureTitle"/>
        <w:ind w:left="1134" w:hanging="1134"/>
      </w:pPr>
      <w:r w:rsidRPr="00F823B5">
        <w:rPr>
          <w:noProof/>
        </w:rPr>
        <w:drawing>
          <wp:anchor distT="0" distB="0" distL="114300" distR="114300" simplePos="0" relativeHeight="251663872" behindDoc="1" locked="0" layoutInCell="1" allowOverlap="1" wp14:anchorId="4269C07B" wp14:editId="2CFFA45D">
            <wp:simplePos x="0" y="0"/>
            <wp:positionH relativeFrom="column">
              <wp:posOffset>-5715</wp:posOffset>
            </wp:positionH>
            <wp:positionV relativeFrom="paragraph">
              <wp:posOffset>485140</wp:posOffset>
            </wp:positionV>
            <wp:extent cx="6119495" cy="2447925"/>
            <wp:effectExtent l="0" t="0" r="0" b="0"/>
            <wp:wrapTopAndBottom/>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B4139FE-A1A2-41AF-AC9A-F0079DBF6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V relativeFrom="margin">
              <wp14:pctHeight>0</wp14:pctHeight>
            </wp14:sizeRelV>
          </wp:anchor>
        </w:drawing>
      </w:r>
      <w:r w:rsidR="00323961" w:rsidRPr="00F823B5">
        <w:t xml:space="preserve">Figure </w:t>
      </w:r>
      <w:r w:rsidR="00BE382F">
        <w:t>2</w:t>
      </w:r>
      <w:r w:rsidR="006F544D">
        <w:t>:</w:t>
      </w:r>
      <w:r w:rsidR="006F544D">
        <w:tab/>
      </w:r>
      <w:r w:rsidR="00323961" w:rsidRPr="00F823B5">
        <w:t>Ribosomal methyltransferase-producing Enterobacterales</w:t>
      </w:r>
      <w:r w:rsidR="00BC3FAD">
        <w:t>*</w:t>
      </w:r>
      <w:r w:rsidR="00323961" w:rsidRPr="00F823B5">
        <w:t xml:space="preserve">, number reported </w:t>
      </w:r>
      <w:r w:rsidR="00AE4359">
        <w:t>for 2019 by month, compared with the previous year, national</w:t>
      </w:r>
    </w:p>
    <w:p w14:paraId="182FA23C" w14:textId="77777777" w:rsidR="0025563E" w:rsidRDefault="0025563E" w:rsidP="0025563E">
      <w:pPr>
        <w:pStyle w:val="FigureTitle"/>
        <w:rPr>
          <w:b w:val="0"/>
          <w:sz w:val="18"/>
        </w:rPr>
      </w:pPr>
    </w:p>
    <w:p w14:paraId="522492AA" w14:textId="46016504" w:rsidR="0025563E" w:rsidRPr="004852C6" w:rsidRDefault="0025563E" w:rsidP="0025563E">
      <w:pPr>
        <w:pStyle w:val="FigureTitle"/>
        <w:rPr>
          <w:b w:val="0"/>
          <w:sz w:val="18"/>
        </w:rPr>
      </w:pPr>
      <w:r w:rsidRPr="004852C6">
        <w:rPr>
          <w:b w:val="0"/>
          <w:sz w:val="18"/>
        </w:rPr>
        <w:t>*</w:t>
      </w:r>
      <w:r>
        <w:rPr>
          <w:b w:val="0"/>
          <w:sz w:val="18"/>
        </w:rPr>
        <w:t xml:space="preserve"> Ribosomal </w:t>
      </w:r>
      <w:r w:rsidR="00951507">
        <w:rPr>
          <w:b w:val="0"/>
          <w:sz w:val="18"/>
        </w:rPr>
        <w:t>methyltransferases</w:t>
      </w:r>
      <w:r>
        <w:rPr>
          <w:b w:val="0"/>
          <w:sz w:val="18"/>
        </w:rPr>
        <w:t xml:space="preserve"> alone, or in combination with carbapenemases</w:t>
      </w:r>
    </w:p>
    <w:p w14:paraId="710696E7" w14:textId="77777777" w:rsidR="00737ECE" w:rsidRDefault="00737ECE" w:rsidP="00323961"/>
    <w:p w14:paraId="5515C974" w14:textId="77777777" w:rsidR="005B4B11" w:rsidRDefault="005B4B11">
      <w:pPr>
        <w:spacing w:after="80"/>
      </w:pPr>
      <w:r>
        <w:br w:type="page"/>
      </w:r>
    </w:p>
    <w:p w14:paraId="002E87FD" w14:textId="77B4DEE8" w:rsidR="00BF4F50" w:rsidRPr="0072102E" w:rsidRDefault="00BF4F50" w:rsidP="00BF4F50">
      <w:pPr>
        <w:ind w:left="1134" w:hanging="1134"/>
        <w:rPr>
          <w:rFonts w:cs="Arial"/>
          <w:b/>
          <w:bCs/>
        </w:rPr>
      </w:pPr>
      <w:bookmarkStart w:id="15" w:name="_Toc491785926"/>
      <w:bookmarkEnd w:id="13"/>
      <w:bookmarkEnd w:id="14"/>
      <w:r w:rsidRPr="0072102E">
        <w:rPr>
          <w:b/>
        </w:rPr>
        <w:lastRenderedPageBreak/>
        <w:t xml:space="preserve">Figure </w:t>
      </w:r>
      <w:r>
        <w:rPr>
          <w:b/>
        </w:rPr>
        <w:t>3:</w:t>
      </w:r>
      <w:r>
        <w:rPr>
          <w:b/>
        </w:rPr>
        <w:tab/>
      </w:r>
      <w:r w:rsidRPr="0072102E">
        <w:rPr>
          <w:b/>
        </w:rPr>
        <w:t>Carbapenemase-producing Enterobacterales</w:t>
      </w:r>
      <w:r w:rsidR="00BC3FAD">
        <w:rPr>
          <w:b/>
        </w:rPr>
        <w:t>*</w:t>
      </w:r>
      <w:r w:rsidRPr="0072102E">
        <w:rPr>
          <w:b/>
        </w:rPr>
        <w:t xml:space="preserve">, number reported by carbapenemase type and </w:t>
      </w:r>
      <w:r w:rsidRPr="00BF4F50">
        <w:rPr>
          <w:b/>
        </w:rPr>
        <w:t>species</w:t>
      </w:r>
      <w:r w:rsidRPr="001458B7">
        <w:rPr>
          <w:b/>
        </w:rPr>
        <w:t>,</w:t>
      </w:r>
      <w:r w:rsidRPr="0072102E">
        <w:rPr>
          <w:b/>
        </w:rPr>
        <w:t xml:space="preserve"> </w:t>
      </w:r>
      <w:bookmarkEnd w:id="15"/>
      <w:r w:rsidR="001D2E47">
        <w:rPr>
          <w:b/>
        </w:rPr>
        <w:t xml:space="preserve">national, </w:t>
      </w:r>
      <w:r w:rsidRPr="0072102E">
        <w:rPr>
          <w:b/>
        </w:rPr>
        <w:t>1</w:t>
      </w:r>
      <w:r w:rsidR="001D2E47">
        <w:rPr>
          <w:b/>
        </w:rPr>
        <w:t> </w:t>
      </w:r>
      <w:r w:rsidRPr="0072102E">
        <w:rPr>
          <w:b/>
        </w:rPr>
        <w:t>January</w:t>
      </w:r>
      <w:r w:rsidR="001D2E47">
        <w:rPr>
          <w:b/>
        </w:rPr>
        <w:t> </w:t>
      </w:r>
      <w:r w:rsidRPr="0072102E">
        <w:rPr>
          <w:b/>
        </w:rPr>
        <w:t>2019</w:t>
      </w:r>
      <w:r w:rsidR="00BC3FAD">
        <w:rPr>
          <w:b/>
        </w:rPr>
        <w:t>–</w:t>
      </w:r>
      <w:r w:rsidRPr="0072102E">
        <w:rPr>
          <w:b/>
        </w:rPr>
        <w:t xml:space="preserve"> 28</w:t>
      </w:r>
      <w:r w:rsidR="001D2E47">
        <w:rPr>
          <w:b/>
        </w:rPr>
        <w:t> </w:t>
      </w:r>
      <w:r w:rsidRPr="0072102E">
        <w:rPr>
          <w:b/>
        </w:rPr>
        <w:t>February</w:t>
      </w:r>
      <w:r w:rsidR="001D2E47">
        <w:rPr>
          <w:b/>
        </w:rPr>
        <w:t> </w:t>
      </w:r>
      <w:r w:rsidRPr="0072102E">
        <w:rPr>
          <w:b/>
        </w:rPr>
        <w:t>2019</w:t>
      </w:r>
    </w:p>
    <w:p w14:paraId="1423B43A" w14:textId="77777777" w:rsidR="00BF4F50" w:rsidRPr="00F9075F" w:rsidRDefault="00BF4F50" w:rsidP="00BF4F50">
      <w:pPr>
        <w:rPr>
          <w:rStyle w:val="IntenseReference"/>
          <w:rFonts w:cs="Arial"/>
          <w:bCs w:val="0"/>
          <w:i w:val="0"/>
          <w:smallCaps w:val="0"/>
          <w:color w:val="auto"/>
        </w:rPr>
      </w:pPr>
      <w:r w:rsidRPr="00F9075F">
        <w:rPr>
          <w:noProof/>
        </w:rPr>
        <w:drawing>
          <wp:inline distT="0" distB="0" distL="0" distR="0" wp14:anchorId="197742B3" wp14:editId="0F44EB7A">
            <wp:extent cx="5731510" cy="3018001"/>
            <wp:effectExtent l="0" t="0" r="2540" b="0"/>
            <wp:docPr id="24" name="Chart 2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87DDEF3C-12F2-4419-9EF7-50E44DAD6C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31089BB" w14:textId="417EAEF1" w:rsidR="00BF4F50" w:rsidRDefault="00BF4F50" w:rsidP="00BF4F50">
      <w:r>
        <w:rPr>
          <w:rStyle w:val="IntenseReference"/>
          <w:rFonts w:cs="Arial"/>
          <w:b w:val="0"/>
          <w:bCs w:val="0"/>
          <w:i w:val="0"/>
          <w:smallCaps w:val="0"/>
          <w:color w:val="auto"/>
          <w:sz w:val="18"/>
        </w:rPr>
        <w:t xml:space="preserve">* </w:t>
      </w:r>
      <w:r w:rsidRPr="00F96EC3">
        <w:rPr>
          <w:rStyle w:val="IntenseReference"/>
          <w:rFonts w:cs="Arial"/>
          <w:b w:val="0"/>
          <w:bCs w:val="0"/>
          <w:i w:val="0"/>
          <w:smallCaps w:val="0"/>
          <w:color w:val="auto"/>
          <w:sz w:val="18"/>
        </w:rPr>
        <w:t>Carbapenemase-produ</w:t>
      </w:r>
      <w:r>
        <w:rPr>
          <w:rStyle w:val="IntenseReference"/>
          <w:rFonts w:cs="Arial"/>
          <w:b w:val="0"/>
          <w:bCs w:val="0"/>
          <w:i w:val="0"/>
          <w:smallCaps w:val="0"/>
          <w:color w:val="auto"/>
          <w:sz w:val="18"/>
        </w:rPr>
        <w:t>cing Enterobacterales (</w:t>
      </w:r>
      <w:r w:rsidRPr="006708EB">
        <w:rPr>
          <w:rStyle w:val="IntenseReference"/>
          <w:rFonts w:cs="Arial"/>
          <w:b w:val="0"/>
          <w:bCs w:val="0"/>
          <w:smallCaps w:val="0"/>
          <w:color w:val="auto"/>
          <w:sz w:val="18"/>
        </w:rPr>
        <w:t>n</w:t>
      </w:r>
      <w:r>
        <w:rPr>
          <w:rStyle w:val="IntenseReference"/>
          <w:rFonts w:cs="Arial"/>
          <w:b w:val="0"/>
          <w:bCs w:val="0"/>
          <w:i w:val="0"/>
          <w:smallCaps w:val="0"/>
          <w:color w:val="auto"/>
          <w:sz w:val="18"/>
        </w:rPr>
        <w:t xml:space="preserve"> = 148</w:t>
      </w:r>
      <w:r w:rsidRPr="00F96EC3">
        <w:rPr>
          <w:rStyle w:val="IntenseReference"/>
          <w:rFonts w:cs="Arial"/>
          <w:b w:val="0"/>
          <w:bCs w:val="0"/>
          <w:i w:val="0"/>
          <w:smallCaps w:val="0"/>
          <w:color w:val="auto"/>
          <w:sz w:val="18"/>
        </w:rPr>
        <w:t>), carbapenemase- and ribosomal methyltransferase-pro</w:t>
      </w:r>
      <w:r>
        <w:rPr>
          <w:rStyle w:val="IntenseReference"/>
          <w:rFonts w:cs="Arial"/>
          <w:b w:val="0"/>
          <w:bCs w:val="0"/>
          <w:i w:val="0"/>
          <w:smallCaps w:val="0"/>
          <w:color w:val="auto"/>
          <w:sz w:val="18"/>
        </w:rPr>
        <w:t>ducing Enterobacterales (</w:t>
      </w:r>
      <w:r w:rsidRPr="006708EB">
        <w:rPr>
          <w:rStyle w:val="IntenseReference"/>
          <w:rFonts w:cs="Arial"/>
          <w:b w:val="0"/>
          <w:bCs w:val="0"/>
          <w:smallCaps w:val="0"/>
          <w:color w:val="auto"/>
          <w:sz w:val="18"/>
        </w:rPr>
        <w:t>n</w:t>
      </w:r>
      <w:r>
        <w:rPr>
          <w:rStyle w:val="IntenseReference"/>
          <w:rFonts w:cs="Arial"/>
          <w:b w:val="0"/>
          <w:bCs w:val="0"/>
          <w:i w:val="0"/>
          <w:smallCaps w:val="0"/>
          <w:color w:val="auto"/>
          <w:sz w:val="18"/>
        </w:rPr>
        <w:t xml:space="preserve"> = 8</w:t>
      </w:r>
      <w:r w:rsidR="00183043">
        <w:rPr>
          <w:rStyle w:val="IntenseReference"/>
          <w:rFonts w:cs="Arial"/>
          <w:b w:val="0"/>
          <w:bCs w:val="0"/>
          <w:i w:val="0"/>
          <w:smallCaps w:val="0"/>
          <w:color w:val="auto"/>
          <w:sz w:val="18"/>
        </w:rPr>
        <w:t>)</w:t>
      </w:r>
    </w:p>
    <w:p w14:paraId="422F0435" w14:textId="77777777" w:rsidR="00BF4F50" w:rsidRDefault="00BF4F50" w:rsidP="00BF4F50"/>
    <w:p w14:paraId="5D6BA043" w14:textId="5A379265" w:rsidR="005B4B11" w:rsidRDefault="005B4B11" w:rsidP="006F544D">
      <w:pPr>
        <w:pStyle w:val="FigureTitle"/>
        <w:ind w:left="1134" w:hanging="1134"/>
      </w:pPr>
      <w:r>
        <w:t xml:space="preserve">Figure </w:t>
      </w:r>
      <w:r w:rsidR="000F3BB8">
        <w:t>4</w:t>
      </w:r>
      <w:r w:rsidR="00B96CC1">
        <w:t>:</w:t>
      </w:r>
      <w:r w:rsidR="00B96CC1">
        <w:tab/>
      </w:r>
      <w:r w:rsidR="00B96CC1" w:rsidRPr="00BE382F">
        <w:t>Twelve–month</w:t>
      </w:r>
      <w:r w:rsidR="00B96CC1">
        <w:t xml:space="preserve"> trend </w:t>
      </w:r>
      <w:r w:rsidR="002E30A3">
        <w:t>for the</w:t>
      </w:r>
      <w:r w:rsidR="00FC64F9">
        <w:t xml:space="preserve"> </w:t>
      </w:r>
      <w:r w:rsidR="00B96CC1">
        <w:t>top four</w:t>
      </w:r>
      <w:r w:rsidR="00FC64F9">
        <w:t xml:space="preserve"> reported</w:t>
      </w:r>
      <w:r w:rsidR="002E30A3">
        <w:t xml:space="preserve"> carbapenemase types</w:t>
      </w:r>
      <w:r w:rsidR="00FC64F9">
        <w:t>, national, 1</w:t>
      </w:r>
      <w:r w:rsidR="006F544D">
        <w:t> </w:t>
      </w:r>
      <w:r w:rsidR="002E30A3">
        <w:t>March 2018</w:t>
      </w:r>
      <w:r w:rsidR="00BC3FAD">
        <w:t>–</w:t>
      </w:r>
      <w:r w:rsidR="002E30A3">
        <w:t>28</w:t>
      </w:r>
      <w:r w:rsidR="00E10174">
        <w:t> </w:t>
      </w:r>
      <w:r w:rsidR="002E30A3">
        <w:t>February 2019</w:t>
      </w:r>
    </w:p>
    <w:p w14:paraId="04F00A7A" w14:textId="77777777" w:rsidR="005B4B11" w:rsidRDefault="005B4B11" w:rsidP="005B4B11">
      <w:r>
        <w:rPr>
          <w:noProof/>
        </w:rPr>
        <w:drawing>
          <wp:inline distT="0" distB="0" distL="0" distR="0" wp14:anchorId="1CCA89CF" wp14:editId="4D5354C0">
            <wp:extent cx="6120000" cy="3420000"/>
            <wp:effectExtent l="0" t="0" r="0" b="0"/>
            <wp:docPr id="53" name="Chart 5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A9B2E4D-8EAF-4B41-A939-BE796E02A7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B237A1E" w14:textId="77777777" w:rsidR="00AE4359" w:rsidRDefault="00AE4359" w:rsidP="00AE4359">
      <w:pPr>
        <w:pStyle w:val="Normal-beforebullets"/>
      </w:pPr>
    </w:p>
    <w:p w14:paraId="57C4422F" w14:textId="77777777" w:rsidR="00BF4F50" w:rsidRDefault="00BF4F50">
      <w:pPr>
        <w:spacing w:after="80"/>
        <w:rPr>
          <w:b/>
          <w:bCs/>
          <w:color w:val="404040" w:themeColor="text1" w:themeTint="BF"/>
          <w:sz w:val="26"/>
          <w:szCs w:val="26"/>
        </w:rPr>
      </w:pPr>
      <w:r>
        <w:br w:type="page"/>
      </w:r>
    </w:p>
    <w:p w14:paraId="19EEACA4" w14:textId="45D00107" w:rsidR="00B96CC1" w:rsidRDefault="00B57CDE" w:rsidP="0072102E">
      <w:pPr>
        <w:pStyle w:val="Heading4"/>
      </w:pPr>
      <w:r w:rsidRPr="0072102E">
        <w:lastRenderedPageBreak/>
        <w:t>State and territory</w:t>
      </w:r>
    </w:p>
    <w:p w14:paraId="6DB77419" w14:textId="5C13D721" w:rsidR="003F4861" w:rsidRDefault="007372C0" w:rsidP="003F4861">
      <w:pPr>
        <w:pStyle w:val="FigureTitle"/>
        <w:ind w:left="1134" w:hanging="1134"/>
      </w:pPr>
      <w:bookmarkStart w:id="16" w:name="_Toc491785925"/>
      <w:r>
        <w:rPr>
          <w:noProof/>
        </w:rPr>
        <w:drawing>
          <wp:anchor distT="0" distB="0" distL="114300" distR="114300" simplePos="0" relativeHeight="251647488" behindDoc="1" locked="0" layoutInCell="1" allowOverlap="1" wp14:anchorId="13F356A1" wp14:editId="46537EA0">
            <wp:simplePos x="0" y="0"/>
            <wp:positionH relativeFrom="column">
              <wp:posOffset>78740</wp:posOffset>
            </wp:positionH>
            <wp:positionV relativeFrom="paragraph">
              <wp:posOffset>512618</wp:posOffset>
            </wp:positionV>
            <wp:extent cx="6119495" cy="2519680"/>
            <wp:effectExtent l="0" t="0" r="0" b="0"/>
            <wp:wrapTopAndBottom/>
            <wp:docPr id="6" name="Chart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B4139FE-A1A2-41AF-AC9A-F0079DBF6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V relativeFrom="margin">
              <wp14:pctHeight>0</wp14:pctHeight>
            </wp14:sizeRelV>
          </wp:anchor>
        </w:drawing>
      </w:r>
      <w:r w:rsidR="003F4861">
        <w:t xml:space="preserve">Figure </w:t>
      </w:r>
      <w:r>
        <w:t>5</w:t>
      </w:r>
      <w:r w:rsidR="003F4861">
        <w:t>:</w:t>
      </w:r>
      <w:r w:rsidR="003F4861">
        <w:tab/>
      </w:r>
      <w:r w:rsidRPr="007372C0">
        <w:t>Enterobacterales</w:t>
      </w:r>
      <w:r>
        <w:t xml:space="preserve"> –carbapenemase-producing</w:t>
      </w:r>
      <w:r w:rsidR="003F4861">
        <w:rPr>
          <w:i/>
        </w:rPr>
        <w:t xml:space="preserve">, </w:t>
      </w:r>
      <w:r w:rsidR="003F4861" w:rsidRPr="00DF78B1">
        <w:t>number reported by</w:t>
      </w:r>
      <w:r w:rsidR="003F4861">
        <w:t xml:space="preserve"> state and territory</w:t>
      </w:r>
      <w:proofErr w:type="gramStart"/>
      <w:r w:rsidR="003F4861">
        <w:t>,1</w:t>
      </w:r>
      <w:proofErr w:type="gramEnd"/>
      <w:r w:rsidR="003F4861">
        <w:t> </w:t>
      </w:r>
      <w:r w:rsidR="003F4861" w:rsidRPr="00DF78B1">
        <w:t>January</w:t>
      </w:r>
      <w:r w:rsidR="003F4861">
        <w:t> </w:t>
      </w:r>
      <w:r w:rsidR="003F4861" w:rsidRPr="00DF78B1">
        <w:t>2018</w:t>
      </w:r>
      <w:r w:rsidR="003F4861">
        <w:t>–</w:t>
      </w:r>
      <w:r>
        <w:t>28 February 2019</w:t>
      </w:r>
    </w:p>
    <w:p w14:paraId="0DEA7CA2" w14:textId="2ABAEE3C" w:rsidR="003F4861" w:rsidRDefault="003F4861" w:rsidP="0072102E">
      <w:pPr>
        <w:rPr>
          <w:b/>
        </w:rPr>
      </w:pPr>
    </w:p>
    <w:p w14:paraId="5EECAE0A" w14:textId="2DEDA182" w:rsidR="00C45340" w:rsidRPr="0072102E" w:rsidRDefault="00C45340" w:rsidP="003F4861">
      <w:pPr>
        <w:ind w:left="1134" w:hanging="1134"/>
        <w:rPr>
          <w:b/>
          <w:highlight w:val="cyan"/>
        </w:rPr>
      </w:pPr>
      <w:r w:rsidRPr="0072102E">
        <w:rPr>
          <w:b/>
        </w:rPr>
        <w:t xml:space="preserve">Figure </w:t>
      </w:r>
      <w:r w:rsidR="007372C0">
        <w:rPr>
          <w:b/>
        </w:rPr>
        <w:t>6</w:t>
      </w:r>
      <w:r w:rsidR="00BE382F">
        <w:rPr>
          <w:b/>
        </w:rPr>
        <w:t>:</w:t>
      </w:r>
      <w:r w:rsidR="003F4861">
        <w:rPr>
          <w:b/>
        </w:rPr>
        <w:tab/>
      </w:r>
      <w:r w:rsidR="00B96CC1" w:rsidRPr="00BE382F">
        <w:rPr>
          <w:b/>
        </w:rPr>
        <w:t>Two–year</w:t>
      </w:r>
      <w:r w:rsidR="00B96CC1" w:rsidRPr="0072102E">
        <w:rPr>
          <w:b/>
        </w:rPr>
        <w:t xml:space="preserve"> trend</w:t>
      </w:r>
      <w:r w:rsidRPr="0072102E">
        <w:rPr>
          <w:b/>
        </w:rPr>
        <w:t xml:space="preserve"> for the top four </w:t>
      </w:r>
      <w:r w:rsidR="00B96CC1" w:rsidRPr="0072102E">
        <w:rPr>
          <w:b/>
        </w:rPr>
        <w:t xml:space="preserve">reported </w:t>
      </w:r>
      <w:r w:rsidRPr="0072102E">
        <w:rPr>
          <w:b/>
        </w:rPr>
        <w:t>carbapenemase types, by state and territory and</w:t>
      </w:r>
      <w:r w:rsidRPr="0072102E">
        <w:rPr>
          <w:b/>
          <w:i/>
        </w:rPr>
        <w:t xml:space="preserve"> </w:t>
      </w:r>
      <w:r w:rsidRPr="0072102E">
        <w:rPr>
          <w:b/>
        </w:rPr>
        <w:t xml:space="preserve">nationally, </w:t>
      </w:r>
      <w:r w:rsidR="008E69D6">
        <w:rPr>
          <w:b/>
        </w:rPr>
        <w:t xml:space="preserve">(three-month moving average), </w:t>
      </w:r>
      <w:r w:rsidRPr="0072102E">
        <w:rPr>
          <w:b/>
        </w:rPr>
        <w:t>1</w:t>
      </w:r>
      <w:r w:rsidR="008E69D6">
        <w:rPr>
          <w:b/>
        </w:rPr>
        <w:t> </w:t>
      </w:r>
      <w:r w:rsidRPr="0072102E">
        <w:rPr>
          <w:b/>
        </w:rPr>
        <w:t>March</w:t>
      </w:r>
      <w:r w:rsidR="008E69D6">
        <w:rPr>
          <w:b/>
        </w:rPr>
        <w:t> </w:t>
      </w:r>
      <w:r w:rsidRPr="0072102E">
        <w:rPr>
          <w:b/>
        </w:rPr>
        <w:t>2017</w:t>
      </w:r>
      <w:bookmarkEnd w:id="16"/>
      <w:r w:rsidR="00BC3FAD">
        <w:rPr>
          <w:b/>
        </w:rPr>
        <w:t>–</w:t>
      </w:r>
      <w:r w:rsidRPr="0072102E">
        <w:rPr>
          <w:b/>
        </w:rPr>
        <w:t>28</w:t>
      </w:r>
      <w:r w:rsidR="008E69D6">
        <w:rPr>
          <w:b/>
        </w:rPr>
        <w:t> </w:t>
      </w:r>
      <w:r w:rsidRPr="0072102E">
        <w:rPr>
          <w:b/>
        </w:rPr>
        <w:t>February</w:t>
      </w:r>
      <w:r w:rsidR="008E69D6">
        <w:rPr>
          <w:b/>
        </w:rPr>
        <w:t> </w:t>
      </w:r>
      <w:r w:rsidRPr="0072102E">
        <w:rPr>
          <w:b/>
        </w:rPr>
        <w:t>2019</w:t>
      </w:r>
    </w:p>
    <w:tbl>
      <w:tblPr>
        <w:tblStyle w:val="GridTable1Light-Accent11"/>
        <w:tblW w:w="9154" w:type="dxa"/>
        <w:tblLayout w:type="fixed"/>
        <w:tblLook w:val="0620" w:firstRow="1" w:lastRow="0" w:firstColumn="0" w:lastColumn="0" w:noHBand="1" w:noVBand="1"/>
      </w:tblPr>
      <w:tblGrid>
        <w:gridCol w:w="988"/>
        <w:gridCol w:w="879"/>
        <w:gridCol w:w="879"/>
        <w:gridCol w:w="879"/>
        <w:gridCol w:w="879"/>
        <w:gridCol w:w="879"/>
        <w:gridCol w:w="879"/>
        <w:gridCol w:w="879"/>
        <w:gridCol w:w="879"/>
        <w:gridCol w:w="1134"/>
      </w:tblGrid>
      <w:tr w:rsidR="00C45340" w:rsidRPr="00FA742F" w14:paraId="6A5E4ABC" w14:textId="77777777" w:rsidTr="003012B3">
        <w:trPr>
          <w:cnfStyle w:val="100000000000" w:firstRow="1" w:lastRow="0" w:firstColumn="0" w:lastColumn="0" w:oddVBand="0" w:evenVBand="0" w:oddHBand="0" w:evenHBand="0" w:firstRowFirstColumn="0" w:firstRowLastColumn="0" w:lastRowFirstColumn="0" w:lastRowLastColumn="0"/>
          <w:trHeight w:val="283"/>
        </w:trPr>
        <w:tc>
          <w:tcPr>
            <w:tcW w:w="988"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tcPr>
          <w:p w14:paraId="38DD92C5" w14:textId="77FF8A64" w:rsidR="00C45340" w:rsidRPr="00FA742F" w:rsidRDefault="00C45340" w:rsidP="003012B3">
            <w:pPr>
              <w:spacing w:before="120" w:after="120"/>
              <w:rPr>
                <w:rStyle w:val="IntenseReference"/>
                <w:rFonts w:asciiTheme="minorHAnsi" w:hAnsiTheme="minorHAnsi" w:cstheme="minorHAnsi"/>
                <w:b/>
                <w:bCs/>
                <w:i w:val="0"/>
                <w:smallCaps w:val="0"/>
                <w:color w:val="auto"/>
                <w:sz w:val="18"/>
                <w:szCs w:val="22"/>
              </w:rPr>
            </w:pPr>
            <w:bookmarkStart w:id="17" w:name="OLE_LINK1"/>
            <w:r w:rsidRPr="00FA742F">
              <w:rPr>
                <w:rStyle w:val="IntenseReference"/>
                <w:rFonts w:asciiTheme="minorHAnsi" w:hAnsiTheme="minorHAnsi" w:cstheme="minorHAnsi"/>
                <w:b/>
                <w:bCs/>
                <w:i w:val="0"/>
                <w:smallCaps w:val="0"/>
                <w:color w:val="auto"/>
                <w:sz w:val="18"/>
                <w:szCs w:val="22"/>
              </w:rPr>
              <w:t>Type</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275460F1" w14:textId="60523369" w:rsidR="00C45340" w:rsidRPr="00FA742F" w:rsidRDefault="00EC0B04" w:rsidP="003012B3">
            <w:pPr>
              <w:spacing w:before="120" w:after="120"/>
              <w:jc w:val="center"/>
              <w:rPr>
                <w:rStyle w:val="IntenseReference"/>
                <w:rFonts w:asciiTheme="minorHAnsi" w:hAnsiTheme="minorHAnsi" w:cstheme="minorHAnsi"/>
                <w:b/>
                <w:bCs/>
                <w:i w:val="0"/>
                <w:smallCaps w:val="0"/>
                <w:color w:val="auto"/>
                <w:sz w:val="18"/>
                <w:szCs w:val="22"/>
              </w:rPr>
            </w:pPr>
            <w:r w:rsidRPr="00EC0B04">
              <w:rPr>
                <w:noProof/>
              </w:rPr>
              <w:drawing>
                <wp:anchor distT="0" distB="0" distL="114300" distR="114300" simplePos="0" relativeHeight="251671040" behindDoc="1" locked="0" layoutInCell="1" allowOverlap="1" wp14:anchorId="6D33F5BF" wp14:editId="433EF2A0">
                  <wp:simplePos x="0" y="0"/>
                  <wp:positionH relativeFrom="column">
                    <wp:posOffset>-90170</wp:posOffset>
                  </wp:positionH>
                  <wp:positionV relativeFrom="paragraph">
                    <wp:posOffset>262255</wp:posOffset>
                  </wp:positionV>
                  <wp:extent cx="5229225" cy="17240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29225"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5340" w:rsidRPr="00FA742F">
              <w:rPr>
                <w:rStyle w:val="IntenseReference"/>
                <w:rFonts w:asciiTheme="minorHAnsi" w:hAnsiTheme="minorHAnsi" w:cstheme="minorHAnsi"/>
                <w:b/>
                <w:bCs/>
                <w:i w:val="0"/>
                <w:smallCaps w:val="0"/>
                <w:color w:val="auto"/>
                <w:sz w:val="18"/>
                <w:szCs w:val="22"/>
              </w:rPr>
              <w:t>NSW</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6B17BB11" w14:textId="77777777" w:rsidR="00C45340" w:rsidRPr="00FA742F" w:rsidRDefault="00C45340" w:rsidP="003012B3">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Vic</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087059E4" w14:textId="77777777" w:rsidR="00C45340" w:rsidRPr="00FA742F" w:rsidRDefault="00C45340" w:rsidP="003012B3">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Qld</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593523B8" w14:textId="77777777" w:rsidR="00C45340" w:rsidRPr="00FA742F" w:rsidRDefault="00C45340" w:rsidP="003012B3">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SA</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66A823E8" w14:textId="77777777" w:rsidR="00C45340" w:rsidRPr="00FA742F" w:rsidRDefault="00C45340" w:rsidP="003012B3">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WA</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5B7661DB" w14:textId="77777777" w:rsidR="00C45340" w:rsidRPr="00FA742F" w:rsidRDefault="00C45340" w:rsidP="003012B3">
            <w:pPr>
              <w:spacing w:before="120" w:after="120"/>
              <w:jc w:val="center"/>
              <w:rPr>
                <w:rStyle w:val="IntenseReference"/>
                <w:rFonts w:asciiTheme="minorHAnsi" w:hAnsiTheme="minorHAnsi" w:cstheme="minorHAnsi"/>
                <w:b/>
                <w:bCs/>
                <w:i w:val="0"/>
                <w:smallCaps w:val="0"/>
                <w:color w:val="auto"/>
                <w:sz w:val="18"/>
                <w:szCs w:val="22"/>
              </w:rPr>
            </w:pPr>
            <w:proofErr w:type="spellStart"/>
            <w:r w:rsidRPr="00FA742F">
              <w:rPr>
                <w:rStyle w:val="IntenseReference"/>
                <w:rFonts w:asciiTheme="minorHAnsi" w:hAnsiTheme="minorHAnsi" w:cstheme="minorHAnsi"/>
                <w:b/>
                <w:bCs/>
                <w:i w:val="0"/>
                <w:smallCaps w:val="0"/>
                <w:color w:val="auto"/>
                <w:sz w:val="18"/>
                <w:szCs w:val="22"/>
              </w:rPr>
              <w:t>Tas</w:t>
            </w:r>
            <w:proofErr w:type="spellEnd"/>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679501F2" w14:textId="77777777" w:rsidR="00C45340" w:rsidRPr="00FA742F" w:rsidRDefault="00C45340" w:rsidP="003012B3">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NT</w:t>
            </w:r>
          </w:p>
        </w:tc>
        <w:tc>
          <w:tcPr>
            <w:tcW w:w="879"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5A7896A0" w14:textId="77777777" w:rsidR="00C45340" w:rsidRPr="00FA742F" w:rsidRDefault="00C45340" w:rsidP="003012B3">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ACT</w:t>
            </w:r>
          </w:p>
        </w:tc>
        <w:tc>
          <w:tcPr>
            <w:tcW w:w="1134" w:type="dxa"/>
            <w:tcBorders>
              <w:top w:val="single" w:sz="4" w:space="0" w:color="D9D9D9" w:themeColor="background1" w:themeShade="D9"/>
              <w:left w:val="single" w:sz="4" w:space="0" w:color="D9D9D9" w:themeColor="background1" w:themeShade="D9"/>
              <w:bottom w:val="single" w:sz="12" w:space="0" w:color="BFBFBF" w:themeColor="background1" w:themeShade="BF"/>
              <w:right w:val="single" w:sz="4" w:space="0" w:color="D9D9D9" w:themeColor="background1" w:themeShade="D9"/>
            </w:tcBorders>
            <w:vAlign w:val="center"/>
          </w:tcPr>
          <w:p w14:paraId="5F375FAD" w14:textId="77777777" w:rsidR="00C45340" w:rsidRPr="00FA742F" w:rsidRDefault="00C45340" w:rsidP="003012B3">
            <w:pPr>
              <w:spacing w:before="120" w:after="120"/>
              <w:jc w:val="center"/>
              <w:rPr>
                <w:rStyle w:val="IntenseReference"/>
                <w:rFonts w:asciiTheme="minorHAnsi" w:hAnsiTheme="minorHAnsi" w:cstheme="minorHAnsi"/>
                <w:b/>
                <w:bCs/>
                <w:i w:val="0"/>
                <w:smallCaps w:val="0"/>
                <w:color w:val="auto"/>
                <w:sz w:val="18"/>
                <w:szCs w:val="22"/>
              </w:rPr>
            </w:pPr>
            <w:r w:rsidRPr="00FA742F">
              <w:rPr>
                <w:rStyle w:val="IntenseReference"/>
                <w:rFonts w:asciiTheme="minorHAnsi" w:hAnsiTheme="minorHAnsi" w:cstheme="minorHAnsi"/>
                <w:b/>
                <w:bCs/>
                <w:i w:val="0"/>
                <w:smallCaps w:val="0"/>
                <w:color w:val="auto"/>
                <w:sz w:val="18"/>
                <w:szCs w:val="22"/>
              </w:rPr>
              <w:t>Australia</w:t>
            </w:r>
          </w:p>
        </w:tc>
      </w:tr>
      <w:tr w:rsidR="00C45340" w:rsidRPr="00FA742F" w14:paraId="710F1CA2" w14:textId="77777777" w:rsidTr="003012B3">
        <w:trPr>
          <w:trHeight w:val="510"/>
        </w:trPr>
        <w:tc>
          <w:tcPr>
            <w:tcW w:w="988"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E65F4CD" w14:textId="77777777" w:rsidR="00C45340" w:rsidRPr="005D519A" w:rsidRDefault="00C45340" w:rsidP="003012B3">
            <w:pPr>
              <w:spacing w:after="0"/>
              <w:rPr>
                <w:rStyle w:val="IntenseReference"/>
                <w:rFonts w:asciiTheme="minorHAnsi" w:hAnsiTheme="minorHAnsi" w:cstheme="minorHAnsi"/>
                <w:b w:val="0"/>
                <w:bCs w:val="0"/>
                <w:i w:val="0"/>
                <w:smallCaps w:val="0"/>
                <w:color w:val="auto"/>
                <w:sz w:val="18"/>
                <w:szCs w:val="22"/>
              </w:rPr>
            </w:pPr>
            <w:r w:rsidRPr="005D519A">
              <w:rPr>
                <w:rStyle w:val="IntenseReference"/>
                <w:rFonts w:asciiTheme="minorHAnsi" w:hAnsiTheme="minorHAnsi" w:cstheme="minorHAnsi"/>
                <w:b w:val="0"/>
                <w:bCs w:val="0"/>
                <w:i w:val="0"/>
                <w:smallCaps w:val="0"/>
                <w:color w:val="auto"/>
                <w:sz w:val="18"/>
                <w:szCs w:val="22"/>
              </w:rPr>
              <w:t>IMP</w:t>
            </w: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6D2287" w14:textId="399D9EB0"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D28EE0"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1C00E8D"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FB15A2"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E79BC98"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44FDC4"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4C82D6F"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83BE03"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1134" w:type="dxa"/>
            <w:tcBorders>
              <w:top w:val="single" w:sz="12"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1D45E5"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r>
      <w:tr w:rsidR="00C45340" w:rsidRPr="00FA742F" w14:paraId="28C299C7" w14:textId="77777777" w:rsidTr="003012B3">
        <w:trPr>
          <w:trHeight w:val="510"/>
        </w:trPr>
        <w:tc>
          <w:tcPr>
            <w:tcW w:w="9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CA66C3" w14:textId="3CEFB450" w:rsidR="00C45340" w:rsidRPr="005D519A" w:rsidRDefault="00C45340" w:rsidP="003012B3">
            <w:pPr>
              <w:spacing w:after="0"/>
              <w:rPr>
                <w:rStyle w:val="IntenseReference"/>
                <w:rFonts w:asciiTheme="minorHAnsi" w:hAnsiTheme="minorHAnsi" w:cstheme="minorHAnsi"/>
                <w:b w:val="0"/>
                <w:bCs w:val="0"/>
                <w:i w:val="0"/>
                <w:smallCaps w:val="0"/>
                <w:color w:val="auto"/>
                <w:sz w:val="18"/>
                <w:szCs w:val="22"/>
              </w:rPr>
            </w:pPr>
            <w:r w:rsidRPr="005D519A">
              <w:rPr>
                <w:rStyle w:val="IntenseReference"/>
                <w:rFonts w:asciiTheme="minorHAnsi" w:hAnsiTheme="minorHAnsi" w:cstheme="minorHAnsi"/>
                <w:b w:val="0"/>
                <w:bCs w:val="0"/>
                <w:i w:val="0"/>
                <w:smallCaps w:val="0"/>
                <w:color w:val="auto"/>
                <w:sz w:val="18"/>
                <w:szCs w:val="22"/>
              </w:rPr>
              <w:t>NDM</w:t>
            </w: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D5470B"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1342BE"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F45361"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02FA0B6"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E350BE2"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415A590"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D7D399D"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180DA1"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CFD245"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r>
      <w:tr w:rsidR="00C45340" w:rsidRPr="00FA742F" w14:paraId="2C23668D" w14:textId="77777777" w:rsidTr="003012B3">
        <w:trPr>
          <w:trHeight w:val="510"/>
        </w:trPr>
        <w:tc>
          <w:tcPr>
            <w:tcW w:w="9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9232BF" w14:textId="77777777" w:rsidR="00C45340" w:rsidRPr="005D519A" w:rsidRDefault="00C45340" w:rsidP="003012B3">
            <w:pPr>
              <w:spacing w:after="0"/>
              <w:rPr>
                <w:rStyle w:val="IntenseReference"/>
                <w:rFonts w:asciiTheme="minorHAnsi" w:hAnsiTheme="minorHAnsi" w:cstheme="minorHAnsi"/>
                <w:b w:val="0"/>
                <w:bCs w:val="0"/>
                <w:i w:val="0"/>
                <w:smallCaps w:val="0"/>
                <w:color w:val="auto"/>
                <w:sz w:val="18"/>
                <w:szCs w:val="22"/>
              </w:rPr>
            </w:pPr>
            <w:r w:rsidRPr="005D519A">
              <w:rPr>
                <w:rStyle w:val="IntenseReference"/>
                <w:rFonts w:asciiTheme="minorHAnsi" w:hAnsiTheme="minorHAnsi" w:cstheme="minorHAnsi"/>
                <w:b w:val="0"/>
                <w:bCs w:val="0"/>
                <w:i w:val="0"/>
                <w:smallCaps w:val="0"/>
                <w:color w:val="auto"/>
                <w:sz w:val="18"/>
                <w:szCs w:val="22"/>
              </w:rPr>
              <w:t>OXA-48-like</w:t>
            </w: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FB19FDB"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4E5F8F"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B4EA55"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8EA29B"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010B72"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20E6EA"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B4751F5"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A20119F"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B50F713" w14:textId="77777777" w:rsidR="00C45340" w:rsidRPr="00FA742F"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r>
      <w:tr w:rsidR="00C45340" w:rsidRPr="00FA742F" w14:paraId="5ECBAE07" w14:textId="77777777" w:rsidTr="003012B3">
        <w:trPr>
          <w:trHeight w:val="510"/>
        </w:trPr>
        <w:tc>
          <w:tcPr>
            <w:tcW w:w="9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21F01C" w14:textId="77777777" w:rsidR="00C45340" w:rsidRPr="005D519A" w:rsidRDefault="00C45340" w:rsidP="003012B3">
            <w:pPr>
              <w:spacing w:after="0"/>
              <w:rPr>
                <w:rStyle w:val="IntenseReference"/>
                <w:rFonts w:asciiTheme="minorHAnsi" w:hAnsiTheme="minorHAnsi" w:cstheme="minorHAnsi"/>
                <w:b w:val="0"/>
                <w:bCs w:val="0"/>
                <w:i w:val="0"/>
                <w:smallCaps w:val="0"/>
                <w:color w:val="auto"/>
                <w:sz w:val="18"/>
                <w:szCs w:val="22"/>
              </w:rPr>
            </w:pPr>
            <w:r w:rsidRPr="005D519A">
              <w:rPr>
                <w:rStyle w:val="IntenseReference"/>
                <w:rFonts w:asciiTheme="minorHAnsi" w:hAnsiTheme="minorHAnsi" w:cstheme="minorHAnsi"/>
                <w:b w:val="0"/>
                <w:bCs w:val="0"/>
                <w:i w:val="0"/>
                <w:smallCaps w:val="0"/>
                <w:color w:val="auto"/>
                <w:sz w:val="18"/>
                <w:szCs w:val="22"/>
              </w:rPr>
              <w:t>KPC</w:t>
            </w: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05478C" w14:textId="77777777" w:rsidR="00C45340" w:rsidRPr="00F82512"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96BCD8" w14:textId="77777777" w:rsidR="00C45340" w:rsidRPr="00F82512"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D79564" w14:textId="77777777" w:rsidR="00C45340" w:rsidRPr="00F82512"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D8AFEF5" w14:textId="77777777" w:rsidR="00C45340" w:rsidRPr="00F82512"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63F0D9" w14:textId="77777777" w:rsidR="00C45340" w:rsidRPr="00F82512"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1B6169" w14:textId="77777777" w:rsidR="00C45340" w:rsidRPr="00F82512"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E74FC45" w14:textId="77777777" w:rsidR="00C45340" w:rsidRPr="00F82512"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FEB81D" w14:textId="77777777" w:rsidR="00C45340" w:rsidRPr="00F82512"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E9EA3B" w14:textId="77777777" w:rsidR="00C45340" w:rsidRPr="00F82512" w:rsidRDefault="00C45340" w:rsidP="003012B3">
            <w:pPr>
              <w:spacing w:after="0"/>
              <w:jc w:val="center"/>
              <w:rPr>
                <w:rStyle w:val="IntenseReference"/>
                <w:rFonts w:asciiTheme="minorHAnsi" w:hAnsiTheme="minorHAnsi" w:cstheme="minorHAnsi"/>
                <w:b w:val="0"/>
                <w:bCs w:val="0"/>
                <w:i w:val="0"/>
                <w:smallCaps w:val="0"/>
                <w:color w:val="auto"/>
                <w:sz w:val="18"/>
                <w:szCs w:val="22"/>
              </w:rPr>
            </w:pPr>
          </w:p>
        </w:tc>
      </w:tr>
      <w:tr w:rsidR="00C45340" w:rsidRPr="00FA742F" w14:paraId="3730926A" w14:textId="77777777" w:rsidTr="003012B3">
        <w:trPr>
          <w:trHeight w:val="510"/>
        </w:trPr>
        <w:tc>
          <w:tcPr>
            <w:tcW w:w="9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E01F27" w14:textId="77777777" w:rsidR="00C45340" w:rsidRPr="005D519A" w:rsidRDefault="00C45340" w:rsidP="003012B3">
            <w:pPr>
              <w:spacing w:after="0"/>
              <w:rPr>
                <w:rStyle w:val="IntenseReference"/>
                <w:rFonts w:asciiTheme="minorHAnsi" w:hAnsiTheme="minorHAnsi" w:cstheme="minorHAnsi"/>
                <w:b w:val="0"/>
                <w:bCs w:val="0"/>
                <w:i w:val="0"/>
                <w:smallCaps w:val="0"/>
                <w:color w:val="auto"/>
                <w:sz w:val="18"/>
              </w:rPr>
            </w:pPr>
            <w:r w:rsidRPr="005D519A">
              <w:rPr>
                <w:rStyle w:val="IntenseReference"/>
                <w:rFonts w:asciiTheme="minorHAnsi" w:hAnsiTheme="minorHAnsi" w:cstheme="minorHAnsi"/>
                <w:b w:val="0"/>
                <w:bCs w:val="0"/>
                <w:i w:val="0"/>
                <w:smallCaps w:val="0"/>
                <w:color w:val="auto"/>
                <w:sz w:val="18"/>
              </w:rPr>
              <w:t>All types</w:t>
            </w: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F18087E" w14:textId="77777777" w:rsidR="00C45340" w:rsidRPr="00F82512" w:rsidRDefault="00C45340" w:rsidP="003012B3">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80A7DC5" w14:textId="77777777" w:rsidR="00C45340" w:rsidRPr="00F82512" w:rsidRDefault="00C45340" w:rsidP="003012B3">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87F104" w14:textId="77777777" w:rsidR="00C45340" w:rsidRPr="00F82512" w:rsidRDefault="00C45340" w:rsidP="003012B3">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360970" w14:textId="77777777" w:rsidR="00C45340" w:rsidRPr="00F82512" w:rsidRDefault="00C45340" w:rsidP="003012B3">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314BF24" w14:textId="77777777" w:rsidR="00C45340" w:rsidRPr="00F82512" w:rsidRDefault="00C45340" w:rsidP="003012B3">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F59D6C" w14:textId="77777777" w:rsidR="00C45340" w:rsidRPr="00F82512" w:rsidRDefault="00C45340" w:rsidP="003012B3">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A50DCE" w14:textId="77777777" w:rsidR="00C45340" w:rsidRPr="00F82512" w:rsidRDefault="00C45340" w:rsidP="003012B3">
            <w:pPr>
              <w:spacing w:after="0"/>
              <w:jc w:val="center"/>
              <w:rPr>
                <w:rStyle w:val="IntenseReference"/>
                <w:rFonts w:asciiTheme="minorHAnsi" w:hAnsiTheme="minorHAnsi" w:cstheme="minorHAnsi"/>
                <w:b w:val="0"/>
                <w:bCs w:val="0"/>
                <w:i w:val="0"/>
                <w:smallCaps w:val="0"/>
                <w:color w:val="auto"/>
                <w:sz w:val="18"/>
              </w:rPr>
            </w:pPr>
          </w:p>
        </w:tc>
        <w:tc>
          <w:tcPr>
            <w:tcW w:w="8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0F5BF2" w14:textId="77777777" w:rsidR="00C45340" w:rsidRPr="00F82512" w:rsidRDefault="00C45340" w:rsidP="003012B3">
            <w:pPr>
              <w:spacing w:after="0"/>
              <w:jc w:val="center"/>
              <w:rPr>
                <w:rStyle w:val="IntenseReference"/>
                <w:rFonts w:asciiTheme="minorHAnsi" w:hAnsiTheme="minorHAnsi" w:cstheme="minorHAnsi"/>
                <w:b w:val="0"/>
                <w:bCs w:val="0"/>
                <w:i w:val="0"/>
                <w:smallCaps w:val="0"/>
                <w:color w:val="auto"/>
                <w:sz w:val="18"/>
              </w:rPr>
            </w:pP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473107" w14:textId="77777777" w:rsidR="00C45340" w:rsidRPr="00F82512" w:rsidRDefault="00C45340" w:rsidP="003012B3">
            <w:pPr>
              <w:spacing w:after="0"/>
              <w:jc w:val="center"/>
              <w:rPr>
                <w:rStyle w:val="IntenseReference"/>
                <w:rFonts w:asciiTheme="minorHAnsi" w:hAnsiTheme="minorHAnsi" w:cstheme="minorHAnsi"/>
                <w:b w:val="0"/>
                <w:bCs w:val="0"/>
                <w:i w:val="0"/>
                <w:smallCaps w:val="0"/>
                <w:color w:val="auto"/>
                <w:sz w:val="18"/>
              </w:rPr>
            </w:pPr>
          </w:p>
        </w:tc>
      </w:tr>
    </w:tbl>
    <w:bookmarkEnd w:id="17"/>
    <w:p w14:paraId="5D6DC12D" w14:textId="77777777" w:rsidR="00C45340" w:rsidRDefault="00C45340" w:rsidP="00C45340">
      <w:pPr>
        <w:spacing w:before="120" w:after="0"/>
        <w:rPr>
          <w:sz w:val="18"/>
        </w:rPr>
      </w:pPr>
      <w:r w:rsidRPr="00FA742F">
        <w:rPr>
          <w:sz w:val="18"/>
        </w:rPr>
        <w:t xml:space="preserve">Line graphs </w:t>
      </w:r>
      <w:r>
        <w:rPr>
          <w:sz w:val="18"/>
        </w:rPr>
        <w:t xml:space="preserve">represent three-month moving average </w:t>
      </w:r>
      <w:r w:rsidRPr="00FA742F">
        <w:rPr>
          <w:sz w:val="18"/>
        </w:rPr>
        <w:t>for</w:t>
      </w:r>
      <w:r>
        <w:rPr>
          <w:sz w:val="18"/>
        </w:rPr>
        <w:t xml:space="preserve"> the period 1 March 2017 to 28 February 2019, for each type, where maximum monthly average was greater than one.</w:t>
      </w:r>
    </w:p>
    <w:p w14:paraId="5698BEED" w14:textId="77777777" w:rsidR="00C45340" w:rsidRDefault="00C45340" w:rsidP="00C45340">
      <w:pPr>
        <w:spacing w:before="120" w:after="0"/>
        <w:rPr>
          <w:sz w:val="18"/>
        </w:rPr>
      </w:pPr>
      <w:r>
        <w:rPr>
          <w:sz w:val="18"/>
        </w:rPr>
        <w:t>Straight line in cell = no carbapenemase type for that state or territory during the reporting period</w:t>
      </w:r>
    </w:p>
    <w:p w14:paraId="3CE1734C" w14:textId="77777777" w:rsidR="00C45340" w:rsidRDefault="00C45340" w:rsidP="00C45340">
      <w:pPr>
        <w:spacing w:before="120" w:after="120"/>
        <w:rPr>
          <w:sz w:val="18"/>
        </w:rPr>
      </w:pPr>
      <w:r>
        <w:rPr>
          <w:sz w:val="18"/>
        </w:rPr>
        <w:t>Blank cell = maximum monthly average was one or less</w:t>
      </w:r>
    </w:p>
    <w:p w14:paraId="11D7441C" w14:textId="77777777" w:rsidR="005A20F4" w:rsidRDefault="005A20F4" w:rsidP="00BF4F50"/>
    <w:p w14:paraId="0C86FF9E" w14:textId="37367AFC" w:rsidR="001458B7" w:rsidRDefault="001458B7">
      <w:pPr>
        <w:spacing w:after="80"/>
      </w:pPr>
      <w:r>
        <w:br w:type="page"/>
      </w:r>
    </w:p>
    <w:p w14:paraId="56E09E00" w14:textId="639BF5F8" w:rsidR="002A3989" w:rsidRPr="007C7351" w:rsidRDefault="002A3989" w:rsidP="001458B7">
      <w:pPr>
        <w:pStyle w:val="FigureTitle"/>
        <w:ind w:left="1134" w:hanging="1134"/>
      </w:pPr>
      <w:r w:rsidRPr="00FB57F4">
        <w:lastRenderedPageBreak/>
        <w:t xml:space="preserve">Figure </w:t>
      </w:r>
      <w:r w:rsidR="007372C0">
        <w:t>7</w:t>
      </w:r>
      <w:r w:rsidRPr="00FB57F4">
        <w:t>:</w:t>
      </w:r>
      <w:r w:rsidR="001458B7">
        <w:tab/>
      </w:r>
      <w:r w:rsidRPr="00EF10C9">
        <w:t xml:space="preserve">Carbapenemase-producing Enterobacterales*, </w:t>
      </w:r>
      <w:r w:rsidR="00C36674">
        <w:t xml:space="preserve">number reported </w:t>
      </w:r>
      <w:r w:rsidRPr="00EF10C9">
        <w:t>by carbapenemase type and</w:t>
      </w:r>
      <w:r w:rsidRPr="003B4DC2">
        <w:t xml:space="preserve"> specimen</w:t>
      </w:r>
      <w:r w:rsidRPr="00EF10C9">
        <w:t xml:space="preserve"> type, </w:t>
      </w:r>
      <w:r>
        <w:t>1 January 2019</w:t>
      </w:r>
      <w:r w:rsidR="00BC3FAD">
        <w:t>–</w:t>
      </w:r>
      <w:r>
        <w:t>28 February 2019</w:t>
      </w:r>
      <w:r w:rsidR="00083BD0">
        <w:t xml:space="preserve">, </w:t>
      </w:r>
      <w:r w:rsidR="00083BD0" w:rsidRPr="00EF10C9">
        <w:t>state and territory</w:t>
      </w:r>
    </w:p>
    <w:p w14:paraId="021A50ED" w14:textId="77777777" w:rsidR="002A3989" w:rsidRPr="001E0A93" w:rsidRDefault="002A3989" w:rsidP="002A3989">
      <w:pPr>
        <w:spacing w:before="120"/>
        <w:rPr>
          <w:rStyle w:val="IntenseReference"/>
          <w:rFonts w:cs="Arial"/>
          <w:b w:val="0"/>
          <w:bCs w:val="0"/>
          <w:i w:val="0"/>
          <w:smallCaps w:val="0"/>
          <w:color w:val="auto"/>
        </w:rPr>
      </w:pPr>
      <w:r w:rsidRPr="001E0A93">
        <w:rPr>
          <w:noProof/>
        </w:rPr>
        <w:drawing>
          <wp:inline distT="0" distB="0" distL="0" distR="0" wp14:anchorId="68B1B6C1" wp14:editId="0E3F3718">
            <wp:extent cx="6120000" cy="3600000"/>
            <wp:effectExtent l="0" t="0" r="0" b="635"/>
            <wp:docPr id="27" name="Chart 2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70B8EC9-BA60-42C1-AF5D-F58AFC7A4F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69F4F4A" w14:textId="11AC4C49" w:rsidR="001458B7" w:rsidRDefault="002A3989" w:rsidP="002A3989">
      <w:pPr>
        <w:rPr>
          <w:rStyle w:val="IntenseReference"/>
          <w:rFonts w:cs="Arial"/>
          <w:b w:val="0"/>
          <w:bCs w:val="0"/>
          <w:i w:val="0"/>
          <w:smallCaps w:val="0"/>
          <w:color w:val="auto"/>
          <w:sz w:val="18"/>
        </w:rPr>
      </w:pPr>
      <w:r>
        <w:rPr>
          <w:rStyle w:val="IntenseReference"/>
          <w:rFonts w:cs="Arial"/>
          <w:b w:val="0"/>
          <w:bCs w:val="0"/>
          <w:i w:val="0"/>
          <w:smallCaps w:val="0"/>
          <w:color w:val="auto"/>
          <w:sz w:val="18"/>
        </w:rPr>
        <w:t xml:space="preserve">* </w:t>
      </w:r>
      <w:r w:rsidRPr="00F96EC3">
        <w:rPr>
          <w:rStyle w:val="IntenseReference"/>
          <w:rFonts w:cs="Arial"/>
          <w:b w:val="0"/>
          <w:bCs w:val="0"/>
          <w:i w:val="0"/>
          <w:smallCaps w:val="0"/>
          <w:color w:val="auto"/>
          <w:sz w:val="18"/>
        </w:rPr>
        <w:t>Carbapenemase-produ</w:t>
      </w:r>
      <w:r>
        <w:rPr>
          <w:rStyle w:val="IntenseReference"/>
          <w:rFonts w:cs="Arial"/>
          <w:b w:val="0"/>
          <w:bCs w:val="0"/>
          <w:i w:val="0"/>
          <w:smallCaps w:val="0"/>
          <w:color w:val="auto"/>
          <w:sz w:val="18"/>
        </w:rPr>
        <w:t>cing Enterobacterales (</w:t>
      </w:r>
      <w:r w:rsidRPr="006708EB">
        <w:rPr>
          <w:rStyle w:val="IntenseReference"/>
          <w:rFonts w:cs="Arial"/>
          <w:b w:val="0"/>
          <w:bCs w:val="0"/>
          <w:smallCaps w:val="0"/>
          <w:color w:val="auto"/>
          <w:sz w:val="18"/>
        </w:rPr>
        <w:t>n</w:t>
      </w:r>
      <w:r>
        <w:rPr>
          <w:rStyle w:val="IntenseReference"/>
          <w:rFonts w:cs="Arial"/>
          <w:b w:val="0"/>
          <w:bCs w:val="0"/>
          <w:i w:val="0"/>
          <w:smallCaps w:val="0"/>
          <w:color w:val="auto"/>
          <w:sz w:val="18"/>
        </w:rPr>
        <w:t xml:space="preserve"> = 148</w:t>
      </w:r>
      <w:r w:rsidRPr="00F96EC3">
        <w:rPr>
          <w:rStyle w:val="IntenseReference"/>
          <w:rFonts w:cs="Arial"/>
          <w:b w:val="0"/>
          <w:bCs w:val="0"/>
          <w:i w:val="0"/>
          <w:smallCaps w:val="0"/>
          <w:color w:val="auto"/>
          <w:sz w:val="18"/>
        </w:rPr>
        <w:t>), carbapenemase- and ribosomal methyltransferase-pro</w:t>
      </w:r>
      <w:r>
        <w:rPr>
          <w:rStyle w:val="IntenseReference"/>
          <w:rFonts w:cs="Arial"/>
          <w:b w:val="0"/>
          <w:bCs w:val="0"/>
          <w:i w:val="0"/>
          <w:smallCaps w:val="0"/>
          <w:color w:val="auto"/>
          <w:sz w:val="18"/>
        </w:rPr>
        <w:t>ducing Enterobacterales (</w:t>
      </w:r>
      <w:r w:rsidRPr="006708EB">
        <w:rPr>
          <w:rStyle w:val="IntenseReference"/>
          <w:rFonts w:cs="Arial"/>
          <w:b w:val="0"/>
          <w:bCs w:val="0"/>
          <w:smallCaps w:val="0"/>
          <w:color w:val="auto"/>
          <w:sz w:val="18"/>
        </w:rPr>
        <w:t>n</w:t>
      </w:r>
      <w:r>
        <w:rPr>
          <w:rStyle w:val="IntenseReference"/>
          <w:rFonts w:cs="Arial"/>
          <w:b w:val="0"/>
          <w:bCs w:val="0"/>
          <w:i w:val="0"/>
          <w:smallCaps w:val="0"/>
          <w:color w:val="auto"/>
          <w:sz w:val="18"/>
        </w:rPr>
        <w:t xml:space="preserve"> = 8</w:t>
      </w:r>
      <w:r w:rsidRPr="00F96EC3">
        <w:rPr>
          <w:rStyle w:val="IntenseReference"/>
          <w:rFonts w:cs="Arial"/>
          <w:b w:val="0"/>
          <w:bCs w:val="0"/>
          <w:i w:val="0"/>
          <w:smallCaps w:val="0"/>
          <w:color w:val="auto"/>
          <w:sz w:val="18"/>
        </w:rPr>
        <w:t>)</w:t>
      </w:r>
    </w:p>
    <w:p w14:paraId="49E72D97" w14:textId="01102345" w:rsidR="0034402B" w:rsidRPr="00882570" w:rsidRDefault="006557E5" w:rsidP="0034402B">
      <w:pPr>
        <w:spacing w:after="0"/>
        <w:rPr>
          <w:rStyle w:val="IntenseReference"/>
          <w:rFonts w:cs="Arial"/>
          <w:b w:val="0"/>
          <w:bCs w:val="0"/>
          <w:i w:val="0"/>
          <w:smallCaps w:val="0"/>
          <w:color w:val="auto"/>
          <w:sz w:val="18"/>
          <w:szCs w:val="18"/>
        </w:rPr>
      </w:pPr>
      <w:r w:rsidRPr="00882570">
        <w:rPr>
          <w:rStyle w:val="IntenseReference"/>
          <w:rFonts w:cs="Arial"/>
          <w:b w:val="0"/>
          <w:bCs w:val="0"/>
          <w:i w:val="0"/>
          <w:smallCaps w:val="0"/>
          <w:color w:val="auto"/>
          <w:sz w:val="18"/>
          <w:szCs w:val="18"/>
        </w:rPr>
        <w:t>Note</w:t>
      </w:r>
      <w:r w:rsidR="0034402B" w:rsidRPr="00882570">
        <w:rPr>
          <w:rStyle w:val="IntenseReference"/>
          <w:rFonts w:cs="Arial"/>
          <w:b w:val="0"/>
          <w:bCs w:val="0"/>
          <w:i w:val="0"/>
          <w:smallCaps w:val="0"/>
          <w:color w:val="auto"/>
          <w:sz w:val="18"/>
          <w:szCs w:val="18"/>
        </w:rPr>
        <w:t>s</w:t>
      </w:r>
      <w:r w:rsidR="00E755A1" w:rsidRPr="00882570">
        <w:rPr>
          <w:rStyle w:val="IntenseReference"/>
          <w:rFonts w:cs="Arial"/>
          <w:b w:val="0"/>
          <w:bCs w:val="0"/>
          <w:i w:val="0"/>
          <w:smallCaps w:val="0"/>
          <w:color w:val="auto"/>
          <w:sz w:val="18"/>
          <w:szCs w:val="18"/>
        </w:rPr>
        <w:t xml:space="preserve">: </w:t>
      </w:r>
    </w:p>
    <w:p w14:paraId="7F1B1591" w14:textId="340A3243" w:rsidR="00E755A1" w:rsidRPr="00906395" w:rsidRDefault="006557E5" w:rsidP="0034402B">
      <w:pPr>
        <w:pStyle w:val="Numberedlists"/>
        <w:rPr>
          <w:sz w:val="18"/>
          <w:szCs w:val="20"/>
        </w:rPr>
      </w:pPr>
      <w:r w:rsidRPr="00906395">
        <w:rPr>
          <w:sz w:val="18"/>
          <w:szCs w:val="20"/>
        </w:rPr>
        <w:t xml:space="preserve">An increase in screening isolates may be due to a change in screening practice or </w:t>
      </w:r>
      <w:r w:rsidR="00183043">
        <w:rPr>
          <w:sz w:val="18"/>
          <w:szCs w:val="20"/>
        </w:rPr>
        <w:t xml:space="preserve">indicate </w:t>
      </w:r>
      <w:r w:rsidRPr="00906395">
        <w:rPr>
          <w:sz w:val="18"/>
          <w:szCs w:val="20"/>
        </w:rPr>
        <w:t>that an outbreak is being managed</w:t>
      </w:r>
    </w:p>
    <w:p w14:paraId="3CA4DEB1" w14:textId="0AEB810E" w:rsidR="00E755A1" w:rsidRPr="00906395" w:rsidRDefault="00E755A1" w:rsidP="0034402B">
      <w:pPr>
        <w:pStyle w:val="Numberedlists"/>
        <w:rPr>
          <w:sz w:val="18"/>
          <w:szCs w:val="20"/>
        </w:rPr>
      </w:pPr>
      <w:r w:rsidRPr="00906395">
        <w:rPr>
          <w:sz w:val="18"/>
          <w:szCs w:val="20"/>
        </w:rPr>
        <w:t>NDM</w:t>
      </w:r>
      <w:r w:rsidR="00183043">
        <w:rPr>
          <w:sz w:val="18"/>
          <w:szCs w:val="20"/>
        </w:rPr>
        <w:t>-type</w:t>
      </w:r>
      <w:r w:rsidRPr="00906395">
        <w:rPr>
          <w:sz w:val="18"/>
          <w:szCs w:val="20"/>
        </w:rPr>
        <w:t xml:space="preserve"> is primarily associated with overseas acquisition</w:t>
      </w:r>
      <w:r w:rsidR="00183043">
        <w:rPr>
          <w:sz w:val="18"/>
          <w:szCs w:val="20"/>
        </w:rPr>
        <w:t>;</w:t>
      </w:r>
      <w:r w:rsidRPr="00906395">
        <w:rPr>
          <w:sz w:val="18"/>
          <w:szCs w:val="20"/>
        </w:rPr>
        <w:t xml:space="preserve"> increases in NDM</w:t>
      </w:r>
      <w:r w:rsidR="00906395" w:rsidRPr="00906395">
        <w:rPr>
          <w:sz w:val="18"/>
          <w:szCs w:val="20"/>
        </w:rPr>
        <w:t>-</w:t>
      </w:r>
      <w:r w:rsidRPr="00906395">
        <w:rPr>
          <w:sz w:val="18"/>
          <w:szCs w:val="20"/>
        </w:rPr>
        <w:t>type screening isolates may be due to increased overseas acquisition in local patients. Local transmission requires enhanced surveillance and response.</w:t>
      </w:r>
    </w:p>
    <w:p w14:paraId="33310698" w14:textId="7AD6B3A1" w:rsidR="006557E5" w:rsidRDefault="006557E5" w:rsidP="002A3989">
      <w:pPr>
        <w:rPr>
          <w:rStyle w:val="IntenseReference"/>
          <w:rFonts w:cs="Arial"/>
          <w:b w:val="0"/>
          <w:bCs w:val="0"/>
          <w:i w:val="0"/>
          <w:smallCaps w:val="0"/>
          <w:color w:val="auto"/>
          <w:sz w:val="18"/>
        </w:rPr>
      </w:pPr>
    </w:p>
    <w:p w14:paraId="65EF59BB" w14:textId="5C8F221F" w:rsidR="004B0B90" w:rsidRDefault="001458B7" w:rsidP="0034402B">
      <w:pPr>
        <w:spacing w:after="80"/>
        <w:jc w:val="both"/>
        <w:rPr>
          <w:rStyle w:val="IntenseReference"/>
          <w:rFonts w:cs="Arial"/>
          <w:b w:val="0"/>
          <w:bCs w:val="0"/>
          <w:i w:val="0"/>
          <w:smallCaps w:val="0"/>
          <w:color w:val="auto"/>
          <w:sz w:val="18"/>
        </w:rPr>
      </w:pPr>
      <w:r>
        <w:rPr>
          <w:rStyle w:val="IntenseReference"/>
          <w:rFonts w:cs="Arial"/>
          <w:b w:val="0"/>
          <w:bCs w:val="0"/>
          <w:i w:val="0"/>
          <w:smallCaps w:val="0"/>
          <w:color w:val="auto"/>
          <w:sz w:val="18"/>
        </w:rPr>
        <w:br w:type="page"/>
      </w:r>
    </w:p>
    <w:p w14:paraId="1DF8D2DD" w14:textId="4F84E9FA" w:rsidR="00F823B5" w:rsidRDefault="001458B7" w:rsidP="001458B7">
      <w:pPr>
        <w:pStyle w:val="FigureTitle"/>
        <w:ind w:left="1134" w:hanging="1134"/>
      </w:pPr>
      <w:r w:rsidRPr="00AB3A47">
        <w:rPr>
          <w:noProof/>
          <w:highlight w:val="yellow"/>
        </w:rPr>
        <w:lastRenderedPageBreak/>
        <w:drawing>
          <wp:anchor distT="0" distB="0" distL="114300" distR="114300" simplePos="0" relativeHeight="251664896" behindDoc="0" locked="0" layoutInCell="1" allowOverlap="1" wp14:anchorId="36373A42" wp14:editId="4A4670F4">
            <wp:simplePos x="0" y="0"/>
            <wp:positionH relativeFrom="column">
              <wp:posOffset>3145155</wp:posOffset>
            </wp:positionH>
            <wp:positionV relativeFrom="paragraph">
              <wp:posOffset>487680</wp:posOffset>
            </wp:positionV>
            <wp:extent cx="3059430" cy="3599815"/>
            <wp:effectExtent l="0" t="0" r="0" b="0"/>
            <wp:wrapTopAndBottom/>
            <wp:docPr id="196" name="Chart 19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A9B2E4D-8EAF-4B41-A939-BE796E02A7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Pr="00AB3A47">
        <w:rPr>
          <w:noProof/>
          <w:highlight w:val="yellow"/>
        </w:rPr>
        <w:drawing>
          <wp:anchor distT="0" distB="0" distL="114300" distR="114300" simplePos="0" relativeHeight="251665920" behindDoc="0" locked="0" layoutInCell="1" allowOverlap="1" wp14:anchorId="7015B1CF" wp14:editId="418AC1BD">
            <wp:simplePos x="0" y="0"/>
            <wp:positionH relativeFrom="column">
              <wp:posOffset>31115</wp:posOffset>
            </wp:positionH>
            <wp:positionV relativeFrom="paragraph">
              <wp:posOffset>487680</wp:posOffset>
            </wp:positionV>
            <wp:extent cx="3059430" cy="3599815"/>
            <wp:effectExtent l="0" t="0" r="7620" b="635"/>
            <wp:wrapTopAndBottom/>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A9B2E4D-8EAF-4B41-A939-BE796E02A7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F823B5" w:rsidRPr="00FB57F4">
        <w:t>Figure</w:t>
      </w:r>
      <w:r w:rsidR="007372C0">
        <w:t xml:space="preserve"> 8</w:t>
      </w:r>
      <w:r w:rsidR="00F823B5" w:rsidRPr="00FB57F4">
        <w:t>:</w:t>
      </w:r>
      <w:r>
        <w:tab/>
      </w:r>
      <w:r w:rsidR="00F823B5">
        <w:t>Top four reported c</w:t>
      </w:r>
      <w:r w:rsidR="00F823B5" w:rsidRPr="00EF10C9">
        <w:t>arbapenemase-producing Enterobacterales</w:t>
      </w:r>
      <w:r w:rsidR="00F823B5">
        <w:t xml:space="preserve"> type by </w:t>
      </w:r>
      <w:r w:rsidR="00F823B5" w:rsidRPr="00CF23C5">
        <w:t>specimen</w:t>
      </w:r>
      <w:r w:rsidR="00F823B5" w:rsidRPr="00EF10C9">
        <w:t xml:space="preserve"> </w:t>
      </w:r>
      <w:r w:rsidR="00F823B5">
        <w:t xml:space="preserve">type and </w:t>
      </w:r>
      <w:r w:rsidR="00F823B5" w:rsidRPr="00EF10C9">
        <w:t xml:space="preserve">state and territory, </w:t>
      </w:r>
      <w:r>
        <w:t>1 </w:t>
      </w:r>
      <w:r w:rsidR="00F823B5">
        <w:t>January 2019</w:t>
      </w:r>
      <w:r w:rsidR="00906395">
        <w:t>–</w:t>
      </w:r>
      <w:r w:rsidR="00F823B5">
        <w:t>28 February 2019</w:t>
      </w:r>
    </w:p>
    <w:p w14:paraId="75A31E8C" w14:textId="29D5E391" w:rsidR="001458B7" w:rsidRDefault="00CA5928">
      <w:pPr>
        <w:spacing w:after="80"/>
      </w:pPr>
      <w:r w:rsidRPr="00AB3A47">
        <w:rPr>
          <w:noProof/>
          <w:highlight w:val="yellow"/>
        </w:rPr>
        <w:drawing>
          <wp:anchor distT="0" distB="0" distL="114300" distR="114300" simplePos="0" relativeHeight="251667968" behindDoc="0" locked="0" layoutInCell="1" allowOverlap="1" wp14:anchorId="6826A4B0" wp14:editId="072425BC">
            <wp:simplePos x="0" y="0"/>
            <wp:positionH relativeFrom="column">
              <wp:posOffset>-20320</wp:posOffset>
            </wp:positionH>
            <wp:positionV relativeFrom="paragraph">
              <wp:posOffset>3660775</wp:posOffset>
            </wp:positionV>
            <wp:extent cx="3059430" cy="2519680"/>
            <wp:effectExtent l="0" t="0" r="0" b="0"/>
            <wp:wrapTopAndBottom/>
            <wp:docPr id="197" name="Chart 19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A9B2E4D-8EAF-4B41-A939-BE796E02A7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sidR="001458B7" w:rsidRPr="00AB3A47">
        <w:rPr>
          <w:noProof/>
          <w:highlight w:val="yellow"/>
        </w:rPr>
        <w:drawing>
          <wp:anchor distT="0" distB="0" distL="114300" distR="114300" simplePos="0" relativeHeight="251666944" behindDoc="0" locked="0" layoutInCell="1" allowOverlap="1" wp14:anchorId="77EE730F" wp14:editId="4796CC13">
            <wp:simplePos x="0" y="0"/>
            <wp:positionH relativeFrom="column">
              <wp:posOffset>3092450</wp:posOffset>
            </wp:positionH>
            <wp:positionV relativeFrom="paragraph">
              <wp:posOffset>3660775</wp:posOffset>
            </wp:positionV>
            <wp:extent cx="3059430" cy="2519680"/>
            <wp:effectExtent l="0" t="0" r="0" b="0"/>
            <wp:wrapTopAndBottom/>
            <wp:docPr id="198" name="Chart 19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A9B2E4D-8EAF-4B41-A939-BE796E02A7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4A473AF2" w14:textId="77777777" w:rsidR="001458B7" w:rsidRDefault="001458B7" w:rsidP="007F5070">
      <w:pPr>
        <w:spacing w:after="80"/>
        <w:jc w:val="both"/>
      </w:pPr>
      <w:r>
        <w:br w:type="page"/>
      </w:r>
    </w:p>
    <w:p w14:paraId="5CFC7C3D" w14:textId="0F225587" w:rsidR="00CA5928" w:rsidRDefault="00CA5928" w:rsidP="00CA5928">
      <w:pPr>
        <w:pStyle w:val="FigureTitle"/>
        <w:ind w:left="993" w:hanging="993"/>
      </w:pPr>
      <w:r>
        <w:lastRenderedPageBreak/>
        <w:t>Table 3:</w:t>
      </w:r>
      <w:r>
        <w:tab/>
        <w:t xml:space="preserve">Top four carbapenemase types, number reported by setting and state and territory, </w:t>
      </w:r>
      <w:r w:rsidRPr="00152A3B">
        <w:t>1</w:t>
      </w:r>
      <w:r>
        <w:t> </w:t>
      </w:r>
      <w:r w:rsidRPr="00152A3B">
        <w:t>January</w:t>
      </w:r>
      <w:r>
        <w:t xml:space="preserve"> 2019</w:t>
      </w:r>
      <w:r w:rsidR="00906395">
        <w:t>–</w:t>
      </w:r>
      <w:r>
        <w:t>28 February 2019</w:t>
      </w:r>
    </w:p>
    <w:tbl>
      <w:tblPr>
        <w:tblStyle w:val="TableGrid"/>
        <w:tblpPr w:leftFromText="180" w:rightFromText="180" w:vertAnchor="text" w:tblpY="1"/>
        <w:tblOverlap w:val="never"/>
        <w:tblW w:w="4975" w:type="pct"/>
        <w:tblBorders>
          <w:left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1722"/>
        <w:gridCol w:w="1660"/>
        <w:gridCol w:w="680"/>
        <w:gridCol w:w="680"/>
        <w:gridCol w:w="679"/>
        <w:gridCol w:w="679"/>
        <w:gridCol w:w="679"/>
        <w:gridCol w:w="679"/>
        <w:gridCol w:w="679"/>
        <w:gridCol w:w="681"/>
        <w:gridCol w:w="885"/>
      </w:tblGrid>
      <w:tr w:rsidR="00F3078A" w:rsidRPr="00DD2BB0" w14:paraId="6B2512CE" w14:textId="77777777" w:rsidTr="00A011F9">
        <w:trPr>
          <w:cnfStyle w:val="100000000000" w:firstRow="1" w:lastRow="0" w:firstColumn="0" w:lastColumn="0" w:oddVBand="0" w:evenVBand="0" w:oddHBand="0" w:evenHBand="0" w:firstRowFirstColumn="0" w:firstRowLastColumn="0" w:lastRowFirstColumn="0" w:lastRowLastColumn="0"/>
          <w:trHeight w:val="227"/>
        </w:trPr>
        <w:tc>
          <w:tcPr>
            <w:tcW w:w="887" w:type="pct"/>
            <w:vMerge w:val="restart"/>
            <w:tcBorders>
              <w:top w:val="single" w:sz="4" w:space="0" w:color="auto"/>
            </w:tcBorders>
            <w:shd w:val="clear" w:color="auto" w:fill="DAEEF3" w:themeFill="accent5" w:themeFillTint="33"/>
            <w:vAlign w:val="bottom"/>
          </w:tcPr>
          <w:p w14:paraId="25AF65A6" w14:textId="77777777" w:rsidR="00F3078A" w:rsidRDefault="00F3078A" w:rsidP="00A011F9">
            <w:pPr>
              <w:spacing w:after="0"/>
              <w:contextualSpacing/>
              <w:jc w:val="left"/>
              <w:rPr>
                <w:rFonts w:cstheme="minorHAnsi"/>
                <w:szCs w:val="18"/>
              </w:rPr>
            </w:pPr>
            <w:r w:rsidRPr="00946FA6">
              <w:rPr>
                <w:rFonts w:asciiTheme="minorHAnsi" w:hAnsiTheme="minorHAnsi" w:cstheme="minorHAnsi"/>
                <w:szCs w:val="18"/>
              </w:rPr>
              <w:t>Carbapenemase type</w:t>
            </w:r>
          </w:p>
        </w:tc>
        <w:tc>
          <w:tcPr>
            <w:tcW w:w="855" w:type="pct"/>
            <w:tcBorders>
              <w:top w:val="single" w:sz="4" w:space="0" w:color="auto"/>
              <w:bottom w:val="nil"/>
            </w:tcBorders>
            <w:shd w:val="clear" w:color="auto" w:fill="DAEEF3" w:themeFill="accent5" w:themeFillTint="33"/>
            <w:vAlign w:val="center"/>
          </w:tcPr>
          <w:p w14:paraId="54DB67FF" w14:textId="77777777" w:rsidR="00F3078A" w:rsidRDefault="00F3078A" w:rsidP="00A011F9">
            <w:pPr>
              <w:spacing w:after="0"/>
              <w:contextualSpacing/>
              <w:rPr>
                <w:rFonts w:cstheme="minorHAnsi"/>
                <w:b w:val="0"/>
                <w:szCs w:val="18"/>
              </w:rPr>
            </w:pPr>
          </w:p>
        </w:tc>
        <w:tc>
          <w:tcPr>
            <w:tcW w:w="2801" w:type="pct"/>
            <w:gridSpan w:val="8"/>
            <w:tcBorders>
              <w:top w:val="single" w:sz="4" w:space="0" w:color="auto"/>
              <w:bottom w:val="single" w:sz="2" w:space="0" w:color="BFBFBF" w:themeColor="background1" w:themeShade="BF"/>
            </w:tcBorders>
            <w:shd w:val="clear" w:color="auto" w:fill="DAEEF3" w:themeFill="accent5" w:themeFillTint="33"/>
            <w:vAlign w:val="center"/>
          </w:tcPr>
          <w:p w14:paraId="0031818D" w14:textId="77777777" w:rsidR="00F3078A" w:rsidRPr="00FD314C" w:rsidRDefault="00F3078A" w:rsidP="00A011F9">
            <w:pPr>
              <w:spacing w:after="0"/>
              <w:contextualSpacing/>
              <w:rPr>
                <w:rFonts w:cstheme="minorHAnsi"/>
                <w:szCs w:val="18"/>
              </w:rPr>
            </w:pPr>
            <w:r w:rsidRPr="00DD2BB0">
              <w:rPr>
                <w:rFonts w:asciiTheme="minorHAnsi" w:hAnsiTheme="minorHAnsi" w:cstheme="minorHAnsi"/>
                <w:szCs w:val="18"/>
              </w:rPr>
              <w:t>State or territ</w:t>
            </w:r>
            <w:r>
              <w:rPr>
                <w:rFonts w:asciiTheme="minorHAnsi" w:hAnsiTheme="minorHAnsi" w:cstheme="minorHAnsi"/>
                <w:szCs w:val="18"/>
              </w:rPr>
              <w:t>or</w:t>
            </w:r>
            <w:r w:rsidRPr="00DD2BB0">
              <w:rPr>
                <w:rFonts w:asciiTheme="minorHAnsi" w:hAnsiTheme="minorHAnsi" w:cstheme="minorHAnsi"/>
                <w:szCs w:val="18"/>
              </w:rPr>
              <w:t>y</w:t>
            </w:r>
          </w:p>
        </w:tc>
        <w:tc>
          <w:tcPr>
            <w:tcW w:w="456" w:type="pct"/>
            <w:tcBorders>
              <w:top w:val="single" w:sz="4" w:space="0" w:color="auto"/>
              <w:bottom w:val="nil"/>
            </w:tcBorders>
            <w:shd w:val="clear" w:color="auto" w:fill="DAEEF3" w:themeFill="accent5" w:themeFillTint="33"/>
          </w:tcPr>
          <w:p w14:paraId="06439E85" w14:textId="02964B29" w:rsidR="00F3078A" w:rsidRDefault="00F3078A" w:rsidP="00A011F9">
            <w:pPr>
              <w:spacing w:after="0"/>
              <w:contextualSpacing/>
              <w:rPr>
                <w:rFonts w:cstheme="minorHAnsi"/>
                <w:b w:val="0"/>
                <w:szCs w:val="18"/>
              </w:rPr>
            </w:pPr>
          </w:p>
        </w:tc>
      </w:tr>
      <w:tr w:rsidR="00F3078A" w:rsidRPr="00DD2BB0" w14:paraId="25240A7C" w14:textId="77777777" w:rsidTr="00A011F9">
        <w:trPr>
          <w:trHeight w:val="227"/>
        </w:trPr>
        <w:tc>
          <w:tcPr>
            <w:tcW w:w="887" w:type="pct"/>
            <w:vMerge/>
            <w:tcBorders>
              <w:bottom w:val="single" w:sz="4" w:space="0" w:color="auto"/>
            </w:tcBorders>
            <w:shd w:val="clear" w:color="auto" w:fill="DAEEF3" w:themeFill="accent5" w:themeFillTint="33"/>
            <w:vAlign w:val="center"/>
          </w:tcPr>
          <w:p w14:paraId="084F63C8" w14:textId="77777777" w:rsidR="00F3078A" w:rsidRDefault="00F3078A" w:rsidP="00A011F9">
            <w:pPr>
              <w:spacing w:after="0"/>
              <w:contextualSpacing/>
              <w:rPr>
                <w:rFonts w:cstheme="minorHAnsi"/>
                <w:szCs w:val="18"/>
              </w:rPr>
            </w:pPr>
          </w:p>
        </w:tc>
        <w:tc>
          <w:tcPr>
            <w:tcW w:w="855" w:type="pct"/>
            <w:tcBorders>
              <w:top w:val="nil"/>
              <w:bottom w:val="single" w:sz="4" w:space="0" w:color="auto"/>
            </w:tcBorders>
            <w:shd w:val="clear" w:color="auto" w:fill="DAEEF3" w:themeFill="accent5" w:themeFillTint="33"/>
            <w:vAlign w:val="center"/>
          </w:tcPr>
          <w:p w14:paraId="68B3B56A" w14:textId="77777777" w:rsidR="00F3078A" w:rsidRPr="00946FA6" w:rsidRDefault="00F3078A" w:rsidP="00A011F9">
            <w:pPr>
              <w:spacing w:after="0"/>
              <w:contextualSpacing/>
              <w:rPr>
                <w:rFonts w:cstheme="minorHAnsi"/>
                <w:b/>
                <w:color w:val="000000"/>
                <w:szCs w:val="18"/>
              </w:rPr>
            </w:pPr>
            <w:r>
              <w:rPr>
                <w:rFonts w:cstheme="minorHAnsi"/>
                <w:b/>
                <w:szCs w:val="18"/>
              </w:rPr>
              <w:t>Setting</w:t>
            </w:r>
          </w:p>
        </w:tc>
        <w:tc>
          <w:tcPr>
            <w:tcW w:w="350" w:type="pct"/>
            <w:tcBorders>
              <w:top w:val="single" w:sz="4" w:space="0" w:color="auto"/>
              <w:bottom w:val="single" w:sz="2" w:space="0" w:color="BFBFBF" w:themeColor="background1" w:themeShade="BF"/>
            </w:tcBorders>
            <w:shd w:val="clear" w:color="auto" w:fill="DAEEF3" w:themeFill="accent5" w:themeFillTint="33"/>
            <w:vAlign w:val="center"/>
          </w:tcPr>
          <w:p w14:paraId="51438178" w14:textId="77777777" w:rsidR="00F3078A" w:rsidRPr="00FD314C" w:rsidRDefault="00F3078A" w:rsidP="00A011F9">
            <w:pPr>
              <w:spacing w:after="0"/>
              <w:contextualSpacing/>
              <w:jc w:val="center"/>
              <w:rPr>
                <w:rFonts w:cstheme="minorHAnsi"/>
                <w:b/>
                <w:szCs w:val="18"/>
              </w:rPr>
            </w:pPr>
            <w:r w:rsidRPr="00FD314C">
              <w:rPr>
                <w:rFonts w:asciiTheme="minorHAnsi" w:hAnsiTheme="minorHAnsi" w:cstheme="minorHAnsi"/>
                <w:b/>
                <w:szCs w:val="18"/>
              </w:rPr>
              <w:t>NSW</w:t>
            </w:r>
          </w:p>
        </w:tc>
        <w:tc>
          <w:tcPr>
            <w:tcW w:w="350" w:type="pct"/>
            <w:tcBorders>
              <w:top w:val="single" w:sz="4" w:space="0" w:color="auto"/>
              <w:bottom w:val="single" w:sz="2" w:space="0" w:color="BFBFBF" w:themeColor="background1" w:themeShade="BF"/>
            </w:tcBorders>
            <w:shd w:val="clear" w:color="auto" w:fill="DAEEF3" w:themeFill="accent5" w:themeFillTint="33"/>
            <w:vAlign w:val="center"/>
          </w:tcPr>
          <w:p w14:paraId="25CAA9E5" w14:textId="77777777" w:rsidR="00F3078A" w:rsidRPr="00FD314C" w:rsidRDefault="00F3078A" w:rsidP="00A011F9">
            <w:pPr>
              <w:spacing w:after="0"/>
              <w:contextualSpacing/>
              <w:jc w:val="center"/>
              <w:rPr>
                <w:rFonts w:cstheme="minorHAnsi"/>
                <w:b/>
                <w:szCs w:val="18"/>
              </w:rPr>
            </w:pPr>
            <w:r w:rsidRPr="00FD314C">
              <w:rPr>
                <w:rFonts w:asciiTheme="minorHAnsi" w:hAnsiTheme="minorHAnsi" w:cstheme="minorHAnsi"/>
                <w:b/>
                <w:szCs w:val="18"/>
              </w:rPr>
              <w:t>Vic</w:t>
            </w:r>
          </w:p>
        </w:tc>
        <w:tc>
          <w:tcPr>
            <w:tcW w:w="350" w:type="pct"/>
            <w:tcBorders>
              <w:top w:val="single" w:sz="4" w:space="0" w:color="auto"/>
              <w:bottom w:val="single" w:sz="2" w:space="0" w:color="BFBFBF" w:themeColor="background1" w:themeShade="BF"/>
            </w:tcBorders>
            <w:shd w:val="clear" w:color="auto" w:fill="DAEEF3" w:themeFill="accent5" w:themeFillTint="33"/>
            <w:vAlign w:val="center"/>
          </w:tcPr>
          <w:p w14:paraId="6AE46CBD" w14:textId="77777777" w:rsidR="00F3078A" w:rsidRPr="00FD314C" w:rsidRDefault="00F3078A" w:rsidP="00A011F9">
            <w:pPr>
              <w:spacing w:after="0"/>
              <w:contextualSpacing/>
              <w:jc w:val="center"/>
              <w:rPr>
                <w:rFonts w:cstheme="minorHAnsi"/>
                <w:b/>
                <w:szCs w:val="18"/>
              </w:rPr>
            </w:pPr>
            <w:r w:rsidRPr="00FD314C">
              <w:rPr>
                <w:rFonts w:asciiTheme="minorHAnsi" w:hAnsiTheme="minorHAnsi" w:cstheme="minorHAnsi"/>
                <w:b/>
                <w:szCs w:val="18"/>
              </w:rPr>
              <w:t>Qld</w:t>
            </w:r>
          </w:p>
        </w:tc>
        <w:tc>
          <w:tcPr>
            <w:tcW w:w="350" w:type="pct"/>
            <w:tcBorders>
              <w:top w:val="single" w:sz="4" w:space="0" w:color="auto"/>
              <w:bottom w:val="single" w:sz="2" w:space="0" w:color="BFBFBF" w:themeColor="background1" w:themeShade="BF"/>
            </w:tcBorders>
            <w:shd w:val="clear" w:color="auto" w:fill="DAEEF3" w:themeFill="accent5" w:themeFillTint="33"/>
            <w:vAlign w:val="center"/>
          </w:tcPr>
          <w:p w14:paraId="582C717D" w14:textId="77777777" w:rsidR="00F3078A" w:rsidRPr="00FD314C" w:rsidRDefault="00F3078A" w:rsidP="00A011F9">
            <w:pPr>
              <w:spacing w:after="0"/>
              <w:contextualSpacing/>
              <w:jc w:val="center"/>
              <w:rPr>
                <w:rFonts w:cstheme="minorHAnsi"/>
                <w:b/>
                <w:szCs w:val="18"/>
              </w:rPr>
            </w:pPr>
            <w:r w:rsidRPr="00FD314C">
              <w:rPr>
                <w:rFonts w:asciiTheme="minorHAnsi" w:hAnsiTheme="minorHAnsi" w:cstheme="minorHAnsi"/>
                <w:b/>
                <w:szCs w:val="18"/>
              </w:rPr>
              <w:t>SA</w:t>
            </w:r>
          </w:p>
        </w:tc>
        <w:tc>
          <w:tcPr>
            <w:tcW w:w="350" w:type="pct"/>
            <w:tcBorders>
              <w:top w:val="single" w:sz="4" w:space="0" w:color="auto"/>
              <w:bottom w:val="single" w:sz="2" w:space="0" w:color="BFBFBF" w:themeColor="background1" w:themeShade="BF"/>
            </w:tcBorders>
            <w:shd w:val="clear" w:color="auto" w:fill="DAEEF3" w:themeFill="accent5" w:themeFillTint="33"/>
            <w:vAlign w:val="center"/>
          </w:tcPr>
          <w:p w14:paraId="3C0AB8BA" w14:textId="77777777" w:rsidR="00F3078A" w:rsidRPr="00FD314C" w:rsidRDefault="00F3078A" w:rsidP="00A011F9">
            <w:pPr>
              <w:spacing w:after="0"/>
              <w:contextualSpacing/>
              <w:jc w:val="center"/>
              <w:rPr>
                <w:rFonts w:cstheme="minorHAnsi"/>
                <w:b/>
                <w:szCs w:val="18"/>
              </w:rPr>
            </w:pPr>
            <w:r w:rsidRPr="00FD314C">
              <w:rPr>
                <w:rFonts w:asciiTheme="minorHAnsi" w:hAnsiTheme="minorHAnsi" w:cstheme="minorHAnsi"/>
                <w:b/>
                <w:szCs w:val="18"/>
              </w:rPr>
              <w:t>WA</w:t>
            </w:r>
          </w:p>
        </w:tc>
        <w:tc>
          <w:tcPr>
            <w:tcW w:w="350" w:type="pct"/>
            <w:tcBorders>
              <w:top w:val="single" w:sz="4" w:space="0" w:color="auto"/>
              <w:bottom w:val="single" w:sz="2" w:space="0" w:color="BFBFBF" w:themeColor="background1" w:themeShade="BF"/>
            </w:tcBorders>
            <w:shd w:val="clear" w:color="auto" w:fill="DAEEF3" w:themeFill="accent5" w:themeFillTint="33"/>
            <w:vAlign w:val="center"/>
          </w:tcPr>
          <w:p w14:paraId="025D9C21" w14:textId="77777777" w:rsidR="00F3078A" w:rsidRPr="00FD314C" w:rsidRDefault="00F3078A" w:rsidP="00A011F9">
            <w:pPr>
              <w:spacing w:after="0"/>
              <w:contextualSpacing/>
              <w:jc w:val="center"/>
              <w:rPr>
                <w:rFonts w:cstheme="minorHAnsi"/>
                <w:b/>
                <w:szCs w:val="18"/>
              </w:rPr>
            </w:pPr>
            <w:proofErr w:type="spellStart"/>
            <w:r w:rsidRPr="00FD314C">
              <w:rPr>
                <w:rFonts w:asciiTheme="minorHAnsi" w:hAnsiTheme="minorHAnsi" w:cstheme="minorHAnsi"/>
                <w:b/>
                <w:szCs w:val="18"/>
              </w:rPr>
              <w:t>Tas</w:t>
            </w:r>
            <w:proofErr w:type="spellEnd"/>
          </w:p>
        </w:tc>
        <w:tc>
          <w:tcPr>
            <w:tcW w:w="350" w:type="pct"/>
            <w:tcBorders>
              <w:top w:val="single" w:sz="4" w:space="0" w:color="auto"/>
              <w:bottom w:val="single" w:sz="2" w:space="0" w:color="BFBFBF" w:themeColor="background1" w:themeShade="BF"/>
            </w:tcBorders>
            <w:shd w:val="clear" w:color="auto" w:fill="DAEEF3" w:themeFill="accent5" w:themeFillTint="33"/>
            <w:vAlign w:val="center"/>
          </w:tcPr>
          <w:p w14:paraId="5C3B4852" w14:textId="77777777" w:rsidR="00F3078A" w:rsidRPr="00FD314C" w:rsidRDefault="00F3078A" w:rsidP="00A011F9">
            <w:pPr>
              <w:spacing w:after="0"/>
              <w:contextualSpacing/>
              <w:jc w:val="center"/>
              <w:rPr>
                <w:rFonts w:cstheme="minorHAnsi"/>
                <w:b/>
                <w:szCs w:val="18"/>
              </w:rPr>
            </w:pPr>
            <w:r w:rsidRPr="00FD314C">
              <w:rPr>
                <w:rFonts w:asciiTheme="minorHAnsi" w:hAnsiTheme="minorHAnsi" w:cstheme="minorHAnsi"/>
                <w:b/>
                <w:szCs w:val="18"/>
              </w:rPr>
              <w:t>NT</w:t>
            </w:r>
          </w:p>
        </w:tc>
        <w:tc>
          <w:tcPr>
            <w:tcW w:w="351" w:type="pct"/>
            <w:tcBorders>
              <w:top w:val="single" w:sz="4" w:space="0" w:color="auto"/>
              <w:bottom w:val="single" w:sz="2" w:space="0" w:color="BFBFBF" w:themeColor="background1" w:themeShade="BF"/>
            </w:tcBorders>
            <w:shd w:val="clear" w:color="auto" w:fill="DAEEF3" w:themeFill="accent5" w:themeFillTint="33"/>
            <w:vAlign w:val="center"/>
          </w:tcPr>
          <w:p w14:paraId="695263AE" w14:textId="77777777" w:rsidR="00F3078A" w:rsidRPr="00FD314C" w:rsidRDefault="00F3078A" w:rsidP="00A011F9">
            <w:pPr>
              <w:spacing w:after="0"/>
              <w:contextualSpacing/>
              <w:jc w:val="center"/>
              <w:rPr>
                <w:rFonts w:cstheme="minorHAnsi"/>
                <w:b/>
                <w:szCs w:val="18"/>
              </w:rPr>
            </w:pPr>
            <w:r w:rsidRPr="00FD314C">
              <w:rPr>
                <w:rFonts w:asciiTheme="minorHAnsi" w:hAnsiTheme="minorHAnsi" w:cstheme="minorHAnsi"/>
                <w:b/>
                <w:szCs w:val="18"/>
              </w:rPr>
              <w:t>ACT</w:t>
            </w:r>
          </w:p>
        </w:tc>
        <w:tc>
          <w:tcPr>
            <w:tcW w:w="456" w:type="pct"/>
            <w:tcBorders>
              <w:top w:val="nil"/>
              <w:bottom w:val="single" w:sz="4" w:space="0" w:color="auto"/>
            </w:tcBorders>
            <w:shd w:val="clear" w:color="auto" w:fill="DAEEF3" w:themeFill="accent5" w:themeFillTint="33"/>
          </w:tcPr>
          <w:p w14:paraId="18C6FEA7" w14:textId="3337E699" w:rsidR="00F3078A" w:rsidRPr="00946FA6" w:rsidRDefault="007301AE" w:rsidP="00A011F9">
            <w:pPr>
              <w:spacing w:after="0"/>
              <w:contextualSpacing/>
              <w:jc w:val="center"/>
              <w:rPr>
                <w:rFonts w:cstheme="minorHAnsi"/>
                <w:b/>
                <w:szCs w:val="18"/>
              </w:rPr>
            </w:pPr>
            <w:r>
              <w:rPr>
                <w:rFonts w:cstheme="minorHAnsi"/>
                <w:b/>
                <w:szCs w:val="18"/>
              </w:rPr>
              <w:t>Total</w:t>
            </w:r>
          </w:p>
        </w:tc>
      </w:tr>
      <w:tr w:rsidR="00F3078A" w:rsidRPr="00DD2BB0" w14:paraId="55444E69" w14:textId="77777777" w:rsidTr="00A011F9">
        <w:trPr>
          <w:trHeight w:val="227"/>
        </w:trPr>
        <w:tc>
          <w:tcPr>
            <w:tcW w:w="887" w:type="pct"/>
            <w:tcBorders>
              <w:top w:val="single" w:sz="4" w:space="0" w:color="auto"/>
              <w:bottom w:val="nil"/>
            </w:tcBorders>
            <w:shd w:val="clear" w:color="auto" w:fill="auto"/>
            <w:vAlign w:val="center"/>
          </w:tcPr>
          <w:p w14:paraId="72B30B43" w14:textId="77777777" w:rsidR="00F3078A" w:rsidRDefault="00F3078A" w:rsidP="00A011F9">
            <w:pPr>
              <w:spacing w:after="0"/>
              <w:contextualSpacing/>
              <w:rPr>
                <w:rFonts w:cstheme="minorHAnsi"/>
                <w:szCs w:val="18"/>
              </w:rPr>
            </w:pPr>
            <w:r>
              <w:rPr>
                <w:rFonts w:cstheme="minorHAnsi"/>
                <w:szCs w:val="18"/>
              </w:rPr>
              <w:t>IMP</w:t>
            </w:r>
          </w:p>
        </w:tc>
        <w:tc>
          <w:tcPr>
            <w:tcW w:w="855" w:type="pct"/>
            <w:tcBorders>
              <w:top w:val="single" w:sz="4" w:space="0" w:color="auto"/>
              <w:bottom w:val="single" w:sz="2" w:space="0" w:color="BFBFBF" w:themeColor="background1" w:themeShade="BF"/>
            </w:tcBorders>
            <w:shd w:val="clear" w:color="auto" w:fill="EEECE1" w:themeFill="background2"/>
            <w:vAlign w:val="center"/>
          </w:tcPr>
          <w:p w14:paraId="59C40FD6" w14:textId="77777777" w:rsidR="00F3078A" w:rsidRPr="00946FA6" w:rsidRDefault="00F3078A" w:rsidP="00A011F9">
            <w:pPr>
              <w:spacing w:after="0"/>
              <w:contextualSpacing/>
              <w:rPr>
                <w:rFonts w:cstheme="minorHAnsi"/>
                <w:b/>
                <w:color w:val="000000"/>
                <w:szCs w:val="18"/>
              </w:rPr>
            </w:pPr>
            <w:r w:rsidRPr="00946FA6">
              <w:rPr>
                <w:rFonts w:cstheme="minorHAnsi"/>
                <w:b/>
                <w:color w:val="000000"/>
                <w:szCs w:val="18"/>
              </w:rPr>
              <w:t>Total</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51A06061" w14:textId="77777777" w:rsidR="00F3078A" w:rsidRPr="00946FA6" w:rsidRDefault="00F3078A" w:rsidP="00A011F9">
            <w:pPr>
              <w:spacing w:after="0"/>
              <w:contextualSpacing/>
              <w:jc w:val="center"/>
              <w:rPr>
                <w:rFonts w:cstheme="minorHAnsi"/>
                <w:b/>
                <w:color w:val="000000"/>
                <w:szCs w:val="18"/>
              </w:rPr>
            </w:pPr>
            <w:r w:rsidRPr="00946FA6">
              <w:rPr>
                <w:rFonts w:asciiTheme="minorHAnsi" w:hAnsiTheme="minorHAnsi" w:cstheme="minorHAnsi"/>
                <w:b/>
                <w:szCs w:val="18"/>
              </w:rPr>
              <w:t>37</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109E48B3" w14:textId="77777777" w:rsidR="00F3078A" w:rsidRPr="00946FA6" w:rsidRDefault="00F3078A" w:rsidP="00A011F9">
            <w:pPr>
              <w:spacing w:after="0"/>
              <w:contextualSpacing/>
              <w:jc w:val="center"/>
              <w:rPr>
                <w:rFonts w:cstheme="minorHAnsi"/>
                <w:b/>
                <w:color w:val="000000"/>
                <w:szCs w:val="18"/>
              </w:rPr>
            </w:pPr>
            <w:r w:rsidRPr="00946FA6">
              <w:rPr>
                <w:rFonts w:asciiTheme="minorHAnsi" w:hAnsiTheme="minorHAnsi" w:cstheme="minorHAnsi"/>
                <w:b/>
                <w:szCs w:val="18"/>
              </w:rPr>
              <w:t>47</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2357BE3D" w14:textId="77777777" w:rsidR="00F3078A" w:rsidRPr="00946FA6" w:rsidRDefault="00F3078A" w:rsidP="00A011F9">
            <w:pPr>
              <w:spacing w:after="0"/>
              <w:contextualSpacing/>
              <w:jc w:val="center"/>
              <w:rPr>
                <w:rFonts w:cstheme="minorHAnsi"/>
                <w:b/>
                <w:color w:val="000000"/>
                <w:szCs w:val="18"/>
              </w:rPr>
            </w:pPr>
            <w:r w:rsidRPr="00946FA6">
              <w:rPr>
                <w:rFonts w:asciiTheme="minorHAnsi" w:hAnsiTheme="minorHAnsi" w:cstheme="minorHAnsi"/>
                <w:b/>
                <w:szCs w:val="18"/>
              </w:rPr>
              <w:t>19</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782A0160" w14:textId="77777777" w:rsidR="00F3078A" w:rsidRPr="00946FA6" w:rsidRDefault="00F3078A" w:rsidP="00A011F9">
            <w:pPr>
              <w:spacing w:after="0"/>
              <w:contextualSpacing/>
              <w:jc w:val="center"/>
              <w:rPr>
                <w:rFonts w:cstheme="minorHAnsi"/>
                <w:b/>
                <w:szCs w:val="18"/>
              </w:rPr>
            </w:pPr>
            <w:r w:rsidRPr="00946FA6">
              <w:rPr>
                <w:rFonts w:asciiTheme="minorHAnsi" w:hAnsiTheme="minorHAnsi" w:cstheme="minorHAnsi"/>
                <w:b/>
                <w:szCs w:val="18"/>
              </w:rPr>
              <w:t>0</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7E83AA32" w14:textId="77777777" w:rsidR="00F3078A" w:rsidRPr="00946FA6" w:rsidRDefault="00F3078A" w:rsidP="00A011F9">
            <w:pPr>
              <w:spacing w:after="0"/>
              <w:contextualSpacing/>
              <w:jc w:val="center"/>
              <w:rPr>
                <w:rFonts w:cstheme="minorHAnsi"/>
                <w:b/>
                <w:color w:val="000000"/>
                <w:szCs w:val="18"/>
              </w:rPr>
            </w:pPr>
            <w:r w:rsidRPr="00946FA6">
              <w:rPr>
                <w:rFonts w:asciiTheme="minorHAnsi" w:hAnsiTheme="minorHAnsi" w:cstheme="minorHAnsi"/>
                <w:b/>
                <w:szCs w:val="18"/>
              </w:rPr>
              <w:t>2</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1C2536C7" w14:textId="77777777" w:rsidR="00F3078A" w:rsidRPr="00946FA6" w:rsidRDefault="00F3078A" w:rsidP="00A011F9">
            <w:pPr>
              <w:spacing w:after="0"/>
              <w:contextualSpacing/>
              <w:jc w:val="center"/>
              <w:rPr>
                <w:rFonts w:cstheme="minorHAnsi"/>
                <w:b/>
                <w:szCs w:val="18"/>
              </w:rPr>
            </w:pPr>
            <w:r w:rsidRPr="00946FA6">
              <w:rPr>
                <w:rFonts w:asciiTheme="minorHAnsi" w:hAnsiTheme="minorHAnsi" w:cstheme="minorHAnsi"/>
                <w:b/>
                <w:szCs w:val="18"/>
              </w:rPr>
              <w:t>0</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5AB33873" w14:textId="77777777" w:rsidR="00F3078A" w:rsidRPr="00946FA6" w:rsidRDefault="00F3078A" w:rsidP="00A011F9">
            <w:pPr>
              <w:spacing w:after="0"/>
              <w:contextualSpacing/>
              <w:jc w:val="center"/>
              <w:rPr>
                <w:rFonts w:cstheme="minorHAnsi"/>
                <w:b/>
                <w:szCs w:val="18"/>
              </w:rPr>
            </w:pPr>
            <w:r w:rsidRPr="00946FA6">
              <w:rPr>
                <w:rFonts w:asciiTheme="minorHAnsi" w:hAnsiTheme="minorHAnsi" w:cstheme="minorHAnsi"/>
                <w:b/>
                <w:szCs w:val="18"/>
              </w:rPr>
              <w:t>0</w:t>
            </w:r>
          </w:p>
        </w:tc>
        <w:tc>
          <w:tcPr>
            <w:tcW w:w="351" w:type="pct"/>
            <w:tcBorders>
              <w:top w:val="single" w:sz="4" w:space="0" w:color="auto"/>
              <w:bottom w:val="single" w:sz="2" w:space="0" w:color="BFBFBF" w:themeColor="background1" w:themeShade="BF"/>
            </w:tcBorders>
            <w:shd w:val="clear" w:color="auto" w:fill="EEECE1" w:themeFill="background2"/>
            <w:vAlign w:val="center"/>
          </w:tcPr>
          <w:p w14:paraId="28896A8C" w14:textId="77777777" w:rsidR="00F3078A" w:rsidRPr="00946FA6" w:rsidRDefault="00F3078A" w:rsidP="00A011F9">
            <w:pPr>
              <w:spacing w:after="0"/>
              <w:contextualSpacing/>
              <w:jc w:val="center"/>
              <w:rPr>
                <w:rFonts w:cstheme="minorHAnsi"/>
                <w:b/>
                <w:szCs w:val="18"/>
              </w:rPr>
            </w:pPr>
            <w:r w:rsidRPr="00946FA6">
              <w:rPr>
                <w:rFonts w:asciiTheme="minorHAnsi" w:hAnsiTheme="minorHAnsi" w:cstheme="minorHAnsi"/>
                <w:b/>
                <w:szCs w:val="18"/>
              </w:rPr>
              <w:t>0</w:t>
            </w:r>
          </w:p>
        </w:tc>
        <w:tc>
          <w:tcPr>
            <w:tcW w:w="456" w:type="pct"/>
            <w:tcBorders>
              <w:top w:val="single" w:sz="4" w:space="0" w:color="auto"/>
              <w:bottom w:val="single" w:sz="2" w:space="0" w:color="BFBFBF" w:themeColor="background1" w:themeShade="BF"/>
            </w:tcBorders>
            <w:shd w:val="clear" w:color="auto" w:fill="EEECE1" w:themeFill="background2"/>
          </w:tcPr>
          <w:p w14:paraId="3AC93D60" w14:textId="77777777" w:rsidR="00F3078A" w:rsidRPr="00946FA6" w:rsidRDefault="00F3078A" w:rsidP="00A011F9">
            <w:pPr>
              <w:spacing w:after="0"/>
              <w:contextualSpacing/>
              <w:jc w:val="center"/>
              <w:rPr>
                <w:rFonts w:cstheme="minorHAnsi"/>
                <w:b/>
                <w:szCs w:val="18"/>
              </w:rPr>
            </w:pPr>
            <w:r>
              <w:rPr>
                <w:rFonts w:cstheme="minorHAnsi"/>
                <w:b/>
                <w:szCs w:val="18"/>
              </w:rPr>
              <w:t>105</w:t>
            </w:r>
          </w:p>
        </w:tc>
      </w:tr>
      <w:tr w:rsidR="00F3078A" w:rsidRPr="00DD2BB0" w14:paraId="4C083B5B" w14:textId="77777777" w:rsidTr="00A011F9">
        <w:trPr>
          <w:trHeight w:val="227"/>
        </w:trPr>
        <w:tc>
          <w:tcPr>
            <w:tcW w:w="887" w:type="pct"/>
            <w:tcBorders>
              <w:top w:val="nil"/>
            </w:tcBorders>
            <w:shd w:val="clear" w:color="auto" w:fill="auto"/>
            <w:vAlign w:val="center"/>
          </w:tcPr>
          <w:p w14:paraId="3880F760" w14:textId="77777777" w:rsidR="00F3078A" w:rsidRPr="00DD2BB0" w:rsidRDefault="00F3078A" w:rsidP="00A011F9">
            <w:pPr>
              <w:spacing w:after="0"/>
              <w:contextualSpacing/>
              <w:rPr>
                <w:rFonts w:asciiTheme="minorHAnsi" w:hAnsiTheme="minorHAnsi" w:cstheme="minorHAnsi"/>
                <w:szCs w:val="18"/>
              </w:rPr>
            </w:pPr>
          </w:p>
        </w:tc>
        <w:tc>
          <w:tcPr>
            <w:tcW w:w="855" w:type="pct"/>
            <w:tcBorders>
              <w:top w:val="single" w:sz="2" w:space="0" w:color="BFBFBF" w:themeColor="background1" w:themeShade="BF"/>
              <w:bottom w:val="single" w:sz="2" w:space="0" w:color="BFBFBF" w:themeColor="background1" w:themeShade="BF"/>
              <w:right w:val="nil"/>
            </w:tcBorders>
            <w:vAlign w:val="center"/>
          </w:tcPr>
          <w:p w14:paraId="469EE090" w14:textId="77777777" w:rsidR="00F3078A" w:rsidRPr="00BD10A4" w:rsidRDefault="00F3078A" w:rsidP="00A011F9">
            <w:pPr>
              <w:spacing w:after="0"/>
              <w:contextualSpacing/>
              <w:rPr>
                <w:rFonts w:cstheme="minorHAnsi"/>
                <w:color w:val="000000"/>
                <w:szCs w:val="18"/>
              </w:rPr>
            </w:pPr>
            <w:r w:rsidRPr="00DD2BB0">
              <w:rPr>
                <w:rFonts w:asciiTheme="minorHAnsi" w:hAnsiTheme="minorHAnsi" w:cstheme="minorHAnsi"/>
                <w:szCs w:val="18"/>
              </w:rPr>
              <w:t>Public hospital</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5819C11D" w14:textId="77777777" w:rsidR="00F3078A" w:rsidRPr="00DD2BB0" w:rsidRDefault="00F3078A" w:rsidP="00A011F9">
            <w:pPr>
              <w:spacing w:after="0"/>
              <w:contextualSpacing/>
              <w:jc w:val="center"/>
              <w:rPr>
                <w:rFonts w:asciiTheme="minorHAnsi" w:hAnsiTheme="minorHAnsi" w:cstheme="minorHAnsi"/>
                <w:szCs w:val="18"/>
              </w:rPr>
            </w:pPr>
            <w:r w:rsidRPr="00BD10A4">
              <w:rPr>
                <w:rFonts w:asciiTheme="minorHAnsi" w:hAnsiTheme="minorHAnsi" w:cstheme="minorHAnsi"/>
                <w:color w:val="000000"/>
                <w:szCs w:val="18"/>
              </w:rPr>
              <w:t>36</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6F125657" w14:textId="77777777" w:rsidR="00F3078A" w:rsidRPr="00DD2BB0" w:rsidRDefault="00F3078A" w:rsidP="00A011F9">
            <w:pPr>
              <w:spacing w:after="0"/>
              <w:contextualSpacing/>
              <w:jc w:val="center"/>
              <w:rPr>
                <w:rFonts w:asciiTheme="minorHAnsi" w:hAnsiTheme="minorHAnsi" w:cstheme="minorHAnsi"/>
                <w:szCs w:val="18"/>
              </w:rPr>
            </w:pPr>
            <w:r w:rsidRPr="00BD10A4">
              <w:rPr>
                <w:rFonts w:asciiTheme="minorHAnsi" w:hAnsiTheme="minorHAnsi" w:cstheme="minorHAnsi"/>
                <w:color w:val="000000"/>
                <w:szCs w:val="18"/>
              </w:rPr>
              <w:t>45</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2D873B85" w14:textId="77777777" w:rsidR="00F3078A" w:rsidRPr="00DD2BB0" w:rsidRDefault="00F3078A" w:rsidP="00A011F9">
            <w:pPr>
              <w:spacing w:after="0"/>
              <w:contextualSpacing/>
              <w:jc w:val="center"/>
              <w:rPr>
                <w:rFonts w:asciiTheme="minorHAnsi" w:hAnsiTheme="minorHAnsi" w:cstheme="minorHAnsi"/>
                <w:szCs w:val="18"/>
              </w:rPr>
            </w:pPr>
            <w:r w:rsidRPr="00BD10A4">
              <w:rPr>
                <w:rFonts w:asciiTheme="minorHAnsi" w:hAnsiTheme="minorHAnsi" w:cstheme="minorHAnsi"/>
                <w:color w:val="000000"/>
                <w:szCs w:val="18"/>
              </w:rPr>
              <w:t>8</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38033728"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6E67CB33" w14:textId="77777777" w:rsidR="00F3078A" w:rsidRPr="00DD2BB0" w:rsidRDefault="00F3078A" w:rsidP="00A011F9">
            <w:pPr>
              <w:spacing w:after="0"/>
              <w:contextualSpacing/>
              <w:jc w:val="center"/>
              <w:rPr>
                <w:rFonts w:asciiTheme="minorHAnsi" w:hAnsiTheme="minorHAnsi" w:cstheme="minorHAnsi"/>
                <w:szCs w:val="18"/>
              </w:rPr>
            </w:pPr>
            <w:r w:rsidRPr="00BD10A4">
              <w:rPr>
                <w:rFonts w:asciiTheme="minorHAnsi" w:hAnsiTheme="minorHAnsi" w:cstheme="minorHAnsi"/>
                <w:color w:val="000000"/>
                <w:szCs w:val="18"/>
              </w:rPr>
              <w:t>1</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1EEB6348"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474C8F75"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1" w:type="pct"/>
            <w:tcBorders>
              <w:top w:val="single" w:sz="2" w:space="0" w:color="BFBFBF" w:themeColor="background1" w:themeShade="BF"/>
              <w:left w:val="nil"/>
              <w:bottom w:val="single" w:sz="2" w:space="0" w:color="BFBFBF" w:themeColor="background1" w:themeShade="BF"/>
            </w:tcBorders>
            <w:vAlign w:val="center"/>
          </w:tcPr>
          <w:p w14:paraId="5F284E39"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56" w:type="pct"/>
            <w:tcBorders>
              <w:top w:val="single" w:sz="2" w:space="0" w:color="BFBFBF" w:themeColor="background1" w:themeShade="BF"/>
              <w:left w:val="nil"/>
              <w:bottom w:val="single" w:sz="2" w:space="0" w:color="BFBFBF" w:themeColor="background1" w:themeShade="BF"/>
            </w:tcBorders>
          </w:tcPr>
          <w:p w14:paraId="284DCEEE" w14:textId="77777777" w:rsidR="00F3078A" w:rsidRDefault="00F3078A" w:rsidP="00A011F9">
            <w:pPr>
              <w:spacing w:after="0"/>
              <w:contextualSpacing/>
              <w:jc w:val="center"/>
              <w:rPr>
                <w:rFonts w:cstheme="minorHAnsi"/>
                <w:szCs w:val="18"/>
              </w:rPr>
            </w:pPr>
            <w:r>
              <w:rPr>
                <w:rFonts w:cstheme="minorHAnsi"/>
                <w:szCs w:val="18"/>
              </w:rPr>
              <w:t>90</w:t>
            </w:r>
          </w:p>
        </w:tc>
      </w:tr>
      <w:tr w:rsidR="00F3078A" w:rsidRPr="00DD2BB0" w14:paraId="0288A229" w14:textId="77777777" w:rsidTr="00A011F9">
        <w:trPr>
          <w:trHeight w:val="227"/>
        </w:trPr>
        <w:tc>
          <w:tcPr>
            <w:tcW w:w="887" w:type="pct"/>
            <w:shd w:val="clear" w:color="auto" w:fill="auto"/>
            <w:vAlign w:val="center"/>
          </w:tcPr>
          <w:p w14:paraId="72D9E30E" w14:textId="77777777" w:rsidR="00F3078A" w:rsidRPr="00DD2BB0" w:rsidRDefault="00F3078A" w:rsidP="00A011F9">
            <w:pPr>
              <w:spacing w:after="0"/>
              <w:contextualSpacing/>
              <w:rPr>
                <w:rFonts w:asciiTheme="minorHAnsi" w:hAnsiTheme="minorHAnsi" w:cstheme="minorHAnsi"/>
                <w:szCs w:val="18"/>
              </w:rPr>
            </w:pPr>
          </w:p>
        </w:tc>
        <w:tc>
          <w:tcPr>
            <w:tcW w:w="855" w:type="pct"/>
            <w:tcBorders>
              <w:top w:val="single" w:sz="2" w:space="0" w:color="BFBFBF" w:themeColor="background1" w:themeShade="BF"/>
              <w:bottom w:val="single" w:sz="2" w:space="0" w:color="BFBFBF" w:themeColor="background1" w:themeShade="BF"/>
              <w:right w:val="nil"/>
            </w:tcBorders>
            <w:vAlign w:val="center"/>
          </w:tcPr>
          <w:p w14:paraId="2BE8777D" w14:textId="77777777" w:rsidR="00F3078A" w:rsidRPr="00BD10A4" w:rsidRDefault="00F3078A" w:rsidP="00A011F9">
            <w:pPr>
              <w:spacing w:after="0"/>
              <w:contextualSpacing/>
              <w:rPr>
                <w:rFonts w:cstheme="minorHAnsi"/>
                <w:color w:val="000000"/>
                <w:szCs w:val="18"/>
              </w:rPr>
            </w:pPr>
            <w:r w:rsidRPr="00DD2BB0">
              <w:rPr>
                <w:rFonts w:asciiTheme="minorHAnsi" w:hAnsiTheme="minorHAnsi" w:cstheme="minorHAnsi"/>
                <w:szCs w:val="18"/>
              </w:rPr>
              <w:t>Private hospital</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103CC35D" w14:textId="77777777" w:rsidR="00F3078A" w:rsidRPr="00DD2BB0" w:rsidRDefault="00F3078A" w:rsidP="00A011F9">
            <w:pPr>
              <w:spacing w:after="0"/>
              <w:contextualSpacing/>
              <w:jc w:val="center"/>
              <w:rPr>
                <w:rFonts w:asciiTheme="minorHAnsi" w:hAnsiTheme="minorHAnsi" w:cstheme="minorHAnsi"/>
                <w:color w:val="000000"/>
                <w:szCs w:val="18"/>
              </w:rPr>
            </w:pPr>
            <w:r w:rsidRPr="00BD10A4">
              <w:rPr>
                <w:rFonts w:asciiTheme="minorHAnsi" w:hAnsiTheme="minorHAnsi" w:cstheme="minorHAnsi"/>
                <w:color w:val="000000"/>
                <w:szCs w:val="18"/>
              </w:rPr>
              <w:t>1</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061F8F2B" w14:textId="77777777" w:rsidR="00F3078A" w:rsidRPr="00DD2BB0" w:rsidRDefault="00F3078A" w:rsidP="00A011F9">
            <w:pPr>
              <w:spacing w:after="0"/>
              <w:contextualSpacing/>
              <w:jc w:val="center"/>
              <w:rPr>
                <w:rFonts w:asciiTheme="minorHAnsi" w:hAnsiTheme="minorHAnsi" w:cstheme="minorHAnsi"/>
                <w:szCs w:val="18"/>
              </w:rPr>
            </w:pPr>
            <w:r w:rsidRPr="00BD10A4">
              <w:rPr>
                <w:rFonts w:asciiTheme="minorHAnsi" w:hAnsiTheme="minorHAnsi" w:cstheme="minorHAnsi"/>
                <w:color w:val="000000"/>
                <w:szCs w:val="18"/>
              </w:rPr>
              <w:t>1</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03C429EF" w14:textId="77777777" w:rsidR="00F3078A" w:rsidRPr="00DD2BB0" w:rsidRDefault="00F3078A" w:rsidP="00A011F9">
            <w:pPr>
              <w:spacing w:after="0"/>
              <w:contextualSpacing/>
              <w:jc w:val="center"/>
              <w:rPr>
                <w:rFonts w:asciiTheme="minorHAnsi" w:hAnsiTheme="minorHAnsi" w:cstheme="minorHAnsi"/>
                <w:szCs w:val="18"/>
              </w:rPr>
            </w:pPr>
            <w:r w:rsidRPr="00BD10A4">
              <w:rPr>
                <w:rFonts w:asciiTheme="minorHAnsi" w:hAnsiTheme="minorHAnsi" w:cstheme="minorHAnsi"/>
                <w:color w:val="000000"/>
                <w:szCs w:val="18"/>
              </w:rPr>
              <w:t>10</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178969FA"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0DB35F7C"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3562CC59"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2A4643EE"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1" w:type="pct"/>
            <w:tcBorders>
              <w:top w:val="single" w:sz="2" w:space="0" w:color="BFBFBF" w:themeColor="background1" w:themeShade="BF"/>
              <w:left w:val="nil"/>
              <w:bottom w:val="single" w:sz="2" w:space="0" w:color="BFBFBF" w:themeColor="background1" w:themeShade="BF"/>
            </w:tcBorders>
            <w:vAlign w:val="center"/>
          </w:tcPr>
          <w:p w14:paraId="64A8D3E1"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56" w:type="pct"/>
            <w:tcBorders>
              <w:top w:val="single" w:sz="2" w:space="0" w:color="BFBFBF" w:themeColor="background1" w:themeShade="BF"/>
              <w:left w:val="nil"/>
              <w:bottom w:val="single" w:sz="2" w:space="0" w:color="BFBFBF" w:themeColor="background1" w:themeShade="BF"/>
            </w:tcBorders>
          </w:tcPr>
          <w:p w14:paraId="3BD55773" w14:textId="77777777" w:rsidR="00F3078A" w:rsidRDefault="00F3078A" w:rsidP="00A011F9">
            <w:pPr>
              <w:spacing w:after="0"/>
              <w:contextualSpacing/>
              <w:jc w:val="center"/>
              <w:rPr>
                <w:rFonts w:cstheme="minorHAnsi"/>
                <w:szCs w:val="18"/>
              </w:rPr>
            </w:pPr>
            <w:r>
              <w:rPr>
                <w:rFonts w:cstheme="minorHAnsi"/>
                <w:szCs w:val="18"/>
              </w:rPr>
              <w:t>12</w:t>
            </w:r>
          </w:p>
        </w:tc>
      </w:tr>
      <w:tr w:rsidR="00F3078A" w:rsidRPr="00DD2BB0" w14:paraId="77C4983F" w14:textId="77777777" w:rsidTr="00A011F9">
        <w:trPr>
          <w:trHeight w:val="227"/>
        </w:trPr>
        <w:tc>
          <w:tcPr>
            <w:tcW w:w="887" w:type="pct"/>
            <w:shd w:val="clear" w:color="auto" w:fill="auto"/>
            <w:vAlign w:val="center"/>
          </w:tcPr>
          <w:p w14:paraId="4EC1A808" w14:textId="77777777" w:rsidR="00F3078A" w:rsidRPr="00DD2BB0" w:rsidRDefault="00F3078A" w:rsidP="00A011F9">
            <w:pPr>
              <w:spacing w:after="0"/>
              <w:contextualSpacing/>
              <w:rPr>
                <w:rFonts w:asciiTheme="minorHAnsi" w:hAnsiTheme="minorHAnsi" w:cstheme="minorHAnsi"/>
                <w:szCs w:val="18"/>
              </w:rPr>
            </w:pPr>
          </w:p>
        </w:tc>
        <w:tc>
          <w:tcPr>
            <w:tcW w:w="855" w:type="pct"/>
            <w:tcBorders>
              <w:top w:val="single" w:sz="2" w:space="0" w:color="BFBFBF" w:themeColor="background1" w:themeShade="BF"/>
              <w:bottom w:val="single" w:sz="2" w:space="0" w:color="BFBFBF" w:themeColor="background1" w:themeShade="BF"/>
              <w:right w:val="nil"/>
            </w:tcBorders>
            <w:vAlign w:val="center"/>
          </w:tcPr>
          <w:p w14:paraId="76580A08" w14:textId="77777777" w:rsidR="00F3078A" w:rsidRPr="00DD2BB0" w:rsidRDefault="00F3078A" w:rsidP="00A011F9">
            <w:pPr>
              <w:spacing w:after="0"/>
              <w:contextualSpacing/>
              <w:rPr>
                <w:rFonts w:cstheme="minorHAnsi"/>
                <w:color w:val="000000"/>
                <w:szCs w:val="18"/>
              </w:rPr>
            </w:pPr>
            <w:r w:rsidRPr="00DD2BB0">
              <w:rPr>
                <w:rFonts w:asciiTheme="minorHAnsi" w:hAnsiTheme="minorHAnsi" w:cstheme="minorHAnsi"/>
                <w:szCs w:val="18"/>
              </w:rPr>
              <w:t>Aged care home</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2A85BE8F" w14:textId="77777777" w:rsidR="00F3078A" w:rsidRPr="00DD2BB0" w:rsidRDefault="00F3078A" w:rsidP="00A011F9">
            <w:pPr>
              <w:spacing w:after="0"/>
              <w:contextualSpacing/>
              <w:jc w:val="center"/>
              <w:rPr>
                <w:rFonts w:asciiTheme="minorHAnsi" w:hAnsiTheme="minorHAnsi" w:cstheme="minorHAnsi"/>
                <w:color w:val="000000"/>
                <w:szCs w:val="18"/>
              </w:rPr>
            </w:pPr>
            <w:r>
              <w:rPr>
                <w:rFonts w:asciiTheme="minorHAnsi" w:hAnsiTheme="minorHAnsi" w:cstheme="minorHAnsi"/>
                <w:color w:val="000000"/>
                <w:szCs w:val="18"/>
              </w:rPr>
              <w:t>0</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67EC2BC5"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6A580AC4" w14:textId="77777777" w:rsidR="00F3078A" w:rsidRPr="00DD2BB0" w:rsidRDefault="00F3078A" w:rsidP="00A011F9">
            <w:pPr>
              <w:spacing w:after="0"/>
              <w:contextualSpacing/>
              <w:jc w:val="center"/>
              <w:rPr>
                <w:rFonts w:asciiTheme="minorHAnsi" w:hAnsiTheme="minorHAnsi" w:cstheme="minorHAnsi"/>
                <w:szCs w:val="18"/>
              </w:rPr>
            </w:pPr>
            <w:r w:rsidRPr="00BD10A4">
              <w:rPr>
                <w:rFonts w:asciiTheme="minorHAnsi" w:hAnsiTheme="minorHAnsi" w:cstheme="minorHAnsi"/>
                <w:color w:val="000000"/>
                <w:szCs w:val="18"/>
              </w:rPr>
              <w:t>1</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4EA1F81D"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36B8547E"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588E2516"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6031A97D"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1" w:type="pct"/>
            <w:tcBorders>
              <w:top w:val="single" w:sz="2" w:space="0" w:color="BFBFBF" w:themeColor="background1" w:themeShade="BF"/>
              <w:left w:val="nil"/>
              <w:bottom w:val="single" w:sz="2" w:space="0" w:color="BFBFBF" w:themeColor="background1" w:themeShade="BF"/>
            </w:tcBorders>
            <w:vAlign w:val="center"/>
          </w:tcPr>
          <w:p w14:paraId="6C3FFAD9"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56" w:type="pct"/>
            <w:tcBorders>
              <w:top w:val="single" w:sz="2" w:space="0" w:color="BFBFBF" w:themeColor="background1" w:themeShade="BF"/>
              <w:left w:val="nil"/>
              <w:bottom w:val="single" w:sz="2" w:space="0" w:color="BFBFBF" w:themeColor="background1" w:themeShade="BF"/>
            </w:tcBorders>
          </w:tcPr>
          <w:p w14:paraId="6D8739E3" w14:textId="77777777" w:rsidR="00F3078A" w:rsidRDefault="00F3078A" w:rsidP="00A011F9">
            <w:pPr>
              <w:spacing w:after="0"/>
              <w:contextualSpacing/>
              <w:jc w:val="center"/>
              <w:rPr>
                <w:rFonts w:cstheme="minorHAnsi"/>
                <w:szCs w:val="18"/>
              </w:rPr>
            </w:pPr>
            <w:r>
              <w:rPr>
                <w:rFonts w:cstheme="minorHAnsi"/>
                <w:szCs w:val="18"/>
              </w:rPr>
              <w:t>1</w:t>
            </w:r>
          </w:p>
        </w:tc>
      </w:tr>
      <w:tr w:rsidR="00F3078A" w:rsidRPr="00DD2BB0" w14:paraId="3B8A2B83" w14:textId="77777777" w:rsidTr="00A011F9">
        <w:trPr>
          <w:trHeight w:val="227"/>
        </w:trPr>
        <w:tc>
          <w:tcPr>
            <w:tcW w:w="887" w:type="pct"/>
            <w:shd w:val="clear" w:color="auto" w:fill="auto"/>
            <w:vAlign w:val="center"/>
          </w:tcPr>
          <w:p w14:paraId="4C11A08C" w14:textId="77777777" w:rsidR="00F3078A" w:rsidRPr="00DD2BB0" w:rsidRDefault="00F3078A" w:rsidP="00A011F9">
            <w:pPr>
              <w:spacing w:after="0"/>
              <w:contextualSpacing/>
              <w:rPr>
                <w:rFonts w:asciiTheme="minorHAnsi" w:hAnsiTheme="minorHAnsi" w:cstheme="minorHAnsi"/>
                <w:szCs w:val="18"/>
              </w:rPr>
            </w:pPr>
          </w:p>
        </w:tc>
        <w:tc>
          <w:tcPr>
            <w:tcW w:w="855" w:type="pct"/>
            <w:tcBorders>
              <w:top w:val="single" w:sz="2" w:space="0" w:color="BFBFBF" w:themeColor="background1" w:themeShade="BF"/>
              <w:bottom w:val="single" w:sz="2" w:space="0" w:color="BFBFBF" w:themeColor="background1" w:themeShade="BF"/>
              <w:right w:val="nil"/>
            </w:tcBorders>
            <w:vAlign w:val="center"/>
          </w:tcPr>
          <w:p w14:paraId="5B48F7D8" w14:textId="77777777" w:rsidR="00F3078A" w:rsidRPr="00DD2BB0" w:rsidRDefault="00F3078A" w:rsidP="00A011F9">
            <w:pPr>
              <w:spacing w:after="0"/>
              <w:contextualSpacing/>
              <w:rPr>
                <w:rFonts w:cstheme="minorHAnsi"/>
                <w:color w:val="000000"/>
                <w:szCs w:val="18"/>
              </w:rPr>
            </w:pPr>
            <w:r w:rsidRPr="00DD2BB0">
              <w:rPr>
                <w:rFonts w:asciiTheme="minorHAnsi" w:hAnsiTheme="minorHAnsi" w:cstheme="minorHAnsi"/>
                <w:szCs w:val="18"/>
              </w:rPr>
              <w:t>Community</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19590345" w14:textId="77777777" w:rsidR="00F3078A" w:rsidRPr="00DD2BB0" w:rsidRDefault="00F3078A" w:rsidP="00A011F9">
            <w:pPr>
              <w:spacing w:after="0"/>
              <w:contextualSpacing/>
              <w:jc w:val="center"/>
              <w:rPr>
                <w:rFonts w:asciiTheme="minorHAnsi" w:hAnsiTheme="minorHAnsi" w:cstheme="minorHAnsi"/>
                <w:color w:val="000000"/>
                <w:szCs w:val="18"/>
              </w:rPr>
            </w:pPr>
            <w:r>
              <w:rPr>
                <w:rFonts w:asciiTheme="minorHAnsi" w:hAnsiTheme="minorHAnsi" w:cstheme="minorHAnsi"/>
                <w:color w:val="000000"/>
                <w:szCs w:val="18"/>
              </w:rPr>
              <w:t>0</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06DF33D4" w14:textId="77777777" w:rsidR="00F3078A" w:rsidRPr="00DD2BB0" w:rsidRDefault="00F3078A" w:rsidP="00A011F9">
            <w:pPr>
              <w:spacing w:after="0"/>
              <w:contextualSpacing/>
              <w:jc w:val="center"/>
              <w:rPr>
                <w:rFonts w:asciiTheme="minorHAnsi" w:hAnsiTheme="minorHAnsi" w:cstheme="minorHAnsi"/>
                <w:szCs w:val="18"/>
              </w:rPr>
            </w:pPr>
            <w:r w:rsidRPr="00BD10A4">
              <w:rPr>
                <w:rFonts w:asciiTheme="minorHAnsi" w:hAnsiTheme="minorHAnsi" w:cstheme="minorHAnsi"/>
                <w:color w:val="000000"/>
                <w:szCs w:val="18"/>
              </w:rPr>
              <w:t>1</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3BD4039D"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4F9B6F55"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190AECCB" w14:textId="77777777" w:rsidR="00F3078A" w:rsidRPr="00DD2BB0" w:rsidRDefault="00F3078A" w:rsidP="00A011F9">
            <w:pPr>
              <w:spacing w:after="0"/>
              <w:contextualSpacing/>
              <w:jc w:val="center"/>
              <w:rPr>
                <w:rFonts w:asciiTheme="minorHAnsi" w:hAnsiTheme="minorHAnsi" w:cstheme="minorHAnsi"/>
                <w:szCs w:val="18"/>
              </w:rPr>
            </w:pPr>
            <w:r w:rsidRPr="00BD10A4">
              <w:rPr>
                <w:rFonts w:asciiTheme="minorHAnsi" w:hAnsiTheme="minorHAnsi" w:cstheme="minorHAnsi"/>
                <w:color w:val="000000"/>
                <w:szCs w:val="18"/>
              </w:rPr>
              <w:t>1</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532AE436"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0" w:type="pct"/>
            <w:tcBorders>
              <w:top w:val="single" w:sz="2" w:space="0" w:color="BFBFBF" w:themeColor="background1" w:themeShade="BF"/>
              <w:left w:val="nil"/>
              <w:bottom w:val="single" w:sz="2" w:space="0" w:color="BFBFBF" w:themeColor="background1" w:themeShade="BF"/>
              <w:right w:val="nil"/>
            </w:tcBorders>
            <w:vAlign w:val="center"/>
          </w:tcPr>
          <w:p w14:paraId="2F81DBDC"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1" w:type="pct"/>
            <w:tcBorders>
              <w:top w:val="single" w:sz="2" w:space="0" w:color="BFBFBF" w:themeColor="background1" w:themeShade="BF"/>
              <w:left w:val="nil"/>
              <w:bottom w:val="single" w:sz="2" w:space="0" w:color="BFBFBF" w:themeColor="background1" w:themeShade="BF"/>
            </w:tcBorders>
            <w:vAlign w:val="center"/>
          </w:tcPr>
          <w:p w14:paraId="23DC6482"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56" w:type="pct"/>
            <w:tcBorders>
              <w:top w:val="single" w:sz="2" w:space="0" w:color="BFBFBF" w:themeColor="background1" w:themeShade="BF"/>
              <w:left w:val="nil"/>
              <w:bottom w:val="single" w:sz="2" w:space="0" w:color="BFBFBF" w:themeColor="background1" w:themeShade="BF"/>
            </w:tcBorders>
          </w:tcPr>
          <w:p w14:paraId="5908A40B" w14:textId="77777777" w:rsidR="00F3078A" w:rsidRDefault="00F3078A" w:rsidP="00A011F9">
            <w:pPr>
              <w:spacing w:after="0"/>
              <w:contextualSpacing/>
              <w:jc w:val="center"/>
              <w:rPr>
                <w:rFonts w:cstheme="minorHAnsi"/>
                <w:szCs w:val="18"/>
              </w:rPr>
            </w:pPr>
            <w:r>
              <w:rPr>
                <w:rFonts w:cstheme="minorHAnsi"/>
                <w:szCs w:val="18"/>
              </w:rPr>
              <w:t>2</w:t>
            </w:r>
          </w:p>
        </w:tc>
      </w:tr>
      <w:tr w:rsidR="00F3078A" w:rsidRPr="00DD2BB0" w14:paraId="5686DC63" w14:textId="77777777" w:rsidTr="00A011F9">
        <w:trPr>
          <w:trHeight w:val="227"/>
        </w:trPr>
        <w:tc>
          <w:tcPr>
            <w:tcW w:w="887" w:type="pct"/>
            <w:tcBorders>
              <w:bottom w:val="single" w:sz="4" w:space="0" w:color="auto"/>
            </w:tcBorders>
            <w:shd w:val="clear" w:color="auto" w:fill="auto"/>
            <w:vAlign w:val="center"/>
          </w:tcPr>
          <w:p w14:paraId="3EB4218C" w14:textId="77777777" w:rsidR="00F3078A" w:rsidRPr="00DD2BB0" w:rsidRDefault="00F3078A" w:rsidP="00A011F9">
            <w:pPr>
              <w:spacing w:after="0"/>
              <w:contextualSpacing/>
              <w:rPr>
                <w:rFonts w:asciiTheme="minorHAnsi" w:hAnsiTheme="minorHAnsi" w:cstheme="minorHAnsi"/>
                <w:szCs w:val="18"/>
              </w:rPr>
            </w:pPr>
          </w:p>
        </w:tc>
        <w:tc>
          <w:tcPr>
            <w:tcW w:w="855" w:type="pct"/>
            <w:tcBorders>
              <w:top w:val="single" w:sz="2" w:space="0" w:color="BFBFBF" w:themeColor="background1" w:themeShade="BF"/>
              <w:bottom w:val="single" w:sz="4" w:space="0" w:color="auto"/>
            </w:tcBorders>
            <w:vAlign w:val="center"/>
          </w:tcPr>
          <w:p w14:paraId="1F77D359" w14:textId="77777777" w:rsidR="00F3078A" w:rsidRPr="00DD2BB0" w:rsidRDefault="00F3078A" w:rsidP="00A011F9">
            <w:pPr>
              <w:spacing w:after="0"/>
              <w:contextualSpacing/>
              <w:rPr>
                <w:rFonts w:cstheme="minorHAnsi"/>
                <w:color w:val="000000"/>
                <w:szCs w:val="18"/>
              </w:rPr>
            </w:pPr>
            <w:r w:rsidRPr="00DD2BB0">
              <w:rPr>
                <w:rFonts w:asciiTheme="minorHAnsi" w:hAnsiTheme="minorHAnsi" w:cstheme="minorHAnsi"/>
                <w:szCs w:val="18"/>
              </w:rPr>
              <w:t>Unknown</w:t>
            </w:r>
          </w:p>
        </w:tc>
        <w:tc>
          <w:tcPr>
            <w:tcW w:w="350" w:type="pct"/>
            <w:tcBorders>
              <w:top w:val="single" w:sz="2" w:space="0" w:color="BFBFBF" w:themeColor="background1" w:themeShade="BF"/>
              <w:bottom w:val="single" w:sz="4" w:space="0" w:color="auto"/>
            </w:tcBorders>
            <w:vAlign w:val="center"/>
          </w:tcPr>
          <w:p w14:paraId="52F3CEDA" w14:textId="77777777" w:rsidR="00F3078A" w:rsidRPr="00DD2BB0" w:rsidRDefault="00F3078A" w:rsidP="00A011F9">
            <w:pPr>
              <w:spacing w:after="0"/>
              <w:contextualSpacing/>
              <w:jc w:val="center"/>
              <w:rPr>
                <w:rFonts w:asciiTheme="minorHAnsi" w:hAnsiTheme="minorHAnsi" w:cstheme="minorHAnsi"/>
                <w:color w:val="000000"/>
                <w:szCs w:val="18"/>
              </w:rPr>
            </w:pPr>
            <w:r>
              <w:rPr>
                <w:rFonts w:asciiTheme="minorHAnsi" w:hAnsiTheme="minorHAnsi" w:cstheme="minorHAnsi"/>
                <w:color w:val="000000"/>
                <w:szCs w:val="18"/>
              </w:rPr>
              <w:t>0</w:t>
            </w:r>
          </w:p>
        </w:tc>
        <w:tc>
          <w:tcPr>
            <w:tcW w:w="350" w:type="pct"/>
            <w:tcBorders>
              <w:top w:val="single" w:sz="2" w:space="0" w:color="BFBFBF" w:themeColor="background1" w:themeShade="BF"/>
              <w:bottom w:val="single" w:sz="4" w:space="0" w:color="auto"/>
            </w:tcBorders>
            <w:vAlign w:val="center"/>
          </w:tcPr>
          <w:p w14:paraId="6E537302"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0" w:type="pct"/>
            <w:tcBorders>
              <w:top w:val="single" w:sz="2" w:space="0" w:color="BFBFBF" w:themeColor="background1" w:themeShade="BF"/>
              <w:bottom w:val="single" w:sz="4" w:space="0" w:color="auto"/>
            </w:tcBorders>
            <w:vAlign w:val="center"/>
          </w:tcPr>
          <w:p w14:paraId="1270108F"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0" w:type="pct"/>
            <w:tcBorders>
              <w:top w:val="single" w:sz="2" w:space="0" w:color="BFBFBF" w:themeColor="background1" w:themeShade="BF"/>
              <w:bottom w:val="single" w:sz="4" w:space="0" w:color="auto"/>
            </w:tcBorders>
            <w:vAlign w:val="center"/>
          </w:tcPr>
          <w:p w14:paraId="703808F3"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0" w:type="pct"/>
            <w:tcBorders>
              <w:top w:val="single" w:sz="2" w:space="0" w:color="BFBFBF" w:themeColor="background1" w:themeShade="BF"/>
              <w:bottom w:val="single" w:sz="4" w:space="0" w:color="auto"/>
            </w:tcBorders>
            <w:vAlign w:val="center"/>
          </w:tcPr>
          <w:p w14:paraId="30BC4BAA"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0" w:type="pct"/>
            <w:tcBorders>
              <w:top w:val="single" w:sz="2" w:space="0" w:color="BFBFBF" w:themeColor="background1" w:themeShade="BF"/>
              <w:bottom w:val="single" w:sz="4" w:space="0" w:color="auto"/>
            </w:tcBorders>
            <w:vAlign w:val="center"/>
          </w:tcPr>
          <w:p w14:paraId="42AF7620"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0" w:type="pct"/>
            <w:tcBorders>
              <w:top w:val="single" w:sz="2" w:space="0" w:color="BFBFBF" w:themeColor="background1" w:themeShade="BF"/>
              <w:bottom w:val="single" w:sz="4" w:space="0" w:color="auto"/>
            </w:tcBorders>
            <w:vAlign w:val="center"/>
          </w:tcPr>
          <w:p w14:paraId="60537A65"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351" w:type="pct"/>
            <w:tcBorders>
              <w:top w:val="single" w:sz="2" w:space="0" w:color="BFBFBF" w:themeColor="background1" w:themeShade="BF"/>
              <w:bottom w:val="single" w:sz="4" w:space="0" w:color="auto"/>
            </w:tcBorders>
            <w:vAlign w:val="center"/>
          </w:tcPr>
          <w:p w14:paraId="7D8B6D8C"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56" w:type="pct"/>
            <w:tcBorders>
              <w:top w:val="single" w:sz="2" w:space="0" w:color="BFBFBF" w:themeColor="background1" w:themeShade="BF"/>
              <w:bottom w:val="single" w:sz="4" w:space="0" w:color="auto"/>
            </w:tcBorders>
          </w:tcPr>
          <w:p w14:paraId="68F69389" w14:textId="77777777" w:rsidR="00F3078A" w:rsidRDefault="00F3078A" w:rsidP="00A011F9">
            <w:pPr>
              <w:spacing w:after="0"/>
              <w:contextualSpacing/>
              <w:jc w:val="center"/>
              <w:rPr>
                <w:rFonts w:cstheme="minorHAnsi"/>
                <w:szCs w:val="18"/>
              </w:rPr>
            </w:pPr>
            <w:r>
              <w:rPr>
                <w:rFonts w:cstheme="minorHAnsi"/>
                <w:szCs w:val="18"/>
              </w:rPr>
              <w:t>0</w:t>
            </w:r>
          </w:p>
        </w:tc>
      </w:tr>
      <w:tr w:rsidR="00F3078A" w:rsidRPr="00DD2BB0" w14:paraId="4B8BE55E" w14:textId="77777777" w:rsidTr="00A011F9">
        <w:trPr>
          <w:trHeight w:val="227"/>
        </w:trPr>
        <w:tc>
          <w:tcPr>
            <w:tcW w:w="887" w:type="pct"/>
            <w:tcBorders>
              <w:top w:val="single" w:sz="4" w:space="0" w:color="auto"/>
              <w:bottom w:val="nil"/>
            </w:tcBorders>
            <w:shd w:val="clear" w:color="auto" w:fill="auto"/>
            <w:vAlign w:val="center"/>
          </w:tcPr>
          <w:p w14:paraId="0EC1B834" w14:textId="77777777" w:rsidR="00F3078A" w:rsidRDefault="00F3078A" w:rsidP="00A011F9">
            <w:pPr>
              <w:spacing w:after="0"/>
              <w:contextualSpacing/>
              <w:rPr>
                <w:rFonts w:cstheme="minorHAnsi"/>
                <w:szCs w:val="18"/>
              </w:rPr>
            </w:pPr>
            <w:r>
              <w:rPr>
                <w:rFonts w:cstheme="minorHAnsi"/>
                <w:szCs w:val="18"/>
              </w:rPr>
              <w:t>NDM</w:t>
            </w:r>
          </w:p>
        </w:tc>
        <w:tc>
          <w:tcPr>
            <w:tcW w:w="855" w:type="pct"/>
            <w:tcBorders>
              <w:top w:val="single" w:sz="4" w:space="0" w:color="auto"/>
              <w:bottom w:val="single" w:sz="2" w:space="0" w:color="BFBFBF" w:themeColor="background1" w:themeShade="BF"/>
            </w:tcBorders>
            <w:shd w:val="clear" w:color="auto" w:fill="EEECE1" w:themeFill="background2"/>
            <w:vAlign w:val="center"/>
          </w:tcPr>
          <w:p w14:paraId="38C46E7E" w14:textId="77777777" w:rsidR="00F3078A" w:rsidRPr="00946FA6" w:rsidRDefault="00F3078A" w:rsidP="00A011F9">
            <w:pPr>
              <w:spacing w:after="0"/>
              <w:contextualSpacing/>
              <w:rPr>
                <w:rFonts w:cstheme="minorHAnsi"/>
                <w:b/>
                <w:color w:val="000000"/>
                <w:szCs w:val="18"/>
              </w:rPr>
            </w:pPr>
            <w:r w:rsidRPr="00946FA6">
              <w:rPr>
                <w:rFonts w:cstheme="minorHAnsi"/>
                <w:b/>
                <w:color w:val="000000"/>
                <w:szCs w:val="18"/>
              </w:rPr>
              <w:t>Total</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62CFBC2D" w14:textId="77777777" w:rsidR="00F3078A" w:rsidRPr="00946FA6" w:rsidRDefault="00F3078A" w:rsidP="00A011F9">
            <w:pPr>
              <w:spacing w:after="0"/>
              <w:contextualSpacing/>
              <w:jc w:val="center"/>
              <w:rPr>
                <w:rFonts w:cstheme="minorHAnsi"/>
                <w:b/>
                <w:color w:val="000000"/>
                <w:szCs w:val="18"/>
              </w:rPr>
            </w:pPr>
            <w:r w:rsidRPr="00946FA6">
              <w:rPr>
                <w:rFonts w:cstheme="minorHAnsi"/>
                <w:b/>
                <w:color w:val="000000"/>
                <w:szCs w:val="18"/>
              </w:rPr>
              <w:t>9</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5672F379" w14:textId="77777777" w:rsidR="00F3078A" w:rsidRPr="00946FA6" w:rsidRDefault="00F3078A" w:rsidP="00A011F9">
            <w:pPr>
              <w:spacing w:after="0"/>
              <w:contextualSpacing/>
              <w:jc w:val="center"/>
              <w:rPr>
                <w:rFonts w:cstheme="minorHAnsi"/>
                <w:b/>
                <w:color w:val="000000"/>
                <w:szCs w:val="18"/>
              </w:rPr>
            </w:pPr>
            <w:r w:rsidRPr="00946FA6">
              <w:rPr>
                <w:rFonts w:cstheme="minorHAnsi"/>
                <w:b/>
                <w:szCs w:val="18"/>
              </w:rPr>
              <w:t>1</w:t>
            </w:r>
            <w:r>
              <w:rPr>
                <w:rFonts w:cstheme="minorHAnsi"/>
                <w:b/>
                <w:szCs w:val="18"/>
              </w:rPr>
              <w:t>4</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12F33CBB" w14:textId="77777777" w:rsidR="00F3078A" w:rsidRPr="00946FA6" w:rsidRDefault="00F3078A" w:rsidP="00A011F9">
            <w:pPr>
              <w:spacing w:after="0"/>
              <w:contextualSpacing/>
              <w:jc w:val="center"/>
              <w:rPr>
                <w:rFonts w:cstheme="minorHAnsi"/>
                <w:b/>
                <w:color w:val="000000"/>
                <w:szCs w:val="18"/>
              </w:rPr>
            </w:pPr>
            <w:r w:rsidRPr="00946FA6">
              <w:rPr>
                <w:rFonts w:cstheme="minorHAnsi"/>
                <w:b/>
                <w:szCs w:val="18"/>
              </w:rPr>
              <w:t>6</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186D8842" w14:textId="77777777" w:rsidR="00F3078A" w:rsidRPr="00946FA6" w:rsidRDefault="00F3078A" w:rsidP="00A011F9">
            <w:pPr>
              <w:spacing w:after="0"/>
              <w:contextualSpacing/>
              <w:jc w:val="center"/>
              <w:rPr>
                <w:rFonts w:cstheme="minorHAnsi"/>
                <w:b/>
                <w:szCs w:val="18"/>
              </w:rPr>
            </w:pPr>
            <w:r w:rsidRPr="00946FA6">
              <w:rPr>
                <w:rFonts w:cstheme="minorHAnsi"/>
                <w:b/>
                <w:szCs w:val="18"/>
              </w:rPr>
              <w:t>2</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3D1119E7" w14:textId="77777777" w:rsidR="00F3078A" w:rsidRPr="00946FA6" w:rsidRDefault="00F3078A" w:rsidP="00A011F9">
            <w:pPr>
              <w:spacing w:after="0"/>
              <w:contextualSpacing/>
              <w:jc w:val="center"/>
              <w:rPr>
                <w:rFonts w:cstheme="minorHAnsi"/>
                <w:b/>
                <w:szCs w:val="18"/>
              </w:rPr>
            </w:pPr>
            <w:r w:rsidRPr="00946FA6">
              <w:rPr>
                <w:rFonts w:cstheme="minorHAnsi"/>
                <w:b/>
                <w:szCs w:val="18"/>
              </w:rPr>
              <w:t>1</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541B8929" w14:textId="77777777" w:rsidR="00F3078A" w:rsidRPr="00946FA6" w:rsidRDefault="00F3078A" w:rsidP="00A011F9">
            <w:pPr>
              <w:spacing w:after="0"/>
              <w:contextualSpacing/>
              <w:jc w:val="center"/>
              <w:rPr>
                <w:rFonts w:cstheme="minorHAnsi"/>
                <w:b/>
                <w:szCs w:val="18"/>
              </w:rPr>
            </w:pPr>
            <w:r w:rsidRPr="00946FA6">
              <w:rPr>
                <w:rFonts w:cstheme="minorHAnsi"/>
                <w:b/>
                <w:szCs w:val="18"/>
              </w:rPr>
              <w:t>0</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3F69C65B" w14:textId="77777777" w:rsidR="00F3078A" w:rsidRPr="00946FA6" w:rsidRDefault="00F3078A" w:rsidP="00A011F9">
            <w:pPr>
              <w:spacing w:after="0"/>
              <w:contextualSpacing/>
              <w:jc w:val="center"/>
              <w:rPr>
                <w:rFonts w:cstheme="minorHAnsi"/>
                <w:b/>
                <w:szCs w:val="18"/>
              </w:rPr>
            </w:pPr>
            <w:r w:rsidRPr="00946FA6">
              <w:rPr>
                <w:rFonts w:cstheme="minorHAnsi"/>
                <w:b/>
                <w:szCs w:val="18"/>
              </w:rPr>
              <w:t>0</w:t>
            </w:r>
          </w:p>
        </w:tc>
        <w:tc>
          <w:tcPr>
            <w:tcW w:w="351" w:type="pct"/>
            <w:tcBorders>
              <w:top w:val="single" w:sz="4" w:space="0" w:color="auto"/>
              <w:bottom w:val="single" w:sz="2" w:space="0" w:color="BFBFBF" w:themeColor="background1" w:themeShade="BF"/>
            </w:tcBorders>
            <w:shd w:val="clear" w:color="auto" w:fill="EEECE1" w:themeFill="background2"/>
            <w:vAlign w:val="center"/>
          </w:tcPr>
          <w:p w14:paraId="57EB7071" w14:textId="77777777" w:rsidR="00F3078A" w:rsidRPr="00946FA6" w:rsidRDefault="00F3078A" w:rsidP="00A011F9">
            <w:pPr>
              <w:spacing w:after="0"/>
              <w:contextualSpacing/>
              <w:jc w:val="center"/>
              <w:rPr>
                <w:rFonts w:cstheme="minorHAnsi"/>
                <w:b/>
                <w:szCs w:val="18"/>
              </w:rPr>
            </w:pPr>
            <w:r w:rsidRPr="00946FA6">
              <w:rPr>
                <w:rFonts w:cstheme="minorHAnsi"/>
                <w:b/>
                <w:szCs w:val="18"/>
              </w:rPr>
              <w:t>0</w:t>
            </w:r>
          </w:p>
        </w:tc>
        <w:tc>
          <w:tcPr>
            <w:tcW w:w="456" w:type="pct"/>
            <w:tcBorders>
              <w:top w:val="single" w:sz="4" w:space="0" w:color="auto"/>
              <w:bottom w:val="single" w:sz="2" w:space="0" w:color="BFBFBF" w:themeColor="background1" w:themeShade="BF"/>
            </w:tcBorders>
            <w:shd w:val="clear" w:color="auto" w:fill="EEECE1" w:themeFill="background2"/>
          </w:tcPr>
          <w:p w14:paraId="7E4581A7" w14:textId="77777777" w:rsidR="00F3078A" w:rsidRPr="00946FA6" w:rsidRDefault="00F3078A" w:rsidP="00A011F9">
            <w:pPr>
              <w:spacing w:after="0"/>
              <w:contextualSpacing/>
              <w:jc w:val="center"/>
              <w:rPr>
                <w:rFonts w:cstheme="minorHAnsi"/>
                <w:b/>
                <w:szCs w:val="18"/>
              </w:rPr>
            </w:pPr>
            <w:r>
              <w:rPr>
                <w:rFonts w:cstheme="minorHAnsi"/>
                <w:b/>
                <w:szCs w:val="18"/>
              </w:rPr>
              <w:t>32</w:t>
            </w:r>
          </w:p>
        </w:tc>
      </w:tr>
      <w:tr w:rsidR="00F3078A" w:rsidRPr="00DD2BB0" w14:paraId="06CAEB9B" w14:textId="77777777" w:rsidTr="00A011F9">
        <w:trPr>
          <w:trHeight w:val="227"/>
        </w:trPr>
        <w:tc>
          <w:tcPr>
            <w:tcW w:w="887" w:type="pct"/>
            <w:tcBorders>
              <w:top w:val="nil"/>
            </w:tcBorders>
            <w:shd w:val="clear" w:color="auto" w:fill="auto"/>
            <w:vAlign w:val="center"/>
          </w:tcPr>
          <w:p w14:paraId="50EB312C" w14:textId="77777777" w:rsidR="00F3078A" w:rsidRPr="00DD2BB0" w:rsidRDefault="00F3078A" w:rsidP="00A011F9">
            <w:pPr>
              <w:spacing w:after="0"/>
              <w:contextualSpacing/>
              <w:rPr>
                <w:rFonts w:cstheme="minorHAnsi"/>
                <w:szCs w:val="18"/>
              </w:rPr>
            </w:pPr>
          </w:p>
        </w:tc>
        <w:tc>
          <w:tcPr>
            <w:tcW w:w="855" w:type="pct"/>
            <w:tcBorders>
              <w:top w:val="single" w:sz="2" w:space="0" w:color="BFBFBF" w:themeColor="background1" w:themeShade="BF"/>
              <w:bottom w:val="single" w:sz="2" w:space="0" w:color="BFBFBF" w:themeColor="background1" w:themeShade="BF"/>
            </w:tcBorders>
            <w:vAlign w:val="center"/>
          </w:tcPr>
          <w:p w14:paraId="69CA3FA5" w14:textId="77777777" w:rsidR="00F3078A" w:rsidRPr="00BD10A4" w:rsidRDefault="00F3078A" w:rsidP="00A011F9">
            <w:pPr>
              <w:spacing w:after="0"/>
              <w:contextualSpacing/>
              <w:rPr>
                <w:rFonts w:cstheme="minorHAnsi"/>
                <w:color w:val="000000"/>
                <w:szCs w:val="18"/>
              </w:rPr>
            </w:pPr>
            <w:r w:rsidRPr="00DD2BB0">
              <w:rPr>
                <w:rFonts w:asciiTheme="minorHAnsi" w:hAnsiTheme="minorHAnsi" w:cstheme="minorHAnsi"/>
                <w:szCs w:val="18"/>
              </w:rPr>
              <w:t>Public hospital</w:t>
            </w:r>
          </w:p>
        </w:tc>
        <w:tc>
          <w:tcPr>
            <w:tcW w:w="350" w:type="pct"/>
            <w:tcBorders>
              <w:top w:val="single" w:sz="2" w:space="0" w:color="BFBFBF" w:themeColor="background1" w:themeShade="BF"/>
              <w:bottom w:val="single" w:sz="2" w:space="0" w:color="BFBFBF" w:themeColor="background1" w:themeShade="BF"/>
            </w:tcBorders>
            <w:vAlign w:val="center"/>
          </w:tcPr>
          <w:p w14:paraId="0EF894E8" w14:textId="77777777" w:rsidR="00F3078A" w:rsidRPr="00DD2BB0" w:rsidRDefault="00F3078A" w:rsidP="00A011F9">
            <w:pPr>
              <w:spacing w:after="0"/>
              <w:contextualSpacing/>
              <w:jc w:val="center"/>
              <w:rPr>
                <w:rFonts w:cstheme="minorHAnsi"/>
                <w:color w:val="000000"/>
                <w:szCs w:val="18"/>
              </w:rPr>
            </w:pPr>
            <w:r w:rsidRPr="00BD10A4">
              <w:rPr>
                <w:rFonts w:asciiTheme="minorHAnsi" w:hAnsiTheme="minorHAnsi" w:cstheme="minorHAnsi"/>
                <w:color w:val="000000"/>
                <w:szCs w:val="18"/>
              </w:rPr>
              <w:t>7</w:t>
            </w:r>
          </w:p>
        </w:tc>
        <w:tc>
          <w:tcPr>
            <w:tcW w:w="350" w:type="pct"/>
            <w:tcBorders>
              <w:top w:val="single" w:sz="2" w:space="0" w:color="BFBFBF" w:themeColor="background1" w:themeShade="BF"/>
              <w:bottom w:val="single" w:sz="2" w:space="0" w:color="BFBFBF" w:themeColor="background1" w:themeShade="BF"/>
            </w:tcBorders>
            <w:vAlign w:val="center"/>
          </w:tcPr>
          <w:p w14:paraId="71753456" w14:textId="77777777" w:rsidR="00F3078A" w:rsidRPr="00DD2BB0" w:rsidRDefault="00F3078A" w:rsidP="00A011F9">
            <w:pPr>
              <w:spacing w:after="0"/>
              <w:contextualSpacing/>
              <w:jc w:val="center"/>
              <w:rPr>
                <w:rFonts w:cstheme="minorHAnsi"/>
                <w:szCs w:val="18"/>
              </w:rPr>
            </w:pPr>
            <w:r w:rsidRPr="00BD10A4">
              <w:rPr>
                <w:rFonts w:asciiTheme="minorHAnsi" w:hAnsiTheme="minorHAnsi" w:cstheme="minorHAnsi"/>
                <w:color w:val="000000"/>
                <w:szCs w:val="18"/>
              </w:rPr>
              <w:t>1</w:t>
            </w:r>
            <w:r>
              <w:rPr>
                <w:rFonts w:asciiTheme="minorHAnsi" w:hAnsiTheme="minorHAnsi" w:cstheme="minorHAnsi"/>
                <w:color w:val="000000"/>
                <w:szCs w:val="18"/>
              </w:rPr>
              <w:t>2</w:t>
            </w:r>
          </w:p>
        </w:tc>
        <w:tc>
          <w:tcPr>
            <w:tcW w:w="350" w:type="pct"/>
            <w:tcBorders>
              <w:top w:val="single" w:sz="2" w:space="0" w:color="BFBFBF" w:themeColor="background1" w:themeShade="BF"/>
              <w:bottom w:val="single" w:sz="2" w:space="0" w:color="BFBFBF" w:themeColor="background1" w:themeShade="BF"/>
            </w:tcBorders>
            <w:vAlign w:val="center"/>
          </w:tcPr>
          <w:p w14:paraId="3865BFF4" w14:textId="77777777" w:rsidR="00F3078A" w:rsidRPr="00DD2BB0" w:rsidRDefault="00F3078A" w:rsidP="00A011F9">
            <w:pPr>
              <w:spacing w:after="0"/>
              <w:contextualSpacing/>
              <w:jc w:val="center"/>
              <w:rPr>
                <w:rFonts w:cstheme="minorHAnsi"/>
                <w:szCs w:val="18"/>
              </w:rPr>
            </w:pPr>
            <w:r w:rsidRPr="00BD10A4">
              <w:rPr>
                <w:rFonts w:asciiTheme="minorHAnsi" w:hAnsiTheme="minorHAnsi" w:cstheme="minorHAnsi"/>
                <w:color w:val="000000"/>
                <w:szCs w:val="18"/>
              </w:rPr>
              <w:t>4</w:t>
            </w:r>
          </w:p>
        </w:tc>
        <w:tc>
          <w:tcPr>
            <w:tcW w:w="350" w:type="pct"/>
            <w:tcBorders>
              <w:top w:val="single" w:sz="2" w:space="0" w:color="BFBFBF" w:themeColor="background1" w:themeShade="BF"/>
              <w:bottom w:val="single" w:sz="2" w:space="0" w:color="BFBFBF" w:themeColor="background1" w:themeShade="BF"/>
            </w:tcBorders>
            <w:vAlign w:val="center"/>
          </w:tcPr>
          <w:p w14:paraId="3281BF18"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368CD230"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53684671"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62633012"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1" w:type="pct"/>
            <w:tcBorders>
              <w:top w:val="single" w:sz="2" w:space="0" w:color="BFBFBF" w:themeColor="background1" w:themeShade="BF"/>
              <w:bottom w:val="single" w:sz="2" w:space="0" w:color="BFBFBF" w:themeColor="background1" w:themeShade="BF"/>
            </w:tcBorders>
            <w:vAlign w:val="center"/>
          </w:tcPr>
          <w:p w14:paraId="12380646"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456" w:type="pct"/>
            <w:tcBorders>
              <w:top w:val="single" w:sz="2" w:space="0" w:color="BFBFBF" w:themeColor="background1" w:themeShade="BF"/>
              <w:bottom w:val="single" w:sz="2" w:space="0" w:color="BFBFBF" w:themeColor="background1" w:themeShade="BF"/>
            </w:tcBorders>
          </w:tcPr>
          <w:p w14:paraId="0A5555D8" w14:textId="77777777" w:rsidR="00F3078A" w:rsidRDefault="00F3078A" w:rsidP="00A011F9">
            <w:pPr>
              <w:spacing w:after="0"/>
              <w:contextualSpacing/>
              <w:jc w:val="center"/>
              <w:rPr>
                <w:rFonts w:cstheme="minorHAnsi"/>
                <w:szCs w:val="18"/>
              </w:rPr>
            </w:pPr>
            <w:r>
              <w:rPr>
                <w:rFonts w:cstheme="minorHAnsi"/>
                <w:szCs w:val="18"/>
              </w:rPr>
              <w:t>23</w:t>
            </w:r>
          </w:p>
        </w:tc>
      </w:tr>
      <w:tr w:rsidR="00F3078A" w:rsidRPr="00DD2BB0" w14:paraId="57704E2E" w14:textId="77777777" w:rsidTr="00A011F9">
        <w:trPr>
          <w:trHeight w:val="227"/>
        </w:trPr>
        <w:tc>
          <w:tcPr>
            <w:tcW w:w="887" w:type="pct"/>
            <w:shd w:val="clear" w:color="auto" w:fill="auto"/>
            <w:vAlign w:val="center"/>
          </w:tcPr>
          <w:p w14:paraId="31BD4C43" w14:textId="77777777" w:rsidR="00F3078A" w:rsidRPr="00DD2BB0" w:rsidRDefault="00F3078A" w:rsidP="00A011F9">
            <w:pPr>
              <w:spacing w:after="0"/>
              <w:contextualSpacing/>
              <w:rPr>
                <w:rFonts w:cstheme="minorHAnsi"/>
                <w:szCs w:val="18"/>
              </w:rPr>
            </w:pPr>
          </w:p>
        </w:tc>
        <w:tc>
          <w:tcPr>
            <w:tcW w:w="855" w:type="pct"/>
            <w:tcBorders>
              <w:top w:val="single" w:sz="2" w:space="0" w:color="BFBFBF" w:themeColor="background1" w:themeShade="BF"/>
              <w:bottom w:val="single" w:sz="2" w:space="0" w:color="BFBFBF" w:themeColor="background1" w:themeShade="BF"/>
            </w:tcBorders>
            <w:vAlign w:val="center"/>
          </w:tcPr>
          <w:p w14:paraId="46236D99" w14:textId="77777777" w:rsidR="00F3078A" w:rsidRPr="00BD10A4" w:rsidRDefault="00F3078A" w:rsidP="00A011F9">
            <w:pPr>
              <w:spacing w:after="0"/>
              <w:contextualSpacing/>
              <w:rPr>
                <w:rFonts w:cstheme="minorHAnsi"/>
                <w:color w:val="000000"/>
                <w:szCs w:val="18"/>
              </w:rPr>
            </w:pPr>
            <w:r w:rsidRPr="00DD2BB0">
              <w:rPr>
                <w:rFonts w:asciiTheme="minorHAnsi" w:hAnsiTheme="minorHAnsi" w:cstheme="minorHAnsi"/>
                <w:szCs w:val="18"/>
              </w:rPr>
              <w:t>Private hospital</w:t>
            </w:r>
          </w:p>
        </w:tc>
        <w:tc>
          <w:tcPr>
            <w:tcW w:w="350" w:type="pct"/>
            <w:tcBorders>
              <w:top w:val="single" w:sz="2" w:space="0" w:color="BFBFBF" w:themeColor="background1" w:themeShade="BF"/>
              <w:bottom w:val="single" w:sz="2" w:space="0" w:color="BFBFBF" w:themeColor="background1" w:themeShade="BF"/>
            </w:tcBorders>
            <w:vAlign w:val="center"/>
          </w:tcPr>
          <w:p w14:paraId="58305674" w14:textId="77777777" w:rsidR="00F3078A" w:rsidRPr="00DD2BB0" w:rsidRDefault="00F3078A" w:rsidP="00A011F9">
            <w:pPr>
              <w:spacing w:after="0"/>
              <w:contextualSpacing/>
              <w:jc w:val="center"/>
              <w:rPr>
                <w:rFonts w:cstheme="minorHAnsi"/>
                <w:color w:val="000000"/>
                <w:szCs w:val="18"/>
              </w:rPr>
            </w:pPr>
            <w:r w:rsidRPr="00BD10A4">
              <w:rPr>
                <w:rFonts w:asciiTheme="minorHAnsi" w:hAnsiTheme="minorHAnsi" w:cstheme="minorHAnsi"/>
                <w:color w:val="000000"/>
                <w:szCs w:val="18"/>
              </w:rPr>
              <w:t>1</w:t>
            </w:r>
          </w:p>
        </w:tc>
        <w:tc>
          <w:tcPr>
            <w:tcW w:w="350" w:type="pct"/>
            <w:tcBorders>
              <w:top w:val="single" w:sz="2" w:space="0" w:color="BFBFBF" w:themeColor="background1" w:themeShade="BF"/>
              <w:bottom w:val="single" w:sz="2" w:space="0" w:color="BFBFBF" w:themeColor="background1" w:themeShade="BF"/>
            </w:tcBorders>
            <w:vAlign w:val="center"/>
          </w:tcPr>
          <w:p w14:paraId="5171921B" w14:textId="77777777" w:rsidR="00F3078A" w:rsidRPr="00DD2BB0" w:rsidRDefault="00F3078A" w:rsidP="00A011F9">
            <w:pPr>
              <w:spacing w:after="0"/>
              <w:contextualSpacing/>
              <w:jc w:val="center"/>
              <w:rPr>
                <w:rFonts w:cstheme="minorHAnsi"/>
                <w:szCs w:val="18"/>
              </w:rPr>
            </w:pPr>
            <w:r w:rsidRPr="00BD10A4">
              <w:rPr>
                <w:rFonts w:asciiTheme="minorHAnsi" w:hAnsiTheme="minorHAnsi" w:cstheme="minorHAnsi"/>
                <w:color w:val="000000"/>
                <w:szCs w:val="18"/>
              </w:rPr>
              <w:t>1</w:t>
            </w:r>
          </w:p>
        </w:tc>
        <w:tc>
          <w:tcPr>
            <w:tcW w:w="350" w:type="pct"/>
            <w:tcBorders>
              <w:top w:val="single" w:sz="2" w:space="0" w:color="BFBFBF" w:themeColor="background1" w:themeShade="BF"/>
              <w:bottom w:val="single" w:sz="2" w:space="0" w:color="BFBFBF" w:themeColor="background1" w:themeShade="BF"/>
            </w:tcBorders>
            <w:vAlign w:val="center"/>
          </w:tcPr>
          <w:p w14:paraId="0CFEFA37"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2CD1D2BE"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088E96CC"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613BC66E"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4D385E40"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1" w:type="pct"/>
            <w:tcBorders>
              <w:top w:val="single" w:sz="2" w:space="0" w:color="BFBFBF" w:themeColor="background1" w:themeShade="BF"/>
              <w:bottom w:val="single" w:sz="2" w:space="0" w:color="BFBFBF" w:themeColor="background1" w:themeShade="BF"/>
            </w:tcBorders>
            <w:vAlign w:val="center"/>
          </w:tcPr>
          <w:p w14:paraId="0684937F"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456" w:type="pct"/>
            <w:tcBorders>
              <w:top w:val="single" w:sz="2" w:space="0" w:color="BFBFBF" w:themeColor="background1" w:themeShade="BF"/>
              <w:bottom w:val="single" w:sz="2" w:space="0" w:color="BFBFBF" w:themeColor="background1" w:themeShade="BF"/>
            </w:tcBorders>
          </w:tcPr>
          <w:p w14:paraId="271B253D" w14:textId="77777777" w:rsidR="00F3078A" w:rsidRDefault="00F3078A" w:rsidP="00A011F9">
            <w:pPr>
              <w:spacing w:after="0"/>
              <w:contextualSpacing/>
              <w:jc w:val="center"/>
              <w:rPr>
                <w:rFonts w:cstheme="minorHAnsi"/>
                <w:szCs w:val="18"/>
              </w:rPr>
            </w:pPr>
            <w:r>
              <w:rPr>
                <w:rFonts w:cstheme="minorHAnsi"/>
                <w:szCs w:val="18"/>
              </w:rPr>
              <w:t>2</w:t>
            </w:r>
          </w:p>
        </w:tc>
      </w:tr>
      <w:tr w:rsidR="00F3078A" w:rsidRPr="00DD2BB0" w14:paraId="10331FC2" w14:textId="77777777" w:rsidTr="00A011F9">
        <w:trPr>
          <w:trHeight w:val="227"/>
        </w:trPr>
        <w:tc>
          <w:tcPr>
            <w:tcW w:w="887" w:type="pct"/>
            <w:shd w:val="clear" w:color="auto" w:fill="auto"/>
            <w:vAlign w:val="center"/>
          </w:tcPr>
          <w:p w14:paraId="0A741D52" w14:textId="77777777" w:rsidR="00F3078A" w:rsidRPr="00DD2BB0" w:rsidRDefault="00F3078A" w:rsidP="00A011F9">
            <w:pPr>
              <w:spacing w:after="0"/>
              <w:contextualSpacing/>
              <w:rPr>
                <w:rFonts w:cstheme="minorHAnsi"/>
                <w:szCs w:val="18"/>
              </w:rPr>
            </w:pPr>
          </w:p>
        </w:tc>
        <w:tc>
          <w:tcPr>
            <w:tcW w:w="855" w:type="pct"/>
            <w:tcBorders>
              <w:top w:val="single" w:sz="2" w:space="0" w:color="BFBFBF" w:themeColor="background1" w:themeShade="BF"/>
              <w:bottom w:val="single" w:sz="2" w:space="0" w:color="BFBFBF" w:themeColor="background1" w:themeShade="BF"/>
            </w:tcBorders>
            <w:vAlign w:val="center"/>
          </w:tcPr>
          <w:p w14:paraId="239587C4" w14:textId="77777777" w:rsidR="00F3078A" w:rsidRPr="00DD2BB0" w:rsidRDefault="00F3078A" w:rsidP="00A011F9">
            <w:pPr>
              <w:spacing w:after="0"/>
              <w:contextualSpacing/>
              <w:rPr>
                <w:rFonts w:cstheme="minorHAnsi"/>
                <w:color w:val="000000"/>
                <w:szCs w:val="18"/>
              </w:rPr>
            </w:pPr>
            <w:r w:rsidRPr="00DD2BB0">
              <w:rPr>
                <w:rFonts w:asciiTheme="minorHAnsi" w:hAnsiTheme="minorHAnsi" w:cstheme="minorHAnsi"/>
                <w:szCs w:val="18"/>
              </w:rPr>
              <w:t>Aged care home</w:t>
            </w:r>
          </w:p>
        </w:tc>
        <w:tc>
          <w:tcPr>
            <w:tcW w:w="350" w:type="pct"/>
            <w:tcBorders>
              <w:top w:val="single" w:sz="2" w:space="0" w:color="BFBFBF" w:themeColor="background1" w:themeShade="BF"/>
              <w:bottom w:val="single" w:sz="2" w:space="0" w:color="BFBFBF" w:themeColor="background1" w:themeShade="BF"/>
            </w:tcBorders>
            <w:vAlign w:val="center"/>
          </w:tcPr>
          <w:p w14:paraId="3A862DCA" w14:textId="77777777" w:rsidR="00F3078A" w:rsidRPr="00DD2BB0" w:rsidRDefault="00F3078A" w:rsidP="00A011F9">
            <w:pPr>
              <w:spacing w:after="0"/>
              <w:contextualSpacing/>
              <w:jc w:val="center"/>
              <w:rPr>
                <w:rFonts w:cstheme="minorHAnsi"/>
                <w:color w:val="000000"/>
                <w:szCs w:val="18"/>
              </w:rPr>
            </w:pPr>
            <w:r>
              <w:rPr>
                <w:rFonts w:cstheme="minorHAnsi"/>
                <w:color w:val="000000"/>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48977214"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75003EFB"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257D1B98"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4B986C29"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317A47D9"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3B231956"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1" w:type="pct"/>
            <w:tcBorders>
              <w:top w:val="single" w:sz="2" w:space="0" w:color="BFBFBF" w:themeColor="background1" w:themeShade="BF"/>
              <w:bottom w:val="single" w:sz="2" w:space="0" w:color="BFBFBF" w:themeColor="background1" w:themeShade="BF"/>
            </w:tcBorders>
            <w:vAlign w:val="center"/>
          </w:tcPr>
          <w:p w14:paraId="4C8FD959"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456" w:type="pct"/>
            <w:tcBorders>
              <w:top w:val="single" w:sz="2" w:space="0" w:color="BFBFBF" w:themeColor="background1" w:themeShade="BF"/>
              <w:bottom w:val="single" w:sz="2" w:space="0" w:color="BFBFBF" w:themeColor="background1" w:themeShade="BF"/>
            </w:tcBorders>
          </w:tcPr>
          <w:p w14:paraId="459214C2" w14:textId="77777777" w:rsidR="00F3078A" w:rsidRDefault="00F3078A" w:rsidP="00A011F9">
            <w:pPr>
              <w:spacing w:after="0"/>
              <w:contextualSpacing/>
              <w:jc w:val="center"/>
              <w:rPr>
                <w:rFonts w:cstheme="minorHAnsi"/>
                <w:szCs w:val="18"/>
              </w:rPr>
            </w:pPr>
            <w:r>
              <w:rPr>
                <w:rFonts w:cstheme="minorHAnsi"/>
                <w:szCs w:val="18"/>
              </w:rPr>
              <w:t>0</w:t>
            </w:r>
          </w:p>
        </w:tc>
      </w:tr>
      <w:tr w:rsidR="00F3078A" w:rsidRPr="00DD2BB0" w14:paraId="194A4D51" w14:textId="77777777" w:rsidTr="00A011F9">
        <w:trPr>
          <w:trHeight w:val="227"/>
        </w:trPr>
        <w:tc>
          <w:tcPr>
            <w:tcW w:w="887" w:type="pct"/>
            <w:shd w:val="clear" w:color="auto" w:fill="auto"/>
            <w:vAlign w:val="center"/>
          </w:tcPr>
          <w:p w14:paraId="145621AE" w14:textId="77777777" w:rsidR="00F3078A" w:rsidRPr="00DD2BB0" w:rsidRDefault="00F3078A" w:rsidP="00A011F9">
            <w:pPr>
              <w:spacing w:after="0"/>
              <w:contextualSpacing/>
              <w:rPr>
                <w:rFonts w:cstheme="minorHAnsi"/>
                <w:szCs w:val="18"/>
              </w:rPr>
            </w:pPr>
          </w:p>
        </w:tc>
        <w:tc>
          <w:tcPr>
            <w:tcW w:w="855" w:type="pct"/>
            <w:tcBorders>
              <w:top w:val="single" w:sz="2" w:space="0" w:color="BFBFBF" w:themeColor="background1" w:themeShade="BF"/>
              <w:bottom w:val="single" w:sz="2" w:space="0" w:color="BFBFBF" w:themeColor="background1" w:themeShade="BF"/>
            </w:tcBorders>
            <w:vAlign w:val="center"/>
          </w:tcPr>
          <w:p w14:paraId="4756DFA3" w14:textId="77777777" w:rsidR="00F3078A" w:rsidRPr="00DD2BB0" w:rsidRDefault="00F3078A" w:rsidP="00A011F9">
            <w:pPr>
              <w:spacing w:after="0"/>
              <w:contextualSpacing/>
              <w:rPr>
                <w:rFonts w:cstheme="minorHAnsi"/>
                <w:color w:val="000000"/>
                <w:szCs w:val="18"/>
              </w:rPr>
            </w:pPr>
            <w:r w:rsidRPr="00DD2BB0">
              <w:rPr>
                <w:rFonts w:asciiTheme="minorHAnsi" w:hAnsiTheme="minorHAnsi" w:cstheme="minorHAnsi"/>
                <w:szCs w:val="18"/>
              </w:rPr>
              <w:t>Community</w:t>
            </w:r>
          </w:p>
        </w:tc>
        <w:tc>
          <w:tcPr>
            <w:tcW w:w="350" w:type="pct"/>
            <w:tcBorders>
              <w:top w:val="single" w:sz="2" w:space="0" w:color="BFBFBF" w:themeColor="background1" w:themeShade="BF"/>
              <w:bottom w:val="single" w:sz="2" w:space="0" w:color="BFBFBF" w:themeColor="background1" w:themeShade="BF"/>
            </w:tcBorders>
            <w:vAlign w:val="center"/>
          </w:tcPr>
          <w:p w14:paraId="6ACE385E" w14:textId="77777777" w:rsidR="00F3078A" w:rsidRPr="00DD2BB0" w:rsidRDefault="00F3078A" w:rsidP="00A011F9">
            <w:pPr>
              <w:spacing w:after="0"/>
              <w:contextualSpacing/>
              <w:jc w:val="center"/>
              <w:rPr>
                <w:rFonts w:cstheme="minorHAnsi"/>
                <w:color w:val="000000"/>
                <w:szCs w:val="18"/>
              </w:rPr>
            </w:pPr>
            <w:r>
              <w:rPr>
                <w:rFonts w:cstheme="minorHAnsi"/>
                <w:color w:val="000000"/>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04556B48" w14:textId="77777777" w:rsidR="00F3078A" w:rsidRPr="00DD2BB0" w:rsidRDefault="00F3078A" w:rsidP="00A011F9">
            <w:pPr>
              <w:spacing w:after="0"/>
              <w:contextualSpacing/>
              <w:jc w:val="center"/>
              <w:rPr>
                <w:rFonts w:cstheme="minorHAnsi"/>
                <w:szCs w:val="18"/>
              </w:rPr>
            </w:pPr>
            <w:r w:rsidRPr="00BD10A4">
              <w:rPr>
                <w:rFonts w:cstheme="minorHAnsi"/>
                <w:color w:val="000000"/>
                <w:szCs w:val="18"/>
              </w:rPr>
              <w:t>1</w:t>
            </w:r>
          </w:p>
        </w:tc>
        <w:tc>
          <w:tcPr>
            <w:tcW w:w="350" w:type="pct"/>
            <w:tcBorders>
              <w:top w:val="single" w:sz="2" w:space="0" w:color="BFBFBF" w:themeColor="background1" w:themeShade="BF"/>
              <w:bottom w:val="single" w:sz="2" w:space="0" w:color="BFBFBF" w:themeColor="background1" w:themeShade="BF"/>
            </w:tcBorders>
            <w:vAlign w:val="center"/>
          </w:tcPr>
          <w:p w14:paraId="5C0169AB"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3D3FAE05" w14:textId="77777777" w:rsidR="00F3078A" w:rsidRPr="00DD2BB0" w:rsidRDefault="00F3078A" w:rsidP="00A011F9">
            <w:pPr>
              <w:spacing w:after="0"/>
              <w:contextualSpacing/>
              <w:jc w:val="center"/>
              <w:rPr>
                <w:rFonts w:cstheme="minorHAnsi"/>
                <w:szCs w:val="18"/>
              </w:rPr>
            </w:pPr>
            <w:r w:rsidRPr="00BD10A4">
              <w:rPr>
                <w:rFonts w:cstheme="minorHAnsi"/>
                <w:color w:val="000000"/>
                <w:szCs w:val="18"/>
              </w:rPr>
              <w:t>2</w:t>
            </w:r>
          </w:p>
        </w:tc>
        <w:tc>
          <w:tcPr>
            <w:tcW w:w="350" w:type="pct"/>
            <w:tcBorders>
              <w:top w:val="single" w:sz="2" w:space="0" w:color="BFBFBF" w:themeColor="background1" w:themeShade="BF"/>
              <w:bottom w:val="single" w:sz="2" w:space="0" w:color="BFBFBF" w:themeColor="background1" w:themeShade="BF"/>
            </w:tcBorders>
            <w:vAlign w:val="center"/>
          </w:tcPr>
          <w:p w14:paraId="4F03DB0B"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61F71E0B"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60487F29"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1" w:type="pct"/>
            <w:tcBorders>
              <w:top w:val="single" w:sz="2" w:space="0" w:color="BFBFBF" w:themeColor="background1" w:themeShade="BF"/>
              <w:bottom w:val="single" w:sz="2" w:space="0" w:color="BFBFBF" w:themeColor="background1" w:themeShade="BF"/>
            </w:tcBorders>
            <w:vAlign w:val="center"/>
          </w:tcPr>
          <w:p w14:paraId="584328B3"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456" w:type="pct"/>
            <w:tcBorders>
              <w:top w:val="single" w:sz="2" w:space="0" w:color="BFBFBF" w:themeColor="background1" w:themeShade="BF"/>
              <w:bottom w:val="single" w:sz="2" w:space="0" w:color="BFBFBF" w:themeColor="background1" w:themeShade="BF"/>
            </w:tcBorders>
          </w:tcPr>
          <w:p w14:paraId="237D4EF2" w14:textId="77777777" w:rsidR="00F3078A" w:rsidRDefault="00F3078A" w:rsidP="00A011F9">
            <w:pPr>
              <w:spacing w:after="0"/>
              <w:contextualSpacing/>
              <w:jc w:val="center"/>
              <w:rPr>
                <w:rFonts w:cstheme="minorHAnsi"/>
                <w:szCs w:val="18"/>
              </w:rPr>
            </w:pPr>
            <w:r>
              <w:rPr>
                <w:rFonts w:cstheme="minorHAnsi"/>
                <w:szCs w:val="18"/>
              </w:rPr>
              <w:t>3</w:t>
            </w:r>
          </w:p>
        </w:tc>
      </w:tr>
      <w:tr w:rsidR="00F3078A" w:rsidRPr="00DD2BB0" w14:paraId="0EA96477" w14:textId="77777777" w:rsidTr="00A011F9">
        <w:trPr>
          <w:trHeight w:val="227"/>
        </w:trPr>
        <w:tc>
          <w:tcPr>
            <w:tcW w:w="887" w:type="pct"/>
            <w:tcBorders>
              <w:bottom w:val="single" w:sz="4" w:space="0" w:color="auto"/>
            </w:tcBorders>
            <w:shd w:val="clear" w:color="auto" w:fill="auto"/>
            <w:vAlign w:val="center"/>
          </w:tcPr>
          <w:p w14:paraId="5284E721" w14:textId="77777777" w:rsidR="00F3078A" w:rsidRPr="00DD2BB0" w:rsidRDefault="00F3078A" w:rsidP="00A011F9">
            <w:pPr>
              <w:spacing w:after="0"/>
              <w:contextualSpacing/>
              <w:rPr>
                <w:rFonts w:cstheme="minorHAnsi"/>
                <w:szCs w:val="18"/>
              </w:rPr>
            </w:pPr>
          </w:p>
        </w:tc>
        <w:tc>
          <w:tcPr>
            <w:tcW w:w="855" w:type="pct"/>
            <w:tcBorders>
              <w:top w:val="single" w:sz="2" w:space="0" w:color="BFBFBF" w:themeColor="background1" w:themeShade="BF"/>
              <w:bottom w:val="single" w:sz="4" w:space="0" w:color="auto"/>
            </w:tcBorders>
            <w:vAlign w:val="center"/>
          </w:tcPr>
          <w:p w14:paraId="4FA3BA80" w14:textId="77777777" w:rsidR="00F3078A" w:rsidRPr="00BD10A4" w:rsidRDefault="00F3078A" w:rsidP="00A011F9">
            <w:pPr>
              <w:spacing w:after="0"/>
              <w:contextualSpacing/>
              <w:rPr>
                <w:rFonts w:cstheme="minorHAnsi"/>
                <w:color w:val="000000"/>
                <w:szCs w:val="18"/>
              </w:rPr>
            </w:pPr>
            <w:r w:rsidRPr="00DD2BB0">
              <w:rPr>
                <w:rFonts w:asciiTheme="minorHAnsi" w:hAnsiTheme="minorHAnsi" w:cstheme="minorHAnsi"/>
                <w:szCs w:val="18"/>
              </w:rPr>
              <w:t>Unknown</w:t>
            </w:r>
          </w:p>
        </w:tc>
        <w:tc>
          <w:tcPr>
            <w:tcW w:w="350" w:type="pct"/>
            <w:tcBorders>
              <w:top w:val="single" w:sz="2" w:space="0" w:color="BFBFBF" w:themeColor="background1" w:themeShade="BF"/>
              <w:bottom w:val="single" w:sz="4" w:space="0" w:color="auto"/>
            </w:tcBorders>
            <w:vAlign w:val="center"/>
          </w:tcPr>
          <w:p w14:paraId="57368E59" w14:textId="77777777" w:rsidR="00F3078A" w:rsidRPr="00DD2BB0" w:rsidRDefault="00F3078A" w:rsidP="00A011F9">
            <w:pPr>
              <w:spacing w:after="0"/>
              <w:contextualSpacing/>
              <w:jc w:val="center"/>
              <w:rPr>
                <w:rFonts w:cstheme="minorHAnsi"/>
                <w:color w:val="000000"/>
                <w:szCs w:val="18"/>
              </w:rPr>
            </w:pPr>
            <w:r w:rsidRPr="00BD10A4">
              <w:rPr>
                <w:rFonts w:cstheme="minorHAnsi"/>
                <w:color w:val="000000"/>
                <w:szCs w:val="18"/>
              </w:rPr>
              <w:t>1</w:t>
            </w:r>
          </w:p>
        </w:tc>
        <w:tc>
          <w:tcPr>
            <w:tcW w:w="350" w:type="pct"/>
            <w:tcBorders>
              <w:top w:val="single" w:sz="2" w:space="0" w:color="BFBFBF" w:themeColor="background1" w:themeShade="BF"/>
              <w:bottom w:val="single" w:sz="4" w:space="0" w:color="auto"/>
            </w:tcBorders>
            <w:vAlign w:val="center"/>
          </w:tcPr>
          <w:p w14:paraId="62FFE1F8"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4" w:space="0" w:color="auto"/>
            </w:tcBorders>
            <w:vAlign w:val="center"/>
          </w:tcPr>
          <w:p w14:paraId="0D8CC7AE" w14:textId="77777777" w:rsidR="00F3078A" w:rsidRPr="00DD2BB0" w:rsidRDefault="00F3078A" w:rsidP="00A011F9">
            <w:pPr>
              <w:spacing w:after="0"/>
              <w:contextualSpacing/>
              <w:jc w:val="center"/>
              <w:rPr>
                <w:rFonts w:cstheme="minorHAnsi"/>
                <w:szCs w:val="18"/>
              </w:rPr>
            </w:pPr>
            <w:r w:rsidRPr="00BD10A4">
              <w:rPr>
                <w:rFonts w:cstheme="minorHAnsi"/>
                <w:color w:val="000000"/>
                <w:szCs w:val="18"/>
              </w:rPr>
              <w:t>2</w:t>
            </w:r>
          </w:p>
        </w:tc>
        <w:tc>
          <w:tcPr>
            <w:tcW w:w="350" w:type="pct"/>
            <w:tcBorders>
              <w:top w:val="single" w:sz="2" w:space="0" w:color="BFBFBF" w:themeColor="background1" w:themeShade="BF"/>
              <w:bottom w:val="single" w:sz="4" w:space="0" w:color="auto"/>
            </w:tcBorders>
            <w:vAlign w:val="center"/>
          </w:tcPr>
          <w:p w14:paraId="6CD516DB"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4" w:space="0" w:color="auto"/>
            </w:tcBorders>
            <w:vAlign w:val="center"/>
          </w:tcPr>
          <w:p w14:paraId="45DAB5B0" w14:textId="77777777" w:rsidR="00F3078A" w:rsidRPr="00DD2BB0" w:rsidRDefault="00F3078A" w:rsidP="00A011F9">
            <w:pPr>
              <w:spacing w:after="0"/>
              <w:contextualSpacing/>
              <w:jc w:val="center"/>
              <w:rPr>
                <w:rFonts w:cstheme="minorHAnsi"/>
                <w:szCs w:val="18"/>
              </w:rPr>
            </w:pPr>
            <w:r w:rsidRPr="00BD10A4">
              <w:rPr>
                <w:rFonts w:cstheme="minorHAnsi"/>
                <w:color w:val="000000"/>
                <w:szCs w:val="18"/>
              </w:rPr>
              <w:t>1</w:t>
            </w:r>
          </w:p>
        </w:tc>
        <w:tc>
          <w:tcPr>
            <w:tcW w:w="350" w:type="pct"/>
            <w:tcBorders>
              <w:top w:val="single" w:sz="2" w:space="0" w:color="BFBFBF" w:themeColor="background1" w:themeShade="BF"/>
              <w:bottom w:val="single" w:sz="4" w:space="0" w:color="auto"/>
            </w:tcBorders>
            <w:vAlign w:val="center"/>
          </w:tcPr>
          <w:p w14:paraId="7278EA97"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4" w:space="0" w:color="auto"/>
            </w:tcBorders>
            <w:vAlign w:val="center"/>
          </w:tcPr>
          <w:p w14:paraId="23CC91E7"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1" w:type="pct"/>
            <w:tcBorders>
              <w:top w:val="single" w:sz="2" w:space="0" w:color="BFBFBF" w:themeColor="background1" w:themeShade="BF"/>
              <w:bottom w:val="single" w:sz="4" w:space="0" w:color="auto"/>
            </w:tcBorders>
            <w:vAlign w:val="center"/>
          </w:tcPr>
          <w:p w14:paraId="7A0605BC"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456" w:type="pct"/>
            <w:tcBorders>
              <w:top w:val="single" w:sz="2" w:space="0" w:color="BFBFBF" w:themeColor="background1" w:themeShade="BF"/>
              <w:bottom w:val="single" w:sz="4" w:space="0" w:color="auto"/>
            </w:tcBorders>
          </w:tcPr>
          <w:p w14:paraId="5416EDB0" w14:textId="77777777" w:rsidR="00F3078A" w:rsidRDefault="00F3078A" w:rsidP="00A011F9">
            <w:pPr>
              <w:spacing w:after="0"/>
              <w:contextualSpacing/>
              <w:jc w:val="center"/>
              <w:rPr>
                <w:rFonts w:cstheme="minorHAnsi"/>
                <w:szCs w:val="18"/>
              </w:rPr>
            </w:pPr>
            <w:r>
              <w:rPr>
                <w:rFonts w:cstheme="minorHAnsi"/>
                <w:szCs w:val="18"/>
              </w:rPr>
              <w:t>4</w:t>
            </w:r>
          </w:p>
        </w:tc>
      </w:tr>
      <w:tr w:rsidR="00F3078A" w:rsidRPr="00DD2BB0" w14:paraId="3E9B36FD" w14:textId="77777777" w:rsidTr="00A011F9">
        <w:trPr>
          <w:trHeight w:val="227"/>
        </w:trPr>
        <w:tc>
          <w:tcPr>
            <w:tcW w:w="887" w:type="pct"/>
            <w:tcBorders>
              <w:top w:val="single" w:sz="4" w:space="0" w:color="auto"/>
              <w:bottom w:val="nil"/>
            </w:tcBorders>
            <w:shd w:val="clear" w:color="auto" w:fill="auto"/>
            <w:vAlign w:val="center"/>
          </w:tcPr>
          <w:p w14:paraId="137FCF72" w14:textId="77777777" w:rsidR="00F3078A" w:rsidRDefault="00F3078A" w:rsidP="00A011F9">
            <w:pPr>
              <w:spacing w:after="0"/>
              <w:contextualSpacing/>
              <w:rPr>
                <w:rFonts w:cstheme="minorHAnsi"/>
                <w:szCs w:val="18"/>
              </w:rPr>
            </w:pPr>
            <w:r>
              <w:rPr>
                <w:rFonts w:cstheme="minorHAnsi"/>
                <w:szCs w:val="18"/>
              </w:rPr>
              <w:t>OXA-48-like</w:t>
            </w:r>
          </w:p>
        </w:tc>
        <w:tc>
          <w:tcPr>
            <w:tcW w:w="855" w:type="pct"/>
            <w:tcBorders>
              <w:top w:val="single" w:sz="4" w:space="0" w:color="auto"/>
              <w:bottom w:val="single" w:sz="2" w:space="0" w:color="BFBFBF" w:themeColor="background1" w:themeShade="BF"/>
            </w:tcBorders>
            <w:shd w:val="clear" w:color="auto" w:fill="EEECE1" w:themeFill="background2"/>
            <w:vAlign w:val="center"/>
          </w:tcPr>
          <w:p w14:paraId="29461451" w14:textId="77777777" w:rsidR="00F3078A" w:rsidRPr="00946FA6" w:rsidRDefault="00F3078A" w:rsidP="00A011F9">
            <w:pPr>
              <w:spacing w:after="0"/>
              <w:contextualSpacing/>
              <w:rPr>
                <w:rFonts w:cstheme="minorHAnsi"/>
                <w:b/>
                <w:color w:val="000000"/>
                <w:szCs w:val="18"/>
              </w:rPr>
            </w:pPr>
            <w:r w:rsidRPr="00946FA6">
              <w:rPr>
                <w:rFonts w:cstheme="minorHAnsi"/>
                <w:b/>
                <w:color w:val="000000"/>
                <w:szCs w:val="18"/>
              </w:rPr>
              <w:t>Total</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00864158" w14:textId="77777777" w:rsidR="00F3078A" w:rsidRPr="00946FA6" w:rsidRDefault="00F3078A" w:rsidP="00A011F9">
            <w:pPr>
              <w:spacing w:after="0"/>
              <w:contextualSpacing/>
              <w:jc w:val="center"/>
              <w:rPr>
                <w:rFonts w:cstheme="minorHAnsi"/>
                <w:b/>
                <w:color w:val="000000"/>
                <w:szCs w:val="18"/>
              </w:rPr>
            </w:pPr>
            <w:r w:rsidRPr="00946FA6">
              <w:rPr>
                <w:rFonts w:cstheme="minorHAnsi"/>
                <w:b/>
                <w:color w:val="000000"/>
                <w:szCs w:val="18"/>
              </w:rPr>
              <w:t>3</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39857F3F" w14:textId="77777777" w:rsidR="00F3078A" w:rsidRPr="00946FA6" w:rsidRDefault="00F3078A" w:rsidP="00A011F9">
            <w:pPr>
              <w:spacing w:after="0"/>
              <w:contextualSpacing/>
              <w:jc w:val="center"/>
              <w:rPr>
                <w:rFonts w:cstheme="minorHAnsi"/>
                <w:b/>
                <w:szCs w:val="18"/>
              </w:rPr>
            </w:pPr>
            <w:r w:rsidRPr="00946FA6">
              <w:rPr>
                <w:rFonts w:cstheme="minorHAnsi"/>
                <w:b/>
                <w:szCs w:val="18"/>
              </w:rPr>
              <w:t>3</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516F6928" w14:textId="77777777" w:rsidR="00F3078A" w:rsidRPr="00946FA6" w:rsidRDefault="00F3078A" w:rsidP="00A011F9">
            <w:pPr>
              <w:spacing w:after="0"/>
              <w:contextualSpacing/>
              <w:jc w:val="center"/>
              <w:rPr>
                <w:rFonts w:cstheme="minorHAnsi"/>
                <w:b/>
                <w:szCs w:val="18"/>
              </w:rPr>
            </w:pPr>
            <w:r w:rsidRPr="00946FA6">
              <w:rPr>
                <w:rFonts w:cstheme="minorHAnsi"/>
                <w:b/>
                <w:szCs w:val="18"/>
              </w:rPr>
              <w:t>1</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3A21FD99" w14:textId="77777777" w:rsidR="00F3078A" w:rsidRPr="00946FA6" w:rsidRDefault="00F3078A" w:rsidP="00A011F9">
            <w:pPr>
              <w:spacing w:after="0"/>
              <w:contextualSpacing/>
              <w:jc w:val="center"/>
              <w:rPr>
                <w:rFonts w:cstheme="minorHAnsi"/>
                <w:b/>
                <w:color w:val="000000"/>
                <w:szCs w:val="18"/>
              </w:rPr>
            </w:pPr>
            <w:r w:rsidRPr="00946FA6">
              <w:rPr>
                <w:rFonts w:cstheme="minorHAnsi"/>
                <w:b/>
                <w:szCs w:val="18"/>
              </w:rPr>
              <w:t>1</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450A96CC" w14:textId="77777777" w:rsidR="00F3078A" w:rsidRPr="00946FA6" w:rsidRDefault="00F3078A" w:rsidP="00A011F9">
            <w:pPr>
              <w:spacing w:after="0"/>
              <w:contextualSpacing/>
              <w:jc w:val="center"/>
              <w:rPr>
                <w:rFonts w:cstheme="minorHAnsi"/>
                <w:b/>
                <w:szCs w:val="18"/>
              </w:rPr>
            </w:pPr>
            <w:r w:rsidRPr="00946FA6">
              <w:rPr>
                <w:rFonts w:cstheme="minorHAnsi"/>
                <w:b/>
                <w:szCs w:val="18"/>
              </w:rPr>
              <w:t>0</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4247DD23" w14:textId="77777777" w:rsidR="00F3078A" w:rsidRPr="00946FA6" w:rsidRDefault="00F3078A" w:rsidP="00A011F9">
            <w:pPr>
              <w:spacing w:after="0"/>
              <w:contextualSpacing/>
              <w:jc w:val="center"/>
              <w:rPr>
                <w:rFonts w:cstheme="minorHAnsi"/>
                <w:b/>
                <w:szCs w:val="18"/>
              </w:rPr>
            </w:pPr>
            <w:r w:rsidRPr="00946FA6">
              <w:rPr>
                <w:rFonts w:cstheme="minorHAnsi"/>
                <w:b/>
                <w:szCs w:val="18"/>
              </w:rPr>
              <w:t>0</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59FB5710" w14:textId="77777777" w:rsidR="00F3078A" w:rsidRPr="00946FA6" w:rsidRDefault="00F3078A" w:rsidP="00A011F9">
            <w:pPr>
              <w:spacing w:after="0"/>
              <w:contextualSpacing/>
              <w:jc w:val="center"/>
              <w:rPr>
                <w:rFonts w:cstheme="minorHAnsi"/>
                <w:b/>
                <w:szCs w:val="18"/>
              </w:rPr>
            </w:pPr>
            <w:r w:rsidRPr="00946FA6">
              <w:rPr>
                <w:rFonts w:cstheme="minorHAnsi"/>
                <w:b/>
                <w:szCs w:val="18"/>
              </w:rPr>
              <w:t>0</w:t>
            </w:r>
          </w:p>
        </w:tc>
        <w:tc>
          <w:tcPr>
            <w:tcW w:w="351" w:type="pct"/>
            <w:tcBorders>
              <w:top w:val="single" w:sz="4" w:space="0" w:color="auto"/>
              <w:bottom w:val="single" w:sz="2" w:space="0" w:color="BFBFBF" w:themeColor="background1" w:themeShade="BF"/>
            </w:tcBorders>
            <w:shd w:val="clear" w:color="auto" w:fill="EEECE1" w:themeFill="background2"/>
            <w:vAlign w:val="center"/>
          </w:tcPr>
          <w:p w14:paraId="1A47E85E" w14:textId="633FA2E9" w:rsidR="00F3078A" w:rsidRPr="00946FA6" w:rsidRDefault="007F5070" w:rsidP="00A011F9">
            <w:pPr>
              <w:spacing w:after="0"/>
              <w:contextualSpacing/>
              <w:jc w:val="center"/>
              <w:rPr>
                <w:rFonts w:cstheme="minorHAnsi"/>
                <w:b/>
                <w:szCs w:val="18"/>
              </w:rPr>
            </w:pPr>
            <w:r>
              <w:rPr>
                <w:rFonts w:cstheme="minorHAnsi"/>
                <w:b/>
                <w:szCs w:val="18"/>
              </w:rPr>
              <w:t>0</w:t>
            </w:r>
          </w:p>
        </w:tc>
        <w:tc>
          <w:tcPr>
            <w:tcW w:w="456" w:type="pct"/>
            <w:tcBorders>
              <w:top w:val="single" w:sz="4" w:space="0" w:color="auto"/>
              <w:bottom w:val="single" w:sz="2" w:space="0" w:color="BFBFBF" w:themeColor="background1" w:themeShade="BF"/>
            </w:tcBorders>
            <w:shd w:val="clear" w:color="auto" w:fill="EEECE1" w:themeFill="background2"/>
          </w:tcPr>
          <w:p w14:paraId="53AA12AC" w14:textId="4A4DB33B" w:rsidR="00F3078A" w:rsidRPr="00946FA6" w:rsidRDefault="007F5070" w:rsidP="00A011F9">
            <w:pPr>
              <w:spacing w:after="0"/>
              <w:contextualSpacing/>
              <w:jc w:val="center"/>
              <w:rPr>
                <w:rFonts w:cstheme="minorHAnsi"/>
                <w:b/>
                <w:szCs w:val="18"/>
              </w:rPr>
            </w:pPr>
            <w:r>
              <w:rPr>
                <w:rFonts w:cstheme="minorHAnsi"/>
                <w:b/>
                <w:szCs w:val="18"/>
              </w:rPr>
              <w:t>8</w:t>
            </w:r>
          </w:p>
        </w:tc>
      </w:tr>
      <w:tr w:rsidR="00F3078A" w:rsidRPr="00DD2BB0" w14:paraId="63CD5857" w14:textId="77777777" w:rsidTr="00A011F9">
        <w:trPr>
          <w:trHeight w:val="227"/>
        </w:trPr>
        <w:tc>
          <w:tcPr>
            <w:tcW w:w="887" w:type="pct"/>
            <w:tcBorders>
              <w:top w:val="nil"/>
            </w:tcBorders>
            <w:shd w:val="clear" w:color="auto" w:fill="auto"/>
            <w:vAlign w:val="center"/>
          </w:tcPr>
          <w:p w14:paraId="63994DF7" w14:textId="77777777" w:rsidR="00F3078A" w:rsidRPr="00DD2BB0" w:rsidRDefault="00F3078A" w:rsidP="00A011F9">
            <w:pPr>
              <w:spacing w:after="0"/>
              <w:contextualSpacing/>
              <w:rPr>
                <w:rFonts w:cstheme="minorHAnsi"/>
                <w:szCs w:val="18"/>
              </w:rPr>
            </w:pPr>
          </w:p>
        </w:tc>
        <w:tc>
          <w:tcPr>
            <w:tcW w:w="855" w:type="pct"/>
            <w:tcBorders>
              <w:top w:val="single" w:sz="2" w:space="0" w:color="BFBFBF" w:themeColor="background1" w:themeShade="BF"/>
              <w:bottom w:val="single" w:sz="2" w:space="0" w:color="BFBFBF" w:themeColor="background1" w:themeShade="BF"/>
            </w:tcBorders>
            <w:vAlign w:val="center"/>
          </w:tcPr>
          <w:p w14:paraId="0B50F691" w14:textId="77777777" w:rsidR="00F3078A" w:rsidRPr="00BD10A4" w:rsidRDefault="00F3078A" w:rsidP="00A011F9">
            <w:pPr>
              <w:spacing w:after="0"/>
              <w:contextualSpacing/>
              <w:rPr>
                <w:rFonts w:cstheme="minorHAnsi"/>
                <w:color w:val="000000"/>
                <w:szCs w:val="18"/>
              </w:rPr>
            </w:pPr>
            <w:r w:rsidRPr="00DD2BB0">
              <w:rPr>
                <w:rFonts w:asciiTheme="minorHAnsi" w:hAnsiTheme="minorHAnsi" w:cstheme="minorHAnsi"/>
                <w:szCs w:val="18"/>
              </w:rPr>
              <w:t>Public hospital</w:t>
            </w:r>
          </w:p>
        </w:tc>
        <w:tc>
          <w:tcPr>
            <w:tcW w:w="350" w:type="pct"/>
            <w:tcBorders>
              <w:top w:val="single" w:sz="2" w:space="0" w:color="BFBFBF" w:themeColor="background1" w:themeShade="BF"/>
              <w:bottom w:val="single" w:sz="2" w:space="0" w:color="BFBFBF" w:themeColor="background1" w:themeShade="BF"/>
            </w:tcBorders>
            <w:vAlign w:val="center"/>
          </w:tcPr>
          <w:p w14:paraId="3C0FD97D" w14:textId="77777777" w:rsidR="00F3078A" w:rsidRPr="00DD2BB0" w:rsidRDefault="00F3078A" w:rsidP="00A011F9">
            <w:pPr>
              <w:spacing w:after="0"/>
              <w:contextualSpacing/>
              <w:jc w:val="center"/>
              <w:rPr>
                <w:rFonts w:cstheme="minorHAnsi"/>
                <w:color w:val="000000"/>
                <w:szCs w:val="18"/>
              </w:rPr>
            </w:pPr>
            <w:r w:rsidRPr="00BD10A4">
              <w:rPr>
                <w:rFonts w:cstheme="minorHAnsi"/>
                <w:color w:val="000000"/>
                <w:szCs w:val="18"/>
              </w:rPr>
              <w:t>3</w:t>
            </w:r>
          </w:p>
        </w:tc>
        <w:tc>
          <w:tcPr>
            <w:tcW w:w="350" w:type="pct"/>
            <w:tcBorders>
              <w:top w:val="single" w:sz="2" w:space="0" w:color="BFBFBF" w:themeColor="background1" w:themeShade="BF"/>
              <w:bottom w:val="single" w:sz="2" w:space="0" w:color="BFBFBF" w:themeColor="background1" w:themeShade="BF"/>
            </w:tcBorders>
            <w:vAlign w:val="center"/>
          </w:tcPr>
          <w:p w14:paraId="47176ED2"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69034308"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3D2F7474" w14:textId="77777777" w:rsidR="00F3078A" w:rsidRPr="00DD2BB0" w:rsidRDefault="00F3078A" w:rsidP="00A011F9">
            <w:pPr>
              <w:spacing w:after="0"/>
              <w:contextualSpacing/>
              <w:jc w:val="center"/>
              <w:rPr>
                <w:rFonts w:cstheme="minorHAnsi"/>
                <w:szCs w:val="18"/>
              </w:rPr>
            </w:pPr>
            <w:r w:rsidRPr="00BD10A4">
              <w:rPr>
                <w:rFonts w:cstheme="minorHAnsi"/>
                <w:color w:val="000000"/>
                <w:szCs w:val="18"/>
              </w:rPr>
              <w:t>1</w:t>
            </w:r>
          </w:p>
        </w:tc>
        <w:tc>
          <w:tcPr>
            <w:tcW w:w="350" w:type="pct"/>
            <w:tcBorders>
              <w:top w:val="single" w:sz="2" w:space="0" w:color="BFBFBF" w:themeColor="background1" w:themeShade="BF"/>
              <w:bottom w:val="single" w:sz="2" w:space="0" w:color="BFBFBF" w:themeColor="background1" w:themeShade="BF"/>
            </w:tcBorders>
            <w:vAlign w:val="center"/>
          </w:tcPr>
          <w:p w14:paraId="60936B38"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12851E76"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17EE438D"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1" w:type="pct"/>
            <w:tcBorders>
              <w:top w:val="single" w:sz="2" w:space="0" w:color="BFBFBF" w:themeColor="background1" w:themeShade="BF"/>
              <w:bottom w:val="single" w:sz="2" w:space="0" w:color="BFBFBF" w:themeColor="background1" w:themeShade="BF"/>
            </w:tcBorders>
            <w:vAlign w:val="center"/>
          </w:tcPr>
          <w:p w14:paraId="2AA231EB"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456" w:type="pct"/>
            <w:tcBorders>
              <w:top w:val="single" w:sz="2" w:space="0" w:color="BFBFBF" w:themeColor="background1" w:themeShade="BF"/>
              <w:bottom w:val="single" w:sz="2" w:space="0" w:color="BFBFBF" w:themeColor="background1" w:themeShade="BF"/>
            </w:tcBorders>
          </w:tcPr>
          <w:p w14:paraId="2B61D8F7" w14:textId="77777777" w:rsidR="00F3078A" w:rsidRDefault="00F3078A" w:rsidP="00A011F9">
            <w:pPr>
              <w:spacing w:after="0"/>
              <w:contextualSpacing/>
              <w:jc w:val="center"/>
              <w:rPr>
                <w:rFonts w:cstheme="minorHAnsi"/>
                <w:szCs w:val="18"/>
              </w:rPr>
            </w:pPr>
            <w:r>
              <w:rPr>
                <w:rFonts w:cstheme="minorHAnsi"/>
                <w:szCs w:val="18"/>
              </w:rPr>
              <w:t>4</w:t>
            </w:r>
          </w:p>
        </w:tc>
      </w:tr>
      <w:tr w:rsidR="00F3078A" w:rsidRPr="00DD2BB0" w14:paraId="53721735" w14:textId="77777777" w:rsidTr="00A011F9">
        <w:trPr>
          <w:trHeight w:val="227"/>
        </w:trPr>
        <w:tc>
          <w:tcPr>
            <w:tcW w:w="887" w:type="pct"/>
            <w:shd w:val="clear" w:color="auto" w:fill="auto"/>
            <w:vAlign w:val="center"/>
          </w:tcPr>
          <w:p w14:paraId="57C2EEED" w14:textId="77777777" w:rsidR="00F3078A" w:rsidRPr="00DD2BB0" w:rsidRDefault="00F3078A" w:rsidP="00A011F9">
            <w:pPr>
              <w:spacing w:after="0"/>
              <w:contextualSpacing/>
              <w:rPr>
                <w:rFonts w:cstheme="minorHAnsi"/>
                <w:szCs w:val="18"/>
              </w:rPr>
            </w:pPr>
          </w:p>
        </w:tc>
        <w:tc>
          <w:tcPr>
            <w:tcW w:w="855" w:type="pct"/>
            <w:tcBorders>
              <w:top w:val="single" w:sz="2" w:space="0" w:color="BFBFBF" w:themeColor="background1" w:themeShade="BF"/>
              <w:bottom w:val="single" w:sz="2" w:space="0" w:color="BFBFBF" w:themeColor="background1" w:themeShade="BF"/>
            </w:tcBorders>
            <w:vAlign w:val="center"/>
          </w:tcPr>
          <w:p w14:paraId="6C54D475" w14:textId="77777777" w:rsidR="00F3078A" w:rsidRPr="00DD2BB0" w:rsidRDefault="00F3078A" w:rsidP="00A011F9">
            <w:pPr>
              <w:spacing w:after="0"/>
              <w:contextualSpacing/>
              <w:rPr>
                <w:rFonts w:cstheme="minorHAnsi"/>
                <w:color w:val="000000"/>
                <w:szCs w:val="18"/>
              </w:rPr>
            </w:pPr>
            <w:r w:rsidRPr="00DD2BB0">
              <w:rPr>
                <w:rFonts w:asciiTheme="minorHAnsi" w:hAnsiTheme="minorHAnsi" w:cstheme="minorHAnsi"/>
                <w:szCs w:val="18"/>
              </w:rPr>
              <w:t>Private hospital</w:t>
            </w:r>
          </w:p>
        </w:tc>
        <w:tc>
          <w:tcPr>
            <w:tcW w:w="350" w:type="pct"/>
            <w:tcBorders>
              <w:top w:val="single" w:sz="2" w:space="0" w:color="BFBFBF" w:themeColor="background1" w:themeShade="BF"/>
              <w:bottom w:val="single" w:sz="2" w:space="0" w:color="BFBFBF" w:themeColor="background1" w:themeShade="BF"/>
            </w:tcBorders>
            <w:vAlign w:val="center"/>
          </w:tcPr>
          <w:p w14:paraId="0D678EF5" w14:textId="77777777" w:rsidR="00F3078A" w:rsidRPr="00DD2BB0" w:rsidRDefault="00F3078A" w:rsidP="00A011F9">
            <w:pPr>
              <w:spacing w:after="0"/>
              <w:contextualSpacing/>
              <w:jc w:val="center"/>
              <w:rPr>
                <w:rFonts w:cstheme="minorHAnsi"/>
                <w:color w:val="000000"/>
                <w:szCs w:val="18"/>
              </w:rPr>
            </w:pPr>
            <w:r>
              <w:rPr>
                <w:rFonts w:cstheme="minorHAnsi"/>
                <w:color w:val="000000"/>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58E4099F"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3F51F094" w14:textId="77777777" w:rsidR="00F3078A" w:rsidRPr="00DD2BB0" w:rsidRDefault="00F3078A" w:rsidP="00A011F9">
            <w:pPr>
              <w:spacing w:after="0"/>
              <w:contextualSpacing/>
              <w:jc w:val="center"/>
              <w:rPr>
                <w:rFonts w:cstheme="minorHAnsi"/>
                <w:szCs w:val="18"/>
              </w:rPr>
            </w:pPr>
            <w:r w:rsidRPr="00BD10A4">
              <w:rPr>
                <w:rFonts w:cstheme="minorHAnsi"/>
                <w:color w:val="000000"/>
                <w:szCs w:val="18"/>
              </w:rPr>
              <w:t>1</w:t>
            </w:r>
          </w:p>
        </w:tc>
        <w:tc>
          <w:tcPr>
            <w:tcW w:w="350" w:type="pct"/>
            <w:tcBorders>
              <w:top w:val="single" w:sz="2" w:space="0" w:color="BFBFBF" w:themeColor="background1" w:themeShade="BF"/>
              <w:bottom w:val="single" w:sz="2" w:space="0" w:color="BFBFBF" w:themeColor="background1" w:themeShade="BF"/>
            </w:tcBorders>
            <w:vAlign w:val="center"/>
          </w:tcPr>
          <w:p w14:paraId="4587331C"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6EC08EBD"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6C30D322"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28209D8A"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1" w:type="pct"/>
            <w:tcBorders>
              <w:top w:val="single" w:sz="2" w:space="0" w:color="BFBFBF" w:themeColor="background1" w:themeShade="BF"/>
              <w:bottom w:val="single" w:sz="2" w:space="0" w:color="BFBFBF" w:themeColor="background1" w:themeShade="BF"/>
            </w:tcBorders>
            <w:vAlign w:val="center"/>
          </w:tcPr>
          <w:p w14:paraId="0648770D"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456" w:type="pct"/>
            <w:tcBorders>
              <w:top w:val="single" w:sz="2" w:space="0" w:color="BFBFBF" w:themeColor="background1" w:themeShade="BF"/>
              <w:bottom w:val="single" w:sz="2" w:space="0" w:color="BFBFBF" w:themeColor="background1" w:themeShade="BF"/>
            </w:tcBorders>
          </w:tcPr>
          <w:p w14:paraId="250BDEE1" w14:textId="77777777" w:rsidR="00F3078A" w:rsidRDefault="00F3078A" w:rsidP="00A011F9">
            <w:pPr>
              <w:spacing w:after="0"/>
              <w:contextualSpacing/>
              <w:jc w:val="center"/>
              <w:rPr>
                <w:rFonts w:cstheme="minorHAnsi"/>
                <w:szCs w:val="18"/>
              </w:rPr>
            </w:pPr>
            <w:r>
              <w:rPr>
                <w:rFonts w:cstheme="minorHAnsi"/>
                <w:szCs w:val="18"/>
              </w:rPr>
              <w:t>1</w:t>
            </w:r>
          </w:p>
        </w:tc>
      </w:tr>
      <w:tr w:rsidR="00F3078A" w:rsidRPr="00DD2BB0" w14:paraId="258B2389" w14:textId="77777777" w:rsidTr="00A011F9">
        <w:trPr>
          <w:trHeight w:val="227"/>
        </w:trPr>
        <w:tc>
          <w:tcPr>
            <w:tcW w:w="887" w:type="pct"/>
            <w:shd w:val="clear" w:color="auto" w:fill="auto"/>
            <w:vAlign w:val="center"/>
          </w:tcPr>
          <w:p w14:paraId="5AF1324E" w14:textId="77777777" w:rsidR="00F3078A" w:rsidRPr="00DD2BB0" w:rsidRDefault="00F3078A" w:rsidP="00A011F9">
            <w:pPr>
              <w:spacing w:after="0"/>
              <w:contextualSpacing/>
              <w:rPr>
                <w:rFonts w:cstheme="minorHAnsi"/>
                <w:szCs w:val="18"/>
              </w:rPr>
            </w:pPr>
          </w:p>
        </w:tc>
        <w:tc>
          <w:tcPr>
            <w:tcW w:w="855" w:type="pct"/>
            <w:tcBorders>
              <w:top w:val="single" w:sz="2" w:space="0" w:color="BFBFBF" w:themeColor="background1" w:themeShade="BF"/>
              <w:bottom w:val="single" w:sz="2" w:space="0" w:color="BFBFBF" w:themeColor="background1" w:themeShade="BF"/>
            </w:tcBorders>
            <w:vAlign w:val="center"/>
          </w:tcPr>
          <w:p w14:paraId="7223C34F" w14:textId="77777777" w:rsidR="00F3078A" w:rsidRPr="00DD2BB0" w:rsidRDefault="00F3078A" w:rsidP="00A011F9">
            <w:pPr>
              <w:spacing w:after="0"/>
              <w:contextualSpacing/>
              <w:rPr>
                <w:rFonts w:cstheme="minorHAnsi"/>
                <w:color w:val="000000"/>
                <w:szCs w:val="18"/>
              </w:rPr>
            </w:pPr>
            <w:r w:rsidRPr="00DD2BB0">
              <w:rPr>
                <w:rFonts w:asciiTheme="minorHAnsi" w:hAnsiTheme="minorHAnsi" w:cstheme="minorHAnsi"/>
                <w:szCs w:val="18"/>
              </w:rPr>
              <w:t>Aged care home</w:t>
            </w:r>
          </w:p>
        </w:tc>
        <w:tc>
          <w:tcPr>
            <w:tcW w:w="350" w:type="pct"/>
            <w:tcBorders>
              <w:top w:val="single" w:sz="2" w:space="0" w:color="BFBFBF" w:themeColor="background1" w:themeShade="BF"/>
              <w:bottom w:val="single" w:sz="2" w:space="0" w:color="BFBFBF" w:themeColor="background1" w:themeShade="BF"/>
            </w:tcBorders>
            <w:vAlign w:val="center"/>
          </w:tcPr>
          <w:p w14:paraId="610899E5" w14:textId="77777777" w:rsidR="00F3078A" w:rsidRPr="00DD2BB0" w:rsidRDefault="00F3078A" w:rsidP="00A011F9">
            <w:pPr>
              <w:spacing w:after="0"/>
              <w:contextualSpacing/>
              <w:jc w:val="center"/>
              <w:rPr>
                <w:rFonts w:cstheme="minorHAnsi"/>
                <w:color w:val="000000"/>
                <w:szCs w:val="18"/>
              </w:rPr>
            </w:pPr>
            <w:r>
              <w:rPr>
                <w:rFonts w:cstheme="minorHAnsi"/>
                <w:color w:val="000000"/>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2204CB1F"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2CF13170"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3C0272F9"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450199C4"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6974CFD7"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41564A90"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1" w:type="pct"/>
            <w:tcBorders>
              <w:top w:val="single" w:sz="2" w:space="0" w:color="BFBFBF" w:themeColor="background1" w:themeShade="BF"/>
              <w:bottom w:val="single" w:sz="2" w:space="0" w:color="BFBFBF" w:themeColor="background1" w:themeShade="BF"/>
            </w:tcBorders>
            <w:vAlign w:val="center"/>
          </w:tcPr>
          <w:p w14:paraId="26775FE3"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456" w:type="pct"/>
            <w:tcBorders>
              <w:top w:val="single" w:sz="2" w:space="0" w:color="BFBFBF" w:themeColor="background1" w:themeShade="BF"/>
              <w:bottom w:val="single" w:sz="2" w:space="0" w:color="BFBFBF" w:themeColor="background1" w:themeShade="BF"/>
            </w:tcBorders>
          </w:tcPr>
          <w:p w14:paraId="4CA65EAE" w14:textId="77777777" w:rsidR="00F3078A" w:rsidRDefault="00F3078A" w:rsidP="00A011F9">
            <w:pPr>
              <w:spacing w:after="0"/>
              <w:contextualSpacing/>
              <w:jc w:val="center"/>
              <w:rPr>
                <w:rFonts w:cstheme="minorHAnsi"/>
                <w:szCs w:val="18"/>
              </w:rPr>
            </w:pPr>
            <w:r>
              <w:rPr>
                <w:rFonts w:cstheme="minorHAnsi"/>
                <w:szCs w:val="18"/>
              </w:rPr>
              <w:t>0</w:t>
            </w:r>
          </w:p>
        </w:tc>
      </w:tr>
      <w:tr w:rsidR="00F3078A" w:rsidRPr="00DD2BB0" w14:paraId="52214C2C" w14:textId="77777777" w:rsidTr="00A011F9">
        <w:trPr>
          <w:trHeight w:val="227"/>
        </w:trPr>
        <w:tc>
          <w:tcPr>
            <w:tcW w:w="887" w:type="pct"/>
            <w:shd w:val="clear" w:color="auto" w:fill="auto"/>
            <w:vAlign w:val="center"/>
          </w:tcPr>
          <w:p w14:paraId="65DF0EF1" w14:textId="77777777" w:rsidR="00F3078A" w:rsidRPr="00DD2BB0" w:rsidRDefault="00F3078A" w:rsidP="00A011F9">
            <w:pPr>
              <w:spacing w:after="0"/>
              <w:contextualSpacing/>
              <w:rPr>
                <w:rFonts w:cstheme="minorHAnsi"/>
                <w:szCs w:val="18"/>
              </w:rPr>
            </w:pPr>
          </w:p>
        </w:tc>
        <w:tc>
          <w:tcPr>
            <w:tcW w:w="855" w:type="pct"/>
            <w:tcBorders>
              <w:top w:val="single" w:sz="2" w:space="0" w:color="BFBFBF" w:themeColor="background1" w:themeShade="BF"/>
              <w:bottom w:val="single" w:sz="2" w:space="0" w:color="BFBFBF" w:themeColor="background1" w:themeShade="BF"/>
            </w:tcBorders>
            <w:vAlign w:val="center"/>
          </w:tcPr>
          <w:p w14:paraId="394D1B07" w14:textId="77777777" w:rsidR="00F3078A" w:rsidRPr="00DD2BB0" w:rsidRDefault="00F3078A" w:rsidP="00A011F9">
            <w:pPr>
              <w:spacing w:after="0"/>
              <w:contextualSpacing/>
              <w:rPr>
                <w:rFonts w:cstheme="minorHAnsi"/>
                <w:color w:val="000000"/>
                <w:szCs w:val="18"/>
              </w:rPr>
            </w:pPr>
            <w:r w:rsidRPr="00DD2BB0">
              <w:rPr>
                <w:rFonts w:asciiTheme="minorHAnsi" w:hAnsiTheme="minorHAnsi" w:cstheme="minorHAnsi"/>
                <w:szCs w:val="18"/>
              </w:rPr>
              <w:t>Community</w:t>
            </w:r>
          </w:p>
        </w:tc>
        <w:tc>
          <w:tcPr>
            <w:tcW w:w="350" w:type="pct"/>
            <w:tcBorders>
              <w:top w:val="single" w:sz="2" w:space="0" w:color="BFBFBF" w:themeColor="background1" w:themeShade="BF"/>
              <w:bottom w:val="single" w:sz="2" w:space="0" w:color="BFBFBF" w:themeColor="background1" w:themeShade="BF"/>
            </w:tcBorders>
            <w:vAlign w:val="center"/>
          </w:tcPr>
          <w:p w14:paraId="5E12AF76" w14:textId="77777777" w:rsidR="00F3078A" w:rsidRPr="00DD2BB0" w:rsidRDefault="00F3078A" w:rsidP="00A011F9">
            <w:pPr>
              <w:spacing w:after="0"/>
              <w:contextualSpacing/>
              <w:jc w:val="center"/>
              <w:rPr>
                <w:rFonts w:cstheme="minorHAnsi"/>
                <w:color w:val="000000"/>
                <w:szCs w:val="18"/>
              </w:rPr>
            </w:pPr>
            <w:r>
              <w:rPr>
                <w:rFonts w:cstheme="minorHAnsi"/>
                <w:color w:val="000000"/>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0DE22C7E" w14:textId="77777777" w:rsidR="00F3078A" w:rsidRPr="00DD2BB0" w:rsidRDefault="00F3078A" w:rsidP="00A011F9">
            <w:pPr>
              <w:spacing w:after="0"/>
              <w:contextualSpacing/>
              <w:jc w:val="center"/>
              <w:rPr>
                <w:rFonts w:cstheme="minorHAnsi"/>
                <w:szCs w:val="18"/>
              </w:rPr>
            </w:pPr>
            <w:r w:rsidRPr="00BD10A4">
              <w:rPr>
                <w:rFonts w:cstheme="minorHAnsi"/>
                <w:color w:val="000000"/>
                <w:szCs w:val="18"/>
              </w:rPr>
              <w:t>2</w:t>
            </w:r>
          </w:p>
        </w:tc>
        <w:tc>
          <w:tcPr>
            <w:tcW w:w="350" w:type="pct"/>
            <w:tcBorders>
              <w:top w:val="single" w:sz="2" w:space="0" w:color="BFBFBF" w:themeColor="background1" w:themeShade="BF"/>
              <w:bottom w:val="single" w:sz="2" w:space="0" w:color="BFBFBF" w:themeColor="background1" w:themeShade="BF"/>
            </w:tcBorders>
            <w:vAlign w:val="center"/>
          </w:tcPr>
          <w:p w14:paraId="38D1A375"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5D78967F"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76325B8D"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04EF3320"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678912B0"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1" w:type="pct"/>
            <w:tcBorders>
              <w:top w:val="single" w:sz="2" w:space="0" w:color="BFBFBF" w:themeColor="background1" w:themeShade="BF"/>
              <w:bottom w:val="single" w:sz="2" w:space="0" w:color="BFBFBF" w:themeColor="background1" w:themeShade="BF"/>
            </w:tcBorders>
            <w:vAlign w:val="center"/>
          </w:tcPr>
          <w:p w14:paraId="109ECF65"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456" w:type="pct"/>
            <w:tcBorders>
              <w:top w:val="single" w:sz="2" w:space="0" w:color="BFBFBF" w:themeColor="background1" w:themeShade="BF"/>
              <w:bottom w:val="single" w:sz="2" w:space="0" w:color="BFBFBF" w:themeColor="background1" w:themeShade="BF"/>
            </w:tcBorders>
          </w:tcPr>
          <w:p w14:paraId="378706EC" w14:textId="77777777" w:rsidR="00F3078A" w:rsidRDefault="00F3078A" w:rsidP="00A011F9">
            <w:pPr>
              <w:spacing w:after="0"/>
              <w:contextualSpacing/>
              <w:jc w:val="center"/>
              <w:rPr>
                <w:rFonts w:cstheme="minorHAnsi"/>
                <w:szCs w:val="18"/>
              </w:rPr>
            </w:pPr>
            <w:r>
              <w:rPr>
                <w:rFonts w:cstheme="minorHAnsi"/>
                <w:szCs w:val="18"/>
              </w:rPr>
              <w:t>2</w:t>
            </w:r>
          </w:p>
        </w:tc>
      </w:tr>
      <w:tr w:rsidR="00F3078A" w:rsidRPr="00DD2BB0" w14:paraId="72999A1C" w14:textId="77777777" w:rsidTr="00A011F9">
        <w:trPr>
          <w:trHeight w:val="227"/>
        </w:trPr>
        <w:tc>
          <w:tcPr>
            <w:tcW w:w="887" w:type="pct"/>
            <w:tcBorders>
              <w:bottom w:val="single" w:sz="4" w:space="0" w:color="auto"/>
            </w:tcBorders>
            <w:shd w:val="clear" w:color="auto" w:fill="auto"/>
            <w:vAlign w:val="center"/>
          </w:tcPr>
          <w:p w14:paraId="627415EA" w14:textId="77777777" w:rsidR="00F3078A" w:rsidRPr="00DD2BB0" w:rsidRDefault="00F3078A" w:rsidP="00A011F9">
            <w:pPr>
              <w:spacing w:after="0"/>
              <w:contextualSpacing/>
              <w:rPr>
                <w:rFonts w:cstheme="minorHAnsi"/>
                <w:szCs w:val="18"/>
              </w:rPr>
            </w:pPr>
          </w:p>
        </w:tc>
        <w:tc>
          <w:tcPr>
            <w:tcW w:w="855" w:type="pct"/>
            <w:tcBorders>
              <w:top w:val="single" w:sz="2" w:space="0" w:color="BFBFBF" w:themeColor="background1" w:themeShade="BF"/>
              <w:bottom w:val="single" w:sz="4" w:space="0" w:color="auto"/>
            </w:tcBorders>
            <w:vAlign w:val="center"/>
          </w:tcPr>
          <w:p w14:paraId="1A799B5C" w14:textId="77777777" w:rsidR="00F3078A" w:rsidRPr="00DD2BB0" w:rsidRDefault="00F3078A" w:rsidP="00A011F9">
            <w:pPr>
              <w:spacing w:after="0"/>
              <w:contextualSpacing/>
              <w:rPr>
                <w:rFonts w:cstheme="minorHAnsi"/>
                <w:color w:val="000000"/>
                <w:szCs w:val="18"/>
              </w:rPr>
            </w:pPr>
            <w:r w:rsidRPr="00DD2BB0">
              <w:rPr>
                <w:rFonts w:asciiTheme="minorHAnsi" w:hAnsiTheme="minorHAnsi" w:cstheme="minorHAnsi"/>
                <w:szCs w:val="18"/>
              </w:rPr>
              <w:t>Unknown</w:t>
            </w:r>
          </w:p>
        </w:tc>
        <w:tc>
          <w:tcPr>
            <w:tcW w:w="350" w:type="pct"/>
            <w:tcBorders>
              <w:top w:val="single" w:sz="2" w:space="0" w:color="BFBFBF" w:themeColor="background1" w:themeShade="BF"/>
              <w:bottom w:val="single" w:sz="4" w:space="0" w:color="auto"/>
            </w:tcBorders>
            <w:vAlign w:val="center"/>
          </w:tcPr>
          <w:p w14:paraId="4649DABC" w14:textId="77777777" w:rsidR="00F3078A" w:rsidRPr="00DD2BB0" w:rsidRDefault="00F3078A" w:rsidP="00A011F9">
            <w:pPr>
              <w:spacing w:after="0"/>
              <w:contextualSpacing/>
              <w:jc w:val="center"/>
              <w:rPr>
                <w:rFonts w:cstheme="minorHAnsi"/>
                <w:color w:val="000000"/>
                <w:szCs w:val="18"/>
              </w:rPr>
            </w:pPr>
            <w:r>
              <w:rPr>
                <w:rFonts w:cstheme="minorHAnsi"/>
                <w:color w:val="000000"/>
                <w:szCs w:val="18"/>
              </w:rPr>
              <w:t>0</w:t>
            </w:r>
          </w:p>
        </w:tc>
        <w:tc>
          <w:tcPr>
            <w:tcW w:w="350" w:type="pct"/>
            <w:tcBorders>
              <w:top w:val="single" w:sz="2" w:space="0" w:color="BFBFBF" w:themeColor="background1" w:themeShade="BF"/>
              <w:bottom w:val="single" w:sz="4" w:space="0" w:color="auto"/>
            </w:tcBorders>
            <w:vAlign w:val="center"/>
          </w:tcPr>
          <w:p w14:paraId="1A592E9F" w14:textId="77777777" w:rsidR="00F3078A" w:rsidRPr="00DD2BB0" w:rsidRDefault="00F3078A" w:rsidP="00A011F9">
            <w:pPr>
              <w:spacing w:after="0"/>
              <w:contextualSpacing/>
              <w:jc w:val="center"/>
              <w:rPr>
                <w:rFonts w:cstheme="minorHAnsi"/>
                <w:szCs w:val="18"/>
              </w:rPr>
            </w:pPr>
            <w:r w:rsidRPr="00BD10A4">
              <w:rPr>
                <w:rFonts w:cstheme="minorHAnsi"/>
                <w:color w:val="000000"/>
                <w:szCs w:val="18"/>
              </w:rPr>
              <w:t>1</w:t>
            </w:r>
          </w:p>
        </w:tc>
        <w:tc>
          <w:tcPr>
            <w:tcW w:w="350" w:type="pct"/>
            <w:tcBorders>
              <w:top w:val="single" w:sz="2" w:space="0" w:color="BFBFBF" w:themeColor="background1" w:themeShade="BF"/>
              <w:bottom w:val="single" w:sz="4" w:space="0" w:color="auto"/>
            </w:tcBorders>
            <w:vAlign w:val="center"/>
          </w:tcPr>
          <w:p w14:paraId="6A5E58CF"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4" w:space="0" w:color="auto"/>
            </w:tcBorders>
            <w:vAlign w:val="center"/>
          </w:tcPr>
          <w:p w14:paraId="4081EF3E"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4" w:space="0" w:color="auto"/>
            </w:tcBorders>
            <w:vAlign w:val="center"/>
          </w:tcPr>
          <w:p w14:paraId="53C3E288"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4" w:space="0" w:color="auto"/>
            </w:tcBorders>
            <w:vAlign w:val="center"/>
          </w:tcPr>
          <w:p w14:paraId="1CD66069"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4" w:space="0" w:color="auto"/>
            </w:tcBorders>
            <w:vAlign w:val="center"/>
          </w:tcPr>
          <w:p w14:paraId="673D7049"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1" w:type="pct"/>
            <w:tcBorders>
              <w:top w:val="single" w:sz="2" w:space="0" w:color="BFBFBF" w:themeColor="background1" w:themeShade="BF"/>
              <w:bottom w:val="single" w:sz="4" w:space="0" w:color="auto"/>
            </w:tcBorders>
            <w:vAlign w:val="center"/>
          </w:tcPr>
          <w:p w14:paraId="3B09A00C"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456" w:type="pct"/>
            <w:tcBorders>
              <w:top w:val="single" w:sz="2" w:space="0" w:color="BFBFBF" w:themeColor="background1" w:themeShade="BF"/>
              <w:bottom w:val="single" w:sz="4" w:space="0" w:color="auto"/>
            </w:tcBorders>
          </w:tcPr>
          <w:p w14:paraId="7B4DCC0A" w14:textId="77777777" w:rsidR="00F3078A" w:rsidRDefault="00F3078A" w:rsidP="00A011F9">
            <w:pPr>
              <w:spacing w:after="0"/>
              <w:contextualSpacing/>
              <w:jc w:val="center"/>
              <w:rPr>
                <w:rFonts w:cstheme="minorHAnsi"/>
                <w:szCs w:val="18"/>
              </w:rPr>
            </w:pPr>
            <w:r>
              <w:rPr>
                <w:rFonts w:cstheme="minorHAnsi"/>
                <w:szCs w:val="18"/>
              </w:rPr>
              <w:t>1</w:t>
            </w:r>
          </w:p>
        </w:tc>
      </w:tr>
      <w:tr w:rsidR="00F3078A" w:rsidRPr="00DD2BB0" w14:paraId="3AA906C7" w14:textId="77777777" w:rsidTr="00A011F9">
        <w:trPr>
          <w:trHeight w:val="227"/>
        </w:trPr>
        <w:tc>
          <w:tcPr>
            <w:tcW w:w="887" w:type="pct"/>
            <w:tcBorders>
              <w:top w:val="single" w:sz="4" w:space="0" w:color="auto"/>
              <w:bottom w:val="nil"/>
            </w:tcBorders>
            <w:shd w:val="clear" w:color="auto" w:fill="auto"/>
            <w:vAlign w:val="center"/>
          </w:tcPr>
          <w:p w14:paraId="09BA1564" w14:textId="77777777" w:rsidR="00F3078A" w:rsidRDefault="00F3078A" w:rsidP="00A011F9">
            <w:pPr>
              <w:spacing w:after="0"/>
              <w:contextualSpacing/>
              <w:rPr>
                <w:rFonts w:cstheme="minorHAnsi"/>
                <w:szCs w:val="18"/>
              </w:rPr>
            </w:pPr>
            <w:r>
              <w:rPr>
                <w:rFonts w:cstheme="minorHAnsi"/>
                <w:szCs w:val="18"/>
              </w:rPr>
              <w:t>NDM, OXA-48-like</w:t>
            </w:r>
          </w:p>
        </w:tc>
        <w:tc>
          <w:tcPr>
            <w:tcW w:w="855" w:type="pct"/>
            <w:tcBorders>
              <w:top w:val="single" w:sz="4" w:space="0" w:color="auto"/>
              <w:bottom w:val="single" w:sz="2" w:space="0" w:color="BFBFBF" w:themeColor="background1" w:themeShade="BF"/>
            </w:tcBorders>
            <w:shd w:val="clear" w:color="auto" w:fill="EEECE1" w:themeFill="background2"/>
            <w:vAlign w:val="center"/>
          </w:tcPr>
          <w:p w14:paraId="42D3627D" w14:textId="77777777" w:rsidR="00F3078A" w:rsidRPr="00946FA6" w:rsidRDefault="00F3078A" w:rsidP="00A011F9">
            <w:pPr>
              <w:spacing w:after="0"/>
              <w:contextualSpacing/>
              <w:rPr>
                <w:rFonts w:cstheme="minorHAnsi"/>
                <w:b/>
                <w:color w:val="000000"/>
                <w:szCs w:val="18"/>
              </w:rPr>
            </w:pPr>
            <w:r w:rsidRPr="00946FA6">
              <w:rPr>
                <w:rFonts w:cstheme="minorHAnsi"/>
                <w:b/>
                <w:color w:val="000000"/>
                <w:szCs w:val="18"/>
              </w:rPr>
              <w:t>Total</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427621FD" w14:textId="77777777" w:rsidR="00F3078A" w:rsidRPr="00946FA6" w:rsidRDefault="00F3078A" w:rsidP="00A011F9">
            <w:pPr>
              <w:spacing w:after="0"/>
              <w:contextualSpacing/>
              <w:jc w:val="center"/>
              <w:rPr>
                <w:rFonts w:cstheme="minorHAnsi"/>
                <w:b/>
                <w:color w:val="000000"/>
                <w:szCs w:val="18"/>
              </w:rPr>
            </w:pPr>
            <w:r w:rsidRPr="00946FA6">
              <w:rPr>
                <w:rFonts w:cstheme="minorHAnsi"/>
                <w:b/>
                <w:color w:val="000000"/>
                <w:szCs w:val="18"/>
              </w:rPr>
              <w:t>2</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4902B2D0" w14:textId="77777777" w:rsidR="00F3078A" w:rsidRPr="00946FA6" w:rsidRDefault="00F3078A" w:rsidP="00A011F9">
            <w:pPr>
              <w:spacing w:after="0"/>
              <w:contextualSpacing/>
              <w:jc w:val="center"/>
              <w:rPr>
                <w:rFonts w:cstheme="minorHAnsi"/>
                <w:b/>
                <w:color w:val="000000"/>
                <w:szCs w:val="18"/>
              </w:rPr>
            </w:pPr>
            <w:r>
              <w:rPr>
                <w:rFonts w:cstheme="minorHAnsi"/>
                <w:b/>
                <w:szCs w:val="18"/>
              </w:rPr>
              <w:t>4</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0792AF7B" w14:textId="77777777" w:rsidR="00F3078A" w:rsidRPr="00946FA6" w:rsidRDefault="00F3078A" w:rsidP="00A011F9">
            <w:pPr>
              <w:spacing w:after="0"/>
              <w:contextualSpacing/>
              <w:jc w:val="center"/>
              <w:rPr>
                <w:rFonts w:cstheme="minorHAnsi"/>
                <w:b/>
                <w:szCs w:val="18"/>
              </w:rPr>
            </w:pPr>
            <w:r w:rsidRPr="00946FA6">
              <w:rPr>
                <w:rFonts w:cstheme="minorHAnsi"/>
                <w:b/>
                <w:szCs w:val="18"/>
              </w:rPr>
              <w:t>1</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2162B3F6" w14:textId="77777777" w:rsidR="00F3078A" w:rsidRPr="00946FA6" w:rsidRDefault="00F3078A" w:rsidP="00A011F9">
            <w:pPr>
              <w:spacing w:after="0"/>
              <w:contextualSpacing/>
              <w:jc w:val="center"/>
              <w:rPr>
                <w:rFonts w:cstheme="minorHAnsi"/>
                <w:b/>
                <w:szCs w:val="18"/>
              </w:rPr>
            </w:pPr>
            <w:r w:rsidRPr="00946FA6">
              <w:rPr>
                <w:rFonts w:cstheme="minorHAnsi"/>
                <w:b/>
                <w:szCs w:val="18"/>
              </w:rPr>
              <w:t>0</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629EB9A2" w14:textId="77777777" w:rsidR="00F3078A" w:rsidRPr="00946FA6" w:rsidRDefault="00F3078A" w:rsidP="00A011F9">
            <w:pPr>
              <w:spacing w:after="0"/>
              <w:contextualSpacing/>
              <w:jc w:val="center"/>
              <w:rPr>
                <w:rFonts w:cstheme="minorHAnsi"/>
                <w:b/>
                <w:szCs w:val="18"/>
              </w:rPr>
            </w:pPr>
            <w:r w:rsidRPr="00946FA6">
              <w:rPr>
                <w:rFonts w:cstheme="minorHAnsi"/>
                <w:b/>
                <w:szCs w:val="18"/>
              </w:rPr>
              <w:t>0</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7E4470D0" w14:textId="77777777" w:rsidR="00F3078A" w:rsidRPr="00946FA6" w:rsidRDefault="00F3078A" w:rsidP="00A011F9">
            <w:pPr>
              <w:spacing w:after="0"/>
              <w:contextualSpacing/>
              <w:jc w:val="center"/>
              <w:rPr>
                <w:rFonts w:cstheme="minorHAnsi"/>
                <w:b/>
                <w:szCs w:val="18"/>
              </w:rPr>
            </w:pPr>
            <w:r w:rsidRPr="00946FA6">
              <w:rPr>
                <w:rFonts w:cstheme="minorHAnsi"/>
                <w:b/>
                <w:szCs w:val="18"/>
              </w:rPr>
              <w:t>0</w:t>
            </w:r>
          </w:p>
        </w:tc>
        <w:tc>
          <w:tcPr>
            <w:tcW w:w="350" w:type="pct"/>
            <w:tcBorders>
              <w:top w:val="single" w:sz="4" w:space="0" w:color="auto"/>
              <w:bottom w:val="single" w:sz="2" w:space="0" w:color="BFBFBF" w:themeColor="background1" w:themeShade="BF"/>
            </w:tcBorders>
            <w:shd w:val="clear" w:color="auto" w:fill="EEECE1" w:themeFill="background2"/>
            <w:vAlign w:val="center"/>
          </w:tcPr>
          <w:p w14:paraId="22A8CA29" w14:textId="77777777" w:rsidR="00F3078A" w:rsidRPr="00946FA6" w:rsidRDefault="00F3078A" w:rsidP="00A011F9">
            <w:pPr>
              <w:spacing w:after="0"/>
              <w:contextualSpacing/>
              <w:jc w:val="center"/>
              <w:rPr>
                <w:rFonts w:cstheme="minorHAnsi"/>
                <w:b/>
                <w:szCs w:val="18"/>
              </w:rPr>
            </w:pPr>
            <w:r w:rsidRPr="00946FA6">
              <w:rPr>
                <w:rFonts w:cstheme="minorHAnsi"/>
                <w:b/>
                <w:szCs w:val="18"/>
              </w:rPr>
              <w:t>0</w:t>
            </w:r>
          </w:p>
        </w:tc>
        <w:tc>
          <w:tcPr>
            <w:tcW w:w="351" w:type="pct"/>
            <w:tcBorders>
              <w:top w:val="single" w:sz="4" w:space="0" w:color="auto"/>
              <w:bottom w:val="single" w:sz="2" w:space="0" w:color="BFBFBF" w:themeColor="background1" w:themeShade="BF"/>
            </w:tcBorders>
            <w:shd w:val="clear" w:color="auto" w:fill="EEECE1" w:themeFill="background2"/>
            <w:vAlign w:val="center"/>
          </w:tcPr>
          <w:p w14:paraId="40603E44" w14:textId="58F96305" w:rsidR="00F3078A" w:rsidRPr="00946FA6" w:rsidRDefault="007F5070" w:rsidP="00A011F9">
            <w:pPr>
              <w:spacing w:after="0"/>
              <w:contextualSpacing/>
              <w:jc w:val="center"/>
              <w:rPr>
                <w:rFonts w:cstheme="minorHAnsi"/>
                <w:b/>
                <w:szCs w:val="18"/>
              </w:rPr>
            </w:pPr>
            <w:r>
              <w:rPr>
                <w:rFonts w:cstheme="minorHAnsi"/>
                <w:b/>
                <w:szCs w:val="18"/>
              </w:rPr>
              <w:t>0</w:t>
            </w:r>
          </w:p>
        </w:tc>
        <w:tc>
          <w:tcPr>
            <w:tcW w:w="456" w:type="pct"/>
            <w:tcBorders>
              <w:top w:val="single" w:sz="4" w:space="0" w:color="auto"/>
              <w:bottom w:val="single" w:sz="2" w:space="0" w:color="BFBFBF" w:themeColor="background1" w:themeShade="BF"/>
            </w:tcBorders>
            <w:shd w:val="clear" w:color="auto" w:fill="EEECE1" w:themeFill="background2"/>
          </w:tcPr>
          <w:p w14:paraId="47419975" w14:textId="77777777" w:rsidR="00F3078A" w:rsidRPr="00946FA6" w:rsidRDefault="00F3078A" w:rsidP="00A011F9">
            <w:pPr>
              <w:spacing w:after="0"/>
              <w:contextualSpacing/>
              <w:jc w:val="center"/>
              <w:rPr>
                <w:rFonts w:cstheme="minorHAnsi"/>
                <w:b/>
                <w:szCs w:val="18"/>
              </w:rPr>
            </w:pPr>
            <w:r>
              <w:rPr>
                <w:rFonts w:cstheme="minorHAnsi"/>
                <w:b/>
                <w:szCs w:val="18"/>
              </w:rPr>
              <w:t>7</w:t>
            </w:r>
          </w:p>
        </w:tc>
      </w:tr>
      <w:tr w:rsidR="00F3078A" w:rsidRPr="00DD2BB0" w14:paraId="63BABA54" w14:textId="77777777" w:rsidTr="00A011F9">
        <w:trPr>
          <w:trHeight w:val="227"/>
        </w:trPr>
        <w:tc>
          <w:tcPr>
            <w:tcW w:w="887" w:type="pct"/>
            <w:tcBorders>
              <w:top w:val="nil"/>
            </w:tcBorders>
            <w:shd w:val="clear" w:color="auto" w:fill="auto"/>
            <w:vAlign w:val="center"/>
          </w:tcPr>
          <w:p w14:paraId="0175E201" w14:textId="77777777" w:rsidR="00F3078A" w:rsidRPr="00DD2BB0" w:rsidRDefault="00F3078A" w:rsidP="00A011F9">
            <w:pPr>
              <w:spacing w:after="0"/>
              <w:contextualSpacing/>
              <w:rPr>
                <w:rFonts w:cstheme="minorHAnsi"/>
                <w:szCs w:val="18"/>
              </w:rPr>
            </w:pPr>
          </w:p>
        </w:tc>
        <w:tc>
          <w:tcPr>
            <w:tcW w:w="855" w:type="pct"/>
            <w:tcBorders>
              <w:top w:val="single" w:sz="2" w:space="0" w:color="BFBFBF" w:themeColor="background1" w:themeShade="BF"/>
              <w:bottom w:val="single" w:sz="2" w:space="0" w:color="BFBFBF" w:themeColor="background1" w:themeShade="BF"/>
            </w:tcBorders>
            <w:vAlign w:val="center"/>
          </w:tcPr>
          <w:p w14:paraId="226BEE72" w14:textId="77777777" w:rsidR="00F3078A" w:rsidRPr="00BD10A4" w:rsidRDefault="00F3078A" w:rsidP="00A011F9">
            <w:pPr>
              <w:spacing w:after="0"/>
              <w:contextualSpacing/>
              <w:rPr>
                <w:rFonts w:cstheme="minorHAnsi"/>
                <w:color w:val="000000"/>
                <w:szCs w:val="18"/>
              </w:rPr>
            </w:pPr>
            <w:r w:rsidRPr="00DD2BB0">
              <w:rPr>
                <w:rFonts w:asciiTheme="minorHAnsi" w:hAnsiTheme="minorHAnsi" w:cstheme="minorHAnsi"/>
                <w:szCs w:val="18"/>
              </w:rPr>
              <w:t>Public hospital</w:t>
            </w:r>
          </w:p>
        </w:tc>
        <w:tc>
          <w:tcPr>
            <w:tcW w:w="350" w:type="pct"/>
            <w:tcBorders>
              <w:top w:val="single" w:sz="2" w:space="0" w:color="BFBFBF" w:themeColor="background1" w:themeShade="BF"/>
              <w:bottom w:val="single" w:sz="2" w:space="0" w:color="BFBFBF" w:themeColor="background1" w:themeShade="BF"/>
            </w:tcBorders>
            <w:vAlign w:val="center"/>
          </w:tcPr>
          <w:p w14:paraId="21A75A18" w14:textId="77777777" w:rsidR="00F3078A" w:rsidRPr="00DD2BB0" w:rsidRDefault="00F3078A" w:rsidP="00A011F9">
            <w:pPr>
              <w:spacing w:after="0"/>
              <w:contextualSpacing/>
              <w:jc w:val="center"/>
              <w:rPr>
                <w:rFonts w:cstheme="minorHAnsi"/>
                <w:color w:val="000000"/>
                <w:szCs w:val="18"/>
              </w:rPr>
            </w:pPr>
            <w:r w:rsidRPr="00BD10A4">
              <w:rPr>
                <w:rFonts w:cstheme="minorHAnsi"/>
                <w:color w:val="000000"/>
                <w:szCs w:val="18"/>
              </w:rPr>
              <w:t>2</w:t>
            </w:r>
          </w:p>
        </w:tc>
        <w:tc>
          <w:tcPr>
            <w:tcW w:w="350" w:type="pct"/>
            <w:tcBorders>
              <w:top w:val="single" w:sz="2" w:space="0" w:color="BFBFBF" w:themeColor="background1" w:themeShade="BF"/>
              <w:bottom w:val="single" w:sz="2" w:space="0" w:color="BFBFBF" w:themeColor="background1" w:themeShade="BF"/>
            </w:tcBorders>
            <w:vAlign w:val="center"/>
          </w:tcPr>
          <w:p w14:paraId="2C37FF0F" w14:textId="77777777" w:rsidR="00F3078A" w:rsidRPr="00DD2BB0" w:rsidRDefault="00F3078A" w:rsidP="00A011F9">
            <w:pPr>
              <w:spacing w:after="0"/>
              <w:contextualSpacing/>
              <w:jc w:val="center"/>
              <w:rPr>
                <w:rFonts w:cstheme="minorHAnsi"/>
                <w:szCs w:val="18"/>
              </w:rPr>
            </w:pPr>
            <w:r>
              <w:rPr>
                <w:rFonts w:cstheme="minorHAnsi"/>
                <w:color w:val="000000"/>
                <w:szCs w:val="18"/>
              </w:rPr>
              <w:t>4</w:t>
            </w:r>
          </w:p>
        </w:tc>
        <w:tc>
          <w:tcPr>
            <w:tcW w:w="350" w:type="pct"/>
            <w:tcBorders>
              <w:top w:val="single" w:sz="2" w:space="0" w:color="BFBFBF" w:themeColor="background1" w:themeShade="BF"/>
              <w:bottom w:val="single" w:sz="2" w:space="0" w:color="BFBFBF" w:themeColor="background1" w:themeShade="BF"/>
            </w:tcBorders>
            <w:vAlign w:val="center"/>
          </w:tcPr>
          <w:p w14:paraId="7B40A458"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79EDCDDF"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32FFDCDF"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1CC93067"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6D52ADA4"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1" w:type="pct"/>
            <w:tcBorders>
              <w:top w:val="single" w:sz="2" w:space="0" w:color="BFBFBF" w:themeColor="background1" w:themeShade="BF"/>
              <w:bottom w:val="single" w:sz="2" w:space="0" w:color="BFBFBF" w:themeColor="background1" w:themeShade="BF"/>
            </w:tcBorders>
            <w:vAlign w:val="center"/>
          </w:tcPr>
          <w:p w14:paraId="17DC5EB2"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456" w:type="pct"/>
            <w:tcBorders>
              <w:top w:val="single" w:sz="2" w:space="0" w:color="BFBFBF" w:themeColor="background1" w:themeShade="BF"/>
              <w:bottom w:val="single" w:sz="2" w:space="0" w:color="BFBFBF" w:themeColor="background1" w:themeShade="BF"/>
            </w:tcBorders>
          </w:tcPr>
          <w:p w14:paraId="7C299EB7" w14:textId="77777777" w:rsidR="00F3078A" w:rsidRDefault="00F3078A" w:rsidP="00A011F9">
            <w:pPr>
              <w:spacing w:after="0"/>
              <w:contextualSpacing/>
              <w:jc w:val="center"/>
              <w:rPr>
                <w:rFonts w:cstheme="minorHAnsi"/>
                <w:szCs w:val="18"/>
              </w:rPr>
            </w:pPr>
            <w:r>
              <w:rPr>
                <w:rFonts w:cstheme="minorHAnsi"/>
                <w:szCs w:val="18"/>
              </w:rPr>
              <w:t>6</w:t>
            </w:r>
          </w:p>
        </w:tc>
      </w:tr>
      <w:tr w:rsidR="00F3078A" w:rsidRPr="00DD2BB0" w14:paraId="00F457F9" w14:textId="77777777" w:rsidTr="00A011F9">
        <w:trPr>
          <w:trHeight w:val="227"/>
        </w:trPr>
        <w:tc>
          <w:tcPr>
            <w:tcW w:w="887" w:type="pct"/>
            <w:shd w:val="clear" w:color="auto" w:fill="auto"/>
            <w:vAlign w:val="center"/>
          </w:tcPr>
          <w:p w14:paraId="0D8B1F48" w14:textId="77777777" w:rsidR="00F3078A" w:rsidRPr="00DD2BB0" w:rsidRDefault="00F3078A" w:rsidP="00A011F9">
            <w:pPr>
              <w:spacing w:after="0"/>
              <w:contextualSpacing/>
              <w:rPr>
                <w:rFonts w:cstheme="minorHAnsi"/>
                <w:szCs w:val="18"/>
              </w:rPr>
            </w:pPr>
          </w:p>
        </w:tc>
        <w:tc>
          <w:tcPr>
            <w:tcW w:w="855" w:type="pct"/>
            <w:tcBorders>
              <w:top w:val="single" w:sz="2" w:space="0" w:color="BFBFBF" w:themeColor="background1" w:themeShade="BF"/>
              <w:bottom w:val="single" w:sz="2" w:space="0" w:color="BFBFBF" w:themeColor="background1" w:themeShade="BF"/>
            </w:tcBorders>
            <w:vAlign w:val="center"/>
          </w:tcPr>
          <w:p w14:paraId="2D3BBCD0" w14:textId="77777777" w:rsidR="00F3078A" w:rsidRPr="00DD2BB0" w:rsidRDefault="00F3078A" w:rsidP="00A011F9">
            <w:pPr>
              <w:spacing w:after="0"/>
              <w:contextualSpacing/>
              <w:rPr>
                <w:rFonts w:cstheme="minorHAnsi"/>
                <w:color w:val="000000"/>
                <w:szCs w:val="18"/>
              </w:rPr>
            </w:pPr>
            <w:r w:rsidRPr="00DD2BB0">
              <w:rPr>
                <w:rFonts w:asciiTheme="minorHAnsi" w:hAnsiTheme="minorHAnsi" w:cstheme="minorHAnsi"/>
                <w:szCs w:val="18"/>
              </w:rPr>
              <w:t>Private hospital</w:t>
            </w:r>
          </w:p>
        </w:tc>
        <w:tc>
          <w:tcPr>
            <w:tcW w:w="350" w:type="pct"/>
            <w:tcBorders>
              <w:top w:val="single" w:sz="2" w:space="0" w:color="BFBFBF" w:themeColor="background1" w:themeShade="BF"/>
              <w:bottom w:val="single" w:sz="2" w:space="0" w:color="BFBFBF" w:themeColor="background1" w:themeShade="BF"/>
            </w:tcBorders>
            <w:vAlign w:val="center"/>
          </w:tcPr>
          <w:p w14:paraId="67C73F1E" w14:textId="77777777" w:rsidR="00F3078A" w:rsidRPr="00DD2BB0" w:rsidRDefault="00F3078A" w:rsidP="00A011F9">
            <w:pPr>
              <w:spacing w:after="0"/>
              <w:contextualSpacing/>
              <w:jc w:val="center"/>
              <w:rPr>
                <w:rFonts w:cstheme="minorHAnsi"/>
                <w:color w:val="000000"/>
                <w:szCs w:val="18"/>
              </w:rPr>
            </w:pPr>
            <w:r>
              <w:rPr>
                <w:rFonts w:cstheme="minorHAnsi"/>
                <w:color w:val="000000"/>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61CD4DA5"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1C28946D"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5BD2D923"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42E0EEC1"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4A343030"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4F29859E"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1" w:type="pct"/>
            <w:tcBorders>
              <w:top w:val="single" w:sz="2" w:space="0" w:color="BFBFBF" w:themeColor="background1" w:themeShade="BF"/>
              <w:bottom w:val="single" w:sz="2" w:space="0" w:color="BFBFBF" w:themeColor="background1" w:themeShade="BF"/>
            </w:tcBorders>
            <w:vAlign w:val="center"/>
          </w:tcPr>
          <w:p w14:paraId="06F7D29F"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456" w:type="pct"/>
            <w:tcBorders>
              <w:top w:val="single" w:sz="2" w:space="0" w:color="BFBFBF" w:themeColor="background1" w:themeShade="BF"/>
              <w:bottom w:val="single" w:sz="2" w:space="0" w:color="BFBFBF" w:themeColor="background1" w:themeShade="BF"/>
            </w:tcBorders>
          </w:tcPr>
          <w:p w14:paraId="6C57D787" w14:textId="77777777" w:rsidR="00F3078A" w:rsidRDefault="00F3078A" w:rsidP="00A011F9">
            <w:pPr>
              <w:spacing w:after="0"/>
              <w:contextualSpacing/>
              <w:jc w:val="center"/>
              <w:rPr>
                <w:rFonts w:cstheme="minorHAnsi"/>
                <w:szCs w:val="18"/>
              </w:rPr>
            </w:pPr>
            <w:r>
              <w:rPr>
                <w:rFonts w:cstheme="minorHAnsi"/>
                <w:szCs w:val="18"/>
              </w:rPr>
              <w:t>0</w:t>
            </w:r>
          </w:p>
        </w:tc>
      </w:tr>
      <w:tr w:rsidR="00F3078A" w:rsidRPr="00DD2BB0" w14:paraId="79A375CA" w14:textId="77777777" w:rsidTr="00A011F9">
        <w:trPr>
          <w:trHeight w:val="227"/>
        </w:trPr>
        <w:tc>
          <w:tcPr>
            <w:tcW w:w="887" w:type="pct"/>
            <w:shd w:val="clear" w:color="auto" w:fill="auto"/>
            <w:vAlign w:val="center"/>
          </w:tcPr>
          <w:p w14:paraId="38DF9D96" w14:textId="77777777" w:rsidR="00F3078A" w:rsidRPr="00DD2BB0" w:rsidRDefault="00F3078A" w:rsidP="00A011F9">
            <w:pPr>
              <w:spacing w:after="0"/>
              <w:contextualSpacing/>
              <w:rPr>
                <w:rFonts w:cstheme="minorHAnsi"/>
                <w:szCs w:val="18"/>
              </w:rPr>
            </w:pPr>
          </w:p>
        </w:tc>
        <w:tc>
          <w:tcPr>
            <w:tcW w:w="855" w:type="pct"/>
            <w:tcBorders>
              <w:top w:val="single" w:sz="2" w:space="0" w:color="BFBFBF" w:themeColor="background1" w:themeShade="BF"/>
              <w:bottom w:val="single" w:sz="2" w:space="0" w:color="BFBFBF" w:themeColor="background1" w:themeShade="BF"/>
            </w:tcBorders>
            <w:vAlign w:val="center"/>
          </w:tcPr>
          <w:p w14:paraId="75AD4AD2" w14:textId="77777777" w:rsidR="00F3078A" w:rsidRPr="00DD2BB0" w:rsidRDefault="00F3078A" w:rsidP="00A011F9">
            <w:pPr>
              <w:spacing w:after="0"/>
              <w:contextualSpacing/>
              <w:rPr>
                <w:rFonts w:cstheme="minorHAnsi"/>
                <w:color w:val="000000"/>
                <w:szCs w:val="18"/>
              </w:rPr>
            </w:pPr>
            <w:r w:rsidRPr="00DD2BB0">
              <w:rPr>
                <w:rFonts w:asciiTheme="minorHAnsi" w:hAnsiTheme="minorHAnsi" w:cstheme="minorHAnsi"/>
                <w:szCs w:val="18"/>
              </w:rPr>
              <w:t>Aged care home</w:t>
            </w:r>
          </w:p>
        </w:tc>
        <w:tc>
          <w:tcPr>
            <w:tcW w:w="350" w:type="pct"/>
            <w:tcBorders>
              <w:top w:val="single" w:sz="2" w:space="0" w:color="BFBFBF" w:themeColor="background1" w:themeShade="BF"/>
              <w:bottom w:val="single" w:sz="2" w:space="0" w:color="BFBFBF" w:themeColor="background1" w:themeShade="BF"/>
            </w:tcBorders>
            <w:vAlign w:val="center"/>
          </w:tcPr>
          <w:p w14:paraId="141C62F6" w14:textId="77777777" w:rsidR="00F3078A" w:rsidRPr="00DD2BB0" w:rsidRDefault="00F3078A" w:rsidP="00A011F9">
            <w:pPr>
              <w:spacing w:after="0"/>
              <w:contextualSpacing/>
              <w:jc w:val="center"/>
              <w:rPr>
                <w:rFonts w:cstheme="minorHAnsi"/>
                <w:color w:val="000000"/>
                <w:szCs w:val="18"/>
              </w:rPr>
            </w:pPr>
            <w:r>
              <w:rPr>
                <w:rFonts w:cstheme="minorHAnsi"/>
                <w:color w:val="000000"/>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200D36D5"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35FD5D73"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53F6D6F9"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3FA1F243"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42D7CC15"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6BBD1000"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1" w:type="pct"/>
            <w:tcBorders>
              <w:top w:val="single" w:sz="2" w:space="0" w:color="BFBFBF" w:themeColor="background1" w:themeShade="BF"/>
              <w:bottom w:val="single" w:sz="2" w:space="0" w:color="BFBFBF" w:themeColor="background1" w:themeShade="BF"/>
            </w:tcBorders>
            <w:vAlign w:val="center"/>
          </w:tcPr>
          <w:p w14:paraId="4F1BD00D"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456" w:type="pct"/>
            <w:tcBorders>
              <w:top w:val="single" w:sz="2" w:space="0" w:color="BFBFBF" w:themeColor="background1" w:themeShade="BF"/>
              <w:bottom w:val="single" w:sz="2" w:space="0" w:color="BFBFBF" w:themeColor="background1" w:themeShade="BF"/>
            </w:tcBorders>
          </w:tcPr>
          <w:p w14:paraId="79096CE5" w14:textId="77777777" w:rsidR="00F3078A" w:rsidRDefault="00F3078A" w:rsidP="00A011F9">
            <w:pPr>
              <w:spacing w:after="0"/>
              <w:contextualSpacing/>
              <w:jc w:val="center"/>
              <w:rPr>
                <w:rFonts w:cstheme="minorHAnsi"/>
                <w:szCs w:val="18"/>
              </w:rPr>
            </w:pPr>
            <w:r>
              <w:rPr>
                <w:rFonts w:cstheme="minorHAnsi"/>
                <w:szCs w:val="18"/>
              </w:rPr>
              <w:t>0</w:t>
            </w:r>
          </w:p>
        </w:tc>
      </w:tr>
      <w:tr w:rsidR="00F3078A" w:rsidRPr="00DD2BB0" w14:paraId="18D6A01D" w14:textId="77777777" w:rsidTr="00A011F9">
        <w:trPr>
          <w:trHeight w:val="227"/>
        </w:trPr>
        <w:tc>
          <w:tcPr>
            <w:tcW w:w="887" w:type="pct"/>
            <w:shd w:val="clear" w:color="auto" w:fill="auto"/>
            <w:vAlign w:val="center"/>
          </w:tcPr>
          <w:p w14:paraId="0EEAB61B" w14:textId="77777777" w:rsidR="00F3078A" w:rsidRPr="00DD2BB0" w:rsidRDefault="00F3078A" w:rsidP="00A011F9">
            <w:pPr>
              <w:spacing w:after="0"/>
              <w:contextualSpacing/>
              <w:rPr>
                <w:rFonts w:cstheme="minorHAnsi"/>
                <w:szCs w:val="18"/>
              </w:rPr>
            </w:pPr>
          </w:p>
        </w:tc>
        <w:tc>
          <w:tcPr>
            <w:tcW w:w="855" w:type="pct"/>
            <w:tcBorders>
              <w:top w:val="single" w:sz="2" w:space="0" w:color="BFBFBF" w:themeColor="background1" w:themeShade="BF"/>
              <w:bottom w:val="single" w:sz="2" w:space="0" w:color="BFBFBF" w:themeColor="background1" w:themeShade="BF"/>
            </w:tcBorders>
            <w:vAlign w:val="center"/>
          </w:tcPr>
          <w:p w14:paraId="5D58D6B0" w14:textId="77777777" w:rsidR="00F3078A" w:rsidRPr="00DD2BB0" w:rsidRDefault="00F3078A" w:rsidP="00A011F9">
            <w:pPr>
              <w:spacing w:after="0"/>
              <w:contextualSpacing/>
              <w:rPr>
                <w:rFonts w:cstheme="minorHAnsi"/>
                <w:color w:val="000000"/>
                <w:szCs w:val="18"/>
              </w:rPr>
            </w:pPr>
            <w:r w:rsidRPr="00DD2BB0">
              <w:rPr>
                <w:rFonts w:asciiTheme="minorHAnsi" w:hAnsiTheme="minorHAnsi" w:cstheme="minorHAnsi"/>
                <w:szCs w:val="18"/>
              </w:rPr>
              <w:t>Community</w:t>
            </w:r>
          </w:p>
        </w:tc>
        <w:tc>
          <w:tcPr>
            <w:tcW w:w="350" w:type="pct"/>
            <w:tcBorders>
              <w:top w:val="single" w:sz="2" w:space="0" w:color="BFBFBF" w:themeColor="background1" w:themeShade="BF"/>
              <w:bottom w:val="single" w:sz="2" w:space="0" w:color="BFBFBF" w:themeColor="background1" w:themeShade="BF"/>
            </w:tcBorders>
            <w:vAlign w:val="center"/>
          </w:tcPr>
          <w:p w14:paraId="34311693" w14:textId="77777777" w:rsidR="00F3078A" w:rsidRPr="00DD2BB0" w:rsidRDefault="00F3078A" w:rsidP="00A011F9">
            <w:pPr>
              <w:spacing w:after="0"/>
              <w:contextualSpacing/>
              <w:jc w:val="center"/>
              <w:rPr>
                <w:rFonts w:cstheme="minorHAnsi"/>
                <w:color w:val="000000"/>
                <w:szCs w:val="18"/>
              </w:rPr>
            </w:pPr>
            <w:r>
              <w:rPr>
                <w:rFonts w:cstheme="minorHAnsi"/>
                <w:color w:val="000000"/>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5A3BC9D0"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42BA042F" w14:textId="77777777" w:rsidR="00F3078A" w:rsidRPr="00DD2BB0" w:rsidRDefault="00F3078A" w:rsidP="00A011F9">
            <w:pPr>
              <w:spacing w:after="0"/>
              <w:contextualSpacing/>
              <w:jc w:val="center"/>
              <w:rPr>
                <w:rFonts w:cstheme="minorHAnsi"/>
                <w:szCs w:val="18"/>
              </w:rPr>
            </w:pPr>
            <w:r w:rsidRPr="00BD10A4">
              <w:rPr>
                <w:rFonts w:cstheme="minorHAnsi"/>
                <w:color w:val="000000"/>
                <w:szCs w:val="18"/>
              </w:rPr>
              <w:t>1</w:t>
            </w:r>
          </w:p>
        </w:tc>
        <w:tc>
          <w:tcPr>
            <w:tcW w:w="350" w:type="pct"/>
            <w:tcBorders>
              <w:top w:val="single" w:sz="2" w:space="0" w:color="BFBFBF" w:themeColor="background1" w:themeShade="BF"/>
              <w:bottom w:val="single" w:sz="2" w:space="0" w:color="BFBFBF" w:themeColor="background1" w:themeShade="BF"/>
            </w:tcBorders>
            <w:vAlign w:val="center"/>
          </w:tcPr>
          <w:p w14:paraId="753F4DD2"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18996DD3"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5116E6C8"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bottom w:val="single" w:sz="2" w:space="0" w:color="BFBFBF" w:themeColor="background1" w:themeShade="BF"/>
            </w:tcBorders>
            <w:vAlign w:val="center"/>
          </w:tcPr>
          <w:p w14:paraId="76A06A28"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1" w:type="pct"/>
            <w:tcBorders>
              <w:top w:val="single" w:sz="2" w:space="0" w:color="BFBFBF" w:themeColor="background1" w:themeShade="BF"/>
              <w:bottom w:val="single" w:sz="2" w:space="0" w:color="BFBFBF" w:themeColor="background1" w:themeShade="BF"/>
            </w:tcBorders>
            <w:vAlign w:val="center"/>
          </w:tcPr>
          <w:p w14:paraId="03158921"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456" w:type="pct"/>
            <w:tcBorders>
              <w:top w:val="single" w:sz="2" w:space="0" w:color="BFBFBF" w:themeColor="background1" w:themeShade="BF"/>
              <w:bottom w:val="single" w:sz="2" w:space="0" w:color="BFBFBF" w:themeColor="background1" w:themeShade="BF"/>
            </w:tcBorders>
          </w:tcPr>
          <w:p w14:paraId="6C3A6F8F" w14:textId="77777777" w:rsidR="00F3078A" w:rsidRDefault="00F3078A" w:rsidP="00A011F9">
            <w:pPr>
              <w:spacing w:after="0"/>
              <w:contextualSpacing/>
              <w:jc w:val="center"/>
              <w:rPr>
                <w:rFonts w:cstheme="minorHAnsi"/>
                <w:szCs w:val="18"/>
              </w:rPr>
            </w:pPr>
            <w:r>
              <w:rPr>
                <w:rFonts w:cstheme="minorHAnsi"/>
                <w:szCs w:val="18"/>
              </w:rPr>
              <w:t>1</w:t>
            </w:r>
          </w:p>
        </w:tc>
      </w:tr>
      <w:tr w:rsidR="00F3078A" w:rsidRPr="00DD2BB0" w14:paraId="6CC9F678" w14:textId="77777777" w:rsidTr="00A011F9">
        <w:trPr>
          <w:trHeight w:val="227"/>
        </w:trPr>
        <w:tc>
          <w:tcPr>
            <w:tcW w:w="887" w:type="pct"/>
            <w:shd w:val="clear" w:color="auto" w:fill="auto"/>
            <w:vAlign w:val="center"/>
          </w:tcPr>
          <w:p w14:paraId="7CC936CC" w14:textId="77777777" w:rsidR="00F3078A" w:rsidRPr="00DD2BB0" w:rsidRDefault="00F3078A" w:rsidP="00A011F9">
            <w:pPr>
              <w:spacing w:after="0"/>
              <w:contextualSpacing/>
              <w:rPr>
                <w:rFonts w:cstheme="minorHAnsi"/>
                <w:szCs w:val="18"/>
              </w:rPr>
            </w:pPr>
          </w:p>
        </w:tc>
        <w:tc>
          <w:tcPr>
            <w:tcW w:w="855" w:type="pct"/>
            <w:tcBorders>
              <w:top w:val="single" w:sz="2" w:space="0" w:color="BFBFBF" w:themeColor="background1" w:themeShade="BF"/>
            </w:tcBorders>
            <w:vAlign w:val="center"/>
          </w:tcPr>
          <w:p w14:paraId="4E482E23" w14:textId="77777777" w:rsidR="00F3078A" w:rsidRPr="00DD2BB0" w:rsidRDefault="00F3078A" w:rsidP="00A011F9">
            <w:pPr>
              <w:spacing w:after="0"/>
              <w:contextualSpacing/>
              <w:rPr>
                <w:rFonts w:cstheme="minorHAnsi"/>
                <w:color w:val="000000"/>
                <w:szCs w:val="18"/>
              </w:rPr>
            </w:pPr>
            <w:r w:rsidRPr="00DD2BB0">
              <w:rPr>
                <w:rFonts w:asciiTheme="minorHAnsi" w:hAnsiTheme="minorHAnsi" w:cstheme="minorHAnsi"/>
                <w:szCs w:val="18"/>
              </w:rPr>
              <w:t>Unknown</w:t>
            </w:r>
          </w:p>
        </w:tc>
        <w:tc>
          <w:tcPr>
            <w:tcW w:w="350" w:type="pct"/>
            <w:tcBorders>
              <w:top w:val="single" w:sz="2" w:space="0" w:color="BFBFBF" w:themeColor="background1" w:themeShade="BF"/>
            </w:tcBorders>
            <w:vAlign w:val="center"/>
          </w:tcPr>
          <w:p w14:paraId="421EE27C" w14:textId="77777777" w:rsidR="00F3078A" w:rsidRPr="00DD2BB0" w:rsidRDefault="00F3078A" w:rsidP="00A011F9">
            <w:pPr>
              <w:spacing w:after="0"/>
              <w:contextualSpacing/>
              <w:jc w:val="center"/>
              <w:rPr>
                <w:rFonts w:cstheme="minorHAnsi"/>
                <w:color w:val="000000"/>
                <w:szCs w:val="18"/>
              </w:rPr>
            </w:pPr>
            <w:r>
              <w:rPr>
                <w:rFonts w:cstheme="minorHAnsi"/>
                <w:color w:val="000000"/>
                <w:szCs w:val="18"/>
              </w:rPr>
              <w:t>0</w:t>
            </w:r>
          </w:p>
        </w:tc>
        <w:tc>
          <w:tcPr>
            <w:tcW w:w="350" w:type="pct"/>
            <w:tcBorders>
              <w:top w:val="single" w:sz="2" w:space="0" w:color="BFBFBF" w:themeColor="background1" w:themeShade="BF"/>
            </w:tcBorders>
            <w:vAlign w:val="center"/>
          </w:tcPr>
          <w:p w14:paraId="35E38CDC"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tcBorders>
            <w:vAlign w:val="center"/>
          </w:tcPr>
          <w:p w14:paraId="759F9748"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tcBorders>
            <w:vAlign w:val="center"/>
          </w:tcPr>
          <w:p w14:paraId="067B8A50"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tcBorders>
            <w:vAlign w:val="center"/>
          </w:tcPr>
          <w:p w14:paraId="4C75DAC8"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tcBorders>
            <w:vAlign w:val="center"/>
          </w:tcPr>
          <w:p w14:paraId="6056FB94"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0" w:type="pct"/>
            <w:tcBorders>
              <w:top w:val="single" w:sz="2" w:space="0" w:color="BFBFBF" w:themeColor="background1" w:themeShade="BF"/>
            </w:tcBorders>
            <w:vAlign w:val="center"/>
          </w:tcPr>
          <w:p w14:paraId="03FE3D34"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351" w:type="pct"/>
            <w:tcBorders>
              <w:top w:val="single" w:sz="2" w:space="0" w:color="BFBFBF" w:themeColor="background1" w:themeShade="BF"/>
            </w:tcBorders>
            <w:vAlign w:val="center"/>
          </w:tcPr>
          <w:p w14:paraId="4B7E9E99" w14:textId="77777777" w:rsidR="00F3078A" w:rsidRPr="00DD2BB0" w:rsidRDefault="00F3078A" w:rsidP="00A011F9">
            <w:pPr>
              <w:spacing w:after="0"/>
              <w:contextualSpacing/>
              <w:jc w:val="center"/>
              <w:rPr>
                <w:rFonts w:cstheme="minorHAnsi"/>
                <w:szCs w:val="18"/>
              </w:rPr>
            </w:pPr>
            <w:r>
              <w:rPr>
                <w:rFonts w:cstheme="minorHAnsi"/>
                <w:szCs w:val="18"/>
              </w:rPr>
              <w:t>0</w:t>
            </w:r>
          </w:p>
        </w:tc>
        <w:tc>
          <w:tcPr>
            <w:tcW w:w="456" w:type="pct"/>
            <w:tcBorders>
              <w:top w:val="single" w:sz="2" w:space="0" w:color="BFBFBF" w:themeColor="background1" w:themeShade="BF"/>
            </w:tcBorders>
          </w:tcPr>
          <w:p w14:paraId="539741F3" w14:textId="77777777" w:rsidR="00F3078A" w:rsidRDefault="00F3078A" w:rsidP="00A011F9">
            <w:pPr>
              <w:spacing w:after="0"/>
              <w:contextualSpacing/>
              <w:jc w:val="center"/>
              <w:rPr>
                <w:rFonts w:cstheme="minorHAnsi"/>
                <w:szCs w:val="18"/>
              </w:rPr>
            </w:pPr>
            <w:r>
              <w:rPr>
                <w:rFonts w:cstheme="minorHAnsi"/>
                <w:szCs w:val="18"/>
              </w:rPr>
              <w:t>0</w:t>
            </w:r>
          </w:p>
        </w:tc>
      </w:tr>
    </w:tbl>
    <w:p w14:paraId="0D4ADC8B" w14:textId="77777777" w:rsidR="00CA5928" w:rsidRDefault="00CA5928" w:rsidP="00906395">
      <w:pPr>
        <w:spacing w:after="80"/>
      </w:pPr>
    </w:p>
    <w:p w14:paraId="0B07C24C" w14:textId="03FB1F7B" w:rsidR="0032693D" w:rsidRDefault="00906395" w:rsidP="00563E53">
      <w:pPr>
        <w:rPr>
          <w:sz w:val="18"/>
        </w:rPr>
      </w:pPr>
      <w:r>
        <w:rPr>
          <w:sz w:val="18"/>
        </w:rPr>
        <w:t xml:space="preserve">Note: </w:t>
      </w:r>
      <w:r w:rsidR="00444117">
        <w:rPr>
          <w:sz w:val="18"/>
        </w:rPr>
        <w:t>Carbapenemase type(s) as</w:t>
      </w:r>
      <w:r w:rsidR="0032693D" w:rsidRPr="00444117">
        <w:rPr>
          <w:sz w:val="18"/>
        </w:rPr>
        <w:t xml:space="preserve"> </w:t>
      </w:r>
      <w:r w:rsidR="00444117">
        <w:rPr>
          <w:sz w:val="18"/>
        </w:rPr>
        <w:t>reported.</w:t>
      </w:r>
    </w:p>
    <w:p w14:paraId="116A254D" w14:textId="24DA5C08" w:rsidR="00183043" w:rsidRPr="00444117" w:rsidRDefault="00183043" w:rsidP="00563E53">
      <w:pPr>
        <w:rPr>
          <w:sz w:val="18"/>
        </w:rPr>
      </w:pPr>
      <w:r>
        <w:rPr>
          <w:sz w:val="18"/>
        </w:rPr>
        <w:t xml:space="preserve">Note: </w:t>
      </w:r>
      <w:r w:rsidRPr="00183043">
        <w:rPr>
          <w:sz w:val="18"/>
        </w:rPr>
        <w:t>Historically, Australia has predominantly seen IMP-type</w:t>
      </w:r>
      <w:r w:rsidR="00E32584">
        <w:rPr>
          <w:sz w:val="18"/>
        </w:rPr>
        <w:t xml:space="preserve"> carbapenemases.</w:t>
      </w:r>
      <w:r w:rsidRPr="00183043">
        <w:rPr>
          <w:sz w:val="18"/>
        </w:rPr>
        <w:t xml:space="preserve"> </w:t>
      </w:r>
      <w:r w:rsidR="00E32584">
        <w:rPr>
          <w:sz w:val="18"/>
        </w:rPr>
        <w:t>H</w:t>
      </w:r>
      <w:r w:rsidRPr="00183043">
        <w:rPr>
          <w:sz w:val="18"/>
        </w:rPr>
        <w:t>owever a slow but gradual increase in other types, including NDM, has been observed since the establishment of CARAlert in 2016. Prompt identification and enhanced response to cases with the NDM-type is required to prevent local transmission of CPE.</w:t>
      </w:r>
    </w:p>
    <w:p w14:paraId="774F8955" w14:textId="77777777" w:rsidR="006C3B2E" w:rsidRDefault="006C3B2E" w:rsidP="0072102E">
      <w:pPr>
        <w:rPr>
          <w:rStyle w:val="IntenseReference"/>
          <w:rFonts w:cs="Arial"/>
          <w:b w:val="0"/>
          <w:bCs w:val="0"/>
          <w:i w:val="0"/>
          <w:smallCaps w:val="0"/>
          <w:color w:val="auto"/>
        </w:rPr>
      </w:pPr>
    </w:p>
    <w:p w14:paraId="41547AE3" w14:textId="26E82E1D" w:rsidR="00CA5928" w:rsidRDefault="00CA5928">
      <w:pPr>
        <w:spacing w:after="80"/>
        <w:rPr>
          <w:rStyle w:val="IntenseReference"/>
          <w:rFonts w:cs="Arial"/>
          <w:b w:val="0"/>
          <w:bCs w:val="0"/>
          <w:i w:val="0"/>
          <w:smallCaps w:val="0"/>
          <w:color w:val="auto"/>
        </w:rPr>
      </w:pPr>
      <w:r>
        <w:rPr>
          <w:rStyle w:val="IntenseReference"/>
          <w:rFonts w:cs="Arial"/>
          <w:b w:val="0"/>
          <w:bCs w:val="0"/>
          <w:i w:val="0"/>
          <w:smallCaps w:val="0"/>
          <w:color w:val="auto"/>
        </w:rPr>
        <w:br w:type="page"/>
      </w:r>
    </w:p>
    <w:p w14:paraId="3D886370" w14:textId="607D0E93" w:rsidR="00C06233" w:rsidRDefault="00C06233" w:rsidP="00C06233">
      <w:pPr>
        <w:pStyle w:val="Heading3"/>
      </w:pPr>
      <w:bookmarkStart w:id="18" w:name="_Toc6318412"/>
      <w:r w:rsidRPr="003012B3">
        <w:rPr>
          <w:i/>
        </w:rPr>
        <w:lastRenderedPageBreak/>
        <w:t>Enterococcus</w:t>
      </w:r>
      <w:r w:rsidRPr="003012B3">
        <w:t xml:space="preserve"> species</w:t>
      </w:r>
      <w:bookmarkEnd w:id="18"/>
    </w:p>
    <w:p w14:paraId="11EB2F47" w14:textId="596294F0" w:rsidR="00852C35" w:rsidRPr="00852C35" w:rsidRDefault="00852C35" w:rsidP="00CA5928">
      <w:pPr>
        <w:pStyle w:val="FigureTitle"/>
        <w:ind w:left="1134" w:hanging="1134"/>
      </w:pPr>
      <w:r w:rsidRPr="00CA05A9">
        <w:rPr>
          <w:noProof/>
          <w:highlight w:val="yellow"/>
        </w:rPr>
        <w:drawing>
          <wp:anchor distT="0" distB="0" distL="114300" distR="114300" simplePos="0" relativeHeight="251654656" behindDoc="1" locked="0" layoutInCell="1" allowOverlap="1" wp14:anchorId="5D3F00FA" wp14:editId="696A06D6">
            <wp:simplePos x="0" y="0"/>
            <wp:positionH relativeFrom="column">
              <wp:posOffset>-635</wp:posOffset>
            </wp:positionH>
            <wp:positionV relativeFrom="paragraph">
              <wp:posOffset>617025</wp:posOffset>
            </wp:positionV>
            <wp:extent cx="6119495" cy="2520000"/>
            <wp:effectExtent l="0" t="0" r="0" b="0"/>
            <wp:wrapTopAndBottom/>
            <wp:docPr id="36" name="Chart 3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B4139FE-A1A2-41AF-AC9A-F0079DBF6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V relativeFrom="margin">
              <wp14:pctHeight>0</wp14:pctHeight>
            </wp14:sizeRelV>
          </wp:anchor>
        </w:drawing>
      </w:r>
      <w:r>
        <w:t xml:space="preserve">Figure </w:t>
      </w:r>
      <w:r w:rsidR="007372C0">
        <w:t>9</w:t>
      </w:r>
      <w:r w:rsidR="00CA5928">
        <w:t>:</w:t>
      </w:r>
      <w:r w:rsidR="00CA5928">
        <w:tab/>
      </w:r>
      <w:r>
        <w:t>Linezolid</w:t>
      </w:r>
      <w:r w:rsidR="00906395">
        <w:t xml:space="preserve"> </w:t>
      </w:r>
      <w:r>
        <w:t>non</w:t>
      </w:r>
      <w:r w:rsidR="00906395">
        <w:t>-</w:t>
      </w:r>
      <w:r>
        <w:t xml:space="preserve">susceptible </w:t>
      </w:r>
      <w:r w:rsidRPr="00852C35">
        <w:rPr>
          <w:i/>
        </w:rPr>
        <w:t>Enterococcus</w:t>
      </w:r>
      <w:r>
        <w:t xml:space="preserve"> species</w:t>
      </w:r>
      <w:r w:rsidR="00E10174">
        <w:t xml:space="preserve">, </w:t>
      </w:r>
      <w:r w:rsidR="00E10174" w:rsidRPr="00DF78B1">
        <w:t xml:space="preserve">number reported by </w:t>
      </w:r>
      <w:r w:rsidR="007F5070">
        <w:t>for 2019 by month, compared with the previous year, national</w:t>
      </w:r>
    </w:p>
    <w:p w14:paraId="076B8470" w14:textId="77777777" w:rsidR="006C3B2E" w:rsidRDefault="006C3B2E" w:rsidP="00C06233"/>
    <w:p w14:paraId="0F65E683" w14:textId="77777777" w:rsidR="00CA5928" w:rsidRDefault="00CA5928" w:rsidP="00C06233"/>
    <w:p w14:paraId="6FEC81AF" w14:textId="77777777" w:rsidR="00C06233" w:rsidRPr="001E5AF4" w:rsidRDefault="00C06233" w:rsidP="00C06233">
      <w:pPr>
        <w:pStyle w:val="Heading3"/>
        <w:rPr>
          <w:i/>
        </w:rPr>
      </w:pPr>
      <w:bookmarkStart w:id="19" w:name="_Toc6318413"/>
      <w:r w:rsidRPr="003012B3">
        <w:rPr>
          <w:i/>
        </w:rPr>
        <w:t>Mycobacterium tuberculosis</w:t>
      </w:r>
      <w:bookmarkEnd w:id="19"/>
    </w:p>
    <w:p w14:paraId="5F380445" w14:textId="71631D3C" w:rsidR="00C06233" w:rsidRDefault="0084007A" w:rsidP="007372C0">
      <w:pPr>
        <w:pStyle w:val="FigureTitle"/>
        <w:ind w:left="1134" w:hanging="1134"/>
      </w:pPr>
      <w:r>
        <w:rPr>
          <w:noProof/>
        </w:rPr>
        <w:drawing>
          <wp:anchor distT="0" distB="0" distL="114300" distR="114300" simplePos="0" relativeHeight="251655680" behindDoc="1" locked="0" layoutInCell="1" allowOverlap="1" wp14:anchorId="2F792169" wp14:editId="7118F9E2">
            <wp:simplePos x="0" y="0"/>
            <wp:positionH relativeFrom="column">
              <wp:posOffset>-2209</wp:posOffset>
            </wp:positionH>
            <wp:positionV relativeFrom="paragraph">
              <wp:posOffset>593334</wp:posOffset>
            </wp:positionV>
            <wp:extent cx="6119495" cy="2520000"/>
            <wp:effectExtent l="0" t="0" r="0" b="0"/>
            <wp:wrapTopAndBottom/>
            <wp:docPr id="37" name="Chart 3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B4139FE-A1A2-41AF-AC9A-F0079DBF6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V relativeFrom="margin">
              <wp14:pctHeight>0</wp14:pctHeight>
            </wp14:sizeRelV>
          </wp:anchor>
        </w:drawing>
      </w:r>
      <w:r w:rsidR="00C06233">
        <w:t xml:space="preserve">Figure </w:t>
      </w:r>
      <w:r w:rsidR="007372C0">
        <w:t>10</w:t>
      </w:r>
      <w:r w:rsidR="00CA5928">
        <w:t>:</w:t>
      </w:r>
      <w:r w:rsidR="00CA5928">
        <w:tab/>
      </w:r>
      <w:r w:rsidR="00C06233">
        <w:t>Multidrug</w:t>
      </w:r>
      <w:r w:rsidR="00E92B4C">
        <w:t>-</w:t>
      </w:r>
      <w:r w:rsidR="00C06233">
        <w:t xml:space="preserve">resistant </w:t>
      </w:r>
      <w:r w:rsidR="00C06233" w:rsidRPr="00C06233">
        <w:rPr>
          <w:i/>
        </w:rPr>
        <w:t>Mycobacterium tuberculosis</w:t>
      </w:r>
      <w:r w:rsidR="00E10174">
        <w:rPr>
          <w:i/>
        </w:rPr>
        <w:t xml:space="preserve">, </w:t>
      </w:r>
      <w:r w:rsidR="00E10174" w:rsidRPr="00DF78B1">
        <w:t xml:space="preserve">number reported </w:t>
      </w:r>
      <w:r w:rsidR="007F5070">
        <w:t xml:space="preserve">for 2019 </w:t>
      </w:r>
      <w:r w:rsidR="00E10174" w:rsidRPr="00DF78B1">
        <w:t>by month</w:t>
      </w:r>
      <w:r w:rsidR="007F5070">
        <w:t>, compared with the previous year, national</w:t>
      </w:r>
    </w:p>
    <w:p w14:paraId="57287194" w14:textId="59F6D495" w:rsidR="001B61D6" w:rsidRDefault="001B61D6">
      <w:pPr>
        <w:spacing w:after="80"/>
      </w:pPr>
    </w:p>
    <w:p w14:paraId="44E41B29" w14:textId="77777777" w:rsidR="001B61D6" w:rsidRDefault="001B61D6">
      <w:pPr>
        <w:spacing w:after="80"/>
      </w:pPr>
    </w:p>
    <w:p w14:paraId="0308A1EA" w14:textId="459A20AB" w:rsidR="001B61D6" w:rsidRDefault="001B61D6">
      <w:pPr>
        <w:spacing w:after="80"/>
      </w:pPr>
      <w:r>
        <w:br w:type="page"/>
      </w:r>
    </w:p>
    <w:p w14:paraId="6D794305" w14:textId="7EE55A72" w:rsidR="00C06233" w:rsidRDefault="00C06233" w:rsidP="002B32E6">
      <w:pPr>
        <w:pStyle w:val="Heading3"/>
        <w:rPr>
          <w:i/>
        </w:rPr>
      </w:pPr>
      <w:bookmarkStart w:id="20" w:name="_Toc6318414"/>
      <w:r w:rsidRPr="002B32E6">
        <w:rPr>
          <w:i/>
        </w:rPr>
        <w:lastRenderedPageBreak/>
        <w:t>Neisseria gonorrhoeae</w:t>
      </w:r>
      <w:bookmarkEnd w:id="20"/>
    </w:p>
    <w:p w14:paraId="6156E496" w14:textId="5D8C319F" w:rsidR="0072102E" w:rsidRPr="0072102E" w:rsidRDefault="0072102E" w:rsidP="00563E53">
      <w:pPr>
        <w:pStyle w:val="Heading4"/>
      </w:pPr>
      <w:r>
        <w:t>National data</w:t>
      </w:r>
    </w:p>
    <w:p w14:paraId="1429ECC8" w14:textId="68095920" w:rsidR="0081731D" w:rsidRDefault="00E10174" w:rsidP="00CA5928">
      <w:pPr>
        <w:pStyle w:val="FigureTitle"/>
        <w:ind w:left="1134" w:hanging="1134"/>
      </w:pPr>
      <w:r w:rsidRPr="0065134D">
        <w:rPr>
          <w:rStyle w:val="IntenseReference"/>
          <w:rFonts w:cs="Arial"/>
          <w:b/>
          <w:bCs w:val="0"/>
          <w:i w:val="0"/>
          <w:smallCaps w:val="0"/>
          <w:noProof/>
          <w:color w:val="auto"/>
        </w:rPr>
        <w:drawing>
          <wp:anchor distT="0" distB="0" distL="114300" distR="114300" simplePos="0" relativeHeight="251668992" behindDoc="0" locked="0" layoutInCell="1" allowOverlap="1" wp14:anchorId="2C156874" wp14:editId="0892441B">
            <wp:simplePos x="0" y="0"/>
            <wp:positionH relativeFrom="column">
              <wp:posOffset>-5715</wp:posOffset>
            </wp:positionH>
            <wp:positionV relativeFrom="paragraph">
              <wp:posOffset>653415</wp:posOffset>
            </wp:positionV>
            <wp:extent cx="6119495" cy="2519680"/>
            <wp:effectExtent l="0" t="0" r="0" b="0"/>
            <wp:wrapTopAndBottom/>
            <wp:docPr id="41" name="Chart 4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1786726A-B04F-46AE-B0D9-5B47B27CA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r w:rsidR="009E0B9F">
        <w:t>Figure 1</w:t>
      </w:r>
      <w:r w:rsidR="007372C0">
        <w:t>1</w:t>
      </w:r>
      <w:r w:rsidR="00CA5928">
        <w:t>:</w:t>
      </w:r>
      <w:r w:rsidR="00CA5928">
        <w:tab/>
      </w:r>
      <w:r w:rsidR="0081731D">
        <w:t>Ceftriaxone</w:t>
      </w:r>
      <w:r w:rsidR="0084007A">
        <w:t xml:space="preserve"> </w:t>
      </w:r>
      <w:r w:rsidR="0081731D">
        <w:t>non</w:t>
      </w:r>
      <w:r w:rsidR="0084007A">
        <w:t>-</w:t>
      </w:r>
      <w:r w:rsidR="0081731D">
        <w:t>susceptible and/or azithromycin</w:t>
      </w:r>
      <w:r w:rsidR="0084007A">
        <w:t xml:space="preserve"> </w:t>
      </w:r>
      <w:r w:rsidR="00CA5928">
        <w:t>non</w:t>
      </w:r>
      <w:r w:rsidR="0084007A">
        <w:t>-</w:t>
      </w:r>
      <w:r w:rsidR="00CA5928">
        <w:t>susceptible</w:t>
      </w:r>
      <w:r w:rsidR="0081731D">
        <w:t xml:space="preserve"> </w:t>
      </w:r>
      <w:r w:rsidR="00CF23C5" w:rsidRPr="00852C35">
        <w:rPr>
          <w:i/>
        </w:rPr>
        <w:t>Neisseria gonorrhoeae</w:t>
      </w:r>
      <w:r w:rsidR="00CF23C5">
        <w:t xml:space="preserve"> </w:t>
      </w:r>
      <w:r w:rsidR="0081731D">
        <w:t>(HLR &gt; 256 mg/L)</w:t>
      </w:r>
      <w:r>
        <w:t xml:space="preserve">, </w:t>
      </w:r>
      <w:r w:rsidRPr="00DF78B1">
        <w:t>number reported b</w:t>
      </w:r>
      <w:r w:rsidR="00CA5928">
        <w:t>y month, 1 </w:t>
      </w:r>
      <w:r w:rsidRPr="00DF78B1">
        <w:t>January 2018</w:t>
      </w:r>
      <w:r w:rsidR="0084007A">
        <w:t>–</w:t>
      </w:r>
      <w:r w:rsidRPr="00DF78B1">
        <w:t>28</w:t>
      </w:r>
      <w:r w:rsidR="00E32584">
        <w:t> </w:t>
      </w:r>
      <w:r w:rsidRPr="00DF78B1">
        <w:t>February 2019</w:t>
      </w:r>
    </w:p>
    <w:p w14:paraId="31E3457D" w14:textId="3125B249" w:rsidR="0081731D" w:rsidRPr="00183043" w:rsidRDefault="0084007A" w:rsidP="00C06233">
      <w:pPr>
        <w:rPr>
          <w:sz w:val="18"/>
          <w:szCs w:val="18"/>
        </w:rPr>
      </w:pPr>
      <w:r w:rsidRPr="00183043">
        <w:rPr>
          <w:sz w:val="18"/>
          <w:szCs w:val="18"/>
        </w:rPr>
        <w:t xml:space="preserve">Note: </w:t>
      </w:r>
      <w:r w:rsidR="00555B78" w:rsidRPr="00183043">
        <w:rPr>
          <w:sz w:val="18"/>
          <w:szCs w:val="18"/>
        </w:rPr>
        <w:t>No</w:t>
      </w:r>
      <w:r w:rsidR="008F298A" w:rsidRPr="00183043">
        <w:rPr>
          <w:sz w:val="18"/>
          <w:szCs w:val="18"/>
        </w:rPr>
        <w:t xml:space="preserve"> ceftriaxone non-susceptible </w:t>
      </w:r>
      <w:r w:rsidR="008F298A" w:rsidRPr="00183043">
        <w:rPr>
          <w:i/>
          <w:sz w:val="18"/>
          <w:szCs w:val="18"/>
        </w:rPr>
        <w:t>Neisseria gonorrhoeae</w:t>
      </w:r>
      <w:r w:rsidR="008F298A" w:rsidRPr="00183043">
        <w:rPr>
          <w:sz w:val="18"/>
          <w:szCs w:val="18"/>
        </w:rPr>
        <w:t xml:space="preserve"> </w:t>
      </w:r>
      <w:r w:rsidR="00555B78" w:rsidRPr="00183043">
        <w:rPr>
          <w:sz w:val="18"/>
          <w:szCs w:val="18"/>
        </w:rPr>
        <w:t>were reported in this</w:t>
      </w:r>
      <w:r w:rsidR="008F298A" w:rsidRPr="00183043">
        <w:rPr>
          <w:sz w:val="18"/>
          <w:szCs w:val="18"/>
        </w:rPr>
        <w:t xml:space="preserve"> reporting period</w:t>
      </w:r>
      <w:r w:rsidR="00555B78" w:rsidRPr="00183043">
        <w:rPr>
          <w:sz w:val="18"/>
          <w:szCs w:val="18"/>
        </w:rPr>
        <w:t xml:space="preserve"> (January–February 2019)</w:t>
      </w:r>
      <w:r w:rsidR="008F298A" w:rsidRPr="00183043">
        <w:rPr>
          <w:sz w:val="18"/>
          <w:szCs w:val="18"/>
        </w:rPr>
        <w:t xml:space="preserve">. </w:t>
      </w:r>
    </w:p>
    <w:p w14:paraId="76528F55" w14:textId="77777777" w:rsidR="007F5070" w:rsidRDefault="007F5070" w:rsidP="007F5070"/>
    <w:p w14:paraId="3ACA8709" w14:textId="1C4680A5" w:rsidR="00C06233" w:rsidRDefault="00E10174" w:rsidP="00CA5928">
      <w:pPr>
        <w:pStyle w:val="FigureTitle"/>
        <w:ind w:left="1134" w:hanging="1134"/>
      </w:pPr>
      <w:r>
        <w:rPr>
          <w:noProof/>
        </w:rPr>
        <w:drawing>
          <wp:anchor distT="0" distB="0" distL="114300" distR="114300" simplePos="0" relativeHeight="251656704" behindDoc="1" locked="0" layoutInCell="1" allowOverlap="1" wp14:anchorId="01E9773F" wp14:editId="6640F710">
            <wp:simplePos x="0" y="0"/>
            <wp:positionH relativeFrom="column">
              <wp:posOffset>-635</wp:posOffset>
            </wp:positionH>
            <wp:positionV relativeFrom="paragraph">
              <wp:posOffset>646430</wp:posOffset>
            </wp:positionV>
            <wp:extent cx="6119495" cy="2519680"/>
            <wp:effectExtent l="0" t="0" r="0" b="0"/>
            <wp:wrapTopAndBottom/>
            <wp:docPr id="38" name="Chart 3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B4139FE-A1A2-41AF-AC9A-F0079DBF6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V relativeFrom="margin">
              <wp14:pctHeight>0</wp14:pctHeight>
            </wp14:sizeRelV>
          </wp:anchor>
        </w:drawing>
      </w:r>
      <w:r w:rsidR="00C06233">
        <w:t xml:space="preserve">Figure </w:t>
      </w:r>
      <w:r w:rsidR="0081731D">
        <w:t>1</w:t>
      </w:r>
      <w:r w:rsidR="007372C0">
        <w:t>2</w:t>
      </w:r>
      <w:r w:rsidR="00CA5928">
        <w:t>:</w:t>
      </w:r>
      <w:r w:rsidR="00CA5928">
        <w:tab/>
      </w:r>
      <w:r w:rsidR="00C06233">
        <w:t>Azithromycin</w:t>
      </w:r>
      <w:r w:rsidR="0084007A">
        <w:t xml:space="preserve"> </w:t>
      </w:r>
      <w:r w:rsidR="00CF21C9">
        <w:t>non</w:t>
      </w:r>
      <w:r w:rsidR="0084007A">
        <w:t>-</w:t>
      </w:r>
      <w:r w:rsidR="00CF21C9">
        <w:t>susceptible</w:t>
      </w:r>
      <w:r w:rsidR="00C06233">
        <w:t xml:space="preserve"> (LLR &lt; 256 mg/L) </w:t>
      </w:r>
      <w:r w:rsidR="00852C35" w:rsidRPr="00852C35">
        <w:rPr>
          <w:i/>
        </w:rPr>
        <w:t>Neisseria gonorrhoeae</w:t>
      </w:r>
      <w:r>
        <w:rPr>
          <w:i/>
        </w:rPr>
        <w:t xml:space="preserve">, </w:t>
      </w:r>
      <w:r w:rsidR="00CA5928">
        <w:t xml:space="preserve">number reported </w:t>
      </w:r>
      <w:r w:rsidR="007F5070">
        <w:t xml:space="preserve">for 2019 </w:t>
      </w:r>
      <w:r w:rsidR="00CA5928">
        <w:t>by month,</w:t>
      </w:r>
      <w:r w:rsidR="007F5070">
        <w:t xml:space="preserve"> compared with the previous year, national</w:t>
      </w:r>
    </w:p>
    <w:p w14:paraId="56B601F8" w14:textId="77777777" w:rsidR="0081731D" w:rsidRPr="0081731D" w:rsidRDefault="0081731D" w:rsidP="0081731D"/>
    <w:p w14:paraId="5B0170D0" w14:textId="77777777" w:rsidR="00CA5928" w:rsidRDefault="00CA5928">
      <w:pPr>
        <w:spacing w:after="80"/>
        <w:rPr>
          <w:b/>
          <w:bCs/>
          <w:color w:val="404040" w:themeColor="text1" w:themeTint="BF"/>
          <w:sz w:val="26"/>
          <w:szCs w:val="26"/>
        </w:rPr>
      </w:pPr>
      <w:r>
        <w:br w:type="page"/>
      </w:r>
    </w:p>
    <w:p w14:paraId="760A202B" w14:textId="35E63163" w:rsidR="0072102E" w:rsidRPr="0072102E" w:rsidRDefault="0072102E" w:rsidP="00563E53">
      <w:pPr>
        <w:pStyle w:val="Heading4"/>
      </w:pPr>
      <w:r>
        <w:lastRenderedPageBreak/>
        <w:t>State and territory</w:t>
      </w:r>
    </w:p>
    <w:p w14:paraId="578B21F7" w14:textId="48A951EB" w:rsidR="009E0B9F" w:rsidRDefault="00CA5928" w:rsidP="00CA5928">
      <w:pPr>
        <w:pStyle w:val="FigureTitle"/>
        <w:ind w:left="1134" w:hanging="1134"/>
      </w:pPr>
      <w:r>
        <w:rPr>
          <w:noProof/>
        </w:rPr>
        <w:drawing>
          <wp:anchor distT="0" distB="0" distL="114300" distR="114300" simplePos="0" relativeHeight="251670016" behindDoc="1" locked="0" layoutInCell="1" allowOverlap="1" wp14:anchorId="7897943C" wp14:editId="587F200D">
            <wp:simplePos x="0" y="0"/>
            <wp:positionH relativeFrom="column">
              <wp:posOffset>78740</wp:posOffset>
            </wp:positionH>
            <wp:positionV relativeFrom="paragraph">
              <wp:posOffset>473710</wp:posOffset>
            </wp:positionV>
            <wp:extent cx="6119495" cy="2519680"/>
            <wp:effectExtent l="0" t="0" r="0" b="0"/>
            <wp:wrapTopAndBottom/>
            <wp:docPr id="7" name="Chart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B4139FE-A1A2-41AF-AC9A-F0079DBF6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V relativeFrom="margin">
              <wp14:pctHeight>0</wp14:pctHeight>
            </wp14:sizeRelV>
          </wp:anchor>
        </w:drawing>
      </w:r>
      <w:r w:rsidR="009E0B9F">
        <w:t>Figure 1</w:t>
      </w:r>
      <w:r w:rsidR="007372C0">
        <w:t>3</w:t>
      </w:r>
      <w:r>
        <w:t>:</w:t>
      </w:r>
      <w:r>
        <w:tab/>
      </w:r>
      <w:r w:rsidR="009E0B9F" w:rsidRPr="00852C35">
        <w:rPr>
          <w:i/>
        </w:rPr>
        <w:t>Neisseria gonorrhoeae</w:t>
      </w:r>
      <w:r w:rsidR="009E0B9F">
        <w:rPr>
          <w:i/>
        </w:rPr>
        <w:t xml:space="preserve">, </w:t>
      </w:r>
      <w:r w:rsidR="009E0B9F" w:rsidRPr="00DF78B1">
        <w:t>number reported by</w:t>
      </w:r>
      <w:r w:rsidR="009E0B9F">
        <w:t xml:space="preserve"> state and territory</w:t>
      </w:r>
      <w:proofErr w:type="gramStart"/>
      <w:r>
        <w:t>,1</w:t>
      </w:r>
      <w:proofErr w:type="gramEnd"/>
      <w:r>
        <w:t> </w:t>
      </w:r>
      <w:r w:rsidR="009E0B9F" w:rsidRPr="00DF78B1">
        <w:t>January</w:t>
      </w:r>
      <w:r w:rsidR="0084007A">
        <w:t> </w:t>
      </w:r>
      <w:r w:rsidR="009E0B9F" w:rsidRPr="00DF78B1">
        <w:t>2018</w:t>
      </w:r>
      <w:r w:rsidR="0084007A">
        <w:t>–</w:t>
      </w:r>
      <w:r w:rsidR="009E0B9F" w:rsidRPr="00DF78B1">
        <w:t>28</w:t>
      </w:r>
      <w:r w:rsidR="0084007A">
        <w:t> </w:t>
      </w:r>
      <w:r w:rsidR="009E0B9F" w:rsidRPr="00DF78B1">
        <w:t>February</w:t>
      </w:r>
      <w:r w:rsidR="0084007A">
        <w:t> </w:t>
      </w:r>
      <w:r w:rsidR="009E0B9F" w:rsidRPr="00DF78B1">
        <w:t>2019</w:t>
      </w:r>
    </w:p>
    <w:p w14:paraId="1554F0CD" w14:textId="77777777" w:rsidR="008E69D6" w:rsidRDefault="008E69D6" w:rsidP="008E69D6"/>
    <w:p w14:paraId="6F33CA18" w14:textId="251AEF24" w:rsidR="00C06233" w:rsidRDefault="00C06233" w:rsidP="00C06233">
      <w:pPr>
        <w:pStyle w:val="Heading3"/>
      </w:pPr>
      <w:bookmarkStart w:id="21" w:name="_Toc6318415"/>
      <w:r w:rsidRPr="003012B3">
        <w:rPr>
          <w:i/>
        </w:rPr>
        <w:t>Salmonella</w:t>
      </w:r>
      <w:r w:rsidRPr="003012B3">
        <w:t xml:space="preserve"> species</w:t>
      </w:r>
      <w:bookmarkEnd w:id="21"/>
    </w:p>
    <w:p w14:paraId="30DCF275" w14:textId="1B24EB69" w:rsidR="00C06233" w:rsidRDefault="00C06233" w:rsidP="00CA5928">
      <w:pPr>
        <w:pStyle w:val="FigureTitle"/>
        <w:ind w:left="1134" w:hanging="1134"/>
      </w:pPr>
      <w:r>
        <w:rPr>
          <w:noProof/>
        </w:rPr>
        <w:drawing>
          <wp:anchor distT="0" distB="0" distL="114300" distR="114300" simplePos="0" relativeHeight="251657728" behindDoc="1" locked="0" layoutInCell="1" allowOverlap="1" wp14:anchorId="5DEE5A65" wp14:editId="0C45146C">
            <wp:simplePos x="0" y="0"/>
            <wp:positionH relativeFrom="column">
              <wp:posOffset>0</wp:posOffset>
            </wp:positionH>
            <wp:positionV relativeFrom="paragraph">
              <wp:posOffset>528125</wp:posOffset>
            </wp:positionV>
            <wp:extent cx="6119495" cy="2520000"/>
            <wp:effectExtent l="0" t="0" r="0" b="0"/>
            <wp:wrapTopAndBottom/>
            <wp:docPr id="44" name="Chart 4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B4139FE-A1A2-41AF-AC9A-F0079DBF6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V relativeFrom="margin">
              <wp14:pctHeight>0</wp14:pctHeight>
            </wp14:sizeRelV>
          </wp:anchor>
        </w:drawing>
      </w:r>
      <w:r w:rsidR="00852C35">
        <w:t xml:space="preserve">Figure </w:t>
      </w:r>
      <w:r w:rsidR="00852C35" w:rsidRPr="00852C35">
        <w:t>1</w:t>
      </w:r>
      <w:r w:rsidR="007372C0">
        <w:t>4</w:t>
      </w:r>
      <w:r w:rsidR="00CA5928">
        <w:t>:</w:t>
      </w:r>
      <w:r w:rsidR="00CA5928">
        <w:tab/>
      </w:r>
      <w:r w:rsidR="00852C35" w:rsidRPr="00852C35">
        <w:t>Ceftriaxone</w:t>
      </w:r>
      <w:r w:rsidR="0084007A">
        <w:t xml:space="preserve"> </w:t>
      </w:r>
      <w:r w:rsidR="00852C35" w:rsidRPr="00852C35">
        <w:t>non</w:t>
      </w:r>
      <w:r w:rsidR="0084007A">
        <w:t xml:space="preserve"> </w:t>
      </w:r>
      <w:r w:rsidR="00852C35" w:rsidRPr="00852C35">
        <w:t xml:space="preserve">susceptible </w:t>
      </w:r>
      <w:r w:rsidR="00852C35" w:rsidRPr="00852C35">
        <w:rPr>
          <w:i/>
        </w:rPr>
        <w:t>Salmonella</w:t>
      </w:r>
      <w:r w:rsidR="00852C35" w:rsidRPr="00852C35">
        <w:t xml:space="preserve"> species</w:t>
      </w:r>
      <w:r w:rsidR="00E10174">
        <w:t xml:space="preserve">, </w:t>
      </w:r>
      <w:r w:rsidR="00E10174" w:rsidRPr="00DF78B1">
        <w:t xml:space="preserve">number reported </w:t>
      </w:r>
      <w:r w:rsidR="00D9004E">
        <w:t xml:space="preserve">for 2019 </w:t>
      </w:r>
      <w:r w:rsidR="00E10174" w:rsidRPr="00DF78B1">
        <w:t xml:space="preserve">by month, </w:t>
      </w:r>
      <w:r w:rsidR="00D9004E">
        <w:t>compared with the previous year, national</w:t>
      </w:r>
    </w:p>
    <w:p w14:paraId="1B4F5658" w14:textId="77777777" w:rsidR="00F3078A" w:rsidRDefault="00F3078A" w:rsidP="0084007A">
      <w:pPr>
        <w:spacing w:after="80"/>
      </w:pPr>
    </w:p>
    <w:p w14:paraId="7CCE583E" w14:textId="31DAEBC0" w:rsidR="00F3078A" w:rsidRPr="00183043" w:rsidRDefault="0084007A" w:rsidP="00F3078A">
      <w:pPr>
        <w:rPr>
          <w:sz w:val="18"/>
          <w:szCs w:val="18"/>
        </w:rPr>
      </w:pPr>
      <w:r w:rsidRPr="00183043">
        <w:rPr>
          <w:sz w:val="18"/>
          <w:szCs w:val="18"/>
        </w:rPr>
        <w:t xml:space="preserve">Note: </w:t>
      </w:r>
      <w:r w:rsidR="00F3078A" w:rsidRPr="00183043">
        <w:rPr>
          <w:sz w:val="18"/>
          <w:szCs w:val="18"/>
        </w:rPr>
        <w:t xml:space="preserve">No </w:t>
      </w:r>
      <w:r w:rsidR="008F298A" w:rsidRPr="00183043">
        <w:rPr>
          <w:sz w:val="18"/>
          <w:szCs w:val="18"/>
        </w:rPr>
        <w:t>ceftriaxone</w:t>
      </w:r>
      <w:r w:rsidRPr="00183043">
        <w:rPr>
          <w:sz w:val="18"/>
          <w:szCs w:val="18"/>
        </w:rPr>
        <w:t xml:space="preserve"> </w:t>
      </w:r>
      <w:r w:rsidR="008F298A" w:rsidRPr="00183043">
        <w:rPr>
          <w:sz w:val="18"/>
          <w:szCs w:val="18"/>
        </w:rPr>
        <w:t>non</w:t>
      </w:r>
      <w:r w:rsidRPr="00183043">
        <w:rPr>
          <w:sz w:val="18"/>
          <w:szCs w:val="18"/>
        </w:rPr>
        <w:t>-</w:t>
      </w:r>
      <w:r w:rsidR="008F298A" w:rsidRPr="00183043">
        <w:rPr>
          <w:sz w:val="18"/>
          <w:szCs w:val="18"/>
        </w:rPr>
        <w:t xml:space="preserve">susceptible </w:t>
      </w:r>
      <w:r w:rsidR="00F3078A" w:rsidRPr="00183043">
        <w:rPr>
          <w:sz w:val="18"/>
          <w:szCs w:val="18"/>
        </w:rPr>
        <w:t xml:space="preserve">typhoidal species were reported in </w:t>
      </w:r>
      <w:r w:rsidR="00555B78" w:rsidRPr="00183043">
        <w:rPr>
          <w:sz w:val="18"/>
          <w:szCs w:val="18"/>
        </w:rPr>
        <w:t>this reporting</w:t>
      </w:r>
      <w:r w:rsidR="00F3078A" w:rsidRPr="00183043">
        <w:rPr>
          <w:sz w:val="18"/>
          <w:szCs w:val="18"/>
        </w:rPr>
        <w:t xml:space="preserve"> period (January–February 2019).</w:t>
      </w:r>
      <w:r w:rsidR="008F298A" w:rsidRPr="00183043">
        <w:rPr>
          <w:sz w:val="18"/>
          <w:szCs w:val="18"/>
        </w:rPr>
        <w:t xml:space="preserve"> </w:t>
      </w:r>
    </w:p>
    <w:p w14:paraId="4DB03AD8" w14:textId="77777777" w:rsidR="00F3078A" w:rsidRDefault="00F3078A">
      <w:pPr>
        <w:spacing w:after="80"/>
      </w:pPr>
    </w:p>
    <w:p w14:paraId="274E302C" w14:textId="756A3412" w:rsidR="00E92B4C" w:rsidRDefault="00E92B4C">
      <w:pPr>
        <w:spacing w:after="80"/>
      </w:pPr>
      <w:r>
        <w:br w:type="page"/>
      </w:r>
    </w:p>
    <w:p w14:paraId="7D9ACE44" w14:textId="77777777" w:rsidR="00C06233" w:rsidRDefault="00C06233" w:rsidP="00C06233">
      <w:pPr>
        <w:pStyle w:val="Heading3"/>
      </w:pPr>
      <w:bookmarkStart w:id="22" w:name="_Toc6318416"/>
      <w:r w:rsidRPr="003012B3">
        <w:rPr>
          <w:i/>
        </w:rPr>
        <w:lastRenderedPageBreak/>
        <w:t>Shigella</w:t>
      </w:r>
      <w:r w:rsidRPr="003012B3">
        <w:t xml:space="preserve"> species</w:t>
      </w:r>
      <w:bookmarkEnd w:id="22"/>
    </w:p>
    <w:p w14:paraId="36E7EF14" w14:textId="17D548BE" w:rsidR="00C06233" w:rsidRDefault="00C06233" w:rsidP="007A23DD">
      <w:pPr>
        <w:pStyle w:val="FigureTitle"/>
        <w:ind w:left="1134" w:hanging="1134"/>
      </w:pPr>
      <w:r>
        <w:rPr>
          <w:noProof/>
        </w:rPr>
        <w:drawing>
          <wp:anchor distT="0" distB="0" distL="114300" distR="114300" simplePos="0" relativeHeight="251658752" behindDoc="1" locked="0" layoutInCell="1" allowOverlap="1" wp14:anchorId="7D97830E" wp14:editId="2369BE74">
            <wp:simplePos x="0" y="0"/>
            <wp:positionH relativeFrom="column">
              <wp:posOffset>0</wp:posOffset>
            </wp:positionH>
            <wp:positionV relativeFrom="paragraph">
              <wp:posOffset>563093</wp:posOffset>
            </wp:positionV>
            <wp:extent cx="6119495" cy="2520000"/>
            <wp:effectExtent l="0" t="0" r="0" b="0"/>
            <wp:wrapTopAndBottom/>
            <wp:docPr id="46" name="Chart 4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B4139FE-A1A2-41AF-AC9A-F0079DBF6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V relativeFrom="margin">
              <wp14:pctHeight>0</wp14:pctHeight>
            </wp14:sizeRelV>
          </wp:anchor>
        </w:drawing>
      </w:r>
      <w:r w:rsidR="00045F52">
        <w:t>Figure 1</w:t>
      </w:r>
      <w:r w:rsidR="007372C0">
        <w:t>5</w:t>
      </w:r>
      <w:r w:rsidR="00045F52">
        <w:t>: Multidrug</w:t>
      </w:r>
      <w:r w:rsidR="003459EE">
        <w:t>-</w:t>
      </w:r>
      <w:r w:rsidR="00045F52">
        <w:t xml:space="preserve">resistant </w:t>
      </w:r>
      <w:r w:rsidR="00045F52" w:rsidRPr="00045F52">
        <w:rPr>
          <w:i/>
        </w:rPr>
        <w:t>Shigella</w:t>
      </w:r>
      <w:r w:rsidR="00045F52">
        <w:t xml:space="preserve"> species</w:t>
      </w:r>
      <w:r w:rsidR="00E10174">
        <w:t xml:space="preserve">, </w:t>
      </w:r>
      <w:r w:rsidR="00E10174" w:rsidRPr="00DF78B1">
        <w:t xml:space="preserve">number reported </w:t>
      </w:r>
      <w:r w:rsidR="00D9004E">
        <w:t xml:space="preserve">for 2019 </w:t>
      </w:r>
      <w:r w:rsidR="00E10174" w:rsidRPr="00DF78B1">
        <w:t xml:space="preserve">by month, </w:t>
      </w:r>
      <w:r w:rsidR="00D9004E">
        <w:t>compared with the previous year, national</w:t>
      </w:r>
    </w:p>
    <w:p w14:paraId="00EB9BDF" w14:textId="77777777" w:rsidR="00CA5928" w:rsidRDefault="00CA5928" w:rsidP="00D9004E">
      <w:pPr>
        <w:pStyle w:val="FigureTitle"/>
      </w:pPr>
    </w:p>
    <w:p w14:paraId="488954C7" w14:textId="50FF9336" w:rsidR="00C06233" w:rsidRDefault="00C06233" w:rsidP="00C06233">
      <w:pPr>
        <w:pStyle w:val="Heading3"/>
        <w:rPr>
          <w:i/>
        </w:rPr>
      </w:pPr>
      <w:bookmarkStart w:id="23" w:name="_Toc6318417"/>
      <w:r w:rsidRPr="003012B3">
        <w:rPr>
          <w:i/>
        </w:rPr>
        <w:t>Staphylococcus aureus</w:t>
      </w:r>
      <w:bookmarkEnd w:id="23"/>
    </w:p>
    <w:p w14:paraId="12BAB355" w14:textId="46DF62E6" w:rsidR="00563E53" w:rsidRPr="00563E53" w:rsidRDefault="00563E53" w:rsidP="00563E53">
      <w:pPr>
        <w:pStyle w:val="Heading4"/>
      </w:pPr>
      <w:r>
        <w:t>National data</w:t>
      </w:r>
    </w:p>
    <w:p w14:paraId="7CE01DF5" w14:textId="798E0BEE" w:rsidR="00045F52" w:rsidRDefault="00045F52" w:rsidP="00D275C7">
      <w:pPr>
        <w:pStyle w:val="FigureTitle"/>
        <w:ind w:left="1134" w:hanging="1134"/>
      </w:pPr>
      <w:r w:rsidRPr="00ED7738">
        <w:rPr>
          <w:noProof/>
          <w:highlight w:val="yellow"/>
        </w:rPr>
        <w:drawing>
          <wp:anchor distT="0" distB="0" distL="114300" distR="114300" simplePos="0" relativeHeight="251659776" behindDoc="1" locked="0" layoutInCell="1" allowOverlap="1" wp14:anchorId="5E8CFFF1" wp14:editId="633141C7">
            <wp:simplePos x="0" y="0"/>
            <wp:positionH relativeFrom="column">
              <wp:posOffset>-1905</wp:posOffset>
            </wp:positionH>
            <wp:positionV relativeFrom="paragraph">
              <wp:posOffset>659765</wp:posOffset>
            </wp:positionV>
            <wp:extent cx="6119495" cy="2447925"/>
            <wp:effectExtent l="0" t="0" r="0" b="0"/>
            <wp:wrapTopAndBottom/>
            <wp:docPr id="48" name="Chart 4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B4139FE-A1A2-41AF-AC9A-F0079DBF6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V relativeFrom="margin">
              <wp14:pctHeight>0</wp14:pctHeight>
            </wp14:sizeRelV>
          </wp:anchor>
        </w:drawing>
      </w:r>
      <w:r>
        <w:t>Figure 1</w:t>
      </w:r>
      <w:r w:rsidR="007372C0">
        <w:t>6</w:t>
      </w:r>
      <w:r w:rsidR="00D275C7">
        <w:t>:</w:t>
      </w:r>
      <w:r w:rsidR="00D275C7">
        <w:tab/>
      </w:r>
      <w:r>
        <w:t>Daptomycin</w:t>
      </w:r>
      <w:r w:rsidR="007A23DD">
        <w:t xml:space="preserve"> </w:t>
      </w:r>
      <w:r>
        <w:t>non</w:t>
      </w:r>
      <w:r w:rsidR="007A23DD">
        <w:t>-</w:t>
      </w:r>
      <w:r>
        <w:t xml:space="preserve">susceptible </w:t>
      </w:r>
      <w:r w:rsidRPr="00045F52">
        <w:rPr>
          <w:i/>
        </w:rPr>
        <w:t>Staphylococcus aureus</w:t>
      </w:r>
      <w:r w:rsidR="00E10174">
        <w:rPr>
          <w:i/>
        </w:rPr>
        <w:t xml:space="preserve">, </w:t>
      </w:r>
      <w:r w:rsidR="00E10174" w:rsidRPr="00DF78B1">
        <w:t>number reported</w:t>
      </w:r>
      <w:r w:rsidR="00D9004E">
        <w:t xml:space="preserve"> for 2019</w:t>
      </w:r>
      <w:r w:rsidR="00E10174" w:rsidRPr="00DF78B1">
        <w:t xml:space="preserve"> by month, </w:t>
      </w:r>
      <w:r w:rsidR="00D9004E">
        <w:t>compared with the previous year, national</w:t>
      </w:r>
    </w:p>
    <w:p w14:paraId="02ECD13D" w14:textId="77777777" w:rsidR="00045F52" w:rsidRDefault="00045F52" w:rsidP="0084007A">
      <w:pPr>
        <w:spacing w:after="80"/>
      </w:pPr>
    </w:p>
    <w:p w14:paraId="57863095" w14:textId="3C9C0C7A" w:rsidR="00C06233" w:rsidRPr="00183043" w:rsidRDefault="0084007A" w:rsidP="00C06233">
      <w:pPr>
        <w:rPr>
          <w:sz w:val="18"/>
          <w:szCs w:val="18"/>
        </w:rPr>
      </w:pPr>
      <w:r w:rsidRPr="00183043">
        <w:rPr>
          <w:sz w:val="18"/>
          <w:szCs w:val="18"/>
        </w:rPr>
        <w:t xml:space="preserve">Note: </w:t>
      </w:r>
      <w:r w:rsidR="00CF21C9" w:rsidRPr="00183043">
        <w:rPr>
          <w:sz w:val="18"/>
          <w:szCs w:val="18"/>
        </w:rPr>
        <w:t>No linezolid non</w:t>
      </w:r>
      <w:r w:rsidRPr="00183043">
        <w:rPr>
          <w:sz w:val="18"/>
          <w:szCs w:val="18"/>
        </w:rPr>
        <w:t>-</w:t>
      </w:r>
      <w:r w:rsidR="00CF21C9" w:rsidRPr="00183043">
        <w:rPr>
          <w:sz w:val="18"/>
          <w:szCs w:val="18"/>
        </w:rPr>
        <w:t xml:space="preserve">susceptible </w:t>
      </w:r>
      <w:r w:rsidR="00CF21C9" w:rsidRPr="00183043">
        <w:rPr>
          <w:i/>
          <w:sz w:val="18"/>
          <w:szCs w:val="18"/>
        </w:rPr>
        <w:t>S. aureus</w:t>
      </w:r>
      <w:r w:rsidR="00CF21C9" w:rsidRPr="00183043">
        <w:rPr>
          <w:sz w:val="18"/>
          <w:szCs w:val="18"/>
        </w:rPr>
        <w:t xml:space="preserve"> or vancomycin non</w:t>
      </w:r>
      <w:r w:rsidRPr="00183043">
        <w:rPr>
          <w:sz w:val="18"/>
          <w:szCs w:val="18"/>
        </w:rPr>
        <w:t>-</w:t>
      </w:r>
      <w:r w:rsidR="00CF21C9" w:rsidRPr="00183043">
        <w:rPr>
          <w:sz w:val="18"/>
          <w:szCs w:val="18"/>
        </w:rPr>
        <w:t xml:space="preserve">susceptible </w:t>
      </w:r>
      <w:r w:rsidR="00CF21C9" w:rsidRPr="00183043">
        <w:rPr>
          <w:i/>
          <w:sz w:val="18"/>
          <w:szCs w:val="18"/>
        </w:rPr>
        <w:t>S. aureus</w:t>
      </w:r>
      <w:r w:rsidR="00CF21C9" w:rsidRPr="00183043">
        <w:rPr>
          <w:sz w:val="18"/>
          <w:szCs w:val="18"/>
        </w:rPr>
        <w:t xml:space="preserve"> were reported in the two-month period (January–February 2019).</w:t>
      </w:r>
      <w:r w:rsidR="00445F57" w:rsidRPr="00183043">
        <w:rPr>
          <w:sz w:val="18"/>
          <w:szCs w:val="18"/>
        </w:rPr>
        <w:t xml:space="preserve"> </w:t>
      </w:r>
    </w:p>
    <w:p w14:paraId="61E17704" w14:textId="77777777" w:rsidR="00E92B4C" w:rsidRDefault="00E92B4C">
      <w:pPr>
        <w:spacing w:after="80"/>
        <w:rPr>
          <w:b/>
          <w:bCs/>
          <w:color w:val="404040" w:themeColor="text1" w:themeTint="BF"/>
          <w:sz w:val="26"/>
          <w:szCs w:val="26"/>
        </w:rPr>
      </w:pPr>
      <w:r>
        <w:br w:type="page"/>
      </w:r>
    </w:p>
    <w:p w14:paraId="655AA79F" w14:textId="770A5165" w:rsidR="00563E53" w:rsidRDefault="00563E53" w:rsidP="00563E53">
      <w:pPr>
        <w:pStyle w:val="Heading4"/>
      </w:pPr>
      <w:r>
        <w:lastRenderedPageBreak/>
        <w:t>State and territory</w:t>
      </w:r>
    </w:p>
    <w:p w14:paraId="7241BF2A" w14:textId="7F03AA8F" w:rsidR="00563E53" w:rsidRDefault="00563E53" w:rsidP="00D275C7">
      <w:pPr>
        <w:pStyle w:val="FigureTitle"/>
        <w:ind w:left="993" w:hanging="993"/>
      </w:pPr>
      <w:proofErr w:type="gramStart"/>
      <w:r w:rsidRPr="00563E53">
        <w:rPr>
          <w:rStyle w:val="IntenseReference"/>
          <w:rFonts w:cs="Arial"/>
          <w:b/>
          <w:bCs w:val="0"/>
          <w:i w:val="0"/>
          <w:smallCaps w:val="0"/>
          <w:color w:val="auto"/>
        </w:rPr>
        <w:t xml:space="preserve">Table </w:t>
      </w:r>
      <w:r>
        <w:rPr>
          <w:rStyle w:val="IntenseReference"/>
          <w:rFonts w:cs="Arial"/>
          <w:b/>
          <w:bCs w:val="0"/>
          <w:i w:val="0"/>
          <w:smallCaps w:val="0"/>
          <w:color w:val="auto"/>
        </w:rPr>
        <w:t>4</w:t>
      </w:r>
      <w:r w:rsidRPr="009F5724">
        <w:rPr>
          <w:rStyle w:val="IntenseReference"/>
          <w:rFonts w:cs="Arial"/>
          <w:bCs w:val="0"/>
          <w:i w:val="0"/>
          <w:smallCaps w:val="0"/>
          <w:color w:val="auto"/>
        </w:rPr>
        <w:t>.</w:t>
      </w:r>
      <w:proofErr w:type="gramEnd"/>
      <w:r w:rsidR="00D275C7">
        <w:rPr>
          <w:rStyle w:val="IntenseReference"/>
          <w:rFonts w:cs="Arial"/>
          <w:b/>
          <w:bCs w:val="0"/>
          <w:i w:val="0"/>
          <w:smallCaps w:val="0"/>
          <w:color w:val="auto"/>
        </w:rPr>
        <w:tab/>
      </w:r>
      <w:r>
        <w:t>Daptomycin</w:t>
      </w:r>
      <w:r w:rsidR="007A23DD">
        <w:t xml:space="preserve"> </w:t>
      </w:r>
      <w:r>
        <w:t>non</w:t>
      </w:r>
      <w:r w:rsidR="007A23DD">
        <w:t>-</w:t>
      </w:r>
      <w:r>
        <w:t xml:space="preserve">susceptible </w:t>
      </w:r>
      <w:r w:rsidRPr="00045F52">
        <w:rPr>
          <w:i/>
        </w:rPr>
        <w:t>Staphylococcus aureus</w:t>
      </w:r>
      <w:r>
        <w:rPr>
          <w:i/>
        </w:rPr>
        <w:t xml:space="preserve">, </w:t>
      </w:r>
      <w:r w:rsidRPr="00DF78B1">
        <w:t xml:space="preserve">number reported by </w:t>
      </w:r>
      <w:r w:rsidR="00D275C7">
        <w:t>setting and state and territory</w:t>
      </w:r>
      <w:r w:rsidRPr="00DF78B1">
        <w:t>, 1</w:t>
      </w:r>
      <w:r>
        <w:t> </w:t>
      </w:r>
      <w:r w:rsidRPr="00DF78B1">
        <w:t>January 2018</w:t>
      </w:r>
      <w:r w:rsidR="007A23DD">
        <w:t>–</w:t>
      </w:r>
      <w:r w:rsidRPr="00DF78B1">
        <w:t>28 February 2019</w:t>
      </w:r>
    </w:p>
    <w:tbl>
      <w:tblPr>
        <w:tblStyle w:val="TableGrid"/>
        <w:tblpPr w:leftFromText="180" w:rightFromText="180" w:vertAnchor="text" w:tblpY="1"/>
        <w:tblOverlap w:val="never"/>
        <w:tblW w:w="5000" w:type="pct"/>
        <w:tblBorders>
          <w:left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1825"/>
        <w:gridCol w:w="879"/>
        <w:gridCol w:w="880"/>
        <w:gridCol w:w="872"/>
        <w:gridCol w:w="872"/>
        <w:gridCol w:w="860"/>
        <w:gridCol w:w="860"/>
        <w:gridCol w:w="860"/>
        <w:gridCol w:w="923"/>
        <w:gridCol w:w="921"/>
      </w:tblGrid>
      <w:tr w:rsidR="00F3078A" w:rsidRPr="00DD2BB0" w14:paraId="76D6E458" w14:textId="77777777" w:rsidTr="00A011F9">
        <w:trPr>
          <w:cnfStyle w:val="100000000000" w:firstRow="1" w:lastRow="0" w:firstColumn="0" w:lastColumn="0" w:oddVBand="0" w:evenVBand="0" w:oddHBand="0" w:evenHBand="0" w:firstRowFirstColumn="0" w:firstRowLastColumn="0" w:lastRowFirstColumn="0" w:lastRowLastColumn="0"/>
          <w:trHeight w:hRule="exact" w:val="340"/>
        </w:trPr>
        <w:tc>
          <w:tcPr>
            <w:tcW w:w="936" w:type="pct"/>
            <w:tcBorders>
              <w:bottom w:val="nil"/>
            </w:tcBorders>
            <w:shd w:val="clear" w:color="auto" w:fill="DAEEF3" w:themeFill="accent5" w:themeFillTint="33"/>
            <w:vAlign w:val="center"/>
          </w:tcPr>
          <w:p w14:paraId="6191BB6A" w14:textId="77777777" w:rsidR="00F3078A" w:rsidRDefault="00F3078A" w:rsidP="00A011F9">
            <w:pPr>
              <w:pStyle w:val="Normal-beforebullets"/>
              <w:rPr>
                <w:rFonts w:cstheme="minorHAnsi"/>
                <w:b w:val="0"/>
                <w:szCs w:val="18"/>
              </w:rPr>
            </w:pPr>
          </w:p>
        </w:tc>
        <w:tc>
          <w:tcPr>
            <w:tcW w:w="3592" w:type="pct"/>
            <w:gridSpan w:val="8"/>
            <w:tcBorders>
              <w:top w:val="single" w:sz="2" w:space="0" w:color="auto"/>
              <w:bottom w:val="single" w:sz="4" w:space="0" w:color="auto"/>
            </w:tcBorders>
            <w:shd w:val="clear" w:color="auto" w:fill="DAEEF3" w:themeFill="accent5" w:themeFillTint="33"/>
            <w:vAlign w:val="center"/>
          </w:tcPr>
          <w:p w14:paraId="2ECFACFF" w14:textId="77777777" w:rsidR="00F3078A" w:rsidRPr="00DD2BB0" w:rsidRDefault="00F3078A" w:rsidP="00A011F9">
            <w:pPr>
              <w:pStyle w:val="Normal-beforebullets"/>
              <w:rPr>
                <w:rFonts w:cstheme="minorHAnsi"/>
                <w:b w:val="0"/>
                <w:szCs w:val="18"/>
              </w:rPr>
            </w:pPr>
            <w:r w:rsidRPr="00DD2BB0">
              <w:rPr>
                <w:rFonts w:asciiTheme="minorHAnsi" w:hAnsiTheme="minorHAnsi" w:cstheme="minorHAnsi"/>
                <w:szCs w:val="18"/>
              </w:rPr>
              <w:t>State or territ</w:t>
            </w:r>
            <w:r>
              <w:rPr>
                <w:rFonts w:asciiTheme="minorHAnsi" w:hAnsiTheme="minorHAnsi" w:cstheme="minorHAnsi"/>
                <w:szCs w:val="18"/>
              </w:rPr>
              <w:t>or</w:t>
            </w:r>
            <w:r w:rsidRPr="00DD2BB0">
              <w:rPr>
                <w:rFonts w:asciiTheme="minorHAnsi" w:hAnsiTheme="minorHAnsi" w:cstheme="minorHAnsi"/>
                <w:szCs w:val="18"/>
              </w:rPr>
              <w:t>y</w:t>
            </w:r>
          </w:p>
        </w:tc>
        <w:tc>
          <w:tcPr>
            <w:tcW w:w="472" w:type="pct"/>
            <w:tcBorders>
              <w:top w:val="single" w:sz="2" w:space="0" w:color="auto"/>
              <w:bottom w:val="nil"/>
            </w:tcBorders>
            <w:shd w:val="clear" w:color="auto" w:fill="DAEEF3" w:themeFill="accent5" w:themeFillTint="33"/>
          </w:tcPr>
          <w:p w14:paraId="702C8428" w14:textId="77777777" w:rsidR="00F3078A" w:rsidRPr="00DD2BB0" w:rsidRDefault="00F3078A" w:rsidP="00A011F9">
            <w:pPr>
              <w:pStyle w:val="Normal-beforebullets"/>
              <w:rPr>
                <w:rFonts w:cstheme="minorHAnsi"/>
                <w:b w:val="0"/>
                <w:szCs w:val="18"/>
              </w:rPr>
            </w:pPr>
          </w:p>
        </w:tc>
      </w:tr>
      <w:tr w:rsidR="00F3078A" w:rsidRPr="00DD2BB0" w14:paraId="48794826" w14:textId="77777777" w:rsidTr="00A011F9">
        <w:trPr>
          <w:trHeight w:hRule="exact" w:val="340"/>
        </w:trPr>
        <w:tc>
          <w:tcPr>
            <w:tcW w:w="936" w:type="pct"/>
            <w:tcBorders>
              <w:top w:val="nil"/>
              <w:bottom w:val="single" w:sz="4" w:space="0" w:color="auto"/>
            </w:tcBorders>
            <w:shd w:val="clear" w:color="auto" w:fill="DAEEF3" w:themeFill="accent5" w:themeFillTint="33"/>
            <w:vAlign w:val="center"/>
          </w:tcPr>
          <w:p w14:paraId="2D0300E0" w14:textId="77777777" w:rsidR="00F3078A" w:rsidRPr="00DD2BB0" w:rsidRDefault="00F3078A" w:rsidP="00A011F9">
            <w:pPr>
              <w:pStyle w:val="Normal-beforebullets"/>
              <w:rPr>
                <w:rFonts w:cstheme="minorHAnsi"/>
                <w:b/>
                <w:szCs w:val="18"/>
              </w:rPr>
            </w:pPr>
            <w:r>
              <w:rPr>
                <w:rFonts w:cstheme="minorHAnsi"/>
                <w:b/>
                <w:szCs w:val="18"/>
              </w:rPr>
              <w:t>Setting</w:t>
            </w:r>
          </w:p>
        </w:tc>
        <w:tc>
          <w:tcPr>
            <w:tcW w:w="451" w:type="pct"/>
            <w:tcBorders>
              <w:top w:val="single" w:sz="2" w:space="0" w:color="auto"/>
              <w:bottom w:val="single" w:sz="4" w:space="0" w:color="auto"/>
            </w:tcBorders>
            <w:shd w:val="clear" w:color="auto" w:fill="DAEEF3" w:themeFill="accent5" w:themeFillTint="33"/>
            <w:vAlign w:val="center"/>
          </w:tcPr>
          <w:p w14:paraId="6745636B" w14:textId="77777777" w:rsidR="00F3078A" w:rsidRPr="00DD2BB0" w:rsidRDefault="00F3078A" w:rsidP="00A011F9">
            <w:pPr>
              <w:pStyle w:val="Normal-beforebullets"/>
              <w:jc w:val="center"/>
              <w:rPr>
                <w:rFonts w:asciiTheme="minorHAnsi" w:hAnsiTheme="minorHAnsi" w:cstheme="minorHAnsi"/>
                <w:b/>
                <w:szCs w:val="18"/>
              </w:rPr>
            </w:pPr>
            <w:r w:rsidRPr="00DD2BB0">
              <w:rPr>
                <w:rFonts w:asciiTheme="minorHAnsi" w:hAnsiTheme="minorHAnsi" w:cstheme="minorHAnsi"/>
                <w:b/>
                <w:szCs w:val="18"/>
              </w:rPr>
              <w:t>NSW</w:t>
            </w:r>
          </w:p>
        </w:tc>
        <w:tc>
          <w:tcPr>
            <w:tcW w:w="451" w:type="pct"/>
            <w:tcBorders>
              <w:top w:val="single" w:sz="2" w:space="0" w:color="auto"/>
              <w:bottom w:val="single" w:sz="4" w:space="0" w:color="auto"/>
            </w:tcBorders>
            <w:shd w:val="clear" w:color="auto" w:fill="DAEEF3" w:themeFill="accent5" w:themeFillTint="33"/>
            <w:vAlign w:val="center"/>
          </w:tcPr>
          <w:p w14:paraId="6C03FC1A" w14:textId="77777777" w:rsidR="00F3078A" w:rsidRPr="00DD2BB0" w:rsidRDefault="00F3078A" w:rsidP="00A011F9">
            <w:pPr>
              <w:pStyle w:val="Normal-beforebullets"/>
              <w:jc w:val="center"/>
              <w:rPr>
                <w:rFonts w:asciiTheme="minorHAnsi" w:hAnsiTheme="minorHAnsi" w:cstheme="minorHAnsi"/>
                <w:b/>
                <w:szCs w:val="18"/>
              </w:rPr>
            </w:pPr>
            <w:r w:rsidRPr="00DD2BB0">
              <w:rPr>
                <w:rFonts w:asciiTheme="minorHAnsi" w:hAnsiTheme="minorHAnsi" w:cstheme="minorHAnsi"/>
                <w:b/>
                <w:szCs w:val="18"/>
              </w:rPr>
              <w:t>Vic</w:t>
            </w:r>
          </w:p>
        </w:tc>
        <w:tc>
          <w:tcPr>
            <w:tcW w:w="447" w:type="pct"/>
            <w:tcBorders>
              <w:top w:val="single" w:sz="2" w:space="0" w:color="auto"/>
              <w:bottom w:val="single" w:sz="4" w:space="0" w:color="auto"/>
            </w:tcBorders>
            <w:shd w:val="clear" w:color="auto" w:fill="DAEEF3" w:themeFill="accent5" w:themeFillTint="33"/>
            <w:vAlign w:val="center"/>
          </w:tcPr>
          <w:p w14:paraId="6FEB516D" w14:textId="77777777" w:rsidR="00F3078A" w:rsidRPr="00DD2BB0" w:rsidRDefault="00F3078A" w:rsidP="00A011F9">
            <w:pPr>
              <w:pStyle w:val="Normal-beforebullets"/>
              <w:jc w:val="center"/>
              <w:rPr>
                <w:rFonts w:asciiTheme="minorHAnsi" w:hAnsiTheme="minorHAnsi" w:cstheme="minorHAnsi"/>
                <w:b/>
                <w:szCs w:val="18"/>
              </w:rPr>
            </w:pPr>
            <w:r w:rsidRPr="00DD2BB0">
              <w:rPr>
                <w:rFonts w:asciiTheme="minorHAnsi" w:hAnsiTheme="minorHAnsi" w:cstheme="minorHAnsi"/>
                <w:b/>
                <w:szCs w:val="18"/>
              </w:rPr>
              <w:t>Qld</w:t>
            </w:r>
          </w:p>
        </w:tc>
        <w:tc>
          <w:tcPr>
            <w:tcW w:w="447" w:type="pct"/>
            <w:tcBorders>
              <w:top w:val="single" w:sz="2" w:space="0" w:color="auto"/>
              <w:bottom w:val="single" w:sz="4" w:space="0" w:color="auto"/>
            </w:tcBorders>
            <w:shd w:val="clear" w:color="auto" w:fill="DAEEF3" w:themeFill="accent5" w:themeFillTint="33"/>
            <w:vAlign w:val="center"/>
          </w:tcPr>
          <w:p w14:paraId="319FB6AA" w14:textId="77777777" w:rsidR="00F3078A" w:rsidRPr="00DD2BB0" w:rsidRDefault="00F3078A" w:rsidP="00A011F9">
            <w:pPr>
              <w:pStyle w:val="Normal-beforebullets"/>
              <w:jc w:val="center"/>
              <w:rPr>
                <w:rFonts w:asciiTheme="minorHAnsi" w:hAnsiTheme="minorHAnsi" w:cstheme="minorHAnsi"/>
                <w:b/>
                <w:szCs w:val="18"/>
              </w:rPr>
            </w:pPr>
            <w:r w:rsidRPr="00DD2BB0">
              <w:rPr>
                <w:rFonts w:asciiTheme="minorHAnsi" w:hAnsiTheme="minorHAnsi" w:cstheme="minorHAnsi"/>
                <w:b/>
                <w:szCs w:val="18"/>
              </w:rPr>
              <w:t>SA</w:t>
            </w:r>
          </w:p>
        </w:tc>
        <w:tc>
          <w:tcPr>
            <w:tcW w:w="441" w:type="pct"/>
            <w:tcBorders>
              <w:top w:val="single" w:sz="2" w:space="0" w:color="auto"/>
              <w:bottom w:val="single" w:sz="4" w:space="0" w:color="auto"/>
            </w:tcBorders>
            <w:shd w:val="clear" w:color="auto" w:fill="DAEEF3" w:themeFill="accent5" w:themeFillTint="33"/>
            <w:vAlign w:val="center"/>
          </w:tcPr>
          <w:p w14:paraId="572F592B" w14:textId="77777777" w:rsidR="00F3078A" w:rsidRPr="00DD2BB0" w:rsidRDefault="00F3078A" w:rsidP="00A011F9">
            <w:pPr>
              <w:pStyle w:val="Normal-beforebullets"/>
              <w:jc w:val="center"/>
              <w:rPr>
                <w:rFonts w:asciiTheme="minorHAnsi" w:hAnsiTheme="minorHAnsi" w:cstheme="minorHAnsi"/>
                <w:b/>
                <w:szCs w:val="18"/>
              </w:rPr>
            </w:pPr>
            <w:r w:rsidRPr="00DD2BB0">
              <w:rPr>
                <w:rFonts w:asciiTheme="minorHAnsi" w:hAnsiTheme="minorHAnsi" w:cstheme="minorHAnsi"/>
                <w:b/>
                <w:szCs w:val="18"/>
              </w:rPr>
              <w:t>WA</w:t>
            </w:r>
          </w:p>
        </w:tc>
        <w:tc>
          <w:tcPr>
            <w:tcW w:w="441" w:type="pct"/>
            <w:tcBorders>
              <w:top w:val="single" w:sz="2" w:space="0" w:color="auto"/>
              <w:bottom w:val="single" w:sz="4" w:space="0" w:color="auto"/>
            </w:tcBorders>
            <w:shd w:val="clear" w:color="auto" w:fill="DAEEF3" w:themeFill="accent5" w:themeFillTint="33"/>
            <w:vAlign w:val="center"/>
          </w:tcPr>
          <w:p w14:paraId="4E7CB66A" w14:textId="77777777" w:rsidR="00F3078A" w:rsidRPr="00DD2BB0" w:rsidRDefault="00F3078A" w:rsidP="00A011F9">
            <w:pPr>
              <w:pStyle w:val="Normal-beforebullets"/>
              <w:jc w:val="center"/>
              <w:rPr>
                <w:rFonts w:asciiTheme="minorHAnsi" w:hAnsiTheme="minorHAnsi" w:cstheme="minorHAnsi"/>
                <w:b/>
                <w:szCs w:val="18"/>
              </w:rPr>
            </w:pPr>
            <w:proofErr w:type="spellStart"/>
            <w:r w:rsidRPr="00DD2BB0">
              <w:rPr>
                <w:rFonts w:asciiTheme="minorHAnsi" w:hAnsiTheme="minorHAnsi" w:cstheme="minorHAnsi"/>
                <w:b/>
                <w:szCs w:val="18"/>
              </w:rPr>
              <w:t>Tas</w:t>
            </w:r>
            <w:proofErr w:type="spellEnd"/>
          </w:p>
        </w:tc>
        <w:tc>
          <w:tcPr>
            <w:tcW w:w="441" w:type="pct"/>
            <w:tcBorders>
              <w:top w:val="single" w:sz="2" w:space="0" w:color="auto"/>
              <w:bottom w:val="single" w:sz="4" w:space="0" w:color="auto"/>
            </w:tcBorders>
            <w:shd w:val="clear" w:color="auto" w:fill="DAEEF3" w:themeFill="accent5" w:themeFillTint="33"/>
            <w:vAlign w:val="center"/>
          </w:tcPr>
          <w:p w14:paraId="216EDAA6" w14:textId="77777777" w:rsidR="00F3078A" w:rsidRPr="00DD2BB0" w:rsidRDefault="00F3078A" w:rsidP="00A011F9">
            <w:pPr>
              <w:pStyle w:val="Normal-beforebullets"/>
              <w:jc w:val="center"/>
              <w:rPr>
                <w:rFonts w:asciiTheme="minorHAnsi" w:hAnsiTheme="minorHAnsi" w:cstheme="minorHAnsi"/>
                <w:b/>
                <w:szCs w:val="18"/>
              </w:rPr>
            </w:pPr>
            <w:r w:rsidRPr="00DD2BB0">
              <w:rPr>
                <w:rFonts w:asciiTheme="minorHAnsi" w:hAnsiTheme="minorHAnsi" w:cstheme="minorHAnsi"/>
                <w:b/>
                <w:szCs w:val="18"/>
              </w:rPr>
              <w:t>NT</w:t>
            </w:r>
          </w:p>
        </w:tc>
        <w:tc>
          <w:tcPr>
            <w:tcW w:w="473" w:type="pct"/>
            <w:tcBorders>
              <w:top w:val="single" w:sz="2" w:space="0" w:color="auto"/>
              <w:bottom w:val="single" w:sz="4" w:space="0" w:color="auto"/>
            </w:tcBorders>
            <w:shd w:val="clear" w:color="auto" w:fill="DAEEF3" w:themeFill="accent5" w:themeFillTint="33"/>
            <w:vAlign w:val="center"/>
          </w:tcPr>
          <w:p w14:paraId="34C6D97D" w14:textId="77777777" w:rsidR="00F3078A" w:rsidRPr="00DD2BB0" w:rsidRDefault="00F3078A" w:rsidP="00A011F9">
            <w:pPr>
              <w:pStyle w:val="Normal-beforebullets"/>
              <w:jc w:val="center"/>
              <w:rPr>
                <w:rFonts w:asciiTheme="minorHAnsi" w:hAnsiTheme="minorHAnsi" w:cstheme="minorHAnsi"/>
                <w:b/>
                <w:szCs w:val="18"/>
              </w:rPr>
            </w:pPr>
            <w:r w:rsidRPr="00DD2BB0">
              <w:rPr>
                <w:rFonts w:asciiTheme="minorHAnsi" w:hAnsiTheme="minorHAnsi" w:cstheme="minorHAnsi"/>
                <w:b/>
                <w:szCs w:val="18"/>
              </w:rPr>
              <w:t>ACT</w:t>
            </w:r>
          </w:p>
        </w:tc>
        <w:tc>
          <w:tcPr>
            <w:tcW w:w="472" w:type="pct"/>
            <w:tcBorders>
              <w:top w:val="nil"/>
              <w:bottom w:val="single" w:sz="4" w:space="0" w:color="auto"/>
            </w:tcBorders>
            <w:shd w:val="clear" w:color="auto" w:fill="DAEEF3" w:themeFill="accent5" w:themeFillTint="33"/>
            <w:vAlign w:val="center"/>
          </w:tcPr>
          <w:p w14:paraId="4B925951" w14:textId="32E54F4B" w:rsidR="00F3078A" w:rsidRPr="00DD2BB0" w:rsidRDefault="007A23DD" w:rsidP="00A011F9">
            <w:pPr>
              <w:pStyle w:val="Normal-beforebullets"/>
              <w:jc w:val="center"/>
              <w:rPr>
                <w:rFonts w:cstheme="minorHAnsi"/>
                <w:b/>
                <w:szCs w:val="18"/>
              </w:rPr>
            </w:pPr>
            <w:r>
              <w:rPr>
                <w:rFonts w:cstheme="minorHAnsi"/>
                <w:b/>
                <w:szCs w:val="18"/>
              </w:rPr>
              <w:t>Total</w:t>
            </w:r>
          </w:p>
        </w:tc>
      </w:tr>
      <w:tr w:rsidR="00F3078A" w:rsidRPr="00DD2BB0" w14:paraId="376AE159" w14:textId="77777777" w:rsidTr="00A011F9">
        <w:trPr>
          <w:trHeight w:val="227"/>
        </w:trPr>
        <w:tc>
          <w:tcPr>
            <w:tcW w:w="936" w:type="pct"/>
            <w:tcBorders>
              <w:top w:val="single" w:sz="4" w:space="0" w:color="auto"/>
              <w:bottom w:val="single" w:sz="2" w:space="0" w:color="BFBFBF" w:themeColor="background1" w:themeShade="BF"/>
            </w:tcBorders>
            <w:shd w:val="clear" w:color="auto" w:fill="EEECE1" w:themeFill="background2"/>
            <w:vAlign w:val="center"/>
          </w:tcPr>
          <w:p w14:paraId="6FD1BDD5" w14:textId="77777777" w:rsidR="00F3078A" w:rsidRPr="00946FA6" w:rsidRDefault="00F3078A" w:rsidP="00A011F9">
            <w:pPr>
              <w:spacing w:after="0"/>
              <w:contextualSpacing/>
              <w:rPr>
                <w:rFonts w:cstheme="minorHAnsi"/>
                <w:b/>
                <w:color w:val="000000"/>
                <w:szCs w:val="18"/>
              </w:rPr>
            </w:pPr>
            <w:r w:rsidRPr="00946FA6">
              <w:rPr>
                <w:rFonts w:cstheme="minorHAnsi"/>
                <w:b/>
                <w:color w:val="000000"/>
                <w:szCs w:val="18"/>
              </w:rPr>
              <w:t>Total</w:t>
            </w:r>
          </w:p>
        </w:tc>
        <w:tc>
          <w:tcPr>
            <w:tcW w:w="451" w:type="pct"/>
            <w:tcBorders>
              <w:top w:val="single" w:sz="4" w:space="0" w:color="auto"/>
              <w:bottom w:val="single" w:sz="2" w:space="0" w:color="BFBFBF" w:themeColor="background1" w:themeShade="BF"/>
            </w:tcBorders>
            <w:shd w:val="clear" w:color="auto" w:fill="EEECE1" w:themeFill="background2"/>
            <w:vAlign w:val="center"/>
          </w:tcPr>
          <w:p w14:paraId="5C6C8106" w14:textId="77777777" w:rsidR="00F3078A" w:rsidRPr="00946FA6" w:rsidRDefault="00F3078A" w:rsidP="00A011F9">
            <w:pPr>
              <w:spacing w:after="0"/>
              <w:contextualSpacing/>
              <w:jc w:val="center"/>
              <w:rPr>
                <w:rFonts w:cstheme="minorHAnsi"/>
                <w:b/>
                <w:color w:val="000000"/>
                <w:szCs w:val="18"/>
              </w:rPr>
            </w:pPr>
            <w:r w:rsidRPr="00573140">
              <w:rPr>
                <w:rFonts w:cstheme="minorHAnsi"/>
                <w:b/>
                <w:bCs/>
                <w:color w:val="000000"/>
                <w:szCs w:val="18"/>
              </w:rPr>
              <w:t>3</w:t>
            </w:r>
          </w:p>
        </w:tc>
        <w:tc>
          <w:tcPr>
            <w:tcW w:w="451" w:type="pct"/>
            <w:tcBorders>
              <w:top w:val="single" w:sz="4" w:space="0" w:color="auto"/>
              <w:bottom w:val="single" w:sz="2" w:space="0" w:color="BFBFBF" w:themeColor="background1" w:themeShade="BF"/>
            </w:tcBorders>
            <w:shd w:val="clear" w:color="auto" w:fill="EEECE1" w:themeFill="background2"/>
            <w:vAlign w:val="center"/>
          </w:tcPr>
          <w:p w14:paraId="499EAB8E" w14:textId="77777777" w:rsidR="00F3078A" w:rsidRPr="00946FA6" w:rsidRDefault="00F3078A" w:rsidP="00A011F9">
            <w:pPr>
              <w:spacing w:after="0"/>
              <w:contextualSpacing/>
              <w:jc w:val="center"/>
              <w:rPr>
                <w:rFonts w:cstheme="minorHAnsi"/>
                <w:b/>
                <w:color w:val="000000"/>
                <w:szCs w:val="18"/>
              </w:rPr>
            </w:pPr>
            <w:r w:rsidRPr="00573140">
              <w:rPr>
                <w:rFonts w:cstheme="minorHAnsi"/>
                <w:b/>
                <w:bCs/>
                <w:color w:val="000000"/>
                <w:szCs w:val="18"/>
              </w:rPr>
              <w:t>9</w:t>
            </w:r>
          </w:p>
        </w:tc>
        <w:tc>
          <w:tcPr>
            <w:tcW w:w="447" w:type="pct"/>
            <w:tcBorders>
              <w:top w:val="single" w:sz="4" w:space="0" w:color="auto"/>
              <w:bottom w:val="single" w:sz="2" w:space="0" w:color="BFBFBF" w:themeColor="background1" w:themeShade="BF"/>
            </w:tcBorders>
            <w:shd w:val="clear" w:color="auto" w:fill="EEECE1" w:themeFill="background2"/>
            <w:vAlign w:val="center"/>
          </w:tcPr>
          <w:p w14:paraId="67284166" w14:textId="77777777" w:rsidR="00F3078A" w:rsidRPr="00946FA6" w:rsidRDefault="00F3078A" w:rsidP="00A011F9">
            <w:pPr>
              <w:spacing w:after="0"/>
              <w:contextualSpacing/>
              <w:jc w:val="center"/>
              <w:rPr>
                <w:rFonts w:cstheme="minorHAnsi"/>
                <w:b/>
                <w:color w:val="000000"/>
                <w:szCs w:val="18"/>
              </w:rPr>
            </w:pPr>
            <w:r w:rsidRPr="00573140">
              <w:rPr>
                <w:rFonts w:cstheme="minorHAnsi"/>
                <w:b/>
                <w:bCs/>
                <w:color w:val="000000"/>
                <w:szCs w:val="18"/>
              </w:rPr>
              <w:t>3</w:t>
            </w:r>
          </w:p>
        </w:tc>
        <w:tc>
          <w:tcPr>
            <w:tcW w:w="447" w:type="pct"/>
            <w:tcBorders>
              <w:top w:val="single" w:sz="4" w:space="0" w:color="auto"/>
              <w:bottom w:val="single" w:sz="2" w:space="0" w:color="BFBFBF" w:themeColor="background1" w:themeShade="BF"/>
            </w:tcBorders>
            <w:shd w:val="clear" w:color="auto" w:fill="EEECE1" w:themeFill="background2"/>
            <w:vAlign w:val="center"/>
          </w:tcPr>
          <w:p w14:paraId="0E61C597" w14:textId="77777777" w:rsidR="00F3078A" w:rsidRPr="00946FA6" w:rsidRDefault="00F3078A" w:rsidP="00A011F9">
            <w:pPr>
              <w:spacing w:after="0"/>
              <w:contextualSpacing/>
              <w:jc w:val="center"/>
              <w:rPr>
                <w:rFonts w:cstheme="minorHAnsi"/>
                <w:b/>
                <w:szCs w:val="18"/>
              </w:rPr>
            </w:pPr>
            <w:r>
              <w:rPr>
                <w:rFonts w:cstheme="minorHAnsi"/>
                <w:b/>
                <w:szCs w:val="18"/>
              </w:rPr>
              <w:t>0</w:t>
            </w:r>
          </w:p>
        </w:tc>
        <w:tc>
          <w:tcPr>
            <w:tcW w:w="441" w:type="pct"/>
            <w:tcBorders>
              <w:top w:val="single" w:sz="4" w:space="0" w:color="auto"/>
              <w:bottom w:val="single" w:sz="2" w:space="0" w:color="BFBFBF" w:themeColor="background1" w:themeShade="BF"/>
            </w:tcBorders>
            <w:shd w:val="clear" w:color="auto" w:fill="EEECE1" w:themeFill="background2"/>
            <w:vAlign w:val="center"/>
          </w:tcPr>
          <w:p w14:paraId="57E5FC09" w14:textId="77777777" w:rsidR="00F3078A" w:rsidRPr="00946FA6" w:rsidRDefault="00F3078A" w:rsidP="00A011F9">
            <w:pPr>
              <w:spacing w:after="0"/>
              <w:contextualSpacing/>
              <w:jc w:val="center"/>
              <w:rPr>
                <w:rFonts w:cstheme="minorHAnsi"/>
                <w:b/>
                <w:color w:val="000000"/>
                <w:szCs w:val="18"/>
              </w:rPr>
            </w:pPr>
            <w:r w:rsidRPr="00573140">
              <w:rPr>
                <w:rFonts w:cstheme="minorHAnsi"/>
                <w:b/>
                <w:bCs/>
                <w:color w:val="000000"/>
                <w:szCs w:val="18"/>
              </w:rPr>
              <w:t>8</w:t>
            </w:r>
          </w:p>
        </w:tc>
        <w:tc>
          <w:tcPr>
            <w:tcW w:w="441" w:type="pct"/>
            <w:tcBorders>
              <w:top w:val="single" w:sz="4" w:space="0" w:color="auto"/>
              <w:bottom w:val="single" w:sz="2" w:space="0" w:color="BFBFBF" w:themeColor="background1" w:themeShade="BF"/>
            </w:tcBorders>
            <w:shd w:val="clear" w:color="auto" w:fill="EEECE1" w:themeFill="background2"/>
            <w:vAlign w:val="center"/>
          </w:tcPr>
          <w:p w14:paraId="2D02B85E" w14:textId="77777777" w:rsidR="00F3078A" w:rsidRPr="00946FA6" w:rsidRDefault="00F3078A" w:rsidP="00A011F9">
            <w:pPr>
              <w:spacing w:after="0"/>
              <w:contextualSpacing/>
              <w:jc w:val="center"/>
              <w:rPr>
                <w:rFonts w:cstheme="minorHAnsi"/>
                <w:b/>
                <w:szCs w:val="18"/>
              </w:rPr>
            </w:pPr>
            <w:r>
              <w:rPr>
                <w:rFonts w:cstheme="minorHAnsi"/>
                <w:b/>
                <w:szCs w:val="18"/>
              </w:rPr>
              <w:t>0</w:t>
            </w:r>
          </w:p>
        </w:tc>
        <w:tc>
          <w:tcPr>
            <w:tcW w:w="441" w:type="pct"/>
            <w:tcBorders>
              <w:top w:val="single" w:sz="4" w:space="0" w:color="auto"/>
              <w:bottom w:val="single" w:sz="2" w:space="0" w:color="BFBFBF" w:themeColor="background1" w:themeShade="BF"/>
            </w:tcBorders>
            <w:shd w:val="clear" w:color="auto" w:fill="EEECE1" w:themeFill="background2"/>
            <w:vAlign w:val="center"/>
          </w:tcPr>
          <w:p w14:paraId="5C67B27B" w14:textId="77777777" w:rsidR="00F3078A" w:rsidRPr="00946FA6" w:rsidRDefault="00F3078A" w:rsidP="00A011F9">
            <w:pPr>
              <w:spacing w:after="0"/>
              <w:contextualSpacing/>
              <w:jc w:val="center"/>
              <w:rPr>
                <w:rFonts w:cstheme="minorHAnsi"/>
                <w:b/>
                <w:szCs w:val="18"/>
              </w:rPr>
            </w:pPr>
            <w:r>
              <w:rPr>
                <w:rFonts w:cstheme="minorHAnsi"/>
                <w:b/>
                <w:szCs w:val="18"/>
              </w:rPr>
              <w:t>0</w:t>
            </w:r>
          </w:p>
        </w:tc>
        <w:tc>
          <w:tcPr>
            <w:tcW w:w="473" w:type="pct"/>
            <w:tcBorders>
              <w:top w:val="single" w:sz="4" w:space="0" w:color="auto"/>
              <w:bottom w:val="single" w:sz="2" w:space="0" w:color="BFBFBF" w:themeColor="background1" w:themeShade="BF"/>
            </w:tcBorders>
            <w:shd w:val="clear" w:color="auto" w:fill="EEECE1" w:themeFill="background2"/>
            <w:vAlign w:val="center"/>
          </w:tcPr>
          <w:p w14:paraId="11370BB4" w14:textId="77777777" w:rsidR="00F3078A" w:rsidRPr="00946FA6" w:rsidRDefault="00F3078A" w:rsidP="00A011F9">
            <w:pPr>
              <w:spacing w:after="0"/>
              <w:contextualSpacing/>
              <w:jc w:val="center"/>
              <w:rPr>
                <w:rFonts w:cstheme="minorHAnsi"/>
                <w:b/>
                <w:szCs w:val="18"/>
              </w:rPr>
            </w:pPr>
            <w:r>
              <w:rPr>
                <w:rFonts w:cstheme="minorHAnsi"/>
                <w:b/>
                <w:szCs w:val="18"/>
              </w:rPr>
              <w:t>0</w:t>
            </w:r>
          </w:p>
        </w:tc>
        <w:tc>
          <w:tcPr>
            <w:tcW w:w="472" w:type="pct"/>
            <w:tcBorders>
              <w:top w:val="single" w:sz="4" w:space="0" w:color="auto"/>
              <w:bottom w:val="single" w:sz="2" w:space="0" w:color="BFBFBF" w:themeColor="background1" w:themeShade="BF"/>
            </w:tcBorders>
            <w:shd w:val="clear" w:color="auto" w:fill="EEECE1" w:themeFill="background2"/>
            <w:vAlign w:val="center"/>
          </w:tcPr>
          <w:p w14:paraId="07C8A4E7" w14:textId="77777777" w:rsidR="00F3078A" w:rsidRDefault="00F3078A" w:rsidP="00A011F9">
            <w:pPr>
              <w:spacing w:after="0"/>
              <w:contextualSpacing/>
              <w:jc w:val="center"/>
              <w:rPr>
                <w:rFonts w:cstheme="minorHAnsi"/>
                <w:b/>
                <w:szCs w:val="18"/>
              </w:rPr>
            </w:pPr>
            <w:r>
              <w:rPr>
                <w:rFonts w:cstheme="minorHAnsi"/>
                <w:b/>
                <w:szCs w:val="18"/>
              </w:rPr>
              <w:t>23</w:t>
            </w:r>
          </w:p>
        </w:tc>
      </w:tr>
      <w:tr w:rsidR="00F3078A" w:rsidRPr="00DD2BB0" w14:paraId="70BC5A2F" w14:textId="77777777" w:rsidTr="00A011F9">
        <w:trPr>
          <w:trHeight w:val="227"/>
        </w:trPr>
        <w:tc>
          <w:tcPr>
            <w:tcW w:w="936" w:type="pct"/>
            <w:tcBorders>
              <w:top w:val="single" w:sz="2" w:space="0" w:color="BFBFBF" w:themeColor="background1" w:themeShade="BF"/>
              <w:bottom w:val="single" w:sz="2" w:space="0" w:color="BFBFBF" w:themeColor="background1" w:themeShade="BF"/>
              <w:right w:val="nil"/>
            </w:tcBorders>
            <w:vAlign w:val="center"/>
          </w:tcPr>
          <w:p w14:paraId="1A53EC59" w14:textId="77777777" w:rsidR="00F3078A" w:rsidRPr="00BD10A4" w:rsidRDefault="00F3078A" w:rsidP="00A011F9">
            <w:pPr>
              <w:spacing w:after="0"/>
              <w:contextualSpacing/>
              <w:rPr>
                <w:rFonts w:cstheme="minorHAnsi"/>
                <w:color w:val="000000"/>
                <w:szCs w:val="18"/>
              </w:rPr>
            </w:pPr>
            <w:r w:rsidRPr="00DD2BB0">
              <w:rPr>
                <w:rFonts w:asciiTheme="minorHAnsi" w:hAnsiTheme="minorHAnsi" w:cstheme="minorHAnsi"/>
                <w:szCs w:val="18"/>
              </w:rPr>
              <w:t>Public hospital</w:t>
            </w:r>
          </w:p>
        </w:tc>
        <w:tc>
          <w:tcPr>
            <w:tcW w:w="451" w:type="pct"/>
            <w:tcBorders>
              <w:top w:val="single" w:sz="2" w:space="0" w:color="BFBFBF" w:themeColor="background1" w:themeShade="BF"/>
              <w:left w:val="nil"/>
              <w:bottom w:val="single" w:sz="2" w:space="0" w:color="BFBFBF" w:themeColor="background1" w:themeShade="BF"/>
              <w:right w:val="nil"/>
            </w:tcBorders>
            <w:vAlign w:val="center"/>
          </w:tcPr>
          <w:p w14:paraId="209EE415" w14:textId="77777777" w:rsidR="00F3078A" w:rsidRPr="00DD2BB0" w:rsidRDefault="00F3078A" w:rsidP="00A011F9">
            <w:pPr>
              <w:spacing w:after="0"/>
              <w:contextualSpacing/>
              <w:jc w:val="center"/>
              <w:rPr>
                <w:rFonts w:asciiTheme="minorHAnsi" w:hAnsiTheme="minorHAnsi" w:cstheme="minorHAnsi"/>
                <w:szCs w:val="18"/>
              </w:rPr>
            </w:pPr>
            <w:r w:rsidRPr="00573140">
              <w:rPr>
                <w:rFonts w:cstheme="minorHAnsi"/>
                <w:color w:val="000000"/>
                <w:szCs w:val="18"/>
              </w:rPr>
              <w:t>3</w:t>
            </w:r>
          </w:p>
        </w:tc>
        <w:tc>
          <w:tcPr>
            <w:tcW w:w="451" w:type="pct"/>
            <w:tcBorders>
              <w:top w:val="single" w:sz="2" w:space="0" w:color="BFBFBF" w:themeColor="background1" w:themeShade="BF"/>
              <w:left w:val="nil"/>
              <w:bottom w:val="single" w:sz="2" w:space="0" w:color="BFBFBF" w:themeColor="background1" w:themeShade="BF"/>
              <w:right w:val="nil"/>
            </w:tcBorders>
            <w:vAlign w:val="center"/>
          </w:tcPr>
          <w:p w14:paraId="0AA0B3A1" w14:textId="77777777" w:rsidR="00F3078A" w:rsidRPr="00DD2BB0" w:rsidRDefault="00F3078A" w:rsidP="00A011F9">
            <w:pPr>
              <w:spacing w:after="0"/>
              <w:contextualSpacing/>
              <w:jc w:val="center"/>
              <w:rPr>
                <w:rFonts w:asciiTheme="minorHAnsi" w:hAnsiTheme="minorHAnsi" w:cstheme="minorHAnsi"/>
                <w:szCs w:val="18"/>
              </w:rPr>
            </w:pPr>
            <w:r w:rsidRPr="00573140">
              <w:rPr>
                <w:rFonts w:cstheme="minorHAnsi"/>
                <w:color w:val="000000"/>
                <w:szCs w:val="18"/>
              </w:rPr>
              <w:t>5</w:t>
            </w:r>
          </w:p>
        </w:tc>
        <w:tc>
          <w:tcPr>
            <w:tcW w:w="447" w:type="pct"/>
            <w:tcBorders>
              <w:top w:val="single" w:sz="2" w:space="0" w:color="BFBFBF" w:themeColor="background1" w:themeShade="BF"/>
              <w:left w:val="nil"/>
              <w:bottom w:val="single" w:sz="2" w:space="0" w:color="BFBFBF" w:themeColor="background1" w:themeShade="BF"/>
              <w:right w:val="nil"/>
            </w:tcBorders>
            <w:vAlign w:val="center"/>
          </w:tcPr>
          <w:p w14:paraId="5217CB3A" w14:textId="77777777" w:rsidR="00F3078A" w:rsidRPr="00DD2BB0" w:rsidRDefault="00F3078A" w:rsidP="00A011F9">
            <w:pPr>
              <w:spacing w:after="0"/>
              <w:contextualSpacing/>
              <w:jc w:val="center"/>
              <w:rPr>
                <w:rFonts w:asciiTheme="minorHAnsi" w:hAnsiTheme="minorHAnsi" w:cstheme="minorHAnsi"/>
                <w:szCs w:val="18"/>
              </w:rPr>
            </w:pPr>
            <w:r w:rsidRPr="00573140">
              <w:rPr>
                <w:rFonts w:cstheme="minorHAnsi"/>
                <w:color w:val="000000"/>
                <w:szCs w:val="18"/>
              </w:rPr>
              <w:t>2</w:t>
            </w:r>
          </w:p>
        </w:tc>
        <w:tc>
          <w:tcPr>
            <w:tcW w:w="447" w:type="pct"/>
            <w:tcBorders>
              <w:top w:val="single" w:sz="2" w:space="0" w:color="BFBFBF" w:themeColor="background1" w:themeShade="BF"/>
              <w:left w:val="nil"/>
              <w:bottom w:val="single" w:sz="2" w:space="0" w:color="BFBFBF" w:themeColor="background1" w:themeShade="BF"/>
              <w:right w:val="nil"/>
            </w:tcBorders>
            <w:vAlign w:val="center"/>
          </w:tcPr>
          <w:p w14:paraId="75DC628F"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41" w:type="pct"/>
            <w:tcBorders>
              <w:top w:val="single" w:sz="2" w:space="0" w:color="BFBFBF" w:themeColor="background1" w:themeShade="BF"/>
              <w:left w:val="nil"/>
              <w:bottom w:val="single" w:sz="2" w:space="0" w:color="BFBFBF" w:themeColor="background1" w:themeShade="BF"/>
              <w:right w:val="nil"/>
            </w:tcBorders>
            <w:vAlign w:val="center"/>
          </w:tcPr>
          <w:p w14:paraId="22BDF6C5" w14:textId="77777777" w:rsidR="00F3078A" w:rsidRPr="00DD2BB0" w:rsidRDefault="00F3078A" w:rsidP="00A011F9">
            <w:pPr>
              <w:spacing w:after="0"/>
              <w:contextualSpacing/>
              <w:jc w:val="center"/>
              <w:rPr>
                <w:rFonts w:asciiTheme="minorHAnsi" w:hAnsiTheme="minorHAnsi" w:cstheme="minorHAnsi"/>
                <w:szCs w:val="18"/>
              </w:rPr>
            </w:pPr>
            <w:r w:rsidRPr="00573140">
              <w:rPr>
                <w:rFonts w:cstheme="minorHAnsi"/>
                <w:color w:val="000000"/>
                <w:szCs w:val="18"/>
              </w:rPr>
              <w:t>8</w:t>
            </w:r>
          </w:p>
        </w:tc>
        <w:tc>
          <w:tcPr>
            <w:tcW w:w="441" w:type="pct"/>
            <w:tcBorders>
              <w:top w:val="single" w:sz="2" w:space="0" w:color="BFBFBF" w:themeColor="background1" w:themeShade="BF"/>
              <w:left w:val="nil"/>
              <w:bottom w:val="single" w:sz="2" w:space="0" w:color="BFBFBF" w:themeColor="background1" w:themeShade="BF"/>
              <w:right w:val="nil"/>
            </w:tcBorders>
            <w:vAlign w:val="center"/>
          </w:tcPr>
          <w:p w14:paraId="6CB0AFEA"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41" w:type="pct"/>
            <w:tcBorders>
              <w:top w:val="single" w:sz="2" w:space="0" w:color="BFBFBF" w:themeColor="background1" w:themeShade="BF"/>
              <w:left w:val="nil"/>
              <w:bottom w:val="single" w:sz="2" w:space="0" w:color="BFBFBF" w:themeColor="background1" w:themeShade="BF"/>
              <w:right w:val="nil"/>
            </w:tcBorders>
            <w:vAlign w:val="center"/>
          </w:tcPr>
          <w:p w14:paraId="5159A7BB"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73" w:type="pct"/>
            <w:tcBorders>
              <w:top w:val="single" w:sz="2" w:space="0" w:color="BFBFBF" w:themeColor="background1" w:themeShade="BF"/>
              <w:left w:val="nil"/>
              <w:bottom w:val="single" w:sz="2" w:space="0" w:color="BFBFBF" w:themeColor="background1" w:themeShade="BF"/>
            </w:tcBorders>
            <w:vAlign w:val="center"/>
          </w:tcPr>
          <w:p w14:paraId="77849735"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72" w:type="pct"/>
            <w:tcBorders>
              <w:top w:val="single" w:sz="2" w:space="0" w:color="BFBFBF" w:themeColor="background1" w:themeShade="BF"/>
              <w:left w:val="nil"/>
              <w:bottom w:val="single" w:sz="2" w:space="0" w:color="BFBFBF" w:themeColor="background1" w:themeShade="BF"/>
            </w:tcBorders>
            <w:vAlign w:val="center"/>
          </w:tcPr>
          <w:p w14:paraId="34A9CA22" w14:textId="77777777" w:rsidR="00F3078A" w:rsidRDefault="00F3078A" w:rsidP="00A011F9">
            <w:pPr>
              <w:spacing w:after="0"/>
              <w:contextualSpacing/>
              <w:jc w:val="center"/>
              <w:rPr>
                <w:rFonts w:cstheme="minorHAnsi"/>
                <w:szCs w:val="18"/>
              </w:rPr>
            </w:pPr>
            <w:r>
              <w:rPr>
                <w:rFonts w:cstheme="minorHAnsi"/>
                <w:szCs w:val="18"/>
              </w:rPr>
              <w:t>18</w:t>
            </w:r>
          </w:p>
        </w:tc>
      </w:tr>
      <w:tr w:rsidR="00F3078A" w:rsidRPr="00DD2BB0" w14:paraId="14FEFAE4" w14:textId="77777777" w:rsidTr="00A011F9">
        <w:trPr>
          <w:trHeight w:val="227"/>
        </w:trPr>
        <w:tc>
          <w:tcPr>
            <w:tcW w:w="936" w:type="pct"/>
            <w:tcBorders>
              <w:top w:val="single" w:sz="2" w:space="0" w:color="BFBFBF" w:themeColor="background1" w:themeShade="BF"/>
              <w:bottom w:val="single" w:sz="2" w:space="0" w:color="BFBFBF" w:themeColor="background1" w:themeShade="BF"/>
              <w:right w:val="nil"/>
            </w:tcBorders>
            <w:vAlign w:val="center"/>
          </w:tcPr>
          <w:p w14:paraId="04DCA321" w14:textId="77777777" w:rsidR="00F3078A" w:rsidRPr="00BD10A4" w:rsidRDefault="00F3078A" w:rsidP="00A011F9">
            <w:pPr>
              <w:spacing w:after="0"/>
              <w:contextualSpacing/>
              <w:rPr>
                <w:rFonts w:cstheme="minorHAnsi"/>
                <w:color w:val="000000"/>
                <w:szCs w:val="18"/>
              </w:rPr>
            </w:pPr>
            <w:r w:rsidRPr="00DD2BB0">
              <w:rPr>
                <w:rFonts w:asciiTheme="minorHAnsi" w:hAnsiTheme="minorHAnsi" w:cstheme="minorHAnsi"/>
                <w:szCs w:val="18"/>
              </w:rPr>
              <w:t>Private hospital</w:t>
            </w:r>
          </w:p>
        </w:tc>
        <w:tc>
          <w:tcPr>
            <w:tcW w:w="451" w:type="pct"/>
            <w:tcBorders>
              <w:top w:val="single" w:sz="2" w:space="0" w:color="BFBFBF" w:themeColor="background1" w:themeShade="BF"/>
              <w:left w:val="nil"/>
              <w:bottom w:val="single" w:sz="2" w:space="0" w:color="BFBFBF" w:themeColor="background1" w:themeShade="BF"/>
              <w:right w:val="nil"/>
            </w:tcBorders>
            <w:vAlign w:val="center"/>
          </w:tcPr>
          <w:p w14:paraId="1F6AEB9A" w14:textId="77777777" w:rsidR="00F3078A" w:rsidRPr="00DD2BB0" w:rsidRDefault="00F3078A" w:rsidP="00A011F9">
            <w:pPr>
              <w:spacing w:after="0"/>
              <w:contextualSpacing/>
              <w:jc w:val="center"/>
              <w:rPr>
                <w:rFonts w:asciiTheme="minorHAnsi" w:hAnsiTheme="minorHAnsi" w:cstheme="minorHAnsi"/>
                <w:color w:val="000000"/>
                <w:szCs w:val="18"/>
              </w:rPr>
            </w:pPr>
            <w:r>
              <w:rPr>
                <w:rFonts w:asciiTheme="minorHAnsi" w:hAnsiTheme="minorHAnsi" w:cstheme="minorHAnsi"/>
                <w:color w:val="000000"/>
                <w:szCs w:val="18"/>
              </w:rPr>
              <w:t>0</w:t>
            </w:r>
          </w:p>
        </w:tc>
        <w:tc>
          <w:tcPr>
            <w:tcW w:w="451" w:type="pct"/>
            <w:tcBorders>
              <w:top w:val="single" w:sz="2" w:space="0" w:color="BFBFBF" w:themeColor="background1" w:themeShade="BF"/>
              <w:left w:val="nil"/>
              <w:bottom w:val="single" w:sz="2" w:space="0" w:color="BFBFBF" w:themeColor="background1" w:themeShade="BF"/>
              <w:right w:val="nil"/>
            </w:tcBorders>
            <w:vAlign w:val="center"/>
          </w:tcPr>
          <w:p w14:paraId="63DD38C7" w14:textId="77777777" w:rsidR="00F3078A" w:rsidRPr="00DD2BB0" w:rsidRDefault="00F3078A" w:rsidP="00A011F9">
            <w:pPr>
              <w:spacing w:after="0"/>
              <w:contextualSpacing/>
              <w:jc w:val="center"/>
              <w:rPr>
                <w:rFonts w:asciiTheme="minorHAnsi" w:hAnsiTheme="minorHAnsi" w:cstheme="minorHAnsi"/>
                <w:szCs w:val="18"/>
              </w:rPr>
            </w:pPr>
            <w:r w:rsidRPr="00573140">
              <w:rPr>
                <w:rFonts w:cstheme="minorHAnsi"/>
                <w:color w:val="000000"/>
                <w:szCs w:val="18"/>
              </w:rPr>
              <w:t>1</w:t>
            </w:r>
          </w:p>
        </w:tc>
        <w:tc>
          <w:tcPr>
            <w:tcW w:w="447" w:type="pct"/>
            <w:tcBorders>
              <w:top w:val="single" w:sz="2" w:space="0" w:color="BFBFBF" w:themeColor="background1" w:themeShade="BF"/>
              <w:left w:val="nil"/>
              <w:bottom w:val="single" w:sz="2" w:space="0" w:color="BFBFBF" w:themeColor="background1" w:themeShade="BF"/>
              <w:right w:val="nil"/>
            </w:tcBorders>
            <w:vAlign w:val="center"/>
          </w:tcPr>
          <w:p w14:paraId="38D80F39"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47" w:type="pct"/>
            <w:tcBorders>
              <w:top w:val="single" w:sz="2" w:space="0" w:color="BFBFBF" w:themeColor="background1" w:themeShade="BF"/>
              <w:left w:val="nil"/>
              <w:bottom w:val="single" w:sz="2" w:space="0" w:color="BFBFBF" w:themeColor="background1" w:themeShade="BF"/>
              <w:right w:val="nil"/>
            </w:tcBorders>
            <w:vAlign w:val="center"/>
          </w:tcPr>
          <w:p w14:paraId="53CCCAE2"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41" w:type="pct"/>
            <w:tcBorders>
              <w:top w:val="single" w:sz="2" w:space="0" w:color="BFBFBF" w:themeColor="background1" w:themeShade="BF"/>
              <w:left w:val="nil"/>
              <w:bottom w:val="single" w:sz="2" w:space="0" w:color="BFBFBF" w:themeColor="background1" w:themeShade="BF"/>
              <w:right w:val="nil"/>
            </w:tcBorders>
            <w:vAlign w:val="center"/>
          </w:tcPr>
          <w:p w14:paraId="72901D62"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41" w:type="pct"/>
            <w:tcBorders>
              <w:top w:val="single" w:sz="2" w:space="0" w:color="BFBFBF" w:themeColor="background1" w:themeShade="BF"/>
              <w:left w:val="nil"/>
              <w:bottom w:val="single" w:sz="2" w:space="0" w:color="BFBFBF" w:themeColor="background1" w:themeShade="BF"/>
              <w:right w:val="nil"/>
            </w:tcBorders>
            <w:vAlign w:val="center"/>
          </w:tcPr>
          <w:p w14:paraId="1DC43E47"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41" w:type="pct"/>
            <w:tcBorders>
              <w:top w:val="single" w:sz="2" w:space="0" w:color="BFBFBF" w:themeColor="background1" w:themeShade="BF"/>
              <w:left w:val="nil"/>
              <w:bottom w:val="single" w:sz="2" w:space="0" w:color="BFBFBF" w:themeColor="background1" w:themeShade="BF"/>
              <w:right w:val="nil"/>
            </w:tcBorders>
            <w:vAlign w:val="center"/>
          </w:tcPr>
          <w:p w14:paraId="0C95DF12"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73" w:type="pct"/>
            <w:tcBorders>
              <w:top w:val="single" w:sz="2" w:space="0" w:color="BFBFBF" w:themeColor="background1" w:themeShade="BF"/>
              <w:left w:val="nil"/>
              <w:bottom w:val="single" w:sz="2" w:space="0" w:color="BFBFBF" w:themeColor="background1" w:themeShade="BF"/>
            </w:tcBorders>
            <w:vAlign w:val="center"/>
          </w:tcPr>
          <w:p w14:paraId="6C9B6EA2"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72" w:type="pct"/>
            <w:tcBorders>
              <w:top w:val="single" w:sz="2" w:space="0" w:color="BFBFBF" w:themeColor="background1" w:themeShade="BF"/>
              <w:left w:val="nil"/>
              <w:bottom w:val="single" w:sz="2" w:space="0" w:color="BFBFBF" w:themeColor="background1" w:themeShade="BF"/>
            </w:tcBorders>
            <w:vAlign w:val="center"/>
          </w:tcPr>
          <w:p w14:paraId="21F0266D" w14:textId="77777777" w:rsidR="00F3078A" w:rsidRDefault="00F3078A" w:rsidP="00A011F9">
            <w:pPr>
              <w:spacing w:after="0"/>
              <w:contextualSpacing/>
              <w:jc w:val="center"/>
              <w:rPr>
                <w:rFonts w:cstheme="minorHAnsi"/>
                <w:szCs w:val="18"/>
              </w:rPr>
            </w:pPr>
            <w:r>
              <w:rPr>
                <w:rFonts w:cstheme="minorHAnsi"/>
                <w:szCs w:val="18"/>
              </w:rPr>
              <w:t>1</w:t>
            </w:r>
          </w:p>
        </w:tc>
      </w:tr>
      <w:tr w:rsidR="00F3078A" w:rsidRPr="00DD2BB0" w14:paraId="7606E1A4" w14:textId="77777777" w:rsidTr="00A011F9">
        <w:trPr>
          <w:trHeight w:val="227"/>
        </w:trPr>
        <w:tc>
          <w:tcPr>
            <w:tcW w:w="936" w:type="pct"/>
            <w:tcBorders>
              <w:top w:val="single" w:sz="2" w:space="0" w:color="BFBFBF" w:themeColor="background1" w:themeShade="BF"/>
              <w:bottom w:val="single" w:sz="2" w:space="0" w:color="BFBFBF" w:themeColor="background1" w:themeShade="BF"/>
              <w:right w:val="nil"/>
            </w:tcBorders>
            <w:vAlign w:val="center"/>
          </w:tcPr>
          <w:p w14:paraId="14EBC7C2" w14:textId="77777777" w:rsidR="00F3078A" w:rsidRPr="00DD2BB0" w:rsidRDefault="00F3078A" w:rsidP="00A011F9">
            <w:pPr>
              <w:spacing w:after="0"/>
              <w:contextualSpacing/>
              <w:rPr>
                <w:rFonts w:cstheme="minorHAnsi"/>
                <w:color w:val="000000"/>
                <w:szCs w:val="18"/>
              </w:rPr>
            </w:pPr>
            <w:r w:rsidRPr="00DD2BB0">
              <w:rPr>
                <w:rFonts w:asciiTheme="minorHAnsi" w:hAnsiTheme="minorHAnsi" w:cstheme="minorHAnsi"/>
                <w:szCs w:val="18"/>
              </w:rPr>
              <w:t>Aged care home</w:t>
            </w:r>
          </w:p>
        </w:tc>
        <w:tc>
          <w:tcPr>
            <w:tcW w:w="451" w:type="pct"/>
            <w:tcBorders>
              <w:top w:val="single" w:sz="2" w:space="0" w:color="BFBFBF" w:themeColor="background1" w:themeShade="BF"/>
              <w:left w:val="nil"/>
              <w:bottom w:val="single" w:sz="2" w:space="0" w:color="BFBFBF" w:themeColor="background1" w:themeShade="BF"/>
              <w:right w:val="nil"/>
            </w:tcBorders>
            <w:vAlign w:val="center"/>
          </w:tcPr>
          <w:p w14:paraId="345B2988" w14:textId="77777777" w:rsidR="00F3078A" w:rsidRPr="00DD2BB0" w:rsidRDefault="00F3078A" w:rsidP="00A011F9">
            <w:pPr>
              <w:spacing w:after="0"/>
              <w:contextualSpacing/>
              <w:jc w:val="center"/>
              <w:rPr>
                <w:rFonts w:asciiTheme="minorHAnsi" w:hAnsiTheme="minorHAnsi" w:cstheme="minorHAnsi"/>
                <w:color w:val="000000"/>
                <w:szCs w:val="18"/>
              </w:rPr>
            </w:pPr>
            <w:r>
              <w:rPr>
                <w:rFonts w:asciiTheme="minorHAnsi" w:hAnsiTheme="minorHAnsi" w:cstheme="minorHAnsi"/>
                <w:color w:val="000000"/>
                <w:szCs w:val="18"/>
              </w:rPr>
              <w:t>0</w:t>
            </w:r>
          </w:p>
        </w:tc>
        <w:tc>
          <w:tcPr>
            <w:tcW w:w="451" w:type="pct"/>
            <w:tcBorders>
              <w:top w:val="single" w:sz="2" w:space="0" w:color="BFBFBF" w:themeColor="background1" w:themeShade="BF"/>
              <w:left w:val="nil"/>
              <w:bottom w:val="single" w:sz="2" w:space="0" w:color="BFBFBF" w:themeColor="background1" w:themeShade="BF"/>
              <w:right w:val="nil"/>
            </w:tcBorders>
            <w:vAlign w:val="center"/>
          </w:tcPr>
          <w:p w14:paraId="285507E5" w14:textId="77777777" w:rsidR="00F3078A" w:rsidRPr="00DD2BB0" w:rsidRDefault="00F3078A" w:rsidP="00A011F9">
            <w:pPr>
              <w:spacing w:after="0"/>
              <w:contextualSpacing/>
              <w:jc w:val="center"/>
              <w:rPr>
                <w:rFonts w:asciiTheme="minorHAnsi" w:hAnsiTheme="minorHAnsi" w:cstheme="minorHAnsi"/>
                <w:szCs w:val="18"/>
              </w:rPr>
            </w:pPr>
            <w:r w:rsidRPr="00573140">
              <w:rPr>
                <w:rFonts w:cstheme="minorHAnsi"/>
                <w:color w:val="000000"/>
                <w:szCs w:val="18"/>
              </w:rPr>
              <w:t>2</w:t>
            </w:r>
          </w:p>
        </w:tc>
        <w:tc>
          <w:tcPr>
            <w:tcW w:w="447" w:type="pct"/>
            <w:tcBorders>
              <w:top w:val="single" w:sz="2" w:space="0" w:color="BFBFBF" w:themeColor="background1" w:themeShade="BF"/>
              <w:left w:val="nil"/>
              <w:bottom w:val="single" w:sz="2" w:space="0" w:color="BFBFBF" w:themeColor="background1" w:themeShade="BF"/>
              <w:right w:val="nil"/>
            </w:tcBorders>
            <w:vAlign w:val="center"/>
          </w:tcPr>
          <w:p w14:paraId="611CAC96" w14:textId="77777777" w:rsidR="00F3078A" w:rsidRPr="00DD2BB0" w:rsidRDefault="00F3078A" w:rsidP="00A011F9">
            <w:pPr>
              <w:spacing w:after="0"/>
              <w:contextualSpacing/>
              <w:jc w:val="center"/>
              <w:rPr>
                <w:rFonts w:asciiTheme="minorHAnsi" w:hAnsiTheme="minorHAnsi" w:cstheme="minorHAnsi"/>
                <w:szCs w:val="18"/>
              </w:rPr>
            </w:pPr>
            <w:r w:rsidRPr="00573140">
              <w:rPr>
                <w:rFonts w:cstheme="minorHAnsi"/>
                <w:color w:val="000000"/>
                <w:szCs w:val="18"/>
              </w:rPr>
              <w:t>1</w:t>
            </w:r>
          </w:p>
        </w:tc>
        <w:tc>
          <w:tcPr>
            <w:tcW w:w="447" w:type="pct"/>
            <w:tcBorders>
              <w:top w:val="single" w:sz="2" w:space="0" w:color="BFBFBF" w:themeColor="background1" w:themeShade="BF"/>
              <w:left w:val="nil"/>
              <w:bottom w:val="single" w:sz="2" w:space="0" w:color="BFBFBF" w:themeColor="background1" w:themeShade="BF"/>
              <w:right w:val="nil"/>
            </w:tcBorders>
            <w:vAlign w:val="center"/>
          </w:tcPr>
          <w:p w14:paraId="2415F2E0"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41" w:type="pct"/>
            <w:tcBorders>
              <w:top w:val="single" w:sz="2" w:space="0" w:color="BFBFBF" w:themeColor="background1" w:themeShade="BF"/>
              <w:left w:val="nil"/>
              <w:bottom w:val="single" w:sz="2" w:space="0" w:color="BFBFBF" w:themeColor="background1" w:themeShade="BF"/>
              <w:right w:val="nil"/>
            </w:tcBorders>
            <w:vAlign w:val="center"/>
          </w:tcPr>
          <w:p w14:paraId="791342EE"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41" w:type="pct"/>
            <w:tcBorders>
              <w:top w:val="single" w:sz="2" w:space="0" w:color="BFBFBF" w:themeColor="background1" w:themeShade="BF"/>
              <w:left w:val="nil"/>
              <w:bottom w:val="single" w:sz="2" w:space="0" w:color="BFBFBF" w:themeColor="background1" w:themeShade="BF"/>
              <w:right w:val="nil"/>
            </w:tcBorders>
            <w:vAlign w:val="center"/>
          </w:tcPr>
          <w:p w14:paraId="72FB9034"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41" w:type="pct"/>
            <w:tcBorders>
              <w:top w:val="single" w:sz="2" w:space="0" w:color="BFBFBF" w:themeColor="background1" w:themeShade="BF"/>
              <w:left w:val="nil"/>
              <w:bottom w:val="single" w:sz="2" w:space="0" w:color="BFBFBF" w:themeColor="background1" w:themeShade="BF"/>
              <w:right w:val="nil"/>
            </w:tcBorders>
            <w:vAlign w:val="center"/>
          </w:tcPr>
          <w:p w14:paraId="37D822BD"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73" w:type="pct"/>
            <w:tcBorders>
              <w:top w:val="single" w:sz="2" w:space="0" w:color="BFBFBF" w:themeColor="background1" w:themeShade="BF"/>
              <w:left w:val="nil"/>
              <w:bottom w:val="single" w:sz="2" w:space="0" w:color="BFBFBF" w:themeColor="background1" w:themeShade="BF"/>
            </w:tcBorders>
            <w:vAlign w:val="center"/>
          </w:tcPr>
          <w:p w14:paraId="79B96C45"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72" w:type="pct"/>
            <w:tcBorders>
              <w:top w:val="single" w:sz="2" w:space="0" w:color="BFBFBF" w:themeColor="background1" w:themeShade="BF"/>
              <w:left w:val="nil"/>
              <w:bottom w:val="single" w:sz="2" w:space="0" w:color="BFBFBF" w:themeColor="background1" w:themeShade="BF"/>
            </w:tcBorders>
            <w:vAlign w:val="center"/>
          </w:tcPr>
          <w:p w14:paraId="597B9B6F" w14:textId="77777777" w:rsidR="00F3078A" w:rsidRDefault="00F3078A" w:rsidP="00A011F9">
            <w:pPr>
              <w:spacing w:after="0"/>
              <w:contextualSpacing/>
              <w:jc w:val="center"/>
              <w:rPr>
                <w:rFonts w:cstheme="minorHAnsi"/>
                <w:szCs w:val="18"/>
              </w:rPr>
            </w:pPr>
            <w:r>
              <w:rPr>
                <w:rFonts w:cstheme="minorHAnsi"/>
                <w:szCs w:val="18"/>
              </w:rPr>
              <w:t>3</w:t>
            </w:r>
          </w:p>
        </w:tc>
      </w:tr>
      <w:tr w:rsidR="00F3078A" w:rsidRPr="00DD2BB0" w14:paraId="7522895F" w14:textId="77777777" w:rsidTr="00A011F9">
        <w:trPr>
          <w:trHeight w:val="227"/>
        </w:trPr>
        <w:tc>
          <w:tcPr>
            <w:tcW w:w="936" w:type="pct"/>
            <w:tcBorders>
              <w:top w:val="single" w:sz="2" w:space="0" w:color="BFBFBF" w:themeColor="background1" w:themeShade="BF"/>
              <w:bottom w:val="single" w:sz="2" w:space="0" w:color="BFBFBF" w:themeColor="background1" w:themeShade="BF"/>
              <w:right w:val="nil"/>
            </w:tcBorders>
            <w:vAlign w:val="center"/>
          </w:tcPr>
          <w:p w14:paraId="010B3523" w14:textId="77777777" w:rsidR="00F3078A" w:rsidRPr="00DD2BB0" w:rsidRDefault="00F3078A" w:rsidP="00A011F9">
            <w:pPr>
              <w:spacing w:after="0"/>
              <w:contextualSpacing/>
              <w:rPr>
                <w:rFonts w:cstheme="minorHAnsi"/>
                <w:color w:val="000000"/>
                <w:szCs w:val="18"/>
              </w:rPr>
            </w:pPr>
            <w:r w:rsidRPr="00DD2BB0">
              <w:rPr>
                <w:rFonts w:asciiTheme="minorHAnsi" w:hAnsiTheme="minorHAnsi" w:cstheme="minorHAnsi"/>
                <w:szCs w:val="18"/>
              </w:rPr>
              <w:t>Community</w:t>
            </w:r>
          </w:p>
        </w:tc>
        <w:tc>
          <w:tcPr>
            <w:tcW w:w="451" w:type="pct"/>
            <w:tcBorders>
              <w:top w:val="single" w:sz="2" w:space="0" w:color="BFBFBF" w:themeColor="background1" w:themeShade="BF"/>
              <w:left w:val="nil"/>
              <w:bottom w:val="single" w:sz="2" w:space="0" w:color="BFBFBF" w:themeColor="background1" w:themeShade="BF"/>
              <w:right w:val="nil"/>
            </w:tcBorders>
            <w:vAlign w:val="center"/>
          </w:tcPr>
          <w:p w14:paraId="26022A0D" w14:textId="77777777" w:rsidR="00F3078A" w:rsidRPr="00DD2BB0" w:rsidRDefault="00F3078A" w:rsidP="00A011F9">
            <w:pPr>
              <w:spacing w:after="0"/>
              <w:contextualSpacing/>
              <w:jc w:val="center"/>
              <w:rPr>
                <w:rFonts w:asciiTheme="minorHAnsi" w:hAnsiTheme="minorHAnsi" w:cstheme="minorHAnsi"/>
                <w:color w:val="000000"/>
                <w:szCs w:val="18"/>
              </w:rPr>
            </w:pPr>
            <w:r>
              <w:rPr>
                <w:rFonts w:asciiTheme="minorHAnsi" w:hAnsiTheme="minorHAnsi" w:cstheme="minorHAnsi"/>
                <w:color w:val="000000"/>
                <w:szCs w:val="18"/>
              </w:rPr>
              <w:t>0</w:t>
            </w:r>
          </w:p>
        </w:tc>
        <w:tc>
          <w:tcPr>
            <w:tcW w:w="451" w:type="pct"/>
            <w:tcBorders>
              <w:top w:val="single" w:sz="2" w:space="0" w:color="BFBFBF" w:themeColor="background1" w:themeShade="BF"/>
              <w:left w:val="nil"/>
              <w:bottom w:val="single" w:sz="2" w:space="0" w:color="BFBFBF" w:themeColor="background1" w:themeShade="BF"/>
              <w:right w:val="nil"/>
            </w:tcBorders>
            <w:vAlign w:val="center"/>
          </w:tcPr>
          <w:p w14:paraId="3C140041" w14:textId="77777777" w:rsidR="00F3078A" w:rsidRPr="00DD2BB0" w:rsidRDefault="00F3078A" w:rsidP="00A011F9">
            <w:pPr>
              <w:spacing w:after="0"/>
              <w:contextualSpacing/>
              <w:jc w:val="center"/>
              <w:rPr>
                <w:rFonts w:asciiTheme="minorHAnsi" w:hAnsiTheme="minorHAnsi" w:cstheme="minorHAnsi"/>
                <w:szCs w:val="18"/>
              </w:rPr>
            </w:pPr>
            <w:r w:rsidRPr="00573140">
              <w:rPr>
                <w:rFonts w:cstheme="minorHAnsi"/>
                <w:color w:val="000000"/>
                <w:szCs w:val="18"/>
              </w:rPr>
              <w:t>1</w:t>
            </w:r>
          </w:p>
        </w:tc>
        <w:tc>
          <w:tcPr>
            <w:tcW w:w="447" w:type="pct"/>
            <w:tcBorders>
              <w:top w:val="single" w:sz="2" w:space="0" w:color="BFBFBF" w:themeColor="background1" w:themeShade="BF"/>
              <w:left w:val="nil"/>
              <w:bottom w:val="single" w:sz="2" w:space="0" w:color="BFBFBF" w:themeColor="background1" w:themeShade="BF"/>
              <w:right w:val="nil"/>
            </w:tcBorders>
            <w:vAlign w:val="center"/>
          </w:tcPr>
          <w:p w14:paraId="665A802F"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47" w:type="pct"/>
            <w:tcBorders>
              <w:top w:val="single" w:sz="2" w:space="0" w:color="BFBFBF" w:themeColor="background1" w:themeShade="BF"/>
              <w:left w:val="nil"/>
              <w:bottom w:val="single" w:sz="2" w:space="0" w:color="BFBFBF" w:themeColor="background1" w:themeShade="BF"/>
              <w:right w:val="nil"/>
            </w:tcBorders>
            <w:vAlign w:val="center"/>
          </w:tcPr>
          <w:p w14:paraId="38F48702"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41" w:type="pct"/>
            <w:tcBorders>
              <w:top w:val="single" w:sz="2" w:space="0" w:color="BFBFBF" w:themeColor="background1" w:themeShade="BF"/>
              <w:left w:val="nil"/>
              <w:bottom w:val="single" w:sz="2" w:space="0" w:color="BFBFBF" w:themeColor="background1" w:themeShade="BF"/>
              <w:right w:val="nil"/>
            </w:tcBorders>
            <w:vAlign w:val="center"/>
          </w:tcPr>
          <w:p w14:paraId="17EC1BD7"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41" w:type="pct"/>
            <w:tcBorders>
              <w:top w:val="single" w:sz="2" w:space="0" w:color="BFBFBF" w:themeColor="background1" w:themeShade="BF"/>
              <w:left w:val="nil"/>
              <w:bottom w:val="single" w:sz="2" w:space="0" w:color="BFBFBF" w:themeColor="background1" w:themeShade="BF"/>
              <w:right w:val="nil"/>
            </w:tcBorders>
            <w:vAlign w:val="center"/>
          </w:tcPr>
          <w:p w14:paraId="57F4BEDA"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41" w:type="pct"/>
            <w:tcBorders>
              <w:top w:val="single" w:sz="2" w:space="0" w:color="BFBFBF" w:themeColor="background1" w:themeShade="BF"/>
              <w:left w:val="nil"/>
              <w:bottom w:val="single" w:sz="2" w:space="0" w:color="BFBFBF" w:themeColor="background1" w:themeShade="BF"/>
              <w:right w:val="nil"/>
            </w:tcBorders>
            <w:vAlign w:val="center"/>
          </w:tcPr>
          <w:p w14:paraId="634A906D"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73" w:type="pct"/>
            <w:tcBorders>
              <w:top w:val="single" w:sz="2" w:space="0" w:color="BFBFBF" w:themeColor="background1" w:themeShade="BF"/>
              <w:left w:val="nil"/>
              <w:bottom w:val="single" w:sz="2" w:space="0" w:color="BFBFBF" w:themeColor="background1" w:themeShade="BF"/>
            </w:tcBorders>
            <w:vAlign w:val="center"/>
          </w:tcPr>
          <w:p w14:paraId="3E93A0A1"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72" w:type="pct"/>
            <w:tcBorders>
              <w:top w:val="single" w:sz="2" w:space="0" w:color="BFBFBF" w:themeColor="background1" w:themeShade="BF"/>
              <w:left w:val="nil"/>
              <w:bottom w:val="single" w:sz="2" w:space="0" w:color="BFBFBF" w:themeColor="background1" w:themeShade="BF"/>
            </w:tcBorders>
            <w:vAlign w:val="center"/>
          </w:tcPr>
          <w:p w14:paraId="40862411" w14:textId="77777777" w:rsidR="00F3078A" w:rsidRDefault="00F3078A" w:rsidP="00A011F9">
            <w:pPr>
              <w:spacing w:after="0"/>
              <w:contextualSpacing/>
              <w:jc w:val="center"/>
              <w:rPr>
                <w:rFonts w:cstheme="minorHAnsi"/>
                <w:szCs w:val="18"/>
              </w:rPr>
            </w:pPr>
            <w:r>
              <w:rPr>
                <w:rFonts w:cstheme="minorHAnsi"/>
                <w:szCs w:val="18"/>
              </w:rPr>
              <w:t>1</w:t>
            </w:r>
          </w:p>
        </w:tc>
      </w:tr>
      <w:tr w:rsidR="00F3078A" w:rsidRPr="00DD2BB0" w14:paraId="17D6D1A8" w14:textId="77777777" w:rsidTr="00A011F9">
        <w:trPr>
          <w:trHeight w:val="227"/>
        </w:trPr>
        <w:tc>
          <w:tcPr>
            <w:tcW w:w="936" w:type="pct"/>
            <w:tcBorders>
              <w:top w:val="single" w:sz="2" w:space="0" w:color="BFBFBF" w:themeColor="background1" w:themeShade="BF"/>
              <w:bottom w:val="single" w:sz="4" w:space="0" w:color="auto"/>
            </w:tcBorders>
            <w:vAlign w:val="center"/>
          </w:tcPr>
          <w:p w14:paraId="48FD029D" w14:textId="77777777" w:rsidR="00F3078A" w:rsidRPr="00DD2BB0" w:rsidRDefault="00F3078A" w:rsidP="00A011F9">
            <w:pPr>
              <w:spacing w:after="0"/>
              <w:contextualSpacing/>
              <w:rPr>
                <w:rFonts w:cstheme="minorHAnsi"/>
                <w:color w:val="000000"/>
                <w:szCs w:val="18"/>
              </w:rPr>
            </w:pPr>
            <w:r w:rsidRPr="00DD2BB0">
              <w:rPr>
                <w:rFonts w:asciiTheme="minorHAnsi" w:hAnsiTheme="minorHAnsi" w:cstheme="minorHAnsi"/>
                <w:szCs w:val="18"/>
              </w:rPr>
              <w:t>Unknown</w:t>
            </w:r>
          </w:p>
        </w:tc>
        <w:tc>
          <w:tcPr>
            <w:tcW w:w="451" w:type="pct"/>
            <w:tcBorders>
              <w:top w:val="single" w:sz="2" w:space="0" w:color="BFBFBF" w:themeColor="background1" w:themeShade="BF"/>
              <w:bottom w:val="single" w:sz="4" w:space="0" w:color="auto"/>
            </w:tcBorders>
            <w:vAlign w:val="center"/>
          </w:tcPr>
          <w:p w14:paraId="2D5A19AD" w14:textId="77777777" w:rsidR="00F3078A" w:rsidRPr="00DD2BB0" w:rsidRDefault="00F3078A" w:rsidP="00A011F9">
            <w:pPr>
              <w:spacing w:after="0"/>
              <w:contextualSpacing/>
              <w:jc w:val="center"/>
              <w:rPr>
                <w:rFonts w:asciiTheme="minorHAnsi" w:hAnsiTheme="minorHAnsi" w:cstheme="minorHAnsi"/>
                <w:color w:val="000000"/>
                <w:szCs w:val="18"/>
              </w:rPr>
            </w:pPr>
            <w:r>
              <w:rPr>
                <w:rFonts w:asciiTheme="minorHAnsi" w:hAnsiTheme="minorHAnsi" w:cstheme="minorHAnsi"/>
                <w:color w:val="000000"/>
                <w:szCs w:val="18"/>
              </w:rPr>
              <w:t>0</w:t>
            </w:r>
          </w:p>
        </w:tc>
        <w:tc>
          <w:tcPr>
            <w:tcW w:w="451" w:type="pct"/>
            <w:tcBorders>
              <w:top w:val="single" w:sz="2" w:space="0" w:color="BFBFBF" w:themeColor="background1" w:themeShade="BF"/>
              <w:bottom w:val="single" w:sz="4" w:space="0" w:color="auto"/>
            </w:tcBorders>
            <w:vAlign w:val="center"/>
          </w:tcPr>
          <w:p w14:paraId="7497D71D"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47" w:type="pct"/>
            <w:tcBorders>
              <w:top w:val="single" w:sz="2" w:space="0" w:color="BFBFBF" w:themeColor="background1" w:themeShade="BF"/>
              <w:bottom w:val="single" w:sz="4" w:space="0" w:color="auto"/>
            </w:tcBorders>
            <w:vAlign w:val="center"/>
          </w:tcPr>
          <w:p w14:paraId="00246881"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47" w:type="pct"/>
            <w:tcBorders>
              <w:top w:val="single" w:sz="2" w:space="0" w:color="BFBFBF" w:themeColor="background1" w:themeShade="BF"/>
              <w:bottom w:val="single" w:sz="4" w:space="0" w:color="auto"/>
            </w:tcBorders>
            <w:vAlign w:val="center"/>
          </w:tcPr>
          <w:p w14:paraId="0FC9BECF"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41" w:type="pct"/>
            <w:tcBorders>
              <w:top w:val="single" w:sz="2" w:space="0" w:color="BFBFBF" w:themeColor="background1" w:themeShade="BF"/>
              <w:bottom w:val="single" w:sz="4" w:space="0" w:color="auto"/>
            </w:tcBorders>
            <w:vAlign w:val="center"/>
          </w:tcPr>
          <w:p w14:paraId="49A9C98A"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41" w:type="pct"/>
            <w:tcBorders>
              <w:top w:val="single" w:sz="2" w:space="0" w:color="BFBFBF" w:themeColor="background1" w:themeShade="BF"/>
              <w:bottom w:val="single" w:sz="4" w:space="0" w:color="auto"/>
            </w:tcBorders>
            <w:vAlign w:val="center"/>
          </w:tcPr>
          <w:p w14:paraId="11A5A023"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41" w:type="pct"/>
            <w:tcBorders>
              <w:top w:val="single" w:sz="2" w:space="0" w:color="BFBFBF" w:themeColor="background1" w:themeShade="BF"/>
              <w:bottom w:val="single" w:sz="4" w:space="0" w:color="auto"/>
            </w:tcBorders>
            <w:vAlign w:val="center"/>
          </w:tcPr>
          <w:p w14:paraId="19FD2513"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73" w:type="pct"/>
            <w:tcBorders>
              <w:top w:val="single" w:sz="2" w:space="0" w:color="BFBFBF" w:themeColor="background1" w:themeShade="BF"/>
              <w:bottom w:val="single" w:sz="4" w:space="0" w:color="auto"/>
            </w:tcBorders>
            <w:vAlign w:val="center"/>
          </w:tcPr>
          <w:p w14:paraId="1F8412E3" w14:textId="77777777" w:rsidR="00F3078A" w:rsidRPr="00DD2BB0" w:rsidRDefault="00F3078A" w:rsidP="00A011F9">
            <w:pPr>
              <w:spacing w:after="0"/>
              <w:contextualSpacing/>
              <w:jc w:val="center"/>
              <w:rPr>
                <w:rFonts w:asciiTheme="minorHAnsi" w:hAnsiTheme="minorHAnsi" w:cstheme="minorHAnsi"/>
                <w:szCs w:val="18"/>
              </w:rPr>
            </w:pPr>
            <w:r>
              <w:rPr>
                <w:rFonts w:asciiTheme="minorHAnsi" w:hAnsiTheme="minorHAnsi" w:cstheme="minorHAnsi"/>
                <w:szCs w:val="18"/>
              </w:rPr>
              <w:t>0</w:t>
            </w:r>
          </w:p>
        </w:tc>
        <w:tc>
          <w:tcPr>
            <w:tcW w:w="472" w:type="pct"/>
            <w:tcBorders>
              <w:top w:val="single" w:sz="2" w:space="0" w:color="BFBFBF" w:themeColor="background1" w:themeShade="BF"/>
              <w:bottom w:val="single" w:sz="4" w:space="0" w:color="auto"/>
            </w:tcBorders>
            <w:vAlign w:val="center"/>
          </w:tcPr>
          <w:p w14:paraId="28D53ECC" w14:textId="77777777" w:rsidR="00F3078A" w:rsidRDefault="00F3078A" w:rsidP="00A011F9">
            <w:pPr>
              <w:spacing w:after="0"/>
              <w:contextualSpacing/>
              <w:jc w:val="center"/>
              <w:rPr>
                <w:rFonts w:cstheme="minorHAnsi"/>
                <w:szCs w:val="18"/>
              </w:rPr>
            </w:pPr>
            <w:r>
              <w:rPr>
                <w:rFonts w:cstheme="minorHAnsi"/>
                <w:szCs w:val="18"/>
              </w:rPr>
              <w:t>0</w:t>
            </w:r>
          </w:p>
        </w:tc>
      </w:tr>
    </w:tbl>
    <w:p w14:paraId="131C3252" w14:textId="77777777" w:rsidR="00F3078A" w:rsidRDefault="00F3078A" w:rsidP="00F3078A"/>
    <w:p w14:paraId="7B1A5FC8" w14:textId="21B93875" w:rsidR="00107365" w:rsidRDefault="00107365">
      <w:pPr>
        <w:spacing w:after="80"/>
      </w:pPr>
      <w:bookmarkStart w:id="24" w:name="_Table_2:_Number"/>
      <w:bookmarkStart w:id="25" w:name="_Figure_1:_Critical"/>
      <w:bookmarkStart w:id="26" w:name="_Toc491785920"/>
      <w:bookmarkStart w:id="27" w:name="_Toc491077706"/>
      <w:bookmarkEnd w:id="24"/>
      <w:bookmarkEnd w:id="25"/>
      <w:r>
        <w:br w:type="page"/>
      </w:r>
    </w:p>
    <w:p w14:paraId="163122F8" w14:textId="29AC606A" w:rsidR="003B505D" w:rsidRDefault="003B505D" w:rsidP="00565833">
      <w:pPr>
        <w:pStyle w:val="Heading2"/>
      </w:pPr>
      <w:bookmarkStart w:id="28" w:name="_Figure_6:_Neisseria"/>
      <w:bookmarkStart w:id="29" w:name="_Appendix_1"/>
      <w:bookmarkStart w:id="30" w:name="_Toc6318418"/>
      <w:bookmarkEnd w:id="26"/>
      <w:bookmarkEnd w:id="27"/>
      <w:bookmarkEnd w:id="28"/>
      <w:bookmarkEnd w:id="29"/>
      <w:r>
        <w:lastRenderedPageBreak/>
        <w:t>Appendix</w:t>
      </w:r>
      <w:bookmarkEnd w:id="30"/>
      <w:r>
        <w:t xml:space="preserve"> </w:t>
      </w:r>
    </w:p>
    <w:p w14:paraId="2A5D4F3A" w14:textId="4E8F5E2F" w:rsidR="006B05D5" w:rsidRDefault="00AA3313" w:rsidP="00AA3313">
      <w:pPr>
        <w:pStyle w:val="Heading3"/>
      </w:pPr>
      <w:bookmarkStart w:id="31" w:name="_Toc6318419"/>
      <w:r w:rsidRPr="00AA3313">
        <w:t xml:space="preserve">Data </w:t>
      </w:r>
      <w:r w:rsidR="006B05D5" w:rsidRPr="00AA3313">
        <w:t>Notes</w:t>
      </w:r>
      <w:bookmarkEnd w:id="31"/>
    </w:p>
    <w:p w14:paraId="350CBA78" w14:textId="1F511645" w:rsidR="003459EE" w:rsidRPr="003459EE" w:rsidRDefault="003459EE" w:rsidP="007372C0">
      <w:pPr>
        <w:pStyle w:val="Normal-beforebullets"/>
      </w:pPr>
      <w:r>
        <w:t>The following are important considerations for interpreting CARAlert data:</w:t>
      </w:r>
    </w:p>
    <w:p w14:paraId="58B53C69" w14:textId="3F324077" w:rsidR="006B05D5" w:rsidRPr="007372C0" w:rsidRDefault="006B05D5" w:rsidP="007372C0">
      <w:pPr>
        <w:pStyle w:val="Numberedlists"/>
        <w:numPr>
          <w:ilvl w:val="0"/>
          <w:numId w:val="15"/>
        </w:numPr>
      </w:pPr>
      <w:r w:rsidRPr="007372C0">
        <w:t>The data are based on the date that the isolate with the confirmed CAR was collected</w:t>
      </w:r>
      <w:r w:rsidR="00183043">
        <w:t>.</w:t>
      </w:r>
      <w:r w:rsidRPr="007372C0">
        <w:t xml:space="preserve"> </w:t>
      </w:r>
    </w:p>
    <w:p w14:paraId="3BDB67E7" w14:textId="05DFF55E" w:rsidR="006B05D5" w:rsidRPr="007372C0" w:rsidRDefault="006B05D5" w:rsidP="007372C0">
      <w:pPr>
        <w:pStyle w:val="Numberedlists"/>
      </w:pPr>
      <w:r w:rsidRPr="007372C0">
        <w:t xml:space="preserve">States and territories refer to the state or territory where the CAR was detected. If </w:t>
      </w:r>
      <w:r w:rsidR="003459EE" w:rsidRPr="007372C0">
        <w:t xml:space="preserve">place of residence is </w:t>
      </w:r>
      <w:r w:rsidRPr="007372C0">
        <w:t>unknown or overseas, the state or territory of the originating laboratory</w:t>
      </w:r>
      <w:r w:rsidR="00661137" w:rsidRPr="007372C0">
        <w:t xml:space="preserve"> is reported</w:t>
      </w:r>
      <w:r w:rsidR="00183043">
        <w:t>.</w:t>
      </w:r>
      <w:r w:rsidRPr="007372C0">
        <w:t xml:space="preserve"> </w:t>
      </w:r>
    </w:p>
    <w:p w14:paraId="6B2DE800" w14:textId="7BD4CC58" w:rsidR="006B05D5" w:rsidRPr="007372C0" w:rsidRDefault="006B05D5" w:rsidP="007372C0">
      <w:pPr>
        <w:pStyle w:val="Numberedlists"/>
      </w:pPr>
      <w:r w:rsidRPr="007372C0">
        <w:t>Comparison between reports may be influenced by delayed detection or late submissions of CARs</w:t>
      </w:r>
      <w:r w:rsidR="00183043">
        <w:t>.</w:t>
      </w:r>
    </w:p>
    <w:p w14:paraId="5B2A3518" w14:textId="2DB04AD3" w:rsidR="006B05D5" w:rsidRPr="007372C0" w:rsidRDefault="006B05D5" w:rsidP="007372C0">
      <w:pPr>
        <w:pStyle w:val="Numberedlists"/>
      </w:pPr>
      <w:r w:rsidRPr="007372C0">
        <w:t>Number of CARs reported do</w:t>
      </w:r>
      <w:r w:rsidR="003459EE" w:rsidRPr="007372C0">
        <w:t>es</w:t>
      </w:r>
      <w:r w:rsidRPr="007372C0">
        <w:t xml:space="preserve"> not always equal the number of patients</w:t>
      </w:r>
      <w:r w:rsidR="003459EE" w:rsidRPr="007372C0">
        <w:t>,</w:t>
      </w:r>
      <w:r w:rsidRPr="007372C0">
        <w:t xml:space="preserve"> as patients may have more than one CAR</w:t>
      </w:r>
      <w:r w:rsidR="00D275C7" w:rsidRPr="007372C0">
        <w:t>, or species,</w:t>
      </w:r>
      <w:r w:rsidRPr="007372C0">
        <w:t xml:space="preserve"> detected in </w:t>
      </w:r>
      <w:r w:rsidR="00D275C7" w:rsidRPr="007372C0">
        <w:t xml:space="preserve">a </w:t>
      </w:r>
      <w:r w:rsidRPr="007372C0">
        <w:t>specimen</w:t>
      </w:r>
      <w:r w:rsidR="00183043">
        <w:t>.</w:t>
      </w:r>
      <w:r w:rsidRPr="007372C0">
        <w:t xml:space="preserve"> </w:t>
      </w:r>
    </w:p>
    <w:p w14:paraId="7D43C58A" w14:textId="5F33480F" w:rsidR="006B05D5" w:rsidRPr="007372C0" w:rsidRDefault="006B05D5" w:rsidP="007372C0">
      <w:pPr>
        <w:pStyle w:val="Numberedlists"/>
      </w:pPr>
      <w:r w:rsidRPr="007372C0">
        <w:t>Cut-off date for data that are included in updates and reports is four weeks after the end of each reporting period</w:t>
      </w:r>
      <w:r w:rsidR="00183043">
        <w:t>.</w:t>
      </w:r>
      <w:r w:rsidRPr="007372C0">
        <w:t xml:space="preserve"> </w:t>
      </w:r>
    </w:p>
    <w:p w14:paraId="2F1C06E0" w14:textId="4D604542" w:rsidR="00661137" w:rsidRPr="007372C0" w:rsidRDefault="00661137" w:rsidP="007372C0">
      <w:pPr>
        <w:pStyle w:val="Numberedlists"/>
      </w:pPr>
      <w:r w:rsidRPr="007372C0">
        <w:t>National summary data is provided</w:t>
      </w:r>
      <w:r w:rsidR="003459EE" w:rsidRPr="007372C0">
        <w:t>; c</w:t>
      </w:r>
      <w:r w:rsidRPr="007372C0">
        <w:t>omparison across states and territories is provided for organisms where there are large numbers reported and a comparison is meaningful</w:t>
      </w:r>
      <w:r w:rsidR="00183043">
        <w:t>.</w:t>
      </w:r>
    </w:p>
    <w:p w14:paraId="2F42AA0A" w14:textId="26121DA6" w:rsidR="00661137" w:rsidRPr="007372C0" w:rsidRDefault="003459EE" w:rsidP="007372C0">
      <w:pPr>
        <w:pStyle w:val="Numberedlists"/>
      </w:pPr>
      <w:r w:rsidRPr="007372C0">
        <w:t>Authorised offers in each s</w:t>
      </w:r>
      <w:r w:rsidR="00661137" w:rsidRPr="007372C0">
        <w:t>tates and territor</w:t>
      </w:r>
      <w:r w:rsidRPr="007372C0">
        <w:t>y health department</w:t>
      </w:r>
      <w:r w:rsidR="00661137" w:rsidRPr="007372C0">
        <w:t xml:space="preserve"> can access </w:t>
      </w:r>
      <w:r w:rsidRPr="007372C0">
        <w:t xml:space="preserve">the </w:t>
      </w:r>
      <w:r w:rsidR="00661137" w:rsidRPr="007372C0">
        <w:t xml:space="preserve">CARAlert </w:t>
      </w:r>
      <w:r w:rsidR="00D275C7" w:rsidRPr="007372C0">
        <w:t xml:space="preserve">web portal </w:t>
      </w:r>
      <w:r w:rsidR="00661137" w:rsidRPr="007372C0">
        <w:t>directly for further information about their jurisdiction</w:t>
      </w:r>
      <w:r w:rsidRPr="007372C0">
        <w:t>, including the name of the public hospital where a patient with a confirmed CAR was cared for, and to extract reports on their data.</w:t>
      </w:r>
    </w:p>
    <w:p w14:paraId="3FDB2C20" w14:textId="2DED9F40" w:rsidR="00AA3313" w:rsidRPr="00AA3313" w:rsidRDefault="00AA3313" w:rsidP="00AA3313">
      <w:pPr>
        <w:pStyle w:val="Heading3"/>
      </w:pPr>
      <w:bookmarkStart w:id="32" w:name="_Toc6318420"/>
      <w:r w:rsidRPr="00AA3313">
        <w:t>About CARAlert</w:t>
      </w:r>
      <w:bookmarkEnd w:id="32"/>
    </w:p>
    <w:p w14:paraId="2D9651D3" w14:textId="01528485" w:rsidR="007242B2" w:rsidRDefault="007242B2" w:rsidP="003459EE">
      <w:pPr>
        <w:spacing w:after="80"/>
      </w:pPr>
      <w:r w:rsidRPr="007242B2">
        <w:t xml:space="preserve">CARAlert is a component of the Antimicrobial Use and Resistance in Australia </w:t>
      </w:r>
      <w:r>
        <w:t>(</w:t>
      </w:r>
      <w:r w:rsidRPr="007242B2">
        <w:t>AURA</w:t>
      </w:r>
      <w:r>
        <w:t>)</w:t>
      </w:r>
      <w:r w:rsidRPr="007242B2">
        <w:t xml:space="preserve"> Surveillance System. CARAlert was established by the </w:t>
      </w:r>
      <w:r>
        <w:t xml:space="preserve">Australian Commission on Safety and Quality in Health Care </w:t>
      </w:r>
      <w:r w:rsidRPr="007242B2">
        <w:t xml:space="preserve">in March 2016. </w:t>
      </w:r>
    </w:p>
    <w:p w14:paraId="70DC8131" w14:textId="491FD0FE" w:rsidR="005C68C3" w:rsidRDefault="005C68C3" w:rsidP="00B41525">
      <w:r>
        <w:t xml:space="preserve">The </w:t>
      </w:r>
      <w:r w:rsidR="007242B2">
        <w:t>AURA</w:t>
      </w:r>
      <w:r>
        <w:t xml:space="preserve"> Surveillance System</w:t>
      </w:r>
      <w:r w:rsidR="00E92B4C">
        <w:t xml:space="preserve"> </w:t>
      </w:r>
      <w:r>
        <w:t>provides essential information to develop and implement strategies to prevent and contain antimicrobial resistance in human health and improve antimicrobial use across the acute and community healthcare settings. AURA also supports the National Safety and Quality Health Service (NSQHS) Standard Preventing and Controlling Healthcare-Associated Infection and Australia’s National Antimicrobial Resistance Strategy (2015–2019). Funding for AURA is provided by the Australian Government Department of Health and state and territory health departments.</w:t>
      </w:r>
    </w:p>
    <w:p w14:paraId="01438CA2" w14:textId="77777777" w:rsidR="007242B2" w:rsidRDefault="00CC5F8F" w:rsidP="00B41525">
      <w:r>
        <w:t xml:space="preserve">Critical antimicrobial resistances (CARs) are resistance mechanisms known to be a serious threat to the effectiveness of last-line antimicrobial agents. CARs can result in significant morbidity and mortality. </w:t>
      </w:r>
    </w:p>
    <w:p w14:paraId="23DEC4CD" w14:textId="77777777" w:rsidR="00E92B4C" w:rsidRDefault="00E92B4C">
      <w:pPr>
        <w:spacing w:after="80"/>
        <w:rPr>
          <w:rFonts w:cs="Arial"/>
        </w:rPr>
      </w:pPr>
      <w:r>
        <w:rPr>
          <w:rFonts w:cs="Arial"/>
        </w:rPr>
        <w:br w:type="page"/>
      </w:r>
    </w:p>
    <w:p w14:paraId="7EAA9F15" w14:textId="64A187AC" w:rsidR="00CC5F8F" w:rsidRDefault="00CC5F8F" w:rsidP="00B41525">
      <w:pPr>
        <w:rPr>
          <w:rFonts w:cs="Arial"/>
        </w:rPr>
      </w:pPr>
      <w:r w:rsidRPr="00F40B12">
        <w:rPr>
          <w:rFonts w:cs="Arial"/>
        </w:rPr>
        <w:lastRenderedPageBreak/>
        <w:t>The CARs reported unde</w:t>
      </w:r>
      <w:r w:rsidR="005D69B0">
        <w:rPr>
          <w:rFonts w:cs="Arial"/>
        </w:rPr>
        <w:t>r CARAlert are listed in Table 2</w:t>
      </w:r>
      <w:r w:rsidRPr="00F40B12">
        <w:rPr>
          <w:rFonts w:cs="Arial"/>
        </w:rPr>
        <w:t>. The CARs were drawn from the list of high-priority organisms and antimicrobials which are the focus of the AURA Surveillance System.</w:t>
      </w:r>
      <w:r w:rsidRPr="00F40B12">
        <w:rPr>
          <w:rStyle w:val="FootnoteReference"/>
          <w:rFonts w:cs="Arial"/>
        </w:rPr>
        <w:footnoteReference w:id="1"/>
      </w:r>
      <w:r w:rsidRPr="00F40B12">
        <w:rPr>
          <w:rFonts w:cs="Arial"/>
        </w:rPr>
        <w:t xml:space="preserve"> </w:t>
      </w:r>
    </w:p>
    <w:p w14:paraId="246E31DC" w14:textId="049CD620" w:rsidR="003B505D" w:rsidRPr="00DB6A4F" w:rsidRDefault="003B505D" w:rsidP="003B505D">
      <w:pPr>
        <w:pStyle w:val="Caption"/>
        <w:rPr>
          <w:rFonts w:cs="Arial"/>
          <w:b/>
          <w:i w:val="0"/>
          <w:color w:val="auto"/>
          <w:sz w:val="22"/>
          <w:szCs w:val="22"/>
        </w:rPr>
      </w:pPr>
      <w:bookmarkStart w:id="33" w:name="_Toc491081838"/>
      <w:r w:rsidRPr="00DB6A4F">
        <w:rPr>
          <w:rFonts w:cs="Arial"/>
          <w:b/>
          <w:i w:val="0"/>
          <w:color w:val="auto"/>
          <w:sz w:val="22"/>
          <w:szCs w:val="22"/>
        </w:rPr>
        <w:t xml:space="preserve">Table </w:t>
      </w:r>
      <w:r w:rsidR="007C7351">
        <w:rPr>
          <w:rFonts w:cs="Arial"/>
          <w:b/>
          <w:i w:val="0"/>
          <w:color w:val="auto"/>
          <w:sz w:val="22"/>
          <w:szCs w:val="22"/>
        </w:rPr>
        <w:t>2</w:t>
      </w:r>
      <w:r w:rsidRPr="00DB6A4F">
        <w:rPr>
          <w:rFonts w:cs="Arial"/>
          <w:b/>
          <w:i w:val="0"/>
          <w:color w:val="auto"/>
          <w:sz w:val="22"/>
          <w:szCs w:val="22"/>
        </w:rPr>
        <w:t>: List of critical antimicrobial resistances</w:t>
      </w:r>
      <w:bookmarkEnd w:id="33"/>
      <w:r>
        <w:rPr>
          <w:rFonts w:cs="Arial"/>
          <w:b/>
          <w:i w:val="0"/>
          <w:color w:val="auto"/>
          <w:sz w:val="22"/>
          <w:szCs w:val="22"/>
        </w:rPr>
        <w:t xml:space="preserve"> reported to CARAlert</w:t>
      </w:r>
    </w:p>
    <w:tbl>
      <w:tblPr>
        <w:tblStyle w:val="TableGrid"/>
        <w:tblW w:w="4946"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20" w:firstRow="1" w:lastRow="0" w:firstColumn="0" w:lastColumn="0" w:noHBand="0" w:noVBand="1"/>
      </w:tblPr>
      <w:tblGrid>
        <w:gridCol w:w="2898"/>
        <w:gridCol w:w="6749"/>
      </w:tblGrid>
      <w:tr w:rsidR="003B505D" w:rsidRPr="001E0A93" w14:paraId="5CDEAD67" w14:textId="77777777" w:rsidTr="001B61D6">
        <w:trPr>
          <w:cnfStyle w:val="100000000000" w:firstRow="1" w:lastRow="0" w:firstColumn="0" w:lastColumn="0" w:oddVBand="0" w:evenVBand="0" w:oddHBand="0" w:evenHBand="0" w:firstRowFirstColumn="0" w:firstRowLastColumn="0" w:lastRowFirstColumn="0" w:lastRowLastColumn="0"/>
          <w:trHeight w:val="283"/>
        </w:trPr>
        <w:tc>
          <w:tcPr>
            <w:tcW w:w="1502" w:type="pct"/>
            <w:hideMark/>
          </w:tcPr>
          <w:p w14:paraId="327B81B1" w14:textId="77777777" w:rsidR="003B505D" w:rsidRPr="001E0A93" w:rsidRDefault="003B505D" w:rsidP="000D1C09">
            <w:pPr>
              <w:spacing w:before="120" w:after="120"/>
              <w:rPr>
                <w:rFonts w:eastAsiaTheme="minorHAnsi" w:cs="Arial"/>
                <w:b w:val="0"/>
                <w:bCs/>
                <w:color w:val="auto"/>
              </w:rPr>
            </w:pPr>
            <w:r w:rsidRPr="001E0A93">
              <w:rPr>
                <w:rFonts w:cs="Arial"/>
                <w:color w:val="auto"/>
              </w:rPr>
              <w:t xml:space="preserve">Species </w:t>
            </w:r>
          </w:p>
        </w:tc>
        <w:tc>
          <w:tcPr>
            <w:tcW w:w="3498" w:type="pct"/>
            <w:hideMark/>
          </w:tcPr>
          <w:p w14:paraId="472B22B1" w14:textId="77777777" w:rsidR="003B505D" w:rsidRPr="001E0A93" w:rsidRDefault="003B505D" w:rsidP="000D1C09">
            <w:pPr>
              <w:spacing w:before="120" w:after="120"/>
              <w:rPr>
                <w:rFonts w:eastAsiaTheme="minorHAnsi" w:cs="Arial"/>
                <w:b w:val="0"/>
                <w:bCs/>
                <w:i/>
                <w:iCs/>
                <w:color w:val="auto"/>
              </w:rPr>
            </w:pPr>
            <w:r w:rsidRPr="001E0A93">
              <w:rPr>
                <w:rFonts w:cs="Arial"/>
                <w:color w:val="auto"/>
              </w:rPr>
              <w:t>Critical Resistance</w:t>
            </w:r>
          </w:p>
        </w:tc>
      </w:tr>
      <w:tr w:rsidR="003B505D" w:rsidRPr="00506EF0" w14:paraId="5EBFBD5C" w14:textId="77777777" w:rsidTr="001B61D6">
        <w:trPr>
          <w:trHeight w:val="340"/>
        </w:trPr>
        <w:tc>
          <w:tcPr>
            <w:tcW w:w="1502" w:type="pct"/>
            <w:hideMark/>
          </w:tcPr>
          <w:p w14:paraId="65AF1EBC" w14:textId="77777777" w:rsidR="003B505D" w:rsidRPr="005D70BF" w:rsidRDefault="003B505D" w:rsidP="000D1C09">
            <w:pPr>
              <w:spacing w:before="60" w:after="60"/>
              <w:rPr>
                <w:rFonts w:eastAsiaTheme="minorHAnsi" w:cs="Arial"/>
                <w:bCs/>
                <w:iCs/>
              </w:rPr>
            </w:pPr>
            <w:r>
              <w:rPr>
                <w:rFonts w:cs="Arial"/>
                <w:iCs/>
              </w:rPr>
              <w:t>Enterobacterales</w:t>
            </w:r>
          </w:p>
        </w:tc>
        <w:tc>
          <w:tcPr>
            <w:tcW w:w="3498" w:type="pct"/>
            <w:hideMark/>
          </w:tcPr>
          <w:p w14:paraId="0A3AF5BB" w14:textId="77777777" w:rsidR="003B505D" w:rsidRPr="00506EF0" w:rsidRDefault="003B505D" w:rsidP="000D1C09">
            <w:pPr>
              <w:spacing w:before="60" w:after="60"/>
              <w:rPr>
                <w:rFonts w:eastAsiaTheme="minorHAnsi" w:cs="Arial"/>
              </w:rPr>
            </w:pPr>
            <w:r w:rsidRPr="00506EF0">
              <w:rPr>
                <w:rFonts w:cs="Arial"/>
              </w:rPr>
              <w:t>Car</w:t>
            </w:r>
            <w:r>
              <w:rPr>
                <w:rFonts w:cs="Arial"/>
              </w:rPr>
              <w:t>bapenemase-producing, and/or</w:t>
            </w:r>
          </w:p>
          <w:p w14:paraId="12F1BBD6" w14:textId="77777777" w:rsidR="003B505D" w:rsidRPr="00506EF0" w:rsidRDefault="003B505D" w:rsidP="000D1C09">
            <w:pPr>
              <w:spacing w:before="60" w:after="60"/>
              <w:rPr>
                <w:rFonts w:eastAsiaTheme="minorHAnsi" w:cs="Arial"/>
              </w:rPr>
            </w:pPr>
            <w:r>
              <w:rPr>
                <w:rFonts w:cs="Arial"/>
              </w:rPr>
              <w:t>r</w:t>
            </w:r>
            <w:r w:rsidRPr="00506EF0">
              <w:rPr>
                <w:rFonts w:cs="Arial"/>
              </w:rPr>
              <w:t>ibo</w:t>
            </w:r>
            <w:r>
              <w:rPr>
                <w:rFonts w:cs="Arial"/>
              </w:rPr>
              <w:t>somal methyltransferase-producing</w:t>
            </w:r>
          </w:p>
        </w:tc>
      </w:tr>
      <w:tr w:rsidR="003B505D" w:rsidRPr="00506EF0" w14:paraId="313DB982" w14:textId="77777777" w:rsidTr="001B61D6">
        <w:trPr>
          <w:trHeight w:val="340"/>
        </w:trPr>
        <w:tc>
          <w:tcPr>
            <w:tcW w:w="1502" w:type="pct"/>
            <w:hideMark/>
          </w:tcPr>
          <w:p w14:paraId="7CD04A3C" w14:textId="77777777" w:rsidR="003B505D" w:rsidRPr="00F11197" w:rsidRDefault="003B505D" w:rsidP="000D1C09">
            <w:pPr>
              <w:spacing w:before="60" w:after="60"/>
              <w:rPr>
                <w:rFonts w:eastAsiaTheme="minorHAnsi" w:cs="Arial"/>
                <w:bCs/>
                <w:i/>
                <w:iCs/>
              </w:rPr>
            </w:pPr>
            <w:r w:rsidRPr="00F11197">
              <w:rPr>
                <w:rFonts w:cs="Arial"/>
                <w:i/>
                <w:iCs/>
              </w:rPr>
              <w:t xml:space="preserve">Enterococcus </w:t>
            </w:r>
            <w:r w:rsidRPr="00F11197">
              <w:rPr>
                <w:rFonts w:cs="Arial"/>
              </w:rPr>
              <w:t>species</w:t>
            </w:r>
          </w:p>
        </w:tc>
        <w:tc>
          <w:tcPr>
            <w:tcW w:w="3498" w:type="pct"/>
            <w:hideMark/>
          </w:tcPr>
          <w:p w14:paraId="5DBCDB81" w14:textId="77777777" w:rsidR="003B505D" w:rsidRPr="00506EF0" w:rsidRDefault="003B505D" w:rsidP="000D1C09">
            <w:pPr>
              <w:spacing w:before="60" w:after="60"/>
              <w:rPr>
                <w:rFonts w:eastAsiaTheme="minorHAnsi" w:cs="Arial"/>
              </w:rPr>
            </w:pPr>
            <w:r w:rsidRPr="00506EF0">
              <w:rPr>
                <w:rFonts w:cs="Arial"/>
              </w:rPr>
              <w:t>Linezolid non-susceptible</w:t>
            </w:r>
          </w:p>
        </w:tc>
      </w:tr>
      <w:tr w:rsidR="003B505D" w:rsidRPr="00506EF0" w14:paraId="1B4104C3" w14:textId="77777777" w:rsidTr="001B61D6">
        <w:trPr>
          <w:trHeight w:val="340"/>
        </w:trPr>
        <w:tc>
          <w:tcPr>
            <w:tcW w:w="1502" w:type="pct"/>
            <w:hideMark/>
          </w:tcPr>
          <w:p w14:paraId="28027B4E" w14:textId="77777777" w:rsidR="003B505D" w:rsidRPr="00F11197" w:rsidRDefault="003B505D" w:rsidP="000D1C09">
            <w:pPr>
              <w:spacing w:before="60" w:after="60"/>
              <w:rPr>
                <w:rFonts w:eastAsiaTheme="minorHAnsi" w:cs="Arial"/>
                <w:bCs/>
                <w:i/>
                <w:iCs/>
              </w:rPr>
            </w:pPr>
            <w:r w:rsidRPr="00F11197">
              <w:rPr>
                <w:rFonts w:cs="Arial"/>
                <w:i/>
                <w:iCs/>
              </w:rPr>
              <w:t>Mycobacterium tuberculosis</w:t>
            </w:r>
          </w:p>
        </w:tc>
        <w:tc>
          <w:tcPr>
            <w:tcW w:w="3498" w:type="pct"/>
            <w:hideMark/>
          </w:tcPr>
          <w:p w14:paraId="02413954" w14:textId="77777777" w:rsidR="003B505D" w:rsidRPr="00506EF0" w:rsidRDefault="003B505D" w:rsidP="000D1C09">
            <w:pPr>
              <w:spacing w:before="60" w:after="60"/>
              <w:rPr>
                <w:rFonts w:eastAsiaTheme="minorHAnsi" w:cs="Arial"/>
              </w:rPr>
            </w:pPr>
            <w:r w:rsidRPr="00506EF0">
              <w:rPr>
                <w:rFonts w:cs="Arial"/>
              </w:rPr>
              <w:t>M</w:t>
            </w:r>
            <w:r>
              <w:rPr>
                <w:rFonts w:cs="Arial"/>
              </w:rPr>
              <w:t xml:space="preserve">ultidrug-resistant – resistant to </w:t>
            </w:r>
            <w:r w:rsidRPr="00506EF0">
              <w:rPr>
                <w:rFonts w:cs="Arial"/>
              </w:rPr>
              <w:t>at least rifampicin and isoniazid</w:t>
            </w:r>
          </w:p>
        </w:tc>
      </w:tr>
      <w:tr w:rsidR="003B505D" w:rsidRPr="00506EF0" w14:paraId="3A693E79" w14:textId="77777777" w:rsidTr="001B61D6">
        <w:trPr>
          <w:trHeight w:val="340"/>
        </w:trPr>
        <w:tc>
          <w:tcPr>
            <w:tcW w:w="1502" w:type="pct"/>
            <w:hideMark/>
          </w:tcPr>
          <w:p w14:paraId="28607DFE" w14:textId="77777777" w:rsidR="003B505D" w:rsidRPr="00F11197" w:rsidRDefault="003B505D" w:rsidP="000D1C09">
            <w:pPr>
              <w:spacing w:before="60" w:after="60"/>
              <w:rPr>
                <w:rFonts w:eastAsiaTheme="minorHAnsi" w:cs="Arial"/>
                <w:bCs/>
                <w:i/>
                <w:iCs/>
              </w:rPr>
            </w:pPr>
            <w:r w:rsidRPr="00F11197">
              <w:rPr>
                <w:rFonts w:cs="Arial"/>
                <w:i/>
                <w:iCs/>
              </w:rPr>
              <w:t>Neisseria gonorrhoeae</w:t>
            </w:r>
          </w:p>
        </w:tc>
        <w:tc>
          <w:tcPr>
            <w:tcW w:w="3498" w:type="pct"/>
            <w:hideMark/>
          </w:tcPr>
          <w:p w14:paraId="18CE38E4" w14:textId="77777777" w:rsidR="003B505D" w:rsidRPr="00506EF0" w:rsidRDefault="003B505D" w:rsidP="000D1C09">
            <w:pPr>
              <w:spacing w:before="60" w:after="60"/>
              <w:rPr>
                <w:rFonts w:eastAsiaTheme="minorHAnsi" w:cs="Arial"/>
              </w:rPr>
            </w:pPr>
            <w:r>
              <w:rPr>
                <w:rFonts w:cs="Arial"/>
              </w:rPr>
              <w:t>Ceftriaxone or azithromycin non-</w:t>
            </w:r>
            <w:r w:rsidRPr="00506EF0">
              <w:rPr>
                <w:rFonts w:cs="Arial"/>
              </w:rPr>
              <w:t>susceptible</w:t>
            </w:r>
          </w:p>
        </w:tc>
      </w:tr>
      <w:tr w:rsidR="003B505D" w:rsidRPr="00506EF0" w14:paraId="7E706139" w14:textId="77777777" w:rsidTr="001B61D6">
        <w:trPr>
          <w:trHeight w:val="340"/>
        </w:trPr>
        <w:tc>
          <w:tcPr>
            <w:tcW w:w="1502" w:type="pct"/>
            <w:hideMark/>
          </w:tcPr>
          <w:p w14:paraId="728E71E9" w14:textId="77777777" w:rsidR="003B505D" w:rsidRPr="00F11197" w:rsidRDefault="003B505D" w:rsidP="000D1C09">
            <w:pPr>
              <w:spacing w:before="60" w:after="60"/>
              <w:rPr>
                <w:rFonts w:eastAsiaTheme="minorHAnsi" w:cs="Arial"/>
                <w:bCs/>
                <w:i/>
                <w:iCs/>
              </w:rPr>
            </w:pPr>
            <w:r w:rsidRPr="00F11197">
              <w:rPr>
                <w:rFonts w:cs="Arial"/>
                <w:i/>
                <w:iCs/>
              </w:rPr>
              <w:t xml:space="preserve">Salmonella </w:t>
            </w:r>
            <w:r w:rsidRPr="00F11197">
              <w:rPr>
                <w:rFonts w:cs="Arial"/>
              </w:rPr>
              <w:t>species</w:t>
            </w:r>
          </w:p>
        </w:tc>
        <w:tc>
          <w:tcPr>
            <w:tcW w:w="3498" w:type="pct"/>
            <w:hideMark/>
          </w:tcPr>
          <w:p w14:paraId="5DB4DC32" w14:textId="77777777" w:rsidR="003B505D" w:rsidRPr="00506EF0" w:rsidRDefault="003B505D" w:rsidP="000D1C09">
            <w:pPr>
              <w:spacing w:before="60" w:after="60"/>
              <w:rPr>
                <w:rFonts w:eastAsiaTheme="minorHAnsi" w:cs="Arial"/>
              </w:rPr>
            </w:pPr>
            <w:r w:rsidRPr="00506EF0">
              <w:rPr>
                <w:rFonts w:cs="Arial"/>
              </w:rPr>
              <w:t>Ce</w:t>
            </w:r>
            <w:r>
              <w:rPr>
                <w:rFonts w:cs="Arial"/>
              </w:rPr>
              <w:t>ftriaxone non-susceptible</w:t>
            </w:r>
          </w:p>
        </w:tc>
      </w:tr>
      <w:tr w:rsidR="003B505D" w:rsidRPr="00506EF0" w14:paraId="229486B3" w14:textId="77777777" w:rsidTr="001B61D6">
        <w:trPr>
          <w:trHeight w:val="340"/>
        </w:trPr>
        <w:tc>
          <w:tcPr>
            <w:tcW w:w="1502" w:type="pct"/>
            <w:hideMark/>
          </w:tcPr>
          <w:p w14:paraId="384EB999" w14:textId="77777777" w:rsidR="003B505D" w:rsidRPr="00F11197" w:rsidRDefault="003B505D" w:rsidP="000D1C09">
            <w:pPr>
              <w:spacing w:before="60" w:after="60"/>
              <w:rPr>
                <w:rFonts w:eastAsiaTheme="minorHAnsi" w:cs="Arial"/>
                <w:bCs/>
                <w:i/>
                <w:iCs/>
              </w:rPr>
            </w:pPr>
            <w:r w:rsidRPr="00F11197">
              <w:rPr>
                <w:rFonts w:cs="Arial"/>
                <w:i/>
                <w:iCs/>
              </w:rPr>
              <w:t xml:space="preserve">Shigella </w:t>
            </w:r>
            <w:r w:rsidRPr="00F11197">
              <w:rPr>
                <w:rFonts w:cs="Arial"/>
              </w:rPr>
              <w:t>species</w:t>
            </w:r>
          </w:p>
        </w:tc>
        <w:tc>
          <w:tcPr>
            <w:tcW w:w="3498" w:type="pct"/>
            <w:hideMark/>
          </w:tcPr>
          <w:p w14:paraId="3F330005" w14:textId="77777777" w:rsidR="003B505D" w:rsidRPr="00506EF0" w:rsidRDefault="003B505D" w:rsidP="000D1C09">
            <w:pPr>
              <w:spacing w:before="60" w:after="60"/>
              <w:rPr>
                <w:rFonts w:eastAsiaTheme="minorHAnsi" w:cs="Arial"/>
              </w:rPr>
            </w:pPr>
            <w:r>
              <w:rPr>
                <w:rFonts w:cs="Arial"/>
              </w:rPr>
              <w:t>Multidrug-resistant</w:t>
            </w:r>
          </w:p>
        </w:tc>
      </w:tr>
      <w:tr w:rsidR="003B505D" w:rsidRPr="00506EF0" w14:paraId="5E2C3894" w14:textId="77777777" w:rsidTr="001B61D6">
        <w:trPr>
          <w:trHeight w:val="340"/>
        </w:trPr>
        <w:tc>
          <w:tcPr>
            <w:tcW w:w="1502" w:type="pct"/>
            <w:hideMark/>
          </w:tcPr>
          <w:p w14:paraId="3700546C" w14:textId="77777777" w:rsidR="003B505D" w:rsidRPr="00F11197" w:rsidRDefault="003B505D" w:rsidP="000D1C09">
            <w:pPr>
              <w:spacing w:before="60" w:after="60"/>
              <w:rPr>
                <w:rFonts w:eastAsiaTheme="minorHAnsi" w:cs="Arial"/>
                <w:bCs/>
                <w:i/>
                <w:iCs/>
              </w:rPr>
            </w:pPr>
            <w:r w:rsidRPr="00F11197">
              <w:rPr>
                <w:rFonts w:cs="Arial"/>
                <w:i/>
                <w:iCs/>
              </w:rPr>
              <w:t>Staphylococcus aureus</w:t>
            </w:r>
          </w:p>
        </w:tc>
        <w:tc>
          <w:tcPr>
            <w:tcW w:w="3498" w:type="pct"/>
            <w:hideMark/>
          </w:tcPr>
          <w:p w14:paraId="22B39372" w14:textId="77777777" w:rsidR="003B505D" w:rsidRPr="00506EF0" w:rsidRDefault="003B505D" w:rsidP="000D1C09">
            <w:pPr>
              <w:spacing w:before="60" w:after="60"/>
              <w:rPr>
                <w:rFonts w:eastAsiaTheme="minorHAnsi" w:cs="Arial"/>
              </w:rPr>
            </w:pPr>
            <w:r w:rsidRPr="00506EF0">
              <w:rPr>
                <w:rFonts w:cs="Arial"/>
              </w:rPr>
              <w:t>Vancomyc</w:t>
            </w:r>
            <w:r>
              <w:rPr>
                <w:rFonts w:cs="Arial"/>
              </w:rPr>
              <w:t>in, linezolid or daptomycin non-</w:t>
            </w:r>
            <w:r w:rsidRPr="00506EF0">
              <w:rPr>
                <w:rFonts w:cs="Arial"/>
              </w:rPr>
              <w:t>susceptible</w:t>
            </w:r>
          </w:p>
        </w:tc>
      </w:tr>
      <w:tr w:rsidR="003B505D" w:rsidRPr="00506EF0" w14:paraId="59F4A293" w14:textId="77777777" w:rsidTr="001B61D6">
        <w:trPr>
          <w:trHeight w:val="340"/>
        </w:trPr>
        <w:tc>
          <w:tcPr>
            <w:tcW w:w="1502" w:type="pct"/>
            <w:hideMark/>
          </w:tcPr>
          <w:p w14:paraId="6183807F" w14:textId="77777777" w:rsidR="003B505D" w:rsidRPr="00F11197" w:rsidRDefault="003B505D" w:rsidP="000D1C09">
            <w:pPr>
              <w:spacing w:before="60" w:after="60"/>
              <w:rPr>
                <w:rFonts w:eastAsiaTheme="minorHAnsi" w:cs="Arial"/>
                <w:bCs/>
                <w:i/>
                <w:iCs/>
              </w:rPr>
            </w:pPr>
            <w:r w:rsidRPr="00F11197">
              <w:rPr>
                <w:rFonts w:cs="Arial"/>
                <w:i/>
                <w:iCs/>
              </w:rPr>
              <w:t>Streptococcus pyogenes</w:t>
            </w:r>
          </w:p>
        </w:tc>
        <w:tc>
          <w:tcPr>
            <w:tcW w:w="3498" w:type="pct"/>
            <w:hideMark/>
          </w:tcPr>
          <w:p w14:paraId="0CE57636" w14:textId="77777777" w:rsidR="003B505D" w:rsidRPr="00506EF0" w:rsidRDefault="003B505D" w:rsidP="000D1C09">
            <w:pPr>
              <w:spacing w:before="60" w:after="60"/>
              <w:rPr>
                <w:rFonts w:eastAsiaTheme="minorHAnsi" w:cs="Arial"/>
              </w:rPr>
            </w:pPr>
            <w:r w:rsidRPr="00506EF0">
              <w:rPr>
                <w:rFonts w:cs="Arial"/>
              </w:rPr>
              <w:t>Penicillin reduced susceptibility</w:t>
            </w:r>
          </w:p>
        </w:tc>
      </w:tr>
    </w:tbl>
    <w:p w14:paraId="190DBAA5" w14:textId="77777777" w:rsidR="003B505D" w:rsidRPr="00544A12" w:rsidRDefault="003B505D" w:rsidP="003B505D">
      <w:pPr>
        <w:spacing w:before="120"/>
        <w:rPr>
          <w:rFonts w:cs="Arial"/>
          <w:sz w:val="16"/>
          <w:szCs w:val="16"/>
        </w:rPr>
      </w:pPr>
      <w:r w:rsidRPr="00544A12">
        <w:rPr>
          <w:rFonts w:cs="Arial"/>
          <w:sz w:val="16"/>
          <w:szCs w:val="16"/>
        </w:rPr>
        <w:t>Note: Enterobacterales (new taxonomy)</w:t>
      </w:r>
    </w:p>
    <w:p w14:paraId="5F5B4226" w14:textId="3430B4DB" w:rsidR="00CC5F8F" w:rsidRPr="00F40B12" w:rsidRDefault="00CC5F8F" w:rsidP="00AA3313">
      <w:pPr>
        <w:spacing w:after="80"/>
        <w:rPr>
          <w:rFonts w:cs="Arial"/>
        </w:rPr>
      </w:pPr>
      <w:r w:rsidRPr="00F40B12">
        <w:rPr>
          <w:rFonts w:cs="Arial"/>
        </w:rPr>
        <w:t>The CARAlert system is based on the following routine processes used by pathology laboratories for identifying</w:t>
      </w:r>
      <w:r w:rsidR="00B41525">
        <w:rPr>
          <w:rFonts w:cs="Arial"/>
        </w:rPr>
        <w:t xml:space="preserve"> and confirming potential CARs:</w:t>
      </w:r>
    </w:p>
    <w:p w14:paraId="4B058BCA" w14:textId="77777777" w:rsidR="00CC5F8F" w:rsidRPr="00F40B12" w:rsidRDefault="00CC5F8F" w:rsidP="007372C0">
      <w:pPr>
        <w:pStyle w:val="Numberedlists"/>
        <w:numPr>
          <w:ilvl w:val="0"/>
          <w:numId w:val="14"/>
        </w:numPr>
      </w:pPr>
      <w:r w:rsidRPr="00F40B12">
        <w:t>Collection and routine testing – the isolate is collected from the patient and sent to the originating laboratory for routine testing</w:t>
      </w:r>
    </w:p>
    <w:p w14:paraId="2ED09203" w14:textId="77777777" w:rsidR="00CC5F8F" w:rsidRPr="00F40B12" w:rsidRDefault="00CC5F8F" w:rsidP="007372C0">
      <w:pPr>
        <w:pStyle w:val="Numberedlists"/>
        <w:numPr>
          <w:ilvl w:val="0"/>
          <w:numId w:val="14"/>
        </w:numPr>
      </w:pPr>
      <w:r w:rsidRPr="00F40B12">
        <w:t>Confirmation – if the originating laboratory suspects that the isolate is a CAR, it sends the isolate to a confirming laboratory that has the capacity to confirm the CAR</w:t>
      </w:r>
    </w:p>
    <w:p w14:paraId="0F227074" w14:textId="5CF5A4F2" w:rsidR="00CC5F8F" w:rsidRDefault="00CC5F8F" w:rsidP="007372C0">
      <w:pPr>
        <w:pStyle w:val="Numberedlists"/>
        <w:numPr>
          <w:ilvl w:val="0"/>
          <w:numId w:val="14"/>
        </w:numPr>
      </w:pPr>
      <w:r w:rsidRPr="00F40B12">
        <w:t>Submission to the CARAlert system – the confirming laboratory advises the originating laboratory of the result of the test, and the originating laboratory reports back to the health service that cared for the patient from whom the specimen was collected; the confirming laboratory then submits the details of the resistance and organism into the secure CARAlert web portal.</w:t>
      </w:r>
    </w:p>
    <w:p w14:paraId="085A2E04" w14:textId="6F15B911" w:rsidR="003B505D" w:rsidRDefault="003B505D">
      <w:pPr>
        <w:spacing w:after="80"/>
      </w:pPr>
      <w:r>
        <w:br w:type="page"/>
      </w:r>
    </w:p>
    <w:p w14:paraId="42592B02" w14:textId="77777777" w:rsidR="00BB0D93" w:rsidRDefault="00BB0D93" w:rsidP="007372C0"/>
    <w:p w14:paraId="1CDCB011" w14:textId="77777777" w:rsidR="003B505D" w:rsidRDefault="003B505D" w:rsidP="007372C0"/>
    <w:p w14:paraId="7CF3C471" w14:textId="77777777" w:rsidR="001E0A93" w:rsidRDefault="001E0A93" w:rsidP="007372C0"/>
    <w:p w14:paraId="2EC42E0B" w14:textId="77777777" w:rsidR="001E0A93" w:rsidRDefault="001E0A93" w:rsidP="007372C0"/>
    <w:p w14:paraId="372733BD" w14:textId="77777777" w:rsidR="001E0A93" w:rsidRDefault="001E0A93" w:rsidP="007372C0"/>
    <w:p w14:paraId="75F8A808" w14:textId="77777777" w:rsidR="001E0A93" w:rsidRDefault="001E0A93" w:rsidP="007372C0"/>
    <w:p w14:paraId="5F533AF5" w14:textId="77777777" w:rsidR="001E0A93" w:rsidRDefault="001E0A93" w:rsidP="007372C0"/>
    <w:p w14:paraId="1709B32E" w14:textId="77777777" w:rsidR="001E0A93" w:rsidRDefault="001E0A93" w:rsidP="007372C0"/>
    <w:p w14:paraId="6A2BADF2" w14:textId="77777777" w:rsidR="001E0A93" w:rsidRDefault="001E0A93" w:rsidP="007372C0"/>
    <w:p w14:paraId="28BD0CA2" w14:textId="77777777" w:rsidR="001E0A93" w:rsidRDefault="001E0A93" w:rsidP="007372C0"/>
    <w:p w14:paraId="779A7605" w14:textId="77777777" w:rsidR="001E0A93" w:rsidRDefault="001E0A93" w:rsidP="007372C0"/>
    <w:p w14:paraId="7BAE8F7B" w14:textId="77777777" w:rsidR="001E0A93" w:rsidRDefault="001E0A93" w:rsidP="007372C0"/>
    <w:p w14:paraId="72C350A6" w14:textId="77777777" w:rsidR="001E0A93" w:rsidRDefault="001E0A93" w:rsidP="007372C0"/>
    <w:p w14:paraId="49F9F0F5" w14:textId="77777777" w:rsidR="001E0A93" w:rsidRDefault="001E0A93" w:rsidP="007372C0"/>
    <w:p w14:paraId="3275D5E3" w14:textId="77777777" w:rsidR="00B41525" w:rsidRDefault="00B41525" w:rsidP="007372C0"/>
    <w:p w14:paraId="6D9B4572" w14:textId="77777777" w:rsidR="00B41525" w:rsidRDefault="00B41525" w:rsidP="007372C0"/>
    <w:p w14:paraId="78C41A66" w14:textId="77777777" w:rsidR="00B41525" w:rsidRDefault="00B41525" w:rsidP="007372C0"/>
    <w:p w14:paraId="1635C227" w14:textId="2E06F44F" w:rsidR="00B41525" w:rsidRDefault="00B41525" w:rsidP="007372C0"/>
    <w:p w14:paraId="276618D4" w14:textId="062762C7" w:rsidR="00B41525" w:rsidRDefault="00B41525" w:rsidP="007372C0"/>
    <w:p w14:paraId="12D33B82" w14:textId="1F8DB0B7" w:rsidR="00B41525" w:rsidRDefault="00B41525" w:rsidP="007372C0"/>
    <w:p w14:paraId="4C9EB06F" w14:textId="2492D841" w:rsidR="00B41525" w:rsidRDefault="00B41525" w:rsidP="007372C0"/>
    <w:p w14:paraId="149DBC33" w14:textId="2B957E22" w:rsidR="001E0A93" w:rsidRDefault="001E0A93" w:rsidP="007372C0"/>
    <w:p w14:paraId="0249B82A" w14:textId="3120246D" w:rsidR="001E0A93" w:rsidRDefault="001E0A93" w:rsidP="007372C0"/>
    <w:p w14:paraId="6E8555FF" w14:textId="30051069" w:rsidR="001D2E47" w:rsidRDefault="001D2E47" w:rsidP="007372C0">
      <w:r w:rsidRPr="00EC6DFE">
        <w:rPr>
          <w:rFonts w:eastAsiaTheme="majorEastAsia"/>
          <w:noProof/>
        </w:rPr>
        <w:drawing>
          <wp:anchor distT="0" distB="0" distL="114300" distR="114300" simplePos="0" relativeHeight="251652608" behindDoc="0" locked="0" layoutInCell="1" allowOverlap="1" wp14:anchorId="775A0634" wp14:editId="4C1897E4">
            <wp:simplePos x="0" y="0"/>
            <wp:positionH relativeFrom="column">
              <wp:posOffset>-14721</wp:posOffset>
            </wp:positionH>
            <wp:positionV relativeFrom="paragraph">
              <wp:posOffset>9813</wp:posOffset>
            </wp:positionV>
            <wp:extent cx="4335780" cy="611505"/>
            <wp:effectExtent l="0" t="0" r="7620" b="0"/>
            <wp:wrapNone/>
            <wp:docPr id="32" name="Picture 32"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780" cy="611505"/>
                    </a:xfrm>
                    <a:prstGeom prst="rect">
                      <a:avLst/>
                    </a:prstGeom>
                  </pic:spPr>
                </pic:pic>
              </a:graphicData>
            </a:graphic>
            <wp14:sizeRelH relativeFrom="page">
              <wp14:pctWidth>0</wp14:pctWidth>
            </wp14:sizeRelH>
            <wp14:sizeRelV relativeFrom="page">
              <wp14:pctHeight>0</wp14:pctHeight>
            </wp14:sizeRelV>
          </wp:anchor>
        </w:drawing>
      </w:r>
    </w:p>
    <w:p w14:paraId="1B8CD033" w14:textId="48C7A780" w:rsidR="00EC6DFE" w:rsidRDefault="00EC6DFE" w:rsidP="001D2E47"/>
    <w:p w14:paraId="041BF425" w14:textId="77777777" w:rsidR="00EC6DFE" w:rsidRDefault="00EC6DFE" w:rsidP="001D2E47"/>
    <w:p w14:paraId="3F71EB16" w14:textId="77777777" w:rsidR="00EC6DFE" w:rsidRDefault="00EC6DFE" w:rsidP="00EC6DFE">
      <w:r>
        <w:t>Level 5, 255 Elizabeth Street, Sydney NSW 2000</w:t>
      </w:r>
      <w:r>
        <w:br/>
        <w:t>GPO Box 5480, Sydney NSW 200</w:t>
      </w:r>
      <w:r w:rsidR="00CC6466">
        <w:t>1</w:t>
      </w:r>
    </w:p>
    <w:p w14:paraId="105474F3" w14:textId="77777777" w:rsidR="00EC6DFE" w:rsidRDefault="00EC6DFE" w:rsidP="00EC6DFE">
      <w:r>
        <w:t xml:space="preserve">Phone: (02) 9126 3600 </w:t>
      </w:r>
      <w:r>
        <w:br/>
        <w:t>Fax: (02) 9126 3613</w:t>
      </w:r>
    </w:p>
    <w:p w14:paraId="13174C79" w14:textId="77777777" w:rsidR="00EC6DFE" w:rsidRDefault="00EC6DFE" w:rsidP="00EC6DFE">
      <w:r>
        <w:t xml:space="preserve">Email: </w:t>
      </w:r>
      <w:r w:rsidR="00CC6466">
        <w:t>mail</w:t>
      </w:r>
      <w:r>
        <w:t xml:space="preserve">@safetyandquality.gov.au </w:t>
      </w:r>
      <w:r>
        <w:br/>
        <w:t>Website: www.safetyandquality.gov.au</w:t>
      </w:r>
    </w:p>
    <w:sectPr w:rsidR="00EC6DFE" w:rsidSect="007372C0">
      <w:headerReference w:type="even" r:id="rId45"/>
      <w:headerReference w:type="default" r:id="rId46"/>
      <w:footerReference w:type="default" r:id="rId47"/>
      <w:headerReference w:type="first" r:id="rId48"/>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8FB653" w15:done="0"/>
  <w15:commentEx w15:paraId="579D4265" w15:paraIdParent="768FB653" w15:done="0"/>
  <w15:commentEx w15:paraId="3D8552D5" w15:done="0"/>
  <w15:commentEx w15:paraId="3E553D93" w15:paraIdParent="3D8552D5" w15:done="0"/>
  <w15:commentEx w15:paraId="36EAEECB" w15:done="0"/>
  <w15:commentEx w15:paraId="0EE50D98" w15:done="0"/>
  <w15:commentEx w15:paraId="6EDC6A83" w15:paraIdParent="0EE50D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FB653" w16cid:durableId="20605239"/>
  <w16cid:commentId w16cid:paraId="579D4265" w16cid:durableId="20605494"/>
  <w16cid:commentId w16cid:paraId="3D8552D5" w16cid:durableId="2060523A"/>
  <w16cid:commentId w16cid:paraId="3E553D93" w16cid:durableId="2060549E"/>
  <w16cid:commentId w16cid:paraId="36EAEECB" w16cid:durableId="206055FF"/>
  <w16cid:commentId w16cid:paraId="0EE50D98" w16cid:durableId="2060523B"/>
  <w16cid:commentId w16cid:paraId="6EDC6A83" w16cid:durableId="206058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95BF4" w14:textId="77777777" w:rsidR="00F46FBF" w:rsidRDefault="00F46FBF" w:rsidP="000B0274">
      <w:r>
        <w:separator/>
      </w:r>
    </w:p>
  </w:endnote>
  <w:endnote w:type="continuationSeparator" w:id="0">
    <w:p w14:paraId="6E3009C9" w14:textId="77777777" w:rsidR="00F46FBF" w:rsidRDefault="00F46FBF"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DFCE4" w14:textId="77777777" w:rsidR="00962296" w:rsidRDefault="009622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A6A68" w14:textId="010E8098" w:rsidR="005C7CFF" w:rsidRDefault="005C7CFF" w:rsidP="001E2697">
    <w:pPr>
      <w:pStyle w:val="Footer"/>
      <w:tabs>
        <w:tab w:val="clear" w:pos="4513"/>
        <w:tab w:val="clear" w:pos="9026"/>
        <w:tab w:val="right" w:pos="9498"/>
      </w:tabs>
    </w:pPr>
    <w:r>
      <w:t>CARAlert data update: 1 January 2019–28 February 2019</w:t>
    </w:r>
    <w:r>
      <w:tab/>
    </w:r>
    <w:r w:rsidRPr="00F57148">
      <w:fldChar w:fldCharType="begin"/>
    </w:r>
    <w:r w:rsidRPr="00F57148">
      <w:instrText xml:space="preserve"> PAGE   \* MERGEFORMAT </w:instrText>
    </w:r>
    <w:r w:rsidRPr="00F57148">
      <w:fldChar w:fldCharType="separate"/>
    </w:r>
    <w:r w:rsidR="00D14569">
      <w:rPr>
        <w:noProof/>
      </w:rPr>
      <w:t>4</w:t>
    </w:r>
    <w:r w:rsidRPr="00F5714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A801A" w14:textId="6404D489" w:rsidR="005C7CFF" w:rsidRDefault="005C7CFF" w:rsidP="001E2697">
    <w:pPr>
      <w:pStyle w:val="Footer"/>
      <w:tabs>
        <w:tab w:val="clear" w:pos="4513"/>
        <w:tab w:val="clear" w:pos="9026"/>
        <w:tab w:val="left" w:pos="831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E2796" w14:textId="77777777" w:rsidR="005C7CFF" w:rsidRDefault="005C7CFF" w:rsidP="001E2697">
    <w:pPr>
      <w:pStyle w:val="Footer"/>
      <w:tabs>
        <w:tab w:val="clear" w:pos="4513"/>
        <w:tab w:val="clear" w:pos="9026"/>
        <w:tab w:val="right" w:pos="13892"/>
      </w:tabs>
      <w:jc w:val="right"/>
    </w:pPr>
    <w:r>
      <w:t>CARAlert data update: 1 January 2019–28 February 2019</w:t>
    </w:r>
    <w:r>
      <w:tab/>
    </w:r>
    <w:r w:rsidRPr="00F57148">
      <w:fldChar w:fldCharType="begin"/>
    </w:r>
    <w:r w:rsidRPr="00F57148">
      <w:instrText xml:space="preserve"> PAGE   \* MERGEFORMAT </w:instrText>
    </w:r>
    <w:r w:rsidRPr="00F57148">
      <w:fldChar w:fldCharType="separate"/>
    </w:r>
    <w:r w:rsidR="00D14569">
      <w:rPr>
        <w:noProof/>
      </w:rPr>
      <w:t>6</w:t>
    </w:r>
    <w:r w:rsidRPr="00F57148">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00470" w14:textId="64EE1F51" w:rsidR="005C7CFF" w:rsidRDefault="005C7CFF" w:rsidP="00CA5928">
    <w:pPr>
      <w:pStyle w:val="Footer"/>
      <w:tabs>
        <w:tab w:val="clear" w:pos="4513"/>
        <w:tab w:val="clear" w:pos="9026"/>
        <w:tab w:val="right" w:pos="9639"/>
      </w:tabs>
      <w:jc w:val="right"/>
    </w:pPr>
    <w:r>
      <w:t>CARAlert data update: 1 January 2019–28 February 2019</w:t>
    </w:r>
    <w:r>
      <w:tab/>
    </w:r>
    <w:r w:rsidRPr="00F57148">
      <w:fldChar w:fldCharType="begin"/>
    </w:r>
    <w:r w:rsidRPr="00F57148">
      <w:instrText xml:space="preserve"> PAGE   \* MERGEFORMAT </w:instrText>
    </w:r>
    <w:r w:rsidRPr="00F57148">
      <w:fldChar w:fldCharType="separate"/>
    </w:r>
    <w:r w:rsidR="00D14569">
      <w:rPr>
        <w:noProof/>
      </w:rPr>
      <w:t>12</w:t>
    </w:r>
    <w:r w:rsidRPr="00F5714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9C739" w14:textId="77777777" w:rsidR="00F46FBF" w:rsidRDefault="00F46FBF" w:rsidP="000B0274">
      <w:r>
        <w:separator/>
      </w:r>
    </w:p>
  </w:footnote>
  <w:footnote w:type="continuationSeparator" w:id="0">
    <w:p w14:paraId="2459A812" w14:textId="77777777" w:rsidR="00F46FBF" w:rsidRDefault="00F46FBF" w:rsidP="000B0274">
      <w:r>
        <w:continuationSeparator/>
      </w:r>
    </w:p>
  </w:footnote>
  <w:footnote w:id="1">
    <w:p w14:paraId="5351B206" w14:textId="77777777" w:rsidR="005C7CFF" w:rsidRDefault="005C7CFF" w:rsidP="00CC5F8F">
      <w:pPr>
        <w:pStyle w:val="FootnoteText"/>
      </w:pPr>
      <w:r>
        <w:rPr>
          <w:rStyle w:val="FootnoteReference"/>
        </w:rPr>
        <w:footnoteRef/>
      </w:r>
      <w:r>
        <w:t xml:space="preserve"> </w:t>
      </w:r>
      <w:proofErr w:type="gramStart"/>
      <w:r w:rsidRPr="00544A12">
        <w:rPr>
          <w:sz w:val="16"/>
          <w:szCs w:val="16"/>
        </w:rPr>
        <w:t>Australian Commission on Safety and Quality in Health Care (ACSQHC).</w:t>
      </w:r>
      <w:proofErr w:type="gramEnd"/>
      <w:r w:rsidRPr="00544A12">
        <w:rPr>
          <w:sz w:val="16"/>
          <w:szCs w:val="16"/>
        </w:rPr>
        <w:t xml:space="preserve"> AURA 2017: Second Australian report on antimicrobial use and resistance in human health. Sydney: ACSQHC;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86BD6" w14:textId="389F07B9" w:rsidR="00962296" w:rsidRDefault="009622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B0D04" w14:textId="47F822F4" w:rsidR="005C7CFF" w:rsidRDefault="005C7C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E636C" w14:textId="103ABE31" w:rsidR="00962296" w:rsidRDefault="009622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28D29" w14:textId="63CC8811" w:rsidR="005C7CFF" w:rsidRDefault="005C7C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BE54F" w14:textId="388CEC10" w:rsidR="005C7CFF" w:rsidRDefault="005C7CF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FA60E" w14:textId="1561CB9A" w:rsidR="005C7CFF" w:rsidRDefault="005C7CF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9DF03" w14:textId="35C3202C" w:rsidR="005C7CFF" w:rsidRDefault="005C7CF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EF348" w14:textId="19B602FE" w:rsidR="005C7CFF" w:rsidRDefault="005C7CF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62058" w14:textId="1148ED45" w:rsidR="005C7CFF" w:rsidRDefault="005C7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E80"/>
    <w:multiLevelType w:val="hybridMultilevel"/>
    <w:tmpl w:val="2B7C92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18360477"/>
    <w:multiLevelType w:val="hybridMultilevel"/>
    <w:tmpl w:val="220C6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59286C"/>
    <w:multiLevelType w:val="multilevel"/>
    <w:tmpl w:val="F094FC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0230A5D"/>
    <w:multiLevelType w:val="hybridMultilevel"/>
    <w:tmpl w:val="86C00D08"/>
    <w:lvl w:ilvl="0" w:tplc="0C090001">
      <w:start w:val="1"/>
      <w:numFmt w:val="bullet"/>
      <w:lvlText w:val=""/>
      <w:lvlJc w:val="left"/>
      <w:pPr>
        <w:ind w:left="862" w:hanging="360"/>
      </w:pPr>
      <w:rPr>
        <w:rFonts w:ascii="Symbol" w:hAnsi="Symbol"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62E702AF"/>
    <w:multiLevelType w:val="hybridMultilevel"/>
    <w:tmpl w:val="3F52A4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3E052FC"/>
    <w:multiLevelType w:val="hybridMultilevel"/>
    <w:tmpl w:val="8A8ED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7"/>
  </w:num>
  <w:num w:numId="6">
    <w:abstractNumId w:val="3"/>
  </w:num>
  <w:num w:numId="7">
    <w:abstractNumId w:val="4"/>
  </w:num>
  <w:num w:numId="8">
    <w:abstractNumId w:val="9"/>
  </w:num>
  <w:num w:numId="9">
    <w:abstractNumId w:val="11"/>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Bell">
    <w15:presenceInfo w15:providerId="None" w15:userId="Jan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39"/>
    <w:rsid w:val="00000762"/>
    <w:rsid w:val="00000BA1"/>
    <w:rsid w:val="000016FF"/>
    <w:rsid w:val="000018BA"/>
    <w:rsid w:val="00003743"/>
    <w:rsid w:val="000051F3"/>
    <w:rsid w:val="000063B7"/>
    <w:rsid w:val="00006B9E"/>
    <w:rsid w:val="000130C8"/>
    <w:rsid w:val="000177D8"/>
    <w:rsid w:val="00020DBD"/>
    <w:rsid w:val="00021C14"/>
    <w:rsid w:val="00025956"/>
    <w:rsid w:val="000260C9"/>
    <w:rsid w:val="0003225E"/>
    <w:rsid w:val="00036011"/>
    <w:rsid w:val="000406F8"/>
    <w:rsid w:val="0004318E"/>
    <w:rsid w:val="00043671"/>
    <w:rsid w:val="00044485"/>
    <w:rsid w:val="00045F52"/>
    <w:rsid w:val="00046321"/>
    <w:rsid w:val="0005283B"/>
    <w:rsid w:val="000548C3"/>
    <w:rsid w:val="00057B52"/>
    <w:rsid w:val="00060662"/>
    <w:rsid w:val="00062EE2"/>
    <w:rsid w:val="00067456"/>
    <w:rsid w:val="000761CA"/>
    <w:rsid w:val="0008389C"/>
    <w:rsid w:val="00083BD0"/>
    <w:rsid w:val="00083FFA"/>
    <w:rsid w:val="00084FDE"/>
    <w:rsid w:val="00086996"/>
    <w:rsid w:val="00092BF3"/>
    <w:rsid w:val="00094D5F"/>
    <w:rsid w:val="000A08A9"/>
    <w:rsid w:val="000A0A1E"/>
    <w:rsid w:val="000A1200"/>
    <w:rsid w:val="000A388A"/>
    <w:rsid w:val="000A3F0D"/>
    <w:rsid w:val="000A6F2F"/>
    <w:rsid w:val="000A7CFD"/>
    <w:rsid w:val="000B0237"/>
    <w:rsid w:val="000B0274"/>
    <w:rsid w:val="000B2D60"/>
    <w:rsid w:val="000B5B7E"/>
    <w:rsid w:val="000B5BD1"/>
    <w:rsid w:val="000B6853"/>
    <w:rsid w:val="000C1DD4"/>
    <w:rsid w:val="000C703E"/>
    <w:rsid w:val="000C7A6F"/>
    <w:rsid w:val="000D017D"/>
    <w:rsid w:val="000D0981"/>
    <w:rsid w:val="000D1C09"/>
    <w:rsid w:val="000D2E28"/>
    <w:rsid w:val="000D335F"/>
    <w:rsid w:val="000D48C0"/>
    <w:rsid w:val="000D5CF7"/>
    <w:rsid w:val="000D6C7E"/>
    <w:rsid w:val="000E0434"/>
    <w:rsid w:val="000E2F2E"/>
    <w:rsid w:val="000E31A9"/>
    <w:rsid w:val="000E6E4C"/>
    <w:rsid w:val="000F0FA2"/>
    <w:rsid w:val="000F283E"/>
    <w:rsid w:val="000F3BB8"/>
    <w:rsid w:val="000F42A2"/>
    <w:rsid w:val="000F4A3D"/>
    <w:rsid w:val="000F4BB5"/>
    <w:rsid w:val="000F56D7"/>
    <w:rsid w:val="001017CD"/>
    <w:rsid w:val="00101F10"/>
    <w:rsid w:val="00102B72"/>
    <w:rsid w:val="00107365"/>
    <w:rsid w:val="001077A9"/>
    <w:rsid w:val="00107EE2"/>
    <w:rsid w:val="001116C6"/>
    <w:rsid w:val="00111C15"/>
    <w:rsid w:val="00112493"/>
    <w:rsid w:val="00114BCF"/>
    <w:rsid w:val="00121837"/>
    <w:rsid w:val="00123EBA"/>
    <w:rsid w:val="00126A1C"/>
    <w:rsid w:val="00127665"/>
    <w:rsid w:val="001315FD"/>
    <w:rsid w:val="001329CB"/>
    <w:rsid w:val="00134028"/>
    <w:rsid w:val="001345F8"/>
    <w:rsid w:val="00141363"/>
    <w:rsid w:val="00141D27"/>
    <w:rsid w:val="00143FCF"/>
    <w:rsid w:val="0014402F"/>
    <w:rsid w:val="001458B7"/>
    <w:rsid w:val="001467DE"/>
    <w:rsid w:val="00147204"/>
    <w:rsid w:val="001547CD"/>
    <w:rsid w:val="00154F20"/>
    <w:rsid w:val="00160930"/>
    <w:rsid w:val="00160AAB"/>
    <w:rsid w:val="00160BD7"/>
    <w:rsid w:val="00162D69"/>
    <w:rsid w:val="00163325"/>
    <w:rsid w:val="0016354B"/>
    <w:rsid w:val="0016501E"/>
    <w:rsid w:val="001658D3"/>
    <w:rsid w:val="001663FD"/>
    <w:rsid w:val="00171957"/>
    <w:rsid w:val="00175B27"/>
    <w:rsid w:val="00180C4C"/>
    <w:rsid w:val="00181396"/>
    <w:rsid w:val="001820C6"/>
    <w:rsid w:val="00183043"/>
    <w:rsid w:val="00183695"/>
    <w:rsid w:val="00191E87"/>
    <w:rsid w:val="001921ED"/>
    <w:rsid w:val="0019620B"/>
    <w:rsid w:val="00196AC8"/>
    <w:rsid w:val="001A0304"/>
    <w:rsid w:val="001A1792"/>
    <w:rsid w:val="001A2873"/>
    <w:rsid w:val="001A2A2E"/>
    <w:rsid w:val="001A337E"/>
    <w:rsid w:val="001A3B52"/>
    <w:rsid w:val="001A6CD9"/>
    <w:rsid w:val="001A7B68"/>
    <w:rsid w:val="001B0C03"/>
    <w:rsid w:val="001B3156"/>
    <w:rsid w:val="001B3443"/>
    <w:rsid w:val="001B3B41"/>
    <w:rsid w:val="001B61D6"/>
    <w:rsid w:val="001B66B5"/>
    <w:rsid w:val="001C2CB8"/>
    <w:rsid w:val="001C48E3"/>
    <w:rsid w:val="001C54F1"/>
    <w:rsid w:val="001C7A52"/>
    <w:rsid w:val="001D2E47"/>
    <w:rsid w:val="001D3412"/>
    <w:rsid w:val="001D6BE4"/>
    <w:rsid w:val="001E0A93"/>
    <w:rsid w:val="001E1042"/>
    <w:rsid w:val="001E2697"/>
    <w:rsid w:val="001E293C"/>
    <w:rsid w:val="001E5AF4"/>
    <w:rsid w:val="001E5D52"/>
    <w:rsid w:val="001E5EA2"/>
    <w:rsid w:val="001E77C4"/>
    <w:rsid w:val="001F1C87"/>
    <w:rsid w:val="001F1F23"/>
    <w:rsid w:val="001F2C00"/>
    <w:rsid w:val="0020256B"/>
    <w:rsid w:val="00203638"/>
    <w:rsid w:val="00203CB9"/>
    <w:rsid w:val="00206FE1"/>
    <w:rsid w:val="00207E96"/>
    <w:rsid w:val="0021287E"/>
    <w:rsid w:val="002128C3"/>
    <w:rsid w:val="00214285"/>
    <w:rsid w:val="00217C3E"/>
    <w:rsid w:val="002218A7"/>
    <w:rsid w:val="002223E8"/>
    <w:rsid w:val="00222F52"/>
    <w:rsid w:val="00223844"/>
    <w:rsid w:val="0022623B"/>
    <w:rsid w:val="002314DC"/>
    <w:rsid w:val="00232D86"/>
    <w:rsid w:val="00234999"/>
    <w:rsid w:val="0023546A"/>
    <w:rsid w:val="00235B5E"/>
    <w:rsid w:val="00237ADF"/>
    <w:rsid w:val="00240D01"/>
    <w:rsid w:val="00243336"/>
    <w:rsid w:val="00243F18"/>
    <w:rsid w:val="00245D81"/>
    <w:rsid w:val="00246AEC"/>
    <w:rsid w:val="00252805"/>
    <w:rsid w:val="00254220"/>
    <w:rsid w:val="00255596"/>
    <w:rsid w:val="0025563E"/>
    <w:rsid w:val="00255B49"/>
    <w:rsid w:val="00261F43"/>
    <w:rsid w:val="00262367"/>
    <w:rsid w:val="00262F3C"/>
    <w:rsid w:val="00263958"/>
    <w:rsid w:val="00264ECD"/>
    <w:rsid w:val="002662B4"/>
    <w:rsid w:val="00267635"/>
    <w:rsid w:val="00270CA9"/>
    <w:rsid w:val="0027213D"/>
    <w:rsid w:val="00274D55"/>
    <w:rsid w:val="00276068"/>
    <w:rsid w:val="002769DA"/>
    <w:rsid w:val="00276EB5"/>
    <w:rsid w:val="00277032"/>
    <w:rsid w:val="00281FD4"/>
    <w:rsid w:val="00283E99"/>
    <w:rsid w:val="002841AC"/>
    <w:rsid w:val="00284CB1"/>
    <w:rsid w:val="00285837"/>
    <w:rsid w:val="00286209"/>
    <w:rsid w:val="00286278"/>
    <w:rsid w:val="00286A82"/>
    <w:rsid w:val="00292A41"/>
    <w:rsid w:val="00293AF1"/>
    <w:rsid w:val="00294730"/>
    <w:rsid w:val="002A04FC"/>
    <w:rsid w:val="002A1AF5"/>
    <w:rsid w:val="002A3660"/>
    <w:rsid w:val="002A3989"/>
    <w:rsid w:val="002A4A31"/>
    <w:rsid w:val="002A653F"/>
    <w:rsid w:val="002B32E6"/>
    <w:rsid w:val="002B4B1E"/>
    <w:rsid w:val="002C06A6"/>
    <w:rsid w:val="002C0AFA"/>
    <w:rsid w:val="002C1700"/>
    <w:rsid w:val="002C2966"/>
    <w:rsid w:val="002C2ED4"/>
    <w:rsid w:val="002C6AF0"/>
    <w:rsid w:val="002C6D5C"/>
    <w:rsid w:val="002C77B8"/>
    <w:rsid w:val="002D0439"/>
    <w:rsid w:val="002D6693"/>
    <w:rsid w:val="002E115A"/>
    <w:rsid w:val="002E134E"/>
    <w:rsid w:val="002E15D4"/>
    <w:rsid w:val="002E207C"/>
    <w:rsid w:val="002E30A3"/>
    <w:rsid w:val="002E6A48"/>
    <w:rsid w:val="002E6C1E"/>
    <w:rsid w:val="002E7629"/>
    <w:rsid w:val="002F254C"/>
    <w:rsid w:val="002F2AC5"/>
    <w:rsid w:val="002F3AE3"/>
    <w:rsid w:val="002F4FBD"/>
    <w:rsid w:val="002F5FE7"/>
    <w:rsid w:val="002F7E6F"/>
    <w:rsid w:val="00300498"/>
    <w:rsid w:val="003006D8"/>
    <w:rsid w:val="003009AB"/>
    <w:rsid w:val="003012B3"/>
    <w:rsid w:val="00302A86"/>
    <w:rsid w:val="00304926"/>
    <w:rsid w:val="00305A16"/>
    <w:rsid w:val="0030730D"/>
    <w:rsid w:val="0030786C"/>
    <w:rsid w:val="00312A62"/>
    <w:rsid w:val="00312D1A"/>
    <w:rsid w:val="00313704"/>
    <w:rsid w:val="0031599E"/>
    <w:rsid w:val="00315E17"/>
    <w:rsid w:val="00316683"/>
    <w:rsid w:val="00322441"/>
    <w:rsid w:val="00322930"/>
    <w:rsid w:val="00323961"/>
    <w:rsid w:val="00323EB5"/>
    <w:rsid w:val="0032693D"/>
    <w:rsid w:val="0034402B"/>
    <w:rsid w:val="00344217"/>
    <w:rsid w:val="003459EE"/>
    <w:rsid w:val="00350F33"/>
    <w:rsid w:val="00351665"/>
    <w:rsid w:val="003516C1"/>
    <w:rsid w:val="003566E8"/>
    <w:rsid w:val="003579FB"/>
    <w:rsid w:val="00361AD9"/>
    <w:rsid w:val="00365047"/>
    <w:rsid w:val="00365C89"/>
    <w:rsid w:val="00367C12"/>
    <w:rsid w:val="00371C23"/>
    <w:rsid w:val="00377550"/>
    <w:rsid w:val="003776C2"/>
    <w:rsid w:val="003805B4"/>
    <w:rsid w:val="003820EC"/>
    <w:rsid w:val="00383F7D"/>
    <w:rsid w:val="00386AD9"/>
    <w:rsid w:val="003873C6"/>
    <w:rsid w:val="0039014B"/>
    <w:rsid w:val="00395B3B"/>
    <w:rsid w:val="00395D02"/>
    <w:rsid w:val="003962A8"/>
    <w:rsid w:val="00397603"/>
    <w:rsid w:val="003A10A1"/>
    <w:rsid w:val="003A445F"/>
    <w:rsid w:val="003A6155"/>
    <w:rsid w:val="003A7A14"/>
    <w:rsid w:val="003B1EB3"/>
    <w:rsid w:val="003B387F"/>
    <w:rsid w:val="003B4DC2"/>
    <w:rsid w:val="003B4F58"/>
    <w:rsid w:val="003B505D"/>
    <w:rsid w:val="003B5118"/>
    <w:rsid w:val="003B725C"/>
    <w:rsid w:val="003B7A2E"/>
    <w:rsid w:val="003C1A59"/>
    <w:rsid w:val="003C297A"/>
    <w:rsid w:val="003C384A"/>
    <w:rsid w:val="003D17F9"/>
    <w:rsid w:val="003D1F6E"/>
    <w:rsid w:val="003D28CF"/>
    <w:rsid w:val="003D3C69"/>
    <w:rsid w:val="003D437B"/>
    <w:rsid w:val="003E477F"/>
    <w:rsid w:val="003E76C8"/>
    <w:rsid w:val="003F08F0"/>
    <w:rsid w:val="003F480E"/>
    <w:rsid w:val="003F4861"/>
    <w:rsid w:val="003F4C3E"/>
    <w:rsid w:val="003F63E8"/>
    <w:rsid w:val="003F72BB"/>
    <w:rsid w:val="00400AFB"/>
    <w:rsid w:val="00400BDB"/>
    <w:rsid w:val="00404571"/>
    <w:rsid w:val="004057D2"/>
    <w:rsid w:val="00406448"/>
    <w:rsid w:val="0040679D"/>
    <w:rsid w:val="004068C6"/>
    <w:rsid w:val="004071F5"/>
    <w:rsid w:val="00407216"/>
    <w:rsid w:val="00412E9D"/>
    <w:rsid w:val="00412F53"/>
    <w:rsid w:val="00415DA3"/>
    <w:rsid w:val="0041610E"/>
    <w:rsid w:val="00420694"/>
    <w:rsid w:val="00420861"/>
    <w:rsid w:val="00421138"/>
    <w:rsid w:val="004254C8"/>
    <w:rsid w:val="00425F3D"/>
    <w:rsid w:val="00430BB4"/>
    <w:rsid w:val="00434342"/>
    <w:rsid w:val="00443045"/>
    <w:rsid w:val="00444117"/>
    <w:rsid w:val="00445F57"/>
    <w:rsid w:val="00446EBA"/>
    <w:rsid w:val="00447299"/>
    <w:rsid w:val="00447D31"/>
    <w:rsid w:val="00447D9A"/>
    <w:rsid w:val="00447FE4"/>
    <w:rsid w:val="00450DCF"/>
    <w:rsid w:val="00453F43"/>
    <w:rsid w:val="00462279"/>
    <w:rsid w:val="00463831"/>
    <w:rsid w:val="0046393D"/>
    <w:rsid w:val="00463ECE"/>
    <w:rsid w:val="00465816"/>
    <w:rsid w:val="00470AB8"/>
    <w:rsid w:val="004720DC"/>
    <w:rsid w:val="0047790B"/>
    <w:rsid w:val="00480CB2"/>
    <w:rsid w:val="004825C6"/>
    <w:rsid w:val="004837C8"/>
    <w:rsid w:val="00484787"/>
    <w:rsid w:val="00484ADE"/>
    <w:rsid w:val="00485667"/>
    <w:rsid w:val="004867E2"/>
    <w:rsid w:val="00486826"/>
    <w:rsid w:val="00492DF2"/>
    <w:rsid w:val="00494B4B"/>
    <w:rsid w:val="0049522B"/>
    <w:rsid w:val="0049544D"/>
    <w:rsid w:val="004A0670"/>
    <w:rsid w:val="004A0DBA"/>
    <w:rsid w:val="004A21E2"/>
    <w:rsid w:val="004A220A"/>
    <w:rsid w:val="004A2218"/>
    <w:rsid w:val="004A7FC1"/>
    <w:rsid w:val="004B0B90"/>
    <w:rsid w:val="004B2999"/>
    <w:rsid w:val="004C064A"/>
    <w:rsid w:val="004C1EF3"/>
    <w:rsid w:val="004C229D"/>
    <w:rsid w:val="004C7A5A"/>
    <w:rsid w:val="004D0E55"/>
    <w:rsid w:val="004D5360"/>
    <w:rsid w:val="004D7DA7"/>
    <w:rsid w:val="004D7F84"/>
    <w:rsid w:val="004E2381"/>
    <w:rsid w:val="004E2E12"/>
    <w:rsid w:val="004E2F03"/>
    <w:rsid w:val="004E58C1"/>
    <w:rsid w:val="004F2BFB"/>
    <w:rsid w:val="004F2E35"/>
    <w:rsid w:val="004F56F1"/>
    <w:rsid w:val="004F6A4B"/>
    <w:rsid w:val="004F6A8B"/>
    <w:rsid w:val="00505149"/>
    <w:rsid w:val="00506473"/>
    <w:rsid w:val="00506C8E"/>
    <w:rsid w:val="00507AEA"/>
    <w:rsid w:val="005148AC"/>
    <w:rsid w:val="00514D71"/>
    <w:rsid w:val="005171CB"/>
    <w:rsid w:val="0052107C"/>
    <w:rsid w:val="005221B7"/>
    <w:rsid w:val="0052312D"/>
    <w:rsid w:val="00527F7A"/>
    <w:rsid w:val="00531A3E"/>
    <w:rsid w:val="005346D0"/>
    <w:rsid w:val="00535793"/>
    <w:rsid w:val="0053627F"/>
    <w:rsid w:val="00537512"/>
    <w:rsid w:val="00537A4F"/>
    <w:rsid w:val="0054236D"/>
    <w:rsid w:val="00544A12"/>
    <w:rsid w:val="00544A4E"/>
    <w:rsid w:val="00545D9C"/>
    <w:rsid w:val="00546B21"/>
    <w:rsid w:val="0054719B"/>
    <w:rsid w:val="00547C86"/>
    <w:rsid w:val="00551B0D"/>
    <w:rsid w:val="005521C4"/>
    <w:rsid w:val="00552A99"/>
    <w:rsid w:val="0055344A"/>
    <w:rsid w:val="00553E33"/>
    <w:rsid w:val="005554E0"/>
    <w:rsid w:val="00555B78"/>
    <w:rsid w:val="0055621D"/>
    <w:rsid w:val="00556455"/>
    <w:rsid w:val="00557B62"/>
    <w:rsid w:val="0056009A"/>
    <w:rsid w:val="005601BA"/>
    <w:rsid w:val="00563E53"/>
    <w:rsid w:val="00565833"/>
    <w:rsid w:val="00566B97"/>
    <w:rsid w:val="005672E4"/>
    <w:rsid w:val="005718EE"/>
    <w:rsid w:val="0057198D"/>
    <w:rsid w:val="00573376"/>
    <w:rsid w:val="00573DE1"/>
    <w:rsid w:val="00574BBF"/>
    <w:rsid w:val="00575C3D"/>
    <w:rsid w:val="0058493B"/>
    <w:rsid w:val="00585E91"/>
    <w:rsid w:val="00593DDF"/>
    <w:rsid w:val="00596677"/>
    <w:rsid w:val="0059724C"/>
    <w:rsid w:val="005A20F4"/>
    <w:rsid w:val="005A3E74"/>
    <w:rsid w:val="005A7616"/>
    <w:rsid w:val="005A7EF8"/>
    <w:rsid w:val="005A7F07"/>
    <w:rsid w:val="005B278B"/>
    <w:rsid w:val="005B4B11"/>
    <w:rsid w:val="005B52E8"/>
    <w:rsid w:val="005B5633"/>
    <w:rsid w:val="005B5E21"/>
    <w:rsid w:val="005B5F5C"/>
    <w:rsid w:val="005B69FC"/>
    <w:rsid w:val="005B74A7"/>
    <w:rsid w:val="005C0C6C"/>
    <w:rsid w:val="005C1496"/>
    <w:rsid w:val="005C2C42"/>
    <w:rsid w:val="005C2D94"/>
    <w:rsid w:val="005C3414"/>
    <w:rsid w:val="005C44FB"/>
    <w:rsid w:val="005C5D4F"/>
    <w:rsid w:val="005C68C3"/>
    <w:rsid w:val="005C6AAE"/>
    <w:rsid w:val="005C7CFF"/>
    <w:rsid w:val="005D068A"/>
    <w:rsid w:val="005D0C0F"/>
    <w:rsid w:val="005D1833"/>
    <w:rsid w:val="005D2A3A"/>
    <w:rsid w:val="005D3D61"/>
    <w:rsid w:val="005D3DFB"/>
    <w:rsid w:val="005D4F39"/>
    <w:rsid w:val="005D519A"/>
    <w:rsid w:val="005D69B0"/>
    <w:rsid w:val="005E15CA"/>
    <w:rsid w:val="005E18B8"/>
    <w:rsid w:val="005E23AD"/>
    <w:rsid w:val="005E2614"/>
    <w:rsid w:val="005E2744"/>
    <w:rsid w:val="005E559F"/>
    <w:rsid w:val="005F0A67"/>
    <w:rsid w:val="005F13AA"/>
    <w:rsid w:val="005F17AF"/>
    <w:rsid w:val="005F1906"/>
    <w:rsid w:val="005F3BC6"/>
    <w:rsid w:val="005F6354"/>
    <w:rsid w:val="00601C30"/>
    <w:rsid w:val="00601E6D"/>
    <w:rsid w:val="0060473D"/>
    <w:rsid w:val="006056D2"/>
    <w:rsid w:val="0060747A"/>
    <w:rsid w:val="00607B0B"/>
    <w:rsid w:val="00610364"/>
    <w:rsid w:val="006137CB"/>
    <w:rsid w:val="00613EF9"/>
    <w:rsid w:val="00613FC0"/>
    <w:rsid w:val="00617E36"/>
    <w:rsid w:val="00622653"/>
    <w:rsid w:val="00623C85"/>
    <w:rsid w:val="006268AF"/>
    <w:rsid w:val="00626C09"/>
    <w:rsid w:val="006314D0"/>
    <w:rsid w:val="006317C9"/>
    <w:rsid w:val="0063241B"/>
    <w:rsid w:val="00633BE7"/>
    <w:rsid w:val="00637FC3"/>
    <w:rsid w:val="0064105F"/>
    <w:rsid w:val="00642C7A"/>
    <w:rsid w:val="006449C5"/>
    <w:rsid w:val="006461FE"/>
    <w:rsid w:val="00646529"/>
    <w:rsid w:val="00650738"/>
    <w:rsid w:val="00651847"/>
    <w:rsid w:val="00655521"/>
    <w:rsid w:val="006557E5"/>
    <w:rsid w:val="00657C5F"/>
    <w:rsid w:val="00660B3A"/>
    <w:rsid w:val="00661137"/>
    <w:rsid w:val="006708EB"/>
    <w:rsid w:val="0067165F"/>
    <w:rsid w:val="00674183"/>
    <w:rsid w:val="0067738A"/>
    <w:rsid w:val="006800B6"/>
    <w:rsid w:val="006803BA"/>
    <w:rsid w:val="006804DB"/>
    <w:rsid w:val="0068196E"/>
    <w:rsid w:val="00684A71"/>
    <w:rsid w:val="006860A0"/>
    <w:rsid w:val="006877BC"/>
    <w:rsid w:val="00692DF3"/>
    <w:rsid w:val="006956FE"/>
    <w:rsid w:val="0069589E"/>
    <w:rsid w:val="006A002D"/>
    <w:rsid w:val="006A3B80"/>
    <w:rsid w:val="006A6EA0"/>
    <w:rsid w:val="006B05B9"/>
    <w:rsid w:val="006B05D5"/>
    <w:rsid w:val="006B262F"/>
    <w:rsid w:val="006B461C"/>
    <w:rsid w:val="006B6FD2"/>
    <w:rsid w:val="006C00ED"/>
    <w:rsid w:val="006C0F22"/>
    <w:rsid w:val="006C10B7"/>
    <w:rsid w:val="006C1867"/>
    <w:rsid w:val="006C3B2E"/>
    <w:rsid w:val="006C644A"/>
    <w:rsid w:val="006D13E8"/>
    <w:rsid w:val="006D1AF6"/>
    <w:rsid w:val="006D1E90"/>
    <w:rsid w:val="006D4580"/>
    <w:rsid w:val="006D54D4"/>
    <w:rsid w:val="006D732F"/>
    <w:rsid w:val="006D767C"/>
    <w:rsid w:val="006D7F6F"/>
    <w:rsid w:val="006E09E0"/>
    <w:rsid w:val="006E53CF"/>
    <w:rsid w:val="006E688D"/>
    <w:rsid w:val="006F0D2F"/>
    <w:rsid w:val="006F1438"/>
    <w:rsid w:val="006F289B"/>
    <w:rsid w:val="006F3A9A"/>
    <w:rsid w:val="006F544D"/>
    <w:rsid w:val="006F67B4"/>
    <w:rsid w:val="006F7FC0"/>
    <w:rsid w:val="007028EC"/>
    <w:rsid w:val="00702C6B"/>
    <w:rsid w:val="00705014"/>
    <w:rsid w:val="0070703E"/>
    <w:rsid w:val="007118EA"/>
    <w:rsid w:val="00713ECD"/>
    <w:rsid w:val="00714535"/>
    <w:rsid w:val="0071637F"/>
    <w:rsid w:val="00716748"/>
    <w:rsid w:val="00720145"/>
    <w:rsid w:val="00720B53"/>
    <w:rsid w:val="00720DF3"/>
    <w:rsid w:val="0072102E"/>
    <w:rsid w:val="007242B2"/>
    <w:rsid w:val="007248DB"/>
    <w:rsid w:val="00725F10"/>
    <w:rsid w:val="007268C6"/>
    <w:rsid w:val="007279F2"/>
    <w:rsid w:val="007301AE"/>
    <w:rsid w:val="00731F33"/>
    <w:rsid w:val="00732EDC"/>
    <w:rsid w:val="00733595"/>
    <w:rsid w:val="00733DE2"/>
    <w:rsid w:val="0073415F"/>
    <w:rsid w:val="007360AB"/>
    <w:rsid w:val="007360BF"/>
    <w:rsid w:val="00736A74"/>
    <w:rsid w:val="007372C0"/>
    <w:rsid w:val="00737335"/>
    <w:rsid w:val="00737ECE"/>
    <w:rsid w:val="00745560"/>
    <w:rsid w:val="00746D82"/>
    <w:rsid w:val="00751DE5"/>
    <w:rsid w:val="00753D36"/>
    <w:rsid w:val="007545C7"/>
    <w:rsid w:val="00756A88"/>
    <w:rsid w:val="0076005C"/>
    <w:rsid w:val="007611AB"/>
    <w:rsid w:val="007620F1"/>
    <w:rsid w:val="007635C1"/>
    <w:rsid w:val="007642BC"/>
    <w:rsid w:val="00765828"/>
    <w:rsid w:val="00766B42"/>
    <w:rsid w:val="00767496"/>
    <w:rsid w:val="00774496"/>
    <w:rsid w:val="00775864"/>
    <w:rsid w:val="0078070C"/>
    <w:rsid w:val="00782CC4"/>
    <w:rsid w:val="00784541"/>
    <w:rsid w:val="007849F3"/>
    <w:rsid w:val="007856BA"/>
    <w:rsid w:val="00786F28"/>
    <w:rsid w:val="00791A57"/>
    <w:rsid w:val="00794C29"/>
    <w:rsid w:val="007968CC"/>
    <w:rsid w:val="00796FB7"/>
    <w:rsid w:val="007A1963"/>
    <w:rsid w:val="007A23DD"/>
    <w:rsid w:val="007A4033"/>
    <w:rsid w:val="007A7E06"/>
    <w:rsid w:val="007B04A9"/>
    <w:rsid w:val="007B0E9B"/>
    <w:rsid w:val="007B16AC"/>
    <w:rsid w:val="007B3894"/>
    <w:rsid w:val="007B4819"/>
    <w:rsid w:val="007B58C1"/>
    <w:rsid w:val="007B79EC"/>
    <w:rsid w:val="007C08EB"/>
    <w:rsid w:val="007C393C"/>
    <w:rsid w:val="007C6162"/>
    <w:rsid w:val="007C7351"/>
    <w:rsid w:val="007C7921"/>
    <w:rsid w:val="007C7975"/>
    <w:rsid w:val="007D4C7C"/>
    <w:rsid w:val="007D4F59"/>
    <w:rsid w:val="007E000D"/>
    <w:rsid w:val="007E2884"/>
    <w:rsid w:val="007E2ED3"/>
    <w:rsid w:val="007E3423"/>
    <w:rsid w:val="007E4163"/>
    <w:rsid w:val="007E64B0"/>
    <w:rsid w:val="007F0001"/>
    <w:rsid w:val="007F0331"/>
    <w:rsid w:val="007F4202"/>
    <w:rsid w:val="007F4447"/>
    <w:rsid w:val="007F5070"/>
    <w:rsid w:val="007F5EB6"/>
    <w:rsid w:val="007F64FA"/>
    <w:rsid w:val="00803493"/>
    <w:rsid w:val="00803FA6"/>
    <w:rsid w:val="00806447"/>
    <w:rsid w:val="008072CF"/>
    <w:rsid w:val="00807361"/>
    <w:rsid w:val="00807690"/>
    <w:rsid w:val="00815452"/>
    <w:rsid w:val="00815EF4"/>
    <w:rsid w:val="0081701B"/>
    <w:rsid w:val="00817091"/>
    <w:rsid w:val="0081731D"/>
    <w:rsid w:val="008200D0"/>
    <w:rsid w:val="00820174"/>
    <w:rsid w:val="00825AEF"/>
    <w:rsid w:val="008264EB"/>
    <w:rsid w:val="00827924"/>
    <w:rsid w:val="00830756"/>
    <w:rsid w:val="00832C1E"/>
    <w:rsid w:val="008342B9"/>
    <w:rsid w:val="008344B7"/>
    <w:rsid w:val="00834B1D"/>
    <w:rsid w:val="00835D58"/>
    <w:rsid w:val="00836BA0"/>
    <w:rsid w:val="0084007A"/>
    <w:rsid w:val="008429AA"/>
    <w:rsid w:val="008429B2"/>
    <w:rsid w:val="0085055B"/>
    <w:rsid w:val="008507CE"/>
    <w:rsid w:val="00852C35"/>
    <w:rsid w:val="00854B88"/>
    <w:rsid w:val="008554DA"/>
    <w:rsid w:val="0085765B"/>
    <w:rsid w:val="00857704"/>
    <w:rsid w:val="0086103C"/>
    <w:rsid w:val="0086108A"/>
    <w:rsid w:val="008625AC"/>
    <w:rsid w:val="00865A27"/>
    <w:rsid w:val="008660CC"/>
    <w:rsid w:val="00870685"/>
    <w:rsid w:val="00873506"/>
    <w:rsid w:val="0087729F"/>
    <w:rsid w:val="00877638"/>
    <w:rsid w:val="00877909"/>
    <w:rsid w:val="0088142A"/>
    <w:rsid w:val="00881E5D"/>
    <w:rsid w:val="00882570"/>
    <w:rsid w:val="0088340E"/>
    <w:rsid w:val="00884082"/>
    <w:rsid w:val="00887EEB"/>
    <w:rsid w:val="00893F21"/>
    <w:rsid w:val="008A1857"/>
    <w:rsid w:val="008A1EE5"/>
    <w:rsid w:val="008A4BEA"/>
    <w:rsid w:val="008A58F9"/>
    <w:rsid w:val="008A6729"/>
    <w:rsid w:val="008B05F4"/>
    <w:rsid w:val="008B2154"/>
    <w:rsid w:val="008B2260"/>
    <w:rsid w:val="008B233B"/>
    <w:rsid w:val="008B38C3"/>
    <w:rsid w:val="008B7BBD"/>
    <w:rsid w:val="008C0A35"/>
    <w:rsid w:val="008C0CA6"/>
    <w:rsid w:val="008C1A07"/>
    <w:rsid w:val="008C4CC4"/>
    <w:rsid w:val="008C72A8"/>
    <w:rsid w:val="008C7AA7"/>
    <w:rsid w:val="008D0894"/>
    <w:rsid w:val="008D4328"/>
    <w:rsid w:val="008D690F"/>
    <w:rsid w:val="008E055A"/>
    <w:rsid w:val="008E2013"/>
    <w:rsid w:val="008E327D"/>
    <w:rsid w:val="008E3BD1"/>
    <w:rsid w:val="008E4F3E"/>
    <w:rsid w:val="008E5D6A"/>
    <w:rsid w:val="008E63DE"/>
    <w:rsid w:val="008E65FC"/>
    <w:rsid w:val="008E69D6"/>
    <w:rsid w:val="008E7167"/>
    <w:rsid w:val="008E7280"/>
    <w:rsid w:val="008F0EC2"/>
    <w:rsid w:val="008F1CFF"/>
    <w:rsid w:val="008F284D"/>
    <w:rsid w:val="008F298A"/>
    <w:rsid w:val="008F4477"/>
    <w:rsid w:val="008F6C2F"/>
    <w:rsid w:val="008F7EA9"/>
    <w:rsid w:val="00901698"/>
    <w:rsid w:val="00902D07"/>
    <w:rsid w:val="00906395"/>
    <w:rsid w:val="00911145"/>
    <w:rsid w:val="0091137C"/>
    <w:rsid w:val="009117B9"/>
    <w:rsid w:val="009147D0"/>
    <w:rsid w:val="00917250"/>
    <w:rsid w:val="00917786"/>
    <w:rsid w:val="00921175"/>
    <w:rsid w:val="00921345"/>
    <w:rsid w:val="00923766"/>
    <w:rsid w:val="009256AE"/>
    <w:rsid w:val="009265CD"/>
    <w:rsid w:val="00926A7A"/>
    <w:rsid w:val="009306F9"/>
    <w:rsid w:val="009323F7"/>
    <w:rsid w:val="00932CE9"/>
    <w:rsid w:val="009348D2"/>
    <w:rsid w:val="00935FD8"/>
    <w:rsid w:val="00941181"/>
    <w:rsid w:val="00941542"/>
    <w:rsid w:val="00941713"/>
    <w:rsid w:val="00941901"/>
    <w:rsid w:val="009424A5"/>
    <w:rsid w:val="00947B49"/>
    <w:rsid w:val="00951507"/>
    <w:rsid w:val="0095388F"/>
    <w:rsid w:val="00953B26"/>
    <w:rsid w:val="00953E8A"/>
    <w:rsid w:val="00957F2F"/>
    <w:rsid w:val="00960455"/>
    <w:rsid w:val="00961D7B"/>
    <w:rsid w:val="00962296"/>
    <w:rsid w:val="00962FE7"/>
    <w:rsid w:val="0096396B"/>
    <w:rsid w:val="00963DA1"/>
    <w:rsid w:val="00964277"/>
    <w:rsid w:val="009738E2"/>
    <w:rsid w:val="00973CE1"/>
    <w:rsid w:val="009777FB"/>
    <w:rsid w:val="00977D26"/>
    <w:rsid w:val="00984519"/>
    <w:rsid w:val="00985FA6"/>
    <w:rsid w:val="00992B90"/>
    <w:rsid w:val="0099681E"/>
    <w:rsid w:val="00996EF8"/>
    <w:rsid w:val="009A007B"/>
    <w:rsid w:val="009A263C"/>
    <w:rsid w:val="009A2CDA"/>
    <w:rsid w:val="009A40B6"/>
    <w:rsid w:val="009A4E07"/>
    <w:rsid w:val="009A5539"/>
    <w:rsid w:val="009A66C8"/>
    <w:rsid w:val="009B053D"/>
    <w:rsid w:val="009B095D"/>
    <w:rsid w:val="009B194F"/>
    <w:rsid w:val="009B31B0"/>
    <w:rsid w:val="009B64E3"/>
    <w:rsid w:val="009B6B75"/>
    <w:rsid w:val="009C086B"/>
    <w:rsid w:val="009D410D"/>
    <w:rsid w:val="009D4F4C"/>
    <w:rsid w:val="009E08A4"/>
    <w:rsid w:val="009E0B9F"/>
    <w:rsid w:val="009E1F38"/>
    <w:rsid w:val="009E2536"/>
    <w:rsid w:val="009E2918"/>
    <w:rsid w:val="009E3BF2"/>
    <w:rsid w:val="009E635D"/>
    <w:rsid w:val="009E6B78"/>
    <w:rsid w:val="009F2A73"/>
    <w:rsid w:val="009F4307"/>
    <w:rsid w:val="009F5557"/>
    <w:rsid w:val="009F5724"/>
    <w:rsid w:val="00A006DA"/>
    <w:rsid w:val="00A011F9"/>
    <w:rsid w:val="00A02B86"/>
    <w:rsid w:val="00A02E95"/>
    <w:rsid w:val="00A045C3"/>
    <w:rsid w:val="00A054FC"/>
    <w:rsid w:val="00A0554C"/>
    <w:rsid w:val="00A065AC"/>
    <w:rsid w:val="00A07F39"/>
    <w:rsid w:val="00A10B9D"/>
    <w:rsid w:val="00A127E2"/>
    <w:rsid w:val="00A13A56"/>
    <w:rsid w:val="00A15082"/>
    <w:rsid w:val="00A16404"/>
    <w:rsid w:val="00A23455"/>
    <w:rsid w:val="00A25A8D"/>
    <w:rsid w:val="00A268D4"/>
    <w:rsid w:val="00A30C5B"/>
    <w:rsid w:val="00A30DD4"/>
    <w:rsid w:val="00A30E73"/>
    <w:rsid w:val="00A312CD"/>
    <w:rsid w:val="00A349E3"/>
    <w:rsid w:val="00A34B91"/>
    <w:rsid w:val="00A375E3"/>
    <w:rsid w:val="00A41684"/>
    <w:rsid w:val="00A416D7"/>
    <w:rsid w:val="00A4199A"/>
    <w:rsid w:val="00A4512D"/>
    <w:rsid w:val="00A5098B"/>
    <w:rsid w:val="00A50B33"/>
    <w:rsid w:val="00A50CB9"/>
    <w:rsid w:val="00A5183C"/>
    <w:rsid w:val="00A52C4D"/>
    <w:rsid w:val="00A533A0"/>
    <w:rsid w:val="00A55F2D"/>
    <w:rsid w:val="00A55F78"/>
    <w:rsid w:val="00A60DF6"/>
    <w:rsid w:val="00A67747"/>
    <w:rsid w:val="00A70286"/>
    <w:rsid w:val="00A705AF"/>
    <w:rsid w:val="00A7329E"/>
    <w:rsid w:val="00A75B58"/>
    <w:rsid w:val="00A768E2"/>
    <w:rsid w:val="00A77349"/>
    <w:rsid w:val="00A828E7"/>
    <w:rsid w:val="00A837CE"/>
    <w:rsid w:val="00A848AB"/>
    <w:rsid w:val="00A84B08"/>
    <w:rsid w:val="00A908AA"/>
    <w:rsid w:val="00A925DC"/>
    <w:rsid w:val="00A931E2"/>
    <w:rsid w:val="00A93413"/>
    <w:rsid w:val="00A9341F"/>
    <w:rsid w:val="00A93A18"/>
    <w:rsid w:val="00A964DB"/>
    <w:rsid w:val="00AA1BE4"/>
    <w:rsid w:val="00AA2387"/>
    <w:rsid w:val="00AA3313"/>
    <w:rsid w:val="00AA40FB"/>
    <w:rsid w:val="00AA4B81"/>
    <w:rsid w:val="00AA697C"/>
    <w:rsid w:val="00AA6DC2"/>
    <w:rsid w:val="00AA7B58"/>
    <w:rsid w:val="00AB3825"/>
    <w:rsid w:val="00AB3A47"/>
    <w:rsid w:val="00AB40AB"/>
    <w:rsid w:val="00AB4E75"/>
    <w:rsid w:val="00AB5D80"/>
    <w:rsid w:val="00AB64EB"/>
    <w:rsid w:val="00AB6ED9"/>
    <w:rsid w:val="00AC234C"/>
    <w:rsid w:val="00AC457A"/>
    <w:rsid w:val="00AC5989"/>
    <w:rsid w:val="00AC656D"/>
    <w:rsid w:val="00AD0ABB"/>
    <w:rsid w:val="00AD29A7"/>
    <w:rsid w:val="00AD2D1C"/>
    <w:rsid w:val="00AD52A0"/>
    <w:rsid w:val="00AD53DC"/>
    <w:rsid w:val="00AD76BC"/>
    <w:rsid w:val="00AE2C26"/>
    <w:rsid w:val="00AE37A9"/>
    <w:rsid w:val="00AE3C2C"/>
    <w:rsid w:val="00AE400B"/>
    <w:rsid w:val="00AE4359"/>
    <w:rsid w:val="00AE7407"/>
    <w:rsid w:val="00AF06A7"/>
    <w:rsid w:val="00AF0EFB"/>
    <w:rsid w:val="00AF111B"/>
    <w:rsid w:val="00AF206E"/>
    <w:rsid w:val="00AF2DD9"/>
    <w:rsid w:val="00AF3AFD"/>
    <w:rsid w:val="00AF3B8B"/>
    <w:rsid w:val="00AF482C"/>
    <w:rsid w:val="00AF49AF"/>
    <w:rsid w:val="00AF6154"/>
    <w:rsid w:val="00AF7B05"/>
    <w:rsid w:val="00B009B6"/>
    <w:rsid w:val="00B073EE"/>
    <w:rsid w:val="00B07B36"/>
    <w:rsid w:val="00B1246C"/>
    <w:rsid w:val="00B14148"/>
    <w:rsid w:val="00B163EA"/>
    <w:rsid w:val="00B1679A"/>
    <w:rsid w:val="00B21730"/>
    <w:rsid w:val="00B21B3F"/>
    <w:rsid w:val="00B2466F"/>
    <w:rsid w:val="00B24DF4"/>
    <w:rsid w:val="00B253CB"/>
    <w:rsid w:val="00B2665E"/>
    <w:rsid w:val="00B26B24"/>
    <w:rsid w:val="00B27EB6"/>
    <w:rsid w:val="00B31D3C"/>
    <w:rsid w:val="00B328AF"/>
    <w:rsid w:val="00B32DD1"/>
    <w:rsid w:val="00B36519"/>
    <w:rsid w:val="00B3720C"/>
    <w:rsid w:val="00B379A9"/>
    <w:rsid w:val="00B40E66"/>
    <w:rsid w:val="00B41409"/>
    <w:rsid w:val="00B41525"/>
    <w:rsid w:val="00B42851"/>
    <w:rsid w:val="00B435A1"/>
    <w:rsid w:val="00B47076"/>
    <w:rsid w:val="00B5010C"/>
    <w:rsid w:val="00B52A11"/>
    <w:rsid w:val="00B56B37"/>
    <w:rsid w:val="00B57CDE"/>
    <w:rsid w:val="00B620BA"/>
    <w:rsid w:val="00B6494F"/>
    <w:rsid w:val="00B67C4C"/>
    <w:rsid w:val="00B761E4"/>
    <w:rsid w:val="00B76E4C"/>
    <w:rsid w:val="00B85698"/>
    <w:rsid w:val="00B85855"/>
    <w:rsid w:val="00B8739B"/>
    <w:rsid w:val="00B92612"/>
    <w:rsid w:val="00B9288E"/>
    <w:rsid w:val="00B94405"/>
    <w:rsid w:val="00B95A67"/>
    <w:rsid w:val="00B96CC1"/>
    <w:rsid w:val="00B975A5"/>
    <w:rsid w:val="00BA16F0"/>
    <w:rsid w:val="00BA3396"/>
    <w:rsid w:val="00BA3CCF"/>
    <w:rsid w:val="00BA4AEE"/>
    <w:rsid w:val="00BA5EF5"/>
    <w:rsid w:val="00BB0D93"/>
    <w:rsid w:val="00BB4715"/>
    <w:rsid w:val="00BB54CA"/>
    <w:rsid w:val="00BC07E4"/>
    <w:rsid w:val="00BC14ED"/>
    <w:rsid w:val="00BC2992"/>
    <w:rsid w:val="00BC3FAD"/>
    <w:rsid w:val="00BC4E19"/>
    <w:rsid w:val="00BC5704"/>
    <w:rsid w:val="00BC69FD"/>
    <w:rsid w:val="00BC7F4B"/>
    <w:rsid w:val="00BD1398"/>
    <w:rsid w:val="00BD4B86"/>
    <w:rsid w:val="00BE1747"/>
    <w:rsid w:val="00BE3768"/>
    <w:rsid w:val="00BE382F"/>
    <w:rsid w:val="00BE4160"/>
    <w:rsid w:val="00BE747C"/>
    <w:rsid w:val="00BF1BC2"/>
    <w:rsid w:val="00BF3767"/>
    <w:rsid w:val="00BF427C"/>
    <w:rsid w:val="00BF4F50"/>
    <w:rsid w:val="00BF5A42"/>
    <w:rsid w:val="00C00EE2"/>
    <w:rsid w:val="00C04DB2"/>
    <w:rsid w:val="00C06233"/>
    <w:rsid w:val="00C06314"/>
    <w:rsid w:val="00C1014E"/>
    <w:rsid w:val="00C11AC9"/>
    <w:rsid w:val="00C11F7A"/>
    <w:rsid w:val="00C1379C"/>
    <w:rsid w:val="00C142BC"/>
    <w:rsid w:val="00C149D8"/>
    <w:rsid w:val="00C16DA0"/>
    <w:rsid w:val="00C21DCE"/>
    <w:rsid w:val="00C23604"/>
    <w:rsid w:val="00C2772C"/>
    <w:rsid w:val="00C27EC2"/>
    <w:rsid w:val="00C304FB"/>
    <w:rsid w:val="00C31839"/>
    <w:rsid w:val="00C31B87"/>
    <w:rsid w:val="00C32340"/>
    <w:rsid w:val="00C3388A"/>
    <w:rsid w:val="00C35EE7"/>
    <w:rsid w:val="00C36307"/>
    <w:rsid w:val="00C36546"/>
    <w:rsid w:val="00C3660B"/>
    <w:rsid w:val="00C36674"/>
    <w:rsid w:val="00C3743F"/>
    <w:rsid w:val="00C379AC"/>
    <w:rsid w:val="00C436EE"/>
    <w:rsid w:val="00C43D50"/>
    <w:rsid w:val="00C43E1B"/>
    <w:rsid w:val="00C4430E"/>
    <w:rsid w:val="00C44D40"/>
    <w:rsid w:val="00C45340"/>
    <w:rsid w:val="00C47F71"/>
    <w:rsid w:val="00C517B4"/>
    <w:rsid w:val="00C51BE7"/>
    <w:rsid w:val="00C51DC2"/>
    <w:rsid w:val="00C53164"/>
    <w:rsid w:val="00C54906"/>
    <w:rsid w:val="00C64F85"/>
    <w:rsid w:val="00C72A04"/>
    <w:rsid w:val="00C774FF"/>
    <w:rsid w:val="00C80FC4"/>
    <w:rsid w:val="00C837F9"/>
    <w:rsid w:val="00C85823"/>
    <w:rsid w:val="00C86FD7"/>
    <w:rsid w:val="00C911AD"/>
    <w:rsid w:val="00C95A93"/>
    <w:rsid w:val="00C97214"/>
    <w:rsid w:val="00CA05A9"/>
    <w:rsid w:val="00CA31CE"/>
    <w:rsid w:val="00CA5928"/>
    <w:rsid w:val="00CA5F64"/>
    <w:rsid w:val="00CA60FE"/>
    <w:rsid w:val="00CB0401"/>
    <w:rsid w:val="00CB0684"/>
    <w:rsid w:val="00CB11BF"/>
    <w:rsid w:val="00CB1C90"/>
    <w:rsid w:val="00CB339F"/>
    <w:rsid w:val="00CB46D3"/>
    <w:rsid w:val="00CB5999"/>
    <w:rsid w:val="00CB5B1A"/>
    <w:rsid w:val="00CB5B6C"/>
    <w:rsid w:val="00CB733F"/>
    <w:rsid w:val="00CB75C6"/>
    <w:rsid w:val="00CB7E1D"/>
    <w:rsid w:val="00CC44B9"/>
    <w:rsid w:val="00CC5BF6"/>
    <w:rsid w:val="00CC5F8F"/>
    <w:rsid w:val="00CC6466"/>
    <w:rsid w:val="00CC6873"/>
    <w:rsid w:val="00CC697B"/>
    <w:rsid w:val="00CC75FC"/>
    <w:rsid w:val="00CC7941"/>
    <w:rsid w:val="00CD4EE8"/>
    <w:rsid w:val="00CD6337"/>
    <w:rsid w:val="00CE0745"/>
    <w:rsid w:val="00CE1745"/>
    <w:rsid w:val="00CE1E1B"/>
    <w:rsid w:val="00CE2C0F"/>
    <w:rsid w:val="00CE3ABB"/>
    <w:rsid w:val="00CE44A4"/>
    <w:rsid w:val="00CE4C3A"/>
    <w:rsid w:val="00CE6DF4"/>
    <w:rsid w:val="00CF1A14"/>
    <w:rsid w:val="00CF21C9"/>
    <w:rsid w:val="00CF23C5"/>
    <w:rsid w:val="00CF2528"/>
    <w:rsid w:val="00CF272E"/>
    <w:rsid w:val="00CF34E5"/>
    <w:rsid w:val="00CF6056"/>
    <w:rsid w:val="00CF6864"/>
    <w:rsid w:val="00D02F4F"/>
    <w:rsid w:val="00D03A19"/>
    <w:rsid w:val="00D03BF7"/>
    <w:rsid w:val="00D05881"/>
    <w:rsid w:val="00D07C0B"/>
    <w:rsid w:val="00D10523"/>
    <w:rsid w:val="00D124FC"/>
    <w:rsid w:val="00D14569"/>
    <w:rsid w:val="00D16688"/>
    <w:rsid w:val="00D20AEA"/>
    <w:rsid w:val="00D2127D"/>
    <w:rsid w:val="00D21BEA"/>
    <w:rsid w:val="00D234DA"/>
    <w:rsid w:val="00D24922"/>
    <w:rsid w:val="00D2651E"/>
    <w:rsid w:val="00D26AC9"/>
    <w:rsid w:val="00D275C7"/>
    <w:rsid w:val="00D30260"/>
    <w:rsid w:val="00D34B25"/>
    <w:rsid w:val="00D370EE"/>
    <w:rsid w:val="00D42B9A"/>
    <w:rsid w:val="00D43036"/>
    <w:rsid w:val="00D43BA1"/>
    <w:rsid w:val="00D46290"/>
    <w:rsid w:val="00D469E4"/>
    <w:rsid w:val="00D47D23"/>
    <w:rsid w:val="00D51684"/>
    <w:rsid w:val="00D51F05"/>
    <w:rsid w:val="00D5236C"/>
    <w:rsid w:val="00D525BC"/>
    <w:rsid w:val="00D53AD2"/>
    <w:rsid w:val="00D61413"/>
    <w:rsid w:val="00D67F75"/>
    <w:rsid w:val="00D73FE2"/>
    <w:rsid w:val="00D7465B"/>
    <w:rsid w:val="00D77C24"/>
    <w:rsid w:val="00D82CB3"/>
    <w:rsid w:val="00D87230"/>
    <w:rsid w:val="00D9004E"/>
    <w:rsid w:val="00D93900"/>
    <w:rsid w:val="00D94223"/>
    <w:rsid w:val="00D96327"/>
    <w:rsid w:val="00DA0F78"/>
    <w:rsid w:val="00DA32EA"/>
    <w:rsid w:val="00DA340E"/>
    <w:rsid w:val="00DA4938"/>
    <w:rsid w:val="00DB4479"/>
    <w:rsid w:val="00DB5911"/>
    <w:rsid w:val="00DB6248"/>
    <w:rsid w:val="00DB6D91"/>
    <w:rsid w:val="00DC0D24"/>
    <w:rsid w:val="00DC1780"/>
    <w:rsid w:val="00DC2B45"/>
    <w:rsid w:val="00DC40A7"/>
    <w:rsid w:val="00DC653B"/>
    <w:rsid w:val="00DD29BB"/>
    <w:rsid w:val="00DD2BE8"/>
    <w:rsid w:val="00DD4CCD"/>
    <w:rsid w:val="00DD5385"/>
    <w:rsid w:val="00DE0EB6"/>
    <w:rsid w:val="00DE4B42"/>
    <w:rsid w:val="00DE63A8"/>
    <w:rsid w:val="00DF4CFF"/>
    <w:rsid w:val="00DF5543"/>
    <w:rsid w:val="00DF78B1"/>
    <w:rsid w:val="00E10174"/>
    <w:rsid w:val="00E13370"/>
    <w:rsid w:val="00E13C5C"/>
    <w:rsid w:val="00E145EC"/>
    <w:rsid w:val="00E15312"/>
    <w:rsid w:val="00E20423"/>
    <w:rsid w:val="00E236C6"/>
    <w:rsid w:val="00E24E10"/>
    <w:rsid w:val="00E27D86"/>
    <w:rsid w:val="00E31027"/>
    <w:rsid w:val="00E318CC"/>
    <w:rsid w:val="00E32584"/>
    <w:rsid w:val="00E33CDF"/>
    <w:rsid w:val="00E3639D"/>
    <w:rsid w:val="00E3756F"/>
    <w:rsid w:val="00E37614"/>
    <w:rsid w:val="00E37643"/>
    <w:rsid w:val="00E40F95"/>
    <w:rsid w:val="00E42051"/>
    <w:rsid w:val="00E4312B"/>
    <w:rsid w:val="00E43C0E"/>
    <w:rsid w:val="00E44062"/>
    <w:rsid w:val="00E45D6E"/>
    <w:rsid w:val="00E467A7"/>
    <w:rsid w:val="00E47EC2"/>
    <w:rsid w:val="00E54331"/>
    <w:rsid w:val="00E60EE1"/>
    <w:rsid w:val="00E63000"/>
    <w:rsid w:val="00E64B01"/>
    <w:rsid w:val="00E65C62"/>
    <w:rsid w:val="00E6781B"/>
    <w:rsid w:val="00E708F6"/>
    <w:rsid w:val="00E716B4"/>
    <w:rsid w:val="00E755A1"/>
    <w:rsid w:val="00E80158"/>
    <w:rsid w:val="00E83845"/>
    <w:rsid w:val="00E84107"/>
    <w:rsid w:val="00E855E1"/>
    <w:rsid w:val="00E86B67"/>
    <w:rsid w:val="00E87619"/>
    <w:rsid w:val="00E91155"/>
    <w:rsid w:val="00E92B4C"/>
    <w:rsid w:val="00E9728D"/>
    <w:rsid w:val="00EA0568"/>
    <w:rsid w:val="00EA2B3D"/>
    <w:rsid w:val="00EA42B0"/>
    <w:rsid w:val="00EA4465"/>
    <w:rsid w:val="00EA5036"/>
    <w:rsid w:val="00EA551D"/>
    <w:rsid w:val="00EA5E02"/>
    <w:rsid w:val="00EA5FD0"/>
    <w:rsid w:val="00EA65FA"/>
    <w:rsid w:val="00EB1BC2"/>
    <w:rsid w:val="00EB3B00"/>
    <w:rsid w:val="00EB601B"/>
    <w:rsid w:val="00EC0B04"/>
    <w:rsid w:val="00EC6DFE"/>
    <w:rsid w:val="00ED4DE8"/>
    <w:rsid w:val="00ED6B4D"/>
    <w:rsid w:val="00ED7738"/>
    <w:rsid w:val="00EE356F"/>
    <w:rsid w:val="00EE397E"/>
    <w:rsid w:val="00EE6D15"/>
    <w:rsid w:val="00EE7649"/>
    <w:rsid w:val="00EE7DFB"/>
    <w:rsid w:val="00EF03DA"/>
    <w:rsid w:val="00EF074A"/>
    <w:rsid w:val="00EF10C9"/>
    <w:rsid w:val="00EF1C95"/>
    <w:rsid w:val="00EF48AF"/>
    <w:rsid w:val="00EF4F18"/>
    <w:rsid w:val="00EF506D"/>
    <w:rsid w:val="00EF59AA"/>
    <w:rsid w:val="00EF5C37"/>
    <w:rsid w:val="00EF734A"/>
    <w:rsid w:val="00EF7AED"/>
    <w:rsid w:val="00F045AA"/>
    <w:rsid w:val="00F05589"/>
    <w:rsid w:val="00F05E56"/>
    <w:rsid w:val="00F078B7"/>
    <w:rsid w:val="00F10B0A"/>
    <w:rsid w:val="00F12E43"/>
    <w:rsid w:val="00F14D38"/>
    <w:rsid w:val="00F150FE"/>
    <w:rsid w:val="00F2080F"/>
    <w:rsid w:val="00F238F2"/>
    <w:rsid w:val="00F26D04"/>
    <w:rsid w:val="00F3078A"/>
    <w:rsid w:val="00F332B3"/>
    <w:rsid w:val="00F34D63"/>
    <w:rsid w:val="00F36E53"/>
    <w:rsid w:val="00F378BC"/>
    <w:rsid w:val="00F40B12"/>
    <w:rsid w:val="00F40B79"/>
    <w:rsid w:val="00F41C35"/>
    <w:rsid w:val="00F41E0F"/>
    <w:rsid w:val="00F425F3"/>
    <w:rsid w:val="00F429EF"/>
    <w:rsid w:val="00F43AB4"/>
    <w:rsid w:val="00F44FF0"/>
    <w:rsid w:val="00F45079"/>
    <w:rsid w:val="00F4646D"/>
    <w:rsid w:val="00F46FBF"/>
    <w:rsid w:val="00F50F72"/>
    <w:rsid w:val="00F52397"/>
    <w:rsid w:val="00F53932"/>
    <w:rsid w:val="00F549D7"/>
    <w:rsid w:val="00F556DB"/>
    <w:rsid w:val="00F55C0E"/>
    <w:rsid w:val="00F55C87"/>
    <w:rsid w:val="00F560D5"/>
    <w:rsid w:val="00F56B51"/>
    <w:rsid w:val="00F57249"/>
    <w:rsid w:val="00F57886"/>
    <w:rsid w:val="00F57EF5"/>
    <w:rsid w:val="00F61B88"/>
    <w:rsid w:val="00F638A8"/>
    <w:rsid w:val="00F64BD6"/>
    <w:rsid w:val="00F66666"/>
    <w:rsid w:val="00F66D93"/>
    <w:rsid w:val="00F6714A"/>
    <w:rsid w:val="00F7392F"/>
    <w:rsid w:val="00F73D95"/>
    <w:rsid w:val="00F749AB"/>
    <w:rsid w:val="00F752CA"/>
    <w:rsid w:val="00F76342"/>
    <w:rsid w:val="00F77D74"/>
    <w:rsid w:val="00F811AA"/>
    <w:rsid w:val="00F821FE"/>
    <w:rsid w:val="00F823B5"/>
    <w:rsid w:val="00F82512"/>
    <w:rsid w:val="00F836EB"/>
    <w:rsid w:val="00F83A66"/>
    <w:rsid w:val="00F853F1"/>
    <w:rsid w:val="00F8561C"/>
    <w:rsid w:val="00F866E0"/>
    <w:rsid w:val="00F87D19"/>
    <w:rsid w:val="00F9075F"/>
    <w:rsid w:val="00F91F07"/>
    <w:rsid w:val="00F92DBF"/>
    <w:rsid w:val="00F934A4"/>
    <w:rsid w:val="00F93B01"/>
    <w:rsid w:val="00F93CA4"/>
    <w:rsid w:val="00F93F75"/>
    <w:rsid w:val="00F95769"/>
    <w:rsid w:val="00F96698"/>
    <w:rsid w:val="00F97CC2"/>
    <w:rsid w:val="00FA15DD"/>
    <w:rsid w:val="00FA1AB9"/>
    <w:rsid w:val="00FA30FF"/>
    <w:rsid w:val="00FA742F"/>
    <w:rsid w:val="00FB34B1"/>
    <w:rsid w:val="00FB57F4"/>
    <w:rsid w:val="00FB580E"/>
    <w:rsid w:val="00FB7017"/>
    <w:rsid w:val="00FC2724"/>
    <w:rsid w:val="00FC36D7"/>
    <w:rsid w:val="00FC3904"/>
    <w:rsid w:val="00FC626E"/>
    <w:rsid w:val="00FC64F9"/>
    <w:rsid w:val="00FC7F5D"/>
    <w:rsid w:val="00FD05C1"/>
    <w:rsid w:val="00FD296B"/>
    <w:rsid w:val="00FD3443"/>
    <w:rsid w:val="00FD3C8D"/>
    <w:rsid w:val="00FD4A82"/>
    <w:rsid w:val="00FE070D"/>
    <w:rsid w:val="00FE19C8"/>
    <w:rsid w:val="00FE5170"/>
    <w:rsid w:val="00FE5CA3"/>
    <w:rsid w:val="00FE755F"/>
    <w:rsid w:val="00FF0BD5"/>
    <w:rsid w:val="00FF34DA"/>
    <w:rsid w:val="00FF3903"/>
    <w:rsid w:val="00FF5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36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uiPriority="0" w:qFormat="1"/>
    <w:lsdException w:name="heading 4" w:locked="0" w:uiPriority="0" w:qFormat="1"/>
    <w:lsdException w:name="heading 5" w:locked="0" w:uiPriority="0" w:qFormat="1"/>
    <w:lsdException w:name="heading 6" w:uiPriority="0"/>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footnote text" w:locked="0" w:uiPriority="0"/>
    <w:lsdException w:name="header" w:uiPriority="0"/>
    <w:lsdException w:name="footer" w:locked="0" w:uiPriority="99"/>
    <w:lsdException w:name="caption" w:uiPriority="0" w:qFormat="1"/>
    <w:lsdException w:name="footnote reference" w:locked="0" w:uiPriority="0"/>
    <w:lsdException w:name="annotation reference" w:uiPriority="0"/>
    <w:lsdException w:name="macro" w:semiHidden="0" w:unhideWhenUsed="0"/>
    <w:lsdException w:name="List Bullet" w:semiHidden="0" w:unhideWhenUsed="0"/>
    <w:lsdException w:name="List Number" w:semiHidden="0" w:unhideWhenUsed="0"/>
    <w:lsdException w:name="Title" w:locked="0" w:semiHidden="0" w:uiPriority="0" w:unhideWhenUsed="0" w:qFormat="1"/>
    <w:lsdException w:name="Default Paragraph Font" w:locked="0"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lsdException w:name="Hyperlink" w:locked="0" w:uiPriority="99"/>
    <w:lsdException w:name="FollowedHyperlink" w:locked="0" w:uiPriority="0"/>
    <w:lsdException w:name="Strong" w:locked="0" w:semiHidden="0" w:uiPriority="0" w:unhideWhenUsed="0" w:qFormat="1"/>
    <w:lsdException w:name="Emphasis" w:locked="0" w:semiHidden="0" w:uiPriority="0" w:unhideWhenUsed="0"/>
    <w:lsdException w:name="HTML Top of Form" w:locked="0" w:uiPriority="0"/>
    <w:lsdException w:name="HTML Bottom of Form" w:locked="0" w:uiPriority="0"/>
    <w:lsdException w:name="Normal (Web)" w:uiPriority="9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locked="0"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uiPriority="0"/>
    <w:lsdException w:name="Table Theme" w:uiPriority="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locked="0"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iPriority="32" w:unhideWhenUsed="0" w:qFormat="1"/>
    <w:lsdException w:name="Book Title" w:semiHidden="0" w:unhideWhenUsed="0"/>
    <w:lsdException w:name="TOC Heading" w:locked="0" w:uiPriority="39" w:qFormat="1"/>
  </w:latentStyles>
  <w:style w:type="paragraph" w:default="1" w:styleId="Normal">
    <w:name w:val="Normal"/>
    <w:qFormat/>
    <w:rsid w:val="003F4861"/>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link w:val="Heading3Char"/>
    <w:qFormat/>
    <w:rsid w:val="00A15082"/>
    <w:pPr>
      <w:outlineLvl w:val="2"/>
    </w:pPr>
    <w:rPr>
      <w:bCs/>
      <w:sz w:val="28"/>
      <w:szCs w:val="26"/>
    </w:rPr>
  </w:style>
  <w:style w:type="paragraph" w:styleId="Heading4">
    <w:name w:val="heading 4"/>
    <w:basedOn w:val="Normal"/>
    <w:next w:val="Normal"/>
    <w:link w:val="Heading4Char"/>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A10B9D"/>
    <w:pPr>
      <w:numPr>
        <w:numId w:val="6"/>
      </w:numPr>
      <w:spacing w:after="120"/>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9BBB59"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F497D"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0761CA"/>
    <w:pPr>
      <w:tabs>
        <w:tab w:val="right" w:leader="dot" w:pos="9072"/>
      </w:tabs>
      <w:spacing w:before="120" w:after="120"/>
      <w:ind w:left="221"/>
    </w:pPr>
    <w:rPr>
      <w:rFonts w:cstheme="minorHAnsi"/>
      <w:szCs w:val="20"/>
    </w:rPr>
  </w:style>
  <w:style w:type="paragraph" w:styleId="TOC3">
    <w:name w:val="toc 3"/>
    <w:basedOn w:val="Normal"/>
    <w:next w:val="Normal"/>
    <w:autoRedefine/>
    <w:uiPriority w:val="39"/>
    <w:qFormat/>
    <w:rsid w:val="002E30A3"/>
    <w:pPr>
      <w:tabs>
        <w:tab w:val="right" w:leader="dot" w:pos="9072"/>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DB3E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uiPriority w:val="99"/>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uiPriority w:val="99"/>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iPriority w:val="39"/>
    <w:unhideWhenUsed/>
    <w:qFormat/>
    <w:rsid w:val="00255596"/>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paragraph" w:styleId="ListParagraph">
    <w:name w:val="List Paragraph"/>
    <w:basedOn w:val="Normal"/>
    <w:uiPriority w:val="34"/>
    <w:qFormat/>
    <w:locked/>
    <w:rsid w:val="000D6C7E"/>
    <w:pPr>
      <w:spacing w:after="0"/>
      <w:ind w:left="720"/>
      <w:contextualSpacing/>
    </w:pPr>
    <w:rPr>
      <w:rFonts w:ascii="Arial" w:hAnsi="Arial"/>
      <w:szCs w:val="24"/>
      <w:lang w:eastAsia="en-US"/>
    </w:rPr>
  </w:style>
  <w:style w:type="character" w:styleId="IntenseReference">
    <w:name w:val="Intense Reference"/>
    <w:basedOn w:val="DefaultParagraphFont"/>
    <w:uiPriority w:val="32"/>
    <w:qFormat/>
    <w:locked/>
    <w:rsid w:val="000D6C7E"/>
    <w:rPr>
      <w:b/>
      <w:bCs/>
      <w:i/>
      <w:smallCaps/>
      <w:color w:val="C0504D" w:themeColor="accent2"/>
      <w:spacing w:val="5"/>
      <w:u w:val="none"/>
    </w:rPr>
  </w:style>
  <w:style w:type="paragraph" w:styleId="Caption">
    <w:name w:val="caption"/>
    <w:basedOn w:val="Normal"/>
    <w:next w:val="Normal"/>
    <w:link w:val="CaptionChar"/>
    <w:unhideWhenUsed/>
    <w:qFormat/>
    <w:locked/>
    <w:rsid w:val="000D6C7E"/>
    <w:rPr>
      <w:rFonts w:ascii="Arial" w:hAnsi="Arial"/>
      <w:i/>
      <w:iCs/>
      <w:color w:val="1F497D" w:themeColor="text2"/>
      <w:sz w:val="18"/>
      <w:szCs w:val="18"/>
      <w:lang w:eastAsia="en-US"/>
    </w:rPr>
  </w:style>
  <w:style w:type="table" w:customStyle="1" w:styleId="GridTable4-Accent11">
    <w:name w:val="Grid Table 4 - Accent 11"/>
    <w:basedOn w:val="TableNormal"/>
    <w:uiPriority w:val="49"/>
    <w:rsid w:val="000D6C7E"/>
    <w:pPr>
      <w:spacing w:after="0"/>
    </w:pPr>
    <w:rPr>
      <w:rFonts w:ascii="Times New Roman" w:hAnsi="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ptionChar">
    <w:name w:val="Caption Char"/>
    <w:basedOn w:val="DefaultParagraphFont"/>
    <w:link w:val="Caption"/>
    <w:rsid w:val="000D6C7E"/>
    <w:rPr>
      <w:rFonts w:ascii="Arial" w:hAnsi="Arial"/>
      <w:i/>
      <w:iCs/>
      <w:color w:val="1F497D" w:themeColor="text2"/>
      <w:sz w:val="18"/>
      <w:szCs w:val="18"/>
      <w:lang w:eastAsia="en-US"/>
    </w:rPr>
  </w:style>
  <w:style w:type="table" w:customStyle="1" w:styleId="ListTable4-Accent51">
    <w:name w:val="List Table 4 - Accent 51"/>
    <w:basedOn w:val="TableNormal"/>
    <w:uiPriority w:val="49"/>
    <w:rsid w:val="000D6C7E"/>
    <w:pPr>
      <w:spacing w:after="0"/>
    </w:pPr>
    <w:rPr>
      <w:rFonts w:ascii="Times New Roman" w:hAnsi="Times New Roman"/>
      <w:sz w:val="20"/>
      <w:szCs w:val="20"/>
    </w:rPr>
    <w:tblPr>
      <w:tblStyleRowBandSize w:val="1"/>
      <w:tblStyleCol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Spacing">
    <w:name w:val="No Spacing"/>
    <w:link w:val="NoSpacingChar"/>
    <w:uiPriority w:val="1"/>
    <w:qFormat/>
    <w:locked/>
    <w:rsid w:val="000D6C7E"/>
    <w:pPr>
      <w:spacing w:after="0"/>
    </w:pPr>
    <w:rPr>
      <w:rFonts w:ascii="Times New Roman" w:hAnsi="Times New Roman"/>
      <w:sz w:val="24"/>
      <w:szCs w:val="24"/>
      <w:lang w:eastAsia="en-US"/>
    </w:rPr>
  </w:style>
  <w:style w:type="character" w:styleId="IntenseEmphasis">
    <w:name w:val="Intense Emphasis"/>
    <w:basedOn w:val="DefaultParagraphFont"/>
    <w:uiPriority w:val="21"/>
    <w:qFormat/>
    <w:locked/>
    <w:rsid w:val="000D6C7E"/>
    <w:rPr>
      <w:b/>
      <w:bCs/>
      <w:i/>
      <w:iCs/>
      <w:color w:val="4F81BD" w:themeColor="accent1"/>
    </w:rPr>
  </w:style>
  <w:style w:type="character" w:customStyle="1" w:styleId="NoSpacingChar">
    <w:name w:val="No Spacing Char"/>
    <w:link w:val="NoSpacing"/>
    <w:uiPriority w:val="1"/>
    <w:locked/>
    <w:rsid w:val="000D6C7E"/>
    <w:rPr>
      <w:rFonts w:ascii="Times New Roman" w:hAnsi="Times New Roman"/>
      <w:sz w:val="24"/>
      <w:szCs w:val="24"/>
      <w:lang w:eastAsia="en-US"/>
    </w:rPr>
  </w:style>
  <w:style w:type="paragraph" w:customStyle="1" w:styleId="FigList">
    <w:name w:val="FigList"/>
    <w:basedOn w:val="Caption"/>
    <w:link w:val="FigListChar"/>
    <w:qFormat/>
    <w:rsid w:val="000D6C7E"/>
    <w:pPr>
      <w:keepNext/>
      <w:tabs>
        <w:tab w:val="left" w:pos="851"/>
      </w:tabs>
      <w:ind w:left="851" w:hanging="851"/>
    </w:pPr>
    <w:rPr>
      <w:b/>
    </w:rPr>
  </w:style>
  <w:style w:type="character" w:customStyle="1" w:styleId="FigListChar">
    <w:name w:val="FigList Char"/>
    <w:basedOn w:val="CaptionChar"/>
    <w:link w:val="FigList"/>
    <w:rsid w:val="000D6C7E"/>
    <w:rPr>
      <w:rFonts w:ascii="Arial" w:hAnsi="Arial"/>
      <w:b/>
      <w:i/>
      <w:iCs/>
      <w:color w:val="1F497D" w:themeColor="text2"/>
      <w:sz w:val="18"/>
      <w:szCs w:val="18"/>
      <w:lang w:eastAsia="en-US"/>
    </w:rPr>
  </w:style>
  <w:style w:type="table" w:customStyle="1" w:styleId="GridTable1Light-Accent11">
    <w:name w:val="Grid Table 1 Light - Accent 11"/>
    <w:basedOn w:val="TableNormal"/>
    <w:uiPriority w:val="46"/>
    <w:rsid w:val="00FA742F"/>
    <w:pPr>
      <w:spacing w:after="0"/>
    </w:pPr>
    <w:rPr>
      <w:rFonts w:ascii="Times New Roman" w:hAnsi="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825AEF"/>
    <w:rPr>
      <w:color w:val="808080"/>
      <w:shd w:val="clear" w:color="auto" w:fill="E6E6E6"/>
    </w:rPr>
  </w:style>
  <w:style w:type="character" w:styleId="CommentReference">
    <w:name w:val="annotation reference"/>
    <w:basedOn w:val="DefaultParagraphFont"/>
    <w:unhideWhenUsed/>
    <w:locked/>
    <w:rsid w:val="00544A12"/>
    <w:rPr>
      <w:sz w:val="16"/>
      <w:szCs w:val="16"/>
    </w:rPr>
  </w:style>
  <w:style w:type="paragraph" w:styleId="CommentText">
    <w:name w:val="annotation text"/>
    <w:basedOn w:val="Normal"/>
    <w:link w:val="CommentTextChar"/>
    <w:uiPriority w:val="98"/>
    <w:unhideWhenUsed/>
    <w:locked/>
    <w:rsid w:val="00544A12"/>
    <w:rPr>
      <w:sz w:val="20"/>
      <w:szCs w:val="20"/>
    </w:rPr>
  </w:style>
  <w:style w:type="character" w:customStyle="1" w:styleId="CommentTextChar">
    <w:name w:val="Comment Text Char"/>
    <w:basedOn w:val="DefaultParagraphFont"/>
    <w:link w:val="CommentText"/>
    <w:uiPriority w:val="98"/>
    <w:rsid w:val="00544A12"/>
    <w:rPr>
      <w:sz w:val="20"/>
      <w:szCs w:val="20"/>
    </w:rPr>
  </w:style>
  <w:style w:type="paragraph" w:styleId="CommentSubject">
    <w:name w:val="annotation subject"/>
    <w:basedOn w:val="CommentText"/>
    <w:next w:val="CommentText"/>
    <w:link w:val="CommentSubjectChar"/>
    <w:uiPriority w:val="98"/>
    <w:semiHidden/>
    <w:unhideWhenUsed/>
    <w:locked/>
    <w:rsid w:val="00544A12"/>
    <w:rPr>
      <w:b/>
      <w:bCs/>
    </w:rPr>
  </w:style>
  <w:style w:type="character" w:customStyle="1" w:styleId="CommentSubjectChar">
    <w:name w:val="Comment Subject Char"/>
    <w:basedOn w:val="CommentTextChar"/>
    <w:link w:val="CommentSubject"/>
    <w:uiPriority w:val="98"/>
    <w:semiHidden/>
    <w:rsid w:val="00544A12"/>
    <w:rPr>
      <w:b/>
      <w:bCs/>
      <w:sz w:val="20"/>
      <w:szCs w:val="20"/>
    </w:rPr>
  </w:style>
  <w:style w:type="paragraph" w:customStyle="1" w:styleId="Default">
    <w:name w:val="Default"/>
    <w:rsid w:val="00F638A8"/>
    <w:pPr>
      <w:autoSpaceDE w:val="0"/>
      <w:autoSpaceDN w:val="0"/>
      <w:adjustRightInd w:val="0"/>
      <w:spacing w:after="0"/>
    </w:pPr>
    <w:rPr>
      <w:rFonts w:ascii="Arial" w:hAnsi="Arial" w:cs="Arial"/>
      <w:color w:val="000000"/>
      <w:sz w:val="24"/>
      <w:szCs w:val="24"/>
    </w:rPr>
  </w:style>
  <w:style w:type="paragraph" w:styleId="Revision">
    <w:name w:val="Revision"/>
    <w:hidden/>
    <w:uiPriority w:val="99"/>
    <w:semiHidden/>
    <w:rsid w:val="00F93CA4"/>
    <w:pPr>
      <w:spacing w:after="0"/>
    </w:pPr>
  </w:style>
  <w:style w:type="character" w:customStyle="1" w:styleId="Heading4Char">
    <w:name w:val="Heading 4 Char"/>
    <w:basedOn w:val="DefaultParagraphFont"/>
    <w:link w:val="Heading4"/>
    <w:rsid w:val="009A2CDA"/>
    <w:rPr>
      <w:b/>
      <w:bCs/>
      <w:color w:val="404040" w:themeColor="text1" w:themeTint="BF"/>
      <w:sz w:val="26"/>
      <w:szCs w:val="26"/>
    </w:rPr>
  </w:style>
  <w:style w:type="character" w:customStyle="1" w:styleId="Heading3Char">
    <w:name w:val="Heading 3 Char"/>
    <w:basedOn w:val="DefaultParagraphFont"/>
    <w:link w:val="Heading3"/>
    <w:rsid w:val="00733DE2"/>
    <w:rPr>
      <w:rFonts w:cs="Arial"/>
      <w:b/>
      <w:bCs/>
      <w:iCs/>
      <w:color w:val="1178A2"/>
      <w:kern w:val="28"/>
      <w:sz w:val="28"/>
      <w:szCs w:val="26"/>
    </w:rPr>
  </w:style>
  <w:style w:type="paragraph" w:styleId="NormalWeb">
    <w:name w:val="Normal (Web)"/>
    <w:basedOn w:val="Normal"/>
    <w:uiPriority w:val="99"/>
    <w:semiHidden/>
    <w:unhideWhenUsed/>
    <w:locked/>
    <w:rsid w:val="00DA4938"/>
    <w:pPr>
      <w:spacing w:before="100" w:beforeAutospacing="1" w:after="100" w:afterAutospacing="1"/>
    </w:pPr>
    <w:rPr>
      <w:rFonts w:ascii="Times New Roman" w:eastAsiaTheme="minorEastAsia" w:hAnsi="Times New Roman"/>
      <w:sz w:val="24"/>
      <w:szCs w:val="24"/>
    </w:rPr>
  </w:style>
  <w:style w:type="paragraph" w:customStyle="1" w:styleId="stateinfo">
    <w:name w:val="stateinfo"/>
    <w:basedOn w:val="Normal"/>
    <w:rsid w:val="0046393D"/>
    <w:pPr>
      <w:spacing w:before="100" w:beforeAutospacing="1" w:after="100" w:afterAutospacing="1"/>
    </w:pPr>
    <w:rPr>
      <w:rFonts w:ascii="Calibri" w:eastAsiaTheme="minorHAnsi" w:hAnsi="Calibri" w:cs="Calibri"/>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uiPriority="0" w:qFormat="1"/>
    <w:lsdException w:name="heading 4" w:locked="0" w:uiPriority="0" w:qFormat="1"/>
    <w:lsdException w:name="heading 5" w:locked="0" w:uiPriority="0" w:qFormat="1"/>
    <w:lsdException w:name="heading 6" w:uiPriority="0"/>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footnote text" w:locked="0" w:uiPriority="0"/>
    <w:lsdException w:name="header" w:uiPriority="0"/>
    <w:lsdException w:name="footer" w:locked="0" w:uiPriority="99"/>
    <w:lsdException w:name="caption" w:uiPriority="0" w:qFormat="1"/>
    <w:lsdException w:name="footnote reference" w:locked="0" w:uiPriority="0"/>
    <w:lsdException w:name="annotation reference" w:uiPriority="0"/>
    <w:lsdException w:name="macro" w:semiHidden="0" w:unhideWhenUsed="0"/>
    <w:lsdException w:name="List Bullet" w:semiHidden="0" w:unhideWhenUsed="0"/>
    <w:lsdException w:name="List Number" w:semiHidden="0" w:unhideWhenUsed="0"/>
    <w:lsdException w:name="Title" w:locked="0" w:semiHidden="0" w:uiPriority="0" w:unhideWhenUsed="0" w:qFormat="1"/>
    <w:lsdException w:name="Default Paragraph Font" w:locked="0"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lsdException w:name="Hyperlink" w:locked="0" w:uiPriority="99"/>
    <w:lsdException w:name="FollowedHyperlink" w:locked="0" w:uiPriority="0"/>
    <w:lsdException w:name="Strong" w:locked="0" w:semiHidden="0" w:uiPriority="0" w:unhideWhenUsed="0" w:qFormat="1"/>
    <w:lsdException w:name="Emphasis" w:locked="0" w:semiHidden="0" w:uiPriority="0" w:unhideWhenUsed="0"/>
    <w:lsdException w:name="HTML Top of Form" w:locked="0" w:uiPriority="0"/>
    <w:lsdException w:name="HTML Bottom of Form" w:locked="0" w:uiPriority="0"/>
    <w:lsdException w:name="Normal (Web)" w:uiPriority="9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locked="0"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uiPriority="0"/>
    <w:lsdException w:name="Table Theme" w:uiPriority="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locked="0"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iPriority="32" w:unhideWhenUsed="0" w:qFormat="1"/>
    <w:lsdException w:name="Book Title" w:semiHidden="0" w:unhideWhenUsed="0"/>
    <w:lsdException w:name="TOC Heading" w:locked="0" w:uiPriority="39" w:qFormat="1"/>
  </w:latentStyles>
  <w:style w:type="paragraph" w:default="1" w:styleId="Normal">
    <w:name w:val="Normal"/>
    <w:qFormat/>
    <w:rsid w:val="003F4861"/>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link w:val="Heading3Char"/>
    <w:qFormat/>
    <w:rsid w:val="00A15082"/>
    <w:pPr>
      <w:outlineLvl w:val="2"/>
    </w:pPr>
    <w:rPr>
      <w:bCs/>
      <w:sz w:val="28"/>
      <w:szCs w:val="26"/>
    </w:rPr>
  </w:style>
  <w:style w:type="paragraph" w:styleId="Heading4">
    <w:name w:val="heading 4"/>
    <w:basedOn w:val="Normal"/>
    <w:next w:val="Normal"/>
    <w:link w:val="Heading4Char"/>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A10B9D"/>
    <w:pPr>
      <w:numPr>
        <w:numId w:val="6"/>
      </w:numPr>
      <w:spacing w:after="120"/>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9BBB59"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F497D"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0761CA"/>
    <w:pPr>
      <w:tabs>
        <w:tab w:val="right" w:leader="dot" w:pos="9072"/>
      </w:tabs>
      <w:spacing w:before="120" w:after="120"/>
      <w:ind w:left="221"/>
    </w:pPr>
    <w:rPr>
      <w:rFonts w:cstheme="minorHAnsi"/>
      <w:szCs w:val="20"/>
    </w:rPr>
  </w:style>
  <w:style w:type="paragraph" w:styleId="TOC3">
    <w:name w:val="toc 3"/>
    <w:basedOn w:val="Normal"/>
    <w:next w:val="Normal"/>
    <w:autoRedefine/>
    <w:uiPriority w:val="39"/>
    <w:qFormat/>
    <w:rsid w:val="002E30A3"/>
    <w:pPr>
      <w:tabs>
        <w:tab w:val="right" w:leader="dot" w:pos="9072"/>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DB3E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uiPriority w:val="99"/>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uiPriority w:val="99"/>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iPriority w:val="39"/>
    <w:unhideWhenUsed/>
    <w:qFormat/>
    <w:rsid w:val="00255596"/>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paragraph" w:styleId="ListParagraph">
    <w:name w:val="List Paragraph"/>
    <w:basedOn w:val="Normal"/>
    <w:uiPriority w:val="34"/>
    <w:qFormat/>
    <w:locked/>
    <w:rsid w:val="000D6C7E"/>
    <w:pPr>
      <w:spacing w:after="0"/>
      <w:ind w:left="720"/>
      <w:contextualSpacing/>
    </w:pPr>
    <w:rPr>
      <w:rFonts w:ascii="Arial" w:hAnsi="Arial"/>
      <w:szCs w:val="24"/>
      <w:lang w:eastAsia="en-US"/>
    </w:rPr>
  </w:style>
  <w:style w:type="character" w:styleId="IntenseReference">
    <w:name w:val="Intense Reference"/>
    <w:basedOn w:val="DefaultParagraphFont"/>
    <w:uiPriority w:val="32"/>
    <w:qFormat/>
    <w:locked/>
    <w:rsid w:val="000D6C7E"/>
    <w:rPr>
      <w:b/>
      <w:bCs/>
      <w:i/>
      <w:smallCaps/>
      <w:color w:val="C0504D" w:themeColor="accent2"/>
      <w:spacing w:val="5"/>
      <w:u w:val="none"/>
    </w:rPr>
  </w:style>
  <w:style w:type="paragraph" w:styleId="Caption">
    <w:name w:val="caption"/>
    <w:basedOn w:val="Normal"/>
    <w:next w:val="Normal"/>
    <w:link w:val="CaptionChar"/>
    <w:unhideWhenUsed/>
    <w:qFormat/>
    <w:locked/>
    <w:rsid w:val="000D6C7E"/>
    <w:rPr>
      <w:rFonts w:ascii="Arial" w:hAnsi="Arial"/>
      <w:i/>
      <w:iCs/>
      <w:color w:val="1F497D" w:themeColor="text2"/>
      <w:sz w:val="18"/>
      <w:szCs w:val="18"/>
      <w:lang w:eastAsia="en-US"/>
    </w:rPr>
  </w:style>
  <w:style w:type="table" w:customStyle="1" w:styleId="GridTable4-Accent11">
    <w:name w:val="Grid Table 4 - Accent 11"/>
    <w:basedOn w:val="TableNormal"/>
    <w:uiPriority w:val="49"/>
    <w:rsid w:val="000D6C7E"/>
    <w:pPr>
      <w:spacing w:after="0"/>
    </w:pPr>
    <w:rPr>
      <w:rFonts w:ascii="Times New Roman" w:hAnsi="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ptionChar">
    <w:name w:val="Caption Char"/>
    <w:basedOn w:val="DefaultParagraphFont"/>
    <w:link w:val="Caption"/>
    <w:rsid w:val="000D6C7E"/>
    <w:rPr>
      <w:rFonts w:ascii="Arial" w:hAnsi="Arial"/>
      <w:i/>
      <w:iCs/>
      <w:color w:val="1F497D" w:themeColor="text2"/>
      <w:sz w:val="18"/>
      <w:szCs w:val="18"/>
      <w:lang w:eastAsia="en-US"/>
    </w:rPr>
  </w:style>
  <w:style w:type="table" w:customStyle="1" w:styleId="ListTable4-Accent51">
    <w:name w:val="List Table 4 - Accent 51"/>
    <w:basedOn w:val="TableNormal"/>
    <w:uiPriority w:val="49"/>
    <w:rsid w:val="000D6C7E"/>
    <w:pPr>
      <w:spacing w:after="0"/>
    </w:pPr>
    <w:rPr>
      <w:rFonts w:ascii="Times New Roman" w:hAnsi="Times New Roman"/>
      <w:sz w:val="20"/>
      <w:szCs w:val="20"/>
    </w:rPr>
    <w:tblPr>
      <w:tblStyleRowBandSize w:val="1"/>
      <w:tblStyleCol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Spacing">
    <w:name w:val="No Spacing"/>
    <w:link w:val="NoSpacingChar"/>
    <w:uiPriority w:val="1"/>
    <w:qFormat/>
    <w:locked/>
    <w:rsid w:val="000D6C7E"/>
    <w:pPr>
      <w:spacing w:after="0"/>
    </w:pPr>
    <w:rPr>
      <w:rFonts w:ascii="Times New Roman" w:hAnsi="Times New Roman"/>
      <w:sz w:val="24"/>
      <w:szCs w:val="24"/>
      <w:lang w:eastAsia="en-US"/>
    </w:rPr>
  </w:style>
  <w:style w:type="character" w:styleId="IntenseEmphasis">
    <w:name w:val="Intense Emphasis"/>
    <w:basedOn w:val="DefaultParagraphFont"/>
    <w:uiPriority w:val="21"/>
    <w:qFormat/>
    <w:locked/>
    <w:rsid w:val="000D6C7E"/>
    <w:rPr>
      <w:b/>
      <w:bCs/>
      <w:i/>
      <w:iCs/>
      <w:color w:val="4F81BD" w:themeColor="accent1"/>
    </w:rPr>
  </w:style>
  <w:style w:type="character" w:customStyle="1" w:styleId="NoSpacingChar">
    <w:name w:val="No Spacing Char"/>
    <w:link w:val="NoSpacing"/>
    <w:uiPriority w:val="1"/>
    <w:locked/>
    <w:rsid w:val="000D6C7E"/>
    <w:rPr>
      <w:rFonts w:ascii="Times New Roman" w:hAnsi="Times New Roman"/>
      <w:sz w:val="24"/>
      <w:szCs w:val="24"/>
      <w:lang w:eastAsia="en-US"/>
    </w:rPr>
  </w:style>
  <w:style w:type="paragraph" w:customStyle="1" w:styleId="FigList">
    <w:name w:val="FigList"/>
    <w:basedOn w:val="Caption"/>
    <w:link w:val="FigListChar"/>
    <w:qFormat/>
    <w:rsid w:val="000D6C7E"/>
    <w:pPr>
      <w:keepNext/>
      <w:tabs>
        <w:tab w:val="left" w:pos="851"/>
      </w:tabs>
      <w:ind w:left="851" w:hanging="851"/>
    </w:pPr>
    <w:rPr>
      <w:b/>
    </w:rPr>
  </w:style>
  <w:style w:type="character" w:customStyle="1" w:styleId="FigListChar">
    <w:name w:val="FigList Char"/>
    <w:basedOn w:val="CaptionChar"/>
    <w:link w:val="FigList"/>
    <w:rsid w:val="000D6C7E"/>
    <w:rPr>
      <w:rFonts w:ascii="Arial" w:hAnsi="Arial"/>
      <w:b/>
      <w:i/>
      <w:iCs/>
      <w:color w:val="1F497D" w:themeColor="text2"/>
      <w:sz w:val="18"/>
      <w:szCs w:val="18"/>
      <w:lang w:eastAsia="en-US"/>
    </w:rPr>
  </w:style>
  <w:style w:type="table" w:customStyle="1" w:styleId="GridTable1Light-Accent11">
    <w:name w:val="Grid Table 1 Light - Accent 11"/>
    <w:basedOn w:val="TableNormal"/>
    <w:uiPriority w:val="46"/>
    <w:rsid w:val="00FA742F"/>
    <w:pPr>
      <w:spacing w:after="0"/>
    </w:pPr>
    <w:rPr>
      <w:rFonts w:ascii="Times New Roman" w:hAnsi="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825AEF"/>
    <w:rPr>
      <w:color w:val="808080"/>
      <w:shd w:val="clear" w:color="auto" w:fill="E6E6E6"/>
    </w:rPr>
  </w:style>
  <w:style w:type="character" w:styleId="CommentReference">
    <w:name w:val="annotation reference"/>
    <w:basedOn w:val="DefaultParagraphFont"/>
    <w:unhideWhenUsed/>
    <w:locked/>
    <w:rsid w:val="00544A12"/>
    <w:rPr>
      <w:sz w:val="16"/>
      <w:szCs w:val="16"/>
    </w:rPr>
  </w:style>
  <w:style w:type="paragraph" w:styleId="CommentText">
    <w:name w:val="annotation text"/>
    <w:basedOn w:val="Normal"/>
    <w:link w:val="CommentTextChar"/>
    <w:uiPriority w:val="98"/>
    <w:unhideWhenUsed/>
    <w:locked/>
    <w:rsid w:val="00544A12"/>
    <w:rPr>
      <w:sz w:val="20"/>
      <w:szCs w:val="20"/>
    </w:rPr>
  </w:style>
  <w:style w:type="character" w:customStyle="1" w:styleId="CommentTextChar">
    <w:name w:val="Comment Text Char"/>
    <w:basedOn w:val="DefaultParagraphFont"/>
    <w:link w:val="CommentText"/>
    <w:uiPriority w:val="98"/>
    <w:rsid w:val="00544A12"/>
    <w:rPr>
      <w:sz w:val="20"/>
      <w:szCs w:val="20"/>
    </w:rPr>
  </w:style>
  <w:style w:type="paragraph" w:styleId="CommentSubject">
    <w:name w:val="annotation subject"/>
    <w:basedOn w:val="CommentText"/>
    <w:next w:val="CommentText"/>
    <w:link w:val="CommentSubjectChar"/>
    <w:uiPriority w:val="98"/>
    <w:semiHidden/>
    <w:unhideWhenUsed/>
    <w:locked/>
    <w:rsid w:val="00544A12"/>
    <w:rPr>
      <w:b/>
      <w:bCs/>
    </w:rPr>
  </w:style>
  <w:style w:type="character" w:customStyle="1" w:styleId="CommentSubjectChar">
    <w:name w:val="Comment Subject Char"/>
    <w:basedOn w:val="CommentTextChar"/>
    <w:link w:val="CommentSubject"/>
    <w:uiPriority w:val="98"/>
    <w:semiHidden/>
    <w:rsid w:val="00544A12"/>
    <w:rPr>
      <w:b/>
      <w:bCs/>
      <w:sz w:val="20"/>
      <w:szCs w:val="20"/>
    </w:rPr>
  </w:style>
  <w:style w:type="paragraph" w:customStyle="1" w:styleId="Default">
    <w:name w:val="Default"/>
    <w:rsid w:val="00F638A8"/>
    <w:pPr>
      <w:autoSpaceDE w:val="0"/>
      <w:autoSpaceDN w:val="0"/>
      <w:adjustRightInd w:val="0"/>
      <w:spacing w:after="0"/>
    </w:pPr>
    <w:rPr>
      <w:rFonts w:ascii="Arial" w:hAnsi="Arial" w:cs="Arial"/>
      <w:color w:val="000000"/>
      <w:sz w:val="24"/>
      <w:szCs w:val="24"/>
    </w:rPr>
  </w:style>
  <w:style w:type="paragraph" w:styleId="Revision">
    <w:name w:val="Revision"/>
    <w:hidden/>
    <w:uiPriority w:val="99"/>
    <w:semiHidden/>
    <w:rsid w:val="00F93CA4"/>
    <w:pPr>
      <w:spacing w:after="0"/>
    </w:pPr>
  </w:style>
  <w:style w:type="character" w:customStyle="1" w:styleId="Heading4Char">
    <w:name w:val="Heading 4 Char"/>
    <w:basedOn w:val="DefaultParagraphFont"/>
    <w:link w:val="Heading4"/>
    <w:rsid w:val="009A2CDA"/>
    <w:rPr>
      <w:b/>
      <w:bCs/>
      <w:color w:val="404040" w:themeColor="text1" w:themeTint="BF"/>
      <w:sz w:val="26"/>
      <w:szCs w:val="26"/>
    </w:rPr>
  </w:style>
  <w:style w:type="character" w:customStyle="1" w:styleId="Heading3Char">
    <w:name w:val="Heading 3 Char"/>
    <w:basedOn w:val="DefaultParagraphFont"/>
    <w:link w:val="Heading3"/>
    <w:rsid w:val="00733DE2"/>
    <w:rPr>
      <w:rFonts w:cs="Arial"/>
      <w:b/>
      <w:bCs/>
      <w:iCs/>
      <w:color w:val="1178A2"/>
      <w:kern w:val="28"/>
      <w:sz w:val="28"/>
      <w:szCs w:val="26"/>
    </w:rPr>
  </w:style>
  <w:style w:type="paragraph" w:styleId="NormalWeb">
    <w:name w:val="Normal (Web)"/>
    <w:basedOn w:val="Normal"/>
    <w:uiPriority w:val="99"/>
    <w:semiHidden/>
    <w:unhideWhenUsed/>
    <w:locked/>
    <w:rsid w:val="00DA4938"/>
    <w:pPr>
      <w:spacing w:before="100" w:beforeAutospacing="1" w:after="100" w:afterAutospacing="1"/>
    </w:pPr>
    <w:rPr>
      <w:rFonts w:ascii="Times New Roman" w:eastAsiaTheme="minorEastAsia" w:hAnsi="Times New Roman"/>
      <w:sz w:val="24"/>
      <w:szCs w:val="24"/>
    </w:rPr>
  </w:style>
  <w:style w:type="paragraph" w:customStyle="1" w:styleId="stateinfo">
    <w:name w:val="stateinfo"/>
    <w:basedOn w:val="Normal"/>
    <w:rsid w:val="0046393D"/>
    <w:pPr>
      <w:spacing w:before="100" w:beforeAutospacing="1" w:after="100" w:afterAutospacing="1"/>
    </w:pPr>
    <w:rPr>
      <w:rFonts w:ascii="Calibri" w:eastAsiaTheme="minorHAnsi" w:hAnsi="Calibri" w:cs="Calibr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3289">
      <w:bodyDiv w:val="1"/>
      <w:marLeft w:val="0"/>
      <w:marRight w:val="0"/>
      <w:marTop w:val="0"/>
      <w:marBottom w:val="0"/>
      <w:divBdr>
        <w:top w:val="none" w:sz="0" w:space="0" w:color="auto"/>
        <w:left w:val="none" w:sz="0" w:space="0" w:color="auto"/>
        <w:bottom w:val="none" w:sz="0" w:space="0" w:color="auto"/>
        <w:right w:val="none" w:sz="0" w:space="0" w:color="auto"/>
      </w:divBdr>
    </w:div>
    <w:div w:id="32197481">
      <w:bodyDiv w:val="1"/>
      <w:marLeft w:val="0"/>
      <w:marRight w:val="0"/>
      <w:marTop w:val="0"/>
      <w:marBottom w:val="0"/>
      <w:divBdr>
        <w:top w:val="none" w:sz="0" w:space="0" w:color="auto"/>
        <w:left w:val="none" w:sz="0" w:space="0" w:color="auto"/>
        <w:bottom w:val="none" w:sz="0" w:space="0" w:color="auto"/>
        <w:right w:val="none" w:sz="0" w:space="0" w:color="auto"/>
      </w:divBdr>
    </w:div>
    <w:div w:id="49114367">
      <w:bodyDiv w:val="1"/>
      <w:marLeft w:val="0"/>
      <w:marRight w:val="0"/>
      <w:marTop w:val="0"/>
      <w:marBottom w:val="0"/>
      <w:divBdr>
        <w:top w:val="none" w:sz="0" w:space="0" w:color="auto"/>
        <w:left w:val="none" w:sz="0" w:space="0" w:color="auto"/>
        <w:bottom w:val="none" w:sz="0" w:space="0" w:color="auto"/>
        <w:right w:val="none" w:sz="0" w:space="0" w:color="auto"/>
      </w:divBdr>
    </w:div>
    <w:div w:id="60176746">
      <w:bodyDiv w:val="1"/>
      <w:marLeft w:val="0"/>
      <w:marRight w:val="0"/>
      <w:marTop w:val="0"/>
      <w:marBottom w:val="0"/>
      <w:divBdr>
        <w:top w:val="none" w:sz="0" w:space="0" w:color="auto"/>
        <w:left w:val="none" w:sz="0" w:space="0" w:color="auto"/>
        <w:bottom w:val="none" w:sz="0" w:space="0" w:color="auto"/>
        <w:right w:val="none" w:sz="0" w:space="0" w:color="auto"/>
      </w:divBdr>
    </w:div>
    <w:div w:id="92476538">
      <w:bodyDiv w:val="1"/>
      <w:marLeft w:val="0"/>
      <w:marRight w:val="0"/>
      <w:marTop w:val="0"/>
      <w:marBottom w:val="0"/>
      <w:divBdr>
        <w:top w:val="none" w:sz="0" w:space="0" w:color="auto"/>
        <w:left w:val="none" w:sz="0" w:space="0" w:color="auto"/>
        <w:bottom w:val="none" w:sz="0" w:space="0" w:color="auto"/>
        <w:right w:val="none" w:sz="0" w:space="0" w:color="auto"/>
      </w:divBdr>
    </w:div>
    <w:div w:id="110055554">
      <w:bodyDiv w:val="1"/>
      <w:marLeft w:val="0"/>
      <w:marRight w:val="0"/>
      <w:marTop w:val="0"/>
      <w:marBottom w:val="0"/>
      <w:divBdr>
        <w:top w:val="none" w:sz="0" w:space="0" w:color="auto"/>
        <w:left w:val="none" w:sz="0" w:space="0" w:color="auto"/>
        <w:bottom w:val="none" w:sz="0" w:space="0" w:color="auto"/>
        <w:right w:val="none" w:sz="0" w:space="0" w:color="auto"/>
      </w:divBdr>
    </w:div>
    <w:div w:id="122235671">
      <w:bodyDiv w:val="1"/>
      <w:marLeft w:val="0"/>
      <w:marRight w:val="0"/>
      <w:marTop w:val="0"/>
      <w:marBottom w:val="0"/>
      <w:divBdr>
        <w:top w:val="none" w:sz="0" w:space="0" w:color="auto"/>
        <w:left w:val="none" w:sz="0" w:space="0" w:color="auto"/>
        <w:bottom w:val="none" w:sz="0" w:space="0" w:color="auto"/>
        <w:right w:val="none" w:sz="0" w:space="0" w:color="auto"/>
      </w:divBdr>
    </w:div>
    <w:div w:id="129589948">
      <w:bodyDiv w:val="1"/>
      <w:marLeft w:val="0"/>
      <w:marRight w:val="0"/>
      <w:marTop w:val="0"/>
      <w:marBottom w:val="0"/>
      <w:divBdr>
        <w:top w:val="none" w:sz="0" w:space="0" w:color="auto"/>
        <w:left w:val="none" w:sz="0" w:space="0" w:color="auto"/>
        <w:bottom w:val="none" w:sz="0" w:space="0" w:color="auto"/>
        <w:right w:val="none" w:sz="0" w:space="0" w:color="auto"/>
      </w:divBdr>
    </w:div>
    <w:div w:id="175965162">
      <w:bodyDiv w:val="1"/>
      <w:marLeft w:val="0"/>
      <w:marRight w:val="0"/>
      <w:marTop w:val="0"/>
      <w:marBottom w:val="0"/>
      <w:divBdr>
        <w:top w:val="none" w:sz="0" w:space="0" w:color="auto"/>
        <w:left w:val="none" w:sz="0" w:space="0" w:color="auto"/>
        <w:bottom w:val="none" w:sz="0" w:space="0" w:color="auto"/>
        <w:right w:val="none" w:sz="0" w:space="0" w:color="auto"/>
      </w:divBdr>
    </w:div>
    <w:div w:id="180945949">
      <w:bodyDiv w:val="1"/>
      <w:marLeft w:val="0"/>
      <w:marRight w:val="0"/>
      <w:marTop w:val="0"/>
      <w:marBottom w:val="0"/>
      <w:divBdr>
        <w:top w:val="none" w:sz="0" w:space="0" w:color="auto"/>
        <w:left w:val="none" w:sz="0" w:space="0" w:color="auto"/>
        <w:bottom w:val="none" w:sz="0" w:space="0" w:color="auto"/>
        <w:right w:val="none" w:sz="0" w:space="0" w:color="auto"/>
      </w:divBdr>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207036975">
      <w:bodyDiv w:val="1"/>
      <w:marLeft w:val="0"/>
      <w:marRight w:val="0"/>
      <w:marTop w:val="0"/>
      <w:marBottom w:val="0"/>
      <w:divBdr>
        <w:top w:val="none" w:sz="0" w:space="0" w:color="auto"/>
        <w:left w:val="none" w:sz="0" w:space="0" w:color="auto"/>
        <w:bottom w:val="none" w:sz="0" w:space="0" w:color="auto"/>
        <w:right w:val="none" w:sz="0" w:space="0" w:color="auto"/>
      </w:divBdr>
    </w:div>
    <w:div w:id="232129384">
      <w:bodyDiv w:val="1"/>
      <w:marLeft w:val="0"/>
      <w:marRight w:val="0"/>
      <w:marTop w:val="0"/>
      <w:marBottom w:val="0"/>
      <w:divBdr>
        <w:top w:val="none" w:sz="0" w:space="0" w:color="auto"/>
        <w:left w:val="none" w:sz="0" w:space="0" w:color="auto"/>
        <w:bottom w:val="none" w:sz="0" w:space="0" w:color="auto"/>
        <w:right w:val="none" w:sz="0" w:space="0" w:color="auto"/>
      </w:divBdr>
    </w:div>
    <w:div w:id="357196465">
      <w:bodyDiv w:val="1"/>
      <w:marLeft w:val="0"/>
      <w:marRight w:val="0"/>
      <w:marTop w:val="0"/>
      <w:marBottom w:val="0"/>
      <w:divBdr>
        <w:top w:val="none" w:sz="0" w:space="0" w:color="auto"/>
        <w:left w:val="none" w:sz="0" w:space="0" w:color="auto"/>
        <w:bottom w:val="none" w:sz="0" w:space="0" w:color="auto"/>
        <w:right w:val="none" w:sz="0" w:space="0" w:color="auto"/>
      </w:divBdr>
    </w:div>
    <w:div w:id="387607359">
      <w:bodyDiv w:val="1"/>
      <w:marLeft w:val="0"/>
      <w:marRight w:val="0"/>
      <w:marTop w:val="0"/>
      <w:marBottom w:val="0"/>
      <w:divBdr>
        <w:top w:val="none" w:sz="0" w:space="0" w:color="auto"/>
        <w:left w:val="none" w:sz="0" w:space="0" w:color="auto"/>
        <w:bottom w:val="none" w:sz="0" w:space="0" w:color="auto"/>
        <w:right w:val="none" w:sz="0" w:space="0" w:color="auto"/>
      </w:divBdr>
    </w:div>
    <w:div w:id="391732263">
      <w:bodyDiv w:val="1"/>
      <w:marLeft w:val="0"/>
      <w:marRight w:val="0"/>
      <w:marTop w:val="0"/>
      <w:marBottom w:val="0"/>
      <w:divBdr>
        <w:top w:val="none" w:sz="0" w:space="0" w:color="auto"/>
        <w:left w:val="none" w:sz="0" w:space="0" w:color="auto"/>
        <w:bottom w:val="none" w:sz="0" w:space="0" w:color="auto"/>
        <w:right w:val="none" w:sz="0" w:space="0" w:color="auto"/>
      </w:divBdr>
    </w:div>
    <w:div w:id="407265636">
      <w:bodyDiv w:val="1"/>
      <w:marLeft w:val="0"/>
      <w:marRight w:val="0"/>
      <w:marTop w:val="0"/>
      <w:marBottom w:val="0"/>
      <w:divBdr>
        <w:top w:val="none" w:sz="0" w:space="0" w:color="auto"/>
        <w:left w:val="none" w:sz="0" w:space="0" w:color="auto"/>
        <w:bottom w:val="none" w:sz="0" w:space="0" w:color="auto"/>
        <w:right w:val="none" w:sz="0" w:space="0" w:color="auto"/>
      </w:divBdr>
    </w:div>
    <w:div w:id="457384110">
      <w:bodyDiv w:val="1"/>
      <w:marLeft w:val="0"/>
      <w:marRight w:val="0"/>
      <w:marTop w:val="0"/>
      <w:marBottom w:val="0"/>
      <w:divBdr>
        <w:top w:val="none" w:sz="0" w:space="0" w:color="auto"/>
        <w:left w:val="none" w:sz="0" w:space="0" w:color="auto"/>
        <w:bottom w:val="none" w:sz="0" w:space="0" w:color="auto"/>
        <w:right w:val="none" w:sz="0" w:space="0" w:color="auto"/>
      </w:divBdr>
    </w:div>
    <w:div w:id="478617920">
      <w:bodyDiv w:val="1"/>
      <w:marLeft w:val="0"/>
      <w:marRight w:val="0"/>
      <w:marTop w:val="0"/>
      <w:marBottom w:val="0"/>
      <w:divBdr>
        <w:top w:val="none" w:sz="0" w:space="0" w:color="auto"/>
        <w:left w:val="none" w:sz="0" w:space="0" w:color="auto"/>
        <w:bottom w:val="none" w:sz="0" w:space="0" w:color="auto"/>
        <w:right w:val="none" w:sz="0" w:space="0" w:color="auto"/>
      </w:divBdr>
    </w:div>
    <w:div w:id="515313517">
      <w:bodyDiv w:val="1"/>
      <w:marLeft w:val="0"/>
      <w:marRight w:val="0"/>
      <w:marTop w:val="0"/>
      <w:marBottom w:val="0"/>
      <w:divBdr>
        <w:top w:val="none" w:sz="0" w:space="0" w:color="auto"/>
        <w:left w:val="none" w:sz="0" w:space="0" w:color="auto"/>
        <w:bottom w:val="none" w:sz="0" w:space="0" w:color="auto"/>
        <w:right w:val="none" w:sz="0" w:space="0" w:color="auto"/>
      </w:divBdr>
    </w:div>
    <w:div w:id="551699366">
      <w:bodyDiv w:val="1"/>
      <w:marLeft w:val="0"/>
      <w:marRight w:val="0"/>
      <w:marTop w:val="0"/>
      <w:marBottom w:val="0"/>
      <w:divBdr>
        <w:top w:val="none" w:sz="0" w:space="0" w:color="auto"/>
        <w:left w:val="none" w:sz="0" w:space="0" w:color="auto"/>
        <w:bottom w:val="none" w:sz="0" w:space="0" w:color="auto"/>
        <w:right w:val="none" w:sz="0" w:space="0" w:color="auto"/>
      </w:divBdr>
    </w:div>
    <w:div w:id="563640954">
      <w:bodyDiv w:val="1"/>
      <w:marLeft w:val="0"/>
      <w:marRight w:val="0"/>
      <w:marTop w:val="0"/>
      <w:marBottom w:val="0"/>
      <w:divBdr>
        <w:top w:val="none" w:sz="0" w:space="0" w:color="auto"/>
        <w:left w:val="none" w:sz="0" w:space="0" w:color="auto"/>
        <w:bottom w:val="none" w:sz="0" w:space="0" w:color="auto"/>
        <w:right w:val="none" w:sz="0" w:space="0" w:color="auto"/>
      </w:divBdr>
    </w:div>
    <w:div w:id="614218401">
      <w:bodyDiv w:val="1"/>
      <w:marLeft w:val="0"/>
      <w:marRight w:val="0"/>
      <w:marTop w:val="0"/>
      <w:marBottom w:val="0"/>
      <w:divBdr>
        <w:top w:val="none" w:sz="0" w:space="0" w:color="auto"/>
        <w:left w:val="none" w:sz="0" w:space="0" w:color="auto"/>
        <w:bottom w:val="none" w:sz="0" w:space="0" w:color="auto"/>
        <w:right w:val="none" w:sz="0" w:space="0" w:color="auto"/>
      </w:divBdr>
    </w:div>
    <w:div w:id="622076021">
      <w:bodyDiv w:val="1"/>
      <w:marLeft w:val="0"/>
      <w:marRight w:val="0"/>
      <w:marTop w:val="0"/>
      <w:marBottom w:val="0"/>
      <w:divBdr>
        <w:top w:val="none" w:sz="0" w:space="0" w:color="auto"/>
        <w:left w:val="none" w:sz="0" w:space="0" w:color="auto"/>
        <w:bottom w:val="none" w:sz="0" w:space="0" w:color="auto"/>
        <w:right w:val="none" w:sz="0" w:space="0" w:color="auto"/>
      </w:divBdr>
    </w:div>
    <w:div w:id="724913771">
      <w:bodyDiv w:val="1"/>
      <w:marLeft w:val="0"/>
      <w:marRight w:val="0"/>
      <w:marTop w:val="0"/>
      <w:marBottom w:val="0"/>
      <w:divBdr>
        <w:top w:val="none" w:sz="0" w:space="0" w:color="auto"/>
        <w:left w:val="none" w:sz="0" w:space="0" w:color="auto"/>
        <w:bottom w:val="none" w:sz="0" w:space="0" w:color="auto"/>
        <w:right w:val="none" w:sz="0" w:space="0" w:color="auto"/>
      </w:divBdr>
    </w:div>
    <w:div w:id="791364558">
      <w:bodyDiv w:val="1"/>
      <w:marLeft w:val="0"/>
      <w:marRight w:val="0"/>
      <w:marTop w:val="0"/>
      <w:marBottom w:val="0"/>
      <w:divBdr>
        <w:top w:val="none" w:sz="0" w:space="0" w:color="auto"/>
        <w:left w:val="none" w:sz="0" w:space="0" w:color="auto"/>
        <w:bottom w:val="none" w:sz="0" w:space="0" w:color="auto"/>
        <w:right w:val="none" w:sz="0" w:space="0" w:color="auto"/>
      </w:divBdr>
    </w:div>
    <w:div w:id="828400192">
      <w:bodyDiv w:val="1"/>
      <w:marLeft w:val="0"/>
      <w:marRight w:val="0"/>
      <w:marTop w:val="0"/>
      <w:marBottom w:val="0"/>
      <w:divBdr>
        <w:top w:val="none" w:sz="0" w:space="0" w:color="auto"/>
        <w:left w:val="none" w:sz="0" w:space="0" w:color="auto"/>
        <w:bottom w:val="none" w:sz="0" w:space="0" w:color="auto"/>
        <w:right w:val="none" w:sz="0" w:space="0" w:color="auto"/>
      </w:divBdr>
    </w:div>
    <w:div w:id="854804988">
      <w:bodyDiv w:val="1"/>
      <w:marLeft w:val="0"/>
      <w:marRight w:val="0"/>
      <w:marTop w:val="0"/>
      <w:marBottom w:val="0"/>
      <w:divBdr>
        <w:top w:val="none" w:sz="0" w:space="0" w:color="auto"/>
        <w:left w:val="none" w:sz="0" w:space="0" w:color="auto"/>
        <w:bottom w:val="none" w:sz="0" w:space="0" w:color="auto"/>
        <w:right w:val="none" w:sz="0" w:space="0" w:color="auto"/>
      </w:divBdr>
    </w:div>
    <w:div w:id="859007659">
      <w:bodyDiv w:val="1"/>
      <w:marLeft w:val="0"/>
      <w:marRight w:val="0"/>
      <w:marTop w:val="0"/>
      <w:marBottom w:val="0"/>
      <w:divBdr>
        <w:top w:val="none" w:sz="0" w:space="0" w:color="auto"/>
        <w:left w:val="none" w:sz="0" w:space="0" w:color="auto"/>
        <w:bottom w:val="none" w:sz="0" w:space="0" w:color="auto"/>
        <w:right w:val="none" w:sz="0" w:space="0" w:color="auto"/>
      </w:divBdr>
    </w:div>
    <w:div w:id="868029633">
      <w:bodyDiv w:val="1"/>
      <w:marLeft w:val="0"/>
      <w:marRight w:val="0"/>
      <w:marTop w:val="0"/>
      <w:marBottom w:val="0"/>
      <w:divBdr>
        <w:top w:val="none" w:sz="0" w:space="0" w:color="auto"/>
        <w:left w:val="none" w:sz="0" w:space="0" w:color="auto"/>
        <w:bottom w:val="none" w:sz="0" w:space="0" w:color="auto"/>
        <w:right w:val="none" w:sz="0" w:space="0" w:color="auto"/>
      </w:divBdr>
    </w:div>
    <w:div w:id="873691883">
      <w:bodyDiv w:val="1"/>
      <w:marLeft w:val="0"/>
      <w:marRight w:val="0"/>
      <w:marTop w:val="0"/>
      <w:marBottom w:val="0"/>
      <w:divBdr>
        <w:top w:val="none" w:sz="0" w:space="0" w:color="auto"/>
        <w:left w:val="none" w:sz="0" w:space="0" w:color="auto"/>
        <w:bottom w:val="none" w:sz="0" w:space="0" w:color="auto"/>
        <w:right w:val="none" w:sz="0" w:space="0" w:color="auto"/>
      </w:divBdr>
    </w:div>
    <w:div w:id="880508491">
      <w:bodyDiv w:val="1"/>
      <w:marLeft w:val="0"/>
      <w:marRight w:val="0"/>
      <w:marTop w:val="0"/>
      <w:marBottom w:val="0"/>
      <w:divBdr>
        <w:top w:val="none" w:sz="0" w:space="0" w:color="auto"/>
        <w:left w:val="none" w:sz="0" w:space="0" w:color="auto"/>
        <w:bottom w:val="none" w:sz="0" w:space="0" w:color="auto"/>
        <w:right w:val="none" w:sz="0" w:space="0" w:color="auto"/>
      </w:divBdr>
    </w:div>
    <w:div w:id="899053585">
      <w:bodyDiv w:val="1"/>
      <w:marLeft w:val="0"/>
      <w:marRight w:val="0"/>
      <w:marTop w:val="0"/>
      <w:marBottom w:val="0"/>
      <w:divBdr>
        <w:top w:val="none" w:sz="0" w:space="0" w:color="auto"/>
        <w:left w:val="none" w:sz="0" w:space="0" w:color="auto"/>
        <w:bottom w:val="none" w:sz="0" w:space="0" w:color="auto"/>
        <w:right w:val="none" w:sz="0" w:space="0" w:color="auto"/>
      </w:divBdr>
    </w:div>
    <w:div w:id="979384207">
      <w:bodyDiv w:val="1"/>
      <w:marLeft w:val="0"/>
      <w:marRight w:val="0"/>
      <w:marTop w:val="0"/>
      <w:marBottom w:val="0"/>
      <w:divBdr>
        <w:top w:val="none" w:sz="0" w:space="0" w:color="auto"/>
        <w:left w:val="none" w:sz="0" w:space="0" w:color="auto"/>
        <w:bottom w:val="none" w:sz="0" w:space="0" w:color="auto"/>
        <w:right w:val="none" w:sz="0" w:space="0" w:color="auto"/>
      </w:divBdr>
    </w:div>
    <w:div w:id="1074936820">
      <w:bodyDiv w:val="1"/>
      <w:marLeft w:val="0"/>
      <w:marRight w:val="0"/>
      <w:marTop w:val="0"/>
      <w:marBottom w:val="0"/>
      <w:divBdr>
        <w:top w:val="none" w:sz="0" w:space="0" w:color="auto"/>
        <w:left w:val="none" w:sz="0" w:space="0" w:color="auto"/>
        <w:bottom w:val="none" w:sz="0" w:space="0" w:color="auto"/>
        <w:right w:val="none" w:sz="0" w:space="0" w:color="auto"/>
      </w:divBdr>
    </w:div>
    <w:div w:id="1105884393">
      <w:bodyDiv w:val="1"/>
      <w:marLeft w:val="0"/>
      <w:marRight w:val="0"/>
      <w:marTop w:val="0"/>
      <w:marBottom w:val="0"/>
      <w:divBdr>
        <w:top w:val="none" w:sz="0" w:space="0" w:color="auto"/>
        <w:left w:val="none" w:sz="0" w:space="0" w:color="auto"/>
        <w:bottom w:val="none" w:sz="0" w:space="0" w:color="auto"/>
        <w:right w:val="none" w:sz="0" w:space="0" w:color="auto"/>
      </w:divBdr>
    </w:div>
    <w:div w:id="1111433294">
      <w:bodyDiv w:val="1"/>
      <w:marLeft w:val="0"/>
      <w:marRight w:val="0"/>
      <w:marTop w:val="0"/>
      <w:marBottom w:val="0"/>
      <w:divBdr>
        <w:top w:val="none" w:sz="0" w:space="0" w:color="auto"/>
        <w:left w:val="none" w:sz="0" w:space="0" w:color="auto"/>
        <w:bottom w:val="none" w:sz="0" w:space="0" w:color="auto"/>
        <w:right w:val="none" w:sz="0" w:space="0" w:color="auto"/>
      </w:divBdr>
    </w:div>
    <w:div w:id="1293945788">
      <w:bodyDiv w:val="1"/>
      <w:marLeft w:val="0"/>
      <w:marRight w:val="0"/>
      <w:marTop w:val="0"/>
      <w:marBottom w:val="0"/>
      <w:divBdr>
        <w:top w:val="none" w:sz="0" w:space="0" w:color="auto"/>
        <w:left w:val="none" w:sz="0" w:space="0" w:color="auto"/>
        <w:bottom w:val="none" w:sz="0" w:space="0" w:color="auto"/>
        <w:right w:val="none" w:sz="0" w:space="0" w:color="auto"/>
      </w:divBdr>
    </w:div>
    <w:div w:id="1322199704">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429502181">
      <w:bodyDiv w:val="1"/>
      <w:marLeft w:val="0"/>
      <w:marRight w:val="0"/>
      <w:marTop w:val="0"/>
      <w:marBottom w:val="0"/>
      <w:divBdr>
        <w:top w:val="none" w:sz="0" w:space="0" w:color="auto"/>
        <w:left w:val="none" w:sz="0" w:space="0" w:color="auto"/>
        <w:bottom w:val="none" w:sz="0" w:space="0" w:color="auto"/>
        <w:right w:val="none" w:sz="0" w:space="0" w:color="auto"/>
      </w:divBdr>
    </w:div>
    <w:div w:id="1546485132">
      <w:bodyDiv w:val="1"/>
      <w:marLeft w:val="0"/>
      <w:marRight w:val="0"/>
      <w:marTop w:val="0"/>
      <w:marBottom w:val="0"/>
      <w:divBdr>
        <w:top w:val="none" w:sz="0" w:space="0" w:color="auto"/>
        <w:left w:val="none" w:sz="0" w:space="0" w:color="auto"/>
        <w:bottom w:val="none" w:sz="0" w:space="0" w:color="auto"/>
        <w:right w:val="none" w:sz="0" w:space="0" w:color="auto"/>
      </w:divBdr>
    </w:div>
    <w:div w:id="1586451650">
      <w:bodyDiv w:val="1"/>
      <w:marLeft w:val="0"/>
      <w:marRight w:val="0"/>
      <w:marTop w:val="0"/>
      <w:marBottom w:val="0"/>
      <w:divBdr>
        <w:top w:val="none" w:sz="0" w:space="0" w:color="auto"/>
        <w:left w:val="none" w:sz="0" w:space="0" w:color="auto"/>
        <w:bottom w:val="none" w:sz="0" w:space="0" w:color="auto"/>
        <w:right w:val="none" w:sz="0" w:space="0" w:color="auto"/>
      </w:divBdr>
    </w:div>
    <w:div w:id="1588617938">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29912220">
      <w:bodyDiv w:val="1"/>
      <w:marLeft w:val="0"/>
      <w:marRight w:val="0"/>
      <w:marTop w:val="0"/>
      <w:marBottom w:val="0"/>
      <w:divBdr>
        <w:top w:val="none" w:sz="0" w:space="0" w:color="auto"/>
        <w:left w:val="none" w:sz="0" w:space="0" w:color="auto"/>
        <w:bottom w:val="none" w:sz="0" w:space="0" w:color="auto"/>
        <w:right w:val="none" w:sz="0" w:space="0" w:color="auto"/>
      </w:divBdr>
    </w:div>
    <w:div w:id="1746683347">
      <w:bodyDiv w:val="1"/>
      <w:marLeft w:val="0"/>
      <w:marRight w:val="0"/>
      <w:marTop w:val="0"/>
      <w:marBottom w:val="0"/>
      <w:divBdr>
        <w:top w:val="none" w:sz="0" w:space="0" w:color="auto"/>
        <w:left w:val="none" w:sz="0" w:space="0" w:color="auto"/>
        <w:bottom w:val="none" w:sz="0" w:space="0" w:color="auto"/>
        <w:right w:val="none" w:sz="0" w:space="0" w:color="auto"/>
      </w:divBdr>
    </w:div>
    <w:div w:id="1768455577">
      <w:bodyDiv w:val="1"/>
      <w:marLeft w:val="0"/>
      <w:marRight w:val="0"/>
      <w:marTop w:val="0"/>
      <w:marBottom w:val="0"/>
      <w:divBdr>
        <w:top w:val="none" w:sz="0" w:space="0" w:color="auto"/>
        <w:left w:val="none" w:sz="0" w:space="0" w:color="auto"/>
        <w:bottom w:val="none" w:sz="0" w:space="0" w:color="auto"/>
        <w:right w:val="none" w:sz="0" w:space="0" w:color="auto"/>
      </w:divBdr>
    </w:div>
    <w:div w:id="1800489142">
      <w:bodyDiv w:val="1"/>
      <w:marLeft w:val="0"/>
      <w:marRight w:val="0"/>
      <w:marTop w:val="0"/>
      <w:marBottom w:val="0"/>
      <w:divBdr>
        <w:top w:val="none" w:sz="0" w:space="0" w:color="auto"/>
        <w:left w:val="none" w:sz="0" w:space="0" w:color="auto"/>
        <w:bottom w:val="none" w:sz="0" w:space="0" w:color="auto"/>
        <w:right w:val="none" w:sz="0" w:space="0" w:color="auto"/>
      </w:divBdr>
    </w:div>
    <w:div w:id="1838500437">
      <w:bodyDiv w:val="1"/>
      <w:marLeft w:val="0"/>
      <w:marRight w:val="0"/>
      <w:marTop w:val="0"/>
      <w:marBottom w:val="0"/>
      <w:divBdr>
        <w:top w:val="none" w:sz="0" w:space="0" w:color="auto"/>
        <w:left w:val="none" w:sz="0" w:space="0" w:color="auto"/>
        <w:bottom w:val="none" w:sz="0" w:space="0" w:color="auto"/>
        <w:right w:val="none" w:sz="0" w:space="0" w:color="auto"/>
      </w:divBdr>
    </w:div>
    <w:div w:id="1851600868">
      <w:bodyDiv w:val="1"/>
      <w:marLeft w:val="0"/>
      <w:marRight w:val="0"/>
      <w:marTop w:val="0"/>
      <w:marBottom w:val="0"/>
      <w:divBdr>
        <w:top w:val="none" w:sz="0" w:space="0" w:color="auto"/>
        <w:left w:val="none" w:sz="0" w:space="0" w:color="auto"/>
        <w:bottom w:val="none" w:sz="0" w:space="0" w:color="auto"/>
        <w:right w:val="none" w:sz="0" w:space="0" w:color="auto"/>
      </w:divBdr>
    </w:div>
    <w:div w:id="1856991985">
      <w:bodyDiv w:val="1"/>
      <w:marLeft w:val="0"/>
      <w:marRight w:val="0"/>
      <w:marTop w:val="0"/>
      <w:marBottom w:val="0"/>
      <w:divBdr>
        <w:top w:val="none" w:sz="0" w:space="0" w:color="auto"/>
        <w:left w:val="none" w:sz="0" w:space="0" w:color="auto"/>
        <w:bottom w:val="none" w:sz="0" w:space="0" w:color="auto"/>
        <w:right w:val="none" w:sz="0" w:space="0" w:color="auto"/>
      </w:divBdr>
    </w:div>
    <w:div w:id="1886016537">
      <w:bodyDiv w:val="1"/>
      <w:marLeft w:val="0"/>
      <w:marRight w:val="0"/>
      <w:marTop w:val="0"/>
      <w:marBottom w:val="0"/>
      <w:divBdr>
        <w:top w:val="none" w:sz="0" w:space="0" w:color="auto"/>
        <w:left w:val="none" w:sz="0" w:space="0" w:color="auto"/>
        <w:bottom w:val="none" w:sz="0" w:space="0" w:color="auto"/>
        <w:right w:val="none" w:sz="0" w:space="0" w:color="auto"/>
      </w:divBdr>
    </w:div>
    <w:div w:id="1996907497">
      <w:bodyDiv w:val="1"/>
      <w:marLeft w:val="0"/>
      <w:marRight w:val="0"/>
      <w:marTop w:val="0"/>
      <w:marBottom w:val="0"/>
      <w:divBdr>
        <w:top w:val="none" w:sz="0" w:space="0" w:color="auto"/>
        <w:left w:val="none" w:sz="0" w:space="0" w:color="auto"/>
        <w:bottom w:val="none" w:sz="0" w:space="0" w:color="auto"/>
        <w:right w:val="none" w:sz="0" w:space="0" w:color="auto"/>
      </w:divBdr>
    </w:div>
    <w:div w:id="2078672172">
      <w:bodyDiv w:val="1"/>
      <w:marLeft w:val="0"/>
      <w:marRight w:val="0"/>
      <w:marTop w:val="0"/>
      <w:marBottom w:val="0"/>
      <w:divBdr>
        <w:top w:val="none" w:sz="0" w:space="0" w:color="auto"/>
        <w:left w:val="none" w:sz="0" w:space="0" w:color="auto"/>
        <w:bottom w:val="none" w:sz="0" w:space="0" w:color="auto"/>
        <w:right w:val="none" w:sz="0" w:space="0" w:color="auto"/>
      </w:divBdr>
    </w:div>
    <w:div w:id="2109736231">
      <w:bodyDiv w:val="1"/>
      <w:marLeft w:val="0"/>
      <w:marRight w:val="0"/>
      <w:marTop w:val="0"/>
      <w:marBottom w:val="0"/>
      <w:divBdr>
        <w:top w:val="none" w:sz="0" w:space="0" w:color="auto"/>
        <w:left w:val="none" w:sz="0" w:space="0" w:color="auto"/>
        <w:bottom w:val="none" w:sz="0" w:space="0" w:color="auto"/>
        <w:right w:val="none" w:sz="0" w:space="0" w:color="auto"/>
      </w:divBdr>
    </w:div>
    <w:div w:id="21248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chart" Target="charts/chart1.xml"/><Relationship Id="rId39"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chart" Target="charts/chart8.xml"/><Relationship Id="rId42" Type="http://schemas.openxmlformats.org/officeDocument/2006/relationships/chart" Target="charts/chart16.xml"/><Relationship Id="rId47" Type="http://schemas.openxmlformats.org/officeDocument/2006/relationships/footer" Target="footer5.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nc-nd/4.0/"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chart" Target="charts/chart7.xml"/><Relationship Id="rId38" Type="http://schemas.openxmlformats.org/officeDocument/2006/relationships/chart" Target="charts/chart12.xml"/><Relationship Id="rId46"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chart" Target="charts/chart4.xml"/><Relationship Id="rId41"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4.xml"/><Relationship Id="rId32" Type="http://schemas.openxmlformats.org/officeDocument/2006/relationships/chart" Target="charts/chart6.xml"/><Relationship Id="rId37" Type="http://schemas.openxmlformats.org/officeDocument/2006/relationships/chart" Target="charts/chart11.xml"/><Relationship Id="rId40" Type="http://schemas.openxmlformats.org/officeDocument/2006/relationships/chart" Target="charts/chart14.xml"/><Relationship Id="rId45" Type="http://schemas.openxmlformats.org/officeDocument/2006/relationships/header" Target="header7.xml"/><Relationship Id="rId53"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safetyandquality.gov.au/antimicrobial-use-and-resistance-in-australia/what-is-aura/national-alert-system-for-critical-antimicrobial-resistances-caralert/" TargetMode="External"/><Relationship Id="rId23" Type="http://schemas.openxmlformats.org/officeDocument/2006/relationships/header" Target="header5.xml"/><Relationship Id="rId28" Type="http://schemas.openxmlformats.org/officeDocument/2006/relationships/chart" Target="charts/chart3.xml"/><Relationship Id="rId36" Type="http://schemas.openxmlformats.org/officeDocument/2006/relationships/chart" Target="charts/chart10.xm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image" Target="media/image5.emf"/><Relationship Id="rId44" Type="http://schemas.openxmlformats.org/officeDocument/2006/relationships/chart" Target="charts/chart18.xm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mmunications@safetyandquality.gov.au" TargetMode="External"/><Relationship Id="rId22" Type="http://schemas.openxmlformats.org/officeDocument/2006/relationships/header" Target="header4.xm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9.xml"/><Relationship Id="rId43" Type="http://schemas.openxmlformats.org/officeDocument/2006/relationships/chart" Target="charts/chart17.xml"/><Relationship Id="rId48" Type="http://schemas.openxmlformats.org/officeDocument/2006/relationships/header" Target="header9.xml"/><Relationship Id="rId8" Type="http://schemas.openxmlformats.org/officeDocument/2006/relationships/endnotes" Target="endnot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omoda\AppData\Roaming\Hewlett-Packard\HP%20TRIM\Offline%20Records%20(CP)\Handy%20Stuff%20TEMPLATE%20with%20COVER%20for%20Commission%20publications.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37808185152533"/>
          <c:y val="9.5357783963253687E-2"/>
          <c:w val="0.81258943752711621"/>
          <c:h val="0.69464219696273377"/>
        </c:manualLayout>
      </c:layout>
      <c:barChart>
        <c:barDir val="col"/>
        <c:grouping val="stacked"/>
        <c:varyColors val="0"/>
        <c:ser>
          <c:idx val="0"/>
          <c:order val="0"/>
          <c:tx>
            <c:strRef>
              <c:f>YoY!$B$4</c:f>
              <c:strCache>
                <c:ptCount val="1"/>
                <c:pt idx="0">
                  <c:v>2019 clinical</c:v>
                </c:pt>
              </c:strCache>
            </c:strRef>
          </c:tx>
          <c:spPr>
            <a:effectLst/>
          </c:spPr>
          <c:invertIfNegative val="0"/>
          <c:dLbls>
            <c:spPr>
              <a:noFill/>
              <a:ln>
                <a:noFill/>
              </a:ln>
              <a:effectLst/>
            </c:spPr>
            <c:txPr>
              <a:bodyPr wrap="square" lIns="38100" tIns="19050" rIns="38100" bIns="19050" anchor="ctr">
                <a:spAutoFit/>
              </a:bodyPr>
              <a:lstStyle/>
              <a:p>
                <a:pPr>
                  <a:defRPr sz="800">
                    <a:solidFill>
                      <a:schemeClr val="bg1"/>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YoY!$A$5:$A$16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YoY!$B$5:$B$16</c:f>
              <c:numCache>
                <c:formatCode>General</c:formatCode>
                <c:ptCount val="12"/>
                <c:pt idx="0">
                  <c:v>38</c:v>
                </c:pt>
                <c:pt idx="1">
                  <c:v>36</c:v>
                </c:pt>
              </c:numCache>
            </c:numRef>
          </c:val>
          <c:extLst xmlns:c16r2="http://schemas.microsoft.com/office/drawing/2015/06/chart">
            <c:ext xmlns:c16="http://schemas.microsoft.com/office/drawing/2014/chart" uri="{C3380CC4-5D6E-409C-BE32-E72D297353CC}">
              <c16:uniqueId val="{00000001-B040-4472-91DE-04CF3DC4C403}"/>
            </c:ext>
          </c:extLst>
        </c:ser>
        <c:ser>
          <c:idx val="1"/>
          <c:order val="1"/>
          <c:tx>
            <c:strRef>
              <c:f>YoY!$C$4</c:f>
              <c:strCache>
                <c:ptCount val="1"/>
                <c:pt idx="0">
                  <c:v>2019 screen</c:v>
                </c:pt>
              </c:strCache>
            </c:strRef>
          </c:tx>
          <c:spPr>
            <a:solidFill>
              <a:schemeClr val="accent2"/>
            </a:solidFill>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YoY!$A$5:$A$16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YoY!$C$5:$C$16</c:f>
              <c:numCache>
                <c:formatCode>General</c:formatCode>
                <c:ptCount val="12"/>
                <c:pt idx="0">
                  <c:v>45</c:v>
                </c:pt>
                <c:pt idx="1">
                  <c:v>37</c:v>
                </c:pt>
              </c:numCache>
            </c:numRef>
          </c:val>
          <c:extLst xmlns:c16r2="http://schemas.microsoft.com/office/drawing/2015/06/chart">
            <c:ext xmlns:c16="http://schemas.microsoft.com/office/drawing/2014/chart" uri="{C3380CC4-5D6E-409C-BE32-E72D297353CC}">
              <c16:uniqueId val="{00000000-B040-4472-91DE-04CF3DC4C403}"/>
            </c:ext>
          </c:extLst>
        </c:ser>
        <c:dLbls>
          <c:showLegendKey val="0"/>
          <c:showVal val="0"/>
          <c:showCatName val="0"/>
          <c:showSerName val="0"/>
          <c:showPercent val="0"/>
          <c:showBubbleSize val="0"/>
        </c:dLbls>
        <c:gapWidth val="150"/>
        <c:overlap val="100"/>
        <c:axId val="82979840"/>
        <c:axId val="82982016"/>
      </c:barChart>
      <c:lineChart>
        <c:grouping val="standard"/>
        <c:varyColors val="0"/>
        <c:ser>
          <c:idx val="2"/>
          <c:order val="2"/>
          <c:tx>
            <c:strRef>
              <c:f>YoY!$D$4</c:f>
              <c:strCache>
                <c:ptCount val="1"/>
                <c:pt idx="0">
                  <c:v>2018 total</c:v>
                </c:pt>
              </c:strCache>
            </c:strRef>
          </c:tx>
          <c:spPr>
            <a:ln w="12700">
              <a:solidFill>
                <a:schemeClr val="accent1"/>
              </a:solidFill>
            </a:ln>
          </c:spPr>
          <c:marker>
            <c:symbol val="triangle"/>
            <c:size val="3"/>
            <c:spPr>
              <a:solidFill>
                <a:schemeClr val="accent1"/>
              </a:solidFill>
              <a:ln>
                <a:solidFill>
                  <a:schemeClr val="accent1"/>
                </a:solidFill>
              </a:ln>
            </c:spPr>
          </c:marker>
          <c:cat>
            <c:strRef>
              <c:f>YoY!$A$5:$A$16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YoY!$D$5:$D$16</c:f>
              <c:numCache>
                <c:formatCode>General</c:formatCode>
                <c:ptCount val="12"/>
                <c:pt idx="0">
                  <c:v>52</c:v>
                </c:pt>
                <c:pt idx="1">
                  <c:v>50</c:v>
                </c:pt>
                <c:pt idx="2">
                  <c:v>36</c:v>
                </c:pt>
                <c:pt idx="3">
                  <c:v>58</c:v>
                </c:pt>
                <c:pt idx="4">
                  <c:v>53</c:v>
                </c:pt>
                <c:pt idx="5">
                  <c:v>53</c:v>
                </c:pt>
                <c:pt idx="6">
                  <c:v>44</c:v>
                </c:pt>
                <c:pt idx="7">
                  <c:v>38</c:v>
                </c:pt>
                <c:pt idx="8">
                  <c:v>54</c:v>
                </c:pt>
                <c:pt idx="9">
                  <c:v>60</c:v>
                </c:pt>
                <c:pt idx="10">
                  <c:v>59</c:v>
                </c:pt>
                <c:pt idx="11">
                  <c:v>76</c:v>
                </c:pt>
              </c:numCache>
            </c:numRef>
          </c:val>
          <c:smooth val="0"/>
          <c:extLst xmlns:c16r2="http://schemas.microsoft.com/office/drawing/2015/06/chart">
            <c:ext xmlns:c16="http://schemas.microsoft.com/office/drawing/2014/chart" uri="{C3380CC4-5D6E-409C-BE32-E72D297353CC}">
              <c16:uniqueId val="{00000000-4691-42B0-B628-C27DAD39CA0E}"/>
            </c:ext>
          </c:extLst>
        </c:ser>
        <c:dLbls>
          <c:showLegendKey val="0"/>
          <c:showVal val="0"/>
          <c:showCatName val="0"/>
          <c:showSerName val="0"/>
          <c:showPercent val="0"/>
          <c:showBubbleSize val="0"/>
        </c:dLbls>
        <c:marker val="1"/>
        <c:smooth val="0"/>
        <c:axId val="82979840"/>
        <c:axId val="82982016"/>
      </c:lineChart>
      <c:catAx>
        <c:axId val="82979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2982016"/>
        <c:crosses val="autoZero"/>
        <c:auto val="1"/>
        <c:lblAlgn val="ctr"/>
        <c:lblOffset val="100"/>
        <c:noMultiLvlLbl val="0"/>
      </c:catAx>
      <c:valAx>
        <c:axId val="82982016"/>
        <c:scaling>
          <c:orientation val="minMax"/>
        </c:scaling>
        <c:delete val="0"/>
        <c:axPos val="l"/>
        <c:majorGridlines>
          <c:spPr>
            <a:ln w="3175" cap="flat" cmpd="sng" algn="ctr">
              <a:solidFill>
                <a:schemeClr val="bg2"/>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latin typeface="+mn-lt"/>
                  </a:rPr>
                  <a:t>Number</a:t>
                </a:r>
              </a:p>
            </c:rich>
          </c:tx>
          <c:layout>
            <c:manualLayout>
              <c:xMode val="edge"/>
              <c:yMode val="edge"/>
              <c:x val="3.9689222721809567E-2"/>
              <c:y val="0.3733585217170434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2979840"/>
        <c:crosses val="autoZero"/>
        <c:crossBetween val="between"/>
      </c:valAx>
      <c:spPr>
        <a:noFill/>
        <a:ln>
          <a:noFill/>
        </a:ln>
        <a:effectLst/>
      </c:spPr>
    </c:plotArea>
    <c:legend>
      <c:legendPos val="b"/>
      <c:layout/>
      <c:overlay val="0"/>
      <c:txPr>
        <a:bodyPr/>
        <a:lstStyle/>
        <a:p>
          <a:pPr>
            <a:defRPr sz="900"/>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r>
              <a:rPr lang="en-AU" sz="1050">
                <a:solidFill>
                  <a:sysClr val="windowText" lastClr="000000"/>
                </a:solidFill>
              </a:rPr>
              <a:t>NDM + OXA-48-like</a:t>
            </a:r>
          </a:p>
        </c:rich>
      </c:tx>
      <c:layout/>
      <c:overlay val="0"/>
      <c:spPr>
        <a:noFill/>
        <a:ln>
          <a:noFill/>
        </a:ln>
        <a:effectLst/>
      </c:spPr>
    </c:title>
    <c:autoTitleDeleted val="0"/>
    <c:plotArea>
      <c:layout>
        <c:manualLayout>
          <c:layoutTarget val="inner"/>
          <c:xMode val="edge"/>
          <c:yMode val="edge"/>
          <c:x val="0.15850043962437446"/>
          <c:y val="0.13463324048282266"/>
          <c:w val="0.79116207921083337"/>
          <c:h val="0.61339533115463629"/>
        </c:manualLayout>
      </c:layout>
      <c:barChart>
        <c:barDir val="col"/>
        <c:grouping val="clustered"/>
        <c:varyColors val="0"/>
        <c:ser>
          <c:idx val="0"/>
          <c:order val="0"/>
          <c:tx>
            <c:strRef>
              <c:f>'CPE types'!$B$6</c:f>
              <c:strCache>
                <c:ptCount val="1"/>
                <c:pt idx="0">
                  <c:v>Clinical isolate (n =1)</c:v>
                </c:pt>
              </c:strCache>
            </c:strRef>
          </c:tx>
          <c:spPr>
            <a:solidFill>
              <a:schemeClr val="accent1"/>
            </a:solidFill>
            <a:ln w="12700">
              <a:noFill/>
            </a:ln>
            <a:effectLst/>
          </c:spPr>
          <c:invertIfNegative val="0"/>
          <c:cat>
            <c:strRef>
              <c:f>'CPE types'!$A$7:$A$14</c:f>
              <c:strCache>
                <c:ptCount val="8"/>
                <c:pt idx="0">
                  <c:v>NSW</c:v>
                </c:pt>
                <c:pt idx="1">
                  <c:v>Vic</c:v>
                </c:pt>
                <c:pt idx="2">
                  <c:v>Qld</c:v>
                </c:pt>
                <c:pt idx="3">
                  <c:v>SA</c:v>
                </c:pt>
                <c:pt idx="4">
                  <c:v>WA</c:v>
                </c:pt>
                <c:pt idx="5">
                  <c:v>Tas</c:v>
                </c:pt>
                <c:pt idx="6">
                  <c:v>NT</c:v>
                </c:pt>
                <c:pt idx="7">
                  <c:v>ACT</c:v>
                </c:pt>
              </c:strCache>
            </c:strRef>
          </c:cat>
          <c:val>
            <c:numRef>
              <c:f>'CPE types'!$B$7:$B$14</c:f>
              <c:numCache>
                <c:formatCode>General</c:formatCode>
                <c:ptCount val="8"/>
                <c:pt idx="0">
                  <c:v>0</c:v>
                </c:pt>
                <c:pt idx="1">
                  <c:v>0</c:v>
                </c:pt>
                <c:pt idx="2">
                  <c:v>1</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0-DF56-4B63-8ACB-CB354FC27279}"/>
            </c:ext>
          </c:extLst>
        </c:ser>
        <c:ser>
          <c:idx val="1"/>
          <c:order val="1"/>
          <c:tx>
            <c:strRef>
              <c:f>'CPE types'!$C$6</c:f>
              <c:strCache>
                <c:ptCount val="1"/>
                <c:pt idx="0">
                  <c:v>Screen (n =6)</c:v>
                </c:pt>
              </c:strCache>
            </c:strRef>
          </c:tx>
          <c:spPr>
            <a:solidFill>
              <a:schemeClr val="accent2"/>
            </a:solidFill>
            <a:ln w="12700">
              <a:noFill/>
            </a:ln>
            <a:effectLst/>
          </c:spPr>
          <c:invertIfNegative val="0"/>
          <c:cat>
            <c:strRef>
              <c:f>'CPE types'!$A$7:$A$14</c:f>
              <c:strCache>
                <c:ptCount val="8"/>
                <c:pt idx="0">
                  <c:v>NSW</c:v>
                </c:pt>
                <c:pt idx="1">
                  <c:v>Vic</c:v>
                </c:pt>
                <c:pt idx="2">
                  <c:v>Qld</c:v>
                </c:pt>
                <c:pt idx="3">
                  <c:v>SA</c:v>
                </c:pt>
                <c:pt idx="4">
                  <c:v>WA</c:v>
                </c:pt>
                <c:pt idx="5">
                  <c:v>Tas</c:v>
                </c:pt>
                <c:pt idx="6">
                  <c:v>NT</c:v>
                </c:pt>
                <c:pt idx="7">
                  <c:v>ACT</c:v>
                </c:pt>
              </c:strCache>
            </c:strRef>
          </c:cat>
          <c:val>
            <c:numRef>
              <c:f>'CPE types'!$C$7:$C$14</c:f>
              <c:numCache>
                <c:formatCode>General</c:formatCode>
                <c:ptCount val="8"/>
                <c:pt idx="0">
                  <c:v>2</c:v>
                </c:pt>
                <c:pt idx="1">
                  <c:v>4</c:v>
                </c:pt>
                <c:pt idx="2">
                  <c:v>0</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1-DF56-4B63-8ACB-CB354FC27279}"/>
            </c:ext>
          </c:extLst>
        </c:ser>
        <c:dLbls>
          <c:showLegendKey val="0"/>
          <c:showVal val="0"/>
          <c:showCatName val="0"/>
          <c:showSerName val="0"/>
          <c:showPercent val="0"/>
          <c:showBubbleSize val="0"/>
        </c:dLbls>
        <c:gapWidth val="150"/>
        <c:axId val="84465152"/>
        <c:axId val="84466688"/>
      </c:barChart>
      <c:catAx>
        <c:axId val="8446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4466688"/>
        <c:crosses val="autoZero"/>
        <c:auto val="1"/>
        <c:lblAlgn val="ctr"/>
        <c:lblOffset val="100"/>
        <c:noMultiLvlLbl val="0"/>
      </c:catAx>
      <c:valAx>
        <c:axId val="84466688"/>
        <c:scaling>
          <c:orientation val="minMax"/>
        </c:scaling>
        <c:delete val="0"/>
        <c:axPos val="l"/>
        <c:majorGridlines>
          <c:spPr>
            <a:ln w="9525" cap="flat" cmpd="sng" algn="ctr">
              <a:solidFill>
                <a:schemeClr val="bg2"/>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solidFill>
                      <a:sysClr val="windowText" lastClr="000000"/>
                    </a:solidFill>
                  </a:rPr>
                  <a:t>Number</a:t>
                </a:r>
              </a:p>
            </c:rich>
          </c:tx>
          <c:layout>
            <c:manualLayout>
              <c:xMode val="edge"/>
              <c:yMode val="edge"/>
              <c:x val="2.6449894966823241E-2"/>
              <c:y val="0.3531112232140898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84465152"/>
        <c:crosses val="autoZero"/>
        <c:crossBetween val="between"/>
        <c:majorUnit val="1"/>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37808185152533"/>
          <c:y val="8.5026297782816063E-2"/>
          <c:w val="0.81258943752711621"/>
          <c:h val="0.70596525628848927"/>
        </c:manualLayout>
      </c:layout>
      <c:barChart>
        <c:barDir val="col"/>
        <c:grouping val="clustered"/>
        <c:varyColors val="0"/>
        <c:ser>
          <c:idx val="1"/>
          <c:order val="1"/>
          <c:tx>
            <c:strRef>
              <c:f>YoY!$C$4</c:f>
              <c:strCache>
                <c:ptCount val="1"/>
                <c:pt idx="0">
                  <c:v>2019</c:v>
                </c:pt>
              </c:strCache>
            </c:strRef>
          </c:tx>
          <c:spPr>
            <a:solidFill>
              <a:schemeClr val="accent2"/>
            </a:solidFill>
            <a:ln>
              <a:noFill/>
            </a:ln>
            <a:effectLst/>
          </c:spPr>
          <c:invertIfNegative val="0"/>
          <c:cat>
            <c:strRef>
              <c:f>YoY!$A$5:$A$16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YoY!$C$5:$C$16</c:f>
              <c:numCache>
                <c:formatCode>General</c:formatCode>
                <c:ptCount val="12"/>
                <c:pt idx="0">
                  <c:v>2</c:v>
                </c:pt>
                <c:pt idx="1">
                  <c:v>0</c:v>
                </c:pt>
              </c:numCache>
            </c:numRef>
          </c:val>
          <c:extLst xmlns:c16r2="http://schemas.microsoft.com/office/drawing/2015/06/chart">
            <c:ext xmlns:c16="http://schemas.microsoft.com/office/drawing/2014/chart" uri="{C3380CC4-5D6E-409C-BE32-E72D297353CC}">
              <c16:uniqueId val="{00000000-40B0-40A0-90B5-F84CEF7A9A9B}"/>
            </c:ext>
          </c:extLst>
        </c:ser>
        <c:dLbls>
          <c:showLegendKey val="0"/>
          <c:showVal val="0"/>
          <c:showCatName val="0"/>
          <c:showSerName val="0"/>
          <c:showPercent val="0"/>
          <c:showBubbleSize val="0"/>
        </c:dLbls>
        <c:gapWidth val="150"/>
        <c:axId val="245642368"/>
        <c:axId val="245644288"/>
      </c:barChart>
      <c:lineChart>
        <c:grouping val="standard"/>
        <c:varyColors val="0"/>
        <c:ser>
          <c:idx val="0"/>
          <c:order val="0"/>
          <c:tx>
            <c:strRef>
              <c:f>YoY!$B$4</c:f>
              <c:strCache>
                <c:ptCount val="1"/>
                <c:pt idx="0">
                  <c:v>2018</c:v>
                </c:pt>
              </c:strCache>
            </c:strRef>
          </c:tx>
          <c:spPr>
            <a:ln w="12700" cap="rnd">
              <a:solidFill>
                <a:schemeClr val="accent1"/>
              </a:solidFill>
              <a:round/>
            </a:ln>
            <a:effectLst/>
          </c:spPr>
          <c:marker>
            <c:symbol val="circle"/>
            <c:size val="3"/>
            <c:spPr>
              <a:solidFill>
                <a:schemeClr val="accent1"/>
              </a:solidFill>
              <a:ln w="9525">
                <a:solidFill>
                  <a:schemeClr val="accent1"/>
                </a:solidFill>
              </a:ln>
              <a:effectLst/>
            </c:spPr>
          </c:marker>
          <c:cat>
            <c:strRef>
              <c:f>YoY!$A$5:$A$16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YoY!$B$5:$B$16</c:f>
              <c:numCache>
                <c:formatCode>General</c:formatCode>
                <c:ptCount val="12"/>
                <c:pt idx="0">
                  <c:v>3</c:v>
                </c:pt>
                <c:pt idx="1">
                  <c:v>0</c:v>
                </c:pt>
                <c:pt idx="2">
                  <c:v>1</c:v>
                </c:pt>
                <c:pt idx="3">
                  <c:v>2</c:v>
                </c:pt>
                <c:pt idx="4">
                  <c:v>1</c:v>
                </c:pt>
                <c:pt idx="5">
                  <c:v>2</c:v>
                </c:pt>
                <c:pt idx="6">
                  <c:v>3</c:v>
                </c:pt>
                <c:pt idx="7">
                  <c:v>0</c:v>
                </c:pt>
                <c:pt idx="8">
                  <c:v>1</c:v>
                </c:pt>
                <c:pt idx="9">
                  <c:v>0</c:v>
                </c:pt>
                <c:pt idx="10">
                  <c:v>1</c:v>
                </c:pt>
                <c:pt idx="11">
                  <c:v>0</c:v>
                </c:pt>
              </c:numCache>
            </c:numRef>
          </c:val>
          <c:smooth val="0"/>
          <c:extLst xmlns:c16r2="http://schemas.microsoft.com/office/drawing/2015/06/chart">
            <c:ext xmlns:c16="http://schemas.microsoft.com/office/drawing/2014/chart" uri="{C3380CC4-5D6E-409C-BE32-E72D297353CC}">
              <c16:uniqueId val="{00000001-40B0-40A0-90B5-F84CEF7A9A9B}"/>
            </c:ext>
          </c:extLst>
        </c:ser>
        <c:dLbls>
          <c:showLegendKey val="0"/>
          <c:showVal val="0"/>
          <c:showCatName val="0"/>
          <c:showSerName val="0"/>
          <c:showPercent val="0"/>
          <c:showBubbleSize val="0"/>
        </c:dLbls>
        <c:marker val="1"/>
        <c:smooth val="0"/>
        <c:axId val="245642368"/>
        <c:axId val="245644288"/>
      </c:lineChart>
      <c:catAx>
        <c:axId val="2456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45644288"/>
        <c:crosses val="autoZero"/>
        <c:auto val="1"/>
        <c:lblAlgn val="ctr"/>
        <c:lblOffset val="100"/>
        <c:noMultiLvlLbl val="0"/>
      </c:catAx>
      <c:valAx>
        <c:axId val="245644288"/>
        <c:scaling>
          <c:orientation val="minMax"/>
          <c:max val="5"/>
        </c:scaling>
        <c:delete val="0"/>
        <c:axPos val="l"/>
        <c:majorGridlines>
          <c:spPr>
            <a:ln w="3175" cap="flat" cmpd="sng" algn="ctr">
              <a:solidFill>
                <a:schemeClr val="bg2"/>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latin typeface="+mn-lt"/>
                  </a:rPr>
                  <a:t>Number</a:t>
                </a:r>
              </a:p>
            </c:rich>
          </c:tx>
          <c:layout>
            <c:manualLayout>
              <c:xMode val="edge"/>
              <c:yMode val="edge"/>
              <c:x val="3.9689222721809567E-2"/>
              <c:y val="0.3733585217170434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45642368"/>
        <c:crosses val="autoZero"/>
        <c:crossBetween val="between"/>
        <c:majorUnit val="1"/>
      </c:valAx>
      <c:spPr>
        <a:noFill/>
        <a:ln>
          <a:noFill/>
        </a:ln>
        <a:effectLst/>
      </c:spPr>
    </c:plotArea>
    <c:legend>
      <c:legendPos val="b"/>
      <c:layout>
        <c:manualLayout>
          <c:xMode val="edge"/>
          <c:yMode val="edge"/>
          <c:x val="0.39244741600409838"/>
          <c:y val="0.88612437064044014"/>
          <c:w val="0.21925567387505016"/>
          <c:h val="8.27472246902989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37808185152533"/>
          <c:y val="6.427402800330892E-2"/>
          <c:w val="0.81258943752711621"/>
          <c:h val="0.72671752606799644"/>
        </c:manualLayout>
      </c:layout>
      <c:barChart>
        <c:barDir val="col"/>
        <c:grouping val="clustered"/>
        <c:varyColors val="0"/>
        <c:ser>
          <c:idx val="1"/>
          <c:order val="1"/>
          <c:tx>
            <c:strRef>
              <c:f>YoY!$C$5</c:f>
              <c:strCache>
                <c:ptCount val="1"/>
                <c:pt idx="0">
                  <c:v>2019</c:v>
                </c:pt>
              </c:strCache>
            </c:strRef>
          </c:tx>
          <c:spPr>
            <a:solidFill>
              <a:schemeClr val="accent2"/>
            </a:solidFill>
            <a:ln>
              <a:noFill/>
            </a:ln>
            <a:effectLst/>
          </c:spPr>
          <c:invertIfNegative val="0"/>
          <c:cat>
            <c:strRef>
              <c:f>YoY!$A$6:$A$17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YoY!$C$6:$C$17</c:f>
              <c:numCache>
                <c:formatCode>General</c:formatCode>
                <c:ptCount val="12"/>
                <c:pt idx="0">
                  <c:v>1</c:v>
                </c:pt>
                <c:pt idx="1">
                  <c:v>1</c:v>
                </c:pt>
              </c:numCache>
            </c:numRef>
          </c:val>
          <c:extLst xmlns:c16r2="http://schemas.microsoft.com/office/drawing/2015/06/chart">
            <c:ext xmlns:c16="http://schemas.microsoft.com/office/drawing/2014/chart" uri="{C3380CC4-5D6E-409C-BE32-E72D297353CC}">
              <c16:uniqueId val="{00000000-7008-40B1-A5F3-C407F4B9BAA2}"/>
            </c:ext>
          </c:extLst>
        </c:ser>
        <c:dLbls>
          <c:showLegendKey val="0"/>
          <c:showVal val="0"/>
          <c:showCatName val="0"/>
          <c:showSerName val="0"/>
          <c:showPercent val="0"/>
          <c:showBubbleSize val="0"/>
        </c:dLbls>
        <c:gapWidth val="150"/>
        <c:axId val="245789056"/>
        <c:axId val="245790976"/>
      </c:barChart>
      <c:lineChart>
        <c:grouping val="standard"/>
        <c:varyColors val="0"/>
        <c:ser>
          <c:idx val="0"/>
          <c:order val="0"/>
          <c:tx>
            <c:strRef>
              <c:f>YoY!$B$5</c:f>
              <c:strCache>
                <c:ptCount val="1"/>
                <c:pt idx="0">
                  <c:v>2018</c:v>
                </c:pt>
              </c:strCache>
            </c:strRef>
          </c:tx>
          <c:spPr>
            <a:ln w="12700" cap="rnd">
              <a:solidFill>
                <a:schemeClr val="accent1"/>
              </a:solidFill>
              <a:round/>
            </a:ln>
            <a:effectLst/>
          </c:spPr>
          <c:marker>
            <c:symbol val="circle"/>
            <c:size val="3"/>
            <c:spPr>
              <a:solidFill>
                <a:schemeClr val="accent1"/>
              </a:solidFill>
              <a:ln w="9525">
                <a:solidFill>
                  <a:schemeClr val="accent1"/>
                </a:solidFill>
              </a:ln>
              <a:effectLst/>
            </c:spPr>
          </c:marker>
          <c:cat>
            <c:strRef>
              <c:f>YoY!$A$6:$A$17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YoY!$B$6:$B$17</c:f>
              <c:numCache>
                <c:formatCode>General</c:formatCode>
                <c:ptCount val="12"/>
                <c:pt idx="0">
                  <c:v>3</c:v>
                </c:pt>
                <c:pt idx="1">
                  <c:v>2</c:v>
                </c:pt>
                <c:pt idx="2">
                  <c:v>2</c:v>
                </c:pt>
                <c:pt idx="3">
                  <c:v>3</c:v>
                </c:pt>
                <c:pt idx="4">
                  <c:v>2</c:v>
                </c:pt>
                <c:pt idx="5">
                  <c:v>1</c:v>
                </c:pt>
                <c:pt idx="6">
                  <c:v>4</c:v>
                </c:pt>
                <c:pt idx="7">
                  <c:v>2</c:v>
                </c:pt>
                <c:pt idx="8">
                  <c:v>1</c:v>
                </c:pt>
                <c:pt idx="9">
                  <c:v>1</c:v>
                </c:pt>
                <c:pt idx="10">
                  <c:v>1</c:v>
                </c:pt>
                <c:pt idx="11">
                  <c:v>0</c:v>
                </c:pt>
              </c:numCache>
            </c:numRef>
          </c:val>
          <c:smooth val="0"/>
          <c:extLst xmlns:c16r2="http://schemas.microsoft.com/office/drawing/2015/06/chart">
            <c:ext xmlns:c16="http://schemas.microsoft.com/office/drawing/2014/chart" uri="{C3380CC4-5D6E-409C-BE32-E72D297353CC}">
              <c16:uniqueId val="{00000001-7008-40B1-A5F3-C407F4B9BAA2}"/>
            </c:ext>
          </c:extLst>
        </c:ser>
        <c:dLbls>
          <c:showLegendKey val="0"/>
          <c:showVal val="0"/>
          <c:showCatName val="0"/>
          <c:showSerName val="0"/>
          <c:showPercent val="0"/>
          <c:showBubbleSize val="0"/>
        </c:dLbls>
        <c:marker val="1"/>
        <c:smooth val="0"/>
        <c:axId val="245789056"/>
        <c:axId val="245790976"/>
      </c:lineChart>
      <c:catAx>
        <c:axId val="24578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45790976"/>
        <c:crosses val="autoZero"/>
        <c:auto val="1"/>
        <c:lblAlgn val="ctr"/>
        <c:lblOffset val="100"/>
        <c:noMultiLvlLbl val="0"/>
      </c:catAx>
      <c:valAx>
        <c:axId val="245790976"/>
        <c:scaling>
          <c:orientation val="minMax"/>
          <c:max val="5"/>
        </c:scaling>
        <c:delete val="0"/>
        <c:axPos val="l"/>
        <c:majorGridlines>
          <c:spPr>
            <a:ln w="3175" cap="flat" cmpd="sng" algn="ctr">
              <a:solidFill>
                <a:schemeClr val="bg2"/>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latin typeface="+mn-lt"/>
                  </a:rPr>
                  <a:t>Number</a:t>
                </a:r>
              </a:p>
            </c:rich>
          </c:tx>
          <c:layout>
            <c:manualLayout>
              <c:xMode val="edge"/>
              <c:yMode val="edge"/>
              <c:x val="3.9689222721809567E-2"/>
              <c:y val="0.3733585217170434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45789056"/>
        <c:crosses val="autoZero"/>
        <c:crossBetween val="between"/>
        <c:majorUnit val="1"/>
      </c:valAx>
      <c:spPr>
        <a:noFill/>
        <a:ln>
          <a:noFill/>
        </a:ln>
        <a:effectLst/>
      </c:spPr>
    </c:plotArea>
    <c:legend>
      <c:legendPos val="b"/>
      <c:layout>
        <c:manualLayout>
          <c:xMode val="edge"/>
          <c:yMode val="edge"/>
          <c:x val="0.39244741600409838"/>
          <c:y val="0.88612437064044014"/>
          <c:w val="0.21925567387505016"/>
          <c:h val="8.27472246902989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55496000895499"/>
          <c:y val="7.5607616840233677E-2"/>
          <c:w val="0.57348555722326766"/>
          <c:h val="0.69786996761493536"/>
        </c:manualLayout>
      </c:layout>
      <c:barChart>
        <c:barDir val="col"/>
        <c:grouping val="stacked"/>
        <c:varyColors val="0"/>
        <c:ser>
          <c:idx val="0"/>
          <c:order val="0"/>
          <c:tx>
            <c:strRef>
              <c:f>'Fig 2 (Web)'!$C$4</c:f>
              <c:strCache>
                <c:ptCount val="1"/>
                <c:pt idx="0">
                  <c:v>Azithromycin resistant (HLR &gt; 256 mg/L)
</c:v>
                </c:pt>
              </c:strCache>
            </c:strRef>
          </c:tx>
          <c:spPr>
            <a:effectLst/>
          </c:spPr>
          <c:invertIfNegative val="0"/>
          <c:cat>
            <c:multiLvlStrRef>
              <c:f>'Fig 2 (Web)'!$A$5:$B$18</c:f>
              <c:multiLvlStrCache>
                <c:ptCount val="14"/>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lvl>
                <c:lvl>
                  <c:pt idx="0">
                    <c:v>2018</c:v>
                  </c:pt>
                  <c:pt idx="12">
                    <c:v>2019</c:v>
                  </c:pt>
                </c:lvl>
              </c:multiLvlStrCache>
            </c:multiLvlStrRef>
          </c:cat>
          <c:val>
            <c:numRef>
              <c:f>'Fig 2 (Web)'!$C$5:$C$18</c:f>
              <c:numCache>
                <c:formatCode>General</c:formatCode>
                <c:ptCount val="14"/>
                <c:pt idx="1">
                  <c:v>3</c:v>
                </c:pt>
                <c:pt idx="2">
                  <c:v>2</c:v>
                </c:pt>
                <c:pt idx="4">
                  <c:v>1</c:v>
                </c:pt>
                <c:pt idx="9">
                  <c:v>1</c:v>
                </c:pt>
              </c:numCache>
            </c:numRef>
          </c:val>
          <c:extLst xmlns:c16r2="http://schemas.microsoft.com/office/drawing/2015/06/chart">
            <c:ext xmlns:c16="http://schemas.microsoft.com/office/drawing/2014/chart" uri="{C3380CC4-5D6E-409C-BE32-E72D297353CC}">
              <c16:uniqueId val="{00000000-E95E-4CE6-907C-EFF1534C1A88}"/>
            </c:ext>
          </c:extLst>
        </c:ser>
        <c:ser>
          <c:idx val="2"/>
          <c:order val="1"/>
          <c:tx>
            <c:strRef>
              <c:f>'Fig 2 (Web)'!$D$4</c:f>
              <c:strCache>
                <c:ptCount val="1"/>
                <c:pt idx="0">
                  <c:v>Ceftriaxone non-susceptible
</c:v>
                </c:pt>
              </c:strCache>
            </c:strRef>
          </c:tx>
          <c:spPr>
            <a:effectLst/>
          </c:spPr>
          <c:invertIfNegative val="0"/>
          <c:cat>
            <c:multiLvlStrRef>
              <c:f>'Fig 2 (Web)'!$A$5:$B$18</c:f>
              <c:multiLvlStrCache>
                <c:ptCount val="14"/>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lvl>
                <c:lvl>
                  <c:pt idx="0">
                    <c:v>2018</c:v>
                  </c:pt>
                  <c:pt idx="12">
                    <c:v>2019</c:v>
                  </c:pt>
                </c:lvl>
              </c:multiLvlStrCache>
            </c:multiLvlStrRef>
          </c:cat>
          <c:val>
            <c:numRef>
              <c:f>'Fig 2 (Web)'!$D$5:$D$18</c:f>
              <c:numCache>
                <c:formatCode>General</c:formatCode>
                <c:ptCount val="14"/>
                <c:pt idx="7">
                  <c:v>2</c:v>
                </c:pt>
                <c:pt idx="11">
                  <c:v>1</c:v>
                </c:pt>
              </c:numCache>
            </c:numRef>
          </c:val>
          <c:extLst xmlns:c15="http://schemas.microsoft.com/office/drawing/2012/chart" xmlns:c16r2="http://schemas.microsoft.com/office/drawing/2015/06/chart">
            <c:ext xmlns:c16="http://schemas.microsoft.com/office/drawing/2014/chart" uri="{C3380CC4-5D6E-409C-BE32-E72D297353CC}">
              <c16:uniqueId val="{00000001-E95E-4CE6-907C-EFF1534C1A88}"/>
            </c:ext>
          </c:extLst>
        </c:ser>
        <c:ser>
          <c:idx val="1"/>
          <c:order val="2"/>
          <c:tx>
            <c:strRef>
              <c:f>'Fig 2 (Web)'!$E$4</c:f>
              <c:strCache>
                <c:ptCount val="1"/>
                <c:pt idx="0">
                  <c:v>Ceftriaxone non-susceptible and azithromycin resistant (HLR &gt; 256 mg/L)
</c:v>
                </c:pt>
              </c:strCache>
            </c:strRef>
          </c:tx>
          <c:spPr>
            <a:effectLst/>
          </c:spPr>
          <c:invertIfNegative val="0"/>
          <c:cat>
            <c:multiLvlStrRef>
              <c:f>'Fig 2 (Web)'!$A$5:$B$18</c:f>
              <c:multiLvlStrCache>
                <c:ptCount val="14"/>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lvl>
                <c:lvl>
                  <c:pt idx="0">
                    <c:v>2018</c:v>
                  </c:pt>
                  <c:pt idx="12">
                    <c:v>2019</c:v>
                  </c:pt>
                </c:lvl>
              </c:multiLvlStrCache>
            </c:multiLvlStrRef>
          </c:cat>
          <c:val>
            <c:numRef>
              <c:f>'Fig 2 (Web)'!$E$5:$E$18</c:f>
              <c:numCache>
                <c:formatCode>General</c:formatCode>
                <c:ptCount val="14"/>
                <c:pt idx="1">
                  <c:v>1</c:v>
                </c:pt>
                <c:pt idx="2">
                  <c:v>1</c:v>
                </c:pt>
              </c:numCache>
            </c:numRef>
          </c:val>
          <c:extLst xmlns:c16r2="http://schemas.microsoft.com/office/drawing/2015/06/chart">
            <c:ext xmlns:c16="http://schemas.microsoft.com/office/drawing/2014/chart" uri="{C3380CC4-5D6E-409C-BE32-E72D297353CC}">
              <c16:uniqueId val="{00000002-E95E-4CE6-907C-EFF1534C1A88}"/>
            </c:ext>
          </c:extLst>
        </c:ser>
        <c:ser>
          <c:idx val="3"/>
          <c:order val="3"/>
          <c:tx>
            <c:strRef>
              <c:f>'Fig 2 (Web)'!$F$4</c:f>
              <c:strCache>
                <c:ptCount val="1"/>
                <c:pt idx="0">
                  <c:v>Ceftriaxone non-susceptible and azithromycin resistant (LLR &lt; 256 mg/L)
</c:v>
                </c:pt>
              </c:strCache>
            </c:strRef>
          </c:tx>
          <c:spPr>
            <a:effectLst/>
          </c:spPr>
          <c:invertIfNegative val="0"/>
          <c:cat>
            <c:multiLvlStrRef>
              <c:f>'Fig 2 (Web)'!$A$5:$B$18</c:f>
              <c:multiLvlStrCache>
                <c:ptCount val="14"/>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lvl>
                <c:lvl>
                  <c:pt idx="0">
                    <c:v>2018</c:v>
                  </c:pt>
                  <c:pt idx="12">
                    <c:v>2019</c:v>
                  </c:pt>
                </c:lvl>
              </c:multiLvlStrCache>
            </c:multiLvlStrRef>
          </c:cat>
          <c:val>
            <c:numRef>
              <c:f>'Fig 2 (Web)'!$F$5:$F$18</c:f>
              <c:numCache>
                <c:formatCode>General</c:formatCode>
                <c:ptCount val="14"/>
                <c:pt idx="7">
                  <c:v>1</c:v>
                </c:pt>
              </c:numCache>
            </c:numRef>
          </c:val>
          <c:extLst xmlns:c16r2="http://schemas.microsoft.com/office/drawing/2015/06/chart">
            <c:ext xmlns:c16="http://schemas.microsoft.com/office/drawing/2014/chart" uri="{C3380CC4-5D6E-409C-BE32-E72D297353CC}">
              <c16:uniqueId val="{00000003-E95E-4CE6-907C-EFF1534C1A88}"/>
            </c:ext>
          </c:extLst>
        </c:ser>
        <c:dLbls>
          <c:showLegendKey val="0"/>
          <c:showVal val="0"/>
          <c:showCatName val="0"/>
          <c:showSerName val="0"/>
          <c:showPercent val="0"/>
          <c:showBubbleSize val="0"/>
        </c:dLbls>
        <c:gapWidth val="50"/>
        <c:overlap val="100"/>
        <c:axId val="245869184"/>
        <c:axId val="245879168"/>
      </c:barChart>
      <c:lineChart>
        <c:grouping val="standard"/>
        <c:varyColors val="0"/>
        <c:ser>
          <c:idx val="4"/>
          <c:order val="4"/>
          <c:tx>
            <c:strRef>
              <c:f>'Fig 2 (Web)'!$G$4</c:f>
              <c:strCache>
                <c:ptCount val="1"/>
                <c:pt idx="0">
                  <c:v>Total</c:v>
                </c:pt>
              </c:strCache>
            </c:strRef>
          </c:tx>
          <c:spPr>
            <a:ln>
              <a:noFill/>
            </a:ln>
          </c:spPr>
          <c:marker>
            <c:symbol val="none"/>
          </c:marker>
          <c:cat>
            <c:multiLvlStrRef>
              <c:f>'Fig 2 (Web)'!$A$5:$B$18</c:f>
              <c:multiLvlStrCache>
                <c:ptCount val="14"/>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lvl>
                <c:lvl>
                  <c:pt idx="0">
                    <c:v>2018</c:v>
                  </c:pt>
                  <c:pt idx="12">
                    <c:v>2019</c:v>
                  </c:pt>
                </c:lvl>
              </c:multiLvlStrCache>
            </c:multiLvlStrRef>
          </c:cat>
          <c:val>
            <c:numRef>
              <c:f>'Fig 2 (Web)'!$G$5:$G$18</c:f>
              <c:numCache>
                <c:formatCode>General</c:formatCode>
                <c:ptCount val="14"/>
                <c:pt idx="0">
                  <c:v>0</c:v>
                </c:pt>
                <c:pt idx="1">
                  <c:v>4</c:v>
                </c:pt>
                <c:pt idx="2">
                  <c:v>3</c:v>
                </c:pt>
                <c:pt idx="3">
                  <c:v>0</c:v>
                </c:pt>
                <c:pt idx="4">
                  <c:v>1</c:v>
                </c:pt>
                <c:pt idx="5">
                  <c:v>0</c:v>
                </c:pt>
                <c:pt idx="6">
                  <c:v>0</c:v>
                </c:pt>
                <c:pt idx="7">
                  <c:v>3</c:v>
                </c:pt>
                <c:pt idx="8">
                  <c:v>0</c:v>
                </c:pt>
                <c:pt idx="9">
                  <c:v>1</c:v>
                </c:pt>
                <c:pt idx="10">
                  <c:v>0</c:v>
                </c:pt>
                <c:pt idx="11">
                  <c:v>1</c:v>
                </c:pt>
                <c:pt idx="12">
                  <c:v>0</c:v>
                </c:pt>
                <c:pt idx="13">
                  <c:v>0</c:v>
                </c:pt>
              </c:numCache>
            </c:numRef>
          </c:val>
          <c:smooth val="0"/>
          <c:extLst xmlns:c16r2="http://schemas.microsoft.com/office/drawing/2015/06/chart">
            <c:ext xmlns:c16="http://schemas.microsoft.com/office/drawing/2014/chart" uri="{C3380CC4-5D6E-409C-BE32-E72D297353CC}">
              <c16:uniqueId val="{00000004-E95E-4CE6-907C-EFF1534C1A88}"/>
            </c:ext>
          </c:extLst>
        </c:ser>
        <c:dLbls>
          <c:showLegendKey val="0"/>
          <c:showVal val="0"/>
          <c:showCatName val="0"/>
          <c:showSerName val="0"/>
          <c:showPercent val="0"/>
          <c:showBubbleSize val="0"/>
        </c:dLbls>
        <c:marker val="1"/>
        <c:smooth val="0"/>
        <c:axId val="245882880"/>
        <c:axId val="245881088"/>
      </c:lineChart>
      <c:catAx>
        <c:axId val="24586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45879168"/>
        <c:crosses val="autoZero"/>
        <c:auto val="1"/>
        <c:lblAlgn val="ctr"/>
        <c:lblOffset val="100"/>
        <c:noMultiLvlLbl val="0"/>
      </c:catAx>
      <c:valAx>
        <c:axId val="245879168"/>
        <c:scaling>
          <c:orientation val="minMax"/>
        </c:scaling>
        <c:delete val="0"/>
        <c:axPos val="l"/>
        <c:majorGridlines>
          <c:spPr>
            <a:ln w="3175" cap="flat" cmpd="sng" algn="ctr">
              <a:solidFill>
                <a:schemeClr val="bg2"/>
              </a:solidFill>
              <a:round/>
            </a:ln>
            <a:effectLst/>
          </c:spPr>
        </c:majorGridlines>
        <c:title>
          <c:tx>
            <c:rich>
              <a:bodyPr rot="-5400000" vert="horz"/>
              <a:lstStyle/>
              <a:p>
                <a:pPr>
                  <a:defRPr sz="900" b="0"/>
                </a:pPr>
                <a:r>
                  <a:rPr lang="en-AU" sz="900" b="0"/>
                  <a:t>Number</a:t>
                </a:r>
              </a:p>
            </c:rich>
          </c:tx>
          <c:layout>
            <c:manualLayout>
              <c:xMode val="edge"/>
              <c:yMode val="edge"/>
              <c:x val="3.8672145332253723E-2"/>
              <c:y val="0.38209772669545333"/>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45869184"/>
        <c:crosses val="autoZero"/>
        <c:crossBetween val="between"/>
        <c:majorUnit val="1"/>
      </c:valAx>
      <c:valAx>
        <c:axId val="245881088"/>
        <c:scaling>
          <c:orientation val="minMax"/>
        </c:scaling>
        <c:delete val="0"/>
        <c:axPos val="r"/>
        <c:numFmt formatCode="General" sourceLinked="1"/>
        <c:majorTickMark val="out"/>
        <c:minorTickMark val="none"/>
        <c:tickLblPos val="none"/>
        <c:spPr>
          <a:ln>
            <a:noFill/>
          </a:ln>
        </c:spPr>
        <c:crossAx val="245882880"/>
        <c:crosses val="max"/>
        <c:crossBetween val="between"/>
      </c:valAx>
      <c:catAx>
        <c:axId val="245882880"/>
        <c:scaling>
          <c:orientation val="minMax"/>
        </c:scaling>
        <c:delete val="1"/>
        <c:axPos val="b"/>
        <c:numFmt formatCode="General" sourceLinked="1"/>
        <c:majorTickMark val="out"/>
        <c:minorTickMark val="none"/>
        <c:tickLblPos val="nextTo"/>
        <c:crossAx val="245881088"/>
        <c:crosses val="autoZero"/>
        <c:auto val="1"/>
        <c:lblAlgn val="ctr"/>
        <c:lblOffset val="100"/>
        <c:noMultiLvlLbl val="0"/>
      </c:catAx>
      <c:spPr>
        <a:noFill/>
        <a:ln>
          <a:noFill/>
        </a:ln>
        <a:effectLst/>
      </c:spPr>
    </c:plotArea>
    <c:legend>
      <c:legendPos val="r"/>
      <c:legendEntry>
        <c:idx val="2"/>
        <c:txPr>
          <a:bodyPr/>
          <a:lstStyle/>
          <a:p>
            <a:pPr>
              <a:defRPr sz="800"/>
            </a:pPr>
            <a:endParaRPr lang="en-US"/>
          </a:p>
        </c:txPr>
      </c:legendEntry>
      <c:layout>
        <c:manualLayout>
          <c:xMode val="edge"/>
          <c:yMode val="edge"/>
          <c:x val="0.6915028119150356"/>
          <c:y val="0.22294735839471674"/>
          <c:w val="0.29396984555098093"/>
          <c:h val="0.52890367030734065"/>
        </c:manualLayout>
      </c:layout>
      <c:overlay val="0"/>
      <c:txPr>
        <a:bodyPr/>
        <a:lstStyle/>
        <a:p>
          <a:pPr>
            <a:defRPr sz="800"/>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37808185152533"/>
          <c:y val="8.1167846710693423E-2"/>
          <c:w val="0.81258943752711621"/>
          <c:h val="0.70982346964693932"/>
        </c:manualLayout>
      </c:layout>
      <c:barChart>
        <c:barDir val="col"/>
        <c:grouping val="clustered"/>
        <c:varyColors val="0"/>
        <c:ser>
          <c:idx val="1"/>
          <c:order val="1"/>
          <c:tx>
            <c:strRef>
              <c:f>YoY!$C$5</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YoY!$A$6:$A$17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YoY!$C$6:$C$17</c:f>
              <c:numCache>
                <c:formatCode>General</c:formatCode>
                <c:ptCount val="12"/>
                <c:pt idx="0">
                  <c:v>49</c:v>
                </c:pt>
                <c:pt idx="1">
                  <c:v>22</c:v>
                </c:pt>
              </c:numCache>
            </c:numRef>
          </c:val>
          <c:extLst xmlns:c16r2="http://schemas.microsoft.com/office/drawing/2015/06/chart">
            <c:ext xmlns:c16="http://schemas.microsoft.com/office/drawing/2014/chart" uri="{C3380CC4-5D6E-409C-BE32-E72D297353CC}">
              <c16:uniqueId val="{00000000-7EE0-4322-B7E6-12FA6FB061E2}"/>
            </c:ext>
          </c:extLst>
        </c:ser>
        <c:dLbls>
          <c:showLegendKey val="0"/>
          <c:showVal val="0"/>
          <c:showCatName val="0"/>
          <c:showSerName val="0"/>
          <c:showPercent val="0"/>
          <c:showBubbleSize val="0"/>
        </c:dLbls>
        <c:gapWidth val="150"/>
        <c:axId val="246419456"/>
        <c:axId val="246421376"/>
      </c:barChart>
      <c:lineChart>
        <c:grouping val="standard"/>
        <c:varyColors val="0"/>
        <c:ser>
          <c:idx val="0"/>
          <c:order val="0"/>
          <c:tx>
            <c:strRef>
              <c:f>YoY!$B$5</c:f>
              <c:strCache>
                <c:ptCount val="1"/>
                <c:pt idx="0">
                  <c:v>2018</c:v>
                </c:pt>
              </c:strCache>
            </c:strRef>
          </c:tx>
          <c:spPr>
            <a:ln w="12700" cap="rnd">
              <a:solidFill>
                <a:schemeClr val="accent1"/>
              </a:solidFill>
              <a:round/>
            </a:ln>
            <a:effectLst/>
          </c:spPr>
          <c:marker>
            <c:symbol val="circle"/>
            <c:size val="3"/>
            <c:spPr>
              <a:solidFill>
                <a:schemeClr val="accent1"/>
              </a:solidFill>
              <a:ln w="9525">
                <a:solidFill>
                  <a:schemeClr val="accent1"/>
                </a:solidFill>
              </a:ln>
              <a:effectLst/>
            </c:spPr>
          </c:marker>
          <c:cat>
            <c:strRef>
              <c:f>YoY!$A$6:$A$17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YoY!$B$6:$B$17</c:f>
              <c:numCache>
                <c:formatCode>General</c:formatCode>
                <c:ptCount val="12"/>
                <c:pt idx="0">
                  <c:v>50</c:v>
                </c:pt>
                <c:pt idx="1">
                  <c:v>37</c:v>
                </c:pt>
                <c:pt idx="2">
                  <c:v>26</c:v>
                </c:pt>
                <c:pt idx="3">
                  <c:v>30</c:v>
                </c:pt>
                <c:pt idx="4">
                  <c:v>50</c:v>
                </c:pt>
                <c:pt idx="5">
                  <c:v>52</c:v>
                </c:pt>
                <c:pt idx="6">
                  <c:v>56</c:v>
                </c:pt>
                <c:pt idx="7">
                  <c:v>59</c:v>
                </c:pt>
                <c:pt idx="8">
                  <c:v>36</c:v>
                </c:pt>
                <c:pt idx="9">
                  <c:v>51</c:v>
                </c:pt>
                <c:pt idx="10">
                  <c:v>42</c:v>
                </c:pt>
                <c:pt idx="11">
                  <c:v>29</c:v>
                </c:pt>
              </c:numCache>
            </c:numRef>
          </c:val>
          <c:smooth val="0"/>
          <c:extLst xmlns:c16r2="http://schemas.microsoft.com/office/drawing/2015/06/chart">
            <c:ext xmlns:c16="http://schemas.microsoft.com/office/drawing/2014/chart" uri="{C3380CC4-5D6E-409C-BE32-E72D297353CC}">
              <c16:uniqueId val="{00000001-7EE0-4322-B7E6-12FA6FB061E2}"/>
            </c:ext>
          </c:extLst>
        </c:ser>
        <c:dLbls>
          <c:showLegendKey val="0"/>
          <c:showVal val="0"/>
          <c:showCatName val="0"/>
          <c:showSerName val="0"/>
          <c:showPercent val="0"/>
          <c:showBubbleSize val="0"/>
        </c:dLbls>
        <c:marker val="1"/>
        <c:smooth val="0"/>
        <c:axId val="246419456"/>
        <c:axId val="246421376"/>
      </c:lineChart>
      <c:catAx>
        <c:axId val="24641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46421376"/>
        <c:crosses val="autoZero"/>
        <c:auto val="1"/>
        <c:lblAlgn val="ctr"/>
        <c:lblOffset val="100"/>
        <c:noMultiLvlLbl val="0"/>
      </c:catAx>
      <c:valAx>
        <c:axId val="246421376"/>
        <c:scaling>
          <c:orientation val="minMax"/>
        </c:scaling>
        <c:delete val="0"/>
        <c:axPos val="l"/>
        <c:majorGridlines>
          <c:spPr>
            <a:ln w="3175" cap="flat" cmpd="sng" algn="ctr">
              <a:solidFill>
                <a:schemeClr val="bg2"/>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latin typeface="+mn-lt"/>
                  </a:rPr>
                  <a:t>Number</a:t>
                </a:r>
              </a:p>
            </c:rich>
          </c:tx>
          <c:layout>
            <c:manualLayout>
              <c:xMode val="edge"/>
              <c:yMode val="edge"/>
              <c:x val="3.9689222721809567E-2"/>
              <c:y val="0.3733585217170434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46419456"/>
        <c:crosses val="autoZero"/>
        <c:crossBetween val="between"/>
      </c:valAx>
      <c:spPr>
        <a:noFill/>
        <a:ln>
          <a:noFill/>
        </a:ln>
        <a:effectLst/>
      </c:spPr>
    </c:plotArea>
    <c:legend>
      <c:legendPos val="b"/>
      <c:layout>
        <c:manualLayout>
          <c:xMode val="edge"/>
          <c:yMode val="edge"/>
          <c:x val="0.39244741600409838"/>
          <c:y val="0.88612437064044014"/>
          <c:w val="0.21925567387505016"/>
          <c:h val="8.27472246902989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37808185152533"/>
          <c:y val="8.1167846710693423E-2"/>
          <c:w val="0.81258943752711621"/>
          <c:h val="0.63925895351790707"/>
        </c:manualLayout>
      </c:layout>
      <c:barChart>
        <c:barDir val="col"/>
        <c:grouping val="clustered"/>
        <c:varyColors val="0"/>
        <c:ser>
          <c:idx val="0"/>
          <c:order val="0"/>
          <c:tx>
            <c:strRef>
              <c:f>YoY!$C$5</c:f>
              <c:strCache>
                <c:ptCount val="1"/>
                <c:pt idx="0">
                  <c:v>Azithromycin resistant (LLR &lt; 256 mg/L)
</c:v>
                </c:pt>
              </c:strCache>
            </c:strRef>
          </c:tx>
          <c:spPr>
            <a:solidFill>
              <a:schemeClr val="accent1"/>
            </a:solidFill>
            <a:ln w="12700">
              <a:noFill/>
            </a:ln>
            <a:effectLst/>
          </c:spPr>
          <c:invertIfNegative val="0"/>
          <c:cat>
            <c:multiLvlStrRef>
              <c:f>YoY!$A$6:$B$21</c:f>
              <c:multiLvlStrCache>
                <c:ptCount val="16"/>
                <c:lvl>
                  <c:pt idx="0">
                    <c:v>Jan</c:v>
                  </c:pt>
                  <c:pt idx="1">
                    <c:v>Feb</c:v>
                  </c:pt>
                  <c:pt idx="2">
                    <c:v>Jan</c:v>
                  </c:pt>
                  <c:pt idx="3">
                    <c:v>Feb</c:v>
                  </c:pt>
                  <c:pt idx="4">
                    <c:v>Jan</c:v>
                  </c:pt>
                  <c:pt idx="5">
                    <c:v>Feb</c:v>
                  </c:pt>
                  <c:pt idx="6">
                    <c:v>Jan</c:v>
                  </c:pt>
                  <c:pt idx="7">
                    <c:v>Feb</c:v>
                  </c:pt>
                  <c:pt idx="8">
                    <c:v>Jan</c:v>
                  </c:pt>
                  <c:pt idx="9">
                    <c:v>Feb</c:v>
                  </c:pt>
                  <c:pt idx="10">
                    <c:v>Jan</c:v>
                  </c:pt>
                  <c:pt idx="11">
                    <c:v>Feb</c:v>
                  </c:pt>
                  <c:pt idx="12">
                    <c:v>Jan</c:v>
                  </c:pt>
                  <c:pt idx="13">
                    <c:v>Feb</c:v>
                  </c:pt>
                  <c:pt idx="14">
                    <c:v>Jan</c:v>
                  </c:pt>
                  <c:pt idx="15">
                    <c:v>Feb</c:v>
                  </c:pt>
                </c:lvl>
                <c:lvl>
                  <c:pt idx="0">
                    <c:v>NSW</c:v>
                  </c:pt>
                  <c:pt idx="2">
                    <c:v>Vic</c:v>
                  </c:pt>
                  <c:pt idx="4">
                    <c:v>Qld</c:v>
                  </c:pt>
                  <c:pt idx="6">
                    <c:v>SA</c:v>
                  </c:pt>
                  <c:pt idx="8">
                    <c:v>WA</c:v>
                  </c:pt>
                  <c:pt idx="10">
                    <c:v>Tas</c:v>
                  </c:pt>
                  <c:pt idx="12">
                    <c:v>NT</c:v>
                  </c:pt>
                  <c:pt idx="14">
                    <c:v>ACT</c:v>
                  </c:pt>
                </c:lvl>
              </c:multiLvlStrCache>
            </c:multiLvlStrRef>
          </c:cat>
          <c:val>
            <c:numRef>
              <c:f>YoY!$C$6:$C$21</c:f>
              <c:numCache>
                <c:formatCode>General</c:formatCode>
                <c:ptCount val="16"/>
                <c:pt idx="0">
                  <c:v>31</c:v>
                </c:pt>
                <c:pt idx="1">
                  <c:v>18</c:v>
                </c:pt>
                <c:pt idx="2">
                  <c:v>7</c:v>
                </c:pt>
                <c:pt idx="3">
                  <c:v>2</c:v>
                </c:pt>
                <c:pt idx="4">
                  <c:v>4</c:v>
                </c:pt>
                <c:pt idx="8">
                  <c:v>5</c:v>
                </c:pt>
                <c:pt idx="14">
                  <c:v>2</c:v>
                </c:pt>
                <c:pt idx="15">
                  <c:v>2</c:v>
                </c:pt>
              </c:numCache>
            </c:numRef>
          </c:val>
          <c:extLst xmlns:c16r2="http://schemas.microsoft.com/office/drawing/2015/06/chart">
            <c:ext xmlns:c16="http://schemas.microsoft.com/office/drawing/2014/chart" uri="{C3380CC4-5D6E-409C-BE32-E72D297353CC}">
              <c16:uniqueId val="{00000001-FC1B-45FC-A84D-00C78220C652}"/>
            </c:ext>
          </c:extLst>
        </c:ser>
        <c:dLbls>
          <c:showLegendKey val="0"/>
          <c:showVal val="0"/>
          <c:showCatName val="0"/>
          <c:showSerName val="0"/>
          <c:showPercent val="0"/>
          <c:showBubbleSize val="0"/>
        </c:dLbls>
        <c:gapWidth val="150"/>
        <c:axId val="246459008"/>
        <c:axId val="246460800"/>
      </c:barChart>
      <c:catAx>
        <c:axId val="24645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46460800"/>
        <c:crosses val="autoZero"/>
        <c:auto val="1"/>
        <c:lblAlgn val="ctr"/>
        <c:lblOffset val="100"/>
        <c:noMultiLvlLbl val="0"/>
      </c:catAx>
      <c:valAx>
        <c:axId val="246460800"/>
        <c:scaling>
          <c:orientation val="minMax"/>
        </c:scaling>
        <c:delete val="0"/>
        <c:axPos val="l"/>
        <c:majorGridlines>
          <c:spPr>
            <a:ln w="3175" cap="flat" cmpd="sng" algn="ctr">
              <a:solidFill>
                <a:schemeClr val="bg2"/>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latin typeface="+mn-lt"/>
                  </a:rPr>
                  <a:t>Number</a:t>
                </a:r>
              </a:p>
            </c:rich>
          </c:tx>
          <c:layout>
            <c:manualLayout>
              <c:xMode val="edge"/>
              <c:yMode val="edge"/>
              <c:x val="3.9689222721809567E-2"/>
              <c:y val="0.3733585217170434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46459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37808185152533"/>
          <c:y val="9.124849187198375E-2"/>
          <c:w val="0.81258943752711621"/>
          <c:h val="0.69974282448564895"/>
        </c:manualLayout>
      </c:layout>
      <c:barChart>
        <c:barDir val="col"/>
        <c:grouping val="clustered"/>
        <c:varyColors val="0"/>
        <c:ser>
          <c:idx val="1"/>
          <c:order val="1"/>
          <c:tx>
            <c:strRef>
              <c:f>YoY!$C$5</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YoY!$A$6:$A$17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YoY!$C$6:$C$17</c:f>
              <c:numCache>
                <c:formatCode>General</c:formatCode>
                <c:ptCount val="12"/>
                <c:pt idx="0">
                  <c:v>0</c:v>
                </c:pt>
                <c:pt idx="1">
                  <c:v>4</c:v>
                </c:pt>
              </c:numCache>
            </c:numRef>
          </c:val>
          <c:extLst xmlns:c16r2="http://schemas.microsoft.com/office/drawing/2015/06/chart">
            <c:ext xmlns:c16="http://schemas.microsoft.com/office/drawing/2014/chart" uri="{C3380CC4-5D6E-409C-BE32-E72D297353CC}">
              <c16:uniqueId val="{00000000-2DBF-4A9E-AA39-0830DBD8D020}"/>
            </c:ext>
          </c:extLst>
        </c:ser>
        <c:dLbls>
          <c:showLegendKey val="0"/>
          <c:showVal val="0"/>
          <c:showCatName val="0"/>
          <c:showSerName val="0"/>
          <c:showPercent val="0"/>
          <c:showBubbleSize val="0"/>
        </c:dLbls>
        <c:gapWidth val="150"/>
        <c:axId val="246527488"/>
        <c:axId val="246529408"/>
      </c:barChart>
      <c:lineChart>
        <c:grouping val="standard"/>
        <c:varyColors val="0"/>
        <c:ser>
          <c:idx val="0"/>
          <c:order val="0"/>
          <c:tx>
            <c:strRef>
              <c:f>YoY!$B$5</c:f>
              <c:strCache>
                <c:ptCount val="1"/>
                <c:pt idx="0">
                  <c:v>2018</c:v>
                </c:pt>
              </c:strCache>
            </c:strRef>
          </c:tx>
          <c:spPr>
            <a:ln w="12700" cap="rnd">
              <a:solidFill>
                <a:schemeClr val="accent1"/>
              </a:solidFill>
              <a:round/>
            </a:ln>
            <a:effectLst/>
          </c:spPr>
          <c:marker>
            <c:symbol val="circle"/>
            <c:size val="3"/>
            <c:spPr>
              <a:solidFill>
                <a:schemeClr val="accent1"/>
              </a:solidFill>
              <a:ln w="9525">
                <a:solidFill>
                  <a:schemeClr val="accent1"/>
                </a:solidFill>
              </a:ln>
              <a:effectLst/>
            </c:spPr>
          </c:marker>
          <c:cat>
            <c:strRef>
              <c:f>YoY!$A$6:$A$17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YoY!$B$6:$B$17</c:f>
              <c:numCache>
                <c:formatCode>General</c:formatCode>
                <c:ptCount val="12"/>
                <c:pt idx="0">
                  <c:v>4</c:v>
                </c:pt>
                <c:pt idx="1">
                  <c:v>4</c:v>
                </c:pt>
                <c:pt idx="2">
                  <c:v>5</c:v>
                </c:pt>
                <c:pt idx="3">
                  <c:v>4</c:v>
                </c:pt>
                <c:pt idx="4">
                  <c:v>9</c:v>
                </c:pt>
                <c:pt idx="5">
                  <c:v>8</c:v>
                </c:pt>
                <c:pt idx="6">
                  <c:v>1</c:v>
                </c:pt>
                <c:pt idx="7">
                  <c:v>6</c:v>
                </c:pt>
                <c:pt idx="8">
                  <c:v>3</c:v>
                </c:pt>
                <c:pt idx="9">
                  <c:v>2</c:v>
                </c:pt>
                <c:pt idx="10">
                  <c:v>3</c:v>
                </c:pt>
                <c:pt idx="11">
                  <c:v>3</c:v>
                </c:pt>
              </c:numCache>
            </c:numRef>
          </c:val>
          <c:smooth val="0"/>
          <c:extLst xmlns:c16r2="http://schemas.microsoft.com/office/drawing/2015/06/chart">
            <c:ext xmlns:c16="http://schemas.microsoft.com/office/drawing/2014/chart" uri="{C3380CC4-5D6E-409C-BE32-E72D297353CC}">
              <c16:uniqueId val="{00000001-2DBF-4A9E-AA39-0830DBD8D020}"/>
            </c:ext>
          </c:extLst>
        </c:ser>
        <c:dLbls>
          <c:showLegendKey val="0"/>
          <c:showVal val="0"/>
          <c:showCatName val="0"/>
          <c:showSerName val="0"/>
          <c:showPercent val="0"/>
          <c:showBubbleSize val="0"/>
        </c:dLbls>
        <c:marker val="1"/>
        <c:smooth val="0"/>
        <c:axId val="246527488"/>
        <c:axId val="246529408"/>
      </c:lineChart>
      <c:catAx>
        <c:axId val="24652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46529408"/>
        <c:crosses val="autoZero"/>
        <c:auto val="1"/>
        <c:lblAlgn val="ctr"/>
        <c:lblOffset val="100"/>
        <c:noMultiLvlLbl val="0"/>
      </c:catAx>
      <c:valAx>
        <c:axId val="246529408"/>
        <c:scaling>
          <c:orientation val="minMax"/>
        </c:scaling>
        <c:delete val="0"/>
        <c:axPos val="l"/>
        <c:majorGridlines>
          <c:spPr>
            <a:ln w="3175" cap="flat" cmpd="sng" algn="ctr">
              <a:solidFill>
                <a:schemeClr val="bg2"/>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latin typeface="+mn-lt"/>
                  </a:rPr>
                  <a:t>Number</a:t>
                </a:r>
              </a:p>
            </c:rich>
          </c:tx>
          <c:layout>
            <c:manualLayout>
              <c:xMode val="edge"/>
              <c:yMode val="edge"/>
              <c:x val="3.9689222721809567E-2"/>
              <c:y val="0.3733585217170434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46527488"/>
        <c:crosses val="autoZero"/>
        <c:crossBetween val="between"/>
        <c:majorUnit val="2"/>
      </c:valAx>
      <c:spPr>
        <a:noFill/>
        <a:ln>
          <a:noFill/>
        </a:ln>
        <a:effectLst/>
      </c:spPr>
    </c:plotArea>
    <c:legend>
      <c:legendPos val="b"/>
      <c:layout>
        <c:manualLayout>
          <c:xMode val="edge"/>
          <c:yMode val="edge"/>
          <c:x val="0.39244741600409838"/>
          <c:y val="0.88612437064044014"/>
          <c:w val="0.21925567387505016"/>
          <c:h val="8.27472246902989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37808185152533"/>
          <c:y val="7.6127524130048266E-2"/>
          <c:w val="0.81258943752711621"/>
          <c:h val="0.71486379222758445"/>
        </c:manualLayout>
      </c:layout>
      <c:barChart>
        <c:barDir val="col"/>
        <c:grouping val="stacked"/>
        <c:varyColors val="0"/>
        <c:ser>
          <c:idx val="1"/>
          <c:order val="1"/>
          <c:tx>
            <c:strRef>
              <c:f>YoY!$F$5:$F$6</c:f>
              <c:strCache>
                <c:ptCount val="1"/>
                <c:pt idx="0">
                  <c:v>2019 S. sonnei</c:v>
                </c:pt>
              </c:strCache>
            </c:strRef>
          </c:tx>
          <c:spPr>
            <a:solidFill>
              <a:schemeClr val="accent2"/>
            </a:solidFill>
            <a:ln>
              <a:noFill/>
            </a:ln>
            <a:effectLst/>
          </c:spPr>
          <c:invertIfNegative val="0"/>
          <c:cat>
            <c:strRef>
              <c:f>YoY!$A$7:$A$18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YoY!$F$7:$F$18</c:f>
              <c:numCache>
                <c:formatCode>General</c:formatCode>
                <c:ptCount val="12"/>
                <c:pt idx="0">
                  <c:v>4</c:v>
                </c:pt>
                <c:pt idx="1">
                  <c:v>6</c:v>
                </c:pt>
              </c:numCache>
            </c:numRef>
          </c:val>
          <c:extLst xmlns:c16r2="http://schemas.microsoft.com/office/drawing/2015/06/chart">
            <c:ext xmlns:c16="http://schemas.microsoft.com/office/drawing/2014/chart" uri="{C3380CC4-5D6E-409C-BE32-E72D297353CC}">
              <c16:uniqueId val="{00000000-43AD-48A4-A6B9-05802FCD6DCA}"/>
            </c:ext>
          </c:extLst>
        </c:ser>
        <c:ser>
          <c:idx val="2"/>
          <c:order val="2"/>
          <c:tx>
            <c:strRef>
              <c:f>YoY!$G$5:$G$6</c:f>
              <c:strCache>
                <c:ptCount val="1"/>
                <c:pt idx="0">
                  <c:v>2019 S. flexneri</c:v>
                </c:pt>
              </c:strCache>
            </c:strRef>
          </c:tx>
          <c:spPr>
            <a:solidFill>
              <a:schemeClr val="accent3"/>
            </a:solidFill>
            <a:ln>
              <a:noFill/>
            </a:ln>
            <a:effectLst/>
          </c:spPr>
          <c:invertIfNegative val="0"/>
          <c:cat>
            <c:strRef>
              <c:f>YoY!$A$7:$A$18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YoY!$G$7:$G$18</c:f>
              <c:numCache>
                <c:formatCode>General</c:formatCode>
                <c:ptCount val="12"/>
                <c:pt idx="0">
                  <c:v>2</c:v>
                </c:pt>
                <c:pt idx="1">
                  <c:v>0</c:v>
                </c:pt>
              </c:numCache>
            </c:numRef>
          </c:val>
          <c:extLst xmlns:c16r2="http://schemas.microsoft.com/office/drawing/2015/06/chart">
            <c:ext xmlns:c16="http://schemas.microsoft.com/office/drawing/2014/chart" uri="{C3380CC4-5D6E-409C-BE32-E72D297353CC}">
              <c16:uniqueId val="{00000000-E4D2-4DA1-882B-3370BB6EE1FC}"/>
            </c:ext>
          </c:extLst>
        </c:ser>
        <c:dLbls>
          <c:showLegendKey val="0"/>
          <c:showVal val="0"/>
          <c:showCatName val="0"/>
          <c:showSerName val="0"/>
          <c:showPercent val="0"/>
          <c:showBubbleSize val="0"/>
        </c:dLbls>
        <c:gapWidth val="150"/>
        <c:overlap val="100"/>
        <c:axId val="246625024"/>
        <c:axId val="246626560"/>
      </c:barChart>
      <c:lineChart>
        <c:grouping val="standard"/>
        <c:varyColors val="0"/>
        <c:ser>
          <c:idx val="0"/>
          <c:order val="0"/>
          <c:tx>
            <c:strRef>
              <c:f>YoY!$E$5:$E$6</c:f>
              <c:strCache>
                <c:ptCount val="1"/>
                <c:pt idx="0">
                  <c:v>2018 Total</c:v>
                </c:pt>
              </c:strCache>
            </c:strRef>
          </c:tx>
          <c:spPr>
            <a:ln w="12700" cap="rnd">
              <a:solidFill>
                <a:schemeClr val="accent1"/>
              </a:solidFill>
              <a:round/>
            </a:ln>
            <a:effectLst/>
          </c:spPr>
          <c:marker>
            <c:symbol val="circle"/>
            <c:size val="3"/>
            <c:spPr>
              <a:solidFill>
                <a:schemeClr val="accent1"/>
              </a:solidFill>
              <a:ln w="9525">
                <a:solidFill>
                  <a:schemeClr val="accent1"/>
                </a:solidFill>
              </a:ln>
              <a:effectLst/>
            </c:spPr>
          </c:marker>
          <c:cat>
            <c:strRef>
              <c:f>YoY!$A$7:$A$18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YoY!$E$7:$E$18</c:f>
              <c:numCache>
                <c:formatCode>General</c:formatCode>
                <c:ptCount val="12"/>
                <c:pt idx="0">
                  <c:v>10</c:v>
                </c:pt>
                <c:pt idx="1">
                  <c:v>10</c:v>
                </c:pt>
                <c:pt idx="2">
                  <c:v>4</c:v>
                </c:pt>
                <c:pt idx="3">
                  <c:v>3</c:v>
                </c:pt>
                <c:pt idx="4">
                  <c:v>6</c:v>
                </c:pt>
                <c:pt idx="5">
                  <c:v>0</c:v>
                </c:pt>
                <c:pt idx="6">
                  <c:v>1</c:v>
                </c:pt>
                <c:pt idx="7">
                  <c:v>4</c:v>
                </c:pt>
                <c:pt idx="8">
                  <c:v>1</c:v>
                </c:pt>
                <c:pt idx="9">
                  <c:v>7</c:v>
                </c:pt>
                <c:pt idx="10">
                  <c:v>10</c:v>
                </c:pt>
                <c:pt idx="11">
                  <c:v>8</c:v>
                </c:pt>
              </c:numCache>
            </c:numRef>
          </c:val>
          <c:smooth val="0"/>
          <c:extLst xmlns:c16r2="http://schemas.microsoft.com/office/drawing/2015/06/chart">
            <c:ext xmlns:c16="http://schemas.microsoft.com/office/drawing/2014/chart" uri="{C3380CC4-5D6E-409C-BE32-E72D297353CC}">
              <c16:uniqueId val="{00000001-43AD-48A4-A6B9-05802FCD6DCA}"/>
            </c:ext>
          </c:extLst>
        </c:ser>
        <c:ser>
          <c:idx val="3"/>
          <c:order val="3"/>
          <c:tx>
            <c:strRef>
              <c:f>YoY!$H$6</c:f>
              <c:strCache>
                <c:ptCount val="1"/>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YoY!$A$7:$A$18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YoY!$H$7:$H$18</c:f>
              <c:numCache>
                <c:formatCode>General</c:formatCode>
                <c:ptCount val="12"/>
                <c:pt idx="0">
                  <c:v>6</c:v>
                </c:pt>
                <c:pt idx="1">
                  <c:v>6</c:v>
                </c:pt>
              </c:numCache>
            </c:numRef>
          </c:val>
          <c:smooth val="0"/>
          <c:extLst xmlns:c16r2="http://schemas.microsoft.com/office/drawing/2015/06/chart">
            <c:ext xmlns:c16="http://schemas.microsoft.com/office/drawing/2014/chart" uri="{C3380CC4-5D6E-409C-BE32-E72D297353CC}">
              <c16:uniqueId val="{00000001-E4D2-4DA1-882B-3370BB6EE1FC}"/>
            </c:ext>
          </c:extLst>
        </c:ser>
        <c:dLbls>
          <c:showLegendKey val="0"/>
          <c:showVal val="0"/>
          <c:showCatName val="0"/>
          <c:showSerName val="0"/>
          <c:showPercent val="0"/>
          <c:showBubbleSize val="0"/>
        </c:dLbls>
        <c:marker val="1"/>
        <c:smooth val="0"/>
        <c:axId val="246625024"/>
        <c:axId val="246626560"/>
      </c:lineChart>
      <c:catAx>
        <c:axId val="24662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46626560"/>
        <c:crosses val="autoZero"/>
        <c:auto val="1"/>
        <c:lblAlgn val="ctr"/>
        <c:lblOffset val="100"/>
        <c:noMultiLvlLbl val="0"/>
      </c:catAx>
      <c:valAx>
        <c:axId val="246626560"/>
        <c:scaling>
          <c:orientation val="minMax"/>
        </c:scaling>
        <c:delete val="0"/>
        <c:axPos val="l"/>
        <c:majorGridlines>
          <c:spPr>
            <a:ln w="3175" cap="flat" cmpd="sng" algn="ctr">
              <a:solidFill>
                <a:schemeClr val="bg2"/>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latin typeface="+mn-lt"/>
                  </a:rPr>
                  <a:t>Number</a:t>
                </a:r>
              </a:p>
            </c:rich>
          </c:tx>
          <c:layout>
            <c:manualLayout>
              <c:xMode val="edge"/>
              <c:yMode val="edge"/>
              <c:x val="3.9689222721809567E-2"/>
              <c:y val="0.3733585217170434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46625024"/>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37808185152533"/>
          <c:y val="0.1005905001174464"/>
          <c:w val="0.81258943752711621"/>
          <c:h val="0.69040105395385876"/>
        </c:manualLayout>
      </c:layout>
      <c:barChart>
        <c:barDir val="col"/>
        <c:grouping val="clustered"/>
        <c:varyColors val="0"/>
        <c:ser>
          <c:idx val="1"/>
          <c:order val="1"/>
          <c:tx>
            <c:strRef>
              <c:f>YoY!$C$5</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YoY!$A$6:$A$17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YoY!$C$6:$C$17</c:f>
              <c:numCache>
                <c:formatCode>General</c:formatCode>
                <c:ptCount val="12"/>
                <c:pt idx="0">
                  <c:v>11</c:v>
                </c:pt>
                <c:pt idx="1">
                  <c:v>12</c:v>
                </c:pt>
              </c:numCache>
            </c:numRef>
          </c:val>
          <c:extLst xmlns:c16r2="http://schemas.microsoft.com/office/drawing/2015/06/chart">
            <c:ext xmlns:c16="http://schemas.microsoft.com/office/drawing/2014/chart" uri="{C3380CC4-5D6E-409C-BE32-E72D297353CC}">
              <c16:uniqueId val="{00000000-FDE3-4376-ACD5-813CB9657FAE}"/>
            </c:ext>
          </c:extLst>
        </c:ser>
        <c:dLbls>
          <c:showLegendKey val="0"/>
          <c:showVal val="0"/>
          <c:showCatName val="0"/>
          <c:showSerName val="0"/>
          <c:showPercent val="0"/>
          <c:showBubbleSize val="0"/>
        </c:dLbls>
        <c:gapWidth val="150"/>
        <c:axId val="247034240"/>
        <c:axId val="247036160"/>
      </c:barChart>
      <c:lineChart>
        <c:grouping val="standard"/>
        <c:varyColors val="0"/>
        <c:ser>
          <c:idx val="0"/>
          <c:order val="0"/>
          <c:tx>
            <c:strRef>
              <c:f>YoY!$B$5</c:f>
              <c:strCache>
                <c:ptCount val="1"/>
                <c:pt idx="0">
                  <c:v>2018</c:v>
                </c:pt>
              </c:strCache>
            </c:strRef>
          </c:tx>
          <c:spPr>
            <a:ln w="12700" cap="rnd">
              <a:solidFill>
                <a:schemeClr val="accent1"/>
              </a:solidFill>
              <a:round/>
            </a:ln>
            <a:effectLst/>
          </c:spPr>
          <c:marker>
            <c:symbol val="circle"/>
            <c:size val="3"/>
            <c:spPr>
              <a:solidFill>
                <a:schemeClr val="accent1"/>
              </a:solidFill>
              <a:ln w="9525">
                <a:solidFill>
                  <a:schemeClr val="accent1"/>
                </a:solidFill>
              </a:ln>
              <a:effectLst/>
            </c:spPr>
          </c:marker>
          <c:cat>
            <c:strRef>
              <c:f>YoY!$A$6:$A$17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YoY!$B$6:$B$17</c:f>
              <c:numCache>
                <c:formatCode>General</c:formatCode>
                <c:ptCount val="12"/>
                <c:pt idx="0">
                  <c:v>4</c:v>
                </c:pt>
                <c:pt idx="1">
                  <c:v>16</c:v>
                </c:pt>
                <c:pt idx="2">
                  <c:v>13</c:v>
                </c:pt>
                <c:pt idx="3">
                  <c:v>13</c:v>
                </c:pt>
                <c:pt idx="4">
                  <c:v>6</c:v>
                </c:pt>
                <c:pt idx="5">
                  <c:v>7</c:v>
                </c:pt>
                <c:pt idx="6">
                  <c:v>14</c:v>
                </c:pt>
                <c:pt idx="7">
                  <c:v>8</c:v>
                </c:pt>
                <c:pt idx="8">
                  <c:v>5</c:v>
                </c:pt>
                <c:pt idx="9">
                  <c:v>15</c:v>
                </c:pt>
                <c:pt idx="10">
                  <c:v>15</c:v>
                </c:pt>
                <c:pt idx="11">
                  <c:v>6</c:v>
                </c:pt>
              </c:numCache>
            </c:numRef>
          </c:val>
          <c:smooth val="0"/>
          <c:extLst xmlns:c16r2="http://schemas.microsoft.com/office/drawing/2015/06/chart">
            <c:ext xmlns:c16="http://schemas.microsoft.com/office/drawing/2014/chart" uri="{C3380CC4-5D6E-409C-BE32-E72D297353CC}">
              <c16:uniqueId val="{00000001-FDE3-4376-ACD5-813CB9657FAE}"/>
            </c:ext>
          </c:extLst>
        </c:ser>
        <c:dLbls>
          <c:showLegendKey val="0"/>
          <c:showVal val="0"/>
          <c:showCatName val="0"/>
          <c:showSerName val="0"/>
          <c:showPercent val="0"/>
          <c:showBubbleSize val="0"/>
        </c:dLbls>
        <c:marker val="1"/>
        <c:smooth val="0"/>
        <c:axId val="247034240"/>
        <c:axId val="247036160"/>
      </c:lineChart>
      <c:catAx>
        <c:axId val="24703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47036160"/>
        <c:crosses val="autoZero"/>
        <c:auto val="1"/>
        <c:lblAlgn val="ctr"/>
        <c:lblOffset val="100"/>
        <c:noMultiLvlLbl val="0"/>
      </c:catAx>
      <c:valAx>
        <c:axId val="247036160"/>
        <c:scaling>
          <c:orientation val="minMax"/>
        </c:scaling>
        <c:delete val="0"/>
        <c:axPos val="l"/>
        <c:majorGridlines>
          <c:spPr>
            <a:ln w="3175" cap="flat" cmpd="sng" algn="ctr">
              <a:solidFill>
                <a:schemeClr val="bg2"/>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latin typeface="+mn-lt"/>
                  </a:rPr>
                  <a:t>Number</a:t>
                </a:r>
              </a:p>
            </c:rich>
          </c:tx>
          <c:layout>
            <c:manualLayout>
              <c:xMode val="edge"/>
              <c:yMode val="edge"/>
              <c:x val="3.9689222721809567E-2"/>
              <c:y val="0.3733585217170434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47034240"/>
        <c:crosses val="autoZero"/>
        <c:crossBetween val="between"/>
      </c:valAx>
      <c:spPr>
        <a:noFill/>
        <a:ln>
          <a:noFill/>
        </a:ln>
        <a:effectLst/>
      </c:spPr>
    </c:plotArea>
    <c:legend>
      <c:legendPos val="b"/>
      <c:layout>
        <c:manualLayout>
          <c:xMode val="edge"/>
          <c:yMode val="edge"/>
          <c:x val="0.39244741600409838"/>
          <c:y val="0.88612437064044014"/>
          <c:w val="0.21925567387505016"/>
          <c:h val="8.27472246902989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37808185152533"/>
          <c:y val="6.9462095448185698E-2"/>
          <c:w val="0.81258943752711621"/>
          <c:h val="0.72152945862311968"/>
        </c:manualLayout>
      </c:layout>
      <c:barChart>
        <c:barDir val="col"/>
        <c:grouping val="clustered"/>
        <c:varyColors val="0"/>
        <c:ser>
          <c:idx val="1"/>
          <c:order val="1"/>
          <c:tx>
            <c:strRef>
              <c:f>YoY!$C$4</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YoY!$A$5:$A$16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YoY!$C$5:$C$16</c:f>
              <c:numCache>
                <c:formatCode>General</c:formatCode>
                <c:ptCount val="12"/>
                <c:pt idx="0">
                  <c:v>4</c:v>
                </c:pt>
                <c:pt idx="1">
                  <c:v>6</c:v>
                </c:pt>
              </c:numCache>
            </c:numRef>
          </c:val>
          <c:extLst xmlns:c16r2="http://schemas.microsoft.com/office/drawing/2015/06/chart">
            <c:ext xmlns:c16="http://schemas.microsoft.com/office/drawing/2014/chart" uri="{C3380CC4-5D6E-409C-BE32-E72D297353CC}">
              <c16:uniqueId val="{00000000-FB21-44E1-B2EB-E37741B8FA2D}"/>
            </c:ext>
          </c:extLst>
        </c:ser>
        <c:dLbls>
          <c:showLegendKey val="0"/>
          <c:showVal val="0"/>
          <c:showCatName val="0"/>
          <c:showSerName val="0"/>
          <c:showPercent val="0"/>
          <c:showBubbleSize val="0"/>
        </c:dLbls>
        <c:gapWidth val="150"/>
        <c:axId val="83729408"/>
        <c:axId val="83735680"/>
      </c:barChart>
      <c:lineChart>
        <c:grouping val="standard"/>
        <c:varyColors val="0"/>
        <c:ser>
          <c:idx val="0"/>
          <c:order val="0"/>
          <c:tx>
            <c:strRef>
              <c:f>YoY!$B$4</c:f>
              <c:strCache>
                <c:ptCount val="1"/>
                <c:pt idx="0">
                  <c:v>2018</c:v>
                </c:pt>
              </c:strCache>
            </c:strRef>
          </c:tx>
          <c:spPr>
            <a:ln w="12700" cap="rnd">
              <a:solidFill>
                <a:schemeClr val="accent1"/>
              </a:solidFill>
              <a:round/>
            </a:ln>
            <a:effectLst/>
          </c:spPr>
          <c:marker>
            <c:symbol val="circle"/>
            <c:size val="3"/>
            <c:spPr>
              <a:solidFill>
                <a:schemeClr val="accent1"/>
              </a:solidFill>
              <a:ln w="9525">
                <a:solidFill>
                  <a:schemeClr val="accent1"/>
                </a:solidFill>
              </a:ln>
              <a:effectLst/>
            </c:spPr>
          </c:marker>
          <c:cat>
            <c:strRef>
              <c:f>YoY!$A$5:$A$16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YoY!$B$5:$B$16</c:f>
              <c:numCache>
                <c:formatCode>General</c:formatCode>
                <c:ptCount val="12"/>
                <c:pt idx="0">
                  <c:v>0</c:v>
                </c:pt>
                <c:pt idx="1">
                  <c:v>2</c:v>
                </c:pt>
                <c:pt idx="2">
                  <c:v>2</c:v>
                </c:pt>
                <c:pt idx="3">
                  <c:v>1</c:v>
                </c:pt>
                <c:pt idx="4">
                  <c:v>5</c:v>
                </c:pt>
                <c:pt idx="5">
                  <c:v>4</c:v>
                </c:pt>
                <c:pt idx="6">
                  <c:v>6</c:v>
                </c:pt>
                <c:pt idx="7">
                  <c:v>4</c:v>
                </c:pt>
                <c:pt idx="8">
                  <c:v>7</c:v>
                </c:pt>
                <c:pt idx="9">
                  <c:v>4</c:v>
                </c:pt>
                <c:pt idx="10">
                  <c:v>4</c:v>
                </c:pt>
                <c:pt idx="11">
                  <c:v>1</c:v>
                </c:pt>
              </c:numCache>
            </c:numRef>
          </c:val>
          <c:smooth val="0"/>
          <c:extLst xmlns:c16r2="http://schemas.microsoft.com/office/drawing/2015/06/chart">
            <c:ext xmlns:c16="http://schemas.microsoft.com/office/drawing/2014/chart" uri="{C3380CC4-5D6E-409C-BE32-E72D297353CC}">
              <c16:uniqueId val="{00000001-FB21-44E1-B2EB-E37741B8FA2D}"/>
            </c:ext>
          </c:extLst>
        </c:ser>
        <c:dLbls>
          <c:showLegendKey val="0"/>
          <c:showVal val="0"/>
          <c:showCatName val="0"/>
          <c:showSerName val="0"/>
          <c:showPercent val="0"/>
          <c:showBubbleSize val="0"/>
        </c:dLbls>
        <c:marker val="1"/>
        <c:smooth val="0"/>
        <c:axId val="83729408"/>
        <c:axId val="83735680"/>
      </c:lineChart>
      <c:catAx>
        <c:axId val="8372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3735680"/>
        <c:crosses val="autoZero"/>
        <c:auto val="1"/>
        <c:lblAlgn val="ctr"/>
        <c:lblOffset val="100"/>
        <c:noMultiLvlLbl val="0"/>
      </c:catAx>
      <c:valAx>
        <c:axId val="83735680"/>
        <c:scaling>
          <c:orientation val="minMax"/>
        </c:scaling>
        <c:delete val="0"/>
        <c:axPos val="l"/>
        <c:majorGridlines>
          <c:spPr>
            <a:ln w="3175" cap="flat" cmpd="sng" algn="ctr">
              <a:solidFill>
                <a:schemeClr val="bg2"/>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latin typeface="+mn-lt"/>
                  </a:rPr>
                  <a:t>Number</a:t>
                </a:r>
              </a:p>
            </c:rich>
          </c:tx>
          <c:layout>
            <c:manualLayout>
              <c:xMode val="edge"/>
              <c:yMode val="edge"/>
              <c:x val="3.9689222721809567E-2"/>
              <c:y val="0.3733585217170434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3729408"/>
        <c:crosses val="autoZero"/>
        <c:crossBetween val="between"/>
      </c:valAx>
      <c:spPr>
        <a:noFill/>
        <a:ln>
          <a:noFill/>
        </a:ln>
        <a:effectLst/>
      </c:spPr>
    </c:plotArea>
    <c:legend>
      <c:legendPos val="b"/>
      <c:layout>
        <c:manualLayout>
          <c:xMode val="edge"/>
          <c:yMode val="edge"/>
          <c:x val="0.39244741600409838"/>
          <c:y val="0.88612437064044014"/>
          <c:w val="0.21925567387505016"/>
          <c:h val="8.27472246902989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818609755544351"/>
          <c:y val="6.5193602693602692E-2"/>
          <c:w val="0.72318010437040148"/>
          <c:h val="0.5619909727193193"/>
        </c:manualLayout>
      </c:layout>
      <c:barChart>
        <c:barDir val="bar"/>
        <c:grouping val="stacked"/>
        <c:varyColors val="0"/>
        <c:ser>
          <c:idx val="0"/>
          <c:order val="0"/>
          <c:tx>
            <c:strRef>
              <c:f>'Fig 10 B'!$A$6</c:f>
              <c:strCache>
                <c:ptCount val="1"/>
                <c:pt idx="0">
                  <c:v>Enterobacter cloacae complex</c:v>
                </c:pt>
              </c:strCache>
            </c:strRef>
          </c:tx>
          <c:spPr>
            <a:solidFill>
              <a:srgbClr val="0000FF"/>
            </a:solidFill>
            <a:ln>
              <a:noFill/>
            </a:ln>
            <a:effectLst/>
          </c:spPr>
          <c:invertIfNegative val="0"/>
          <c:cat>
            <c:strRef>
              <c:f>'Fig 10 B'!$B$5:$H$5</c:f>
              <c:strCache>
                <c:ptCount val="7"/>
                <c:pt idx="0">
                  <c:v>OXA-23-like (1)</c:v>
                </c:pt>
                <c:pt idx="1">
                  <c:v>IMP, KPC (1)</c:v>
                </c:pt>
                <c:pt idx="2">
                  <c:v>KPC (2)</c:v>
                </c:pt>
                <c:pt idx="3">
                  <c:v>NDM, OXA-48-like (7)</c:v>
                </c:pt>
                <c:pt idx="4">
                  <c:v>OXA-48-like (8)</c:v>
                </c:pt>
                <c:pt idx="5">
                  <c:v>NDM (32)</c:v>
                </c:pt>
                <c:pt idx="6">
                  <c:v>IMP (105)</c:v>
                </c:pt>
              </c:strCache>
            </c:strRef>
          </c:cat>
          <c:val>
            <c:numRef>
              <c:f>'Fig 10 B'!$B$6:$H$6</c:f>
              <c:numCache>
                <c:formatCode>General</c:formatCode>
                <c:ptCount val="7"/>
                <c:pt idx="1">
                  <c:v>1</c:v>
                </c:pt>
                <c:pt idx="3">
                  <c:v>1</c:v>
                </c:pt>
                <c:pt idx="5">
                  <c:v>3</c:v>
                </c:pt>
                <c:pt idx="6">
                  <c:v>62</c:v>
                </c:pt>
              </c:numCache>
            </c:numRef>
          </c:val>
          <c:extLst xmlns:c16r2="http://schemas.microsoft.com/office/drawing/2015/06/chart">
            <c:ext xmlns:c16="http://schemas.microsoft.com/office/drawing/2014/chart" uri="{C3380CC4-5D6E-409C-BE32-E72D297353CC}">
              <c16:uniqueId val="{00000000-FF22-498C-B790-49E930415421}"/>
            </c:ext>
          </c:extLst>
        </c:ser>
        <c:ser>
          <c:idx val="1"/>
          <c:order val="1"/>
          <c:tx>
            <c:strRef>
              <c:f>'Fig 10 B'!$A$7</c:f>
              <c:strCache>
                <c:ptCount val="1"/>
                <c:pt idx="0">
                  <c:v>Escherichia coli</c:v>
                </c:pt>
              </c:strCache>
            </c:strRef>
          </c:tx>
          <c:spPr>
            <a:solidFill>
              <a:srgbClr val="00FF00"/>
            </a:solidFill>
            <a:ln>
              <a:noFill/>
            </a:ln>
            <a:effectLst/>
          </c:spPr>
          <c:invertIfNegative val="0"/>
          <c:cat>
            <c:strRef>
              <c:f>'Fig 10 B'!$B$5:$H$5</c:f>
              <c:strCache>
                <c:ptCount val="7"/>
                <c:pt idx="0">
                  <c:v>OXA-23-like (1)</c:v>
                </c:pt>
                <c:pt idx="1">
                  <c:v>IMP, KPC (1)</c:v>
                </c:pt>
                <c:pt idx="2">
                  <c:v>KPC (2)</c:v>
                </c:pt>
                <c:pt idx="3">
                  <c:v>NDM, OXA-48-like (7)</c:v>
                </c:pt>
                <c:pt idx="4">
                  <c:v>OXA-48-like (8)</c:v>
                </c:pt>
                <c:pt idx="5">
                  <c:v>NDM (32)</c:v>
                </c:pt>
                <c:pt idx="6">
                  <c:v>IMP (105)</c:v>
                </c:pt>
              </c:strCache>
            </c:strRef>
          </c:cat>
          <c:val>
            <c:numRef>
              <c:f>'Fig 10 B'!$B$7:$H$7</c:f>
              <c:numCache>
                <c:formatCode>General</c:formatCode>
                <c:ptCount val="7"/>
                <c:pt idx="0">
                  <c:v>1</c:v>
                </c:pt>
                <c:pt idx="3">
                  <c:v>4</c:v>
                </c:pt>
                <c:pt idx="4">
                  <c:v>3</c:v>
                </c:pt>
                <c:pt idx="5">
                  <c:v>20</c:v>
                </c:pt>
                <c:pt idx="6">
                  <c:v>12</c:v>
                </c:pt>
              </c:numCache>
            </c:numRef>
          </c:val>
          <c:extLst xmlns:c16r2="http://schemas.microsoft.com/office/drawing/2015/06/chart">
            <c:ext xmlns:c16="http://schemas.microsoft.com/office/drawing/2014/chart" uri="{C3380CC4-5D6E-409C-BE32-E72D297353CC}">
              <c16:uniqueId val="{00000001-FF22-498C-B790-49E930415421}"/>
            </c:ext>
          </c:extLst>
        </c:ser>
        <c:ser>
          <c:idx val="2"/>
          <c:order val="2"/>
          <c:tx>
            <c:strRef>
              <c:f>'Fig 10 B'!$A$8</c:f>
              <c:strCache>
                <c:ptCount val="1"/>
                <c:pt idx="0">
                  <c:v>Klebsiella pneumoniae</c:v>
                </c:pt>
              </c:strCache>
            </c:strRef>
          </c:tx>
          <c:spPr>
            <a:solidFill>
              <a:srgbClr val="00FFFF"/>
            </a:solidFill>
            <a:ln>
              <a:noFill/>
            </a:ln>
            <a:effectLst/>
          </c:spPr>
          <c:invertIfNegative val="0"/>
          <c:cat>
            <c:strRef>
              <c:f>'Fig 10 B'!$B$5:$H$5</c:f>
              <c:strCache>
                <c:ptCount val="7"/>
                <c:pt idx="0">
                  <c:v>OXA-23-like (1)</c:v>
                </c:pt>
                <c:pt idx="1">
                  <c:v>IMP, KPC (1)</c:v>
                </c:pt>
                <c:pt idx="2">
                  <c:v>KPC (2)</c:v>
                </c:pt>
                <c:pt idx="3">
                  <c:v>NDM, OXA-48-like (7)</c:v>
                </c:pt>
                <c:pt idx="4">
                  <c:v>OXA-48-like (8)</c:v>
                </c:pt>
                <c:pt idx="5">
                  <c:v>NDM (32)</c:v>
                </c:pt>
                <c:pt idx="6">
                  <c:v>IMP (105)</c:v>
                </c:pt>
              </c:strCache>
            </c:strRef>
          </c:cat>
          <c:val>
            <c:numRef>
              <c:f>'Fig 10 B'!$B$8:$H$8</c:f>
              <c:numCache>
                <c:formatCode>General</c:formatCode>
                <c:ptCount val="7"/>
                <c:pt idx="2">
                  <c:v>2</c:v>
                </c:pt>
                <c:pt idx="3">
                  <c:v>2</c:v>
                </c:pt>
                <c:pt idx="4">
                  <c:v>5</c:v>
                </c:pt>
                <c:pt idx="5">
                  <c:v>7</c:v>
                </c:pt>
                <c:pt idx="6">
                  <c:v>10</c:v>
                </c:pt>
              </c:numCache>
            </c:numRef>
          </c:val>
          <c:extLst xmlns:c16r2="http://schemas.microsoft.com/office/drawing/2015/06/chart">
            <c:ext xmlns:c16="http://schemas.microsoft.com/office/drawing/2014/chart" uri="{C3380CC4-5D6E-409C-BE32-E72D297353CC}">
              <c16:uniqueId val="{00000002-FF22-498C-B790-49E930415421}"/>
            </c:ext>
          </c:extLst>
        </c:ser>
        <c:ser>
          <c:idx val="3"/>
          <c:order val="3"/>
          <c:tx>
            <c:strRef>
              <c:f>'Fig 10 B'!$A$9</c:f>
              <c:strCache>
                <c:ptCount val="1"/>
                <c:pt idx="0">
                  <c:v>Citrobacter freundii</c:v>
                </c:pt>
              </c:strCache>
            </c:strRef>
          </c:tx>
          <c:spPr>
            <a:solidFill>
              <a:srgbClr val="FFFF00"/>
            </a:solidFill>
            <a:ln>
              <a:noFill/>
            </a:ln>
            <a:effectLst/>
          </c:spPr>
          <c:invertIfNegative val="0"/>
          <c:cat>
            <c:strRef>
              <c:f>'Fig 10 B'!$B$5:$H$5</c:f>
              <c:strCache>
                <c:ptCount val="7"/>
                <c:pt idx="0">
                  <c:v>OXA-23-like (1)</c:v>
                </c:pt>
                <c:pt idx="1">
                  <c:v>IMP, KPC (1)</c:v>
                </c:pt>
                <c:pt idx="2">
                  <c:v>KPC (2)</c:v>
                </c:pt>
                <c:pt idx="3">
                  <c:v>NDM, OXA-48-like (7)</c:v>
                </c:pt>
                <c:pt idx="4">
                  <c:v>OXA-48-like (8)</c:v>
                </c:pt>
                <c:pt idx="5">
                  <c:v>NDM (32)</c:v>
                </c:pt>
                <c:pt idx="6">
                  <c:v>IMP (105)</c:v>
                </c:pt>
              </c:strCache>
            </c:strRef>
          </c:cat>
          <c:val>
            <c:numRef>
              <c:f>'Fig 10 B'!$B$9:$H$9</c:f>
              <c:numCache>
                <c:formatCode>General</c:formatCode>
                <c:ptCount val="7"/>
                <c:pt idx="5">
                  <c:v>2</c:v>
                </c:pt>
                <c:pt idx="6">
                  <c:v>8</c:v>
                </c:pt>
              </c:numCache>
            </c:numRef>
          </c:val>
          <c:extLst xmlns:c16r2="http://schemas.microsoft.com/office/drawing/2015/06/chart">
            <c:ext xmlns:c16="http://schemas.microsoft.com/office/drawing/2014/chart" uri="{C3380CC4-5D6E-409C-BE32-E72D297353CC}">
              <c16:uniqueId val="{00000003-FF22-498C-B790-49E930415421}"/>
            </c:ext>
          </c:extLst>
        </c:ser>
        <c:ser>
          <c:idx val="4"/>
          <c:order val="4"/>
          <c:tx>
            <c:strRef>
              <c:f>'Fig 10 B'!$A$10</c:f>
              <c:strCache>
                <c:ptCount val="1"/>
                <c:pt idx="0">
                  <c:v>Klebsiella oxytoca</c:v>
                </c:pt>
              </c:strCache>
            </c:strRef>
          </c:tx>
          <c:spPr>
            <a:solidFill>
              <a:srgbClr val="FF00FF"/>
            </a:solidFill>
            <a:ln>
              <a:noFill/>
            </a:ln>
            <a:effectLst/>
          </c:spPr>
          <c:invertIfNegative val="0"/>
          <c:cat>
            <c:strRef>
              <c:f>'Fig 10 B'!$B$5:$H$5</c:f>
              <c:strCache>
                <c:ptCount val="7"/>
                <c:pt idx="0">
                  <c:v>OXA-23-like (1)</c:v>
                </c:pt>
                <c:pt idx="1">
                  <c:v>IMP, KPC (1)</c:v>
                </c:pt>
                <c:pt idx="2">
                  <c:v>KPC (2)</c:v>
                </c:pt>
                <c:pt idx="3">
                  <c:v>NDM, OXA-48-like (7)</c:v>
                </c:pt>
                <c:pt idx="4">
                  <c:v>OXA-48-like (8)</c:v>
                </c:pt>
                <c:pt idx="5">
                  <c:v>NDM (32)</c:v>
                </c:pt>
                <c:pt idx="6">
                  <c:v>IMP (105)</c:v>
                </c:pt>
              </c:strCache>
            </c:strRef>
          </c:cat>
          <c:val>
            <c:numRef>
              <c:f>'Fig 10 B'!$B$10:$H$10</c:f>
              <c:numCache>
                <c:formatCode>General</c:formatCode>
                <c:ptCount val="7"/>
                <c:pt idx="6">
                  <c:v>4</c:v>
                </c:pt>
              </c:numCache>
            </c:numRef>
          </c:val>
          <c:extLst xmlns:c16r2="http://schemas.microsoft.com/office/drawing/2015/06/chart">
            <c:ext xmlns:c16="http://schemas.microsoft.com/office/drawing/2014/chart" uri="{C3380CC4-5D6E-409C-BE32-E72D297353CC}">
              <c16:uniqueId val="{00000004-FF22-498C-B790-49E930415421}"/>
            </c:ext>
          </c:extLst>
        </c:ser>
        <c:ser>
          <c:idx val="5"/>
          <c:order val="5"/>
          <c:tx>
            <c:strRef>
              <c:f>'Fig 10 B'!$A$11</c:f>
              <c:strCache>
                <c:ptCount val="1"/>
                <c:pt idx="0">
                  <c:v>Serratia marcescens</c:v>
                </c:pt>
              </c:strCache>
            </c:strRef>
          </c:tx>
          <c:spPr>
            <a:solidFill>
              <a:srgbClr val="FF0000"/>
            </a:solidFill>
            <a:ln>
              <a:noFill/>
            </a:ln>
            <a:effectLst/>
          </c:spPr>
          <c:invertIfNegative val="0"/>
          <c:cat>
            <c:strRef>
              <c:f>'Fig 10 B'!$B$5:$H$5</c:f>
              <c:strCache>
                <c:ptCount val="7"/>
                <c:pt idx="0">
                  <c:v>OXA-23-like (1)</c:v>
                </c:pt>
                <c:pt idx="1">
                  <c:v>IMP, KPC (1)</c:v>
                </c:pt>
                <c:pt idx="2">
                  <c:v>KPC (2)</c:v>
                </c:pt>
                <c:pt idx="3">
                  <c:v>NDM, OXA-48-like (7)</c:v>
                </c:pt>
                <c:pt idx="4">
                  <c:v>OXA-48-like (8)</c:v>
                </c:pt>
                <c:pt idx="5">
                  <c:v>NDM (32)</c:v>
                </c:pt>
                <c:pt idx="6">
                  <c:v>IMP (105)</c:v>
                </c:pt>
              </c:strCache>
            </c:strRef>
          </c:cat>
          <c:val>
            <c:numRef>
              <c:f>'Fig 10 B'!$B$11:$H$11</c:f>
              <c:numCache>
                <c:formatCode>General</c:formatCode>
                <c:ptCount val="7"/>
                <c:pt idx="6">
                  <c:v>2</c:v>
                </c:pt>
              </c:numCache>
            </c:numRef>
          </c:val>
          <c:extLst xmlns:c16r2="http://schemas.microsoft.com/office/drawing/2015/06/chart">
            <c:ext xmlns:c16="http://schemas.microsoft.com/office/drawing/2014/chart" uri="{C3380CC4-5D6E-409C-BE32-E72D297353CC}">
              <c16:uniqueId val="{00000005-FF22-498C-B790-49E930415421}"/>
            </c:ext>
          </c:extLst>
        </c:ser>
        <c:ser>
          <c:idx val="6"/>
          <c:order val="6"/>
          <c:tx>
            <c:strRef>
              <c:f>'Fig 10 B'!$A$12</c:f>
              <c:strCache>
                <c:ptCount val="1"/>
                <c:pt idx="0">
                  <c:v>Morganella morganii</c:v>
                </c:pt>
              </c:strCache>
            </c:strRef>
          </c:tx>
          <c:spPr>
            <a:solidFill>
              <a:srgbClr val="C0C0C0"/>
            </a:solidFill>
            <a:ln>
              <a:noFill/>
            </a:ln>
            <a:effectLst/>
          </c:spPr>
          <c:invertIfNegative val="0"/>
          <c:cat>
            <c:strRef>
              <c:f>'Fig 10 B'!$B$5:$H$5</c:f>
              <c:strCache>
                <c:ptCount val="7"/>
                <c:pt idx="0">
                  <c:v>OXA-23-like (1)</c:v>
                </c:pt>
                <c:pt idx="1">
                  <c:v>IMP, KPC (1)</c:v>
                </c:pt>
                <c:pt idx="2">
                  <c:v>KPC (2)</c:v>
                </c:pt>
                <c:pt idx="3">
                  <c:v>NDM, OXA-48-like (7)</c:v>
                </c:pt>
                <c:pt idx="4">
                  <c:v>OXA-48-like (8)</c:v>
                </c:pt>
                <c:pt idx="5">
                  <c:v>NDM (32)</c:v>
                </c:pt>
                <c:pt idx="6">
                  <c:v>IMP (105)</c:v>
                </c:pt>
              </c:strCache>
            </c:strRef>
          </c:cat>
          <c:val>
            <c:numRef>
              <c:f>'Fig 10 B'!$B$12:$H$12</c:f>
              <c:numCache>
                <c:formatCode>General</c:formatCode>
                <c:ptCount val="7"/>
                <c:pt idx="6">
                  <c:v>2</c:v>
                </c:pt>
              </c:numCache>
            </c:numRef>
          </c:val>
          <c:extLst xmlns:c16r2="http://schemas.microsoft.com/office/drawing/2015/06/chart">
            <c:ext xmlns:c16="http://schemas.microsoft.com/office/drawing/2014/chart" uri="{C3380CC4-5D6E-409C-BE32-E72D297353CC}">
              <c16:uniqueId val="{00000006-FF22-498C-B790-49E930415421}"/>
            </c:ext>
          </c:extLst>
        </c:ser>
        <c:ser>
          <c:idx val="7"/>
          <c:order val="7"/>
          <c:tx>
            <c:strRef>
              <c:f>'Fig 10 B'!$A$13</c:f>
              <c:strCache>
                <c:ptCount val="1"/>
                <c:pt idx="0">
                  <c:v>Klebsiella variicola</c:v>
                </c:pt>
              </c:strCache>
            </c:strRef>
          </c:tx>
          <c:spPr>
            <a:solidFill>
              <a:schemeClr val="bg2">
                <a:lumMod val="25000"/>
              </a:schemeClr>
            </a:solidFill>
            <a:ln>
              <a:noFill/>
            </a:ln>
            <a:effectLst/>
          </c:spPr>
          <c:invertIfNegative val="0"/>
          <c:cat>
            <c:strRef>
              <c:f>'Fig 10 B'!$B$5:$H$5</c:f>
              <c:strCache>
                <c:ptCount val="7"/>
                <c:pt idx="0">
                  <c:v>OXA-23-like (1)</c:v>
                </c:pt>
                <c:pt idx="1">
                  <c:v>IMP, KPC (1)</c:v>
                </c:pt>
                <c:pt idx="2">
                  <c:v>KPC (2)</c:v>
                </c:pt>
                <c:pt idx="3">
                  <c:v>NDM, OXA-48-like (7)</c:v>
                </c:pt>
                <c:pt idx="4">
                  <c:v>OXA-48-like (8)</c:v>
                </c:pt>
                <c:pt idx="5">
                  <c:v>NDM (32)</c:v>
                </c:pt>
                <c:pt idx="6">
                  <c:v>IMP (105)</c:v>
                </c:pt>
              </c:strCache>
            </c:strRef>
          </c:cat>
          <c:val>
            <c:numRef>
              <c:f>'Fig 10 B'!$B$13:$H$13</c:f>
              <c:numCache>
                <c:formatCode>General</c:formatCode>
                <c:ptCount val="7"/>
                <c:pt idx="6">
                  <c:v>1</c:v>
                </c:pt>
              </c:numCache>
            </c:numRef>
          </c:val>
          <c:extLst xmlns:c16r2="http://schemas.microsoft.com/office/drawing/2015/06/chart">
            <c:ext xmlns:c16="http://schemas.microsoft.com/office/drawing/2014/chart" uri="{C3380CC4-5D6E-409C-BE32-E72D297353CC}">
              <c16:uniqueId val="{00000007-FF22-498C-B790-49E930415421}"/>
            </c:ext>
          </c:extLst>
        </c:ser>
        <c:ser>
          <c:idx val="8"/>
          <c:order val="8"/>
          <c:tx>
            <c:strRef>
              <c:f>'Fig 10 B'!$A$14</c:f>
              <c:strCache>
                <c:ptCount val="1"/>
                <c:pt idx="0">
                  <c:v>Citrobacter braakii</c:v>
                </c:pt>
              </c:strCache>
            </c:strRef>
          </c:tx>
          <c:spPr>
            <a:solidFill>
              <a:srgbClr val="008080"/>
            </a:solidFill>
            <a:ln>
              <a:noFill/>
            </a:ln>
            <a:effectLst/>
          </c:spPr>
          <c:invertIfNegative val="0"/>
          <c:cat>
            <c:strRef>
              <c:f>'Fig 10 B'!$B$5:$H$5</c:f>
              <c:strCache>
                <c:ptCount val="7"/>
                <c:pt idx="0">
                  <c:v>OXA-23-like (1)</c:v>
                </c:pt>
                <c:pt idx="1">
                  <c:v>IMP, KPC (1)</c:v>
                </c:pt>
                <c:pt idx="2">
                  <c:v>KPC (2)</c:v>
                </c:pt>
                <c:pt idx="3">
                  <c:v>NDM, OXA-48-like (7)</c:v>
                </c:pt>
                <c:pt idx="4">
                  <c:v>OXA-48-like (8)</c:v>
                </c:pt>
                <c:pt idx="5">
                  <c:v>NDM (32)</c:v>
                </c:pt>
                <c:pt idx="6">
                  <c:v>IMP (105)</c:v>
                </c:pt>
              </c:strCache>
            </c:strRef>
          </c:cat>
          <c:val>
            <c:numRef>
              <c:f>'Fig 10 B'!$B$14:$H$14</c:f>
              <c:numCache>
                <c:formatCode>General</c:formatCode>
                <c:ptCount val="7"/>
                <c:pt idx="6">
                  <c:v>1</c:v>
                </c:pt>
              </c:numCache>
            </c:numRef>
          </c:val>
          <c:extLst xmlns:c16r2="http://schemas.microsoft.com/office/drawing/2015/06/chart">
            <c:ext xmlns:c16="http://schemas.microsoft.com/office/drawing/2014/chart" uri="{C3380CC4-5D6E-409C-BE32-E72D297353CC}">
              <c16:uniqueId val="{00000008-FF22-498C-B790-49E930415421}"/>
            </c:ext>
          </c:extLst>
        </c:ser>
        <c:ser>
          <c:idx val="9"/>
          <c:order val="9"/>
          <c:tx>
            <c:strRef>
              <c:f>'Fig 10 B'!$A$15</c:f>
              <c:strCache>
                <c:ptCount val="1"/>
                <c:pt idx="0">
                  <c:v>Enterobacter hormaechei</c:v>
                </c:pt>
              </c:strCache>
            </c:strRef>
          </c:tx>
          <c:spPr>
            <a:solidFill>
              <a:srgbClr val="FF9933"/>
            </a:solidFill>
            <a:ln>
              <a:noFill/>
            </a:ln>
            <a:effectLst/>
          </c:spPr>
          <c:invertIfNegative val="0"/>
          <c:cat>
            <c:strRef>
              <c:f>'Fig 10 B'!$B$5:$H$5</c:f>
              <c:strCache>
                <c:ptCount val="7"/>
                <c:pt idx="0">
                  <c:v>OXA-23-like (1)</c:v>
                </c:pt>
                <c:pt idx="1">
                  <c:v>IMP, KPC (1)</c:v>
                </c:pt>
                <c:pt idx="2">
                  <c:v>KPC (2)</c:v>
                </c:pt>
                <c:pt idx="3">
                  <c:v>NDM, OXA-48-like (7)</c:v>
                </c:pt>
                <c:pt idx="4">
                  <c:v>OXA-48-like (8)</c:v>
                </c:pt>
                <c:pt idx="5">
                  <c:v>NDM (32)</c:v>
                </c:pt>
                <c:pt idx="6">
                  <c:v>IMP (105)</c:v>
                </c:pt>
              </c:strCache>
            </c:strRef>
          </c:cat>
          <c:val>
            <c:numRef>
              <c:f>'Fig 10 B'!$B$15:$H$15</c:f>
              <c:numCache>
                <c:formatCode>General</c:formatCode>
                <c:ptCount val="7"/>
                <c:pt idx="6">
                  <c:v>1</c:v>
                </c:pt>
              </c:numCache>
            </c:numRef>
          </c:val>
          <c:extLst xmlns:c16r2="http://schemas.microsoft.com/office/drawing/2015/06/chart">
            <c:ext xmlns:c16="http://schemas.microsoft.com/office/drawing/2014/chart" uri="{C3380CC4-5D6E-409C-BE32-E72D297353CC}">
              <c16:uniqueId val="{00000009-FF22-498C-B790-49E930415421}"/>
            </c:ext>
          </c:extLst>
        </c:ser>
        <c:ser>
          <c:idx val="10"/>
          <c:order val="10"/>
          <c:tx>
            <c:strRef>
              <c:f>'Fig 10 B'!$A$16</c:f>
              <c:strCache>
                <c:ptCount val="1"/>
                <c:pt idx="0">
                  <c:v>Citrobacter amalonaticus</c:v>
                </c:pt>
              </c:strCache>
            </c:strRef>
          </c:tx>
          <c:invertIfNegative val="0"/>
          <c:cat>
            <c:strRef>
              <c:f>'Fig 10 B'!$B$5:$H$5</c:f>
              <c:strCache>
                <c:ptCount val="7"/>
                <c:pt idx="0">
                  <c:v>OXA-23-like (1)</c:v>
                </c:pt>
                <c:pt idx="1">
                  <c:v>IMP, KPC (1)</c:v>
                </c:pt>
                <c:pt idx="2">
                  <c:v>KPC (2)</c:v>
                </c:pt>
                <c:pt idx="3">
                  <c:v>NDM, OXA-48-like (7)</c:v>
                </c:pt>
                <c:pt idx="4">
                  <c:v>OXA-48-like (8)</c:v>
                </c:pt>
                <c:pt idx="5">
                  <c:v>NDM (32)</c:v>
                </c:pt>
                <c:pt idx="6">
                  <c:v>IMP (105)</c:v>
                </c:pt>
              </c:strCache>
            </c:strRef>
          </c:cat>
          <c:val>
            <c:numRef>
              <c:f>'Fig 10 B'!$B$16:$H$16</c:f>
              <c:numCache>
                <c:formatCode>General</c:formatCode>
                <c:ptCount val="7"/>
                <c:pt idx="6">
                  <c:v>1</c:v>
                </c:pt>
              </c:numCache>
            </c:numRef>
          </c:val>
          <c:extLst xmlns:c16r2="http://schemas.microsoft.com/office/drawing/2015/06/chart">
            <c:ext xmlns:c16="http://schemas.microsoft.com/office/drawing/2014/chart" uri="{C3380CC4-5D6E-409C-BE32-E72D297353CC}">
              <c16:uniqueId val="{0000000A-FF22-498C-B790-49E930415421}"/>
            </c:ext>
          </c:extLst>
        </c:ser>
        <c:ser>
          <c:idx val="11"/>
          <c:order val="11"/>
          <c:tx>
            <c:strRef>
              <c:f>'Fig 10 B'!$A$17</c:f>
              <c:strCache>
                <c:ptCount val="1"/>
                <c:pt idx="0">
                  <c:v>Enterobacter species</c:v>
                </c:pt>
              </c:strCache>
            </c:strRef>
          </c:tx>
          <c:invertIfNegative val="0"/>
          <c:cat>
            <c:strRef>
              <c:f>'Fig 10 B'!$B$5:$H$5</c:f>
              <c:strCache>
                <c:ptCount val="7"/>
                <c:pt idx="0">
                  <c:v>OXA-23-like (1)</c:v>
                </c:pt>
                <c:pt idx="1">
                  <c:v>IMP, KPC (1)</c:v>
                </c:pt>
                <c:pt idx="2">
                  <c:v>KPC (2)</c:v>
                </c:pt>
                <c:pt idx="3">
                  <c:v>NDM, OXA-48-like (7)</c:v>
                </c:pt>
                <c:pt idx="4">
                  <c:v>OXA-48-like (8)</c:v>
                </c:pt>
                <c:pt idx="5">
                  <c:v>NDM (32)</c:v>
                </c:pt>
                <c:pt idx="6">
                  <c:v>IMP (105)</c:v>
                </c:pt>
              </c:strCache>
            </c:strRef>
          </c:cat>
          <c:val>
            <c:numRef>
              <c:f>'Fig 10 B'!$B$17:$H$17</c:f>
              <c:numCache>
                <c:formatCode>General</c:formatCode>
                <c:ptCount val="7"/>
                <c:pt idx="6">
                  <c:v>1</c:v>
                </c:pt>
              </c:numCache>
            </c:numRef>
          </c:val>
          <c:extLst xmlns:c16r2="http://schemas.microsoft.com/office/drawing/2015/06/chart">
            <c:ext xmlns:c16="http://schemas.microsoft.com/office/drawing/2014/chart" uri="{C3380CC4-5D6E-409C-BE32-E72D297353CC}">
              <c16:uniqueId val="{0000000B-FF22-498C-B790-49E930415421}"/>
            </c:ext>
          </c:extLst>
        </c:ser>
        <c:dLbls>
          <c:showLegendKey val="0"/>
          <c:showVal val="0"/>
          <c:showCatName val="0"/>
          <c:showSerName val="0"/>
          <c:showPercent val="0"/>
          <c:showBubbleSize val="0"/>
        </c:dLbls>
        <c:gapWidth val="50"/>
        <c:overlap val="100"/>
        <c:axId val="84109952"/>
        <c:axId val="84111744"/>
      </c:barChart>
      <c:catAx>
        <c:axId val="84109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4111744"/>
        <c:crosses val="autoZero"/>
        <c:auto val="1"/>
        <c:lblAlgn val="ctr"/>
        <c:lblOffset val="100"/>
        <c:noMultiLvlLbl val="0"/>
      </c:catAx>
      <c:valAx>
        <c:axId val="84111744"/>
        <c:scaling>
          <c:orientation val="minMax"/>
        </c:scaling>
        <c:delete val="0"/>
        <c:axPos val="b"/>
        <c:majorGridlines>
          <c:spPr>
            <a:ln w="317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4109952"/>
        <c:crosses val="autoZero"/>
        <c:crossBetween val="between"/>
      </c:valAx>
      <c:spPr>
        <a:noFill/>
        <a:ln>
          <a:noFill/>
        </a:ln>
        <a:effectLst/>
      </c:spPr>
    </c:plotArea>
    <c:legend>
      <c:legendPos val="b"/>
      <c:layout>
        <c:manualLayout>
          <c:xMode val="edge"/>
          <c:yMode val="edge"/>
          <c:x val="0.10262025190569328"/>
          <c:y val="0.72299603648028843"/>
          <c:w val="0.8559763482921604"/>
          <c:h val="0.27700396351971152"/>
        </c:manualLayout>
      </c:layout>
      <c:overlay val="0"/>
      <c:txPr>
        <a:bodyPr/>
        <a:lstStyle/>
        <a:p>
          <a:pPr>
            <a:defRPr sz="900" i="1"/>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839528425139656E-2"/>
          <c:y val="5.1067780872794802E-2"/>
          <c:w val="0.87833179045002885"/>
          <c:h val="0.69696079076466422"/>
        </c:manualLayout>
      </c:layout>
      <c:lineChart>
        <c:grouping val="standard"/>
        <c:varyColors val="0"/>
        <c:ser>
          <c:idx val="0"/>
          <c:order val="0"/>
          <c:tx>
            <c:strRef>
              <c:f>'CPE types'!$D$7</c:f>
              <c:strCache>
                <c:ptCount val="1"/>
                <c:pt idx="0">
                  <c:v>IMP</c:v>
                </c:pt>
              </c:strCache>
            </c:strRef>
          </c:tx>
          <c:spPr>
            <a:ln w="12700" cap="rnd">
              <a:solidFill>
                <a:schemeClr val="accent1"/>
              </a:solidFill>
              <a:round/>
            </a:ln>
            <a:effectLst/>
          </c:spPr>
          <c:marker>
            <c:symbol val="circle"/>
            <c:size val="3"/>
            <c:spPr>
              <a:solidFill>
                <a:schemeClr val="accent1"/>
              </a:solidFill>
              <a:ln w="9525">
                <a:solidFill>
                  <a:schemeClr val="accent1"/>
                </a:solidFill>
              </a:ln>
              <a:effectLst/>
            </c:spPr>
          </c:marker>
          <c:cat>
            <c:multiLvlStrRef>
              <c:f>'CPE types'!$B$8:$C$19</c:f>
              <c:multiLvlStrCache>
                <c:ptCount val="12"/>
                <c:lvl>
                  <c:pt idx="0">
                    <c:v>Mar</c:v>
                  </c:pt>
                  <c:pt idx="1">
                    <c:v>Apr</c:v>
                  </c:pt>
                  <c:pt idx="2">
                    <c:v>May</c:v>
                  </c:pt>
                  <c:pt idx="3">
                    <c:v>Jun</c:v>
                  </c:pt>
                  <c:pt idx="4">
                    <c:v>Jul</c:v>
                  </c:pt>
                  <c:pt idx="5">
                    <c:v>Aug</c:v>
                  </c:pt>
                  <c:pt idx="6">
                    <c:v>Sep</c:v>
                  </c:pt>
                  <c:pt idx="7">
                    <c:v>Oct</c:v>
                  </c:pt>
                  <c:pt idx="8">
                    <c:v>Nov</c:v>
                  </c:pt>
                  <c:pt idx="9">
                    <c:v>Dec</c:v>
                  </c:pt>
                  <c:pt idx="10">
                    <c:v>Jan</c:v>
                  </c:pt>
                  <c:pt idx="11">
                    <c:v>Feb</c:v>
                  </c:pt>
                </c:lvl>
                <c:lvl>
                  <c:pt idx="0">
                    <c:v>2018</c:v>
                  </c:pt>
                  <c:pt idx="10">
                    <c:v>2019</c:v>
                  </c:pt>
                </c:lvl>
              </c:multiLvlStrCache>
            </c:multiLvlStrRef>
          </c:cat>
          <c:val>
            <c:numRef>
              <c:f>'CPE types'!$D$8:$D$19</c:f>
              <c:numCache>
                <c:formatCode>General</c:formatCode>
                <c:ptCount val="12"/>
                <c:pt idx="0">
                  <c:v>18</c:v>
                </c:pt>
                <c:pt idx="1">
                  <c:v>34</c:v>
                </c:pt>
                <c:pt idx="2">
                  <c:v>26</c:v>
                </c:pt>
                <c:pt idx="3">
                  <c:v>31</c:v>
                </c:pt>
                <c:pt idx="4">
                  <c:v>28</c:v>
                </c:pt>
                <c:pt idx="5">
                  <c:v>14</c:v>
                </c:pt>
                <c:pt idx="6">
                  <c:v>31</c:v>
                </c:pt>
                <c:pt idx="7">
                  <c:v>39</c:v>
                </c:pt>
                <c:pt idx="8">
                  <c:v>35</c:v>
                </c:pt>
                <c:pt idx="9">
                  <c:v>51</c:v>
                </c:pt>
                <c:pt idx="10">
                  <c:v>53</c:v>
                </c:pt>
                <c:pt idx="11">
                  <c:v>52</c:v>
                </c:pt>
              </c:numCache>
            </c:numRef>
          </c:val>
          <c:smooth val="0"/>
          <c:extLst xmlns:c16r2="http://schemas.microsoft.com/office/drawing/2015/06/chart">
            <c:ext xmlns:c16="http://schemas.microsoft.com/office/drawing/2014/chart" uri="{C3380CC4-5D6E-409C-BE32-E72D297353CC}">
              <c16:uniqueId val="{00000000-CF80-4119-A53C-39959F314422}"/>
            </c:ext>
          </c:extLst>
        </c:ser>
        <c:ser>
          <c:idx val="1"/>
          <c:order val="1"/>
          <c:tx>
            <c:strRef>
              <c:f>'CPE types'!$E$7</c:f>
              <c:strCache>
                <c:ptCount val="1"/>
                <c:pt idx="0">
                  <c:v>NDM</c:v>
                </c:pt>
              </c:strCache>
            </c:strRef>
          </c:tx>
          <c:spPr>
            <a:ln w="12700" cap="rnd">
              <a:solidFill>
                <a:schemeClr val="accent2"/>
              </a:solidFill>
              <a:round/>
            </a:ln>
            <a:effectLst/>
          </c:spPr>
          <c:marker>
            <c:symbol val="circle"/>
            <c:size val="3"/>
            <c:spPr>
              <a:solidFill>
                <a:schemeClr val="accent2"/>
              </a:solidFill>
              <a:ln w="9525">
                <a:solidFill>
                  <a:schemeClr val="accent2"/>
                </a:solidFill>
              </a:ln>
              <a:effectLst/>
            </c:spPr>
          </c:marker>
          <c:cat>
            <c:multiLvlStrRef>
              <c:f>'CPE types'!$B$8:$C$19</c:f>
              <c:multiLvlStrCache>
                <c:ptCount val="12"/>
                <c:lvl>
                  <c:pt idx="0">
                    <c:v>Mar</c:v>
                  </c:pt>
                  <c:pt idx="1">
                    <c:v>Apr</c:v>
                  </c:pt>
                  <c:pt idx="2">
                    <c:v>May</c:v>
                  </c:pt>
                  <c:pt idx="3">
                    <c:v>Jun</c:v>
                  </c:pt>
                  <c:pt idx="4">
                    <c:v>Jul</c:v>
                  </c:pt>
                  <c:pt idx="5">
                    <c:v>Aug</c:v>
                  </c:pt>
                  <c:pt idx="6">
                    <c:v>Sep</c:v>
                  </c:pt>
                  <c:pt idx="7">
                    <c:v>Oct</c:v>
                  </c:pt>
                  <c:pt idx="8">
                    <c:v>Nov</c:v>
                  </c:pt>
                  <c:pt idx="9">
                    <c:v>Dec</c:v>
                  </c:pt>
                  <c:pt idx="10">
                    <c:v>Jan</c:v>
                  </c:pt>
                  <c:pt idx="11">
                    <c:v>Feb</c:v>
                  </c:pt>
                </c:lvl>
                <c:lvl>
                  <c:pt idx="0">
                    <c:v>2018</c:v>
                  </c:pt>
                  <c:pt idx="10">
                    <c:v>2019</c:v>
                  </c:pt>
                </c:lvl>
              </c:multiLvlStrCache>
            </c:multiLvlStrRef>
          </c:cat>
          <c:val>
            <c:numRef>
              <c:f>'CPE types'!$E$8:$E$19</c:f>
              <c:numCache>
                <c:formatCode>General</c:formatCode>
                <c:ptCount val="12"/>
                <c:pt idx="0">
                  <c:v>10</c:v>
                </c:pt>
                <c:pt idx="1">
                  <c:v>11</c:v>
                </c:pt>
                <c:pt idx="2">
                  <c:v>19</c:v>
                </c:pt>
                <c:pt idx="3">
                  <c:v>9</c:v>
                </c:pt>
                <c:pt idx="4">
                  <c:v>5</c:v>
                </c:pt>
                <c:pt idx="5">
                  <c:v>9</c:v>
                </c:pt>
                <c:pt idx="6">
                  <c:v>13</c:v>
                </c:pt>
                <c:pt idx="7">
                  <c:v>11</c:v>
                </c:pt>
                <c:pt idx="8">
                  <c:v>15</c:v>
                </c:pt>
                <c:pt idx="9">
                  <c:v>17</c:v>
                </c:pt>
                <c:pt idx="10">
                  <c:v>20</c:v>
                </c:pt>
                <c:pt idx="11">
                  <c:v>12</c:v>
                </c:pt>
              </c:numCache>
            </c:numRef>
          </c:val>
          <c:smooth val="0"/>
          <c:extLst xmlns:c16r2="http://schemas.microsoft.com/office/drawing/2015/06/chart">
            <c:ext xmlns:c16="http://schemas.microsoft.com/office/drawing/2014/chart" uri="{C3380CC4-5D6E-409C-BE32-E72D297353CC}">
              <c16:uniqueId val="{00000001-CF80-4119-A53C-39959F314422}"/>
            </c:ext>
          </c:extLst>
        </c:ser>
        <c:ser>
          <c:idx val="2"/>
          <c:order val="2"/>
          <c:tx>
            <c:strRef>
              <c:f>'CPE types'!$F$7</c:f>
              <c:strCache>
                <c:ptCount val="1"/>
                <c:pt idx="0">
                  <c:v>OXA-48-like</c:v>
                </c:pt>
              </c:strCache>
            </c:strRef>
          </c:tx>
          <c:spPr>
            <a:ln w="12700" cap="rnd">
              <a:solidFill>
                <a:schemeClr val="accent3"/>
              </a:solidFill>
              <a:round/>
            </a:ln>
            <a:effectLst/>
          </c:spPr>
          <c:marker>
            <c:symbol val="circle"/>
            <c:size val="3"/>
            <c:spPr>
              <a:solidFill>
                <a:schemeClr val="accent3"/>
              </a:solidFill>
              <a:ln w="9525">
                <a:solidFill>
                  <a:schemeClr val="accent3"/>
                </a:solidFill>
              </a:ln>
              <a:effectLst/>
            </c:spPr>
          </c:marker>
          <c:cat>
            <c:multiLvlStrRef>
              <c:f>'CPE types'!$B$8:$C$19</c:f>
              <c:multiLvlStrCache>
                <c:ptCount val="12"/>
                <c:lvl>
                  <c:pt idx="0">
                    <c:v>Mar</c:v>
                  </c:pt>
                  <c:pt idx="1">
                    <c:v>Apr</c:v>
                  </c:pt>
                  <c:pt idx="2">
                    <c:v>May</c:v>
                  </c:pt>
                  <c:pt idx="3">
                    <c:v>Jun</c:v>
                  </c:pt>
                  <c:pt idx="4">
                    <c:v>Jul</c:v>
                  </c:pt>
                  <c:pt idx="5">
                    <c:v>Aug</c:v>
                  </c:pt>
                  <c:pt idx="6">
                    <c:v>Sep</c:v>
                  </c:pt>
                  <c:pt idx="7">
                    <c:v>Oct</c:v>
                  </c:pt>
                  <c:pt idx="8">
                    <c:v>Nov</c:v>
                  </c:pt>
                  <c:pt idx="9">
                    <c:v>Dec</c:v>
                  </c:pt>
                  <c:pt idx="10">
                    <c:v>Jan</c:v>
                  </c:pt>
                  <c:pt idx="11">
                    <c:v>Feb</c:v>
                  </c:pt>
                </c:lvl>
                <c:lvl>
                  <c:pt idx="0">
                    <c:v>2018</c:v>
                  </c:pt>
                  <c:pt idx="10">
                    <c:v>2019</c:v>
                  </c:pt>
                </c:lvl>
              </c:multiLvlStrCache>
            </c:multiLvlStrRef>
          </c:cat>
          <c:val>
            <c:numRef>
              <c:f>'CPE types'!$F$8:$F$19</c:f>
              <c:numCache>
                <c:formatCode>General</c:formatCode>
                <c:ptCount val="12"/>
                <c:pt idx="0">
                  <c:v>8</c:v>
                </c:pt>
                <c:pt idx="1">
                  <c:v>6</c:v>
                </c:pt>
                <c:pt idx="2">
                  <c:v>5</c:v>
                </c:pt>
                <c:pt idx="3">
                  <c:v>9</c:v>
                </c:pt>
                <c:pt idx="4">
                  <c:v>6</c:v>
                </c:pt>
                <c:pt idx="5">
                  <c:v>8</c:v>
                </c:pt>
                <c:pt idx="6">
                  <c:v>5</c:v>
                </c:pt>
                <c:pt idx="7">
                  <c:v>5</c:v>
                </c:pt>
                <c:pt idx="8">
                  <c:v>4</c:v>
                </c:pt>
                <c:pt idx="9">
                  <c:v>6</c:v>
                </c:pt>
                <c:pt idx="10">
                  <c:v>5</c:v>
                </c:pt>
                <c:pt idx="11">
                  <c:v>3</c:v>
                </c:pt>
              </c:numCache>
            </c:numRef>
          </c:val>
          <c:smooth val="0"/>
          <c:extLst xmlns:c16r2="http://schemas.microsoft.com/office/drawing/2015/06/chart">
            <c:ext xmlns:c16="http://schemas.microsoft.com/office/drawing/2014/chart" uri="{C3380CC4-5D6E-409C-BE32-E72D297353CC}">
              <c16:uniqueId val="{00000002-CF80-4119-A53C-39959F314422}"/>
            </c:ext>
          </c:extLst>
        </c:ser>
        <c:ser>
          <c:idx val="3"/>
          <c:order val="3"/>
          <c:tx>
            <c:strRef>
              <c:f>'CPE types'!$G$7</c:f>
              <c:strCache>
                <c:ptCount val="1"/>
                <c:pt idx="0">
                  <c:v>KPC</c:v>
                </c:pt>
              </c:strCache>
            </c:strRef>
          </c:tx>
          <c:spPr>
            <a:ln w="12700" cap="rnd">
              <a:solidFill>
                <a:schemeClr val="accent4"/>
              </a:solidFill>
              <a:round/>
            </a:ln>
            <a:effectLst/>
          </c:spPr>
          <c:marker>
            <c:symbol val="circle"/>
            <c:size val="3"/>
            <c:spPr>
              <a:solidFill>
                <a:schemeClr val="accent4"/>
              </a:solidFill>
              <a:ln w="9525">
                <a:solidFill>
                  <a:schemeClr val="accent4"/>
                </a:solidFill>
              </a:ln>
              <a:effectLst/>
            </c:spPr>
          </c:marker>
          <c:cat>
            <c:multiLvlStrRef>
              <c:f>'CPE types'!$B$8:$C$19</c:f>
              <c:multiLvlStrCache>
                <c:ptCount val="12"/>
                <c:lvl>
                  <c:pt idx="0">
                    <c:v>Mar</c:v>
                  </c:pt>
                  <c:pt idx="1">
                    <c:v>Apr</c:v>
                  </c:pt>
                  <c:pt idx="2">
                    <c:v>May</c:v>
                  </c:pt>
                  <c:pt idx="3">
                    <c:v>Jun</c:v>
                  </c:pt>
                  <c:pt idx="4">
                    <c:v>Jul</c:v>
                  </c:pt>
                  <c:pt idx="5">
                    <c:v>Aug</c:v>
                  </c:pt>
                  <c:pt idx="6">
                    <c:v>Sep</c:v>
                  </c:pt>
                  <c:pt idx="7">
                    <c:v>Oct</c:v>
                  </c:pt>
                  <c:pt idx="8">
                    <c:v>Nov</c:v>
                  </c:pt>
                  <c:pt idx="9">
                    <c:v>Dec</c:v>
                  </c:pt>
                  <c:pt idx="10">
                    <c:v>Jan</c:v>
                  </c:pt>
                  <c:pt idx="11">
                    <c:v>Feb</c:v>
                  </c:pt>
                </c:lvl>
                <c:lvl>
                  <c:pt idx="0">
                    <c:v>2018</c:v>
                  </c:pt>
                  <c:pt idx="10">
                    <c:v>2019</c:v>
                  </c:pt>
                </c:lvl>
              </c:multiLvlStrCache>
            </c:multiLvlStrRef>
          </c:cat>
          <c:val>
            <c:numRef>
              <c:f>'CPE types'!$G$8:$G$19</c:f>
              <c:numCache>
                <c:formatCode>General</c:formatCode>
                <c:ptCount val="12"/>
                <c:pt idx="0">
                  <c:v>0</c:v>
                </c:pt>
                <c:pt idx="1">
                  <c:v>6</c:v>
                </c:pt>
                <c:pt idx="2">
                  <c:v>1</c:v>
                </c:pt>
                <c:pt idx="3">
                  <c:v>2</c:v>
                </c:pt>
                <c:pt idx="4">
                  <c:v>2</c:v>
                </c:pt>
                <c:pt idx="5">
                  <c:v>4</c:v>
                </c:pt>
                <c:pt idx="6">
                  <c:v>1</c:v>
                </c:pt>
                <c:pt idx="7">
                  <c:v>3</c:v>
                </c:pt>
                <c:pt idx="8">
                  <c:v>1</c:v>
                </c:pt>
                <c:pt idx="9">
                  <c:v>1</c:v>
                </c:pt>
                <c:pt idx="10">
                  <c:v>1</c:v>
                </c:pt>
                <c:pt idx="11">
                  <c:v>1</c:v>
                </c:pt>
              </c:numCache>
            </c:numRef>
          </c:val>
          <c:smooth val="0"/>
          <c:extLst xmlns:c16r2="http://schemas.microsoft.com/office/drawing/2015/06/chart">
            <c:ext xmlns:c16="http://schemas.microsoft.com/office/drawing/2014/chart" uri="{C3380CC4-5D6E-409C-BE32-E72D297353CC}">
              <c16:uniqueId val="{00000003-CF80-4119-A53C-39959F314422}"/>
            </c:ext>
          </c:extLst>
        </c:ser>
        <c:ser>
          <c:idx val="4"/>
          <c:order val="4"/>
          <c:tx>
            <c:strRef>
              <c:f>'CPE types'!$H$7</c:f>
              <c:strCache>
                <c:ptCount val="1"/>
                <c:pt idx="0">
                  <c:v>NDM, OXA-48-like</c:v>
                </c:pt>
              </c:strCache>
            </c:strRef>
          </c:tx>
          <c:spPr>
            <a:ln w="12700" cap="rnd">
              <a:solidFill>
                <a:schemeClr val="accent5"/>
              </a:solidFill>
              <a:round/>
            </a:ln>
            <a:effectLst/>
          </c:spPr>
          <c:marker>
            <c:symbol val="circle"/>
            <c:size val="3"/>
            <c:spPr>
              <a:solidFill>
                <a:schemeClr val="accent5"/>
              </a:solidFill>
              <a:ln w="9525">
                <a:solidFill>
                  <a:schemeClr val="accent5"/>
                </a:solidFill>
              </a:ln>
              <a:effectLst/>
            </c:spPr>
          </c:marker>
          <c:cat>
            <c:multiLvlStrRef>
              <c:f>'CPE types'!$B$8:$C$19</c:f>
              <c:multiLvlStrCache>
                <c:ptCount val="12"/>
                <c:lvl>
                  <c:pt idx="0">
                    <c:v>Mar</c:v>
                  </c:pt>
                  <c:pt idx="1">
                    <c:v>Apr</c:v>
                  </c:pt>
                  <c:pt idx="2">
                    <c:v>May</c:v>
                  </c:pt>
                  <c:pt idx="3">
                    <c:v>Jun</c:v>
                  </c:pt>
                  <c:pt idx="4">
                    <c:v>Jul</c:v>
                  </c:pt>
                  <c:pt idx="5">
                    <c:v>Aug</c:v>
                  </c:pt>
                  <c:pt idx="6">
                    <c:v>Sep</c:v>
                  </c:pt>
                  <c:pt idx="7">
                    <c:v>Oct</c:v>
                  </c:pt>
                  <c:pt idx="8">
                    <c:v>Nov</c:v>
                  </c:pt>
                  <c:pt idx="9">
                    <c:v>Dec</c:v>
                  </c:pt>
                  <c:pt idx="10">
                    <c:v>Jan</c:v>
                  </c:pt>
                  <c:pt idx="11">
                    <c:v>Feb</c:v>
                  </c:pt>
                </c:lvl>
                <c:lvl>
                  <c:pt idx="0">
                    <c:v>2018</c:v>
                  </c:pt>
                  <c:pt idx="10">
                    <c:v>2019</c:v>
                  </c:pt>
                </c:lvl>
              </c:multiLvlStrCache>
            </c:multiLvlStrRef>
          </c:cat>
          <c:val>
            <c:numRef>
              <c:f>'CPE types'!$H$8:$H$19</c:f>
              <c:numCache>
                <c:formatCode>General</c:formatCode>
                <c:ptCount val="12"/>
                <c:pt idx="0">
                  <c:v>0</c:v>
                </c:pt>
                <c:pt idx="1">
                  <c:v>0</c:v>
                </c:pt>
                <c:pt idx="2">
                  <c:v>1</c:v>
                </c:pt>
                <c:pt idx="3">
                  <c:v>2</c:v>
                </c:pt>
                <c:pt idx="4">
                  <c:v>1</c:v>
                </c:pt>
                <c:pt idx="5">
                  <c:v>2</c:v>
                </c:pt>
                <c:pt idx="6">
                  <c:v>2</c:v>
                </c:pt>
                <c:pt idx="7">
                  <c:v>0</c:v>
                </c:pt>
                <c:pt idx="8">
                  <c:v>2</c:v>
                </c:pt>
                <c:pt idx="9">
                  <c:v>0</c:v>
                </c:pt>
                <c:pt idx="10">
                  <c:v>3</c:v>
                </c:pt>
                <c:pt idx="11">
                  <c:v>4</c:v>
                </c:pt>
              </c:numCache>
            </c:numRef>
          </c:val>
          <c:smooth val="0"/>
          <c:extLst xmlns:c16r2="http://schemas.microsoft.com/office/drawing/2015/06/chart">
            <c:ext xmlns:c16="http://schemas.microsoft.com/office/drawing/2014/chart" uri="{C3380CC4-5D6E-409C-BE32-E72D297353CC}">
              <c16:uniqueId val="{00000004-CF80-4119-A53C-39959F314422}"/>
            </c:ext>
          </c:extLst>
        </c:ser>
        <c:dLbls>
          <c:showLegendKey val="0"/>
          <c:showVal val="0"/>
          <c:showCatName val="0"/>
          <c:showSerName val="0"/>
          <c:showPercent val="0"/>
          <c:showBubbleSize val="0"/>
        </c:dLbls>
        <c:marker val="1"/>
        <c:smooth val="0"/>
        <c:axId val="83825408"/>
        <c:axId val="83827328"/>
      </c:lineChart>
      <c:catAx>
        <c:axId val="8382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83827328"/>
        <c:crosses val="autoZero"/>
        <c:auto val="1"/>
        <c:lblAlgn val="ctr"/>
        <c:lblOffset val="100"/>
        <c:noMultiLvlLbl val="0"/>
      </c:catAx>
      <c:valAx>
        <c:axId val="83827328"/>
        <c:scaling>
          <c:orientation val="minMax"/>
        </c:scaling>
        <c:delete val="0"/>
        <c:axPos val="l"/>
        <c:majorGridlines>
          <c:spPr>
            <a:ln w="9525" cap="flat" cmpd="sng" algn="ctr">
              <a:solidFill>
                <a:schemeClr val="bg2"/>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solidFill>
                      <a:sysClr val="windowText" lastClr="000000"/>
                    </a:solidFill>
                  </a:rPr>
                  <a:t>Number</a:t>
                </a:r>
              </a:p>
            </c:rich>
          </c:tx>
          <c:layout>
            <c:manualLayout>
              <c:xMode val="edge"/>
              <c:yMode val="edge"/>
              <c:x val="2.7018491779452699E-2"/>
              <c:y val="0.311178251047309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83825408"/>
        <c:crosses val="autoZero"/>
        <c:crossBetween val="between"/>
        <c:maj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37808185152533"/>
          <c:y val="8.1167846710693423E-2"/>
          <c:w val="0.81258943752711621"/>
          <c:h val="0.63925895351790707"/>
        </c:manualLayout>
      </c:layout>
      <c:barChart>
        <c:barDir val="col"/>
        <c:grouping val="clustered"/>
        <c:varyColors val="0"/>
        <c:ser>
          <c:idx val="0"/>
          <c:order val="0"/>
          <c:tx>
            <c:strRef>
              <c:f>YoY!$C$5</c:f>
              <c:strCache>
                <c:ptCount val="1"/>
                <c:pt idx="0">
                  <c:v>Carbapenemase-producing
</c:v>
                </c:pt>
              </c:strCache>
            </c:strRef>
          </c:tx>
          <c:spPr>
            <a:solidFill>
              <a:schemeClr val="accent1"/>
            </a:solidFill>
            <a:ln w="12700">
              <a:noFill/>
            </a:ln>
            <a:effectLst/>
          </c:spPr>
          <c:invertIfNegative val="0"/>
          <c:cat>
            <c:multiLvlStrRef>
              <c:f>YoY!$A$6:$B$21</c:f>
              <c:multiLvlStrCache>
                <c:ptCount val="16"/>
                <c:lvl>
                  <c:pt idx="0">
                    <c:v>Jan</c:v>
                  </c:pt>
                  <c:pt idx="1">
                    <c:v>Feb</c:v>
                  </c:pt>
                  <c:pt idx="2">
                    <c:v>Jan</c:v>
                  </c:pt>
                  <c:pt idx="3">
                    <c:v>Feb</c:v>
                  </c:pt>
                  <c:pt idx="4">
                    <c:v>Jan</c:v>
                  </c:pt>
                  <c:pt idx="5">
                    <c:v>Feb</c:v>
                  </c:pt>
                  <c:pt idx="6">
                    <c:v>Jan</c:v>
                  </c:pt>
                  <c:pt idx="7">
                    <c:v>Feb</c:v>
                  </c:pt>
                  <c:pt idx="8">
                    <c:v>Jan</c:v>
                  </c:pt>
                  <c:pt idx="9">
                    <c:v>Feb</c:v>
                  </c:pt>
                  <c:pt idx="10">
                    <c:v>Jan</c:v>
                  </c:pt>
                  <c:pt idx="11">
                    <c:v>Feb</c:v>
                  </c:pt>
                  <c:pt idx="12">
                    <c:v>Jan</c:v>
                  </c:pt>
                  <c:pt idx="13">
                    <c:v>Feb</c:v>
                  </c:pt>
                  <c:pt idx="14">
                    <c:v>Jan</c:v>
                  </c:pt>
                  <c:pt idx="15">
                    <c:v>Feb</c:v>
                  </c:pt>
                </c:lvl>
                <c:lvl>
                  <c:pt idx="0">
                    <c:v>NSW</c:v>
                  </c:pt>
                  <c:pt idx="2">
                    <c:v>Vic</c:v>
                  </c:pt>
                  <c:pt idx="4">
                    <c:v>Qld</c:v>
                  </c:pt>
                  <c:pt idx="6">
                    <c:v>SA</c:v>
                  </c:pt>
                  <c:pt idx="8">
                    <c:v>WA</c:v>
                  </c:pt>
                  <c:pt idx="10">
                    <c:v>Tas</c:v>
                  </c:pt>
                  <c:pt idx="12">
                    <c:v>NT</c:v>
                  </c:pt>
                  <c:pt idx="14">
                    <c:v>ACT</c:v>
                  </c:pt>
                </c:lvl>
              </c:multiLvlStrCache>
            </c:multiLvlStrRef>
          </c:cat>
          <c:val>
            <c:numRef>
              <c:f>YoY!$C$6:$C$21</c:f>
              <c:numCache>
                <c:formatCode>General</c:formatCode>
                <c:ptCount val="16"/>
                <c:pt idx="0">
                  <c:v>30</c:v>
                </c:pt>
                <c:pt idx="1">
                  <c:v>20</c:v>
                </c:pt>
                <c:pt idx="2">
                  <c:v>28</c:v>
                </c:pt>
                <c:pt idx="3">
                  <c:v>35</c:v>
                </c:pt>
                <c:pt idx="4">
                  <c:v>18</c:v>
                </c:pt>
                <c:pt idx="5">
                  <c:v>10</c:v>
                </c:pt>
                <c:pt idx="6">
                  <c:v>2</c:v>
                </c:pt>
                <c:pt idx="7">
                  <c:v>1</c:v>
                </c:pt>
                <c:pt idx="8">
                  <c:v>1</c:v>
                </c:pt>
                <c:pt idx="9">
                  <c:v>2</c:v>
                </c:pt>
                <c:pt idx="11">
                  <c:v>1</c:v>
                </c:pt>
              </c:numCache>
            </c:numRef>
          </c:val>
          <c:extLst xmlns:c16r2="http://schemas.microsoft.com/office/drawing/2015/06/chart">
            <c:ext xmlns:c16="http://schemas.microsoft.com/office/drawing/2014/chart" uri="{C3380CC4-5D6E-409C-BE32-E72D297353CC}">
              <c16:uniqueId val="{00000000-3DE7-41B8-9C4F-D2365295A691}"/>
            </c:ext>
          </c:extLst>
        </c:ser>
        <c:ser>
          <c:idx val="1"/>
          <c:order val="1"/>
          <c:tx>
            <c:strRef>
              <c:f>YoY!$D$5</c:f>
              <c:strCache>
                <c:ptCount val="1"/>
                <c:pt idx="0">
                  <c:v>Carbapenemase and ribosomal methylase-producing
</c:v>
                </c:pt>
              </c:strCache>
            </c:strRef>
          </c:tx>
          <c:invertIfNegative val="0"/>
          <c:cat>
            <c:multiLvlStrRef>
              <c:f>YoY!$A$6:$B$21</c:f>
              <c:multiLvlStrCache>
                <c:ptCount val="16"/>
                <c:lvl>
                  <c:pt idx="0">
                    <c:v>Jan</c:v>
                  </c:pt>
                  <c:pt idx="1">
                    <c:v>Feb</c:v>
                  </c:pt>
                  <c:pt idx="2">
                    <c:v>Jan</c:v>
                  </c:pt>
                  <c:pt idx="3">
                    <c:v>Feb</c:v>
                  </c:pt>
                  <c:pt idx="4">
                    <c:v>Jan</c:v>
                  </c:pt>
                  <c:pt idx="5">
                    <c:v>Feb</c:v>
                  </c:pt>
                  <c:pt idx="6">
                    <c:v>Jan</c:v>
                  </c:pt>
                  <c:pt idx="7">
                    <c:v>Feb</c:v>
                  </c:pt>
                  <c:pt idx="8">
                    <c:v>Jan</c:v>
                  </c:pt>
                  <c:pt idx="9">
                    <c:v>Feb</c:v>
                  </c:pt>
                  <c:pt idx="10">
                    <c:v>Jan</c:v>
                  </c:pt>
                  <c:pt idx="11">
                    <c:v>Feb</c:v>
                  </c:pt>
                  <c:pt idx="12">
                    <c:v>Jan</c:v>
                  </c:pt>
                  <c:pt idx="13">
                    <c:v>Feb</c:v>
                  </c:pt>
                  <c:pt idx="14">
                    <c:v>Jan</c:v>
                  </c:pt>
                  <c:pt idx="15">
                    <c:v>Feb</c:v>
                  </c:pt>
                </c:lvl>
                <c:lvl>
                  <c:pt idx="0">
                    <c:v>NSW</c:v>
                  </c:pt>
                  <c:pt idx="2">
                    <c:v>Vic</c:v>
                  </c:pt>
                  <c:pt idx="4">
                    <c:v>Qld</c:v>
                  </c:pt>
                  <c:pt idx="6">
                    <c:v>SA</c:v>
                  </c:pt>
                  <c:pt idx="8">
                    <c:v>WA</c:v>
                  </c:pt>
                  <c:pt idx="10">
                    <c:v>Tas</c:v>
                  </c:pt>
                  <c:pt idx="12">
                    <c:v>NT</c:v>
                  </c:pt>
                  <c:pt idx="14">
                    <c:v>ACT</c:v>
                  </c:pt>
                </c:lvl>
              </c:multiLvlStrCache>
            </c:multiLvlStrRef>
          </c:cat>
          <c:val>
            <c:numRef>
              <c:f>YoY!$D$6:$D$21</c:f>
              <c:numCache>
                <c:formatCode>General</c:formatCode>
                <c:ptCount val="16"/>
                <c:pt idx="0">
                  <c:v>1</c:v>
                </c:pt>
                <c:pt idx="2">
                  <c:v>3</c:v>
                </c:pt>
                <c:pt idx="3">
                  <c:v>4</c:v>
                </c:pt>
              </c:numCache>
            </c:numRef>
          </c:val>
          <c:extLst xmlns:c16r2="http://schemas.microsoft.com/office/drawing/2015/06/chart">
            <c:ext xmlns:c16="http://schemas.microsoft.com/office/drawing/2014/chart" uri="{C3380CC4-5D6E-409C-BE32-E72D297353CC}">
              <c16:uniqueId val="{00000000-DB1E-4CA8-BAD8-552C16CBBCA9}"/>
            </c:ext>
          </c:extLst>
        </c:ser>
        <c:dLbls>
          <c:showLegendKey val="0"/>
          <c:showVal val="0"/>
          <c:showCatName val="0"/>
          <c:showSerName val="0"/>
          <c:showPercent val="0"/>
          <c:showBubbleSize val="0"/>
        </c:dLbls>
        <c:gapWidth val="150"/>
        <c:axId val="84035072"/>
        <c:axId val="84036608"/>
      </c:barChart>
      <c:catAx>
        <c:axId val="8403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4036608"/>
        <c:crosses val="autoZero"/>
        <c:auto val="1"/>
        <c:lblAlgn val="ctr"/>
        <c:lblOffset val="100"/>
        <c:noMultiLvlLbl val="0"/>
      </c:catAx>
      <c:valAx>
        <c:axId val="84036608"/>
        <c:scaling>
          <c:orientation val="minMax"/>
        </c:scaling>
        <c:delete val="0"/>
        <c:axPos val="l"/>
        <c:majorGridlines>
          <c:spPr>
            <a:ln w="3175" cap="flat" cmpd="sng" algn="ctr">
              <a:solidFill>
                <a:schemeClr val="bg2"/>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latin typeface="+mn-lt"/>
                  </a:rPr>
                  <a:t>Number</a:t>
                </a:r>
              </a:p>
            </c:rich>
          </c:tx>
          <c:layout>
            <c:manualLayout>
              <c:xMode val="edge"/>
              <c:yMode val="edge"/>
              <c:x val="3.9689222721809567E-2"/>
              <c:y val="0.3733585217170434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40350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932408012317"/>
          <c:y val="3.7664783427495303E-2"/>
          <c:w val="0.86465953764513104"/>
          <c:h val="0.5575655971209631"/>
        </c:manualLayout>
      </c:layout>
      <c:barChart>
        <c:barDir val="col"/>
        <c:grouping val="stacked"/>
        <c:varyColors val="0"/>
        <c:ser>
          <c:idx val="0"/>
          <c:order val="0"/>
          <c:tx>
            <c:strRef>
              <c:f>'Fig 8A  CPE type States (web)'!$C$4</c:f>
              <c:strCache>
                <c:ptCount val="1"/>
                <c:pt idx="0">
                  <c:v>IMP</c:v>
                </c:pt>
              </c:strCache>
            </c:strRef>
          </c:tx>
          <c:spPr>
            <a:solidFill>
              <a:srgbClr val="0000FF"/>
            </a:solidFill>
            <a:ln>
              <a:noFill/>
            </a:ln>
            <a:effectLst/>
          </c:spPr>
          <c:invertIfNegative val="0"/>
          <c:cat>
            <c:multiLvlStrRef>
              <c:f>'Fig 8A  CPE type States (web)'!$A$5:$B$20</c:f>
              <c:multiLvlStrCache>
                <c:ptCount val="16"/>
                <c:lvl>
                  <c:pt idx="0">
                    <c:v>Clinical</c:v>
                  </c:pt>
                  <c:pt idx="1">
                    <c:v>Screen</c:v>
                  </c:pt>
                  <c:pt idx="2">
                    <c:v>Clinical</c:v>
                  </c:pt>
                  <c:pt idx="3">
                    <c:v>Screen</c:v>
                  </c:pt>
                  <c:pt idx="4">
                    <c:v>Clinical</c:v>
                  </c:pt>
                  <c:pt idx="5">
                    <c:v>Screen</c:v>
                  </c:pt>
                  <c:pt idx="6">
                    <c:v>Clinical</c:v>
                  </c:pt>
                  <c:pt idx="7">
                    <c:v>Screen</c:v>
                  </c:pt>
                  <c:pt idx="8">
                    <c:v>Clinical</c:v>
                  </c:pt>
                  <c:pt idx="9">
                    <c:v>Screen</c:v>
                  </c:pt>
                  <c:pt idx="10">
                    <c:v>Clinical</c:v>
                  </c:pt>
                  <c:pt idx="11">
                    <c:v>Screen</c:v>
                  </c:pt>
                  <c:pt idx="12">
                    <c:v>Clinical</c:v>
                  </c:pt>
                  <c:pt idx="13">
                    <c:v>Screen</c:v>
                  </c:pt>
                  <c:pt idx="14">
                    <c:v>Clinical</c:v>
                  </c:pt>
                  <c:pt idx="15">
                    <c:v>Screen</c:v>
                  </c:pt>
                </c:lvl>
                <c:lvl>
                  <c:pt idx="0">
                    <c:v>NSW
 (51)</c:v>
                  </c:pt>
                  <c:pt idx="2">
                    <c:v>Vic
 (70)</c:v>
                  </c:pt>
                  <c:pt idx="4">
                    <c:v>Qld
 (28)</c:v>
                  </c:pt>
                  <c:pt idx="6">
                    <c:v>SA
 (3)</c:v>
                  </c:pt>
                  <c:pt idx="8">
                    <c:v>WA
 (3)</c:v>
                  </c:pt>
                  <c:pt idx="10">
                    <c:v>Tas
 (1)</c:v>
                  </c:pt>
                  <c:pt idx="12">
                    <c:v>NT
 (0)</c:v>
                  </c:pt>
                  <c:pt idx="14">
                    <c:v>ACT
 (0)</c:v>
                  </c:pt>
                </c:lvl>
              </c:multiLvlStrCache>
            </c:multiLvlStrRef>
          </c:cat>
          <c:val>
            <c:numRef>
              <c:f>'Fig 8A  CPE type States (web)'!$C$5:$C$20</c:f>
              <c:numCache>
                <c:formatCode>General</c:formatCode>
                <c:ptCount val="16"/>
                <c:pt idx="0">
                  <c:v>19</c:v>
                </c:pt>
                <c:pt idx="1">
                  <c:v>18</c:v>
                </c:pt>
                <c:pt idx="2">
                  <c:v>16</c:v>
                </c:pt>
                <c:pt idx="3">
                  <c:v>31</c:v>
                </c:pt>
                <c:pt idx="4">
                  <c:v>12</c:v>
                </c:pt>
                <c:pt idx="5">
                  <c:v>7</c:v>
                </c:pt>
                <c:pt idx="8">
                  <c:v>2</c:v>
                </c:pt>
              </c:numCache>
            </c:numRef>
          </c:val>
          <c:extLst xmlns:c16r2="http://schemas.microsoft.com/office/drawing/2015/06/chart">
            <c:ext xmlns:c16="http://schemas.microsoft.com/office/drawing/2014/chart" uri="{C3380CC4-5D6E-409C-BE32-E72D297353CC}">
              <c16:uniqueId val="{00000000-2789-469C-8891-2F81C27014C5}"/>
            </c:ext>
          </c:extLst>
        </c:ser>
        <c:ser>
          <c:idx val="1"/>
          <c:order val="1"/>
          <c:tx>
            <c:strRef>
              <c:f>'Fig 8A  CPE type States (web)'!$D$4</c:f>
              <c:strCache>
                <c:ptCount val="1"/>
                <c:pt idx="0">
                  <c:v>NDM</c:v>
                </c:pt>
              </c:strCache>
            </c:strRef>
          </c:tx>
          <c:spPr>
            <a:solidFill>
              <a:srgbClr val="FFFF00"/>
            </a:solidFill>
            <a:ln>
              <a:noFill/>
            </a:ln>
            <a:effectLst/>
          </c:spPr>
          <c:invertIfNegative val="0"/>
          <c:cat>
            <c:multiLvlStrRef>
              <c:f>'Fig 8A  CPE type States (web)'!$A$5:$B$20</c:f>
              <c:multiLvlStrCache>
                <c:ptCount val="16"/>
                <c:lvl>
                  <c:pt idx="0">
                    <c:v>Clinical</c:v>
                  </c:pt>
                  <c:pt idx="1">
                    <c:v>Screen</c:v>
                  </c:pt>
                  <c:pt idx="2">
                    <c:v>Clinical</c:v>
                  </c:pt>
                  <c:pt idx="3">
                    <c:v>Screen</c:v>
                  </c:pt>
                  <c:pt idx="4">
                    <c:v>Clinical</c:v>
                  </c:pt>
                  <c:pt idx="5">
                    <c:v>Screen</c:v>
                  </c:pt>
                  <c:pt idx="6">
                    <c:v>Clinical</c:v>
                  </c:pt>
                  <c:pt idx="7">
                    <c:v>Screen</c:v>
                  </c:pt>
                  <c:pt idx="8">
                    <c:v>Clinical</c:v>
                  </c:pt>
                  <c:pt idx="9">
                    <c:v>Screen</c:v>
                  </c:pt>
                  <c:pt idx="10">
                    <c:v>Clinical</c:v>
                  </c:pt>
                  <c:pt idx="11">
                    <c:v>Screen</c:v>
                  </c:pt>
                  <c:pt idx="12">
                    <c:v>Clinical</c:v>
                  </c:pt>
                  <c:pt idx="13">
                    <c:v>Screen</c:v>
                  </c:pt>
                  <c:pt idx="14">
                    <c:v>Clinical</c:v>
                  </c:pt>
                  <c:pt idx="15">
                    <c:v>Screen</c:v>
                  </c:pt>
                </c:lvl>
                <c:lvl>
                  <c:pt idx="0">
                    <c:v>NSW
 (51)</c:v>
                  </c:pt>
                  <c:pt idx="2">
                    <c:v>Vic
 (70)</c:v>
                  </c:pt>
                  <c:pt idx="4">
                    <c:v>Qld
 (28)</c:v>
                  </c:pt>
                  <c:pt idx="6">
                    <c:v>SA
 (3)</c:v>
                  </c:pt>
                  <c:pt idx="8">
                    <c:v>WA
 (3)</c:v>
                  </c:pt>
                  <c:pt idx="10">
                    <c:v>Tas
 (1)</c:v>
                  </c:pt>
                  <c:pt idx="12">
                    <c:v>NT
 (0)</c:v>
                  </c:pt>
                  <c:pt idx="14">
                    <c:v>ACT
 (0)</c:v>
                  </c:pt>
                </c:lvl>
              </c:multiLvlStrCache>
            </c:multiLvlStrRef>
          </c:cat>
          <c:val>
            <c:numRef>
              <c:f>'Fig 8A  CPE type States (web)'!$D$5:$D$20</c:f>
              <c:numCache>
                <c:formatCode>General</c:formatCode>
                <c:ptCount val="16"/>
                <c:pt idx="0">
                  <c:v>6</c:v>
                </c:pt>
                <c:pt idx="1">
                  <c:v>3</c:v>
                </c:pt>
                <c:pt idx="2">
                  <c:v>5</c:v>
                </c:pt>
                <c:pt idx="3">
                  <c:v>9</c:v>
                </c:pt>
                <c:pt idx="4">
                  <c:v>2</c:v>
                </c:pt>
                <c:pt idx="5">
                  <c:v>4</c:v>
                </c:pt>
                <c:pt idx="6">
                  <c:v>2</c:v>
                </c:pt>
                <c:pt idx="8">
                  <c:v>1</c:v>
                </c:pt>
              </c:numCache>
            </c:numRef>
          </c:val>
          <c:extLst xmlns:c16r2="http://schemas.microsoft.com/office/drawing/2015/06/chart">
            <c:ext xmlns:c16="http://schemas.microsoft.com/office/drawing/2014/chart" uri="{C3380CC4-5D6E-409C-BE32-E72D297353CC}">
              <c16:uniqueId val="{00000001-2789-469C-8891-2F81C27014C5}"/>
            </c:ext>
          </c:extLst>
        </c:ser>
        <c:ser>
          <c:idx val="3"/>
          <c:order val="2"/>
          <c:tx>
            <c:strRef>
              <c:f>'Fig 8A  CPE type States (web)'!$E$4</c:f>
              <c:strCache>
                <c:ptCount val="1"/>
                <c:pt idx="0">
                  <c:v>OXA-48-like</c:v>
                </c:pt>
              </c:strCache>
            </c:strRef>
          </c:tx>
          <c:spPr>
            <a:solidFill>
              <a:srgbClr val="00FF00"/>
            </a:solidFill>
            <a:ln>
              <a:noFill/>
            </a:ln>
            <a:effectLst/>
          </c:spPr>
          <c:invertIfNegative val="0"/>
          <c:cat>
            <c:multiLvlStrRef>
              <c:f>'Fig 8A  CPE type States (web)'!$A$5:$B$20</c:f>
              <c:multiLvlStrCache>
                <c:ptCount val="16"/>
                <c:lvl>
                  <c:pt idx="0">
                    <c:v>Clinical</c:v>
                  </c:pt>
                  <c:pt idx="1">
                    <c:v>Screen</c:v>
                  </c:pt>
                  <c:pt idx="2">
                    <c:v>Clinical</c:v>
                  </c:pt>
                  <c:pt idx="3">
                    <c:v>Screen</c:v>
                  </c:pt>
                  <c:pt idx="4">
                    <c:v>Clinical</c:v>
                  </c:pt>
                  <c:pt idx="5">
                    <c:v>Screen</c:v>
                  </c:pt>
                  <c:pt idx="6">
                    <c:v>Clinical</c:v>
                  </c:pt>
                  <c:pt idx="7">
                    <c:v>Screen</c:v>
                  </c:pt>
                  <c:pt idx="8">
                    <c:v>Clinical</c:v>
                  </c:pt>
                  <c:pt idx="9">
                    <c:v>Screen</c:v>
                  </c:pt>
                  <c:pt idx="10">
                    <c:v>Clinical</c:v>
                  </c:pt>
                  <c:pt idx="11">
                    <c:v>Screen</c:v>
                  </c:pt>
                  <c:pt idx="12">
                    <c:v>Clinical</c:v>
                  </c:pt>
                  <c:pt idx="13">
                    <c:v>Screen</c:v>
                  </c:pt>
                  <c:pt idx="14">
                    <c:v>Clinical</c:v>
                  </c:pt>
                  <c:pt idx="15">
                    <c:v>Screen</c:v>
                  </c:pt>
                </c:lvl>
                <c:lvl>
                  <c:pt idx="0">
                    <c:v>NSW
 (51)</c:v>
                  </c:pt>
                  <c:pt idx="2">
                    <c:v>Vic
 (70)</c:v>
                  </c:pt>
                  <c:pt idx="4">
                    <c:v>Qld
 (28)</c:v>
                  </c:pt>
                  <c:pt idx="6">
                    <c:v>SA
 (3)</c:v>
                  </c:pt>
                  <c:pt idx="8">
                    <c:v>WA
 (3)</c:v>
                  </c:pt>
                  <c:pt idx="10">
                    <c:v>Tas
 (1)</c:v>
                  </c:pt>
                  <c:pt idx="12">
                    <c:v>NT
 (0)</c:v>
                  </c:pt>
                  <c:pt idx="14">
                    <c:v>ACT
 (0)</c:v>
                  </c:pt>
                </c:lvl>
              </c:multiLvlStrCache>
            </c:multiLvlStrRef>
          </c:cat>
          <c:val>
            <c:numRef>
              <c:f>'Fig 8A  CPE type States (web)'!$E$5:$E$20</c:f>
              <c:numCache>
                <c:formatCode>General</c:formatCode>
                <c:ptCount val="16"/>
                <c:pt idx="0">
                  <c:v>2</c:v>
                </c:pt>
                <c:pt idx="1">
                  <c:v>1</c:v>
                </c:pt>
                <c:pt idx="2">
                  <c:v>3</c:v>
                </c:pt>
                <c:pt idx="4">
                  <c:v>1</c:v>
                </c:pt>
                <c:pt idx="7">
                  <c:v>1</c:v>
                </c:pt>
              </c:numCache>
            </c:numRef>
          </c:val>
          <c:extLst xmlns:c16r2="http://schemas.microsoft.com/office/drawing/2015/06/chart">
            <c:ext xmlns:c16="http://schemas.microsoft.com/office/drawing/2014/chart" uri="{C3380CC4-5D6E-409C-BE32-E72D297353CC}">
              <c16:uniqueId val="{00000002-2789-469C-8891-2F81C27014C5}"/>
            </c:ext>
          </c:extLst>
        </c:ser>
        <c:ser>
          <c:idx val="9"/>
          <c:order val="3"/>
          <c:tx>
            <c:strRef>
              <c:f>'Fig 8A  CPE type States (web)'!$F$4</c:f>
              <c:strCache>
                <c:ptCount val="1"/>
                <c:pt idx="0">
                  <c:v>KPC</c:v>
                </c:pt>
              </c:strCache>
            </c:strRef>
          </c:tx>
          <c:spPr>
            <a:solidFill>
              <a:srgbClr val="FF0000"/>
            </a:solidFill>
            <a:ln>
              <a:noFill/>
            </a:ln>
            <a:effectLst/>
          </c:spPr>
          <c:invertIfNegative val="0"/>
          <c:cat>
            <c:multiLvlStrRef>
              <c:f>'Fig 8A  CPE type States (web)'!$A$5:$B$20</c:f>
              <c:multiLvlStrCache>
                <c:ptCount val="16"/>
                <c:lvl>
                  <c:pt idx="0">
                    <c:v>Clinical</c:v>
                  </c:pt>
                  <c:pt idx="1">
                    <c:v>Screen</c:v>
                  </c:pt>
                  <c:pt idx="2">
                    <c:v>Clinical</c:v>
                  </c:pt>
                  <c:pt idx="3">
                    <c:v>Screen</c:v>
                  </c:pt>
                  <c:pt idx="4">
                    <c:v>Clinical</c:v>
                  </c:pt>
                  <c:pt idx="5">
                    <c:v>Screen</c:v>
                  </c:pt>
                  <c:pt idx="6">
                    <c:v>Clinical</c:v>
                  </c:pt>
                  <c:pt idx="7">
                    <c:v>Screen</c:v>
                  </c:pt>
                  <c:pt idx="8">
                    <c:v>Clinical</c:v>
                  </c:pt>
                  <c:pt idx="9">
                    <c:v>Screen</c:v>
                  </c:pt>
                  <c:pt idx="10">
                    <c:v>Clinical</c:v>
                  </c:pt>
                  <c:pt idx="11">
                    <c:v>Screen</c:v>
                  </c:pt>
                  <c:pt idx="12">
                    <c:v>Clinical</c:v>
                  </c:pt>
                  <c:pt idx="13">
                    <c:v>Screen</c:v>
                  </c:pt>
                  <c:pt idx="14">
                    <c:v>Clinical</c:v>
                  </c:pt>
                  <c:pt idx="15">
                    <c:v>Screen</c:v>
                  </c:pt>
                </c:lvl>
                <c:lvl>
                  <c:pt idx="0">
                    <c:v>NSW
 (51)</c:v>
                  </c:pt>
                  <c:pt idx="2">
                    <c:v>Vic
 (70)</c:v>
                  </c:pt>
                  <c:pt idx="4">
                    <c:v>Qld
 (28)</c:v>
                  </c:pt>
                  <c:pt idx="6">
                    <c:v>SA
 (3)</c:v>
                  </c:pt>
                  <c:pt idx="8">
                    <c:v>WA
 (3)</c:v>
                  </c:pt>
                  <c:pt idx="10">
                    <c:v>Tas
 (1)</c:v>
                  </c:pt>
                  <c:pt idx="12">
                    <c:v>NT
 (0)</c:v>
                  </c:pt>
                  <c:pt idx="14">
                    <c:v>ACT
 (0)</c:v>
                  </c:pt>
                </c:lvl>
              </c:multiLvlStrCache>
            </c:multiLvlStrRef>
          </c:cat>
          <c:val>
            <c:numRef>
              <c:f>'Fig 8A  CPE type States (web)'!$F$5:$F$20</c:f>
              <c:numCache>
                <c:formatCode>General</c:formatCode>
                <c:ptCount val="16"/>
                <c:pt idx="4">
                  <c:v>1</c:v>
                </c:pt>
                <c:pt idx="11">
                  <c:v>1</c:v>
                </c:pt>
              </c:numCache>
            </c:numRef>
          </c:val>
          <c:extLst xmlns:c16r2="http://schemas.microsoft.com/office/drawing/2015/06/chart">
            <c:ext xmlns:c16="http://schemas.microsoft.com/office/drawing/2014/chart" uri="{C3380CC4-5D6E-409C-BE32-E72D297353CC}">
              <c16:uniqueId val="{00000003-2789-469C-8891-2F81C27014C5}"/>
            </c:ext>
          </c:extLst>
        </c:ser>
        <c:ser>
          <c:idx val="4"/>
          <c:order val="4"/>
          <c:tx>
            <c:strRef>
              <c:f>'Fig 8A  CPE type States (web)'!$G$4</c:f>
              <c:strCache>
                <c:ptCount val="1"/>
                <c:pt idx="0">
                  <c:v>IMP, KPC</c:v>
                </c:pt>
              </c:strCache>
            </c:strRef>
          </c:tx>
          <c:spPr>
            <a:pattFill prst="lgCheck">
              <a:fgClr>
                <a:srgbClr val="0000FF"/>
              </a:fgClr>
              <a:bgClr>
                <a:srgbClr val="FF0000"/>
              </a:bgClr>
            </a:pattFill>
            <a:ln>
              <a:noFill/>
            </a:ln>
            <a:effectLst/>
          </c:spPr>
          <c:invertIfNegative val="0"/>
          <c:cat>
            <c:multiLvlStrRef>
              <c:f>'Fig 8A  CPE type States (web)'!$A$5:$B$20</c:f>
              <c:multiLvlStrCache>
                <c:ptCount val="16"/>
                <c:lvl>
                  <c:pt idx="0">
                    <c:v>Clinical</c:v>
                  </c:pt>
                  <c:pt idx="1">
                    <c:v>Screen</c:v>
                  </c:pt>
                  <c:pt idx="2">
                    <c:v>Clinical</c:v>
                  </c:pt>
                  <c:pt idx="3">
                    <c:v>Screen</c:v>
                  </c:pt>
                  <c:pt idx="4">
                    <c:v>Clinical</c:v>
                  </c:pt>
                  <c:pt idx="5">
                    <c:v>Screen</c:v>
                  </c:pt>
                  <c:pt idx="6">
                    <c:v>Clinical</c:v>
                  </c:pt>
                  <c:pt idx="7">
                    <c:v>Screen</c:v>
                  </c:pt>
                  <c:pt idx="8">
                    <c:v>Clinical</c:v>
                  </c:pt>
                  <c:pt idx="9">
                    <c:v>Screen</c:v>
                  </c:pt>
                  <c:pt idx="10">
                    <c:v>Clinical</c:v>
                  </c:pt>
                  <c:pt idx="11">
                    <c:v>Screen</c:v>
                  </c:pt>
                  <c:pt idx="12">
                    <c:v>Clinical</c:v>
                  </c:pt>
                  <c:pt idx="13">
                    <c:v>Screen</c:v>
                  </c:pt>
                  <c:pt idx="14">
                    <c:v>Clinical</c:v>
                  </c:pt>
                  <c:pt idx="15">
                    <c:v>Screen</c:v>
                  </c:pt>
                </c:lvl>
                <c:lvl>
                  <c:pt idx="0">
                    <c:v>NSW
 (51)</c:v>
                  </c:pt>
                  <c:pt idx="2">
                    <c:v>Vic
 (70)</c:v>
                  </c:pt>
                  <c:pt idx="4">
                    <c:v>Qld
 (28)</c:v>
                  </c:pt>
                  <c:pt idx="6">
                    <c:v>SA
 (3)</c:v>
                  </c:pt>
                  <c:pt idx="8">
                    <c:v>WA
 (3)</c:v>
                  </c:pt>
                  <c:pt idx="10">
                    <c:v>Tas
 (1)</c:v>
                  </c:pt>
                  <c:pt idx="12">
                    <c:v>NT
 (0)</c:v>
                  </c:pt>
                  <c:pt idx="14">
                    <c:v>ACT
 (0)</c:v>
                  </c:pt>
                </c:lvl>
              </c:multiLvlStrCache>
            </c:multiLvlStrRef>
          </c:cat>
          <c:val>
            <c:numRef>
              <c:f>'Fig 8A  CPE type States (web)'!$G$5:$G$20</c:f>
              <c:numCache>
                <c:formatCode>General</c:formatCode>
                <c:ptCount val="16"/>
                <c:pt idx="3">
                  <c:v>1</c:v>
                </c:pt>
              </c:numCache>
            </c:numRef>
          </c:val>
          <c:extLst xmlns:c16r2="http://schemas.microsoft.com/office/drawing/2015/06/chart">
            <c:ext xmlns:c16="http://schemas.microsoft.com/office/drawing/2014/chart" uri="{C3380CC4-5D6E-409C-BE32-E72D297353CC}">
              <c16:uniqueId val="{00000004-2789-469C-8891-2F81C27014C5}"/>
            </c:ext>
          </c:extLst>
        </c:ser>
        <c:ser>
          <c:idx val="2"/>
          <c:order val="5"/>
          <c:tx>
            <c:strRef>
              <c:f>'Fig 8A  CPE type States (web)'!$H$4</c:f>
              <c:strCache>
                <c:ptCount val="1"/>
                <c:pt idx="0">
                  <c:v>NDM, OXA-48-like</c:v>
                </c:pt>
              </c:strCache>
            </c:strRef>
          </c:tx>
          <c:spPr>
            <a:pattFill prst="lgCheck">
              <a:fgClr>
                <a:srgbClr val="FFFF00"/>
              </a:fgClr>
              <a:bgClr>
                <a:srgbClr val="00FF00"/>
              </a:bgClr>
            </a:pattFill>
          </c:spPr>
          <c:invertIfNegative val="0"/>
          <c:dPt>
            <c:idx val="3"/>
            <c:invertIfNegative val="0"/>
            <c:bubble3D val="0"/>
            <c:extLst xmlns:c16r2="http://schemas.microsoft.com/office/drawing/2015/06/chart">
              <c:ext xmlns:c16="http://schemas.microsoft.com/office/drawing/2014/chart" uri="{C3380CC4-5D6E-409C-BE32-E72D297353CC}">
                <c16:uniqueId val="{00000006-2789-469C-8891-2F81C27014C5}"/>
              </c:ext>
            </c:extLst>
          </c:dPt>
          <c:cat>
            <c:multiLvlStrRef>
              <c:f>'Fig 8A  CPE type States (web)'!$A$5:$B$20</c:f>
              <c:multiLvlStrCache>
                <c:ptCount val="16"/>
                <c:lvl>
                  <c:pt idx="0">
                    <c:v>Clinical</c:v>
                  </c:pt>
                  <c:pt idx="1">
                    <c:v>Screen</c:v>
                  </c:pt>
                  <c:pt idx="2">
                    <c:v>Clinical</c:v>
                  </c:pt>
                  <c:pt idx="3">
                    <c:v>Screen</c:v>
                  </c:pt>
                  <c:pt idx="4">
                    <c:v>Clinical</c:v>
                  </c:pt>
                  <c:pt idx="5">
                    <c:v>Screen</c:v>
                  </c:pt>
                  <c:pt idx="6">
                    <c:v>Clinical</c:v>
                  </c:pt>
                  <c:pt idx="7">
                    <c:v>Screen</c:v>
                  </c:pt>
                  <c:pt idx="8">
                    <c:v>Clinical</c:v>
                  </c:pt>
                  <c:pt idx="9">
                    <c:v>Screen</c:v>
                  </c:pt>
                  <c:pt idx="10">
                    <c:v>Clinical</c:v>
                  </c:pt>
                  <c:pt idx="11">
                    <c:v>Screen</c:v>
                  </c:pt>
                  <c:pt idx="12">
                    <c:v>Clinical</c:v>
                  </c:pt>
                  <c:pt idx="13">
                    <c:v>Screen</c:v>
                  </c:pt>
                  <c:pt idx="14">
                    <c:v>Clinical</c:v>
                  </c:pt>
                  <c:pt idx="15">
                    <c:v>Screen</c:v>
                  </c:pt>
                </c:lvl>
                <c:lvl>
                  <c:pt idx="0">
                    <c:v>NSW
 (51)</c:v>
                  </c:pt>
                  <c:pt idx="2">
                    <c:v>Vic
 (70)</c:v>
                  </c:pt>
                  <c:pt idx="4">
                    <c:v>Qld
 (28)</c:v>
                  </c:pt>
                  <c:pt idx="6">
                    <c:v>SA
 (3)</c:v>
                  </c:pt>
                  <c:pt idx="8">
                    <c:v>WA
 (3)</c:v>
                  </c:pt>
                  <c:pt idx="10">
                    <c:v>Tas
 (1)</c:v>
                  </c:pt>
                  <c:pt idx="12">
                    <c:v>NT
 (0)</c:v>
                  </c:pt>
                  <c:pt idx="14">
                    <c:v>ACT
 (0)</c:v>
                  </c:pt>
                </c:lvl>
              </c:multiLvlStrCache>
            </c:multiLvlStrRef>
          </c:cat>
          <c:val>
            <c:numRef>
              <c:f>'Fig 8A  CPE type States (web)'!$H$5:$H$20</c:f>
              <c:numCache>
                <c:formatCode>General</c:formatCode>
                <c:ptCount val="16"/>
                <c:pt idx="1">
                  <c:v>2</c:v>
                </c:pt>
                <c:pt idx="3">
                  <c:v>4</c:v>
                </c:pt>
                <c:pt idx="4">
                  <c:v>1</c:v>
                </c:pt>
              </c:numCache>
            </c:numRef>
          </c:val>
          <c:extLst xmlns:c16r2="http://schemas.microsoft.com/office/drawing/2015/06/chart">
            <c:ext xmlns:c16="http://schemas.microsoft.com/office/drawing/2014/chart" uri="{C3380CC4-5D6E-409C-BE32-E72D297353CC}">
              <c16:uniqueId val="{00000007-2789-469C-8891-2F81C27014C5}"/>
            </c:ext>
          </c:extLst>
        </c:ser>
        <c:ser>
          <c:idx val="5"/>
          <c:order val="6"/>
          <c:tx>
            <c:strRef>
              <c:f>'Fig 8A  CPE type States (web)'!$I$4</c:f>
              <c:strCache>
                <c:ptCount val="1"/>
                <c:pt idx="0">
                  <c:v>OXA-23-like</c:v>
                </c:pt>
              </c:strCache>
            </c:strRef>
          </c:tx>
          <c:spPr>
            <a:solidFill>
              <a:srgbClr val="800080"/>
            </a:solidFill>
          </c:spPr>
          <c:invertIfNegative val="0"/>
          <c:cat>
            <c:multiLvlStrRef>
              <c:f>'Fig 8A  CPE type States (web)'!$A$5:$B$20</c:f>
              <c:multiLvlStrCache>
                <c:ptCount val="16"/>
                <c:lvl>
                  <c:pt idx="0">
                    <c:v>Clinical</c:v>
                  </c:pt>
                  <c:pt idx="1">
                    <c:v>Screen</c:v>
                  </c:pt>
                  <c:pt idx="2">
                    <c:v>Clinical</c:v>
                  </c:pt>
                  <c:pt idx="3">
                    <c:v>Screen</c:v>
                  </c:pt>
                  <c:pt idx="4">
                    <c:v>Clinical</c:v>
                  </c:pt>
                  <c:pt idx="5">
                    <c:v>Screen</c:v>
                  </c:pt>
                  <c:pt idx="6">
                    <c:v>Clinical</c:v>
                  </c:pt>
                  <c:pt idx="7">
                    <c:v>Screen</c:v>
                  </c:pt>
                  <c:pt idx="8">
                    <c:v>Clinical</c:v>
                  </c:pt>
                  <c:pt idx="9">
                    <c:v>Screen</c:v>
                  </c:pt>
                  <c:pt idx="10">
                    <c:v>Clinical</c:v>
                  </c:pt>
                  <c:pt idx="11">
                    <c:v>Screen</c:v>
                  </c:pt>
                  <c:pt idx="12">
                    <c:v>Clinical</c:v>
                  </c:pt>
                  <c:pt idx="13">
                    <c:v>Screen</c:v>
                  </c:pt>
                  <c:pt idx="14">
                    <c:v>Clinical</c:v>
                  </c:pt>
                  <c:pt idx="15">
                    <c:v>Screen</c:v>
                  </c:pt>
                </c:lvl>
                <c:lvl>
                  <c:pt idx="0">
                    <c:v>NSW
 (51)</c:v>
                  </c:pt>
                  <c:pt idx="2">
                    <c:v>Vic
 (70)</c:v>
                  </c:pt>
                  <c:pt idx="4">
                    <c:v>Qld
 (28)</c:v>
                  </c:pt>
                  <c:pt idx="6">
                    <c:v>SA
 (3)</c:v>
                  </c:pt>
                  <c:pt idx="8">
                    <c:v>WA
 (3)</c:v>
                  </c:pt>
                  <c:pt idx="10">
                    <c:v>Tas
 (1)</c:v>
                  </c:pt>
                  <c:pt idx="12">
                    <c:v>NT
 (0)</c:v>
                  </c:pt>
                  <c:pt idx="14">
                    <c:v>ACT
 (0)</c:v>
                  </c:pt>
                </c:lvl>
              </c:multiLvlStrCache>
            </c:multiLvlStrRef>
          </c:cat>
          <c:val>
            <c:numRef>
              <c:f>'Fig 8A  CPE type States (web)'!$I$5:$I$20</c:f>
              <c:numCache>
                <c:formatCode>General</c:formatCode>
                <c:ptCount val="16"/>
                <c:pt idx="2">
                  <c:v>1</c:v>
                </c:pt>
              </c:numCache>
            </c:numRef>
          </c:val>
          <c:extLst xmlns:c16r2="http://schemas.microsoft.com/office/drawing/2015/06/chart">
            <c:ext xmlns:c16="http://schemas.microsoft.com/office/drawing/2014/chart" uri="{C3380CC4-5D6E-409C-BE32-E72D297353CC}">
              <c16:uniqueId val="{00000008-2789-469C-8891-2F81C27014C5}"/>
            </c:ext>
          </c:extLst>
        </c:ser>
        <c:dLbls>
          <c:showLegendKey val="0"/>
          <c:showVal val="0"/>
          <c:showCatName val="0"/>
          <c:showSerName val="0"/>
          <c:showPercent val="0"/>
          <c:showBubbleSize val="0"/>
        </c:dLbls>
        <c:gapWidth val="150"/>
        <c:overlap val="100"/>
        <c:axId val="84284544"/>
        <c:axId val="84286464"/>
      </c:barChart>
      <c:catAx>
        <c:axId val="8428454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State or territory (number of CPE)</a:t>
                </a:r>
              </a:p>
            </c:rich>
          </c:tx>
          <c:layout>
            <c:manualLayout>
              <c:xMode val="edge"/>
              <c:yMode val="edge"/>
              <c:x val="0.36150319593365149"/>
              <c:y val="0.82707639142567047"/>
            </c:manualLayout>
          </c:layout>
          <c:overlay val="0"/>
          <c:spPr>
            <a:noFill/>
            <a:ln>
              <a:noFill/>
            </a:ln>
            <a:effectLst/>
          </c:spPr>
        </c:title>
        <c:numFmt formatCode="General" sourceLinked="1"/>
        <c:majorTickMark val="none"/>
        <c:minorTickMark val="none"/>
        <c:tickLblPos val="nextTo"/>
        <c:spPr>
          <a:noFill/>
          <a:ln w="9525" cap="flat" cmpd="sng" algn="ctr">
            <a:solidFill>
              <a:schemeClr val="bg2"/>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4286464"/>
        <c:crosses val="autoZero"/>
        <c:auto val="1"/>
        <c:lblAlgn val="ctr"/>
        <c:lblOffset val="100"/>
        <c:noMultiLvlLbl val="0"/>
      </c:catAx>
      <c:valAx>
        <c:axId val="84286464"/>
        <c:scaling>
          <c:orientation val="minMax"/>
        </c:scaling>
        <c:delete val="0"/>
        <c:axPos val="l"/>
        <c:majorGridlines>
          <c:spPr>
            <a:ln w="3175" cap="flat" cmpd="sng" algn="ctr">
              <a:solidFill>
                <a:schemeClr val="bg2"/>
              </a:solidFill>
              <a:round/>
            </a:ln>
            <a:effectLst/>
          </c:spPr>
        </c:majorGridlines>
        <c:title>
          <c:tx>
            <c:rich>
              <a:bodyPr/>
              <a:lstStyle/>
              <a:p>
                <a:pPr>
                  <a:defRPr sz="900" b="0"/>
                </a:pPr>
                <a:r>
                  <a:rPr lang="en-AU" sz="900" b="0"/>
                  <a:t>Number</a:t>
                </a:r>
              </a:p>
            </c:rich>
          </c:tx>
          <c:layout>
            <c:manualLayout>
              <c:xMode val="edge"/>
              <c:yMode val="edge"/>
              <c:x val="2.8405240135658903E-2"/>
              <c:y val="0.21539266724037079"/>
            </c:manualLayout>
          </c:layout>
          <c:overlay val="0"/>
        </c:title>
        <c:numFmt formatCode="General" sourceLinked="1"/>
        <c:majorTickMark val="out"/>
        <c:minorTickMark val="none"/>
        <c:tickLblPos val="nextTo"/>
        <c:spPr>
          <a:ln>
            <a:solidFill>
              <a:schemeClr val="bg2"/>
            </a:solidFill>
          </a:ln>
        </c:spPr>
        <c:crossAx val="84284544"/>
        <c:crosses val="autoZero"/>
        <c:crossBetween val="between"/>
      </c:valAx>
      <c:spPr>
        <a:noFill/>
        <a:ln>
          <a:noFill/>
        </a:ln>
        <a:effectLst/>
      </c:spPr>
    </c:plotArea>
    <c:legend>
      <c:legendPos val="b"/>
      <c:layout/>
      <c:overlay val="0"/>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r>
              <a:rPr lang="en-AU" sz="1050">
                <a:solidFill>
                  <a:sysClr val="windowText" lastClr="000000"/>
                </a:solidFill>
              </a:rPr>
              <a:t>NDM</a:t>
            </a:r>
          </a:p>
        </c:rich>
      </c:tx>
      <c:layout/>
      <c:overlay val="0"/>
      <c:spPr>
        <a:noFill/>
        <a:ln>
          <a:noFill/>
        </a:ln>
        <a:effectLst/>
      </c:spPr>
    </c:title>
    <c:autoTitleDeleted val="0"/>
    <c:plotArea>
      <c:layout>
        <c:manualLayout>
          <c:layoutTarget val="inner"/>
          <c:xMode val="edge"/>
          <c:yMode val="edge"/>
          <c:x val="0.18755813991495149"/>
          <c:y val="0.13463324048282266"/>
          <c:w val="0.7621043789202564"/>
          <c:h val="0.61339533115463629"/>
        </c:manualLayout>
      </c:layout>
      <c:barChart>
        <c:barDir val="col"/>
        <c:grouping val="clustered"/>
        <c:varyColors val="0"/>
        <c:ser>
          <c:idx val="0"/>
          <c:order val="0"/>
          <c:tx>
            <c:strRef>
              <c:f>'CPE types'!$B$6</c:f>
              <c:strCache>
                <c:ptCount val="1"/>
                <c:pt idx="0">
                  <c:v>Clinical isolate (n =16)</c:v>
                </c:pt>
              </c:strCache>
            </c:strRef>
          </c:tx>
          <c:spPr>
            <a:solidFill>
              <a:schemeClr val="accent1"/>
            </a:solidFill>
            <a:ln w="12700">
              <a:noFill/>
            </a:ln>
            <a:effectLst/>
          </c:spPr>
          <c:invertIfNegative val="0"/>
          <c:cat>
            <c:strRef>
              <c:f>'CPE types'!$A$7:$A$14</c:f>
              <c:strCache>
                <c:ptCount val="8"/>
                <c:pt idx="0">
                  <c:v>NSW</c:v>
                </c:pt>
                <c:pt idx="1">
                  <c:v>Vic</c:v>
                </c:pt>
                <c:pt idx="2">
                  <c:v>Qld</c:v>
                </c:pt>
                <c:pt idx="3">
                  <c:v>SA</c:v>
                </c:pt>
                <c:pt idx="4">
                  <c:v>WA</c:v>
                </c:pt>
                <c:pt idx="5">
                  <c:v>Tas</c:v>
                </c:pt>
                <c:pt idx="6">
                  <c:v>NT</c:v>
                </c:pt>
                <c:pt idx="7">
                  <c:v>ACT</c:v>
                </c:pt>
              </c:strCache>
            </c:strRef>
          </c:cat>
          <c:val>
            <c:numRef>
              <c:f>'CPE types'!$B$7:$B$14</c:f>
              <c:numCache>
                <c:formatCode>General</c:formatCode>
                <c:ptCount val="8"/>
                <c:pt idx="0">
                  <c:v>6</c:v>
                </c:pt>
                <c:pt idx="1">
                  <c:v>5</c:v>
                </c:pt>
                <c:pt idx="2">
                  <c:v>2</c:v>
                </c:pt>
                <c:pt idx="3">
                  <c:v>2</c:v>
                </c:pt>
                <c:pt idx="4">
                  <c:v>1</c:v>
                </c:pt>
                <c:pt idx="5">
                  <c:v>0</c:v>
                </c:pt>
                <c:pt idx="6">
                  <c:v>0</c:v>
                </c:pt>
                <c:pt idx="7">
                  <c:v>0</c:v>
                </c:pt>
              </c:numCache>
            </c:numRef>
          </c:val>
          <c:extLst xmlns:c16r2="http://schemas.microsoft.com/office/drawing/2015/06/chart">
            <c:ext xmlns:c16="http://schemas.microsoft.com/office/drawing/2014/chart" uri="{C3380CC4-5D6E-409C-BE32-E72D297353CC}">
              <c16:uniqueId val="{00000000-D6B2-446C-8FFE-8F398B773704}"/>
            </c:ext>
          </c:extLst>
        </c:ser>
        <c:ser>
          <c:idx val="1"/>
          <c:order val="1"/>
          <c:tx>
            <c:strRef>
              <c:f>'CPE types'!$C$6</c:f>
              <c:strCache>
                <c:ptCount val="1"/>
                <c:pt idx="0">
                  <c:v>Screen (n =16)</c:v>
                </c:pt>
              </c:strCache>
            </c:strRef>
          </c:tx>
          <c:spPr>
            <a:solidFill>
              <a:schemeClr val="accent2"/>
            </a:solidFill>
            <a:ln w="12700">
              <a:noFill/>
            </a:ln>
            <a:effectLst/>
          </c:spPr>
          <c:invertIfNegative val="0"/>
          <c:cat>
            <c:strRef>
              <c:f>'CPE types'!$A$7:$A$14</c:f>
              <c:strCache>
                <c:ptCount val="8"/>
                <c:pt idx="0">
                  <c:v>NSW</c:v>
                </c:pt>
                <c:pt idx="1">
                  <c:v>Vic</c:v>
                </c:pt>
                <c:pt idx="2">
                  <c:v>Qld</c:v>
                </c:pt>
                <c:pt idx="3">
                  <c:v>SA</c:v>
                </c:pt>
                <c:pt idx="4">
                  <c:v>WA</c:v>
                </c:pt>
                <c:pt idx="5">
                  <c:v>Tas</c:v>
                </c:pt>
                <c:pt idx="6">
                  <c:v>NT</c:v>
                </c:pt>
                <c:pt idx="7">
                  <c:v>ACT</c:v>
                </c:pt>
              </c:strCache>
            </c:strRef>
          </c:cat>
          <c:val>
            <c:numRef>
              <c:f>'CPE types'!$C$7:$C$14</c:f>
              <c:numCache>
                <c:formatCode>General</c:formatCode>
                <c:ptCount val="8"/>
                <c:pt idx="0">
                  <c:v>3</c:v>
                </c:pt>
                <c:pt idx="1">
                  <c:v>9</c:v>
                </c:pt>
                <c:pt idx="2">
                  <c:v>4</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1-D6B2-446C-8FFE-8F398B773704}"/>
            </c:ext>
          </c:extLst>
        </c:ser>
        <c:dLbls>
          <c:showLegendKey val="0"/>
          <c:showVal val="0"/>
          <c:showCatName val="0"/>
          <c:showSerName val="0"/>
          <c:showPercent val="0"/>
          <c:showBubbleSize val="0"/>
        </c:dLbls>
        <c:gapWidth val="150"/>
        <c:axId val="84678912"/>
        <c:axId val="84692992"/>
      </c:barChart>
      <c:catAx>
        <c:axId val="8467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4692992"/>
        <c:crosses val="autoZero"/>
        <c:auto val="1"/>
        <c:lblAlgn val="ctr"/>
        <c:lblOffset val="100"/>
        <c:noMultiLvlLbl val="0"/>
      </c:catAx>
      <c:valAx>
        <c:axId val="84692992"/>
        <c:scaling>
          <c:orientation val="minMax"/>
          <c:max val="35"/>
        </c:scaling>
        <c:delete val="0"/>
        <c:axPos val="l"/>
        <c:majorGridlines>
          <c:spPr>
            <a:ln w="9525" cap="flat" cmpd="sng" algn="ctr">
              <a:solidFill>
                <a:schemeClr val="bg2"/>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solidFill>
                      <a:sysClr val="windowText" lastClr="000000"/>
                    </a:solidFill>
                  </a:rPr>
                  <a:t>Number</a:t>
                </a:r>
              </a:p>
            </c:rich>
          </c:tx>
          <c:layout>
            <c:manualLayout>
              <c:xMode val="edge"/>
              <c:yMode val="edge"/>
              <c:x val="2.6449894966823241E-2"/>
              <c:y val="0.3531112232140898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84678912"/>
        <c:crosses val="autoZero"/>
        <c:crossBetween val="between"/>
      </c:valAx>
      <c:spPr>
        <a:noFill/>
        <a:ln>
          <a:noFill/>
        </a:ln>
        <a:effectLst/>
      </c:spPr>
    </c:plotArea>
    <c:legend>
      <c:legendPos val="b"/>
      <c:layout>
        <c:manualLayout>
          <c:xMode val="edge"/>
          <c:yMode val="edge"/>
          <c:x val="9.7652503897784876E-2"/>
          <c:y val="0.84126674815849634"/>
          <c:w val="0.86281039278558425"/>
          <c:h val="0.13087827809824606"/>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r>
              <a:rPr lang="en-AU" sz="1050">
                <a:solidFill>
                  <a:sysClr val="windowText" lastClr="000000"/>
                </a:solidFill>
              </a:rPr>
              <a:t>IMP</a:t>
            </a:r>
          </a:p>
        </c:rich>
      </c:tx>
      <c:layout/>
      <c:overlay val="0"/>
      <c:spPr>
        <a:noFill/>
        <a:ln>
          <a:noFill/>
        </a:ln>
        <a:effectLst/>
      </c:spPr>
    </c:title>
    <c:autoTitleDeleted val="0"/>
    <c:plotArea>
      <c:layout>
        <c:manualLayout>
          <c:layoutTarget val="inner"/>
          <c:xMode val="edge"/>
          <c:yMode val="edge"/>
          <c:x val="0.18340703987344048"/>
          <c:y val="0.13463324048282266"/>
          <c:w val="0.76625547896176738"/>
          <c:h val="0.61339533115463629"/>
        </c:manualLayout>
      </c:layout>
      <c:barChart>
        <c:barDir val="col"/>
        <c:grouping val="clustered"/>
        <c:varyColors val="0"/>
        <c:ser>
          <c:idx val="0"/>
          <c:order val="0"/>
          <c:tx>
            <c:strRef>
              <c:f>'CPE types'!$B$6</c:f>
              <c:strCache>
                <c:ptCount val="1"/>
                <c:pt idx="0">
                  <c:v>Clinical isolate (n =49)</c:v>
                </c:pt>
              </c:strCache>
            </c:strRef>
          </c:tx>
          <c:spPr>
            <a:solidFill>
              <a:schemeClr val="accent1"/>
            </a:solidFill>
            <a:ln w="12700">
              <a:noFill/>
            </a:ln>
            <a:effectLst/>
          </c:spPr>
          <c:invertIfNegative val="0"/>
          <c:cat>
            <c:strRef>
              <c:f>'CPE types'!$A$7:$A$14</c:f>
              <c:strCache>
                <c:ptCount val="8"/>
                <c:pt idx="0">
                  <c:v>NSW</c:v>
                </c:pt>
                <c:pt idx="1">
                  <c:v>Vic</c:v>
                </c:pt>
                <c:pt idx="2">
                  <c:v>Qld</c:v>
                </c:pt>
                <c:pt idx="3">
                  <c:v>SA</c:v>
                </c:pt>
                <c:pt idx="4">
                  <c:v>WA</c:v>
                </c:pt>
                <c:pt idx="5">
                  <c:v>Tas</c:v>
                </c:pt>
                <c:pt idx="6">
                  <c:v>NT</c:v>
                </c:pt>
                <c:pt idx="7">
                  <c:v>ACT</c:v>
                </c:pt>
              </c:strCache>
            </c:strRef>
          </c:cat>
          <c:val>
            <c:numRef>
              <c:f>'CPE types'!$B$7:$B$14</c:f>
              <c:numCache>
                <c:formatCode>General</c:formatCode>
                <c:ptCount val="8"/>
                <c:pt idx="0">
                  <c:v>19</c:v>
                </c:pt>
                <c:pt idx="1">
                  <c:v>16</c:v>
                </c:pt>
                <c:pt idx="2">
                  <c:v>12</c:v>
                </c:pt>
                <c:pt idx="3">
                  <c:v>0</c:v>
                </c:pt>
                <c:pt idx="4">
                  <c:v>2</c:v>
                </c:pt>
                <c:pt idx="5">
                  <c:v>0</c:v>
                </c:pt>
                <c:pt idx="6">
                  <c:v>0</c:v>
                </c:pt>
                <c:pt idx="7">
                  <c:v>0</c:v>
                </c:pt>
              </c:numCache>
            </c:numRef>
          </c:val>
          <c:extLst xmlns:c16r2="http://schemas.microsoft.com/office/drawing/2015/06/chart">
            <c:ext xmlns:c16="http://schemas.microsoft.com/office/drawing/2014/chart" uri="{C3380CC4-5D6E-409C-BE32-E72D297353CC}">
              <c16:uniqueId val="{00000000-00FF-42C2-BF50-0CA4FD640DE9}"/>
            </c:ext>
          </c:extLst>
        </c:ser>
        <c:ser>
          <c:idx val="1"/>
          <c:order val="1"/>
          <c:tx>
            <c:strRef>
              <c:f>'CPE types'!$C$6</c:f>
              <c:strCache>
                <c:ptCount val="1"/>
                <c:pt idx="0">
                  <c:v>Screen (n =56)</c:v>
                </c:pt>
              </c:strCache>
            </c:strRef>
          </c:tx>
          <c:spPr>
            <a:solidFill>
              <a:schemeClr val="accent2"/>
            </a:solidFill>
            <a:ln w="12700">
              <a:noFill/>
            </a:ln>
            <a:effectLst/>
          </c:spPr>
          <c:invertIfNegative val="0"/>
          <c:cat>
            <c:strRef>
              <c:f>'CPE types'!$A$7:$A$14</c:f>
              <c:strCache>
                <c:ptCount val="8"/>
                <c:pt idx="0">
                  <c:v>NSW</c:v>
                </c:pt>
                <c:pt idx="1">
                  <c:v>Vic</c:v>
                </c:pt>
                <c:pt idx="2">
                  <c:v>Qld</c:v>
                </c:pt>
                <c:pt idx="3">
                  <c:v>SA</c:v>
                </c:pt>
                <c:pt idx="4">
                  <c:v>WA</c:v>
                </c:pt>
                <c:pt idx="5">
                  <c:v>Tas</c:v>
                </c:pt>
                <c:pt idx="6">
                  <c:v>NT</c:v>
                </c:pt>
                <c:pt idx="7">
                  <c:v>ACT</c:v>
                </c:pt>
              </c:strCache>
            </c:strRef>
          </c:cat>
          <c:val>
            <c:numRef>
              <c:f>'CPE types'!$C$7:$C$14</c:f>
              <c:numCache>
                <c:formatCode>General</c:formatCode>
                <c:ptCount val="8"/>
                <c:pt idx="0">
                  <c:v>18</c:v>
                </c:pt>
                <c:pt idx="1">
                  <c:v>31</c:v>
                </c:pt>
                <c:pt idx="2">
                  <c:v>7</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1-00FF-42C2-BF50-0CA4FD640DE9}"/>
            </c:ext>
          </c:extLst>
        </c:ser>
        <c:dLbls>
          <c:showLegendKey val="0"/>
          <c:showVal val="0"/>
          <c:showCatName val="0"/>
          <c:showSerName val="0"/>
          <c:showPercent val="0"/>
          <c:showBubbleSize val="0"/>
        </c:dLbls>
        <c:gapWidth val="150"/>
        <c:axId val="84486016"/>
        <c:axId val="84487552"/>
      </c:barChart>
      <c:catAx>
        <c:axId val="8448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4487552"/>
        <c:crosses val="autoZero"/>
        <c:auto val="1"/>
        <c:lblAlgn val="ctr"/>
        <c:lblOffset val="100"/>
        <c:noMultiLvlLbl val="0"/>
      </c:catAx>
      <c:valAx>
        <c:axId val="84487552"/>
        <c:scaling>
          <c:orientation val="minMax"/>
        </c:scaling>
        <c:delete val="0"/>
        <c:axPos val="l"/>
        <c:majorGridlines>
          <c:spPr>
            <a:ln w="9525" cap="flat" cmpd="sng" algn="ctr">
              <a:solidFill>
                <a:schemeClr val="bg2"/>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solidFill>
                      <a:sysClr val="windowText" lastClr="000000"/>
                    </a:solidFill>
                  </a:rPr>
                  <a:t>Number</a:t>
                </a:r>
              </a:p>
            </c:rich>
          </c:tx>
          <c:layout>
            <c:manualLayout>
              <c:xMode val="edge"/>
              <c:yMode val="edge"/>
              <c:x val="2.6449894966823241E-2"/>
              <c:y val="0.3531112232140898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84486016"/>
        <c:crosses val="autoZero"/>
        <c:crossBetween val="between"/>
      </c:valAx>
      <c:spPr>
        <a:noFill/>
        <a:ln>
          <a:noFill/>
        </a:ln>
        <a:effectLst/>
      </c:spPr>
    </c:plotArea>
    <c:legend>
      <c:legendPos val="b"/>
      <c:layout>
        <c:manualLayout>
          <c:xMode val="edge"/>
          <c:yMode val="edge"/>
          <c:x val="5.4201926502649184E-2"/>
          <c:y val="0.84053582786831316"/>
          <c:w val="0.94140902063456244"/>
          <c:h val="0.13625154446223467"/>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r>
              <a:rPr lang="en-AU" sz="1050">
                <a:solidFill>
                  <a:sysClr val="windowText" lastClr="000000"/>
                </a:solidFill>
              </a:rPr>
              <a:t>OXA-48-like</a:t>
            </a:r>
          </a:p>
        </c:rich>
      </c:tx>
      <c:layout/>
      <c:overlay val="0"/>
      <c:spPr>
        <a:noFill/>
        <a:ln>
          <a:noFill/>
        </a:ln>
        <a:effectLst/>
      </c:spPr>
    </c:title>
    <c:autoTitleDeleted val="0"/>
    <c:plotArea>
      <c:layout>
        <c:manualLayout>
          <c:layoutTarget val="inner"/>
          <c:xMode val="edge"/>
          <c:yMode val="edge"/>
          <c:x val="0.16680263970739648"/>
          <c:y val="0.13463324048282266"/>
          <c:w val="0.78285987912781141"/>
          <c:h val="0.61339533115463629"/>
        </c:manualLayout>
      </c:layout>
      <c:barChart>
        <c:barDir val="col"/>
        <c:grouping val="clustered"/>
        <c:varyColors val="0"/>
        <c:ser>
          <c:idx val="0"/>
          <c:order val="0"/>
          <c:tx>
            <c:strRef>
              <c:f>'CPE types'!$B$6</c:f>
              <c:strCache>
                <c:ptCount val="1"/>
                <c:pt idx="0">
                  <c:v>Clinical isolate (n =6)</c:v>
                </c:pt>
              </c:strCache>
            </c:strRef>
          </c:tx>
          <c:spPr>
            <a:solidFill>
              <a:schemeClr val="accent1"/>
            </a:solidFill>
            <a:ln w="12700">
              <a:noFill/>
            </a:ln>
            <a:effectLst/>
          </c:spPr>
          <c:invertIfNegative val="0"/>
          <c:cat>
            <c:strRef>
              <c:f>'CPE types'!$A$7:$A$14</c:f>
              <c:strCache>
                <c:ptCount val="8"/>
                <c:pt idx="0">
                  <c:v>NSW</c:v>
                </c:pt>
                <c:pt idx="1">
                  <c:v>Vic</c:v>
                </c:pt>
                <c:pt idx="2">
                  <c:v>Qld</c:v>
                </c:pt>
                <c:pt idx="3">
                  <c:v>SA</c:v>
                </c:pt>
                <c:pt idx="4">
                  <c:v>WA</c:v>
                </c:pt>
                <c:pt idx="5">
                  <c:v>Tas</c:v>
                </c:pt>
                <c:pt idx="6">
                  <c:v>NT</c:v>
                </c:pt>
                <c:pt idx="7">
                  <c:v>ACT</c:v>
                </c:pt>
              </c:strCache>
            </c:strRef>
          </c:cat>
          <c:val>
            <c:numRef>
              <c:f>'CPE types'!$B$7:$B$14</c:f>
              <c:numCache>
                <c:formatCode>General</c:formatCode>
                <c:ptCount val="8"/>
                <c:pt idx="0">
                  <c:v>2</c:v>
                </c:pt>
                <c:pt idx="1">
                  <c:v>3</c:v>
                </c:pt>
                <c:pt idx="2">
                  <c:v>1</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0-76B4-4453-9FF6-C1B29EFE1EFF}"/>
            </c:ext>
          </c:extLst>
        </c:ser>
        <c:ser>
          <c:idx val="1"/>
          <c:order val="1"/>
          <c:tx>
            <c:strRef>
              <c:f>'CPE types'!$C$6</c:f>
              <c:strCache>
                <c:ptCount val="1"/>
                <c:pt idx="0">
                  <c:v>Screen (n =2)</c:v>
                </c:pt>
              </c:strCache>
            </c:strRef>
          </c:tx>
          <c:spPr>
            <a:solidFill>
              <a:schemeClr val="accent2"/>
            </a:solidFill>
            <a:ln w="12700">
              <a:noFill/>
            </a:ln>
            <a:effectLst/>
          </c:spPr>
          <c:invertIfNegative val="0"/>
          <c:cat>
            <c:strRef>
              <c:f>'CPE types'!$A$7:$A$14</c:f>
              <c:strCache>
                <c:ptCount val="8"/>
                <c:pt idx="0">
                  <c:v>NSW</c:v>
                </c:pt>
                <c:pt idx="1">
                  <c:v>Vic</c:v>
                </c:pt>
                <c:pt idx="2">
                  <c:v>Qld</c:v>
                </c:pt>
                <c:pt idx="3">
                  <c:v>SA</c:v>
                </c:pt>
                <c:pt idx="4">
                  <c:v>WA</c:v>
                </c:pt>
                <c:pt idx="5">
                  <c:v>Tas</c:v>
                </c:pt>
                <c:pt idx="6">
                  <c:v>NT</c:v>
                </c:pt>
                <c:pt idx="7">
                  <c:v>ACT</c:v>
                </c:pt>
              </c:strCache>
            </c:strRef>
          </c:cat>
          <c:val>
            <c:numRef>
              <c:f>'CPE types'!$C$7:$C$14</c:f>
              <c:numCache>
                <c:formatCode>General</c:formatCode>
                <c:ptCount val="8"/>
                <c:pt idx="0">
                  <c:v>1</c:v>
                </c:pt>
                <c:pt idx="1">
                  <c:v>0</c:v>
                </c:pt>
                <c:pt idx="2">
                  <c:v>0</c:v>
                </c:pt>
                <c:pt idx="3">
                  <c:v>1</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1-76B4-4453-9FF6-C1B29EFE1EFF}"/>
            </c:ext>
          </c:extLst>
        </c:ser>
        <c:dLbls>
          <c:showLegendKey val="0"/>
          <c:showVal val="0"/>
          <c:showCatName val="0"/>
          <c:showSerName val="0"/>
          <c:showPercent val="0"/>
          <c:showBubbleSize val="0"/>
        </c:dLbls>
        <c:gapWidth val="150"/>
        <c:axId val="84518400"/>
        <c:axId val="84519936"/>
      </c:barChart>
      <c:catAx>
        <c:axId val="8451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4519936"/>
        <c:crosses val="autoZero"/>
        <c:auto val="1"/>
        <c:lblAlgn val="ctr"/>
        <c:lblOffset val="100"/>
        <c:noMultiLvlLbl val="0"/>
      </c:catAx>
      <c:valAx>
        <c:axId val="84519936"/>
        <c:scaling>
          <c:orientation val="minMax"/>
          <c:max val="5"/>
        </c:scaling>
        <c:delete val="0"/>
        <c:axPos val="l"/>
        <c:majorGridlines>
          <c:spPr>
            <a:ln w="9525" cap="flat" cmpd="sng" algn="ctr">
              <a:solidFill>
                <a:schemeClr val="bg2"/>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a:solidFill>
                      <a:sysClr val="windowText" lastClr="000000"/>
                    </a:solidFill>
                  </a:rPr>
                  <a:t>Number</a:t>
                </a:r>
              </a:p>
            </c:rich>
          </c:tx>
          <c:layout>
            <c:manualLayout>
              <c:xMode val="edge"/>
              <c:yMode val="edge"/>
              <c:x val="2.6449894966823241E-2"/>
              <c:y val="0.3531112232140898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84518400"/>
        <c:crosses val="autoZero"/>
        <c:crossBetween val="between"/>
        <c:majorUnit val="1"/>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DA5CC-D53F-423D-9449-2C47A5E0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Handy Stuff TEMPLATE with COVER for Commission publications.dotx</Template>
  <TotalTime>0</TotalTime>
  <Pages>21</Pages>
  <Words>3199</Words>
  <Characters>17767</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Komoder Andrew</dc:creator>
  <cp:lastModifiedBy>Mertens, Kate</cp:lastModifiedBy>
  <cp:revision>2</cp:revision>
  <cp:lastPrinted>2019-04-04T21:09:00Z</cp:lastPrinted>
  <dcterms:created xsi:type="dcterms:W3CDTF">2019-05-07T03:13:00Z</dcterms:created>
  <dcterms:modified xsi:type="dcterms:W3CDTF">2019-05-07T03:13:00Z</dcterms:modified>
</cp:coreProperties>
</file>