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B76BA1">
        <w:rPr>
          <w:rFonts w:ascii="Garamond" w:hAnsi="Garamond"/>
          <w:lang w:val="en-AU"/>
        </w:rPr>
        <w:t>8</w:t>
      </w:r>
    </w:p>
    <w:p w:rsidR="00755242" w:rsidRDefault="00B76BA1" w:rsidP="00F738B5">
      <w:pPr>
        <w:rPr>
          <w:rFonts w:ascii="Garamond" w:hAnsi="Garamond"/>
          <w:lang w:val="en-AU"/>
        </w:rPr>
      </w:pPr>
      <w:r>
        <w:rPr>
          <w:rFonts w:ascii="Garamond" w:hAnsi="Garamond"/>
          <w:lang w:val="en-AU"/>
        </w:rPr>
        <w:t>27</w:t>
      </w:r>
      <w:r w:rsidR="00987DF9">
        <w:rPr>
          <w:rFonts w:ascii="Garamond" w:hAnsi="Garamond"/>
          <w:lang w:val="en-AU"/>
        </w:rPr>
        <w:t xml:space="preserve"> May</w:t>
      </w:r>
      <w:r w:rsidR="00A06196">
        <w:rPr>
          <w:rFonts w:ascii="Garamond" w:hAnsi="Garamond"/>
          <w:lang w:val="en-AU"/>
        </w:rPr>
        <w:t xml:space="preserve"> </w:t>
      </w:r>
      <w:bookmarkStart w:id="0" w:name="_GoBack"/>
      <w:bookmarkEnd w:id="0"/>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5445F" w:rsidRDefault="0055445F">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C52996" w:rsidRPr="005E13CD" w:rsidRDefault="00C52996" w:rsidP="00C52996">
      <w:pPr>
        <w:keepLines/>
        <w:autoSpaceDE w:val="0"/>
        <w:autoSpaceDN w:val="0"/>
        <w:adjustRightInd w:val="0"/>
        <w:rPr>
          <w:rFonts w:ascii="Garamond" w:hAnsi="Garamond"/>
          <w:i/>
          <w:lang w:val="en-AU"/>
        </w:rPr>
      </w:pPr>
      <w:r w:rsidRPr="005E13CD">
        <w:rPr>
          <w:rFonts w:ascii="Garamond" w:hAnsi="Garamond"/>
          <w:i/>
          <w:lang w:val="en-AU"/>
        </w:rPr>
        <w:t>The Canadian Quality and Patient Safety Framework for Health and Social Services</w:t>
      </w:r>
    </w:p>
    <w:p w:rsidR="00C52996" w:rsidRDefault="00C52996" w:rsidP="00C52996">
      <w:pPr>
        <w:keepLines/>
        <w:autoSpaceDE w:val="0"/>
        <w:autoSpaceDN w:val="0"/>
        <w:adjustRightInd w:val="0"/>
        <w:rPr>
          <w:rFonts w:ascii="Garamond" w:hAnsi="Garamond"/>
          <w:lang w:val="en-AU"/>
        </w:rPr>
      </w:pPr>
      <w:r w:rsidRPr="00C52996">
        <w:rPr>
          <w:rFonts w:ascii="Garamond" w:hAnsi="Garamond"/>
          <w:lang w:val="en-AU"/>
        </w:rPr>
        <w:t>Canadian Patient Safety Institute</w:t>
      </w:r>
      <w:r>
        <w:rPr>
          <w:rFonts w:ascii="Garamond" w:hAnsi="Garamond"/>
          <w:lang w:val="en-AU"/>
        </w:rPr>
        <w:t xml:space="preserve"> and</w:t>
      </w:r>
      <w:r w:rsidRPr="00C52996">
        <w:rPr>
          <w:rFonts w:ascii="Garamond" w:hAnsi="Garamond"/>
          <w:lang w:val="en-AU"/>
        </w:rPr>
        <w:t xml:space="preserve"> Health Standards Organization</w:t>
      </w:r>
    </w:p>
    <w:p w:rsidR="00C52996" w:rsidRDefault="00C52996" w:rsidP="00C52996">
      <w:pPr>
        <w:keepLines/>
        <w:autoSpaceDE w:val="0"/>
        <w:autoSpaceDN w:val="0"/>
        <w:adjustRightInd w:val="0"/>
        <w:rPr>
          <w:rFonts w:ascii="Garamond" w:hAnsi="Garamond"/>
          <w:lang w:val="en-AU"/>
        </w:rPr>
      </w:pPr>
      <w:r w:rsidRPr="00C52996">
        <w:rPr>
          <w:rFonts w:ascii="Garamond" w:hAnsi="Garamond"/>
          <w:lang w:val="en-AU"/>
        </w:rPr>
        <w:t>Ottawa: Canadian Patient Safety Institute and Health Standards Organization; 2019. p. 14.</w:t>
      </w:r>
    </w:p>
    <w:tbl>
      <w:tblPr>
        <w:tblStyle w:val="TableGrid"/>
        <w:tblW w:w="0" w:type="auto"/>
        <w:tblInd w:w="288" w:type="dxa"/>
        <w:tblLayout w:type="fixed"/>
        <w:tblLook w:val="01E0" w:firstRow="1" w:lastRow="1" w:firstColumn="1" w:lastColumn="1" w:noHBand="0" w:noVBand="0"/>
      </w:tblPr>
      <w:tblGrid>
        <w:gridCol w:w="1080"/>
        <w:gridCol w:w="8280"/>
      </w:tblGrid>
      <w:tr w:rsidR="00C52996"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C52996" w:rsidRPr="000170DA" w:rsidRDefault="00C52996" w:rsidP="00ED109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2996" w:rsidRPr="007C5E85" w:rsidRDefault="00A06196" w:rsidP="00ED1099">
            <w:pPr>
              <w:rPr>
                <w:rStyle w:val="Hyperlink"/>
                <w:rFonts w:ascii="Garamond" w:hAnsi="Garamond"/>
                <w:color w:val="auto"/>
                <w:u w:val="none"/>
                <w:lang w:val="en-AU"/>
              </w:rPr>
            </w:pPr>
            <w:hyperlink r:id="rId16" w:history="1">
              <w:r w:rsidR="00C52996" w:rsidRPr="00953014">
                <w:rPr>
                  <w:rStyle w:val="Hyperlink"/>
                  <w:rFonts w:ascii="Garamond" w:hAnsi="Garamond"/>
                  <w:lang w:val="en-AU"/>
                </w:rPr>
                <w:t>https://www.qualitypatientsafety.ca/en/home</w:t>
              </w:r>
            </w:hyperlink>
          </w:p>
        </w:tc>
      </w:tr>
      <w:tr w:rsidR="00C52996"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C52996" w:rsidRPr="000170DA" w:rsidRDefault="00C52996" w:rsidP="00ED109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2996" w:rsidRPr="00C52996" w:rsidRDefault="00C52996" w:rsidP="00ED1099">
            <w:pPr>
              <w:pStyle w:val="Caption"/>
              <w:rPr>
                <w:rFonts w:ascii="Garamond" w:hAnsi="Garamond"/>
                <w:b w:val="0"/>
                <w:sz w:val="24"/>
                <w:szCs w:val="24"/>
                <w:lang w:val="en-AU"/>
              </w:rPr>
            </w:pPr>
            <w:r>
              <w:rPr>
                <w:rFonts w:ascii="Garamond" w:hAnsi="Garamond"/>
                <w:b w:val="0"/>
                <w:sz w:val="24"/>
                <w:szCs w:val="24"/>
                <w:lang w:val="en-AU"/>
              </w:rPr>
              <w:t xml:space="preserve">This draft </w:t>
            </w:r>
            <w:r w:rsidRPr="005E13CD">
              <w:rPr>
                <w:rFonts w:ascii="Garamond" w:hAnsi="Garamond"/>
                <w:b w:val="0"/>
                <w:sz w:val="24"/>
                <w:szCs w:val="24"/>
                <w:lang w:val="en-AU"/>
              </w:rPr>
              <w:t xml:space="preserve">quality and patient safety </w:t>
            </w:r>
            <w:r>
              <w:rPr>
                <w:rFonts w:ascii="Garamond" w:hAnsi="Garamond"/>
                <w:b w:val="0"/>
                <w:sz w:val="24"/>
                <w:szCs w:val="24"/>
                <w:lang w:val="en-AU"/>
              </w:rPr>
              <w:t>framework is being developed t</w:t>
            </w:r>
            <w:r w:rsidRPr="005E13CD">
              <w:rPr>
                <w:rFonts w:ascii="Garamond" w:hAnsi="Garamond"/>
                <w:b w:val="0"/>
                <w:sz w:val="24"/>
                <w:szCs w:val="24"/>
                <w:lang w:val="en-AU"/>
              </w:rPr>
              <w:t>he Canadian Patient Safety Institute (CPSI) and Health Standards Organization (HSO)</w:t>
            </w:r>
            <w:r>
              <w:rPr>
                <w:rFonts w:ascii="Garamond" w:hAnsi="Garamond"/>
                <w:b w:val="0"/>
                <w:sz w:val="24"/>
                <w:szCs w:val="24"/>
                <w:lang w:val="en-AU"/>
              </w:rPr>
              <w:t xml:space="preserve">. The organisations are </w:t>
            </w:r>
            <w:r w:rsidRPr="005E13CD">
              <w:rPr>
                <w:rFonts w:ascii="Garamond" w:hAnsi="Garamond"/>
                <w:b w:val="0"/>
                <w:sz w:val="24"/>
                <w:szCs w:val="24"/>
                <w:lang w:val="en-AU"/>
              </w:rPr>
              <w:t>undertak</w:t>
            </w:r>
            <w:r>
              <w:rPr>
                <w:rFonts w:ascii="Garamond" w:hAnsi="Garamond"/>
                <w:b w:val="0"/>
                <w:sz w:val="24"/>
                <w:szCs w:val="24"/>
                <w:lang w:val="en-AU"/>
              </w:rPr>
              <w:t xml:space="preserve">ing </w:t>
            </w:r>
            <w:r w:rsidRPr="005E13CD">
              <w:rPr>
                <w:rFonts w:ascii="Garamond" w:hAnsi="Garamond"/>
                <w:b w:val="0"/>
                <w:sz w:val="24"/>
                <w:szCs w:val="24"/>
                <w:lang w:val="en-AU"/>
              </w:rPr>
              <w:t>consultations</w:t>
            </w:r>
            <w:r>
              <w:rPr>
                <w:rFonts w:ascii="Garamond" w:hAnsi="Garamond"/>
                <w:b w:val="0"/>
                <w:sz w:val="24"/>
                <w:szCs w:val="24"/>
                <w:lang w:val="en-AU"/>
              </w:rPr>
              <w:t xml:space="preserve"> on the </w:t>
            </w:r>
            <w:r w:rsidRPr="005E13CD">
              <w:rPr>
                <w:rFonts w:ascii="Garamond" w:hAnsi="Garamond"/>
                <w:b w:val="0"/>
                <w:sz w:val="24"/>
                <w:szCs w:val="24"/>
                <w:lang w:val="en-AU"/>
              </w:rPr>
              <w:t xml:space="preserve">draft </w:t>
            </w:r>
            <w:r>
              <w:rPr>
                <w:rFonts w:ascii="Garamond" w:hAnsi="Garamond"/>
                <w:b w:val="0"/>
                <w:sz w:val="24"/>
                <w:szCs w:val="24"/>
                <w:lang w:val="en-AU"/>
              </w:rPr>
              <w:t xml:space="preserve">that will seek </w:t>
            </w:r>
            <w:r w:rsidRPr="005E13CD">
              <w:rPr>
                <w:rFonts w:ascii="Garamond" w:hAnsi="Garamond"/>
                <w:b w:val="0"/>
                <w:sz w:val="24"/>
                <w:szCs w:val="24"/>
                <w:lang w:val="en-AU"/>
              </w:rPr>
              <w:t xml:space="preserve">to inspire and accelerate the improvement of health and </w:t>
            </w:r>
            <w:r w:rsidRPr="00C52996">
              <w:rPr>
                <w:rFonts w:ascii="Garamond" w:hAnsi="Garamond"/>
                <w:b w:val="0"/>
                <w:sz w:val="24"/>
                <w:szCs w:val="24"/>
                <w:lang w:val="en-AU"/>
              </w:rPr>
              <w:t>social services across Canada.</w:t>
            </w:r>
          </w:p>
          <w:p w:rsidR="00C52996" w:rsidRPr="00C52996" w:rsidRDefault="00C52996" w:rsidP="00ED1099">
            <w:pPr>
              <w:rPr>
                <w:rFonts w:ascii="Garamond" w:hAnsi="Garamond"/>
                <w:lang w:val="en-AU"/>
              </w:rPr>
            </w:pPr>
            <w:r w:rsidRPr="00C52996">
              <w:rPr>
                <w:rFonts w:ascii="Garamond" w:hAnsi="Garamond"/>
                <w:lang w:val="en-AU"/>
              </w:rPr>
              <w:t>The framework is intended to support national and jurisdictional</w:t>
            </w:r>
            <w:r>
              <w:rPr>
                <w:rFonts w:ascii="Garamond" w:hAnsi="Garamond"/>
                <w:lang w:val="en-AU"/>
              </w:rPr>
              <w:t xml:space="preserve"> </w:t>
            </w:r>
            <w:r w:rsidRPr="00C52996">
              <w:rPr>
                <w:rFonts w:ascii="Garamond" w:hAnsi="Garamond"/>
                <w:lang w:val="en-AU"/>
              </w:rPr>
              <w:t>stakeholders to:</w:t>
            </w:r>
          </w:p>
          <w:p w:rsidR="00C52996" w:rsidRPr="00C52996" w:rsidRDefault="00C52996" w:rsidP="00ED1099">
            <w:pPr>
              <w:pStyle w:val="ListParagraph"/>
              <w:numPr>
                <w:ilvl w:val="0"/>
                <w:numId w:val="24"/>
              </w:numPr>
              <w:rPr>
                <w:rFonts w:ascii="Garamond" w:hAnsi="Garamond"/>
                <w:lang w:val="en-AU"/>
              </w:rPr>
            </w:pPr>
            <w:r w:rsidRPr="00C52996">
              <w:rPr>
                <w:rFonts w:ascii="Garamond" w:hAnsi="Garamond"/>
                <w:lang w:val="en-AU"/>
              </w:rPr>
              <w:t>Describe overarching principles and goals for safe, high quality health and social services</w:t>
            </w:r>
          </w:p>
          <w:p w:rsidR="00C52996" w:rsidRPr="00C52996" w:rsidRDefault="00C52996" w:rsidP="00ED1099">
            <w:pPr>
              <w:pStyle w:val="ListParagraph"/>
              <w:numPr>
                <w:ilvl w:val="0"/>
                <w:numId w:val="24"/>
              </w:numPr>
              <w:rPr>
                <w:rFonts w:ascii="Garamond" w:hAnsi="Garamond"/>
                <w:lang w:val="en-AU"/>
              </w:rPr>
            </w:pPr>
            <w:r w:rsidRPr="00C52996">
              <w:rPr>
                <w:rFonts w:ascii="Garamond" w:hAnsi="Garamond"/>
                <w:lang w:val="en-AU"/>
              </w:rPr>
              <w:t>Focus policy, action and resources that improve experience and outcomes from health and social services offered;</w:t>
            </w:r>
          </w:p>
          <w:p w:rsidR="00C52996" w:rsidRPr="00C52996" w:rsidRDefault="00C52996" w:rsidP="00ED1099">
            <w:pPr>
              <w:pStyle w:val="ListParagraph"/>
              <w:numPr>
                <w:ilvl w:val="0"/>
                <w:numId w:val="24"/>
              </w:numPr>
              <w:rPr>
                <w:rFonts w:ascii="Garamond" w:hAnsi="Garamond"/>
                <w:lang w:val="en-AU"/>
              </w:rPr>
            </w:pPr>
            <w:r w:rsidRPr="00C52996">
              <w:rPr>
                <w:rFonts w:ascii="Garamond" w:hAnsi="Garamond"/>
                <w:lang w:val="en-AU"/>
              </w:rPr>
              <w:t>Enhance collaboration of stakeholders around common goals;</w:t>
            </w:r>
          </w:p>
          <w:p w:rsidR="00C52996" w:rsidRPr="00C52996" w:rsidRDefault="00C52996" w:rsidP="00ED1099">
            <w:pPr>
              <w:pStyle w:val="ListParagraph"/>
              <w:numPr>
                <w:ilvl w:val="0"/>
                <w:numId w:val="24"/>
              </w:numPr>
              <w:rPr>
                <w:rFonts w:ascii="Garamond" w:hAnsi="Garamond"/>
                <w:lang w:val="en-AU"/>
              </w:rPr>
            </w:pPr>
            <w:r w:rsidRPr="00C52996">
              <w:rPr>
                <w:rFonts w:ascii="Garamond" w:hAnsi="Garamond"/>
                <w:lang w:val="en-AU"/>
              </w:rPr>
              <w:t>Reduce care variations across different communities.</w:t>
            </w:r>
          </w:p>
          <w:p w:rsidR="00C52996" w:rsidRPr="00C52996" w:rsidRDefault="00C52996" w:rsidP="00ED1099">
            <w:pPr>
              <w:rPr>
                <w:lang w:val="en-AU"/>
              </w:rPr>
            </w:pPr>
            <w:r>
              <w:rPr>
                <w:noProof/>
                <w:lang w:val="en-AU" w:eastAsia="en-AU"/>
              </w:rPr>
              <w:drawing>
                <wp:inline distT="0" distB="0" distL="0" distR="0" wp14:anchorId="00A497D4" wp14:editId="456140E9">
                  <wp:extent cx="3505200" cy="861614"/>
                  <wp:effectExtent l="0" t="0" r="0" b="0"/>
                  <wp:docPr id="2" name="Picture 2" descr="\\central.health\dfsuserenv\Users\User_07\johnni\Desktop\Canadian 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Canadian goal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04267" cy="861385"/>
                          </a:xfrm>
                          <a:prstGeom prst="rect">
                            <a:avLst/>
                          </a:prstGeom>
                          <a:noFill/>
                          <a:ln>
                            <a:noFill/>
                          </a:ln>
                        </pic:spPr>
                      </pic:pic>
                    </a:graphicData>
                  </a:graphic>
                </wp:inline>
              </w:drawing>
            </w:r>
          </w:p>
        </w:tc>
      </w:tr>
    </w:tbl>
    <w:p w:rsidR="00961A8C" w:rsidRPr="00961A8C" w:rsidRDefault="00961A8C" w:rsidP="00961A8C">
      <w:pPr>
        <w:keepNext/>
        <w:keepLines/>
        <w:autoSpaceDE w:val="0"/>
        <w:autoSpaceDN w:val="0"/>
        <w:adjustRightInd w:val="0"/>
        <w:rPr>
          <w:rFonts w:ascii="Garamond" w:hAnsi="Garamond"/>
          <w:i/>
          <w:lang w:val="en-AU"/>
        </w:rPr>
      </w:pPr>
      <w:r w:rsidRPr="00961A8C">
        <w:rPr>
          <w:rFonts w:ascii="Garamond" w:hAnsi="Garamond"/>
          <w:i/>
          <w:lang w:val="en-AU"/>
        </w:rPr>
        <w:lastRenderedPageBreak/>
        <w:t>Health and healthcare in the Fourth Industrial Revolution: Global Future Council on the Future of Health and Healthcare 2016-2018</w:t>
      </w:r>
    </w:p>
    <w:p w:rsidR="00961A8C" w:rsidRDefault="00961A8C" w:rsidP="00961A8C">
      <w:pPr>
        <w:keepNext/>
        <w:keepLines/>
        <w:autoSpaceDE w:val="0"/>
        <w:autoSpaceDN w:val="0"/>
        <w:adjustRightInd w:val="0"/>
        <w:rPr>
          <w:rFonts w:ascii="Garamond" w:hAnsi="Garamond"/>
          <w:lang w:val="en-AU"/>
        </w:rPr>
      </w:pPr>
      <w:r w:rsidRPr="00961A8C">
        <w:rPr>
          <w:rFonts w:ascii="Garamond" w:hAnsi="Garamond"/>
          <w:lang w:val="en-AU"/>
        </w:rPr>
        <w:t>Goy A, Nishtar S, Dzau V, Balatbat C, Diabo R</w:t>
      </w:r>
    </w:p>
    <w:p w:rsidR="00961A8C" w:rsidRDefault="00961A8C" w:rsidP="00961A8C">
      <w:pPr>
        <w:keepNext/>
        <w:keepLines/>
        <w:autoSpaceDE w:val="0"/>
        <w:autoSpaceDN w:val="0"/>
        <w:adjustRightInd w:val="0"/>
        <w:rPr>
          <w:rFonts w:ascii="Garamond" w:hAnsi="Garamond"/>
          <w:lang w:val="en-AU"/>
        </w:rPr>
      </w:pPr>
      <w:r w:rsidRPr="00961A8C">
        <w:rPr>
          <w:rFonts w:ascii="Garamond" w:hAnsi="Garamond"/>
          <w:lang w:val="en-AU"/>
        </w:rPr>
        <w:t>Geneva: World Economic Forum; 2019. p. 45.</w:t>
      </w:r>
    </w:p>
    <w:tbl>
      <w:tblPr>
        <w:tblStyle w:val="TableGrid"/>
        <w:tblW w:w="0" w:type="auto"/>
        <w:tblInd w:w="288" w:type="dxa"/>
        <w:tblLayout w:type="fixed"/>
        <w:tblLook w:val="01E0" w:firstRow="1" w:lastRow="1" w:firstColumn="1" w:lastColumn="1" w:noHBand="0" w:noVBand="0"/>
      </w:tblPr>
      <w:tblGrid>
        <w:gridCol w:w="1080"/>
        <w:gridCol w:w="8280"/>
      </w:tblGrid>
      <w:tr w:rsidR="00961A8C"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961A8C" w:rsidRPr="000170DA" w:rsidRDefault="00961A8C" w:rsidP="00ED109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61A8C" w:rsidRPr="000170DA" w:rsidRDefault="00A06196" w:rsidP="00ED1099">
            <w:pPr>
              <w:rPr>
                <w:rStyle w:val="Hyperlink"/>
                <w:rFonts w:ascii="Garamond" w:hAnsi="Garamond"/>
                <w:color w:val="auto"/>
                <w:u w:val="none"/>
                <w:lang w:val="en-AU"/>
              </w:rPr>
            </w:pPr>
            <w:hyperlink r:id="rId18" w:history="1">
              <w:r w:rsidR="00961A8C" w:rsidRPr="00953014">
                <w:rPr>
                  <w:rStyle w:val="Hyperlink"/>
                  <w:rFonts w:ascii="Garamond" w:hAnsi="Garamond"/>
                  <w:lang w:val="en-AU"/>
                </w:rPr>
                <w:t>https://www.weforum.org/reports/health-and-healthcare-in-the-fourth-industrial-revolution-global-future-council-on-the-future-of-health-and-healthcare-2016-2018</w:t>
              </w:r>
            </w:hyperlink>
          </w:p>
        </w:tc>
      </w:tr>
      <w:tr w:rsidR="00961A8C"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961A8C" w:rsidRPr="000170DA" w:rsidRDefault="00961A8C" w:rsidP="00ED109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1A8C" w:rsidRDefault="00961A8C" w:rsidP="00581643">
            <w:pPr>
              <w:rPr>
                <w:rFonts w:ascii="Garamond" w:hAnsi="Garamond"/>
                <w:lang w:val="en-AU"/>
              </w:rPr>
            </w:pPr>
            <w:r>
              <w:rPr>
                <w:rFonts w:ascii="Garamond" w:hAnsi="Garamond"/>
                <w:lang w:val="en-AU"/>
              </w:rPr>
              <w:t>This report from World Economic Forum’s G</w:t>
            </w:r>
            <w:r w:rsidRPr="00961A8C">
              <w:rPr>
                <w:rFonts w:ascii="Garamond" w:hAnsi="Garamond"/>
                <w:lang w:val="en-AU"/>
              </w:rPr>
              <w:t>lobal Future Council on the Future of Health and Healthcare</w:t>
            </w:r>
            <w:r>
              <w:rPr>
                <w:rFonts w:ascii="Garamond" w:hAnsi="Garamond"/>
                <w:lang w:val="en-AU"/>
              </w:rPr>
              <w:t xml:space="preserve"> seeks to elucidate how the “Fourth Industrial Revolution” will </w:t>
            </w:r>
            <w:r w:rsidR="00104B19">
              <w:rPr>
                <w:rFonts w:ascii="Garamond" w:hAnsi="Garamond"/>
                <w:lang w:val="en-AU"/>
              </w:rPr>
              <w:t>a</w:t>
            </w:r>
            <w:r>
              <w:rPr>
                <w:rFonts w:ascii="Garamond" w:hAnsi="Garamond"/>
                <w:lang w:val="en-AU"/>
              </w:rPr>
              <w:t xml:space="preserve">ffect health and medicine, including </w:t>
            </w:r>
            <w:r w:rsidRPr="00961A8C">
              <w:rPr>
                <w:rFonts w:ascii="Garamond" w:hAnsi="Garamond"/>
                <w:lang w:val="en-AU"/>
              </w:rPr>
              <w:t>the societal implications and governance of key emerging technologies related to health and healthcare.</w:t>
            </w:r>
            <w:r w:rsidR="00581643">
              <w:rPr>
                <w:rFonts w:ascii="Garamond" w:hAnsi="Garamond"/>
                <w:lang w:val="en-AU"/>
              </w:rPr>
              <w:t xml:space="preserve"> The issues include sustainability (encompassing demographic changes, the increasing burden of non-communicable disease and the cost of healthcare) and the impact of scientific and technological discovery, development and change.</w:t>
            </w:r>
          </w:p>
          <w:p w:rsidR="00581643" w:rsidRDefault="00581643" w:rsidP="00581643">
            <w:pPr>
              <w:rPr>
                <w:rFonts w:ascii="Garamond" w:hAnsi="Garamond"/>
                <w:lang w:val="en-AU"/>
              </w:rPr>
            </w:pPr>
            <w:r>
              <w:rPr>
                <w:rFonts w:ascii="Garamond" w:hAnsi="Garamond"/>
                <w:lang w:val="en-AU"/>
              </w:rPr>
              <w:t>The author</w:t>
            </w:r>
            <w:r w:rsidR="00764E25">
              <w:rPr>
                <w:rFonts w:ascii="Garamond" w:hAnsi="Garamond"/>
                <w:lang w:val="en-AU"/>
              </w:rPr>
              <w:t>s</w:t>
            </w:r>
            <w:r>
              <w:rPr>
                <w:rFonts w:ascii="Garamond" w:hAnsi="Garamond"/>
                <w:lang w:val="en-AU"/>
              </w:rPr>
              <w:t xml:space="preserve"> see two ‘fundamental shifts’ reshaping healthcare:</w:t>
            </w:r>
          </w:p>
          <w:p w:rsidR="00581643" w:rsidRDefault="00581643" w:rsidP="00581643">
            <w:pPr>
              <w:pStyle w:val="ListParagraph"/>
              <w:numPr>
                <w:ilvl w:val="0"/>
                <w:numId w:val="23"/>
              </w:numPr>
              <w:rPr>
                <w:rFonts w:ascii="Garamond" w:hAnsi="Garamond"/>
                <w:lang w:val="en-AU"/>
              </w:rPr>
            </w:pPr>
            <w:r w:rsidRPr="00581643">
              <w:rPr>
                <w:rFonts w:ascii="Garamond" w:hAnsi="Garamond"/>
                <w:lang w:val="en-AU"/>
              </w:rPr>
              <w:t xml:space="preserve">healthcare will be delivered as </w:t>
            </w:r>
            <w:r w:rsidRPr="00581643">
              <w:rPr>
                <w:rFonts w:ascii="Garamond" w:hAnsi="Garamond"/>
                <w:i/>
                <w:lang w:val="en-AU"/>
              </w:rPr>
              <w:t>a seamless continuum of care</w:t>
            </w:r>
            <w:r w:rsidRPr="00581643">
              <w:rPr>
                <w:rFonts w:ascii="Garamond" w:hAnsi="Garamond"/>
                <w:lang w:val="en-AU"/>
              </w:rPr>
              <w:t>, away from the clinic-centred point of care model and with a greater focus on prevention and early</w:t>
            </w:r>
            <w:r>
              <w:rPr>
                <w:rFonts w:ascii="Garamond" w:hAnsi="Garamond"/>
                <w:lang w:val="en-AU"/>
              </w:rPr>
              <w:t xml:space="preserve"> </w:t>
            </w:r>
            <w:r w:rsidRPr="00581643">
              <w:rPr>
                <w:rFonts w:ascii="Garamond" w:hAnsi="Garamond"/>
                <w:lang w:val="en-AU"/>
              </w:rPr>
              <w:t>intervention</w:t>
            </w:r>
          </w:p>
          <w:p w:rsidR="00581643" w:rsidRPr="00F44FEC" w:rsidRDefault="00581643" w:rsidP="00581643">
            <w:pPr>
              <w:pStyle w:val="ListParagraph"/>
              <w:numPr>
                <w:ilvl w:val="0"/>
                <w:numId w:val="23"/>
              </w:numPr>
              <w:rPr>
                <w:rFonts w:ascii="Garamond" w:hAnsi="Garamond"/>
                <w:lang w:val="en-AU"/>
              </w:rPr>
            </w:pPr>
            <w:r w:rsidRPr="00581643">
              <w:rPr>
                <w:rFonts w:ascii="Garamond" w:hAnsi="Garamond"/>
                <w:lang w:val="en-AU"/>
              </w:rPr>
              <w:t>health and healthcare delivery will focus on each person within their own ecosystem, with a greater</w:t>
            </w:r>
            <w:r>
              <w:rPr>
                <w:rFonts w:ascii="Garamond" w:hAnsi="Garamond"/>
                <w:lang w:val="en-AU"/>
              </w:rPr>
              <w:t xml:space="preserve"> </w:t>
            </w:r>
            <w:r w:rsidRPr="00581643">
              <w:rPr>
                <w:rFonts w:ascii="Garamond" w:hAnsi="Garamond"/>
                <w:lang w:val="en-AU"/>
              </w:rPr>
              <w:t xml:space="preserve">impact from people or patients themselves, often referred to as the </w:t>
            </w:r>
            <w:r w:rsidRPr="00581643">
              <w:rPr>
                <w:rFonts w:ascii="Garamond" w:hAnsi="Garamond"/>
                <w:i/>
                <w:lang w:val="en-AU"/>
              </w:rPr>
              <w:t>consumerization of healthcare</w:t>
            </w:r>
            <w:r w:rsidRPr="00581643">
              <w:rPr>
                <w:rFonts w:ascii="Garamond" w:hAnsi="Garamond"/>
                <w:lang w:val="en-AU"/>
              </w:rPr>
              <w:t>.</w:t>
            </w:r>
          </w:p>
        </w:tc>
      </w:tr>
    </w:tbl>
    <w:p w:rsidR="00961A8C" w:rsidRDefault="00961A8C" w:rsidP="00961A8C">
      <w:pPr>
        <w:keepNext/>
        <w:keepLines/>
        <w:autoSpaceDE w:val="0"/>
        <w:autoSpaceDN w:val="0"/>
        <w:adjustRightInd w:val="0"/>
        <w:rPr>
          <w:rFonts w:ascii="Garamond" w:hAnsi="Garamond"/>
          <w:i/>
          <w:lang w:val="en-AU"/>
        </w:rPr>
      </w:pPr>
    </w:p>
    <w:p w:rsidR="007C5E85" w:rsidRPr="00D93C07" w:rsidRDefault="00964FBC" w:rsidP="00964FBC">
      <w:pPr>
        <w:keepLines/>
        <w:tabs>
          <w:tab w:val="left" w:pos="1950"/>
        </w:tabs>
        <w:autoSpaceDE w:val="0"/>
        <w:autoSpaceDN w:val="0"/>
        <w:adjustRightInd w:val="0"/>
        <w:rPr>
          <w:rFonts w:ascii="Garamond" w:hAnsi="Garamond"/>
          <w:i/>
          <w:lang w:val="en-AU"/>
        </w:rPr>
      </w:pPr>
      <w:r w:rsidRPr="00D93C07">
        <w:rPr>
          <w:rFonts w:ascii="Garamond" w:hAnsi="Garamond"/>
          <w:i/>
          <w:lang w:val="en-AU"/>
        </w:rPr>
        <w:t>The future of regulation: Principles for regulating emerging technologies</w:t>
      </w:r>
    </w:p>
    <w:p w:rsidR="003A302E" w:rsidRDefault="003A302E" w:rsidP="00964FBC">
      <w:pPr>
        <w:keepLines/>
        <w:tabs>
          <w:tab w:val="left" w:pos="1950"/>
        </w:tabs>
        <w:autoSpaceDE w:val="0"/>
        <w:autoSpaceDN w:val="0"/>
        <w:adjustRightInd w:val="0"/>
        <w:rPr>
          <w:rFonts w:ascii="Garamond" w:hAnsi="Garamond"/>
          <w:lang w:val="en-AU"/>
        </w:rPr>
      </w:pPr>
      <w:r w:rsidRPr="003A302E">
        <w:rPr>
          <w:rFonts w:ascii="Garamond" w:hAnsi="Garamond"/>
          <w:lang w:val="en-AU"/>
        </w:rPr>
        <w:t>Eggers WD, Turley M, Kishnani P</w:t>
      </w:r>
    </w:p>
    <w:p w:rsidR="00964FBC" w:rsidRDefault="003A302E" w:rsidP="00964FBC">
      <w:pPr>
        <w:keepLines/>
        <w:tabs>
          <w:tab w:val="left" w:pos="1950"/>
        </w:tabs>
        <w:autoSpaceDE w:val="0"/>
        <w:autoSpaceDN w:val="0"/>
        <w:adjustRightInd w:val="0"/>
        <w:rPr>
          <w:rFonts w:ascii="Garamond" w:hAnsi="Garamond"/>
          <w:lang w:val="en-AU"/>
        </w:rPr>
      </w:pPr>
      <w:r w:rsidRPr="003A302E">
        <w:rPr>
          <w:rFonts w:ascii="Garamond" w:hAnsi="Garamond"/>
          <w:lang w:val="en-AU"/>
        </w:rPr>
        <w:t>Deloitte Insights: Deloitte Development; 2018.</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7C5E85" w:rsidRDefault="00A06196" w:rsidP="00556B7F">
            <w:pPr>
              <w:rPr>
                <w:rStyle w:val="Hyperlink"/>
                <w:rFonts w:ascii="Garamond" w:hAnsi="Garamond"/>
                <w:color w:val="auto"/>
                <w:u w:val="none"/>
                <w:lang w:val="en-AU"/>
              </w:rPr>
            </w:pPr>
            <w:hyperlink r:id="rId19" w:history="1">
              <w:r w:rsidR="00964FBC" w:rsidRPr="00953014">
                <w:rPr>
                  <w:rStyle w:val="Hyperlink"/>
                  <w:rFonts w:ascii="Garamond" w:hAnsi="Garamond"/>
                  <w:lang w:val="en-AU"/>
                </w:rPr>
                <w:t>https://www2.deloitte.com/insights/us/en/industry/public-sector/future-of-regulation/regulating-emerging-technology.html</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5E85" w:rsidRPr="007C5E85" w:rsidRDefault="00964FBC" w:rsidP="00764E25">
            <w:pPr>
              <w:pStyle w:val="Caption"/>
              <w:rPr>
                <w:rFonts w:ascii="Garamond" w:hAnsi="Garamond"/>
                <w:b w:val="0"/>
                <w:sz w:val="24"/>
                <w:szCs w:val="24"/>
                <w:lang w:val="en-AU"/>
              </w:rPr>
            </w:pPr>
            <w:r>
              <w:rPr>
                <w:rFonts w:ascii="Garamond" w:hAnsi="Garamond"/>
                <w:b w:val="0"/>
                <w:sz w:val="24"/>
                <w:szCs w:val="24"/>
                <w:lang w:val="en-AU"/>
              </w:rPr>
              <w:t>Th</w:t>
            </w:r>
            <w:r w:rsidR="00764E25">
              <w:rPr>
                <w:rFonts w:ascii="Garamond" w:hAnsi="Garamond"/>
                <w:b w:val="0"/>
                <w:sz w:val="24"/>
                <w:szCs w:val="24"/>
                <w:lang w:val="en-AU"/>
              </w:rPr>
              <w:t>is</w:t>
            </w:r>
            <w:r>
              <w:rPr>
                <w:rFonts w:ascii="Garamond" w:hAnsi="Garamond"/>
                <w:b w:val="0"/>
                <w:sz w:val="24"/>
                <w:szCs w:val="24"/>
                <w:lang w:val="en-AU"/>
              </w:rPr>
              <w:t xml:space="preserve"> article from the Deloitte Insights raises some interesting questions and challenges about regulation. How best to regulate emerging technologies so as to protect consumers while enabling innovation has clear application to healthcare. Technology plays a role in much of healthcare and looks to become increasingly so, perhaps particularly so around the personalisation or consumerisation </w:t>
            </w:r>
            <w:r w:rsidR="00D93C07">
              <w:rPr>
                <w:rFonts w:ascii="Garamond" w:hAnsi="Garamond"/>
                <w:b w:val="0"/>
                <w:sz w:val="24"/>
                <w:szCs w:val="24"/>
                <w:lang w:val="en-AU"/>
              </w:rPr>
              <w:t>that is currently seeing a surge in technologies such as apps</w:t>
            </w:r>
          </w:p>
        </w:tc>
      </w:tr>
    </w:tbl>
    <w:p w:rsidR="002422CA" w:rsidRDefault="002422CA" w:rsidP="002422CA">
      <w:pPr>
        <w:keepLines/>
        <w:autoSpaceDE w:val="0"/>
        <w:autoSpaceDN w:val="0"/>
        <w:adjustRightInd w:val="0"/>
        <w:rPr>
          <w:rFonts w:ascii="Garamond" w:hAnsi="Garamond"/>
          <w:i/>
          <w:lang w:val="en-AU"/>
        </w:rPr>
      </w:pPr>
    </w:p>
    <w:p w:rsidR="002137BF" w:rsidRDefault="002137BF" w:rsidP="002422CA">
      <w:pPr>
        <w:keepLines/>
        <w:autoSpaceDE w:val="0"/>
        <w:autoSpaceDN w:val="0"/>
        <w:adjustRightInd w:val="0"/>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B93DD9" w:rsidRPr="00B93DD9" w:rsidRDefault="00B93DD9" w:rsidP="00B93DD9">
      <w:pPr>
        <w:keepNext/>
        <w:keepLines/>
        <w:autoSpaceDE w:val="0"/>
        <w:autoSpaceDN w:val="0"/>
        <w:adjustRightInd w:val="0"/>
        <w:rPr>
          <w:rFonts w:ascii="Garamond" w:hAnsi="Garamond"/>
          <w:i/>
          <w:lang w:val="en-AU"/>
        </w:rPr>
      </w:pPr>
      <w:r w:rsidRPr="00B93DD9">
        <w:rPr>
          <w:rFonts w:ascii="Garamond" w:hAnsi="Garamond"/>
          <w:i/>
          <w:lang w:val="en-AU"/>
        </w:rPr>
        <w:t>Royal Commission into Aged Care Quality and Safety: the key clinical issues</w:t>
      </w:r>
    </w:p>
    <w:p w:rsidR="00B93DD9" w:rsidRDefault="00B93DD9" w:rsidP="00B76BA1">
      <w:pPr>
        <w:keepNext/>
        <w:keepLines/>
        <w:autoSpaceDE w:val="0"/>
        <w:autoSpaceDN w:val="0"/>
        <w:adjustRightInd w:val="0"/>
        <w:rPr>
          <w:rFonts w:ascii="Garamond" w:hAnsi="Garamond"/>
          <w:lang w:val="en-AU"/>
        </w:rPr>
      </w:pPr>
      <w:r w:rsidRPr="00B93DD9">
        <w:rPr>
          <w:rFonts w:ascii="Garamond" w:hAnsi="Garamond"/>
          <w:lang w:val="en-AU"/>
        </w:rPr>
        <w:t>Ibrahim JE</w:t>
      </w:r>
    </w:p>
    <w:p w:rsidR="00B76BA1" w:rsidRDefault="00B93DD9" w:rsidP="00B76BA1">
      <w:pPr>
        <w:keepNext/>
        <w:keepLines/>
        <w:autoSpaceDE w:val="0"/>
        <w:autoSpaceDN w:val="0"/>
        <w:adjustRightInd w:val="0"/>
        <w:rPr>
          <w:rFonts w:ascii="Garamond" w:hAnsi="Garamond"/>
          <w:lang w:val="en-AU"/>
        </w:rPr>
      </w:pPr>
      <w:r w:rsidRPr="00B93DD9">
        <w:rPr>
          <w:rFonts w:ascii="Garamond" w:hAnsi="Garamond"/>
          <w:lang w:val="en-AU"/>
        </w:rPr>
        <w:t>Medical Journal of Australia. 2019</w:t>
      </w:r>
      <w:r>
        <w:rPr>
          <w:rFonts w:ascii="Garamond" w:hAnsi="Garamond"/>
          <w:lang w:val="en-AU"/>
        </w:rPr>
        <w:t xml:space="preserve"> [epub]</w:t>
      </w:r>
      <w:r w:rsidRPr="00B93DD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A06196" w:rsidP="00AC7DC7">
            <w:pPr>
              <w:rPr>
                <w:rStyle w:val="Hyperlink"/>
                <w:rFonts w:ascii="Garamond" w:hAnsi="Garamond"/>
                <w:color w:val="auto"/>
                <w:u w:val="none"/>
                <w:lang w:val="en-AU"/>
              </w:rPr>
            </w:pPr>
            <w:hyperlink r:id="rId20" w:history="1">
              <w:r w:rsidR="00B93DD9" w:rsidRPr="005E1318">
                <w:rPr>
                  <w:rStyle w:val="Hyperlink"/>
                  <w:rFonts w:ascii="Garamond" w:hAnsi="Garamond"/>
                  <w:lang w:val="en-AU"/>
                </w:rPr>
                <w:t>https://doi.org/10.5694/mja2.50168</w:t>
              </w:r>
            </w:hyperlink>
          </w:p>
        </w:tc>
      </w:tr>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F44FEC" w:rsidRDefault="00D63E2C" w:rsidP="00D63E2C">
            <w:pPr>
              <w:rPr>
                <w:rFonts w:ascii="Garamond" w:hAnsi="Garamond"/>
                <w:lang w:val="en-AU"/>
              </w:rPr>
            </w:pPr>
            <w:r>
              <w:rPr>
                <w:rFonts w:ascii="Garamond" w:hAnsi="Garamond"/>
                <w:lang w:val="en-AU"/>
              </w:rPr>
              <w:t>This Perspective piece reflects on the perceived lapses of care in residential aged care facilities (RACFs). The author argues that ‘</w:t>
            </w:r>
            <w:r w:rsidRPr="00D63E2C">
              <w:rPr>
                <w:rFonts w:ascii="Garamond" w:hAnsi="Garamond"/>
                <w:lang w:val="en-AU"/>
              </w:rPr>
              <w:t>RACF business models are moving away from a perceived medically dominated model of care provision. This trend does not serve the rights of older people in residential care to equitable access to health care</w:t>
            </w:r>
            <w:r>
              <w:rPr>
                <w:rFonts w:ascii="Garamond" w:hAnsi="Garamond"/>
                <w:lang w:val="en-AU"/>
              </w:rPr>
              <w:t>’. In discussing some of the revealed shortcomings of care and possible solutions, the author concludes that ‘</w:t>
            </w:r>
            <w:r w:rsidRPr="00D63E2C">
              <w:rPr>
                <w:rFonts w:ascii="Garamond" w:hAnsi="Garamond"/>
                <w:lang w:val="en-AU"/>
              </w:rPr>
              <w:t xml:space="preserve">Optimal health care is an essential requirement for maintaining and improving the lives of older people and this should be one of the core roles of RACFs. This requires the medical profession to establish new </w:t>
            </w:r>
            <w:r w:rsidRPr="00D63E2C">
              <w:rPr>
                <w:rFonts w:ascii="Garamond" w:hAnsi="Garamond"/>
                <w:b/>
                <w:lang w:val="en-AU"/>
              </w:rPr>
              <w:t>standards</w:t>
            </w:r>
            <w:r w:rsidRPr="00D63E2C">
              <w:rPr>
                <w:rFonts w:ascii="Garamond" w:hAnsi="Garamond"/>
                <w:lang w:val="en-AU"/>
              </w:rPr>
              <w:t xml:space="preserve">, identifying and bridging gaps in empirical </w:t>
            </w:r>
            <w:r w:rsidRPr="00D63E2C">
              <w:rPr>
                <w:rFonts w:ascii="Garamond" w:hAnsi="Garamond"/>
                <w:b/>
                <w:lang w:val="en-AU"/>
              </w:rPr>
              <w:t>knowledge</w:t>
            </w:r>
            <w:r w:rsidRPr="00D63E2C">
              <w:rPr>
                <w:rFonts w:ascii="Garamond" w:hAnsi="Garamond"/>
                <w:lang w:val="en-AU"/>
              </w:rPr>
              <w:t xml:space="preserve">, </w:t>
            </w:r>
            <w:r w:rsidRPr="00D63E2C">
              <w:rPr>
                <w:rFonts w:ascii="Garamond" w:hAnsi="Garamond"/>
                <w:b/>
                <w:lang w:val="en-AU"/>
              </w:rPr>
              <w:t>using</w:t>
            </w:r>
            <w:r w:rsidRPr="00D63E2C">
              <w:rPr>
                <w:rFonts w:ascii="Garamond" w:hAnsi="Garamond"/>
                <w:lang w:val="en-AU"/>
              </w:rPr>
              <w:t xml:space="preserve"> </w:t>
            </w:r>
            <w:r w:rsidRPr="00D63E2C">
              <w:rPr>
                <w:rFonts w:ascii="Garamond" w:hAnsi="Garamond"/>
                <w:b/>
                <w:lang w:val="en-AU"/>
              </w:rPr>
              <w:t>performance data</w:t>
            </w:r>
            <w:r w:rsidRPr="00D63E2C">
              <w:rPr>
                <w:rFonts w:ascii="Garamond" w:hAnsi="Garamond"/>
                <w:lang w:val="en-AU"/>
              </w:rPr>
              <w:t xml:space="preserve"> and advocating for the </w:t>
            </w:r>
            <w:r w:rsidRPr="00D63E2C">
              <w:rPr>
                <w:rFonts w:ascii="Garamond" w:hAnsi="Garamond"/>
                <w:b/>
                <w:lang w:val="en-AU"/>
              </w:rPr>
              <w:t>structural solutions</w:t>
            </w:r>
            <w:r w:rsidRPr="00D63E2C">
              <w:rPr>
                <w:rFonts w:ascii="Garamond" w:hAnsi="Garamond"/>
                <w:lang w:val="en-AU"/>
              </w:rPr>
              <w:t xml:space="preserve"> that support promoting the use of </w:t>
            </w:r>
            <w:r w:rsidRPr="00D63E2C">
              <w:rPr>
                <w:rFonts w:ascii="Garamond" w:hAnsi="Garamond"/>
                <w:b/>
                <w:lang w:val="en-AU"/>
              </w:rPr>
              <w:t>evidence</w:t>
            </w:r>
            <w:r w:rsidRPr="00D63E2C">
              <w:rPr>
                <w:rFonts w:ascii="Cambria Math" w:hAnsi="Cambria Math" w:cs="Cambria Math"/>
                <w:b/>
                <w:lang w:val="en-AU"/>
              </w:rPr>
              <w:t>‐</w:t>
            </w:r>
            <w:r w:rsidRPr="00D63E2C">
              <w:rPr>
                <w:rFonts w:ascii="Garamond" w:hAnsi="Garamond"/>
                <w:b/>
                <w:lang w:val="en-AU"/>
              </w:rPr>
              <w:t>based practice</w:t>
            </w:r>
            <w:r w:rsidRPr="00D63E2C">
              <w:rPr>
                <w:rFonts w:ascii="Garamond" w:hAnsi="Garamond"/>
                <w:lang w:val="en-AU"/>
              </w:rPr>
              <w:t xml:space="preserve"> at the point of care.</w:t>
            </w:r>
            <w:r>
              <w:rPr>
                <w:rFonts w:ascii="Garamond" w:hAnsi="Garamond"/>
                <w:lang w:val="en-AU"/>
              </w:rPr>
              <w:t>’</w:t>
            </w:r>
          </w:p>
        </w:tc>
      </w:tr>
    </w:tbl>
    <w:p w:rsidR="00D63E2C" w:rsidRPr="00BF77EF" w:rsidRDefault="00D63E2C" w:rsidP="00D63E2C">
      <w:pPr>
        <w:keepNext/>
        <w:keepLines/>
        <w:autoSpaceDE w:val="0"/>
        <w:autoSpaceDN w:val="0"/>
        <w:adjustRightInd w:val="0"/>
        <w:rPr>
          <w:rFonts w:ascii="Garamond" w:hAnsi="Garamond"/>
          <w:i/>
          <w:lang w:val="en-AU"/>
        </w:rPr>
      </w:pPr>
      <w:r w:rsidRPr="00BF77EF">
        <w:rPr>
          <w:rFonts w:ascii="Garamond" w:hAnsi="Garamond"/>
          <w:i/>
          <w:lang w:val="en-AU"/>
        </w:rPr>
        <w:lastRenderedPageBreak/>
        <w:t>Antibiotics for operative vaginal delivery: practice-changing data</w:t>
      </w:r>
    </w:p>
    <w:p w:rsidR="00104B19" w:rsidRDefault="00104B19" w:rsidP="00D63E2C">
      <w:pPr>
        <w:keepNext/>
        <w:keepLines/>
        <w:autoSpaceDE w:val="0"/>
        <w:autoSpaceDN w:val="0"/>
        <w:adjustRightInd w:val="0"/>
        <w:rPr>
          <w:rFonts w:ascii="Garamond" w:hAnsi="Garamond"/>
          <w:lang w:val="en-AU"/>
        </w:rPr>
      </w:pPr>
      <w:r w:rsidRPr="00104B19">
        <w:rPr>
          <w:rFonts w:ascii="Garamond" w:hAnsi="Garamond"/>
          <w:lang w:val="en-AU"/>
        </w:rPr>
        <w:t>Berghella V, Bellussi F</w:t>
      </w:r>
    </w:p>
    <w:p w:rsidR="00D63E2C" w:rsidRDefault="00104B19" w:rsidP="00D63E2C">
      <w:pPr>
        <w:keepNext/>
        <w:keepLines/>
        <w:autoSpaceDE w:val="0"/>
        <w:autoSpaceDN w:val="0"/>
        <w:adjustRightInd w:val="0"/>
        <w:rPr>
          <w:rFonts w:ascii="Garamond" w:hAnsi="Garamond"/>
          <w:lang w:val="en-AU"/>
        </w:rPr>
      </w:pPr>
      <w:r w:rsidRPr="00104B19">
        <w:rPr>
          <w:rFonts w:ascii="Garamond" w:hAnsi="Garamond"/>
          <w:lang w:val="en-AU"/>
        </w:rPr>
        <w:t>The Lancet. 2019</w:t>
      </w:r>
      <w:r>
        <w:rPr>
          <w:rFonts w:ascii="Garamond" w:hAnsi="Garamond"/>
          <w:lang w:val="en-AU"/>
        </w:rPr>
        <w:t xml:space="preserve"> [epub]</w:t>
      </w:r>
      <w:r w:rsidRPr="00104B1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63E2C"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D63E2C" w:rsidRPr="000170DA" w:rsidRDefault="00D63E2C" w:rsidP="00ED109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3E2C" w:rsidRPr="000170DA" w:rsidRDefault="00A06196" w:rsidP="00ED1099">
            <w:pPr>
              <w:rPr>
                <w:rStyle w:val="Hyperlink"/>
                <w:rFonts w:ascii="Garamond" w:hAnsi="Garamond"/>
                <w:color w:val="auto"/>
                <w:u w:val="none"/>
                <w:lang w:val="en-AU"/>
              </w:rPr>
            </w:pPr>
            <w:hyperlink r:id="rId21" w:history="1">
              <w:r w:rsidR="00D63E2C" w:rsidRPr="005649CB">
                <w:rPr>
                  <w:rStyle w:val="Hyperlink"/>
                  <w:rFonts w:ascii="Garamond" w:hAnsi="Garamond"/>
                  <w:lang w:val="en-AU"/>
                </w:rPr>
                <w:t>https://doi.org/10.1016/S0140-6736(19)30845-1</w:t>
              </w:r>
            </w:hyperlink>
          </w:p>
        </w:tc>
      </w:tr>
      <w:tr w:rsidR="00D63E2C"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D63E2C" w:rsidRPr="000170DA" w:rsidRDefault="00D63E2C" w:rsidP="00ED109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3E2C" w:rsidRPr="00F44FEC" w:rsidRDefault="00D63E2C" w:rsidP="00104B19">
            <w:pPr>
              <w:rPr>
                <w:rFonts w:ascii="Garamond" w:hAnsi="Garamond"/>
                <w:lang w:val="en-AU"/>
              </w:rPr>
            </w:pPr>
            <w:r>
              <w:rPr>
                <w:rFonts w:ascii="Garamond" w:hAnsi="Garamond"/>
                <w:lang w:val="en-AU"/>
              </w:rPr>
              <w:t xml:space="preserve">This commentary in </w:t>
            </w:r>
            <w:r w:rsidRPr="00B93DD9">
              <w:rPr>
                <w:rFonts w:ascii="Garamond" w:hAnsi="Garamond"/>
                <w:i/>
                <w:lang w:val="en-AU"/>
              </w:rPr>
              <w:t>The Lancet</w:t>
            </w:r>
            <w:r>
              <w:rPr>
                <w:rFonts w:ascii="Garamond" w:hAnsi="Garamond"/>
                <w:lang w:val="en-AU"/>
              </w:rPr>
              <w:t xml:space="preserve"> reflects on the implications of a </w:t>
            </w:r>
            <w:r w:rsidRPr="00BF77EF">
              <w:rPr>
                <w:rFonts w:ascii="Garamond" w:hAnsi="Garamond"/>
                <w:lang w:val="en-AU"/>
              </w:rPr>
              <w:t>large randomised controlled trial on the effect of antibiotics to prevent infection after operative vaginal delivery</w:t>
            </w:r>
            <w:r>
              <w:rPr>
                <w:rFonts w:ascii="Garamond" w:hAnsi="Garamond"/>
                <w:lang w:val="en-AU"/>
              </w:rPr>
              <w:t xml:space="preserve"> that is reported in the same issue of the journal. The authors consider the findings to be practice changing</w:t>
            </w:r>
            <w:r w:rsidR="00104B19">
              <w:rPr>
                <w:rFonts w:ascii="Garamond" w:hAnsi="Garamond"/>
                <w:lang w:val="en-AU"/>
              </w:rPr>
              <w:t xml:space="preserve"> and that ‘</w:t>
            </w:r>
            <w:r w:rsidR="00104B19" w:rsidRPr="00104B19">
              <w:rPr>
                <w:rFonts w:ascii="Garamond" w:hAnsi="Garamond"/>
                <w:lang w:val="en-AU"/>
              </w:rPr>
              <w:t>Clinical guidelines should be updated to reflect the new recommendation of giving a single dose of intravenous amoxicillin and clavulanic acid within 6 h after operative vaginal delivery, in particular to women who also have an episiotomy</w:t>
            </w:r>
            <w:r w:rsidR="00104B19">
              <w:rPr>
                <w:rFonts w:ascii="Garamond" w:hAnsi="Garamond"/>
                <w:lang w:val="en-AU"/>
              </w:rPr>
              <w:t>’</w:t>
            </w:r>
            <w:r>
              <w:rPr>
                <w:rFonts w:ascii="Garamond" w:hAnsi="Garamond"/>
                <w:lang w:val="en-AU"/>
              </w:rPr>
              <w:t>. They estimate that there may be more than 400,000</w:t>
            </w:r>
            <w:r>
              <w:t xml:space="preserve"> </w:t>
            </w:r>
            <w:r w:rsidRPr="00D63E2C">
              <w:rPr>
                <w:rFonts w:ascii="Garamond" w:hAnsi="Garamond"/>
                <w:lang w:val="en-AU"/>
              </w:rPr>
              <w:t>infections associated with oper</w:t>
            </w:r>
            <w:r>
              <w:rPr>
                <w:rFonts w:ascii="Garamond" w:hAnsi="Garamond"/>
                <w:lang w:val="en-AU"/>
              </w:rPr>
              <w:t>ative vaginal delivery worldwide each year.</w:t>
            </w:r>
          </w:p>
        </w:tc>
      </w:tr>
    </w:tbl>
    <w:p w:rsidR="00D63E2C" w:rsidRDefault="00D63E2C" w:rsidP="00D63E2C">
      <w:pPr>
        <w:keepNext/>
        <w:keepLines/>
        <w:autoSpaceDE w:val="0"/>
        <w:autoSpaceDN w:val="0"/>
        <w:adjustRightInd w:val="0"/>
        <w:rPr>
          <w:rFonts w:ascii="Garamond" w:hAnsi="Garamond"/>
          <w:i/>
          <w:lang w:val="en-AU"/>
        </w:rPr>
      </w:pPr>
    </w:p>
    <w:p w:rsidR="00D63E2C" w:rsidRPr="0044409B" w:rsidRDefault="00D63E2C" w:rsidP="00D63E2C">
      <w:pPr>
        <w:keepNext/>
        <w:keepLines/>
        <w:autoSpaceDE w:val="0"/>
        <w:autoSpaceDN w:val="0"/>
        <w:adjustRightInd w:val="0"/>
        <w:rPr>
          <w:rFonts w:ascii="Garamond" w:hAnsi="Garamond"/>
          <w:i/>
          <w:lang w:val="en-AU"/>
        </w:rPr>
      </w:pPr>
      <w:r w:rsidRPr="0044409B">
        <w:rPr>
          <w:rFonts w:ascii="Garamond" w:hAnsi="Garamond"/>
          <w:i/>
          <w:lang w:val="en-AU"/>
        </w:rPr>
        <w:t>Community-based case management does not reduce hospital admissions for older people: a systematic review and meta-analysis</w:t>
      </w:r>
    </w:p>
    <w:p w:rsidR="00D63E2C" w:rsidRDefault="00D63E2C" w:rsidP="00D63E2C">
      <w:pPr>
        <w:keepNext/>
        <w:keepLines/>
        <w:autoSpaceDE w:val="0"/>
        <w:autoSpaceDN w:val="0"/>
        <w:adjustRightInd w:val="0"/>
        <w:rPr>
          <w:rFonts w:ascii="Garamond" w:hAnsi="Garamond"/>
          <w:lang w:val="en-AU"/>
        </w:rPr>
      </w:pPr>
      <w:r w:rsidRPr="0044409B">
        <w:rPr>
          <w:rFonts w:ascii="Garamond" w:hAnsi="Garamond"/>
          <w:lang w:val="en-AU"/>
        </w:rPr>
        <w:t>Poupard N, Tang CY, Shields N</w:t>
      </w:r>
    </w:p>
    <w:p w:rsidR="00D63E2C" w:rsidRDefault="00D63E2C" w:rsidP="00D63E2C">
      <w:pPr>
        <w:keepNext/>
        <w:keepLines/>
        <w:autoSpaceDE w:val="0"/>
        <w:autoSpaceDN w:val="0"/>
        <w:adjustRightInd w:val="0"/>
        <w:rPr>
          <w:rFonts w:ascii="Garamond" w:hAnsi="Garamond"/>
          <w:lang w:val="en-AU"/>
        </w:rPr>
      </w:pPr>
      <w:r w:rsidRPr="0044409B">
        <w:rPr>
          <w:rFonts w:ascii="Garamond" w:hAnsi="Garamond"/>
          <w:lang w:val="en-AU"/>
        </w:rPr>
        <w:t>Australian Health Review. 2019</w:t>
      </w:r>
      <w:r>
        <w:rPr>
          <w:rFonts w:ascii="Garamond" w:hAnsi="Garamond"/>
          <w:lang w:val="en-AU"/>
        </w:rPr>
        <w:t xml:space="preserve"> [epub]</w:t>
      </w:r>
      <w:r w:rsidRPr="0044409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63E2C"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D63E2C" w:rsidRPr="000170DA" w:rsidRDefault="00D63E2C" w:rsidP="00ED109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3E2C" w:rsidRPr="000170DA" w:rsidRDefault="00A06196" w:rsidP="00ED1099">
            <w:pPr>
              <w:rPr>
                <w:rStyle w:val="Hyperlink"/>
                <w:rFonts w:ascii="Garamond" w:hAnsi="Garamond"/>
                <w:color w:val="auto"/>
                <w:u w:val="none"/>
                <w:lang w:val="en-AU"/>
              </w:rPr>
            </w:pPr>
            <w:hyperlink r:id="rId22" w:history="1">
              <w:r w:rsidR="00D63E2C" w:rsidRPr="00953014">
                <w:rPr>
                  <w:rStyle w:val="Hyperlink"/>
                  <w:rFonts w:ascii="Garamond" w:hAnsi="Garamond"/>
                  <w:lang w:val="en-AU"/>
                </w:rPr>
                <w:t>https://doi.org/10.1071/AH18135</w:t>
              </w:r>
            </w:hyperlink>
          </w:p>
        </w:tc>
      </w:tr>
      <w:tr w:rsidR="00D63E2C" w:rsidRPr="000170DA" w:rsidTr="00ED1099">
        <w:tc>
          <w:tcPr>
            <w:tcW w:w="1080" w:type="dxa"/>
            <w:tcBorders>
              <w:top w:val="single" w:sz="4" w:space="0" w:color="auto"/>
              <w:left w:val="single" w:sz="4" w:space="0" w:color="auto"/>
              <w:bottom w:val="single" w:sz="4" w:space="0" w:color="auto"/>
              <w:right w:val="single" w:sz="4" w:space="0" w:color="auto"/>
            </w:tcBorders>
            <w:vAlign w:val="center"/>
          </w:tcPr>
          <w:p w:rsidR="00D63E2C" w:rsidRPr="000170DA" w:rsidRDefault="00D63E2C" w:rsidP="00ED109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3E2C" w:rsidRPr="00F44FEC" w:rsidRDefault="00104B19" w:rsidP="00104B19">
            <w:pPr>
              <w:rPr>
                <w:rFonts w:ascii="Garamond" w:hAnsi="Garamond"/>
                <w:lang w:val="en-AU"/>
              </w:rPr>
            </w:pPr>
            <w:r>
              <w:rPr>
                <w:rFonts w:ascii="Garamond" w:hAnsi="Garamond"/>
                <w:lang w:val="en-AU"/>
              </w:rPr>
              <w:t xml:space="preserve">Paper reporting on a study of </w:t>
            </w:r>
            <w:r w:rsidRPr="00104B19">
              <w:rPr>
                <w:rFonts w:ascii="Garamond" w:hAnsi="Garamond"/>
                <w:lang w:val="en-AU"/>
              </w:rPr>
              <w:t>the effectiveness of community-based case management in reducing hospital admissions for older people</w:t>
            </w:r>
            <w:r>
              <w:rPr>
                <w:rFonts w:ascii="Garamond" w:hAnsi="Garamond"/>
                <w:lang w:val="en-AU"/>
              </w:rPr>
              <w:t xml:space="preserve">. The study reviewed nine trials covering 5468 participants and found that while </w:t>
            </w:r>
            <w:r w:rsidRPr="00104B19">
              <w:rPr>
                <w:rFonts w:ascii="Garamond" w:hAnsi="Garamond"/>
                <w:b/>
                <w:lang w:val="en-AU"/>
              </w:rPr>
              <w:t>community-based case management did not reduce hospital admissions</w:t>
            </w:r>
            <w:r>
              <w:rPr>
                <w:rFonts w:ascii="Garamond" w:hAnsi="Garamond"/>
                <w:b/>
                <w:lang w:val="en-AU"/>
              </w:rPr>
              <w:t>, it</w:t>
            </w:r>
            <w:r>
              <w:rPr>
                <w:rFonts w:ascii="Garamond" w:hAnsi="Garamond"/>
                <w:lang w:val="en-AU"/>
              </w:rPr>
              <w:t xml:space="preserve"> </w:t>
            </w:r>
            <w:r w:rsidRPr="00104B19">
              <w:rPr>
                <w:rFonts w:ascii="Garamond" w:hAnsi="Garamond"/>
                <w:b/>
                <w:lang w:val="en-AU"/>
              </w:rPr>
              <w:t>did reduce emergency department (ED) presentations</w:t>
            </w:r>
            <w:r w:rsidRPr="00104B19">
              <w:rPr>
                <w:rFonts w:ascii="Garamond" w:hAnsi="Garamond"/>
                <w:lang w:val="en-AU"/>
              </w:rPr>
              <w:t>.</w:t>
            </w:r>
            <w:r>
              <w:rPr>
                <w:rFonts w:ascii="Garamond" w:hAnsi="Garamond"/>
                <w:lang w:val="en-AU"/>
              </w:rPr>
              <w:t xml:space="preserve"> Thus, the authors suggest that p</w:t>
            </w:r>
            <w:r w:rsidRPr="00104B19">
              <w:rPr>
                <w:rFonts w:ascii="Garamond" w:hAnsi="Garamond"/>
                <w:lang w:val="en-AU"/>
              </w:rPr>
              <w:t>atients with high ED presentation rates may benefit from community-based case management to reduce the number of unnecessary ED presentations.</w:t>
            </w:r>
          </w:p>
        </w:tc>
      </w:tr>
    </w:tbl>
    <w:p w:rsidR="00D63E2C" w:rsidRDefault="00D63E2C" w:rsidP="00D63E2C">
      <w:pPr>
        <w:keepNext/>
        <w:keepLines/>
        <w:autoSpaceDE w:val="0"/>
        <w:autoSpaceDN w:val="0"/>
        <w:adjustRightInd w:val="0"/>
        <w:rPr>
          <w:rFonts w:ascii="Garamond" w:hAnsi="Garamond"/>
          <w:i/>
          <w:lang w:val="en-AU"/>
        </w:rPr>
      </w:pPr>
    </w:p>
    <w:p w:rsidR="00B76BA1" w:rsidRPr="004348C9" w:rsidRDefault="004348C9" w:rsidP="004348C9">
      <w:pPr>
        <w:keepNext/>
        <w:keepLines/>
        <w:autoSpaceDE w:val="0"/>
        <w:autoSpaceDN w:val="0"/>
        <w:adjustRightInd w:val="0"/>
        <w:rPr>
          <w:rFonts w:ascii="Garamond" w:hAnsi="Garamond"/>
          <w:i/>
          <w:lang w:val="en-AU"/>
        </w:rPr>
      </w:pPr>
      <w:r w:rsidRPr="004348C9">
        <w:rPr>
          <w:rFonts w:ascii="Garamond" w:hAnsi="Garamond"/>
          <w:i/>
          <w:lang w:val="en-AU"/>
        </w:rPr>
        <w:t>Selecting, refining and identifying priority Cochrane Reviews in health communication and participation in partnership with consumers and other stakeholders</w:t>
      </w:r>
    </w:p>
    <w:p w:rsidR="004348C9" w:rsidRDefault="004348C9" w:rsidP="004348C9">
      <w:pPr>
        <w:keepNext/>
        <w:keepLines/>
        <w:autoSpaceDE w:val="0"/>
        <w:autoSpaceDN w:val="0"/>
        <w:adjustRightInd w:val="0"/>
        <w:rPr>
          <w:rFonts w:ascii="Garamond" w:hAnsi="Garamond"/>
          <w:lang w:val="en-AU"/>
        </w:rPr>
      </w:pPr>
      <w:r w:rsidRPr="004348C9">
        <w:rPr>
          <w:rFonts w:ascii="Garamond" w:hAnsi="Garamond"/>
          <w:lang w:val="en-AU"/>
        </w:rPr>
        <w:t>Synnot AJ, Tong A, Bragge P, Lowe D, Nunn JS, O’Sullivan M, et al</w:t>
      </w:r>
    </w:p>
    <w:p w:rsidR="004348C9" w:rsidRDefault="004348C9" w:rsidP="004348C9">
      <w:pPr>
        <w:keepNext/>
        <w:keepLines/>
        <w:autoSpaceDE w:val="0"/>
        <w:autoSpaceDN w:val="0"/>
        <w:adjustRightInd w:val="0"/>
        <w:rPr>
          <w:rFonts w:ascii="Garamond" w:hAnsi="Garamond"/>
          <w:lang w:val="en-AU"/>
        </w:rPr>
      </w:pPr>
      <w:r w:rsidRPr="004348C9">
        <w:rPr>
          <w:rFonts w:ascii="Garamond" w:hAnsi="Garamond"/>
          <w:lang w:val="en-AU"/>
        </w:rPr>
        <w:t>Health Research Policy and Systems. 2019;17(1):45.</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0170DA" w:rsidRDefault="00A06196" w:rsidP="00AC7DC7">
            <w:pPr>
              <w:rPr>
                <w:rStyle w:val="Hyperlink"/>
                <w:rFonts w:ascii="Garamond" w:hAnsi="Garamond"/>
                <w:color w:val="auto"/>
                <w:u w:val="none"/>
                <w:lang w:val="en-AU"/>
              </w:rPr>
            </w:pPr>
            <w:hyperlink r:id="rId23" w:history="1">
              <w:r w:rsidR="004348C9" w:rsidRPr="00953014">
                <w:rPr>
                  <w:rStyle w:val="Hyperlink"/>
                  <w:rFonts w:ascii="Garamond" w:hAnsi="Garamond"/>
                  <w:lang w:val="en-AU"/>
                </w:rPr>
                <w:t>https://doi.org/10.1186/s12961-019-0444-z</w:t>
              </w:r>
            </w:hyperlink>
          </w:p>
        </w:tc>
      </w:tr>
      <w:tr w:rsidR="00B76BA1"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348C9" w:rsidRPr="00F44FEC" w:rsidRDefault="004348C9" w:rsidP="004348C9">
            <w:pPr>
              <w:rPr>
                <w:rFonts w:ascii="Garamond" w:hAnsi="Garamond"/>
                <w:lang w:val="en-AU"/>
              </w:rPr>
            </w:pPr>
            <w:r>
              <w:rPr>
                <w:rFonts w:ascii="Garamond" w:hAnsi="Garamond"/>
                <w:lang w:val="en-AU"/>
              </w:rPr>
              <w:t xml:space="preserve">Paper describing how a group of consumers/consumer advocates and health professionals participated in the setting of priorities for Cochrane Reviews. This collaborative work </w:t>
            </w:r>
            <w:r w:rsidRPr="004348C9">
              <w:rPr>
                <w:rFonts w:ascii="Garamond" w:hAnsi="Garamond"/>
                <w:lang w:val="en-AU"/>
              </w:rPr>
              <w:t>identified priority topics for systematic reviews associated with structural and cultural challenges underlying health communication and participation</w:t>
            </w:r>
            <w:r>
              <w:rPr>
                <w:rFonts w:ascii="Garamond" w:hAnsi="Garamond"/>
                <w:lang w:val="en-AU"/>
              </w:rPr>
              <w:t>. The authors observe that ‘</w:t>
            </w:r>
            <w:r w:rsidRPr="004348C9">
              <w:rPr>
                <w:rFonts w:ascii="Garamond" w:hAnsi="Garamond"/>
                <w:lang w:val="en-AU"/>
              </w:rPr>
              <w:t>Priority-setting with stakeholders presents opportunities and challenges for review producers</w:t>
            </w:r>
            <w:r>
              <w:rPr>
                <w:rFonts w:ascii="Garamond" w:hAnsi="Garamond"/>
                <w:lang w:val="en-AU"/>
              </w:rPr>
              <w:t>’</w:t>
            </w:r>
            <w:r w:rsidRPr="004348C9">
              <w:rPr>
                <w:rFonts w:ascii="Garamond" w:hAnsi="Garamond"/>
                <w:lang w:val="en-AU"/>
              </w:rPr>
              <w:t>.</w:t>
            </w:r>
          </w:p>
        </w:tc>
      </w:tr>
    </w:tbl>
    <w:p w:rsidR="00B76BA1" w:rsidRDefault="00B76BA1" w:rsidP="00B76BA1">
      <w:pPr>
        <w:keepNext/>
        <w:keepLines/>
        <w:autoSpaceDE w:val="0"/>
        <w:autoSpaceDN w:val="0"/>
        <w:adjustRightInd w:val="0"/>
        <w:rPr>
          <w:rFonts w:ascii="Garamond" w:hAnsi="Garamond"/>
          <w:i/>
          <w:lang w:val="en-AU"/>
        </w:rPr>
      </w:pPr>
    </w:p>
    <w:p w:rsidR="00B34FF6" w:rsidRPr="00C57211" w:rsidRDefault="00B34FF6" w:rsidP="00B34FF6">
      <w:pPr>
        <w:rPr>
          <w:rFonts w:ascii="Garamond" w:hAnsi="Garamond"/>
          <w:i/>
          <w:lang w:val="en-AU"/>
        </w:rPr>
      </w:pPr>
      <w:r w:rsidRPr="00C57211">
        <w:rPr>
          <w:rFonts w:ascii="Garamond" w:hAnsi="Garamond"/>
          <w:i/>
          <w:lang w:val="en-AU"/>
        </w:rPr>
        <w:t>BMJ Quality &amp; Safety</w:t>
      </w:r>
    </w:p>
    <w:p w:rsidR="00B34FF6" w:rsidRPr="00D65371" w:rsidRDefault="00B34FF6" w:rsidP="00B34FF6">
      <w:pPr>
        <w:rPr>
          <w:rFonts w:ascii="Garamond" w:hAnsi="Garamond"/>
          <w:lang w:val="en-AU"/>
        </w:rPr>
      </w:pPr>
      <w:r>
        <w:rPr>
          <w:rFonts w:ascii="Garamond" w:hAnsi="Garamond"/>
          <w:lang w:val="en-AU"/>
        </w:rPr>
        <w:t>June 2019 - Volume 28 - 6</w:t>
      </w:r>
    </w:p>
    <w:tbl>
      <w:tblPr>
        <w:tblStyle w:val="TableGrid"/>
        <w:tblW w:w="0" w:type="auto"/>
        <w:tblInd w:w="288" w:type="dxa"/>
        <w:tblLayout w:type="fixed"/>
        <w:tblLook w:val="01E0" w:firstRow="1" w:lastRow="1" w:firstColumn="1" w:lastColumn="1" w:noHBand="0" w:noVBand="0"/>
      </w:tblPr>
      <w:tblGrid>
        <w:gridCol w:w="1080"/>
        <w:gridCol w:w="8280"/>
      </w:tblGrid>
      <w:tr w:rsidR="00B34FF6" w:rsidRPr="000170DA" w:rsidTr="00D150A4">
        <w:tc>
          <w:tcPr>
            <w:tcW w:w="1080" w:type="dxa"/>
            <w:tcBorders>
              <w:top w:val="single" w:sz="4" w:space="0" w:color="auto"/>
              <w:left w:val="single" w:sz="4" w:space="0" w:color="auto"/>
              <w:bottom w:val="single" w:sz="4" w:space="0" w:color="auto"/>
              <w:right w:val="single" w:sz="4" w:space="0" w:color="auto"/>
            </w:tcBorders>
            <w:vAlign w:val="center"/>
          </w:tcPr>
          <w:p w:rsidR="00B34FF6" w:rsidRPr="000170DA" w:rsidRDefault="00B34FF6" w:rsidP="00D150A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34FF6" w:rsidRPr="000170DA" w:rsidRDefault="00A06196" w:rsidP="00B34FF6">
            <w:pPr>
              <w:rPr>
                <w:rStyle w:val="Hyperlink"/>
                <w:rFonts w:ascii="Garamond" w:hAnsi="Garamond"/>
                <w:color w:val="auto"/>
                <w:u w:val="none"/>
                <w:lang w:val="en-AU"/>
              </w:rPr>
            </w:pPr>
            <w:hyperlink r:id="rId24" w:history="1">
              <w:r w:rsidR="00B34FF6" w:rsidRPr="005E1318">
                <w:rPr>
                  <w:rStyle w:val="Hyperlink"/>
                  <w:rFonts w:ascii="Garamond" w:hAnsi="Garamond"/>
                  <w:lang w:val="en-AU"/>
                </w:rPr>
                <w:t>https://qualitysafety.bmj.com/content/28/6</w:t>
              </w:r>
            </w:hyperlink>
          </w:p>
        </w:tc>
      </w:tr>
      <w:tr w:rsidR="00B34FF6" w:rsidRPr="000170DA" w:rsidTr="00D150A4">
        <w:tc>
          <w:tcPr>
            <w:tcW w:w="1080" w:type="dxa"/>
            <w:tcBorders>
              <w:top w:val="single" w:sz="4" w:space="0" w:color="auto"/>
              <w:left w:val="single" w:sz="4" w:space="0" w:color="auto"/>
              <w:bottom w:val="single" w:sz="4" w:space="0" w:color="auto"/>
              <w:right w:val="single" w:sz="4" w:space="0" w:color="auto"/>
            </w:tcBorders>
            <w:vAlign w:val="center"/>
          </w:tcPr>
          <w:p w:rsidR="00B34FF6" w:rsidRPr="000170DA" w:rsidRDefault="00B34FF6" w:rsidP="00D150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34FF6" w:rsidRPr="007C3778" w:rsidRDefault="00B34FF6" w:rsidP="00D150A4">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Editorial: </w:t>
            </w:r>
            <w:r w:rsidRPr="00B34FF6">
              <w:rPr>
                <w:rFonts w:ascii="Garamond" w:hAnsi="Garamond"/>
                <w:b/>
                <w:lang w:val="en-AU"/>
              </w:rPr>
              <w:t>Ambulatory care-sensitive conditions</w:t>
            </w:r>
            <w:r w:rsidRPr="00B34FF6">
              <w:rPr>
                <w:rFonts w:ascii="Garamond" w:hAnsi="Garamond"/>
                <w:lang w:val="en-AU"/>
              </w:rPr>
              <w:t>: their potential uses and limitations (Karen Hodgson, Sarah R Deeny, Adam Steventon</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Editorial: Emerging principles for </w:t>
            </w:r>
            <w:r w:rsidRPr="00B34FF6">
              <w:rPr>
                <w:rFonts w:ascii="Garamond" w:hAnsi="Garamond"/>
                <w:b/>
                <w:lang w:val="en-AU"/>
              </w:rPr>
              <w:t>health system value improvement programmes</w:t>
            </w:r>
            <w:r w:rsidRPr="00B34FF6">
              <w:rPr>
                <w:rFonts w:ascii="Garamond" w:hAnsi="Garamond"/>
                <w:lang w:val="en-AU"/>
              </w:rPr>
              <w:t xml:space="preserve"> (Christopher Moriates, Victoria Valencia</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Drivers of </w:t>
            </w:r>
            <w:r w:rsidRPr="00B34FF6">
              <w:rPr>
                <w:rFonts w:ascii="Garamond" w:hAnsi="Garamond"/>
                <w:b/>
                <w:lang w:val="en-AU"/>
              </w:rPr>
              <w:t>potentially avoidable emergency admissions</w:t>
            </w:r>
            <w:r w:rsidRPr="00B34FF6">
              <w:rPr>
                <w:rFonts w:ascii="Garamond" w:hAnsi="Garamond"/>
                <w:lang w:val="en-AU"/>
              </w:rPr>
              <w:t xml:space="preserve"> in Ireland: an ecological analysis (Brenda Lynch, Anthony P Fitzgerald, Paul Corcoran, Claire Buckley, Orla Healy, John Browne</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lastRenderedPageBreak/>
              <w:t xml:space="preserve">Bending the cost curve: time series analysis of a </w:t>
            </w:r>
            <w:r w:rsidRPr="00B34FF6">
              <w:rPr>
                <w:rFonts w:ascii="Garamond" w:hAnsi="Garamond"/>
                <w:b/>
                <w:lang w:val="en-AU"/>
              </w:rPr>
              <w:t>value transformation programme</w:t>
            </w:r>
            <w:r w:rsidRPr="00B34FF6">
              <w:rPr>
                <w:rFonts w:ascii="Garamond" w:hAnsi="Garamond"/>
                <w:lang w:val="en-AU"/>
              </w:rPr>
              <w:t xml:space="preserve"> at an academic medical centre (Steven C Chatfield, Frank M Volpicelli, Nicole M Adler, Kunhee Lucy Kim, Simon A Jones, Fritz Francois, Paresh C Shah, Robert A Press, Leora I Horwitz</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Effect of data validation audit on </w:t>
            </w:r>
            <w:r w:rsidRPr="00B34FF6">
              <w:rPr>
                <w:rFonts w:ascii="Garamond" w:hAnsi="Garamond"/>
                <w:b/>
                <w:lang w:val="en-AU"/>
              </w:rPr>
              <w:t>hospital mortality ranking and pay for performance</w:t>
            </w:r>
            <w:r w:rsidRPr="00B34FF6">
              <w:rPr>
                <w:rFonts w:ascii="Garamond" w:hAnsi="Garamond"/>
                <w:lang w:val="en-AU"/>
              </w:rPr>
              <w:t xml:space="preserve"> (Skerdi Haviari, François Chollet, Stéphanie Polazzi, Cecile Payet, Adrien Beauveil, Cyrille Colin, Antoine Duclos</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b/>
                <w:lang w:val="en-AU"/>
              </w:rPr>
              <w:t>Patient safety and the ageing physician</w:t>
            </w:r>
            <w:r w:rsidRPr="00B34FF6">
              <w:rPr>
                <w:rFonts w:ascii="Garamond" w:hAnsi="Garamond"/>
                <w:lang w:val="en-AU"/>
              </w:rPr>
              <w:t>: a qualitative study of key stakeholder attitudes and experiences (Andrew A White, William M Sage, Paulina H Osinska, Monica J Salgaonkar, Thomas H Gallagher</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Using a 10-step framework to support the implementation of an evidence-based </w:t>
            </w:r>
            <w:r w:rsidRPr="00B34FF6">
              <w:rPr>
                <w:rFonts w:ascii="Garamond" w:hAnsi="Garamond"/>
                <w:b/>
                <w:lang w:val="en-AU"/>
              </w:rPr>
              <w:t>clinical pathways programme</w:t>
            </w:r>
            <w:r w:rsidRPr="00B34FF6">
              <w:rPr>
                <w:rFonts w:ascii="Garamond" w:hAnsi="Garamond"/>
                <w:lang w:val="en-AU"/>
              </w:rPr>
              <w:t xml:space="preserve"> (Emilia J Flores, Nikhil K Mull, Julia G Lavenberg, M D Mitchell, B F Leas, A Williams, P J Brennan, C A Umscheid</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Patterns of performance and improvement in </w:t>
            </w:r>
            <w:r w:rsidRPr="00B34FF6">
              <w:rPr>
                <w:rFonts w:ascii="Garamond" w:hAnsi="Garamond"/>
                <w:b/>
                <w:lang w:val="en-AU"/>
              </w:rPr>
              <w:t>US Medicare’s Hospital Star Ratings</w:t>
            </w:r>
            <w:r w:rsidRPr="00B34FF6">
              <w:rPr>
                <w:rFonts w:ascii="Garamond" w:hAnsi="Garamond"/>
                <w:lang w:val="en-AU"/>
              </w:rPr>
              <w:t>, 2016–2017 (Paula Chatterjee, Karen Joynt Maddox</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Governing the safety of </w:t>
            </w:r>
            <w:r w:rsidRPr="00B34FF6">
              <w:rPr>
                <w:rFonts w:ascii="Garamond" w:hAnsi="Garamond"/>
                <w:b/>
                <w:lang w:val="en-AU"/>
              </w:rPr>
              <w:t>artificial intelligence in healthcare</w:t>
            </w:r>
            <w:r w:rsidRPr="00B34FF6">
              <w:rPr>
                <w:rFonts w:ascii="Garamond" w:hAnsi="Garamond"/>
                <w:lang w:val="en-AU"/>
              </w:rPr>
              <w:t xml:space="preserve"> (Carl Macrae</w:t>
            </w:r>
            <w:r>
              <w:rPr>
                <w:rFonts w:ascii="Garamond" w:hAnsi="Garamond"/>
                <w:lang w:val="en-AU"/>
              </w:rPr>
              <w:t>)</w:t>
            </w:r>
          </w:p>
          <w:p w:rsidR="00B34FF6" w:rsidRPr="00B34FF6" w:rsidRDefault="00B34FF6" w:rsidP="00B34FF6">
            <w:pPr>
              <w:pStyle w:val="ListParagraph"/>
              <w:numPr>
                <w:ilvl w:val="0"/>
                <w:numId w:val="15"/>
              </w:numPr>
              <w:rPr>
                <w:rFonts w:ascii="Garamond" w:hAnsi="Garamond"/>
                <w:lang w:val="en-AU"/>
              </w:rPr>
            </w:pPr>
            <w:r w:rsidRPr="00B34FF6">
              <w:rPr>
                <w:rFonts w:ascii="Garamond" w:hAnsi="Garamond"/>
                <w:lang w:val="en-AU"/>
              </w:rPr>
              <w:t xml:space="preserve">Impact of </w:t>
            </w:r>
            <w:r w:rsidRPr="00B34FF6">
              <w:rPr>
                <w:rFonts w:ascii="Garamond" w:hAnsi="Garamond"/>
                <w:b/>
                <w:lang w:val="en-AU"/>
              </w:rPr>
              <w:t>decision aids</w:t>
            </w:r>
            <w:r w:rsidRPr="00B34FF6">
              <w:rPr>
                <w:rFonts w:ascii="Garamond" w:hAnsi="Garamond"/>
                <w:lang w:val="en-AU"/>
              </w:rPr>
              <w:t xml:space="preserve"> used during clinical encounters on clinician outcomes and consultation length: a systematic review (Claudia Caroline Dobler, Manuel Sanchez, Michael R Gionfriddo, Neri A Alvarez-Villalobos, Naykky Singh Ospina, Gabriela Spencer-Bonilla, Bjorg Thorsteinsdottir, Raed Benkhadra, Patricia J Erwin, Colin P West, Juan P Brito, M H Murad, V M Montori</w:t>
            </w:r>
            <w:r>
              <w:rPr>
                <w:rFonts w:ascii="Garamond" w:hAnsi="Garamond"/>
                <w:lang w:val="en-AU"/>
              </w:rPr>
              <w:t>)</w:t>
            </w:r>
          </w:p>
          <w:p w:rsidR="00B34FF6" w:rsidRPr="007C3778" w:rsidRDefault="00B34FF6" w:rsidP="00B34FF6">
            <w:pPr>
              <w:pStyle w:val="ListParagraph"/>
              <w:numPr>
                <w:ilvl w:val="0"/>
                <w:numId w:val="15"/>
              </w:numPr>
              <w:rPr>
                <w:rFonts w:ascii="Garamond" w:hAnsi="Garamond"/>
                <w:lang w:val="en-AU"/>
              </w:rPr>
            </w:pPr>
            <w:r w:rsidRPr="00B34FF6">
              <w:rPr>
                <w:rFonts w:ascii="Garamond" w:hAnsi="Garamond"/>
                <w:lang w:val="en-AU"/>
              </w:rPr>
              <w:t xml:space="preserve">The problem with </w:t>
            </w:r>
            <w:r w:rsidRPr="00B34FF6">
              <w:rPr>
                <w:rFonts w:ascii="Garamond" w:hAnsi="Garamond"/>
                <w:b/>
                <w:lang w:val="en-AU"/>
              </w:rPr>
              <w:t>pay-for-performance schemes</w:t>
            </w:r>
            <w:r w:rsidRPr="00B34FF6">
              <w:rPr>
                <w:rFonts w:ascii="Garamond" w:hAnsi="Garamond"/>
                <w:lang w:val="en-AU"/>
              </w:rPr>
              <w:t xml:space="preserve"> (S Gondi, D Soled, A Jha</w:t>
            </w:r>
            <w:r>
              <w:rPr>
                <w:rFonts w:ascii="Garamond" w:hAnsi="Garamond"/>
                <w:lang w:val="en-AU"/>
              </w:rPr>
              <w:t>)</w:t>
            </w:r>
          </w:p>
        </w:tc>
      </w:tr>
    </w:tbl>
    <w:p w:rsidR="00B34FF6" w:rsidRDefault="00B34FF6" w:rsidP="00B76BA1">
      <w:pPr>
        <w:keepNext/>
        <w:keepLines/>
        <w:autoSpaceDE w:val="0"/>
        <w:autoSpaceDN w:val="0"/>
        <w:adjustRightInd w:val="0"/>
        <w:rPr>
          <w:rFonts w:ascii="Garamond" w:hAnsi="Garamond"/>
          <w:i/>
          <w:lang w:val="en-AU"/>
        </w:rPr>
      </w:pPr>
    </w:p>
    <w:p w:rsidR="00BF77EF" w:rsidRPr="00C57211" w:rsidRDefault="00BF77EF" w:rsidP="00BF77EF">
      <w:pPr>
        <w:keepNext/>
        <w:rPr>
          <w:rFonts w:ascii="Garamond" w:hAnsi="Garamond"/>
          <w:i/>
          <w:lang w:val="en-AU"/>
        </w:rPr>
      </w:pPr>
      <w:r w:rsidRPr="00C57211">
        <w:rPr>
          <w:rFonts w:ascii="Garamond" w:hAnsi="Garamond"/>
          <w:i/>
          <w:lang w:val="en-AU"/>
        </w:rPr>
        <w:t>International Journal for Quality in Health Care</w:t>
      </w:r>
    </w:p>
    <w:p w:rsidR="00BF77EF" w:rsidRPr="00D65371" w:rsidRDefault="00BF77EF" w:rsidP="00BF77EF">
      <w:pPr>
        <w:rPr>
          <w:rFonts w:ascii="Garamond" w:hAnsi="Garamond"/>
          <w:lang w:val="en-AU"/>
        </w:rPr>
      </w:pPr>
      <w:r>
        <w:rPr>
          <w:rFonts w:ascii="Garamond" w:hAnsi="Garamond"/>
          <w:lang w:val="en-AU"/>
        </w:rPr>
        <w:t>Volume 31 Issue 4, May</w:t>
      </w:r>
      <w:r w:rsidRPr="00C57211">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BF77EF"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F77EF" w:rsidRPr="000170DA" w:rsidRDefault="00BF77EF" w:rsidP="00AC7DC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F77EF" w:rsidRPr="000170DA" w:rsidRDefault="00A06196" w:rsidP="00BF77EF">
            <w:pPr>
              <w:rPr>
                <w:rStyle w:val="Hyperlink"/>
                <w:rFonts w:ascii="Garamond" w:hAnsi="Garamond"/>
                <w:color w:val="auto"/>
                <w:u w:val="none"/>
                <w:lang w:val="en-AU"/>
              </w:rPr>
            </w:pPr>
            <w:hyperlink r:id="rId25" w:history="1">
              <w:r w:rsidR="00BF77EF" w:rsidRPr="005649CB">
                <w:rPr>
                  <w:rStyle w:val="Hyperlink"/>
                  <w:rFonts w:ascii="Garamond" w:hAnsi="Garamond"/>
                  <w:lang w:val="en-AU"/>
                </w:rPr>
                <w:t>https://academic.oup.com/intqhc/issue/31/4</w:t>
              </w:r>
            </w:hyperlink>
          </w:p>
        </w:tc>
      </w:tr>
      <w:tr w:rsidR="00BF77EF" w:rsidRPr="000170DA" w:rsidTr="00AC7DC7">
        <w:tc>
          <w:tcPr>
            <w:tcW w:w="1080" w:type="dxa"/>
            <w:tcBorders>
              <w:top w:val="single" w:sz="4" w:space="0" w:color="auto"/>
              <w:left w:val="single" w:sz="4" w:space="0" w:color="auto"/>
              <w:bottom w:val="single" w:sz="4" w:space="0" w:color="auto"/>
              <w:right w:val="single" w:sz="4" w:space="0" w:color="auto"/>
            </w:tcBorders>
            <w:vAlign w:val="center"/>
          </w:tcPr>
          <w:p w:rsidR="00BF77EF" w:rsidRPr="000170DA" w:rsidRDefault="00BF77EF" w:rsidP="00AC7D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77EF" w:rsidRPr="007C3778" w:rsidRDefault="00BF77EF" w:rsidP="00AC7DC7">
            <w:pPr>
              <w:rPr>
                <w:rFonts w:ascii="Garamond" w:hAnsi="Garamond"/>
                <w:lang w:val="en-AU"/>
              </w:rPr>
            </w:pPr>
            <w:r w:rsidRPr="00B440ED">
              <w:rPr>
                <w:rFonts w:ascii="Garamond" w:hAnsi="Garamond"/>
                <w:lang w:val="en-AU"/>
              </w:rPr>
              <w:t>A new issue of</w:t>
            </w:r>
            <w:r w:rsidR="00764E25">
              <w:rPr>
                <w:rFonts w:ascii="Garamond" w:hAnsi="Garamond"/>
                <w:lang w:val="en-AU"/>
              </w:rPr>
              <w:t xml:space="preserve"> the</w:t>
            </w:r>
            <w:r w:rsidRPr="00B440ED">
              <w:rPr>
                <w:rFonts w:ascii="Garamond" w:hAnsi="Garamond"/>
                <w:lang w:val="en-AU"/>
              </w:rPr>
              <w:t xml:space="preserve"> </w:t>
            </w:r>
            <w:r w:rsidRPr="00C57211">
              <w:rPr>
                <w:rFonts w:ascii="Garamond" w:hAnsi="Garamond"/>
                <w:i/>
                <w:lang w:val="en-AU"/>
              </w:rPr>
              <w:t>International Journal for Quality in Health Care</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00764E25">
              <w:rPr>
                <w:rFonts w:ascii="Garamond" w:hAnsi="Garamond"/>
                <w:lang w:val="en-AU"/>
              </w:rPr>
              <w:t xml:space="preserve">the </w:t>
            </w:r>
            <w:r w:rsidRPr="00C57211">
              <w:rPr>
                <w:rFonts w:ascii="Garamond" w:hAnsi="Garamond"/>
                <w:i/>
                <w:lang w:val="en-AU"/>
              </w:rPr>
              <w:t>International Journal for Quality in Health Care</w:t>
            </w:r>
            <w:r w:rsidRPr="00B440ED">
              <w:rPr>
                <w:rFonts w:ascii="Garamond" w:hAnsi="Garamond"/>
                <w:lang w:val="en-AU"/>
              </w:rPr>
              <w:t xml:space="preserve"> include:</w:t>
            </w:r>
          </w:p>
          <w:p w:rsidR="00BF77EF" w:rsidRDefault="00BF77EF" w:rsidP="00BF77EF">
            <w:pPr>
              <w:pStyle w:val="ListParagraph"/>
              <w:numPr>
                <w:ilvl w:val="0"/>
                <w:numId w:val="15"/>
              </w:numPr>
              <w:rPr>
                <w:rFonts w:ascii="Garamond" w:hAnsi="Garamond"/>
                <w:lang w:val="en-AU"/>
              </w:rPr>
            </w:pPr>
            <w:r w:rsidRPr="00BF77EF">
              <w:rPr>
                <w:rFonts w:ascii="Garamond" w:hAnsi="Garamond"/>
                <w:lang w:val="en-AU"/>
              </w:rPr>
              <w:t xml:space="preserve">Editorial: Balancing measures: identifying </w:t>
            </w:r>
            <w:r w:rsidRPr="00BF77EF">
              <w:rPr>
                <w:rFonts w:ascii="Garamond" w:hAnsi="Garamond"/>
                <w:b/>
                <w:lang w:val="en-AU"/>
              </w:rPr>
              <w:t>unintended consequences of diabetes quality performance measures</w:t>
            </w:r>
            <w:r w:rsidRPr="00BF77EF">
              <w:rPr>
                <w:rFonts w:ascii="Garamond" w:hAnsi="Garamond"/>
                <w:lang w:val="en-AU"/>
              </w:rPr>
              <w:t xml:space="preserve"> in patients at high risk for hypoglycaemia (David C Aron; Chin-Lin Tseng; Orysya Soroka; L M Pogach</w:t>
            </w:r>
            <w:r>
              <w:rPr>
                <w:rFonts w:ascii="Garamond" w:hAnsi="Garamond"/>
                <w:lang w:val="en-AU"/>
              </w:rPr>
              <w:t>)</w:t>
            </w:r>
          </w:p>
          <w:p w:rsidR="001634F3" w:rsidRDefault="00BF77EF" w:rsidP="001634F3">
            <w:pPr>
              <w:pStyle w:val="ListParagraph"/>
              <w:numPr>
                <w:ilvl w:val="0"/>
                <w:numId w:val="15"/>
              </w:numPr>
              <w:rPr>
                <w:rFonts w:ascii="Garamond" w:hAnsi="Garamond"/>
                <w:lang w:val="en-AU"/>
              </w:rPr>
            </w:pPr>
            <w:r w:rsidRPr="00BF77EF">
              <w:rPr>
                <w:rFonts w:ascii="Garamond" w:hAnsi="Garamond"/>
                <w:lang w:val="en-AU"/>
              </w:rPr>
              <w:t xml:space="preserve">Goal attainment and renal outcomes in patients enrolled in the </w:t>
            </w:r>
            <w:r w:rsidRPr="00BF77EF">
              <w:rPr>
                <w:rFonts w:ascii="Garamond" w:hAnsi="Garamond"/>
                <w:b/>
                <w:lang w:val="en-AU"/>
              </w:rPr>
              <w:t>chronic kidney disease care</w:t>
            </w:r>
            <w:r w:rsidRPr="00BF77EF">
              <w:rPr>
                <w:rFonts w:ascii="Garamond" w:hAnsi="Garamond"/>
                <w:lang w:val="en-AU"/>
              </w:rPr>
              <w:t xml:space="preserve"> program in Taiwan: a 3-year observational study (Yi Wang; Yueh-Ting Lee; Wen-Chin Lee; Hwee-Yeong Ng; Chien-Hsing Wu</w:t>
            </w:r>
            <w:r w:rsidR="001634F3">
              <w:rPr>
                <w:rFonts w:ascii="Garamond" w:hAnsi="Garamond"/>
                <w:lang w:val="en-AU"/>
              </w:rPr>
              <w:t xml:space="preserve">; </w:t>
            </w:r>
            <w:r w:rsidR="001634F3" w:rsidRPr="001634F3">
              <w:rPr>
                <w:rFonts w:ascii="Garamond" w:hAnsi="Garamond"/>
                <w:lang w:val="en-AU"/>
              </w:rPr>
              <w:t>Chien-Te Lee</w:t>
            </w:r>
            <w:r w:rsidR="001634F3">
              <w:rPr>
                <w:rFonts w:ascii="Garamond" w:hAnsi="Garamond"/>
                <w:lang w:val="en-AU"/>
              </w:rPr>
              <w:t>)</w:t>
            </w:r>
          </w:p>
          <w:p w:rsidR="00BF77EF" w:rsidRDefault="00BF77EF" w:rsidP="00BF77EF">
            <w:pPr>
              <w:pStyle w:val="ListParagraph"/>
              <w:numPr>
                <w:ilvl w:val="0"/>
                <w:numId w:val="15"/>
              </w:numPr>
              <w:rPr>
                <w:rFonts w:ascii="Garamond" w:hAnsi="Garamond"/>
                <w:lang w:val="en-AU"/>
              </w:rPr>
            </w:pPr>
            <w:r w:rsidRPr="00BF77EF">
              <w:rPr>
                <w:rFonts w:ascii="Garamond" w:hAnsi="Garamond"/>
                <w:lang w:val="en-AU"/>
              </w:rPr>
              <w:t xml:space="preserve">The </w:t>
            </w:r>
            <w:r w:rsidRPr="00BF77EF">
              <w:rPr>
                <w:rFonts w:ascii="Garamond" w:hAnsi="Garamond"/>
                <w:b/>
                <w:lang w:val="en-AU"/>
              </w:rPr>
              <w:t>quality and safety culture in general hospitals</w:t>
            </w:r>
            <w:r w:rsidRPr="00BF77EF">
              <w:rPr>
                <w:rFonts w:ascii="Garamond" w:hAnsi="Garamond"/>
                <w:lang w:val="en-AU"/>
              </w:rPr>
              <w:t>: patients', physicians' and nurses' evaluation of its effect on patient satisfaction (Ilya Kagan; Nurit Porat; Sivia Barnoy</w:t>
            </w:r>
            <w:r>
              <w:rPr>
                <w:rFonts w:ascii="Garamond" w:hAnsi="Garamond"/>
                <w:lang w:val="en-AU"/>
              </w:rPr>
              <w:t>)</w:t>
            </w:r>
          </w:p>
          <w:p w:rsidR="001634F3" w:rsidRDefault="00BF77EF" w:rsidP="001634F3">
            <w:pPr>
              <w:pStyle w:val="ListParagraph"/>
              <w:numPr>
                <w:ilvl w:val="0"/>
                <w:numId w:val="15"/>
              </w:numPr>
              <w:rPr>
                <w:rFonts w:ascii="Garamond" w:hAnsi="Garamond"/>
                <w:lang w:val="en-AU"/>
              </w:rPr>
            </w:pPr>
            <w:r w:rsidRPr="00BF77EF">
              <w:rPr>
                <w:rFonts w:ascii="Garamond" w:hAnsi="Garamond"/>
                <w:lang w:val="en-AU"/>
              </w:rPr>
              <w:t xml:space="preserve">Discrepancy between the </w:t>
            </w:r>
            <w:r w:rsidRPr="001634F3">
              <w:rPr>
                <w:rFonts w:ascii="Garamond" w:hAnsi="Garamond"/>
                <w:b/>
                <w:lang w:val="en-AU"/>
              </w:rPr>
              <w:t>European clinical guidelines and myocardial revascularization</w:t>
            </w:r>
            <w:r w:rsidRPr="00BF77EF">
              <w:rPr>
                <w:rFonts w:ascii="Garamond" w:hAnsi="Garamond"/>
                <w:lang w:val="en-AU"/>
              </w:rPr>
              <w:t xml:space="preserve"> in patients with stable coronary artery disease in Russia (Anton R Kiselev; Alexey S Korotin; Olga M Posnenkova ; Yulia V Popova; Mikhail D Prokhorov</w:t>
            </w:r>
            <w:r w:rsidR="001634F3">
              <w:rPr>
                <w:rFonts w:ascii="Garamond" w:hAnsi="Garamond"/>
                <w:lang w:val="en-AU"/>
              </w:rPr>
              <w:t xml:space="preserve">; </w:t>
            </w:r>
            <w:r w:rsidR="001634F3" w:rsidRPr="001634F3">
              <w:rPr>
                <w:rFonts w:ascii="Garamond" w:hAnsi="Garamond"/>
                <w:lang w:val="en-AU"/>
              </w:rPr>
              <w:t>Vladimir I Gridnev</w:t>
            </w:r>
            <w:r w:rsidR="001634F3">
              <w:rPr>
                <w:rFonts w:ascii="Garamond" w:hAnsi="Garamond"/>
                <w:lang w:val="en-AU"/>
              </w:rPr>
              <w:t>)</w:t>
            </w:r>
          </w:p>
          <w:p w:rsidR="001634F3" w:rsidRDefault="00BF77EF" w:rsidP="00BF77EF">
            <w:pPr>
              <w:pStyle w:val="ListParagraph"/>
              <w:numPr>
                <w:ilvl w:val="0"/>
                <w:numId w:val="15"/>
              </w:numPr>
              <w:rPr>
                <w:rFonts w:ascii="Garamond" w:hAnsi="Garamond"/>
                <w:lang w:val="en-AU"/>
              </w:rPr>
            </w:pPr>
            <w:r w:rsidRPr="001634F3">
              <w:rPr>
                <w:rFonts w:ascii="Garamond" w:hAnsi="Garamond"/>
                <w:b/>
                <w:lang w:val="en-AU"/>
              </w:rPr>
              <w:t>Inter-hospital variations in health outcomes in childbirth care</w:t>
            </w:r>
            <w:r w:rsidRPr="001634F3">
              <w:rPr>
                <w:rFonts w:ascii="Garamond" w:hAnsi="Garamond"/>
                <w:lang w:val="en-AU"/>
              </w:rPr>
              <w:t xml:space="preserve"> in Sweden: a register-based study</w:t>
            </w:r>
            <w:r w:rsidR="001634F3" w:rsidRPr="001634F3">
              <w:rPr>
                <w:rFonts w:ascii="Garamond" w:hAnsi="Garamond"/>
                <w:lang w:val="en-AU"/>
              </w:rPr>
              <w:t xml:space="preserve"> (</w:t>
            </w:r>
            <w:r w:rsidRPr="001634F3">
              <w:rPr>
                <w:rFonts w:ascii="Garamond" w:hAnsi="Garamond"/>
                <w:lang w:val="en-AU"/>
              </w:rPr>
              <w:t>Johan Mesterton; Mats Brommels; Lars Ladfors; Peter Lindgren ; Isis Amer-Wåhlin</w:t>
            </w:r>
            <w:r w:rsidR="001634F3">
              <w:rPr>
                <w:rFonts w:ascii="Garamond" w:hAnsi="Garamond"/>
                <w:lang w:val="en-AU"/>
              </w:rPr>
              <w:t>)</w:t>
            </w:r>
          </w:p>
          <w:p w:rsidR="001634F3" w:rsidRDefault="00BF77EF" w:rsidP="00BF77EF">
            <w:pPr>
              <w:pStyle w:val="ListParagraph"/>
              <w:numPr>
                <w:ilvl w:val="0"/>
                <w:numId w:val="15"/>
              </w:numPr>
              <w:rPr>
                <w:rFonts w:ascii="Garamond" w:hAnsi="Garamond"/>
                <w:lang w:val="en-AU"/>
              </w:rPr>
            </w:pPr>
            <w:r w:rsidRPr="001634F3">
              <w:rPr>
                <w:rFonts w:ascii="Garamond" w:hAnsi="Garamond"/>
                <w:lang w:val="en-AU"/>
              </w:rPr>
              <w:t xml:space="preserve">Obesity in total laparoscopic hysterectomy for early stage </w:t>
            </w:r>
            <w:r w:rsidRPr="001634F3">
              <w:rPr>
                <w:rFonts w:ascii="Garamond" w:hAnsi="Garamond"/>
                <w:b/>
                <w:lang w:val="en-AU"/>
              </w:rPr>
              <w:t>endometrial cancer</w:t>
            </w:r>
            <w:r w:rsidRPr="001634F3">
              <w:rPr>
                <w:rFonts w:ascii="Garamond" w:hAnsi="Garamond"/>
                <w:lang w:val="en-AU"/>
              </w:rPr>
              <w:t>: health gain and inpatient resource use</w:t>
            </w:r>
            <w:r w:rsidR="001634F3" w:rsidRPr="001634F3">
              <w:rPr>
                <w:rFonts w:ascii="Garamond" w:hAnsi="Garamond"/>
                <w:lang w:val="en-AU"/>
              </w:rPr>
              <w:t xml:space="preserve"> (</w:t>
            </w:r>
            <w:r w:rsidRPr="001634F3">
              <w:rPr>
                <w:rFonts w:ascii="Garamond" w:hAnsi="Garamond"/>
                <w:lang w:val="en-AU"/>
              </w:rPr>
              <w:t>N R Armfield; M Janda; A Obermair</w:t>
            </w:r>
            <w:r w:rsidR="001634F3">
              <w:rPr>
                <w:rFonts w:ascii="Garamond" w:hAnsi="Garamond"/>
                <w:lang w:val="en-AU"/>
              </w:rPr>
              <w:t>)</w:t>
            </w:r>
          </w:p>
          <w:p w:rsidR="001634F3" w:rsidRDefault="00BF77EF" w:rsidP="00BF77EF">
            <w:pPr>
              <w:pStyle w:val="ListParagraph"/>
              <w:numPr>
                <w:ilvl w:val="0"/>
                <w:numId w:val="15"/>
              </w:numPr>
              <w:rPr>
                <w:rFonts w:ascii="Garamond" w:hAnsi="Garamond"/>
                <w:lang w:val="en-AU"/>
              </w:rPr>
            </w:pPr>
            <w:r w:rsidRPr="001634F3">
              <w:rPr>
                <w:rFonts w:ascii="Garamond" w:hAnsi="Garamond"/>
                <w:lang w:val="en-AU"/>
              </w:rPr>
              <w:lastRenderedPageBreak/>
              <w:t xml:space="preserve">Socioeconomic status and health-related quality of life among adults and older with </w:t>
            </w:r>
            <w:r w:rsidRPr="001634F3">
              <w:rPr>
                <w:rFonts w:ascii="Garamond" w:hAnsi="Garamond"/>
                <w:b/>
                <w:lang w:val="en-AU"/>
              </w:rPr>
              <w:t>overactive bladder</w:t>
            </w:r>
            <w:r w:rsidR="001634F3" w:rsidRPr="001634F3">
              <w:rPr>
                <w:rFonts w:ascii="Garamond" w:hAnsi="Garamond"/>
                <w:lang w:val="en-AU"/>
              </w:rPr>
              <w:t xml:space="preserve"> (</w:t>
            </w:r>
            <w:r w:rsidRPr="001634F3">
              <w:rPr>
                <w:rFonts w:ascii="Garamond" w:hAnsi="Garamond"/>
                <w:lang w:val="en-AU"/>
              </w:rPr>
              <w:t>Kirill Kosilov; Sergay Loparev; Irina Kuzina; Liliya Kosilova ; Alexandra Prokofyeva</w:t>
            </w:r>
            <w:r w:rsidR="001634F3">
              <w:rPr>
                <w:rFonts w:ascii="Garamond" w:hAnsi="Garamond"/>
                <w:lang w:val="en-AU"/>
              </w:rPr>
              <w:t>)</w:t>
            </w:r>
          </w:p>
          <w:p w:rsidR="001634F3" w:rsidRDefault="00BF77EF" w:rsidP="00BF77EF">
            <w:pPr>
              <w:pStyle w:val="ListParagraph"/>
              <w:numPr>
                <w:ilvl w:val="0"/>
                <w:numId w:val="15"/>
              </w:numPr>
              <w:rPr>
                <w:rFonts w:ascii="Garamond" w:hAnsi="Garamond"/>
                <w:lang w:val="en-AU"/>
              </w:rPr>
            </w:pPr>
            <w:r w:rsidRPr="001634F3">
              <w:rPr>
                <w:rFonts w:ascii="Garamond" w:hAnsi="Garamond"/>
                <w:b/>
                <w:lang w:val="en-AU"/>
              </w:rPr>
              <w:t>Medication-related quality of care in residential aged care</w:t>
            </w:r>
            <w:r w:rsidRPr="001634F3">
              <w:rPr>
                <w:rFonts w:ascii="Garamond" w:hAnsi="Garamond"/>
                <w:lang w:val="en-AU"/>
              </w:rPr>
              <w:t>: an Australian experience</w:t>
            </w:r>
            <w:r w:rsidR="001634F3" w:rsidRPr="001634F3">
              <w:rPr>
                <w:rFonts w:ascii="Garamond" w:hAnsi="Garamond"/>
                <w:lang w:val="en-AU"/>
              </w:rPr>
              <w:t xml:space="preserve"> (</w:t>
            </w:r>
            <w:r w:rsidRPr="001634F3">
              <w:rPr>
                <w:rFonts w:ascii="Garamond" w:hAnsi="Garamond"/>
                <w:lang w:val="en-AU"/>
              </w:rPr>
              <w:t>Jodie B Hillen; Agnes Vitry; Gillian E Caughey</w:t>
            </w:r>
            <w:r w:rsidR="001634F3">
              <w:rPr>
                <w:rFonts w:ascii="Garamond" w:hAnsi="Garamond"/>
                <w:lang w:val="en-AU"/>
              </w:rPr>
              <w:t>)</w:t>
            </w:r>
          </w:p>
          <w:p w:rsidR="001634F3" w:rsidRDefault="00BF77EF" w:rsidP="001634F3">
            <w:pPr>
              <w:pStyle w:val="ListParagraph"/>
              <w:numPr>
                <w:ilvl w:val="0"/>
                <w:numId w:val="15"/>
              </w:numPr>
              <w:rPr>
                <w:rFonts w:ascii="Garamond" w:hAnsi="Garamond"/>
                <w:lang w:val="en-AU"/>
              </w:rPr>
            </w:pPr>
            <w:r w:rsidRPr="001634F3">
              <w:rPr>
                <w:rFonts w:ascii="Garamond" w:hAnsi="Garamond"/>
                <w:lang w:val="en-AU"/>
              </w:rPr>
              <w:t xml:space="preserve">Cross-cultural adaptation and validation of the </w:t>
            </w:r>
            <w:r w:rsidRPr="001634F3">
              <w:rPr>
                <w:rFonts w:ascii="Garamond" w:hAnsi="Garamond"/>
                <w:b/>
                <w:lang w:val="en-AU"/>
              </w:rPr>
              <w:t>Romanian Hip disability and Osteoarthritis Outcome Score for Joint Replacement</w:t>
            </w:r>
            <w:r w:rsidR="001634F3" w:rsidRPr="001634F3">
              <w:rPr>
                <w:rFonts w:ascii="Garamond" w:hAnsi="Garamond"/>
                <w:lang w:val="en-AU"/>
              </w:rPr>
              <w:t xml:space="preserve"> (</w:t>
            </w:r>
            <w:r w:rsidRPr="001634F3">
              <w:rPr>
                <w:rFonts w:ascii="Garamond" w:hAnsi="Garamond"/>
                <w:lang w:val="en-AU"/>
              </w:rPr>
              <w:t>Horia Haragus; Bogdan Deleanu; Radu Prejbeanu; Bogdan Timar; C Levai</w:t>
            </w:r>
            <w:r w:rsidR="001634F3">
              <w:rPr>
                <w:rFonts w:ascii="Garamond" w:hAnsi="Garamond"/>
                <w:lang w:val="en-AU"/>
              </w:rPr>
              <w:t xml:space="preserve">; </w:t>
            </w:r>
            <w:r w:rsidR="001634F3" w:rsidRPr="001634F3">
              <w:rPr>
                <w:rFonts w:ascii="Garamond" w:hAnsi="Garamond"/>
                <w:lang w:val="en-AU"/>
              </w:rPr>
              <w:t>D Vermesan</w:t>
            </w:r>
            <w:r w:rsidR="001634F3">
              <w:rPr>
                <w:rFonts w:ascii="Garamond" w:hAnsi="Garamond"/>
                <w:lang w:val="en-AU"/>
              </w:rPr>
              <w:t>)</w:t>
            </w:r>
          </w:p>
          <w:p w:rsidR="001634F3" w:rsidRDefault="00BF77EF" w:rsidP="001634F3">
            <w:pPr>
              <w:pStyle w:val="ListParagraph"/>
              <w:numPr>
                <w:ilvl w:val="0"/>
                <w:numId w:val="15"/>
              </w:numPr>
              <w:rPr>
                <w:rFonts w:ascii="Garamond" w:hAnsi="Garamond"/>
                <w:lang w:val="en-AU"/>
              </w:rPr>
            </w:pPr>
            <w:r w:rsidRPr="001634F3">
              <w:rPr>
                <w:rFonts w:ascii="Garamond" w:hAnsi="Garamond"/>
                <w:lang w:val="en-AU"/>
              </w:rPr>
              <w:t xml:space="preserve">Unmet needs in </w:t>
            </w:r>
            <w:r w:rsidRPr="001634F3">
              <w:rPr>
                <w:rFonts w:ascii="Garamond" w:hAnsi="Garamond"/>
                <w:b/>
                <w:lang w:val="en-AU"/>
              </w:rPr>
              <w:t>Primary Care of older clients</w:t>
            </w:r>
            <w:r w:rsidRPr="001634F3">
              <w:rPr>
                <w:rFonts w:ascii="Garamond" w:hAnsi="Garamond"/>
                <w:lang w:val="en-AU"/>
              </w:rPr>
              <w:t xml:space="preserve"> with mental health concerns</w:t>
            </w:r>
            <w:r w:rsidR="001634F3" w:rsidRPr="001634F3">
              <w:rPr>
                <w:rFonts w:ascii="Garamond" w:hAnsi="Garamond"/>
                <w:lang w:val="en-AU"/>
              </w:rPr>
              <w:t xml:space="preserve"> (</w:t>
            </w:r>
            <w:r w:rsidRPr="001634F3">
              <w:rPr>
                <w:rFonts w:ascii="Garamond" w:hAnsi="Garamond"/>
                <w:lang w:val="en-AU"/>
              </w:rPr>
              <w:t>Sara Alves; Laetitia Teixeira; Maria J Azevedo; M Duarte ; O Ribeiro</w:t>
            </w:r>
            <w:r w:rsidR="001634F3">
              <w:rPr>
                <w:rFonts w:ascii="Garamond" w:hAnsi="Garamond"/>
                <w:lang w:val="en-AU"/>
              </w:rPr>
              <w:t xml:space="preserve">; </w:t>
            </w:r>
            <w:r w:rsidR="001634F3" w:rsidRPr="001634F3">
              <w:rPr>
                <w:rFonts w:ascii="Garamond" w:hAnsi="Garamond"/>
                <w:lang w:val="en-AU"/>
              </w:rPr>
              <w:t>C Paúl</w:t>
            </w:r>
            <w:r w:rsidR="001634F3">
              <w:rPr>
                <w:rFonts w:ascii="Garamond" w:hAnsi="Garamond"/>
                <w:lang w:val="en-AU"/>
              </w:rPr>
              <w:t>)</w:t>
            </w:r>
          </w:p>
          <w:p w:rsidR="001634F3" w:rsidRDefault="00BF77EF" w:rsidP="00BF77EF">
            <w:pPr>
              <w:pStyle w:val="ListParagraph"/>
              <w:numPr>
                <w:ilvl w:val="0"/>
                <w:numId w:val="15"/>
              </w:numPr>
              <w:rPr>
                <w:rFonts w:ascii="Garamond" w:hAnsi="Garamond"/>
                <w:lang w:val="en-AU"/>
              </w:rPr>
            </w:pPr>
            <w:r w:rsidRPr="001634F3">
              <w:rPr>
                <w:rFonts w:ascii="Garamond" w:hAnsi="Garamond"/>
                <w:lang w:val="en-AU"/>
              </w:rPr>
              <w:t xml:space="preserve">Transition from a traditional to a comprehensive </w:t>
            </w:r>
            <w:r w:rsidRPr="001634F3">
              <w:rPr>
                <w:rFonts w:ascii="Garamond" w:hAnsi="Garamond"/>
                <w:b/>
                <w:lang w:val="en-AU"/>
              </w:rPr>
              <w:t>quality assurance system in Slovenian family medicine practices</w:t>
            </w:r>
            <w:r w:rsidR="001634F3" w:rsidRPr="001634F3">
              <w:rPr>
                <w:rFonts w:ascii="Garamond" w:hAnsi="Garamond"/>
                <w:lang w:val="en-AU"/>
              </w:rPr>
              <w:t xml:space="preserve"> (</w:t>
            </w:r>
            <w:r w:rsidRPr="001634F3">
              <w:rPr>
                <w:rFonts w:ascii="Garamond" w:hAnsi="Garamond"/>
                <w:lang w:val="en-AU"/>
              </w:rPr>
              <w:t>Zalika Klemenc-Ketis; Igor Švab; Aleksander Stepanović ; Antonija Poplas Susič</w:t>
            </w:r>
            <w:r w:rsidR="001634F3">
              <w:rPr>
                <w:rFonts w:ascii="Garamond" w:hAnsi="Garamond"/>
                <w:lang w:val="en-AU"/>
              </w:rPr>
              <w:t>)</w:t>
            </w:r>
          </w:p>
          <w:p w:rsidR="00BF77EF" w:rsidRPr="007C3778" w:rsidRDefault="00BF77EF" w:rsidP="001634F3">
            <w:pPr>
              <w:pStyle w:val="ListParagraph"/>
              <w:numPr>
                <w:ilvl w:val="0"/>
                <w:numId w:val="15"/>
              </w:numPr>
              <w:rPr>
                <w:rFonts w:ascii="Garamond" w:hAnsi="Garamond"/>
                <w:lang w:val="en-AU"/>
              </w:rPr>
            </w:pPr>
            <w:r w:rsidRPr="001634F3">
              <w:rPr>
                <w:rFonts w:ascii="Garamond" w:hAnsi="Garamond"/>
                <w:lang w:val="en-AU"/>
              </w:rPr>
              <w:t xml:space="preserve">The </w:t>
            </w:r>
            <w:r w:rsidRPr="001634F3">
              <w:rPr>
                <w:rFonts w:ascii="Garamond" w:hAnsi="Garamond"/>
                <w:b/>
                <w:lang w:val="en-AU"/>
              </w:rPr>
              <w:t>importance of evaluating performance</w:t>
            </w:r>
            <w:r w:rsidRPr="001634F3">
              <w:rPr>
                <w:rFonts w:ascii="Garamond" w:hAnsi="Garamond"/>
                <w:lang w:val="en-AU"/>
              </w:rPr>
              <w:t xml:space="preserve"> to understand changes</w:t>
            </w:r>
            <w:r w:rsidR="001634F3" w:rsidRPr="001634F3">
              <w:rPr>
                <w:rFonts w:ascii="Garamond" w:hAnsi="Garamond"/>
                <w:lang w:val="en-AU"/>
              </w:rPr>
              <w:t xml:space="preserve"> (</w:t>
            </w:r>
            <w:r w:rsidRPr="001634F3">
              <w:rPr>
                <w:rFonts w:ascii="Garamond" w:hAnsi="Garamond"/>
                <w:lang w:val="en-AU"/>
              </w:rPr>
              <w:t>Ezequiel Garcia-Elorrio</w:t>
            </w:r>
            <w:r w:rsidR="001634F3">
              <w:rPr>
                <w:rFonts w:ascii="Garamond" w:hAnsi="Garamond"/>
                <w:lang w:val="en-AU"/>
              </w:rPr>
              <w:t>)</w:t>
            </w:r>
          </w:p>
        </w:tc>
      </w:tr>
    </w:tbl>
    <w:p w:rsidR="00BF77EF" w:rsidRDefault="00BF77EF" w:rsidP="00BF77EF">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A06196" w:rsidP="0023729D">
            <w:pPr>
              <w:keepNext/>
              <w:rPr>
                <w:rFonts w:ascii="Garamond" w:hAnsi="Garamond"/>
                <w:lang w:val="en-AU"/>
              </w:rPr>
            </w:pPr>
            <w:hyperlink r:id="rId26"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34FF6" w:rsidRDefault="00B34FF6" w:rsidP="00B34FF6">
            <w:pPr>
              <w:pStyle w:val="ListParagraph"/>
              <w:numPr>
                <w:ilvl w:val="0"/>
                <w:numId w:val="14"/>
              </w:numPr>
              <w:rPr>
                <w:rFonts w:ascii="Garamond" w:hAnsi="Garamond"/>
                <w:lang w:val="en-AU"/>
              </w:rPr>
            </w:pPr>
            <w:r w:rsidRPr="00B34FF6">
              <w:rPr>
                <w:rFonts w:ascii="Garamond" w:hAnsi="Garamond"/>
                <w:lang w:val="en-AU"/>
              </w:rPr>
              <w:t xml:space="preserve">Editorial: </w:t>
            </w:r>
            <w:r w:rsidRPr="00B34FF6">
              <w:rPr>
                <w:rFonts w:ascii="Garamond" w:hAnsi="Garamond"/>
                <w:b/>
                <w:lang w:val="en-AU"/>
              </w:rPr>
              <w:t>Improving patient outcomes following total joint arthroplasty</w:t>
            </w:r>
            <w:r w:rsidRPr="00B34FF6">
              <w:rPr>
                <w:rFonts w:ascii="Garamond" w:hAnsi="Garamond"/>
                <w:lang w:val="en-AU"/>
              </w:rPr>
              <w:t xml:space="preserve">: is there an app for that? </w:t>
            </w:r>
            <w:r>
              <w:rPr>
                <w:rFonts w:ascii="Garamond" w:hAnsi="Garamond"/>
                <w:lang w:val="en-AU"/>
              </w:rPr>
              <w:t>(</w:t>
            </w:r>
            <w:r w:rsidRPr="00B34FF6">
              <w:rPr>
                <w:rFonts w:ascii="Garamond" w:hAnsi="Garamond"/>
                <w:lang w:val="en-AU"/>
              </w:rPr>
              <w:t>Jesse I. Wolfstadt, Christine Soong, Sarah E. Ward</w:t>
            </w:r>
            <w:r>
              <w:rPr>
                <w:rFonts w:ascii="Garamond" w:hAnsi="Garamond"/>
                <w:lang w:val="en-AU"/>
              </w:rPr>
              <w:t>)</w:t>
            </w:r>
          </w:p>
          <w:p w:rsidR="0022168E" w:rsidRPr="0022168E" w:rsidRDefault="0022168E" w:rsidP="0022168E">
            <w:pPr>
              <w:pStyle w:val="ListParagraph"/>
              <w:numPr>
                <w:ilvl w:val="0"/>
                <w:numId w:val="14"/>
              </w:numPr>
              <w:rPr>
                <w:rFonts w:ascii="Garamond" w:hAnsi="Garamond"/>
                <w:lang w:val="en-AU"/>
              </w:rPr>
            </w:pPr>
            <w:r w:rsidRPr="0022168E">
              <w:rPr>
                <w:rFonts w:ascii="Garamond" w:hAnsi="Garamond"/>
                <w:lang w:val="en-AU"/>
              </w:rPr>
              <w:t xml:space="preserve">Putting out fires: a qualitative study exploring the use of </w:t>
            </w:r>
            <w:r w:rsidRPr="0022168E">
              <w:rPr>
                <w:rFonts w:ascii="Garamond" w:hAnsi="Garamond"/>
                <w:b/>
                <w:lang w:val="en-AU"/>
              </w:rPr>
              <w:t>patient complaints to drive improvement</w:t>
            </w:r>
            <w:r w:rsidRPr="0022168E">
              <w:rPr>
                <w:rFonts w:ascii="Garamond" w:hAnsi="Garamond"/>
                <w:lang w:val="en-AU"/>
              </w:rPr>
              <w:t xml:space="preserve"> at three academic hospitals (Jessica J Liu, Leahora Rotteau, Chaim M Bell, Kaveh G Shojania</w:t>
            </w:r>
            <w:r>
              <w:rPr>
                <w:rFonts w:ascii="Garamond" w:hAnsi="Garamond"/>
                <w:lang w:val="en-AU"/>
              </w:rPr>
              <w:t>)</w:t>
            </w:r>
          </w:p>
          <w:p w:rsidR="0022168E" w:rsidRPr="0022168E" w:rsidRDefault="0022168E" w:rsidP="0022168E">
            <w:pPr>
              <w:pStyle w:val="ListParagraph"/>
              <w:numPr>
                <w:ilvl w:val="0"/>
                <w:numId w:val="14"/>
              </w:numPr>
              <w:rPr>
                <w:rFonts w:ascii="Garamond" w:hAnsi="Garamond"/>
                <w:lang w:val="en-AU"/>
              </w:rPr>
            </w:pPr>
            <w:r w:rsidRPr="0022168E">
              <w:rPr>
                <w:rFonts w:ascii="Garamond" w:hAnsi="Garamond"/>
                <w:lang w:val="en-AU"/>
              </w:rPr>
              <w:t xml:space="preserve">Association between </w:t>
            </w:r>
            <w:r w:rsidRPr="0022168E">
              <w:rPr>
                <w:rFonts w:ascii="Garamond" w:hAnsi="Garamond"/>
                <w:b/>
                <w:lang w:val="en-AU"/>
              </w:rPr>
              <w:t>cultural factors and readmissions</w:t>
            </w:r>
            <w:r w:rsidRPr="0022168E">
              <w:rPr>
                <w:rFonts w:ascii="Garamond" w:hAnsi="Garamond"/>
                <w:lang w:val="en-AU"/>
              </w:rPr>
              <w:t>: the mediating effect of hospital discharge practices and care-transition preparedness (Nosaiba Rayan-Gharra, Ran D. Balicer, Boaz Tadmor, Efrat Shadmi</w:t>
            </w:r>
            <w:r>
              <w:rPr>
                <w:rFonts w:ascii="Garamond" w:hAnsi="Garamond"/>
                <w:lang w:val="en-AU"/>
              </w:rPr>
              <w:t>)</w:t>
            </w:r>
          </w:p>
          <w:p w:rsidR="00F97183" w:rsidRPr="00D84575" w:rsidRDefault="00B34FF6" w:rsidP="00B34FF6">
            <w:pPr>
              <w:pStyle w:val="ListParagraph"/>
              <w:numPr>
                <w:ilvl w:val="0"/>
                <w:numId w:val="14"/>
              </w:numPr>
              <w:rPr>
                <w:rFonts w:ascii="Garamond" w:hAnsi="Garamond"/>
                <w:lang w:val="en-AU"/>
              </w:rPr>
            </w:pPr>
            <w:r w:rsidRPr="00B34FF6">
              <w:rPr>
                <w:rFonts w:ascii="Garamond" w:hAnsi="Garamond"/>
                <w:b/>
                <w:lang w:val="en-AU"/>
              </w:rPr>
              <w:t>Quality of care in large Chinese hospitals</w:t>
            </w:r>
            <w:r w:rsidRPr="00B34FF6">
              <w:rPr>
                <w:rFonts w:ascii="Garamond" w:hAnsi="Garamond"/>
                <w:lang w:val="en-AU"/>
              </w:rPr>
              <w:t>: an observational study (Weiyan Jian, Jose Figueroa, Liana Woskie, Xi Yao, Yuqi Zhou, Zhengxiang Li, Changan Li, Li Yao, Winnie C Yip</w:t>
            </w:r>
            <w:r>
              <w:rPr>
                <w:rFonts w:ascii="Garamond" w:hAnsi="Garamond"/>
                <w:lang w:val="en-AU"/>
              </w:rPr>
              <w:t>)</w:t>
            </w:r>
          </w:p>
        </w:tc>
      </w:tr>
    </w:tbl>
    <w:p w:rsidR="00563806" w:rsidRDefault="00563806" w:rsidP="00D0516A">
      <w:pPr>
        <w:keepNext/>
        <w:rPr>
          <w:rFonts w:ascii="Garamond" w:hAnsi="Garamond"/>
          <w:i/>
          <w:lang w:val="en-AU"/>
        </w:rPr>
      </w:pPr>
    </w:p>
    <w:p w:rsidR="00B76BA1" w:rsidRPr="00B76BA1" w:rsidRDefault="00B76BA1"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400D52" w:rsidP="00B44299">
      <w:pPr>
        <w:keepNext/>
        <w:keepLines/>
        <w:rPr>
          <w:rFonts w:ascii="Garamond" w:hAnsi="Garamond"/>
          <w:u w:val="single"/>
          <w:lang w:val="en-AU"/>
        </w:rPr>
      </w:pPr>
      <w:hyperlink r:id="rId27"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76BA1" w:rsidRDefault="00E56CA1" w:rsidP="0022168E">
      <w:pPr>
        <w:pStyle w:val="ListParagraph"/>
        <w:keepNext/>
        <w:keepLines/>
        <w:numPr>
          <w:ilvl w:val="0"/>
          <w:numId w:val="14"/>
        </w:numPr>
        <w:rPr>
          <w:rFonts w:ascii="Garamond" w:hAnsi="Garamond"/>
          <w:lang w:val="en-AU"/>
        </w:rPr>
      </w:pPr>
      <w:r>
        <w:rPr>
          <w:rFonts w:ascii="Garamond" w:hAnsi="Garamond"/>
          <w:lang w:val="en-AU"/>
        </w:rPr>
        <w:t>NICE Guideline NG</w:t>
      </w:r>
      <w:r w:rsidR="0022168E">
        <w:rPr>
          <w:rFonts w:ascii="Garamond" w:hAnsi="Garamond"/>
          <w:lang w:val="en-AU"/>
        </w:rPr>
        <w:t xml:space="preserve">132 </w:t>
      </w:r>
      <w:r w:rsidR="0022168E" w:rsidRPr="0022168E">
        <w:rPr>
          <w:rFonts w:ascii="Garamond" w:hAnsi="Garamond"/>
          <w:b/>
          <w:i/>
          <w:lang w:val="en-AU"/>
        </w:rPr>
        <w:t>Hyperparathyroidism</w:t>
      </w:r>
      <w:r w:rsidR="0022168E" w:rsidRPr="0022168E">
        <w:rPr>
          <w:rFonts w:ascii="Garamond" w:hAnsi="Garamond"/>
          <w:i/>
          <w:lang w:val="en-AU"/>
        </w:rPr>
        <w:t xml:space="preserve"> (primary): diagnosis, assessment and initial management</w:t>
      </w:r>
      <w:r w:rsidR="0022168E">
        <w:rPr>
          <w:rFonts w:ascii="Garamond" w:hAnsi="Garamond"/>
          <w:lang w:val="en-AU"/>
        </w:rPr>
        <w:t xml:space="preserve"> </w:t>
      </w:r>
      <w:hyperlink r:id="rId28" w:history="1">
        <w:r w:rsidR="0022168E" w:rsidRPr="00953014">
          <w:rPr>
            <w:rStyle w:val="Hyperlink"/>
            <w:rFonts w:ascii="Garamond" w:hAnsi="Garamond"/>
            <w:lang w:val="en-AU"/>
          </w:rPr>
          <w:t>https://www.nice.org.uk/guidance/ng132</w:t>
        </w:r>
      </w:hyperlink>
    </w:p>
    <w:p w:rsidR="00F44FEC" w:rsidRDefault="00F44FEC" w:rsidP="000210FE">
      <w:pPr>
        <w:keepNext/>
        <w:keepLines/>
        <w:rPr>
          <w:rFonts w:ascii="Garamond" w:hAnsi="Garamond"/>
          <w:i/>
          <w:lang w:val="en-AU"/>
        </w:rPr>
      </w:pPr>
    </w:p>
    <w:p w:rsidR="00882FD6" w:rsidRDefault="00882FD6" w:rsidP="000210FE">
      <w:pPr>
        <w:keepNext/>
        <w:keepLines/>
        <w:rPr>
          <w:rFonts w:ascii="Garamond" w:hAnsi="Garamond"/>
          <w:i/>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31" w:rsidRDefault="00F27731">
      <w:r>
        <w:separator/>
      </w:r>
    </w:p>
  </w:endnote>
  <w:endnote w:type="continuationSeparator" w:id="0">
    <w:p w:rsidR="00F27731" w:rsidRDefault="00F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06196">
      <w:rPr>
        <w:rStyle w:val="PageNumber"/>
        <w:noProof/>
      </w:rPr>
      <w:t>4</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2422CA">
      <w:rPr>
        <w:rFonts w:ascii="Garamond" w:hAnsi="Garamond"/>
      </w:rPr>
      <w:t xml:space="preserve"> Issue 41</w:t>
    </w:r>
    <w:r w:rsidR="00B76BA1">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06196">
      <w:rPr>
        <w:rStyle w:val="PageNumber"/>
        <w:rFonts w:ascii="Garamond" w:hAnsi="Garamond"/>
        <w:noProof/>
      </w:rPr>
      <w:t>1</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76BA1">
      <w:rPr>
        <w:rFonts w:ascii="Garamond" w:hAnsi="Garamond"/>
      </w:rPr>
      <w:t xml:space="preserve"> Issue 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31" w:rsidRDefault="00F27731">
      <w:r>
        <w:separator/>
      </w:r>
    </w:p>
  </w:footnote>
  <w:footnote w:type="continuationSeparator" w:id="0">
    <w:p w:rsidR="00F27731" w:rsidRDefault="00F2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B073DD"/>
    <w:multiLevelType w:val="hybridMultilevel"/>
    <w:tmpl w:val="7CEE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D105D3"/>
    <w:multiLevelType w:val="hybridMultilevel"/>
    <w:tmpl w:val="5A666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7"/>
  </w:num>
  <w:num w:numId="15">
    <w:abstractNumId w:val="11"/>
  </w:num>
  <w:num w:numId="16">
    <w:abstractNumId w:val="10"/>
  </w:num>
  <w:num w:numId="17">
    <w:abstractNumId w:val="19"/>
  </w:num>
  <w:num w:numId="18">
    <w:abstractNumId w:val="15"/>
  </w:num>
  <w:num w:numId="19">
    <w:abstractNumId w:val="13"/>
  </w:num>
  <w:num w:numId="20">
    <w:abstractNumId w:val="12"/>
  </w:num>
  <w:num w:numId="21">
    <w:abstractNumId w:val="23"/>
  </w:num>
  <w:num w:numId="22">
    <w:abstractNumId w:val="20"/>
  </w:num>
  <w:num w:numId="23">
    <w:abstractNumId w:val="22"/>
  </w:num>
  <w:num w:numId="2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89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B19"/>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4F3"/>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68E"/>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2E"/>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784"/>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0D52"/>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8C9"/>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09B"/>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643"/>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3CD"/>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4E25"/>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A8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4FBC"/>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96"/>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4FF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DD9"/>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7EF"/>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996"/>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078"/>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3E2C"/>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07"/>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03"/>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9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974480611">
                  <w:marLeft w:val="0"/>
                  <w:marRight w:val="0"/>
                  <w:marTop w:val="0"/>
                  <w:marBottom w:val="0"/>
                  <w:divBdr>
                    <w:top w:val="none" w:sz="0" w:space="0" w:color="auto"/>
                    <w:left w:val="none" w:sz="0" w:space="0" w:color="auto"/>
                    <w:bottom w:val="none" w:sz="0" w:space="0" w:color="auto"/>
                    <w:right w:val="none" w:sz="0" w:space="0" w:color="auto"/>
                  </w:divBdr>
                </w:div>
                <w:div w:id="1639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378820010">
                  <w:marLeft w:val="0"/>
                  <w:marRight w:val="0"/>
                  <w:marTop w:val="0"/>
                  <w:marBottom w:val="0"/>
                  <w:divBdr>
                    <w:top w:val="none" w:sz="0" w:space="0" w:color="auto"/>
                    <w:left w:val="none" w:sz="0" w:space="0" w:color="auto"/>
                    <w:bottom w:val="none" w:sz="0" w:space="0" w:color="auto"/>
                    <w:right w:val="none" w:sz="0" w:space="0" w:color="auto"/>
                  </w:divBdr>
                </w:div>
                <w:div w:id="165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860729366">
                  <w:marLeft w:val="0"/>
                  <w:marRight w:val="0"/>
                  <w:marTop w:val="0"/>
                  <w:marBottom w:val="0"/>
                  <w:divBdr>
                    <w:top w:val="none" w:sz="0" w:space="0" w:color="auto"/>
                    <w:left w:val="none" w:sz="0" w:space="0" w:color="auto"/>
                    <w:bottom w:val="none" w:sz="0" w:space="0" w:color="auto"/>
                    <w:right w:val="none" w:sz="0" w:space="0" w:color="auto"/>
                  </w:divBdr>
                </w:div>
                <w:div w:id="1157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1596012815">
                  <w:marLeft w:val="0"/>
                  <w:marRight w:val="0"/>
                  <w:marTop w:val="0"/>
                  <w:marBottom w:val="0"/>
                  <w:divBdr>
                    <w:top w:val="none" w:sz="0" w:space="0" w:color="auto"/>
                    <w:left w:val="none" w:sz="0" w:space="0" w:color="auto"/>
                    <w:bottom w:val="none" w:sz="0" w:space="0" w:color="auto"/>
                    <w:right w:val="none" w:sz="0" w:space="0" w:color="auto"/>
                  </w:divBdr>
                </w:div>
                <w:div w:id="510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838540941">
                  <w:marLeft w:val="0"/>
                  <w:marRight w:val="0"/>
                  <w:marTop w:val="0"/>
                  <w:marBottom w:val="0"/>
                  <w:divBdr>
                    <w:top w:val="none" w:sz="0" w:space="0" w:color="auto"/>
                    <w:left w:val="none" w:sz="0" w:space="0" w:color="auto"/>
                    <w:bottom w:val="none" w:sz="0" w:space="0" w:color="auto"/>
                    <w:right w:val="none" w:sz="0" w:space="0" w:color="auto"/>
                  </w:divBdr>
                </w:div>
                <w:div w:id="315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weforum.org/reports/health-and-healthcare-in-the-fourth-industrial-revolution-global-future-council-on-the-future-of-health-and-healthcare-2016-2018" TargetMode="External"/><Relationship Id="rId26"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doi.org/10.1016/S0140-6736(19)30845-1"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academic.oup.com/intqhc/issue/31/4" TargetMode="External"/><Relationship Id="rId2" Type="http://schemas.openxmlformats.org/officeDocument/2006/relationships/numbering" Target="numbering.xml"/><Relationship Id="rId16" Type="http://schemas.openxmlformats.org/officeDocument/2006/relationships/hyperlink" Target="https://www.qualitypatientsafety.ca/en/home" TargetMode="External"/><Relationship Id="rId20" Type="http://schemas.openxmlformats.org/officeDocument/2006/relationships/hyperlink" Target="https://doi.org/10.5694/mja2.501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qualitysafety.bmj.com/content/28/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86/s12961-019-0444-z" TargetMode="External"/><Relationship Id="rId28" Type="http://schemas.openxmlformats.org/officeDocument/2006/relationships/hyperlink" Target="https://www.nice.org.uk/guidance/ng132"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2.deloitte.com/insights/us/en/industry/public-sector/future-of-regulation/regulating-emerging-technology.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71/AH18135" TargetMode="External"/><Relationship Id="rId27" Type="http://schemas.openxmlformats.org/officeDocument/2006/relationships/hyperlink" Target="https://www.nice.org.uk/guidan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16FA-7CDA-4A29-87DD-835E7170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2193</Words>
  <Characters>13621</Characters>
  <Application>Microsoft Office Word</Application>
  <DocSecurity>0</DocSecurity>
  <Lines>289</Lines>
  <Paragraphs>152</Paragraphs>
  <ScaleCrop>false</ScaleCrop>
  <HeadingPairs>
    <vt:vector size="2" baseType="variant">
      <vt:variant>
        <vt:lpstr>Title</vt:lpstr>
      </vt:variant>
      <vt:variant>
        <vt:i4>1</vt:i4>
      </vt:variant>
    </vt:vector>
  </HeadingPairs>
  <TitlesOfParts>
    <vt:vector size="1" baseType="lpstr">
      <vt:lpstr>On the Radar Issue 416</vt:lpstr>
    </vt:vector>
  </TitlesOfParts>
  <Company>DHA</Company>
  <LinksUpToDate>false</LinksUpToDate>
  <CharactersWithSpaces>15662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416</dc:title>
  <dc:creator>johnni;Dr Niall Johnson</dc:creator>
  <cp:lastModifiedBy>Niall Johnson</cp:lastModifiedBy>
  <cp:revision>14</cp:revision>
  <cp:lastPrinted>2018-03-02T02:34:00Z</cp:lastPrinted>
  <dcterms:created xsi:type="dcterms:W3CDTF">2019-05-19T20:55:00Z</dcterms:created>
  <dcterms:modified xsi:type="dcterms:W3CDTF">2019-05-24T02:55:00Z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