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0170DA" w:rsidRDefault="00824B99" w:rsidP="00AF058F">
      <w:pPr>
        <w:pStyle w:val="Heading1"/>
        <w:ind w:left="2880" w:hanging="288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983217">
        <w:rPr>
          <w:rFonts w:ascii="Garamond" w:hAnsi="Garamond"/>
          <w:lang w:val="en-AU"/>
        </w:rPr>
        <w:t>2</w:t>
      </w:r>
      <w:r w:rsidR="00212169">
        <w:rPr>
          <w:rFonts w:ascii="Garamond" w:hAnsi="Garamond"/>
          <w:lang w:val="en-AU"/>
        </w:rPr>
        <w:t>5</w:t>
      </w:r>
    </w:p>
    <w:p w:rsidR="00755242" w:rsidRDefault="00212169" w:rsidP="00F738B5">
      <w:pPr>
        <w:rPr>
          <w:rFonts w:ascii="Garamond" w:hAnsi="Garamond"/>
          <w:lang w:val="en-AU"/>
        </w:rPr>
      </w:pPr>
      <w:r>
        <w:rPr>
          <w:rFonts w:ascii="Garamond" w:hAnsi="Garamond"/>
          <w:lang w:val="en-AU"/>
        </w:rPr>
        <w:t>15</w:t>
      </w:r>
      <w:r w:rsidR="00227602">
        <w:rPr>
          <w:rFonts w:ascii="Garamond" w:hAnsi="Garamond"/>
          <w:lang w:val="en-AU"/>
        </w:rPr>
        <w:t xml:space="preserve"> Ju</w:t>
      </w:r>
      <w:r w:rsidR="00B44BE8">
        <w:rPr>
          <w:rFonts w:ascii="Garamond" w:hAnsi="Garamond"/>
          <w:lang w:val="en-AU"/>
        </w:rPr>
        <w:t>ly</w:t>
      </w:r>
      <w:r w:rsidR="00227602">
        <w:rPr>
          <w:rFonts w:ascii="Garamond" w:hAnsi="Garamond"/>
          <w:lang w:val="en-AU"/>
        </w:rPr>
        <w:t xml:space="preserve">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FE333B">
        <w:rPr>
          <w:rFonts w:ascii="Garamond" w:hAnsi="Garamond"/>
          <w:bCs/>
          <w:lang w:val="en-AU"/>
        </w:rPr>
        <w:t>, Gillian Giles</w:t>
      </w:r>
    </w:p>
    <w:p w:rsidR="0055445F" w:rsidRDefault="0055445F">
      <w:pPr>
        <w:rPr>
          <w:rFonts w:ascii="Garamond" w:hAnsi="Garamond"/>
          <w:b/>
          <w:lang w:val="en-AU"/>
        </w:rPr>
      </w:pPr>
    </w:p>
    <w:p w:rsidR="002F2666" w:rsidRDefault="002F2666">
      <w:pPr>
        <w:rPr>
          <w:rFonts w:ascii="Garamond" w:hAnsi="Garamond"/>
          <w:b/>
          <w:lang w:val="en-AU"/>
        </w:rPr>
      </w:pPr>
    </w:p>
    <w:p w:rsidR="00282D29" w:rsidRDefault="00282D29" w:rsidP="00971BDE">
      <w:pPr>
        <w:keepNext/>
        <w:keepLines/>
        <w:autoSpaceDE w:val="0"/>
        <w:autoSpaceDN w:val="0"/>
        <w:adjustRightInd w:val="0"/>
        <w:rPr>
          <w:rFonts w:ascii="Garamond" w:hAnsi="Garamond"/>
          <w:b/>
          <w:lang w:val="en-AU"/>
        </w:rPr>
      </w:pPr>
      <w:r>
        <w:rPr>
          <w:rFonts w:ascii="Garamond" w:hAnsi="Garamond"/>
          <w:b/>
          <w:lang w:val="en-AU"/>
        </w:rPr>
        <w:t>Reports</w:t>
      </w:r>
    </w:p>
    <w:p w:rsidR="00C3692E" w:rsidRDefault="00C3692E" w:rsidP="00971BDE">
      <w:pPr>
        <w:keepNext/>
        <w:keepLines/>
        <w:autoSpaceDE w:val="0"/>
        <w:autoSpaceDN w:val="0"/>
        <w:adjustRightInd w:val="0"/>
        <w:rPr>
          <w:rFonts w:ascii="Garamond" w:hAnsi="Garamond"/>
          <w:lang w:val="en-AU"/>
        </w:rPr>
      </w:pPr>
    </w:p>
    <w:p w:rsidR="00200752" w:rsidRPr="00C7712D" w:rsidRDefault="00200752" w:rsidP="00200752">
      <w:pPr>
        <w:keepNext/>
        <w:keepLines/>
        <w:autoSpaceDE w:val="0"/>
        <w:autoSpaceDN w:val="0"/>
        <w:adjustRightInd w:val="0"/>
        <w:rPr>
          <w:rFonts w:ascii="Garamond" w:hAnsi="Garamond"/>
          <w:i/>
          <w:lang w:val="en-AU"/>
        </w:rPr>
      </w:pPr>
      <w:r w:rsidRPr="00C7712D">
        <w:rPr>
          <w:rFonts w:ascii="Garamond" w:hAnsi="Garamond"/>
          <w:i/>
          <w:lang w:val="en-AU"/>
        </w:rPr>
        <w:t>What a difference a place makes: the growing impact of health and wellbeing boards</w:t>
      </w:r>
    </w:p>
    <w:p w:rsidR="00200752" w:rsidRDefault="00200752" w:rsidP="00200752">
      <w:pPr>
        <w:keepNext/>
        <w:keepLines/>
        <w:autoSpaceDE w:val="0"/>
        <w:autoSpaceDN w:val="0"/>
        <w:adjustRightInd w:val="0"/>
        <w:rPr>
          <w:rFonts w:ascii="Garamond" w:hAnsi="Garamond"/>
          <w:lang w:val="en-AU"/>
        </w:rPr>
      </w:pPr>
      <w:r w:rsidRPr="002A309E">
        <w:rPr>
          <w:rFonts w:ascii="Garamond" w:hAnsi="Garamond"/>
          <w:lang w:val="en-AU"/>
        </w:rPr>
        <w:t>Local Government Association</w:t>
      </w:r>
    </w:p>
    <w:p w:rsidR="00200752" w:rsidRPr="00C7712D" w:rsidRDefault="00200752" w:rsidP="00200752">
      <w:pPr>
        <w:keepNext/>
        <w:keepLines/>
        <w:autoSpaceDE w:val="0"/>
        <w:autoSpaceDN w:val="0"/>
        <w:adjustRightInd w:val="0"/>
        <w:rPr>
          <w:rFonts w:ascii="Garamond" w:hAnsi="Garamond"/>
          <w:lang w:val="en-AU"/>
        </w:rPr>
      </w:pPr>
      <w:r w:rsidRPr="002A309E">
        <w:rPr>
          <w:rFonts w:ascii="Garamond" w:hAnsi="Garamond"/>
          <w:lang w:val="en-AU"/>
        </w:rPr>
        <w:t>London: Local Government Association; 2019. p. 40.</w:t>
      </w:r>
    </w:p>
    <w:tbl>
      <w:tblPr>
        <w:tblStyle w:val="TableGrid"/>
        <w:tblW w:w="0" w:type="auto"/>
        <w:tblInd w:w="288" w:type="dxa"/>
        <w:tblLayout w:type="fixed"/>
        <w:tblLook w:val="01E0" w:firstRow="1" w:lastRow="1" w:firstColumn="1" w:lastColumn="1" w:noHBand="0" w:noVBand="0"/>
      </w:tblPr>
      <w:tblGrid>
        <w:gridCol w:w="1080"/>
        <w:gridCol w:w="8280"/>
      </w:tblGrid>
      <w:tr w:rsidR="00200752" w:rsidRPr="00C7712D" w:rsidTr="00F97E96">
        <w:tc>
          <w:tcPr>
            <w:tcW w:w="1080" w:type="dxa"/>
            <w:tcBorders>
              <w:top w:val="single" w:sz="4" w:space="0" w:color="auto"/>
              <w:left w:val="single" w:sz="4" w:space="0" w:color="auto"/>
              <w:bottom w:val="single" w:sz="4" w:space="0" w:color="auto"/>
              <w:right w:val="single" w:sz="4" w:space="0" w:color="auto"/>
            </w:tcBorders>
            <w:vAlign w:val="center"/>
          </w:tcPr>
          <w:p w:rsidR="00200752" w:rsidRPr="00C7712D" w:rsidRDefault="00200752" w:rsidP="00F97E96">
            <w:pPr>
              <w:rPr>
                <w:rStyle w:val="Hyperlink"/>
                <w:rFonts w:ascii="Garamond" w:hAnsi="Garamond"/>
                <w:lang w:val="en-AU"/>
              </w:rPr>
            </w:pPr>
            <w:r w:rsidRPr="00C7712D">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00752" w:rsidRPr="00A229CF" w:rsidRDefault="00BF271B" w:rsidP="00F97E96">
            <w:pPr>
              <w:rPr>
                <w:rStyle w:val="Hyperlink"/>
                <w:rFonts w:ascii="Garamond" w:hAnsi="Garamond"/>
                <w:color w:val="auto"/>
                <w:u w:val="none"/>
                <w:lang w:val="en-AU"/>
              </w:rPr>
            </w:pPr>
            <w:hyperlink r:id="rId15" w:history="1">
              <w:r w:rsidR="00200752" w:rsidRPr="00EE5787">
                <w:rPr>
                  <w:rStyle w:val="Hyperlink"/>
                  <w:rFonts w:ascii="Garamond" w:hAnsi="Garamond"/>
                  <w:lang w:val="en-AU"/>
                </w:rPr>
                <w:t>https://www.local.gov.uk/what-difference-place-makes-growing-impact-health-and-wellbeing-boards</w:t>
              </w:r>
            </w:hyperlink>
          </w:p>
        </w:tc>
      </w:tr>
      <w:tr w:rsidR="00200752" w:rsidRPr="00C7712D" w:rsidTr="00F97E96">
        <w:tc>
          <w:tcPr>
            <w:tcW w:w="1080" w:type="dxa"/>
            <w:tcBorders>
              <w:top w:val="single" w:sz="4" w:space="0" w:color="auto"/>
              <w:left w:val="single" w:sz="4" w:space="0" w:color="auto"/>
              <w:bottom w:val="single" w:sz="4" w:space="0" w:color="auto"/>
              <w:right w:val="single" w:sz="4" w:space="0" w:color="auto"/>
            </w:tcBorders>
            <w:vAlign w:val="center"/>
          </w:tcPr>
          <w:p w:rsidR="00200752" w:rsidRPr="00C7712D" w:rsidRDefault="00200752" w:rsidP="00F97E96">
            <w:pPr>
              <w:rPr>
                <w:rFonts w:ascii="Garamond" w:hAnsi="Garamond"/>
                <w:lang w:val="en-AU" w:eastAsia="en-AU"/>
              </w:rPr>
            </w:pPr>
            <w:r w:rsidRPr="00C7712D">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00752" w:rsidRPr="00A229CF" w:rsidRDefault="00200752" w:rsidP="00F97E96">
            <w:pPr>
              <w:rPr>
                <w:rFonts w:ascii="Garamond" w:hAnsi="Garamond"/>
                <w:lang w:val="en-AU"/>
              </w:rPr>
            </w:pPr>
            <w:r w:rsidRPr="00A229CF">
              <w:rPr>
                <w:rFonts w:ascii="Garamond" w:hAnsi="Garamond"/>
                <w:lang w:val="en-AU"/>
              </w:rPr>
              <w:t xml:space="preserve">This report </w:t>
            </w:r>
            <w:r>
              <w:rPr>
                <w:rFonts w:ascii="Garamond" w:hAnsi="Garamond"/>
                <w:lang w:val="en-AU"/>
              </w:rPr>
              <w:t xml:space="preserve">from the UK’s Local Government Association </w:t>
            </w:r>
            <w:r w:rsidRPr="00A229CF">
              <w:rPr>
                <w:rFonts w:ascii="Garamond" w:hAnsi="Garamond"/>
                <w:lang w:val="en-AU"/>
              </w:rPr>
              <w:t>highlights how health and wellbeing boards (HWBs) are making a difference through a wide range of initiatives, including reducing hospital admissions and time spent in hospital, reducing demand for GP appointments, helping thousands of smokers to quit, imposing restrictions on fast food outlets near schools, and reducing unemployment, poverty and poor housing.</w:t>
            </w:r>
            <w:r>
              <w:rPr>
                <w:rFonts w:ascii="Garamond" w:hAnsi="Garamond"/>
                <w:lang w:val="en-AU"/>
              </w:rPr>
              <w:t xml:space="preserve"> These boards are in some way a reflection of the </w:t>
            </w:r>
            <w:r w:rsidRPr="00A229CF">
              <w:rPr>
                <w:rFonts w:ascii="Garamond" w:hAnsi="Garamond"/>
                <w:lang w:val="en-AU"/>
              </w:rPr>
              <w:t xml:space="preserve">role local government in </w:t>
            </w:r>
            <w:r>
              <w:rPr>
                <w:rFonts w:ascii="Garamond" w:hAnsi="Garamond"/>
                <w:lang w:val="en-AU"/>
              </w:rPr>
              <w:t xml:space="preserve">the UK plays in </w:t>
            </w:r>
            <w:r w:rsidRPr="00A229CF">
              <w:rPr>
                <w:rFonts w:ascii="Garamond" w:hAnsi="Garamond"/>
                <w:lang w:val="en-AU"/>
              </w:rPr>
              <w:t>(public) health</w:t>
            </w:r>
            <w:r>
              <w:rPr>
                <w:rFonts w:ascii="Garamond" w:hAnsi="Garamond"/>
                <w:lang w:val="en-AU"/>
              </w:rPr>
              <w:t>.</w:t>
            </w:r>
          </w:p>
        </w:tc>
      </w:tr>
    </w:tbl>
    <w:p w:rsidR="00200752" w:rsidRDefault="00200752" w:rsidP="00200752">
      <w:pPr>
        <w:keepLines/>
        <w:autoSpaceDE w:val="0"/>
        <w:autoSpaceDN w:val="0"/>
        <w:adjustRightInd w:val="0"/>
        <w:rPr>
          <w:rFonts w:ascii="Garamond" w:hAnsi="Garamond"/>
          <w:i/>
          <w:lang w:val="en-AU"/>
        </w:rPr>
      </w:pPr>
    </w:p>
    <w:p w:rsidR="00CD59F2" w:rsidRDefault="00CD59F2" w:rsidP="00CD59F2">
      <w:pPr>
        <w:keepNext/>
        <w:keepLines/>
        <w:autoSpaceDE w:val="0"/>
        <w:autoSpaceDN w:val="0"/>
        <w:adjustRightInd w:val="0"/>
        <w:rPr>
          <w:rFonts w:ascii="Garamond" w:hAnsi="Garamond"/>
          <w:i/>
          <w:lang w:val="en-AU"/>
        </w:rPr>
      </w:pPr>
      <w:r w:rsidRPr="00CD59F2">
        <w:rPr>
          <w:rFonts w:ascii="Garamond" w:hAnsi="Garamond"/>
          <w:i/>
          <w:lang w:val="en-AU"/>
        </w:rPr>
        <w:lastRenderedPageBreak/>
        <w:t>The role of the GP in caring for gender-questioning and transgender patients</w:t>
      </w:r>
    </w:p>
    <w:p w:rsidR="00CD59F2" w:rsidRDefault="00CD59F2" w:rsidP="00CD59F2">
      <w:pPr>
        <w:keepNext/>
        <w:keepLines/>
        <w:autoSpaceDE w:val="0"/>
        <w:autoSpaceDN w:val="0"/>
        <w:adjustRightInd w:val="0"/>
        <w:rPr>
          <w:rFonts w:ascii="Garamond" w:hAnsi="Garamond"/>
          <w:i/>
          <w:lang w:val="en-AU"/>
        </w:rPr>
      </w:pPr>
      <w:r w:rsidRPr="00CD59F2">
        <w:rPr>
          <w:rFonts w:ascii="Garamond" w:hAnsi="Garamond"/>
          <w:i/>
          <w:lang w:val="en-AU"/>
        </w:rPr>
        <w:t>RCGP Position Statement</w:t>
      </w:r>
    </w:p>
    <w:p w:rsidR="00CD59F2" w:rsidRDefault="00CD59F2" w:rsidP="00CD59F2">
      <w:pPr>
        <w:keepNext/>
        <w:keepLines/>
        <w:autoSpaceDE w:val="0"/>
        <w:autoSpaceDN w:val="0"/>
        <w:adjustRightInd w:val="0"/>
        <w:rPr>
          <w:rFonts w:ascii="Garamond" w:hAnsi="Garamond"/>
          <w:lang w:val="en-AU"/>
        </w:rPr>
      </w:pPr>
      <w:r w:rsidRPr="00CD59F2">
        <w:rPr>
          <w:rFonts w:ascii="Garamond" w:hAnsi="Garamond"/>
          <w:lang w:val="en-AU"/>
        </w:rPr>
        <w:t>Royal College of General Practitioners</w:t>
      </w:r>
    </w:p>
    <w:p w:rsidR="00CD59F2" w:rsidRPr="00CD59F2" w:rsidRDefault="00CD59F2" w:rsidP="00CD59F2">
      <w:pPr>
        <w:keepNext/>
        <w:keepLines/>
        <w:autoSpaceDE w:val="0"/>
        <w:autoSpaceDN w:val="0"/>
        <w:adjustRightInd w:val="0"/>
        <w:rPr>
          <w:rFonts w:ascii="Garamond" w:hAnsi="Garamond"/>
          <w:lang w:val="en-AU"/>
        </w:rPr>
      </w:pPr>
      <w:r w:rsidRPr="00CD59F2">
        <w:rPr>
          <w:rFonts w:ascii="Garamond" w:hAnsi="Garamond"/>
          <w:lang w:val="en-AU"/>
        </w:rPr>
        <w:t>London: Royal College of General Practitioners; 2019. p. 12.</w:t>
      </w:r>
    </w:p>
    <w:tbl>
      <w:tblPr>
        <w:tblStyle w:val="TableGrid"/>
        <w:tblW w:w="0" w:type="auto"/>
        <w:tblInd w:w="288" w:type="dxa"/>
        <w:tblLayout w:type="fixed"/>
        <w:tblLook w:val="01E0" w:firstRow="1" w:lastRow="1" w:firstColumn="1" w:lastColumn="1" w:noHBand="0" w:noVBand="0"/>
      </w:tblPr>
      <w:tblGrid>
        <w:gridCol w:w="1080"/>
        <w:gridCol w:w="8280"/>
      </w:tblGrid>
      <w:tr w:rsidR="00CD59F2" w:rsidRPr="000170DA" w:rsidTr="00F97E96">
        <w:tc>
          <w:tcPr>
            <w:tcW w:w="1080" w:type="dxa"/>
            <w:tcBorders>
              <w:top w:val="single" w:sz="4" w:space="0" w:color="auto"/>
              <w:left w:val="single" w:sz="4" w:space="0" w:color="auto"/>
              <w:bottom w:val="single" w:sz="4" w:space="0" w:color="auto"/>
              <w:right w:val="single" w:sz="4" w:space="0" w:color="auto"/>
            </w:tcBorders>
            <w:vAlign w:val="center"/>
          </w:tcPr>
          <w:p w:rsidR="00CD59F2" w:rsidRPr="000170DA" w:rsidRDefault="00CD59F2" w:rsidP="00F97E9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D59F2" w:rsidRPr="007C5E85" w:rsidRDefault="00BF271B" w:rsidP="00F97E96">
            <w:pPr>
              <w:rPr>
                <w:rStyle w:val="Hyperlink"/>
                <w:rFonts w:ascii="Garamond" w:hAnsi="Garamond"/>
                <w:color w:val="auto"/>
                <w:u w:val="none"/>
                <w:lang w:val="en-AU"/>
              </w:rPr>
            </w:pPr>
            <w:hyperlink r:id="rId16" w:history="1">
              <w:r w:rsidR="00CD59F2" w:rsidRPr="00EE5787">
                <w:rPr>
                  <w:rStyle w:val="Hyperlink"/>
                  <w:rFonts w:ascii="Garamond" w:hAnsi="Garamond"/>
                  <w:lang w:val="en-AU"/>
                </w:rPr>
                <w:t>https://www.rcgp.org.uk/policy/rcgp-policy-areas/transgender-care.aspx</w:t>
              </w:r>
            </w:hyperlink>
          </w:p>
        </w:tc>
      </w:tr>
      <w:tr w:rsidR="00CD59F2" w:rsidRPr="000170DA" w:rsidTr="00F97E96">
        <w:tc>
          <w:tcPr>
            <w:tcW w:w="1080" w:type="dxa"/>
            <w:tcBorders>
              <w:top w:val="single" w:sz="4" w:space="0" w:color="auto"/>
              <w:left w:val="single" w:sz="4" w:space="0" w:color="auto"/>
              <w:bottom w:val="single" w:sz="4" w:space="0" w:color="auto"/>
              <w:right w:val="single" w:sz="4" w:space="0" w:color="auto"/>
            </w:tcBorders>
            <w:vAlign w:val="center"/>
          </w:tcPr>
          <w:p w:rsidR="00CD59F2" w:rsidRPr="000170DA" w:rsidRDefault="00CD59F2" w:rsidP="00F97E9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A309E" w:rsidRPr="002A309E" w:rsidRDefault="00CD59F2" w:rsidP="002A309E">
            <w:pPr>
              <w:rPr>
                <w:rFonts w:ascii="Garamond" w:hAnsi="Garamond"/>
                <w:bCs/>
                <w:lang w:val="en-AU"/>
              </w:rPr>
            </w:pPr>
            <w:r w:rsidRPr="002A309E">
              <w:rPr>
                <w:rFonts w:ascii="Garamond" w:hAnsi="Garamond"/>
                <w:bCs/>
                <w:lang w:val="en-AU"/>
              </w:rPr>
              <w:t xml:space="preserve">The UK’s Royal College of General Practitioners has released this position statement on the provision of care for people who are questioning their gender and </w:t>
            </w:r>
            <w:r w:rsidR="002A309E" w:rsidRPr="002A309E">
              <w:rPr>
                <w:rFonts w:ascii="Garamond" w:hAnsi="Garamond"/>
                <w:bCs/>
                <w:lang w:val="en-AU"/>
              </w:rPr>
              <w:t xml:space="preserve">those who are transgender. The College believes that education and training for healthcare professionals, IT systems, and access to gender identity services must all be addressed in order to improve the care trans patients receive. </w:t>
            </w:r>
          </w:p>
          <w:p w:rsidR="00CD59F2" w:rsidRPr="00CD59F2" w:rsidRDefault="00CD59F2" w:rsidP="002A309E">
            <w:pPr>
              <w:rPr>
                <w:rFonts w:ascii="Garamond" w:hAnsi="Garamond"/>
                <w:bCs/>
                <w:lang w:val="en-AU"/>
              </w:rPr>
            </w:pPr>
            <w:r w:rsidRPr="00CD59F2">
              <w:rPr>
                <w:rFonts w:ascii="Garamond" w:hAnsi="Garamond"/>
                <w:bCs/>
                <w:lang w:val="en-AU"/>
              </w:rPr>
              <w:t>GPs are most often the first point of contact with the health care system for individuals questioning their gender. In some cases, GPs can be the first people they confide in about their gender identity or uncertainties about their gender identity. General practice plays a vital role in ensuring these patients receive the care they need. GPs are expected to approach the holistic care of gender-questioning and transgender patients as they do with every patient – openly, respectfully, sensitively and without bias.</w:t>
            </w:r>
          </w:p>
          <w:p w:rsidR="00CD59F2" w:rsidRPr="00CD59F2" w:rsidRDefault="00CD59F2" w:rsidP="002A309E">
            <w:pPr>
              <w:rPr>
                <w:rFonts w:ascii="Garamond" w:hAnsi="Garamond"/>
                <w:bCs/>
                <w:lang w:val="en-AU"/>
              </w:rPr>
            </w:pPr>
            <w:r w:rsidRPr="00CD59F2">
              <w:rPr>
                <w:rFonts w:ascii="Garamond" w:hAnsi="Garamond"/>
                <w:bCs/>
                <w:lang w:val="en-AU"/>
              </w:rPr>
              <w:t>The Royal College of GPs recognises that GPs are not experienced in treating and managing patients with gender dysphoria and trans health issues. Gender dysphoria and gender identity issues are not part of the GP curriculum or GP Specialty Training, and GPs are currently required to refer patients experiencing gender dysphoria to gender identity specialists for further assessment and treatment advice. GPs face difficulties in accessing gender identity specialists in a timely way which often has severe implications for the mental and physical health of their patients. As such, GPs are under increasing pressure to provide services which are usually provided in specialist clinics, as they lie outside the remit of a GPs generalist expertise, with limited access to specialist support.</w:t>
            </w:r>
          </w:p>
          <w:p w:rsidR="00CD59F2" w:rsidRPr="00CD59F2" w:rsidRDefault="00822EED" w:rsidP="002A309E">
            <w:pPr>
              <w:rPr>
                <w:rFonts w:ascii="Garamond" w:hAnsi="Garamond"/>
                <w:bCs/>
                <w:lang w:val="en-AU"/>
              </w:rPr>
            </w:pPr>
            <w:r>
              <w:rPr>
                <w:rFonts w:ascii="Garamond" w:hAnsi="Garamond"/>
                <w:bCs/>
                <w:lang w:val="en-AU"/>
              </w:rPr>
              <w:t>T</w:t>
            </w:r>
            <w:r w:rsidR="00CD59F2" w:rsidRPr="00CD59F2">
              <w:rPr>
                <w:rFonts w:ascii="Garamond" w:hAnsi="Garamond"/>
                <w:bCs/>
                <w:lang w:val="en-AU"/>
              </w:rPr>
              <w:t>here is an urgent need to increase the capacity of gender identity specialists and clinics and expand the understanding of gender variance issues across the entire health system, including more definitive knowledge about the causes of rapidly increasing referrals and the outcomes of interventions or 'wait and see' policies. The gaps in education, guidance and training for GPs around treating gender dysphoria for both adults and children, and managing broader trans health issues, also needs to be urgently addressed.</w:t>
            </w:r>
          </w:p>
        </w:tc>
      </w:tr>
    </w:tbl>
    <w:p w:rsidR="00CD59F2" w:rsidRDefault="00CD59F2" w:rsidP="00CD59F2">
      <w:pPr>
        <w:keepNext/>
        <w:keepLines/>
        <w:autoSpaceDE w:val="0"/>
        <w:autoSpaceDN w:val="0"/>
        <w:adjustRightInd w:val="0"/>
        <w:rPr>
          <w:rFonts w:ascii="Garamond" w:hAnsi="Garamond"/>
          <w:lang w:val="en-AU"/>
        </w:rPr>
      </w:pPr>
    </w:p>
    <w:p w:rsidR="00E25143" w:rsidRPr="00D07362" w:rsidRDefault="00D07362" w:rsidP="00D07362">
      <w:pPr>
        <w:keepLines/>
        <w:autoSpaceDE w:val="0"/>
        <w:autoSpaceDN w:val="0"/>
        <w:adjustRightInd w:val="0"/>
        <w:rPr>
          <w:rFonts w:ascii="Garamond" w:hAnsi="Garamond"/>
          <w:i/>
          <w:lang w:val="en-AU"/>
        </w:rPr>
      </w:pPr>
      <w:r w:rsidRPr="00D07362">
        <w:rPr>
          <w:rFonts w:ascii="Garamond" w:hAnsi="Garamond"/>
          <w:i/>
          <w:lang w:val="en-AU"/>
        </w:rPr>
        <w:t>Promoting an overdue digital transformation in healthcare</w:t>
      </w:r>
    </w:p>
    <w:p w:rsidR="00D07362" w:rsidRDefault="00D07362" w:rsidP="00D07362">
      <w:pPr>
        <w:keepLines/>
        <w:autoSpaceDE w:val="0"/>
        <w:autoSpaceDN w:val="0"/>
        <w:adjustRightInd w:val="0"/>
        <w:rPr>
          <w:rFonts w:ascii="Garamond" w:hAnsi="Garamond"/>
          <w:lang w:val="en-AU"/>
        </w:rPr>
      </w:pPr>
      <w:r w:rsidRPr="00D07362">
        <w:rPr>
          <w:rFonts w:ascii="Garamond" w:hAnsi="Garamond"/>
          <w:lang w:val="en-AU"/>
        </w:rPr>
        <w:t>Jones GL, Peter Z, Rutter K-AR, Somauroo A</w:t>
      </w:r>
    </w:p>
    <w:p w:rsidR="00D07362" w:rsidRDefault="00D07362" w:rsidP="00D07362">
      <w:pPr>
        <w:keepLines/>
        <w:autoSpaceDE w:val="0"/>
        <w:autoSpaceDN w:val="0"/>
        <w:adjustRightInd w:val="0"/>
        <w:rPr>
          <w:rFonts w:ascii="Garamond" w:hAnsi="Garamond"/>
          <w:lang w:val="en-AU"/>
        </w:rPr>
      </w:pPr>
      <w:r w:rsidRPr="00D07362">
        <w:rPr>
          <w:rFonts w:ascii="Garamond" w:hAnsi="Garamond"/>
          <w:lang w:val="en-AU"/>
        </w:rPr>
        <w:t>McKinsey &amp; Company; 2019.</w:t>
      </w:r>
    </w:p>
    <w:tbl>
      <w:tblPr>
        <w:tblStyle w:val="TableGrid"/>
        <w:tblW w:w="0" w:type="auto"/>
        <w:tblInd w:w="288" w:type="dxa"/>
        <w:tblLayout w:type="fixed"/>
        <w:tblLook w:val="01E0" w:firstRow="1" w:lastRow="1" w:firstColumn="1" w:lastColumn="1" w:noHBand="0" w:noVBand="0"/>
      </w:tblPr>
      <w:tblGrid>
        <w:gridCol w:w="1080"/>
        <w:gridCol w:w="8280"/>
      </w:tblGrid>
      <w:tr w:rsidR="00E25143" w:rsidRPr="000170DA" w:rsidTr="00F97E96">
        <w:tc>
          <w:tcPr>
            <w:tcW w:w="1080" w:type="dxa"/>
            <w:tcBorders>
              <w:top w:val="single" w:sz="4" w:space="0" w:color="auto"/>
              <w:left w:val="single" w:sz="4" w:space="0" w:color="auto"/>
              <w:bottom w:val="single" w:sz="4" w:space="0" w:color="auto"/>
              <w:right w:val="single" w:sz="4" w:space="0" w:color="auto"/>
            </w:tcBorders>
            <w:vAlign w:val="center"/>
          </w:tcPr>
          <w:p w:rsidR="00E25143" w:rsidRPr="000170DA" w:rsidRDefault="00E25143" w:rsidP="00F97E9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25143" w:rsidRPr="007C5E85" w:rsidRDefault="00BF271B" w:rsidP="00F97E96">
            <w:pPr>
              <w:rPr>
                <w:rStyle w:val="Hyperlink"/>
                <w:rFonts w:ascii="Garamond" w:hAnsi="Garamond"/>
                <w:color w:val="auto"/>
                <w:u w:val="none"/>
                <w:lang w:val="en-AU"/>
              </w:rPr>
            </w:pPr>
            <w:hyperlink r:id="rId17" w:history="1">
              <w:r w:rsidR="00D07362" w:rsidRPr="00EE5787">
                <w:rPr>
                  <w:rStyle w:val="Hyperlink"/>
                  <w:rFonts w:ascii="Garamond" w:hAnsi="Garamond"/>
                  <w:lang w:val="en-AU"/>
                </w:rPr>
                <w:t>https://www.mckinsey.com/~/media/McKinsey/Industries/Healthcare%20Systems%20and%20Services/Our%20Insights/Promoting%20an%20overdue%20digital%20transformation%20in%20healthcare/Promoting-an-overdue-digital-transformation-in-healthcare.ashx</w:t>
              </w:r>
            </w:hyperlink>
          </w:p>
        </w:tc>
      </w:tr>
      <w:tr w:rsidR="00E25143" w:rsidRPr="000170DA" w:rsidTr="00F97E96">
        <w:tc>
          <w:tcPr>
            <w:tcW w:w="1080" w:type="dxa"/>
            <w:tcBorders>
              <w:top w:val="single" w:sz="4" w:space="0" w:color="auto"/>
              <w:left w:val="single" w:sz="4" w:space="0" w:color="auto"/>
              <w:bottom w:val="single" w:sz="4" w:space="0" w:color="auto"/>
              <w:right w:val="single" w:sz="4" w:space="0" w:color="auto"/>
            </w:tcBorders>
            <w:vAlign w:val="center"/>
          </w:tcPr>
          <w:p w:rsidR="00E25143" w:rsidRPr="000170DA" w:rsidRDefault="00E25143" w:rsidP="00F97E9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25143" w:rsidRPr="00236865" w:rsidRDefault="00D07362" w:rsidP="00236865">
            <w:pPr>
              <w:pStyle w:val="Caption"/>
              <w:rPr>
                <w:rFonts w:ascii="Garamond" w:hAnsi="Garamond"/>
                <w:b w:val="0"/>
                <w:sz w:val="24"/>
                <w:szCs w:val="24"/>
                <w:lang w:val="en-AU"/>
              </w:rPr>
            </w:pPr>
            <w:r w:rsidRPr="00236865">
              <w:rPr>
                <w:rFonts w:ascii="Garamond" w:hAnsi="Garamond"/>
                <w:b w:val="0"/>
                <w:sz w:val="24"/>
                <w:szCs w:val="24"/>
                <w:lang w:val="en-AU"/>
              </w:rPr>
              <w:t xml:space="preserve">This briefing paper from McKinsey and Company may (to some) seem to be stating the obvious, but it is a succinct summary of current state of technology in healthcare across 30 countries. The authors note that many of ‘the </w:t>
            </w:r>
            <w:r w:rsidRPr="00236865">
              <w:rPr>
                <w:rFonts w:ascii="Garamond" w:hAnsi="Garamond"/>
                <w:sz w:val="24"/>
                <w:szCs w:val="24"/>
                <w:lang w:val="en-AU"/>
              </w:rPr>
              <w:t>barriers to a digital transformation</w:t>
            </w:r>
            <w:r w:rsidRPr="00236865">
              <w:rPr>
                <w:rFonts w:ascii="Garamond" w:hAnsi="Garamond"/>
                <w:b w:val="0"/>
                <w:sz w:val="24"/>
                <w:szCs w:val="24"/>
                <w:lang w:val="en-AU"/>
              </w:rPr>
              <w:t xml:space="preserve"> in healthcare are often decidedly </w:t>
            </w:r>
            <w:r w:rsidRPr="00236865">
              <w:rPr>
                <w:rFonts w:ascii="Garamond" w:hAnsi="Garamond"/>
                <w:sz w:val="24"/>
                <w:szCs w:val="24"/>
                <w:lang w:val="en-AU"/>
              </w:rPr>
              <w:t>nontechnological</w:t>
            </w:r>
            <w:r w:rsidRPr="00236865">
              <w:rPr>
                <w:rFonts w:ascii="Garamond" w:hAnsi="Garamond"/>
                <w:b w:val="0"/>
                <w:sz w:val="24"/>
                <w:szCs w:val="24"/>
                <w:lang w:val="en-AU"/>
              </w:rPr>
              <w:t xml:space="preserve">’ and cite work </w:t>
            </w:r>
            <w:r w:rsidR="00236865" w:rsidRPr="00236865">
              <w:rPr>
                <w:rFonts w:ascii="Garamond" w:hAnsi="Garamond"/>
                <w:b w:val="0"/>
                <w:sz w:val="24"/>
                <w:szCs w:val="24"/>
                <w:lang w:val="en-AU"/>
              </w:rPr>
              <w:t>that ‘</w:t>
            </w:r>
            <w:r w:rsidRPr="00236865">
              <w:rPr>
                <w:rFonts w:ascii="Garamond" w:hAnsi="Garamond"/>
                <w:b w:val="0"/>
                <w:sz w:val="24"/>
                <w:szCs w:val="24"/>
                <w:lang w:val="en-AU"/>
              </w:rPr>
              <w:t>found that the three barriers to digital</w:t>
            </w:r>
            <w:r w:rsidR="00236865" w:rsidRPr="00236865">
              <w:rPr>
                <w:rFonts w:ascii="Garamond" w:hAnsi="Garamond"/>
                <w:b w:val="0"/>
                <w:sz w:val="24"/>
                <w:szCs w:val="24"/>
                <w:lang w:val="en-AU"/>
              </w:rPr>
              <w:t xml:space="preserve"> </w:t>
            </w:r>
            <w:r w:rsidRPr="00236865">
              <w:rPr>
                <w:rFonts w:ascii="Garamond" w:hAnsi="Garamond"/>
                <w:b w:val="0"/>
                <w:sz w:val="24"/>
                <w:szCs w:val="24"/>
                <w:lang w:val="en-AU"/>
              </w:rPr>
              <w:t>most mentioned by leaders in the pharmaceutical</w:t>
            </w:r>
            <w:r w:rsidR="00236865" w:rsidRPr="00236865">
              <w:rPr>
                <w:rFonts w:ascii="Garamond" w:hAnsi="Garamond"/>
                <w:b w:val="0"/>
                <w:sz w:val="24"/>
                <w:szCs w:val="24"/>
                <w:lang w:val="en-AU"/>
              </w:rPr>
              <w:t xml:space="preserve"> </w:t>
            </w:r>
            <w:r w:rsidRPr="00236865">
              <w:rPr>
                <w:rFonts w:ascii="Garamond" w:hAnsi="Garamond"/>
                <w:b w:val="0"/>
                <w:sz w:val="24"/>
                <w:szCs w:val="24"/>
                <w:lang w:val="en-AU"/>
              </w:rPr>
              <w:t xml:space="preserve">and medical-technology industry were </w:t>
            </w:r>
            <w:r w:rsidRPr="00236865">
              <w:rPr>
                <w:rFonts w:ascii="Garamond" w:hAnsi="Garamond"/>
                <w:sz w:val="24"/>
                <w:szCs w:val="24"/>
                <w:lang w:val="en-AU"/>
              </w:rPr>
              <w:t>culture</w:t>
            </w:r>
            <w:r w:rsidRPr="00236865">
              <w:rPr>
                <w:rFonts w:ascii="Garamond" w:hAnsi="Garamond"/>
                <w:b w:val="0"/>
                <w:sz w:val="24"/>
                <w:szCs w:val="24"/>
                <w:lang w:val="en-AU"/>
              </w:rPr>
              <w:t xml:space="preserve"> and</w:t>
            </w:r>
            <w:r w:rsidR="00236865" w:rsidRPr="00236865">
              <w:rPr>
                <w:rFonts w:ascii="Garamond" w:hAnsi="Garamond"/>
                <w:b w:val="0"/>
                <w:sz w:val="24"/>
                <w:szCs w:val="24"/>
                <w:lang w:val="en-AU"/>
              </w:rPr>
              <w:t xml:space="preserve"> </w:t>
            </w:r>
            <w:r w:rsidRPr="00236865">
              <w:rPr>
                <w:rFonts w:ascii="Garamond" w:hAnsi="Garamond"/>
                <w:sz w:val="24"/>
                <w:szCs w:val="24"/>
                <w:lang w:val="en-AU"/>
              </w:rPr>
              <w:t>mind-set</w:t>
            </w:r>
            <w:r w:rsidRPr="00236865">
              <w:rPr>
                <w:rFonts w:ascii="Garamond" w:hAnsi="Garamond"/>
                <w:b w:val="0"/>
                <w:sz w:val="24"/>
                <w:szCs w:val="24"/>
                <w:lang w:val="en-AU"/>
              </w:rPr>
              <w:t xml:space="preserve">, </w:t>
            </w:r>
            <w:r w:rsidRPr="00236865">
              <w:rPr>
                <w:rFonts w:ascii="Garamond" w:hAnsi="Garamond"/>
                <w:sz w:val="24"/>
                <w:szCs w:val="24"/>
                <w:lang w:val="en-AU"/>
              </w:rPr>
              <w:t>organizational structure</w:t>
            </w:r>
            <w:r w:rsidRPr="00236865">
              <w:rPr>
                <w:rFonts w:ascii="Garamond" w:hAnsi="Garamond"/>
                <w:b w:val="0"/>
                <w:sz w:val="24"/>
                <w:szCs w:val="24"/>
                <w:lang w:val="en-AU"/>
              </w:rPr>
              <w:t xml:space="preserve">, and </w:t>
            </w:r>
            <w:r w:rsidRPr="00236865">
              <w:rPr>
                <w:rFonts w:ascii="Garamond" w:hAnsi="Garamond"/>
                <w:sz w:val="24"/>
                <w:szCs w:val="24"/>
                <w:lang w:val="en-AU"/>
              </w:rPr>
              <w:t>governance</w:t>
            </w:r>
            <w:r w:rsidRPr="00236865">
              <w:rPr>
                <w:rFonts w:ascii="Garamond" w:hAnsi="Garamond"/>
                <w:b w:val="0"/>
                <w:sz w:val="24"/>
                <w:szCs w:val="24"/>
                <w:lang w:val="en-AU"/>
              </w:rPr>
              <w:t>.</w:t>
            </w:r>
            <w:r w:rsidR="00236865" w:rsidRPr="00236865">
              <w:rPr>
                <w:rFonts w:ascii="Garamond" w:hAnsi="Garamond"/>
                <w:b w:val="0"/>
                <w:sz w:val="24"/>
                <w:szCs w:val="24"/>
                <w:lang w:val="en-AU"/>
              </w:rPr>
              <w:t>’ The authors proceed to give ‘a set of six conditions that can smooth the path toward a successful systemwide digital transformation in healthcare’. The six conditions are:</w:t>
            </w:r>
          </w:p>
          <w:p w:rsidR="00236865" w:rsidRPr="00236865" w:rsidRDefault="00236865" w:rsidP="00236865">
            <w:pPr>
              <w:pStyle w:val="ListParagraph"/>
              <w:numPr>
                <w:ilvl w:val="0"/>
                <w:numId w:val="28"/>
              </w:numPr>
              <w:rPr>
                <w:rFonts w:ascii="Garamond" w:hAnsi="Garamond"/>
                <w:lang w:val="en-AU"/>
              </w:rPr>
            </w:pPr>
            <w:r w:rsidRPr="00236865">
              <w:rPr>
                <w:rFonts w:ascii="Garamond" w:hAnsi="Garamond"/>
                <w:lang w:val="en-AU"/>
              </w:rPr>
              <w:t>Governments have a role to play in instigating digital transformation in healthcare systems</w:t>
            </w:r>
          </w:p>
          <w:p w:rsidR="00236865" w:rsidRDefault="00236865" w:rsidP="00236865">
            <w:pPr>
              <w:pStyle w:val="ListParagraph"/>
              <w:numPr>
                <w:ilvl w:val="0"/>
                <w:numId w:val="28"/>
              </w:numPr>
              <w:rPr>
                <w:rFonts w:ascii="Garamond" w:hAnsi="Garamond"/>
                <w:lang w:val="en-AU"/>
              </w:rPr>
            </w:pPr>
            <w:r w:rsidRPr="00236865">
              <w:rPr>
                <w:rFonts w:ascii="Garamond" w:hAnsi="Garamond"/>
                <w:lang w:val="en-AU"/>
              </w:rPr>
              <w:t>Payers and standards bodies can accelerate and sustain technological</w:t>
            </w:r>
            <w:r>
              <w:rPr>
                <w:rFonts w:ascii="Garamond" w:hAnsi="Garamond"/>
                <w:lang w:val="en-AU"/>
              </w:rPr>
              <w:t xml:space="preserve"> </w:t>
            </w:r>
            <w:r w:rsidRPr="00236865">
              <w:rPr>
                <w:rFonts w:ascii="Garamond" w:hAnsi="Garamond"/>
                <w:lang w:val="en-AU"/>
              </w:rPr>
              <w:t>advancement by adapting</w:t>
            </w:r>
            <w:r>
              <w:rPr>
                <w:rFonts w:ascii="Garamond" w:hAnsi="Garamond"/>
                <w:lang w:val="en-AU"/>
              </w:rPr>
              <w:t xml:space="preserve"> </w:t>
            </w:r>
            <w:r w:rsidRPr="00236865">
              <w:rPr>
                <w:rFonts w:ascii="Garamond" w:hAnsi="Garamond"/>
                <w:lang w:val="en-AU"/>
              </w:rPr>
              <w:t>reimbursement guidelines</w:t>
            </w:r>
          </w:p>
          <w:p w:rsidR="00236865" w:rsidRDefault="00236865" w:rsidP="00236865">
            <w:pPr>
              <w:pStyle w:val="ListParagraph"/>
              <w:numPr>
                <w:ilvl w:val="0"/>
                <w:numId w:val="28"/>
              </w:numPr>
              <w:rPr>
                <w:rFonts w:ascii="Garamond" w:hAnsi="Garamond"/>
                <w:lang w:val="en-AU"/>
              </w:rPr>
            </w:pPr>
            <w:r w:rsidRPr="00236865">
              <w:rPr>
                <w:rFonts w:ascii="Garamond" w:hAnsi="Garamond"/>
                <w:lang w:val="en-AU"/>
              </w:rPr>
              <w:t>Healthcare organizations that promote open innovation will help</w:t>
            </w:r>
            <w:r>
              <w:rPr>
                <w:rFonts w:ascii="Garamond" w:hAnsi="Garamond"/>
                <w:lang w:val="en-AU"/>
              </w:rPr>
              <w:t xml:space="preserve"> </w:t>
            </w:r>
            <w:r w:rsidRPr="00236865">
              <w:rPr>
                <w:rFonts w:ascii="Garamond" w:hAnsi="Garamond"/>
                <w:lang w:val="en-AU"/>
              </w:rPr>
              <w:t>spur digital transformation</w:t>
            </w:r>
          </w:p>
          <w:p w:rsidR="00236865" w:rsidRDefault="00236865" w:rsidP="00236865">
            <w:pPr>
              <w:pStyle w:val="ListParagraph"/>
              <w:numPr>
                <w:ilvl w:val="0"/>
                <w:numId w:val="28"/>
              </w:numPr>
              <w:rPr>
                <w:rFonts w:ascii="Garamond" w:hAnsi="Garamond"/>
                <w:lang w:val="en-AU"/>
              </w:rPr>
            </w:pPr>
            <w:r w:rsidRPr="00236865">
              <w:rPr>
                <w:rFonts w:ascii="Garamond" w:hAnsi="Garamond"/>
                <w:lang w:val="en-AU"/>
              </w:rPr>
              <w:t>Healthcare providers can improve adoption and expedite benefits</w:t>
            </w:r>
            <w:r>
              <w:rPr>
                <w:rFonts w:ascii="Garamond" w:hAnsi="Garamond"/>
                <w:lang w:val="en-AU"/>
              </w:rPr>
              <w:t xml:space="preserve"> </w:t>
            </w:r>
            <w:r w:rsidRPr="00236865">
              <w:rPr>
                <w:rFonts w:ascii="Garamond" w:hAnsi="Garamond"/>
                <w:lang w:val="en-AU"/>
              </w:rPr>
              <w:t>by focusing on tangible value</w:t>
            </w:r>
            <w:r>
              <w:rPr>
                <w:rFonts w:ascii="Garamond" w:hAnsi="Garamond"/>
                <w:lang w:val="en-AU"/>
              </w:rPr>
              <w:t xml:space="preserve"> </w:t>
            </w:r>
            <w:r w:rsidRPr="00236865">
              <w:rPr>
                <w:rFonts w:ascii="Garamond" w:hAnsi="Garamond"/>
                <w:lang w:val="en-AU"/>
              </w:rPr>
              <w:t>to consumers</w:t>
            </w:r>
          </w:p>
          <w:p w:rsidR="00236865" w:rsidRDefault="00236865" w:rsidP="00236865">
            <w:pPr>
              <w:pStyle w:val="ListParagraph"/>
              <w:numPr>
                <w:ilvl w:val="0"/>
                <w:numId w:val="28"/>
              </w:numPr>
              <w:rPr>
                <w:rFonts w:ascii="Garamond" w:hAnsi="Garamond"/>
                <w:lang w:val="en-AU"/>
              </w:rPr>
            </w:pPr>
            <w:r w:rsidRPr="00236865">
              <w:rPr>
                <w:rFonts w:ascii="Garamond" w:hAnsi="Garamond"/>
                <w:lang w:val="en-AU"/>
              </w:rPr>
              <w:t>Stakeholders who invest in the right mix of skills can help</w:t>
            </w:r>
            <w:r>
              <w:rPr>
                <w:rFonts w:ascii="Garamond" w:hAnsi="Garamond"/>
                <w:lang w:val="en-AU"/>
              </w:rPr>
              <w:t xml:space="preserve"> </w:t>
            </w:r>
            <w:r w:rsidRPr="00236865">
              <w:rPr>
                <w:rFonts w:ascii="Garamond" w:hAnsi="Garamond"/>
                <w:lang w:val="en-AU"/>
              </w:rPr>
              <w:t>accelerate and sustain long-term</w:t>
            </w:r>
            <w:r>
              <w:rPr>
                <w:rFonts w:ascii="Garamond" w:hAnsi="Garamond"/>
                <w:lang w:val="en-AU"/>
              </w:rPr>
              <w:t xml:space="preserve"> </w:t>
            </w:r>
            <w:r w:rsidRPr="00236865">
              <w:rPr>
                <w:rFonts w:ascii="Garamond" w:hAnsi="Garamond"/>
                <w:lang w:val="en-AU"/>
              </w:rPr>
              <w:t>digital transformation</w:t>
            </w:r>
          </w:p>
          <w:p w:rsidR="00236865" w:rsidRPr="00236865" w:rsidRDefault="00236865" w:rsidP="00236865">
            <w:pPr>
              <w:pStyle w:val="ListParagraph"/>
              <w:numPr>
                <w:ilvl w:val="0"/>
                <w:numId w:val="28"/>
              </w:numPr>
              <w:rPr>
                <w:rFonts w:ascii="Garamond" w:hAnsi="Garamond"/>
                <w:lang w:val="en-AU"/>
              </w:rPr>
            </w:pPr>
            <w:r w:rsidRPr="00236865">
              <w:rPr>
                <w:rFonts w:ascii="Garamond" w:hAnsi="Garamond"/>
                <w:lang w:val="en-AU"/>
              </w:rPr>
              <w:t>Payers and providers can start with</w:t>
            </w:r>
            <w:r>
              <w:rPr>
                <w:rFonts w:ascii="Garamond" w:hAnsi="Garamond"/>
                <w:lang w:val="en-AU"/>
              </w:rPr>
              <w:t xml:space="preserve"> </w:t>
            </w:r>
            <w:r w:rsidRPr="00236865">
              <w:rPr>
                <w:rFonts w:ascii="Garamond" w:hAnsi="Garamond"/>
                <w:lang w:val="en-AU"/>
              </w:rPr>
              <w:t>near-term initiatives—but still need</w:t>
            </w:r>
            <w:r>
              <w:rPr>
                <w:rFonts w:ascii="Garamond" w:hAnsi="Garamond"/>
                <w:lang w:val="en-AU"/>
              </w:rPr>
              <w:t xml:space="preserve"> </w:t>
            </w:r>
            <w:r w:rsidRPr="00236865">
              <w:rPr>
                <w:rFonts w:ascii="Garamond" w:hAnsi="Garamond"/>
                <w:lang w:val="en-AU"/>
              </w:rPr>
              <w:t>long-term investment</w:t>
            </w:r>
            <w:r>
              <w:rPr>
                <w:rFonts w:ascii="Garamond" w:hAnsi="Garamond"/>
                <w:lang w:val="en-AU"/>
              </w:rPr>
              <w:t>.</w:t>
            </w:r>
          </w:p>
        </w:tc>
      </w:tr>
    </w:tbl>
    <w:p w:rsidR="00E25143" w:rsidRDefault="00E25143" w:rsidP="00E25143">
      <w:pPr>
        <w:keepLines/>
        <w:autoSpaceDE w:val="0"/>
        <w:autoSpaceDN w:val="0"/>
        <w:adjustRightInd w:val="0"/>
        <w:rPr>
          <w:rFonts w:ascii="Garamond" w:hAnsi="Garamond"/>
          <w:i/>
          <w:lang w:val="en-AU"/>
        </w:rPr>
      </w:pPr>
    </w:p>
    <w:p w:rsidR="002137BF" w:rsidRPr="00E25143" w:rsidRDefault="002137BF" w:rsidP="002422CA">
      <w:pPr>
        <w:keepLines/>
        <w:autoSpaceDE w:val="0"/>
        <w:autoSpaceDN w:val="0"/>
        <w:adjustRightInd w:val="0"/>
        <w:rPr>
          <w:rFonts w:ascii="Garamond" w:hAnsi="Garamond"/>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985853" w:rsidRDefault="00985853" w:rsidP="00985853">
      <w:pPr>
        <w:keepNext/>
        <w:keepLines/>
        <w:autoSpaceDE w:val="0"/>
        <w:autoSpaceDN w:val="0"/>
        <w:adjustRightInd w:val="0"/>
        <w:rPr>
          <w:rFonts w:ascii="Garamond" w:hAnsi="Garamond"/>
          <w:lang w:val="en-AU"/>
        </w:rPr>
      </w:pPr>
    </w:p>
    <w:p w:rsidR="00777E07" w:rsidRPr="00777E07" w:rsidRDefault="00777E07" w:rsidP="00985853">
      <w:pPr>
        <w:keepNext/>
        <w:keepLines/>
        <w:autoSpaceDE w:val="0"/>
        <w:autoSpaceDN w:val="0"/>
        <w:adjustRightInd w:val="0"/>
        <w:rPr>
          <w:rFonts w:ascii="Garamond" w:hAnsi="Garamond"/>
          <w:i/>
          <w:lang w:val="en-AU"/>
        </w:rPr>
      </w:pPr>
      <w:r w:rsidRPr="00777E07">
        <w:rPr>
          <w:rFonts w:ascii="Garamond" w:hAnsi="Garamond"/>
          <w:i/>
          <w:lang w:val="en-AU"/>
        </w:rPr>
        <w:t>Unwarranted clinical variation in health care: Definitions and proposal of an analytic framework</w:t>
      </w:r>
    </w:p>
    <w:p w:rsidR="00AF7897" w:rsidRDefault="00AF7897" w:rsidP="00985853">
      <w:pPr>
        <w:keepNext/>
        <w:keepLines/>
        <w:autoSpaceDE w:val="0"/>
        <w:autoSpaceDN w:val="0"/>
        <w:adjustRightInd w:val="0"/>
        <w:rPr>
          <w:rFonts w:ascii="Garamond" w:hAnsi="Garamond"/>
          <w:lang w:val="en-AU"/>
        </w:rPr>
      </w:pPr>
      <w:r w:rsidRPr="00AF7897">
        <w:rPr>
          <w:rFonts w:ascii="Garamond" w:hAnsi="Garamond"/>
          <w:lang w:val="en-AU"/>
        </w:rPr>
        <w:t>Sutherland K, Levesque J-F</w:t>
      </w:r>
    </w:p>
    <w:p w:rsidR="00777E07" w:rsidRDefault="00AF7897" w:rsidP="00985853">
      <w:pPr>
        <w:keepNext/>
        <w:keepLines/>
        <w:autoSpaceDE w:val="0"/>
        <w:autoSpaceDN w:val="0"/>
        <w:adjustRightInd w:val="0"/>
        <w:rPr>
          <w:rFonts w:ascii="Garamond" w:hAnsi="Garamond"/>
          <w:lang w:val="en-AU"/>
        </w:rPr>
      </w:pPr>
      <w:r w:rsidRPr="00AF7897">
        <w:rPr>
          <w:rFonts w:ascii="Garamond" w:hAnsi="Garamond"/>
          <w:lang w:val="en-AU"/>
        </w:rPr>
        <w:t>Journal of Evaluation in Clinical Practice. 2019</w:t>
      </w:r>
      <w:r>
        <w:rPr>
          <w:rFonts w:ascii="Garamond" w:hAnsi="Garamond"/>
          <w:lang w:val="en-AU"/>
        </w:rPr>
        <w:t xml:space="preserve"> [epub]</w:t>
      </w:r>
      <w:r w:rsidRPr="00AF7897">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F67DEB" w:rsidRPr="000170DA" w:rsidTr="00BC0715">
        <w:tc>
          <w:tcPr>
            <w:tcW w:w="1080" w:type="dxa"/>
            <w:tcBorders>
              <w:top w:val="single" w:sz="4" w:space="0" w:color="auto"/>
              <w:left w:val="single" w:sz="4" w:space="0" w:color="auto"/>
              <w:bottom w:val="single" w:sz="4" w:space="0" w:color="auto"/>
              <w:right w:val="single" w:sz="4" w:space="0" w:color="auto"/>
            </w:tcBorders>
            <w:vAlign w:val="center"/>
          </w:tcPr>
          <w:p w:rsidR="00F67DEB" w:rsidRPr="000170DA" w:rsidRDefault="00F67DEB" w:rsidP="00BC071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67DEB" w:rsidRPr="000170DA" w:rsidRDefault="00BF271B" w:rsidP="00BC0715">
            <w:pPr>
              <w:rPr>
                <w:rStyle w:val="Hyperlink"/>
                <w:rFonts w:ascii="Garamond" w:hAnsi="Garamond"/>
                <w:color w:val="auto"/>
                <w:u w:val="none"/>
                <w:lang w:val="en-AU"/>
              </w:rPr>
            </w:pPr>
            <w:hyperlink r:id="rId18" w:history="1">
              <w:r w:rsidR="00777E07" w:rsidRPr="007E574E">
                <w:rPr>
                  <w:rStyle w:val="Hyperlink"/>
                  <w:rFonts w:ascii="Garamond" w:hAnsi="Garamond"/>
                  <w:lang w:val="en-AU"/>
                </w:rPr>
                <w:t>https://doi.org/10.1111/jep.13181</w:t>
              </w:r>
            </w:hyperlink>
          </w:p>
        </w:tc>
      </w:tr>
      <w:tr w:rsidR="00F67DEB" w:rsidRPr="000170DA" w:rsidTr="00BC0715">
        <w:tc>
          <w:tcPr>
            <w:tcW w:w="1080" w:type="dxa"/>
            <w:tcBorders>
              <w:top w:val="single" w:sz="4" w:space="0" w:color="auto"/>
              <w:left w:val="single" w:sz="4" w:space="0" w:color="auto"/>
              <w:bottom w:val="single" w:sz="4" w:space="0" w:color="auto"/>
              <w:right w:val="single" w:sz="4" w:space="0" w:color="auto"/>
            </w:tcBorders>
            <w:vAlign w:val="center"/>
          </w:tcPr>
          <w:p w:rsidR="00F67DEB" w:rsidRPr="000170DA" w:rsidRDefault="00F67DEB" w:rsidP="00BC071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B0982" w:rsidRPr="003B0982" w:rsidRDefault="003B0982" w:rsidP="003B0982">
            <w:pPr>
              <w:rPr>
                <w:rFonts w:ascii="Garamond" w:hAnsi="Garamond"/>
                <w:lang w:val="en-AU"/>
              </w:rPr>
            </w:pPr>
            <w:r w:rsidRPr="003B0982">
              <w:rPr>
                <w:rFonts w:ascii="Garamond" w:hAnsi="Garamond"/>
                <w:lang w:val="en-AU"/>
              </w:rPr>
              <w:t>After describing a conceptual framework for levers of change in health care in an article in BMJ in 2017, Sutherland and Levesque have now proposed an analytic framework for unwarranted clinical variation. They argue that given the considerable interest in unwarranted variation</w:t>
            </w:r>
            <w:r w:rsidR="008600F3">
              <w:rPr>
                <w:rFonts w:ascii="Garamond" w:hAnsi="Garamond"/>
                <w:lang w:val="en-AU"/>
              </w:rPr>
              <w:t>,</w:t>
            </w:r>
            <w:r w:rsidRPr="003B0982">
              <w:rPr>
                <w:rFonts w:ascii="Garamond" w:hAnsi="Garamond"/>
                <w:lang w:val="en-AU"/>
              </w:rPr>
              <w:t xml:space="preserve"> both within Australia and internationally, there is a need for a strong conceptual framework to delineate warranted and unwarranted variation.</w:t>
            </w:r>
          </w:p>
          <w:p w:rsidR="003B0982" w:rsidRPr="003B0982" w:rsidRDefault="003B0982" w:rsidP="003B0982">
            <w:pPr>
              <w:rPr>
                <w:rFonts w:ascii="Garamond" w:hAnsi="Garamond"/>
                <w:lang w:val="en-AU"/>
              </w:rPr>
            </w:pPr>
            <w:r w:rsidRPr="003B0982">
              <w:rPr>
                <w:rFonts w:ascii="Garamond" w:hAnsi="Garamond"/>
                <w:lang w:val="en-AU"/>
              </w:rPr>
              <w:t>Sutherland and Levesque examined 190 studies on unwarranted variation and grouped the factors associated with variation into three themes:</w:t>
            </w:r>
          </w:p>
          <w:p w:rsidR="003B0982" w:rsidRPr="008600F3" w:rsidRDefault="003B0982" w:rsidP="008600F3">
            <w:pPr>
              <w:pStyle w:val="ListParagraph"/>
              <w:numPr>
                <w:ilvl w:val="0"/>
                <w:numId w:val="23"/>
              </w:numPr>
              <w:rPr>
                <w:rFonts w:ascii="Garamond" w:hAnsi="Garamond"/>
                <w:lang w:val="en-AU"/>
              </w:rPr>
            </w:pPr>
            <w:r w:rsidRPr="008600F3">
              <w:rPr>
                <w:rFonts w:ascii="Garamond" w:hAnsi="Garamond"/>
                <w:lang w:val="en-AU"/>
              </w:rPr>
              <w:t xml:space="preserve">Patients’ and clinicians’ agency and motivation </w:t>
            </w:r>
          </w:p>
          <w:p w:rsidR="003B0982" w:rsidRPr="008600F3" w:rsidRDefault="003B0982" w:rsidP="008600F3">
            <w:pPr>
              <w:pStyle w:val="ListParagraph"/>
              <w:numPr>
                <w:ilvl w:val="0"/>
                <w:numId w:val="23"/>
              </w:numPr>
              <w:rPr>
                <w:rFonts w:ascii="Garamond" w:hAnsi="Garamond"/>
                <w:lang w:val="en-AU"/>
              </w:rPr>
            </w:pPr>
            <w:r w:rsidRPr="008600F3">
              <w:rPr>
                <w:rFonts w:ascii="Garamond" w:hAnsi="Garamond"/>
                <w:lang w:val="en-AU"/>
              </w:rPr>
              <w:t xml:space="preserve">Evidence and judgement </w:t>
            </w:r>
          </w:p>
          <w:p w:rsidR="003B0982" w:rsidRPr="008600F3" w:rsidRDefault="003B0982" w:rsidP="008600F3">
            <w:pPr>
              <w:pStyle w:val="ListParagraph"/>
              <w:numPr>
                <w:ilvl w:val="0"/>
                <w:numId w:val="23"/>
              </w:numPr>
              <w:rPr>
                <w:rFonts w:ascii="Garamond" w:hAnsi="Garamond"/>
                <w:lang w:val="en-AU"/>
              </w:rPr>
            </w:pPr>
            <w:r w:rsidRPr="008600F3">
              <w:rPr>
                <w:rFonts w:ascii="Garamond" w:hAnsi="Garamond"/>
                <w:lang w:val="en-AU"/>
              </w:rPr>
              <w:t xml:space="preserve">Personal and organisational capacity </w:t>
            </w:r>
          </w:p>
          <w:p w:rsidR="003B0982" w:rsidRPr="003B0982" w:rsidRDefault="003B0982" w:rsidP="003B0982">
            <w:pPr>
              <w:rPr>
                <w:rFonts w:ascii="Garamond" w:hAnsi="Garamond"/>
                <w:lang w:val="en-AU"/>
              </w:rPr>
            </w:pPr>
            <w:r w:rsidRPr="003B0982">
              <w:rPr>
                <w:rFonts w:ascii="Garamond" w:hAnsi="Garamond"/>
                <w:lang w:val="en-AU"/>
              </w:rPr>
              <w:t xml:space="preserve">This forms the basis of the analytic framework – variation can be considered within these themes to determine if it is warranted or unwarranted. The paper urges careful consideration of the complexity of measuring unwarranted variation and acknowledges that the framework does not provide guidance about which of these categories should be investigated. </w:t>
            </w:r>
          </w:p>
          <w:p w:rsidR="003B0982" w:rsidRPr="003B0982" w:rsidRDefault="003B0982" w:rsidP="003B0982">
            <w:pPr>
              <w:rPr>
                <w:rFonts w:ascii="Garamond" w:hAnsi="Garamond"/>
                <w:lang w:val="en-AU"/>
              </w:rPr>
            </w:pPr>
            <w:r w:rsidRPr="003B0982">
              <w:rPr>
                <w:rFonts w:ascii="Garamond" w:hAnsi="Garamond"/>
                <w:lang w:val="en-AU"/>
              </w:rPr>
              <w:t xml:space="preserve">The Commission examines variation in the </w:t>
            </w:r>
            <w:r w:rsidRPr="008600F3">
              <w:rPr>
                <w:rFonts w:ascii="Garamond" w:hAnsi="Garamond"/>
                <w:i/>
                <w:lang w:val="en-AU"/>
              </w:rPr>
              <w:t>Australian Atlas of Healthcare Variation</w:t>
            </w:r>
            <w:r w:rsidRPr="003B0982">
              <w:rPr>
                <w:rFonts w:ascii="Garamond" w:hAnsi="Garamond"/>
                <w:lang w:val="en-AU"/>
              </w:rPr>
              <w:t xml:space="preserve"> series (</w:t>
            </w:r>
            <w:hyperlink r:id="rId19" w:history="1">
              <w:r w:rsidR="003E0F57" w:rsidRPr="00027D59">
                <w:rPr>
                  <w:rStyle w:val="Hyperlink"/>
                  <w:rFonts w:ascii="Garamond" w:hAnsi="Garamond"/>
                  <w:lang w:val="en-AU"/>
                </w:rPr>
                <w:t>https://www.safetyandquality.gov.au/publications-and-resources/australian-atlas-healthcare-variation-series</w:t>
              </w:r>
            </w:hyperlink>
            <w:r w:rsidRPr="003B0982">
              <w:rPr>
                <w:rFonts w:ascii="Garamond" w:hAnsi="Garamond"/>
                <w:lang w:val="en-AU"/>
              </w:rPr>
              <w:t xml:space="preserve">). The Commission’s approach to addressing unwarranted variation harnesses the principles in the clinical governance standard in the National Safety and Quality Health Service Standards. </w:t>
            </w:r>
          </w:p>
          <w:p w:rsidR="008600F3" w:rsidRDefault="008600F3" w:rsidP="003B0982">
            <w:pPr>
              <w:rPr>
                <w:rFonts w:ascii="Garamond" w:hAnsi="Garamond"/>
                <w:lang w:val="en-AU"/>
              </w:rPr>
            </w:pPr>
          </w:p>
          <w:p w:rsidR="003B0982" w:rsidRPr="003B0982" w:rsidRDefault="003B0982" w:rsidP="003B0982">
            <w:pPr>
              <w:rPr>
                <w:rFonts w:ascii="Garamond" w:hAnsi="Garamond"/>
                <w:lang w:val="en-AU"/>
              </w:rPr>
            </w:pPr>
            <w:r w:rsidRPr="008600F3">
              <w:rPr>
                <w:rFonts w:ascii="Garamond" w:hAnsi="Garamond"/>
                <w:i/>
                <w:lang w:val="en-AU"/>
              </w:rPr>
              <w:t>National Safety and Quality Health Service Standards User Guide for the Review of Clinical Variation in Health Care</w:t>
            </w:r>
          </w:p>
          <w:p w:rsidR="00777E07" w:rsidRPr="00F44FEC" w:rsidRDefault="003B0982" w:rsidP="00E25143">
            <w:pPr>
              <w:rPr>
                <w:rFonts w:ascii="Garamond" w:hAnsi="Garamond"/>
                <w:lang w:val="en-AU"/>
              </w:rPr>
            </w:pPr>
            <w:r w:rsidRPr="003B0982">
              <w:rPr>
                <w:rFonts w:ascii="Garamond" w:hAnsi="Garamond"/>
                <w:lang w:val="en-AU"/>
              </w:rPr>
              <w:t xml:space="preserve">The Commission </w:t>
            </w:r>
            <w:r w:rsidR="00E25143">
              <w:rPr>
                <w:rFonts w:ascii="Garamond" w:hAnsi="Garamond"/>
                <w:lang w:val="en-AU"/>
              </w:rPr>
              <w:t xml:space="preserve">will be releasing </w:t>
            </w:r>
            <w:r w:rsidRPr="003B0982">
              <w:rPr>
                <w:rFonts w:ascii="Garamond" w:hAnsi="Garamond"/>
                <w:lang w:val="en-AU"/>
              </w:rPr>
              <w:t xml:space="preserve">a consultation draft of the </w:t>
            </w:r>
            <w:r w:rsidRPr="008600F3">
              <w:rPr>
                <w:rFonts w:ascii="Garamond" w:hAnsi="Garamond"/>
                <w:i/>
                <w:lang w:val="en-AU"/>
              </w:rPr>
              <w:t>User Guide for the Review of Clinical Variation in Health Care</w:t>
            </w:r>
            <w:r w:rsidRPr="003B0982">
              <w:rPr>
                <w:rFonts w:ascii="Garamond" w:hAnsi="Garamond"/>
                <w:lang w:val="en-AU"/>
              </w:rPr>
              <w:t xml:space="preserve"> to support health service organisations implement a new action in the NSQHS standards, second edition. The new Action (1.28) is part of the Governance Standard, and includes monitoring and investigating data on clinical variation to improve clinical practice. The Guide includes practical advice and case studies to show some of the different ways health service organisations can implement Action 1.28.</w:t>
            </w:r>
          </w:p>
        </w:tc>
      </w:tr>
    </w:tbl>
    <w:p w:rsidR="00C841C3" w:rsidRPr="00C841C3" w:rsidRDefault="00C841C3" w:rsidP="00C841C3">
      <w:pPr>
        <w:keepNext/>
        <w:keepLines/>
        <w:autoSpaceDE w:val="0"/>
        <w:autoSpaceDN w:val="0"/>
        <w:adjustRightInd w:val="0"/>
        <w:rPr>
          <w:rFonts w:ascii="Garamond" w:hAnsi="Garamond"/>
          <w:i/>
          <w:lang w:val="en-AU"/>
        </w:rPr>
      </w:pPr>
      <w:r w:rsidRPr="00C841C3">
        <w:rPr>
          <w:rFonts w:ascii="Garamond" w:hAnsi="Garamond"/>
          <w:i/>
          <w:lang w:val="en-AU"/>
        </w:rPr>
        <w:t>Continuity of care: why it matters and what we can do</w:t>
      </w:r>
    </w:p>
    <w:p w:rsidR="00C841C3" w:rsidRDefault="00C841C3" w:rsidP="00D12521">
      <w:pPr>
        <w:keepNext/>
        <w:keepLines/>
        <w:autoSpaceDE w:val="0"/>
        <w:autoSpaceDN w:val="0"/>
        <w:adjustRightInd w:val="0"/>
        <w:rPr>
          <w:rFonts w:ascii="Garamond" w:hAnsi="Garamond"/>
          <w:lang w:val="en-AU"/>
        </w:rPr>
      </w:pPr>
      <w:r w:rsidRPr="00C841C3">
        <w:rPr>
          <w:rFonts w:ascii="Garamond" w:hAnsi="Garamond"/>
          <w:lang w:val="en-AU"/>
        </w:rPr>
        <w:t>Hofer A, McDonald M</w:t>
      </w:r>
    </w:p>
    <w:p w:rsidR="00D12521" w:rsidRDefault="00C841C3" w:rsidP="00D12521">
      <w:pPr>
        <w:keepNext/>
        <w:keepLines/>
        <w:autoSpaceDE w:val="0"/>
        <w:autoSpaceDN w:val="0"/>
        <w:adjustRightInd w:val="0"/>
        <w:rPr>
          <w:rFonts w:ascii="Garamond" w:hAnsi="Garamond"/>
          <w:lang w:val="en-AU"/>
        </w:rPr>
      </w:pPr>
      <w:r w:rsidRPr="00C841C3">
        <w:rPr>
          <w:rFonts w:ascii="Garamond" w:hAnsi="Garamond"/>
          <w:lang w:val="en-AU"/>
        </w:rPr>
        <w:t>Australian Journal of Primary Health. 2019;25(3):214-8.</w:t>
      </w:r>
    </w:p>
    <w:tbl>
      <w:tblPr>
        <w:tblStyle w:val="TableGrid"/>
        <w:tblW w:w="9360" w:type="dxa"/>
        <w:tblInd w:w="288" w:type="dxa"/>
        <w:tblLayout w:type="fixed"/>
        <w:tblLook w:val="01E0" w:firstRow="1" w:lastRow="1" w:firstColumn="1" w:lastColumn="1" w:noHBand="0" w:noVBand="0"/>
      </w:tblPr>
      <w:tblGrid>
        <w:gridCol w:w="1080"/>
        <w:gridCol w:w="8280"/>
      </w:tblGrid>
      <w:tr w:rsidR="00D12521" w:rsidRPr="000170DA" w:rsidTr="00F97E96">
        <w:tc>
          <w:tcPr>
            <w:tcW w:w="1080" w:type="dxa"/>
            <w:tcBorders>
              <w:top w:val="single" w:sz="4" w:space="0" w:color="auto"/>
              <w:left w:val="single" w:sz="4" w:space="0" w:color="auto"/>
              <w:bottom w:val="single" w:sz="4" w:space="0" w:color="auto"/>
              <w:right w:val="single" w:sz="4" w:space="0" w:color="auto"/>
            </w:tcBorders>
            <w:vAlign w:val="center"/>
          </w:tcPr>
          <w:p w:rsidR="00D12521" w:rsidRPr="000170DA" w:rsidRDefault="00D12521" w:rsidP="00F97E9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12521" w:rsidRPr="000170DA" w:rsidRDefault="00BF271B" w:rsidP="00F97E96">
            <w:pPr>
              <w:rPr>
                <w:rStyle w:val="Hyperlink"/>
                <w:rFonts w:ascii="Garamond" w:hAnsi="Garamond"/>
                <w:color w:val="auto"/>
                <w:u w:val="none"/>
                <w:lang w:val="en-AU"/>
              </w:rPr>
            </w:pPr>
            <w:hyperlink r:id="rId20" w:history="1">
              <w:r w:rsidR="00C841C3" w:rsidRPr="00DA2C4D">
                <w:rPr>
                  <w:rStyle w:val="Hyperlink"/>
                  <w:rFonts w:ascii="Garamond" w:hAnsi="Garamond"/>
                  <w:lang w:val="en-AU"/>
                </w:rPr>
                <w:t>https://doi.org/10.1071/PY19041</w:t>
              </w:r>
            </w:hyperlink>
          </w:p>
        </w:tc>
      </w:tr>
      <w:tr w:rsidR="00D12521" w:rsidRPr="000170DA" w:rsidTr="00F97E96">
        <w:tc>
          <w:tcPr>
            <w:tcW w:w="1080" w:type="dxa"/>
            <w:tcBorders>
              <w:top w:val="single" w:sz="4" w:space="0" w:color="auto"/>
              <w:left w:val="single" w:sz="4" w:space="0" w:color="auto"/>
              <w:bottom w:val="single" w:sz="4" w:space="0" w:color="auto"/>
              <w:right w:val="single" w:sz="4" w:space="0" w:color="auto"/>
            </w:tcBorders>
            <w:vAlign w:val="center"/>
          </w:tcPr>
          <w:p w:rsidR="00D12521" w:rsidRPr="000170DA" w:rsidRDefault="00D12521" w:rsidP="00F97E9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12521" w:rsidRDefault="00612702" w:rsidP="006E1B66">
            <w:pPr>
              <w:rPr>
                <w:rFonts w:ascii="Garamond" w:hAnsi="Garamond"/>
                <w:lang w:val="en-AU"/>
              </w:rPr>
            </w:pPr>
            <w:r>
              <w:rPr>
                <w:rFonts w:ascii="Garamond" w:hAnsi="Garamond"/>
                <w:lang w:val="en-AU"/>
              </w:rPr>
              <w:t>In this Australian p</w:t>
            </w:r>
            <w:r w:rsidR="006E1B66">
              <w:rPr>
                <w:rFonts w:ascii="Garamond" w:hAnsi="Garamond"/>
                <w:lang w:val="en-AU"/>
              </w:rPr>
              <w:t>aper</w:t>
            </w:r>
            <w:r>
              <w:rPr>
                <w:rFonts w:ascii="Garamond" w:hAnsi="Garamond"/>
                <w:lang w:val="en-AU"/>
              </w:rPr>
              <w:t>,</w:t>
            </w:r>
            <w:r w:rsidR="006E1B66">
              <w:rPr>
                <w:rFonts w:ascii="Garamond" w:hAnsi="Garamond"/>
                <w:lang w:val="en-AU"/>
              </w:rPr>
              <w:t xml:space="preserve"> </w:t>
            </w:r>
            <w:r>
              <w:rPr>
                <w:rFonts w:ascii="Garamond" w:hAnsi="Garamond"/>
                <w:lang w:val="en-AU"/>
              </w:rPr>
              <w:t>the authors review</w:t>
            </w:r>
            <w:r w:rsidR="006E1B66">
              <w:rPr>
                <w:rFonts w:ascii="Garamond" w:hAnsi="Garamond"/>
                <w:lang w:val="en-AU"/>
              </w:rPr>
              <w:t xml:space="preserve"> the value of having continuity of care (COC) and some of the barriers to achieving </w:t>
            </w:r>
            <w:r>
              <w:rPr>
                <w:rFonts w:ascii="Garamond" w:hAnsi="Garamond"/>
                <w:lang w:val="en-AU"/>
              </w:rPr>
              <w:t xml:space="preserve">it, </w:t>
            </w:r>
            <w:r w:rsidR="006E1B66">
              <w:rPr>
                <w:rFonts w:ascii="Garamond" w:hAnsi="Garamond"/>
                <w:lang w:val="en-AU"/>
              </w:rPr>
              <w:t xml:space="preserve">before presenting a series of recommendations for </w:t>
            </w:r>
            <w:r w:rsidR="006E1B66" w:rsidRPr="006E1B66">
              <w:rPr>
                <w:rFonts w:ascii="Garamond" w:hAnsi="Garamond"/>
                <w:lang w:val="en-AU"/>
              </w:rPr>
              <w:t>improving continuity of care</w:t>
            </w:r>
            <w:r w:rsidR="006E1B66">
              <w:rPr>
                <w:rFonts w:ascii="Garamond" w:hAnsi="Garamond"/>
                <w:lang w:val="en-AU"/>
              </w:rPr>
              <w:t xml:space="preserve"> in the primary care setting. The authors note that ‘</w:t>
            </w:r>
            <w:r w:rsidR="006E1B66" w:rsidRPr="006E1B66">
              <w:rPr>
                <w:rFonts w:ascii="Garamond" w:hAnsi="Garamond"/>
                <w:b/>
                <w:lang w:val="en-AU"/>
              </w:rPr>
              <w:t>Continuity of care</w:t>
            </w:r>
            <w:r w:rsidR="006E1B66" w:rsidRPr="006E1B66">
              <w:rPr>
                <w:rFonts w:ascii="Garamond" w:hAnsi="Garamond"/>
                <w:lang w:val="en-AU"/>
              </w:rPr>
              <w:t xml:space="preserve"> is accompanied by a range of patient benefits, including </w:t>
            </w:r>
            <w:r w:rsidR="006E1B66" w:rsidRPr="006E1B66">
              <w:rPr>
                <w:rFonts w:ascii="Garamond" w:hAnsi="Garamond"/>
                <w:b/>
                <w:lang w:val="en-AU"/>
              </w:rPr>
              <w:t>reduced all-cause mortality</w:t>
            </w:r>
            <w:r w:rsidR="006E1B66" w:rsidRPr="006E1B66">
              <w:rPr>
                <w:rFonts w:ascii="Garamond" w:hAnsi="Garamond"/>
                <w:lang w:val="en-AU"/>
              </w:rPr>
              <w:t xml:space="preserve">; </w:t>
            </w:r>
            <w:r w:rsidR="006E1B66" w:rsidRPr="006E1B66">
              <w:rPr>
                <w:rFonts w:ascii="Garamond" w:hAnsi="Garamond"/>
                <w:b/>
                <w:lang w:val="en-AU"/>
              </w:rPr>
              <w:t>lower rates of hospital presentation and preventable admission</w:t>
            </w:r>
            <w:r w:rsidR="006E1B66" w:rsidRPr="006E1B66">
              <w:rPr>
                <w:rFonts w:ascii="Garamond" w:hAnsi="Garamond"/>
                <w:lang w:val="en-AU"/>
              </w:rPr>
              <w:t xml:space="preserve">; and </w:t>
            </w:r>
            <w:r w:rsidR="006E1B66" w:rsidRPr="006E1B66">
              <w:rPr>
                <w:rFonts w:ascii="Garamond" w:hAnsi="Garamond"/>
                <w:b/>
                <w:lang w:val="en-AU"/>
              </w:rPr>
              <w:t>improved patient satisfaction</w:t>
            </w:r>
            <w:r w:rsidR="006E1B66">
              <w:rPr>
                <w:rFonts w:ascii="Garamond" w:hAnsi="Garamond"/>
                <w:lang w:val="en-AU"/>
              </w:rPr>
              <w:t xml:space="preserve">.’ </w:t>
            </w:r>
          </w:p>
          <w:p w:rsidR="006E1B66" w:rsidRDefault="00612702" w:rsidP="006E1B66">
            <w:pPr>
              <w:rPr>
                <w:rFonts w:ascii="Garamond" w:hAnsi="Garamond"/>
                <w:lang w:val="en-AU"/>
              </w:rPr>
            </w:pPr>
            <w:r>
              <w:rPr>
                <w:rFonts w:ascii="Garamond" w:hAnsi="Garamond"/>
                <w:lang w:val="en-AU"/>
              </w:rPr>
              <w:t>The authors note that continuity of care is not simply ‘</w:t>
            </w:r>
            <w:r w:rsidRPr="00612702">
              <w:rPr>
                <w:rFonts w:ascii="Garamond" w:hAnsi="Garamond"/>
                <w:lang w:val="en-AU"/>
              </w:rPr>
              <w:t>the longitudinal relationship between a single healthcare provider and a patient that extends beyond discrete episodes of care</w:t>
            </w:r>
            <w:r>
              <w:rPr>
                <w:rFonts w:ascii="Garamond" w:hAnsi="Garamond"/>
                <w:lang w:val="en-AU"/>
              </w:rPr>
              <w:t>’. As they write, ‘</w:t>
            </w:r>
            <w:r w:rsidRPr="00612702">
              <w:rPr>
                <w:rFonts w:ascii="Garamond" w:hAnsi="Garamond"/>
                <w:lang w:val="en-AU"/>
              </w:rPr>
              <w:t>There is also continuity of a health team, continuity of a health service, continuity of a specific service (such as mental health) and continuity of information within a health service. In primary care, continuity can be provided by any HCP</w:t>
            </w:r>
            <w:r>
              <w:rPr>
                <w:rFonts w:ascii="Garamond" w:hAnsi="Garamond"/>
                <w:lang w:val="en-AU"/>
              </w:rPr>
              <w:t xml:space="preserve"> [health care professional]</w:t>
            </w:r>
            <w:r w:rsidRPr="00612702">
              <w:rPr>
                <w:rFonts w:ascii="Garamond" w:hAnsi="Garamond"/>
                <w:lang w:val="en-AU"/>
              </w:rPr>
              <w:t>; including doctors, Indigenous health workers, nurses, midwives and allied health professionals.</w:t>
            </w:r>
            <w:r>
              <w:rPr>
                <w:rFonts w:ascii="Garamond" w:hAnsi="Garamond"/>
                <w:lang w:val="en-AU"/>
              </w:rPr>
              <w:t>’</w:t>
            </w:r>
          </w:p>
          <w:p w:rsidR="00612702" w:rsidRDefault="00612702" w:rsidP="006E1B66">
            <w:pPr>
              <w:rPr>
                <w:rFonts w:ascii="Garamond" w:hAnsi="Garamond"/>
                <w:lang w:val="en-AU"/>
              </w:rPr>
            </w:pPr>
          </w:p>
          <w:p w:rsidR="00C841C3" w:rsidRDefault="00C841C3" w:rsidP="006E1B66">
            <w:pPr>
              <w:rPr>
                <w:rFonts w:ascii="Garamond" w:hAnsi="Garamond"/>
                <w:lang w:val="en-AU"/>
              </w:rPr>
            </w:pPr>
            <w:r w:rsidRPr="00C841C3">
              <w:rPr>
                <w:rFonts w:ascii="Garamond" w:hAnsi="Garamond"/>
                <w:lang w:val="en-AU"/>
              </w:rPr>
              <w:t>Recommendations for improving continuity of care</w:t>
            </w:r>
          </w:p>
          <w:p w:rsidR="00C841C3" w:rsidRPr="00F44FEC" w:rsidRDefault="00C841C3" w:rsidP="006E1B66">
            <w:pPr>
              <w:rPr>
                <w:rFonts w:ascii="Garamond" w:hAnsi="Garamond"/>
                <w:lang w:val="en-AU"/>
              </w:rPr>
            </w:pPr>
            <w:r>
              <w:rPr>
                <w:rFonts w:ascii="Garamond" w:hAnsi="Garamond"/>
                <w:noProof/>
                <w:lang w:val="en-AU" w:eastAsia="en-AU"/>
              </w:rPr>
              <w:drawing>
                <wp:inline distT="0" distB="0" distL="0" distR="0">
                  <wp:extent cx="5114925" cy="5381625"/>
                  <wp:effectExtent l="0" t="0" r="9525" b="9525"/>
                  <wp:docPr id="1" name="Picture 1" descr="Table 1 from the paper 'Continuity of care: why it matters and what we can do'" title="Recommendations for improving continuity of car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PY19041_T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14925" cy="5381625"/>
                          </a:xfrm>
                          <a:prstGeom prst="rect">
                            <a:avLst/>
                          </a:prstGeom>
                          <a:noFill/>
                          <a:ln>
                            <a:noFill/>
                          </a:ln>
                        </pic:spPr>
                      </pic:pic>
                    </a:graphicData>
                  </a:graphic>
                </wp:inline>
              </w:drawing>
            </w:r>
          </w:p>
        </w:tc>
      </w:tr>
    </w:tbl>
    <w:p w:rsidR="00D12521" w:rsidRPr="00B40FBC" w:rsidRDefault="00B40FBC" w:rsidP="00D12521">
      <w:pPr>
        <w:keepNext/>
        <w:keepLines/>
        <w:autoSpaceDE w:val="0"/>
        <w:autoSpaceDN w:val="0"/>
        <w:adjustRightInd w:val="0"/>
        <w:rPr>
          <w:rFonts w:ascii="Garamond" w:hAnsi="Garamond"/>
          <w:i/>
          <w:lang w:val="en-AU"/>
        </w:rPr>
      </w:pPr>
      <w:r w:rsidRPr="00B40FBC">
        <w:rPr>
          <w:rFonts w:ascii="Garamond" w:hAnsi="Garamond"/>
          <w:i/>
          <w:lang w:val="en-AU"/>
        </w:rPr>
        <w:t>Hunter and New England Diabetes Alliance: innovative and integrated diabetes care delivery in general practice</w:t>
      </w:r>
    </w:p>
    <w:p w:rsidR="00097A4B" w:rsidRDefault="00097A4B" w:rsidP="00D12521">
      <w:pPr>
        <w:keepNext/>
        <w:keepLines/>
        <w:autoSpaceDE w:val="0"/>
        <w:autoSpaceDN w:val="0"/>
        <w:adjustRightInd w:val="0"/>
        <w:rPr>
          <w:rFonts w:ascii="Garamond" w:hAnsi="Garamond"/>
          <w:lang w:val="en-AU"/>
        </w:rPr>
      </w:pPr>
      <w:r w:rsidRPr="00097A4B">
        <w:rPr>
          <w:rFonts w:ascii="Garamond" w:hAnsi="Garamond"/>
          <w:lang w:val="en-AU"/>
        </w:rPr>
        <w:t>Acharya S, Philcox AN, Parsons M, Suthers B, Luu J, Lynch M, et al</w:t>
      </w:r>
    </w:p>
    <w:p w:rsidR="00B40FBC" w:rsidRDefault="00097A4B" w:rsidP="00D12521">
      <w:pPr>
        <w:keepNext/>
        <w:keepLines/>
        <w:autoSpaceDE w:val="0"/>
        <w:autoSpaceDN w:val="0"/>
        <w:adjustRightInd w:val="0"/>
        <w:rPr>
          <w:rFonts w:ascii="Garamond" w:hAnsi="Garamond"/>
          <w:lang w:val="en-AU"/>
        </w:rPr>
      </w:pPr>
      <w:r w:rsidRPr="00097A4B">
        <w:rPr>
          <w:rFonts w:ascii="Garamond" w:hAnsi="Garamond"/>
          <w:lang w:val="en-AU"/>
        </w:rPr>
        <w:t>Australian Journal of Primary Health. 2019</w:t>
      </w:r>
      <w:proofErr w:type="gramStart"/>
      <w:r w:rsidRPr="00097A4B">
        <w:rPr>
          <w:rFonts w:ascii="Garamond" w:hAnsi="Garamond"/>
          <w:lang w:val="en-AU"/>
        </w:rPr>
        <w:t>;25</w:t>
      </w:r>
      <w:proofErr w:type="gramEnd"/>
      <w:r w:rsidRPr="00097A4B">
        <w:rPr>
          <w:rFonts w:ascii="Garamond" w:hAnsi="Garamond"/>
          <w:lang w:val="en-AU"/>
        </w:rPr>
        <w:t>(3):219-43.</w:t>
      </w:r>
    </w:p>
    <w:tbl>
      <w:tblPr>
        <w:tblStyle w:val="TableGrid"/>
        <w:tblW w:w="9360" w:type="dxa"/>
        <w:tblInd w:w="288" w:type="dxa"/>
        <w:tblLayout w:type="fixed"/>
        <w:tblLook w:val="01E0" w:firstRow="1" w:lastRow="1" w:firstColumn="1" w:lastColumn="1" w:noHBand="0" w:noVBand="0"/>
      </w:tblPr>
      <w:tblGrid>
        <w:gridCol w:w="1080"/>
        <w:gridCol w:w="8280"/>
      </w:tblGrid>
      <w:tr w:rsidR="00D12521" w:rsidRPr="000170DA" w:rsidTr="00F97E96">
        <w:tc>
          <w:tcPr>
            <w:tcW w:w="1080" w:type="dxa"/>
            <w:tcBorders>
              <w:top w:val="single" w:sz="4" w:space="0" w:color="auto"/>
              <w:left w:val="single" w:sz="4" w:space="0" w:color="auto"/>
              <w:bottom w:val="single" w:sz="4" w:space="0" w:color="auto"/>
              <w:right w:val="single" w:sz="4" w:space="0" w:color="auto"/>
            </w:tcBorders>
            <w:vAlign w:val="center"/>
          </w:tcPr>
          <w:p w:rsidR="00D12521" w:rsidRPr="000170DA" w:rsidRDefault="00D12521" w:rsidP="00F97E9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40FBC" w:rsidRPr="000170DA" w:rsidRDefault="00BF271B" w:rsidP="00B40FBC">
            <w:pPr>
              <w:rPr>
                <w:rStyle w:val="Hyperlink"/>
                <w:rFonts w:ascii="Garamond" w:hAnsi="Garamond"/>
                <w:color w:val="auto"/>
                <w:u w:val="none"/>
                <w:lang w:val="en-AU"/>
              </w:rPr>
            </w:pPr>
            <w:hyperlink r:id="rId22" w:history="1">
              <w:r w:rsidR="00B40FBC" w:rsidRPr="00EE5787">
                <w:rPr>
                  <w:rStyle w:val="Hyperlink"/>
                  <w:rFonts w:ascii="Garamond" w:hAnsi="Garamond"/>
                  <w:lang w:val="en-AU"/>
                </w:rPr>
                <w:t>https://doi.org/10.1071/PY18179</w:t>
              </w:r>
            </w:hyperlink>
          </w:p>
        </w:tc>
      </w:tr>
      <w:tr w:rsidR="00D12521" w:rsidRPr="000170DA" w:rsidTr="00F97E96">
        <w:tc>
          <w:tcPr>
            <w:tcW w:w="1080" w:type="dxa"/>
            <w:tcBorders>
              <w:top w:val="single" w:sz="4" w:space="0" w:color="auto"/>
              <w:left w:val="single" w:sz="4" w:space="0" w:color="auto"/>
              <w:bottom w:val="single" w:sz="4" w:space="0" w:color="auto"/>
              <w:right w:val="single" w:sz="4" w:space="0" w:color="auto"/>
            </w:tcBorders>
            <w:vAlign w:val="center"/>
          </w:tcPr>
          <w:p w:rsidR="00D12521" w:rsidRPr="000170DA" w:rsidRDefault="00D12521" w:rsidP="00F97E9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12521" w:rsidRPr="00F44FEC" w:rsidRDefault="006E1B66" w:rsidP="00200752">
            <w:pPr>
              <w:rPr>
                <w:rFonts w:ascii="Garamond" w:hAnsi="Garamond"/>
                <w:lang w:val="en-AU"/>
              </w:rPr>
            </w:pPr>
            <w:r>
              <w:rPr>
                <w:rFonts w:ascii="Garamond" w:hAnsi="Garamond"/>
                <w:lang w:val="en-AU"/>
              </w:rPr>
              <w:t xml:space="preserve">Paper reporting on a </w:t>
            </w:r>
            <w:r w:rsidRPr="006E1B66">
              <w:rPr>
                <w:rFonts w:ascii="Garamond" w:hAnsi="Garamond"/>
                <w:lang w:val="en-AU"/>
              </w:rPr>
              <w:t xml:space="preserve">quality improvement program in diabetes health care across a large health district </w:t>
            </w:r>
            <w:r>
              <w:rPr>
                <w:rFonts w:ascii="Garamond" w:hAnsi="Garamond"/>
                <w:lang w:val="en-AU"/>
              </w:rPr>
              <w:t xml:space="preserve">that included </w:t>
            </w:r>
            <w:r w:rsidRPr="006E1B66">
              <w:rPr>
                <w:rFonts w:ascii="Garamond" w:hAnsi="Garamond"/>
                <w:lang w:val="en-AU"/>
              </w:rPr>
              <w:t xml:space="preserve">rural and remote geography and </w:t>
            </w:r>
            <w:r>
              <w:rPr>
                <w:rFonts w:ascii="Garamond" w:hAnsi="Garamond"/>
                <w:lang w:val="en-AU"/>
              </w:rPr>
              <w:t xml:space="preserve">a </w:t>
            </w:r>
            <w:r w:rsidRPr="006E1B66">
              <w:rPr>
                <w:rFonts w:ascii="Garamond" w:hAnsi="Garamond"/>
                <w:lang w:val="en-AU"/>
              </w:rPr>
              <w:t>limited specialist workforce. An integrated diabetes care model was implemented, linking specialist teams with primary care teams through capacity enhancing case-conferencing in general practice supported by comprehensive performance feedback with regular educational sessions.</w:t>
            </w:r>
            <w:r>
              <w:rPr>
                <w:rFonts w:ascii="Garamond" w:hAnsi="Garamond"/>
                <w:lang w:val="en-AU"/>
              </w:rPr>
              <w:t xml:space="preserve"> The paper reports on both the initial pilot project and a larger scale implementation across the region. Scaling projects often brings new challenges, just as sustaining change can be challenging. The authors argue that ‘</w:t>
            </w:r>
            <w:r w:rsidRPr="006E1B66">
              <w:rPr>
                <w:rFonts w:ascii="Garamond" w:hAnsi="Garamond"/>
                <w:lang w:val="en-AU"/>
              </w:rPr>
              <w:t>An integrated care model where specialist teams are engaged collaboratively with primary care teams in providing education, capacity-enhancing case-conferences and performance monitoring may achieve improved health outcomes for people with diabetes.</w:t>
            </w:r>
            <w:r>
              <w:rPr>
                <w:rFonts w:ascii="Garamond" w:hAnsi="Garamond"/>
                <w:lang w:val="en-AU"/>
              </w:rPr>
              <w:t>’ Benefits were not limited to improved patient outcomes but ‘included partnership and trust building</w:t>
            </w:r>
            <w:r w:rsidR="00097A4B">
              <w:rPr>
                <w:rFonts w:ascii="Garamond" w:hAnsi="Garamond"/>
                <w:lang w:val="en-AU"/>
              </w:rPr>
              <w:t xml:space="preserve"> between specialist and primary care’. </w:t>
            </w:r>
            <w:r>
              <w:rPr>
                <w:rFonts w:ascii="Garamond" w:hAnsi="Garamond"/>
                <w:lang w:val="en-AU"/>
              </w:rPr>
              <w:t>Further, the</w:t>
            </w:r>
            <w:r w:rsidR="00097A4B">
              <w:rPr>
                <w:rFonts w:ascii="Garamond" w:hAnsi="Garamond"/>
                <w:lang w:val="en-AU"/>
              </w:rPr>
              <w:t xml:space="preserve"> authors </w:t>
            </w:r>
            <w:r>
              <w:rPr>
                <w:rFonts w:ascii="Garamond" w:hAnsi="Garamond"/>
                <w:lang w:val="en-AU"/>
              </w:rPr>
              <w:t>suggest that this experience may be a model in building capacity across primary care for many chronic conditions.</w:t>
            </w:r>
          </w:p>
        </w:tc>
      </w:tr>
    </w:tbl>
    <w:p w:rsidR="00200752" w:rsidRDefault="00200752" w:rsidP="00236865">
      <w:pPr>
        <w:keepNext/>
        <w:keepLines/>
        <w:autoSpaceDE w:val="0"/>
        <w:autoSpaceDN w:val="0"/>
        <w:adjustRightInd w:val="0"/>
        <w:rPr>
          <w:rFonts w:ascii="Garamond" w:hAnsi="Garamond"/>
          <w:i/>
          <w:lang w:val="en-AU"/>
        </w:rPr>
      </w:pPr>
    </w:p>
    <w:p w:rsidR="00236865" w:rsidRPr="006E1B66" w:rsidRDefault="00236865" w:rsidP="00236865">
      <w:pPr>
        <w:keepNext/>
        <w:keepLines/>
        <w:autoSpaceDE w:val="0"/>
        <w:autoSpaceDN w:val="0"/>
        <w:adjustRightInd w:val="0"/>
        <w:rPr>
          <w:rFonts w:ascii="Garamond" w:hAnsi="Garamond"/>
          <w:i/>
          <w:lang w:val="en-AU"/>
        </w:rPr>
      </w:pPr>
      <w:r w:rsidRPr="006E1B66">
        <w:rPr>
          <w:rFonts w:ascii="Garamond" w:hAnsi="Garamond"/>
          <w:i/>
          <w:lang w:val="en-AU"/>
        </w:rPr>
        <w:t>Leadership development</w:t>
      </w:r>
      <w:r>
        <w:rPr>
          <w:rFonts w:ascii="Garamond" w:hAnsi="Garamond"/>
          <w:i/>
          <w:lang w:val="en-AU"/>
        </w:rPr>
        <w:t xml:space="preserve"> and primary care</w:t>
      </w:r>
    </w:p>
    <w:p w:rsidR="00BE06E5" w:rsidRDefault="00BE06E5" w:rsidP="00236865">
      <w:pPr>
        <w:keepNext/>
        <w:keepLines/>
        <w:autoSpaceDE w:val="0"/>
        <w:autoSpaceDN w:val="0"/>
        <w:adjustRightInd w:val="0"/>
        <w:rPr>
          <w:rFonts w:ascii="Garamond" w:hAnsi="Garamond"/>
          <w:lang w:val="en-AU"/>
        </w:rPr>
      </w:pPr>
      <w:r w:rsidRPr="00BE06E5">
        <w:rPr>
          <w:rFonts w:ascii="Garamond" w:hAnsi="Garamond"/>
          <w:lang w:val="en-AU"/>
        </w:rPr>
        <w:t>Swanwick T, Varnam R</w:t>
      </w:r>
    </w:p>
    <w:p w:rsidR="00236865" w:rsidRDefault="00BE06E5" w:rsidP="00236865">
      <w:pPr>
        <w:keepNext/>
        <w:keepLines/>
        <w:autoSpaceDE w:val="0"/>
        <w:autoSpaceDN w:val="0"/>
        <w:adjustRightInd w:val="0"/>
        <w:rPr>
          <w:rFonts w:ascii="Garamond" w:hAnsi="Garamond"/>
          <w:lang w:val="en-AU"/>
        </w:rPr>
      </w:pPr>
      <w:r w:rsidRPr="00BE06E5">
        <w:rPr>
          <w:rFonts w:ascii="Garamond" w:hAnsi="Garamond"/>
          <w:lang w:val="en-AU"/>
        </w:rPr>
        <w:t>BMJ Leader. 2019;3(2):59-61.</w:t>
      </w:r>
    </w:p>
    <w:tbl>
      <w:tblPr>
        <w:tblStyle w:val="TableGrid"/>
        <w:tblW w:w="9360" w:type="dxa"/>
        <w:tblInd w:w="288" w:type="dxa"/>
        <w:tblLayout w:type="fixed"/>
        <w:tblLook w:val="01E0" w:firstRow="1" w:lastRow="1" w:firstColumn="1" w:lastColumn="1" w:noHBand="0" w:noVBand="0"/>
      </w:tblPr>
      <w:tblGrid>
        <w:gridCol w:w="1080"/>
        <w:gridCol w:w="8280"/>
      </w:tblGrid>
      <w:tr w:rsidR="00236865" w:rsidRPr="000170DA" w:rsidTr="00F97E96">
        <w:tc>
          <w:tcPr>
            <w:tcW w:w="1080" w:type="dxa"/>
            <w:tcBorders>
              <w:top w:val="single" w:sz="4" w:space="0" w:color="auto"/>
              <w:left w:val="single" w:sz="4" w:space="0" w:color="auto"/>
              <w:bottom w:val="single" w:sz="4" w:space="0" w:color="auto"/>
              <w:right w:val="single" w:sz="4" w:space="0" w:color="auto"/>
            </w:tcBorders>
            <w:vAlign w:val="center"/>
          </w:tcPr>
          <w:p w:rsidR="00236865" w:rsidRPr="000170DA" w:rsidRDefault="00236865" w:rsidP="00F97E9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36865" w:rsidRPr="000170DA" w:rsidRDefault="00BF271B" w:rsidP="00F97E96">
            <w:pPr>
              <w:rPr>
                <w:rStyle w:val="Hyperlink"/>
                <w:rFonts w:ascii="Garamond" w:hAnsi="Garamond"/>
                <w:color w:val="auto"/>
                <w:u w:val="none"/>
                <w:lang w:val="en-AU"/>
              </w:rPr>
            </w:pPr>
            <w:hyperlink r:id="rId23" w:history="1">
              <w:r w:rsidR="00F97E96" w:rsidRPr="00EE5787">
                <w:rPr>
                  <w:rStyle w:val="Hyperlink"/>
                  <w:rFonts w:ascii="Garamond" w:hAnsi="Garamond"/>
                  <w:lang w:val="en-AU"/>
                </w:rPr>
                <w:t>http://dx.doi.org/10.1136/leader-2019-000145</w:t>
              </w:r>
            </w:hyperlink>
          </w:p>
        </w:tc>
      </w:tr>
      <w:tr w:rsidR="00236865" w:rsidRPr="000170DA" w:rsidTr="00F97E96">
        <w:tc>
          <w:tcPr>
            <w:tcW w:w="1080" w:type="dxa"/>
            <w:tcBorders>
              <w:top w:val="single" w:sz="4" w:space="0" w:color="auto"/>
              <w:left w:val="single" w:sz="4" w:space="0" w:color="auto"/>
              <w:bottom w:val="single" w:sz="4" w:space="0" w:color="auto"/>
              <w:right w:val="single" w:sz="4" w:space="0" w:color="auto"/>
            </w:tcBorders>
            <w:vAlign w:val="center"/>
          </w:tcPr>
          <w:p w:rsidR="00236865" w:rsidRPr="000170DA" w:rsidRDefault="00236865" w:rsidP="00F97E9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36865" w:rsidRPr="00F44FEC" w:rsidRDefault="00F97E96" w:rsidP="00BE06E5">
            <w:pPr>
              <w:rPr>
                <w:rFonts w:ascii="Garamond" w:hAnsi="Garamond"/>
                <w:lang w:val="en-AU"/>
              </w:rPr>
            </w:pPr>
            <w:r>
              <w:rPr>
                <w:rFonts w:ascii="Garamond" w:hAnsi="Garamond"/>
                <w:lang w:val="en-AU"/>
              </w:rPr>
              <w:t xml:space="preserve">Commentary piece arguing that given the role that primary care </w:t>
            </w:r>
            <w:r w:rsidR="00BE06E5">
              <w:rPr>
                <w:rFonts w:ascii="Garamond" w:hAnsi="Garamond"/>
                <w:lang w:val="en-AU"/>
              </w:rPr>
              <w:t xml:space="preserve">could play in delivering an effective and sustainable health system, there is a need to develop the </w:t>
            </w:r>
            <w:r w:rsidR="00BE06E5" w:rsidRPr="00BE06E5">
              <w:rPr>
                <w:rFonts w:ascii="Garamond" w:hAnsi="Garamond"/>
                <w:b/>
                <w:lang w:val="en-AU"/>
              </w:rPr>
              <w:t>leadership by and for primary care</w:t>
            </w:r>
            <w:r w:rsidR="00BE06E5">
              <w:rPr>
                <w:rFonts w:ascii="Garamond" w:hAnsi="Garamond"/>
                <w:lang w:val="en-AU"/>
              </w:rPr>
              <w:t>. The authors call for a ‘future w</w:t>
            </w:r>
            <w:r w:rsidR="00BE06E5" w:rsidRPr="00BE06E5">
              <w:rPr>
                <w:rFonts w:ascii="Garamond" w:hAnsi="Garamond"/>
                <w:lang w:val="en-AU"/>
              </w:rPr>
              <w:t>here leadership and management is welcomed and embraced by the primary care community as an essential part of their professional responsibilities</w:t>
            </w:r>
            <w:r w:rsidR="00BE06E5">
              <w:rPr>
                <w:rFonts w:ascii="Garamond" w:hAnsi="Garamond"/>
                <w:lang w:val="en-AU"/>
              </w:rPr>
              <w:t xml:space="preserve">’ and this will contribute to </w:t>
            </w:r>
            <w:r w:rsidR="00BE06E5" w:rsidRPr="00BE06E5">
              <w:rPr>
                <w:rFonts w:ascii="Garamond" w:hAnsi="Garamond"/>
                <w:b/>
                <w:lang w:val="en-AU"/>
              </w:rPr>
              <w:t>primary care</w:t>
            </w:r>
            <w:r w:rsidR="00BE06E5" w:rsidRPr="00BE06E5">
              <w:rPr>
                <w:rFonts w:ascii="Garamond" w:hAnsi="Garamond"/>
                <w:lang w:val="en-AU"/>
              </w:rPr>
              <w:t xml:space="preserve"> tak</w:t>
            </w:r>
            <w:r w:rsidR="00BE06E5">
              <w:rPr>
                <w:rFonts w:ascii="Garamond" w:hAnsi="Garamond"/>
                <w:lang w:val="en-AU"/>
              </w:rPr>
              <w:t>ing</w:t>
            </w:r>
            <w:r w:rsidR="00BE06E5" w:rsidRPr="00BE06E5">
              <w:rPr>
                <w:rFonts w:ascii="Garamond" w:hAnsi="Garamond"/>
                <w:lang w:val="en-AU"/>
              </w:rPr>
              <w:t xml:space="preserve"> </w:t>
            </w:r>
            <w:r w:rsidR="00BE06E5">
              <w:rPr>
                <w:rFonts w:ascii="Garamond" w:hAnsi="Garamond"/>
                <w:lang w:val="en-AU"/>
              </w:rPr>
              <w:t>‘</w:t>
            </w:r>
            <w:r w:rsidR="00BE06E5" w:rsidRPr="00BE06E5">
              <w:rPr>
                <w:rFonts w:ascii="Garamond" w:hAnsi="Garamond"/>
                <w:lang w:val="en-AU"/>
              </w:rPr>
              <w:t xml:space="preserve">its place in </w:t>
            </w:r>
            <w:r w:rsidR="00BE06E5" w:rsidRPr="00BE06E5">
              <w:rPr>
                <w:rFonts w:ascii="Garamond" w:hAnsi="Garamond"/>
                <w:b/>
                <w:lang w:val="en-AU"/>
              </w:rPr>
              <w:t>leading the profound system changes</w:t>
            </w:r>
            <w:r w:rsidR="00BE06E5" w:rsidRPr="00BE06E5">
              <w:rPr>
                <w:rFonts w:ascii="Garamond" w:hAnsi="Garamond"/>
                <w:lang w:val="en-AU"/>
              </w:rPr>
              <w:t xml:space="preserve"> required in health and care to respond to the future needs of patients, local communities and wider populations</w:t>
            </w:r>
            <w:r w:rsidR="00BE06E5">
              <w:rPr>
                <w:rFonts w:ascii="Garamond" w:hAnsi="Garamond"/>
                <w:lang w:val="en-AU"/>
              </w:rPr>
              <w:t>’</w:t>
            </w:r>
            <w:r w:rsidR="00BE06E5" w:rsidRPr="00BE06E5">
              <w:rPr>
                <w:rFonts w:ascii="Garamond" w:hAnsi="Garamond"/>
                <w:lang w:val="en-AU"/>
              </w:rPr>
              <w:t>.</w:t>
            </w:r>
          </w:p>
        </w:tc>
      </w:tr>
    </w:tbl>
    <w:p w:rsidR="00236865" w:rsidRDefault="00236865" w:rsidP="00236865">
      <w:pPr>
        <w:keepNext/>
        <w:rPr>
          <w:rFonts w:ascii="Garamond" w:hAnsi="Garamond"/>
          <w:i/>
          <w:lang w:val="en-AU"/>
        </w:rPr>
      </w:pPr>
    </w:p>
    <w:p w:rsidR="00BE06E5" w:rsidRPr="00EA146B" w:rsidRDefault="00BE06E5" w:rsidP="00BE06E5">
      <w:pPr>
        <w:keepNext/>
        <w:keepLines/>
        <w:autoSpaceDE w:val="0"/>
        <w:autoSpaceDN w:val="0"/>
        <w:adjustRightInd w:val="0"/>
        <w:rPr>
          <w:rFonts w:ascii="Garamond" w:hAnsi="Garamond"/>
          <w:i/>
          <w:lang w:val="en-AU"/>
        </w:rPr>
      </w:pPr>
      <w:r w:rsidRPr="00EA146B">
        <w:rPr>
          <w:rFonts w:ascii="Garamond" w:hAnsi="Garamond"/>
          <w:i/>
          <w:lang w:val="en-AU"/>
        </w:rPr>
        <w:t>Reducing door-to-needle times in stroke thrombolysis to 13 min through protocol revision and simulation training: a quality improvement project in a Norwegian stroke centre</w:t>
      </w:r>
    </w:p>
    <w:p w:rsidR="00BE06E5" w:rsidRDefault="00BE06E5" w:rsidP="00BE06E5">
      <w:pPr>
        <w:keepNext/>
        <w:keepLines/>
        <w:autoSpaceDE w:val="0"/>
        <w:autoSpaceDN w:val="0"/>
        <w:adjustRightInd w:val="0"/>
        <w:rPr>
          <w:rFonts w:ascii="Garamond" w:hAnsi="Garamond"/>
          <w:lang w:val="en-AU"/>
        </w:rPr>
      </w:pPr>
      <w:r w:rsidRPr="00EA146B">
        <w:rPr>
          <w:rFonts w:ascii="Garamond" w:hAnsi="Garamond"/>
          <w:lang w:val="en-AU"/>
        </w:rPr>
        <w:t>Ajmi SC, Advani R, Fjetland L, Kurz KD, Lindner T, Qvindesland SA, et al</w:t>
      </w:r>
    </w:p>
    <w:p w:rsidR="00BE06E5" w:rsidRDefault="00BE06E5" w:rsidP="00BE06E5">
      <w:pPr>
        <w:keepNext/>
        <w:keepLines/>
        <w:autoSpaceDE w:val="0"/>
        <w:autoSpaceDN w:val="0"/>
        <w:adjustRightInd w:val="0"/>
        <w:rPr>
          <w:rFonts w:ascii="Garamond" w:hAnsi="Garamond"/>
          <w:lang w:val="en-AU"/>
        </w:rPr>
      </w:pPr>
      <w:r w:rsidRPr="00EA146B">
        <w:rPr>
          <w:rFonts w:ascii="Garamond" w:hAnsi="Garamond"/>
          <w:lang w:val="en-AU"/>
        </w:rPr>
        <w:t>BMJ Quality &amp; Safety. 2019</w:t>
      </w:r>
      <w:r>
        <w:rPr>
          <w:rFonts w:ascii="Garamond" w:hAnsi="Garamond"/>
          <w:lang w:val="en-AU"/>
        </w:rPr>
        <w:t xml:space="preserve"> [epub]</w:t>
      </w:r>
      <w:r w:rsidRPr="00EA146B">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BE06E5" w:rsidRPr="000170DA" w:rsidTr="000E668B">
        <w:tc>
          <w:tcPr>
            <w:tcW w:w="1080" w:type="dxa"/>
            <w:tcBorders>
              <w:top w:val="single" w:sz="4" w:space="0" w:color="auto"/>
              <w:left w:val="single" w:sz="4" w:space="0" w:color="auto"/>
              <w:bottom w:val="single" w:sz="4" w:space="0" w:color="auto"/>
              <w:right w:val="single" w:sz="4" w:space="0" w:color="auto"/>
            </w:tcBorders>
            <w:vAlign w:val="center"/>
          </w:tcPr>
          <w:p w:rsidR="00BE06E5" w:rsidRPr="000170DA" w:rsidRDefault="00BE06E5" w:rsidP="000E668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E06E5" w:rsidRPr="000170DA" w:rsidRDefault="00BF271B" w:rsidP="000E668B">
            <w:pPr>
              <w:rPr>
                <w:rStyle w:val="Hyperlink"/>
                <w:rFonts w:ascii="Garamond" w:hAnsi="Garamond"/>
                <w:color w:val="auto"/>
                <w:u w:val="none"/>
                <w:lang w:val="en-AU"/>
              </w:rPr>
            </w:pPr>
            <w:hyperlink r:id="rId24" w:history="1">
              <w:r w:rsidR="00BE06E5" w:rsidRPr="00EE5787">
                <w:rPr>
                  <w:rStyle w:val="Hyperlink"/>
                  <w:rFonts w:ascii="Garamond" w:hAnsi="Garamond"/>
                  <w:lang w:val="en-AU"/>
                </w:rPr>
                <w:t>https://doi.org/10.1136/bmjqs-2018-009117</w:t>
              </w:r>
            </w:hyperlink>
          </w:p>
        </w:tc>
      </w:tr>
      <w:tr w:rsidR="00BE06E5" w:rsidRPr="000170DA" w:rsidTr="000E668B">
        <w:tc>
          <w:tcPr>
            <w:tcW w:w="1080" w:type="dxa"/>
            <w:tcBorders>
              <w:top w:val="single" w:sz="4" w:space="0" w:color="auto"/>
              <w:left w:val="single" w:sz="4" w:space="0" w:color="auto"/>
              <w:bottom w:val="single" w:sz="4" w:space="0" w:color="auto"/>
              <w:right w:val="single" w:sz="4" w:space="0" w:color="auto"/>
            </w:tcBorders>
            <w:vAlign w:val="center"/>
          </w:tcPr>
          <w:p w:rsidR="00BE06E5" w:rsidRPr="000170DA" w:rsidRDefault="00BE06E5" w:rsidP="000E668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E06E5" w:rsidRPr="00F44FEC" w:rsidRDefault="00BE06E5" w:rsidP="000E668B">
            <w:pPr>
              <w:rPr>
                <w:rFonts w:ascii="Garamond" w:hAnsi="Garamond"/>
                <w:lang w:val="en-AU"/>
              </w:rPr>
            </w:pPr>
            <w:r>
              <w:rPr>
                <w:rFonts w:ascii="Garamond" w:hAnsi="Garamond"/>
                <w:lang w:val="en-AU"/>
              </w:rPr>
              <w:t>Door-to-needle time is recognised as being of vital importance for those suffering</w:t>
            </w:r>
            <w:r>
              <w:t xml:space="preserve"> </w:t>
            </w:r>
            <w:r w:rsidRPr="00EA146B">
              <w:rPr>
                <w:rFonts w:ascii="Garamond" w:hAnsi="Garamond"/>
                <w:lang w:val="en-AU"/>
              </w:rPr>
              <w:t>acute ischaemic stroke</w:t>
            </w:r>
            <w:r>
              <w:rPr>
                <w:rFonts w:ascii="Garamond" w:hAnsi="Garamond"/>
                <w:lang w:val="en-AU"/>
              </w:rPr>
              <w:t xml:space="preserve">. This quality improvement report describes how a Norwegian stroke centre that had </w:t>
            </w:r>
            <w:r w:rsidRPr="00EA146B">
              <w:rPr>
                <w:rFonts w:ascii="Garamond" w:hAnsi="Garamond"/>
                <w:lang w:val="en-AU"/>
              </w:rPr>
              <w:t>achieved and sustained a median doo</w:t>
            </w:r>
            <w:r>
              <w:rPr>
                <w:rFonts w:ascii="Garamond" w:hAnsi="Garamond"/>
                <w:lang w:val="en-AU"/>
              </w:rPr>
              <w:t xml:space="preserve">r-to-needle time of under 30 minutes sought to further </w:t>
            </w:r>
            <w:r w:rsidRPr="00EA146B">
              <w:rPr>
                <w:rFonts w:ascii="Garamond" w:hAnsi="Garamond"/>
                <w:lang w:val="en-AU"/>
              </w:rPr>
              <w:t xml:space="preserve">reduce </w:t>
            </w:r>
            <w:r>
              <w:rPr>
                <w:rFonts w:ascii="Garamond" w:hAnsi="Garamond"/>
                <w:lang w:val="en-AU"/>
              </w:rPr>
              <w:t xml:space="preserve">the </w:t>
            </w:r>
            <w:r w:rsidRPr="00EA146B">
              <w:rPr>
                <w:rFonts w:ascii="Garamond" w:hAnsi="Garamond"/>
                <w:lang w:val="en-AU"/>
              </w:rPr>
              <w:t>door-to-needle times in stroke thrombolysis.</w:t>
            </w:r>
            <w:r>
              <w:rPr>
                <w:rFonts w:ascii="Garamond" w:hAnsi="Garamond"/>
                <w:lang w:val="en-AU"/>
              </w:rPr>
              <w:t xml:space="preserve"> Engaging the entire acute stroke treatment team and refining their treatment protocol saw their </w:t>
            </w:r>
            <w:r w:rsidRPr="00EA146B">
              <w:rPr>
                <w:rFonts w:ascii="Garamond" w:hAnsi="Garamond"/>
                <w:b/>
                <w:lang w:val="en-AU"/>
              </w:rPr>
              <w:t>median door to needle times were reduced from 27 to 13 minutes</w:t>
            </w:r>
            <w:r w:rsidRPr="00EA146B">
              <w:rPr>
                <w:rFonts w:ascii="Garamond" w:hAnsi="Garamond"/>
                <w:lang w:val="en-AU"/>
              </w:rPr>
              <w:t xml:space="preserve"> and remained consistent after 13 months. </w:t>
            </w:r>
            <w:r>
              <w:rPr>
                <w:rFonts w:ascii="Garamond" w:hAnsi="Garamond"/>
                <w:lang w:val="en-AU"/>
              </w:rPr>
              <w:t>The authors report that ‘</w:t>
            </w:r>
            <w:r w:rsidRPr="00EA146B">
              <w:rPr>
                <w:rFonts w:ascii="Garamond" w:hAnsi="Garamond"/>
                <w:lang w:val="en-AU"/>
              </w:rPr>
              <w:t>Risk-adjusted cumulative sum charts indicate a reduced proportion of patients deceased or bedridden after 90 days. There was no significant change in balancing measures (stroke mimics, fatal intracranial haemorrhage and prehospital times).</w:t>
            </w:r>
            <w:r>
              <w:rPr>
                <w:rFonts w:ascii="Garamond" w:hAnsi="Garamond"/>
                <w:lang w:val="en-AU"/>
              </w:rPr>
              <w:t>’</w:t>
            </w:r>
          </w:p>
        </w:tc>
      </w:tr>
    </w:tbl>
    <w:p w:rsidR="00B40FBC" w:rsidRDefault="00B40FBC" w:rsidP="00D12521">
      <w:pPr>
        <w:keepNext/>
        <w:keepLines/>
        <w:autoSpaceDE w:val="0"/>
        <w:autoSpaceDN w:val="0"/>
        <w:adjustRightInd w:val="0"/>
        <w:rPr>
          <w:rFonts w:ascii="Garamond" w:hAnsi="Garamond"/>
          <w:i/>
          <w:lang w:val="en-AU"/>
        </w:rPr>
      </w:pPr>
      <w:r w:rsidRPr="00B40FBC">
        <w:rPr>
          <w:rFonts w:ascii="Garamond" w:hAnsi="Garamond"/>
          <w:i/>
          <w:lang w:val="en-AU"/>
        </w:rPr>
        <w:t>Serious misdiagnosis-related harms in malpractice claims: The “Big Three” – vascular events, infections, and cancers</w:t>
      </w:r>
    </w:p>
    <w:p w:rsidR="00200752" w:rsidRDefault="00200752" w:rsidP="00D12521">
      <w:pPr>
        <w:keepNext/>
        <w:keepLines/>
        <w:autoSpaceDE w:val="0"/>
        <w:autoSpaceDN w:val="0"/>
        <w:adjustRightInd w:val="0"/>
        <w:rPr>
          <w:rFonts w:ascii="Garamond" w:hAnsi="Garamond"/>
          <w:lang w:val="en-AU"/>
        </w:rPr>
      </w:pPr>
      <w:r w:rsidRPr="00200752">
        <w:rPr>
          <w:rFonts w:ascii="Garamond" w:hAnsi="Garamond"/>
          <w:lang w:val="en-AU"/>
        </w:rPr>
        <w:t>Newman-Toker David E, Schaffer Adam C, Yu-Moe CW, Nassery N, Saber Tehrani Ali S, Clemens Gwendolyn D, et al</w:t>
      </w:r>
    </w:p>
    <w:p w:rsidR="00200752" w:rsidRPr="00200752" w:rsidRDefault="00200752" w:rsidP="00D12521">
      <w:pPr>
        <w:keepNext/>
        <w:keepLines/>
        <w:autoSpaceDE w:val="0"/>
        <w:autoSpaceDN w:val="0"/>
        <w:adjustRightInd w:val="0"/>
        <w:rPr>
          <w:rFonts w:ascii="Garamond" w:hAnsi="Garamond"/>
          <w:lang w:val="en-AU"/>
        </w:rPr>
      </w:pPr>
      <w:r w:rsidRPr="00200752">
        <w:rPr>
          <w:rFonts w:ascii="Garamond" w:hAnsi="Garamond"/>
          <w:lang w:val="en-AU"/>
        </w:rPr>
        <w:t>Diagnosis. 2019</w:t>
      </w:r>
      <w:r>
        <w:rPr>
          <w:rFonts w:ascii="Garamond" w:hAnsi="Garamond"/>
          <w:lang w:val="en-AU"/>
        </w:rPr>
        <w:t xml:space="preserve"> [epub]</w:t>
      </w:r>
      <w:r w:rsidRPr="00200752">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D12521" w:rsidRPr="000170DA" w:rsidTr="00F97E96">
        <w:tc>
          <w:tcPr>
            <w:tcW w:w="1080" w:type="dxa"/>
            <w:tcBorders>
              <w:top w:val="single" w:sz="4" w:space="0" w:color="auto"/>
              <w:left w:val="single" w:sz="4" w:space="0" w:color="auto"/>
              <w:bottom w:val="single" w:sz="4" w:space="0" w:color="auto"/>
              <w:right w:val="single" w:sz="4" w:space="0" w:color="auto"/>
            </w:tcBorders>
            <w:vAlign w:val="center"/>
          </w:tcPr>
          <w:p w:rsidR="00D12521" w:rsidRPr="000170DA" w:rsidRDefault="00D12521" w:rsidP="00F97E9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12521" w:rsidRPr="000170DA" w:rsidRDefault="00BF271B" w:rsidP="00F97E96">
            <w:pPr>
              <w:rPr>
                <w:rStyle w:val="Hyperlink"/>
                <w:rFonts w:ascii="Garamond" w:hAnsi="Garamond"/>
                <w:color w:val="auto"/>
                <w:u w:val="none"/>
                <w:lang w:val="en-AU"/>
              </w:rPr>
            </w:pPr>
            <w:hyperlink r:id="rId25" w:history="1">
              <w:r w:rsidR="00200752" w:rsidRPr="00EE5787">
                <w:rPr>
                  <w:rStyle w:val="Hyperlink"/>
                  <w:rFonts w:ascii="Garamond" w:hAnsi="Garamond"/>
                  <w:lang w:val="en-AU"/>
                </w:rPr>
                <w:t>https://doi.org/10.1515/dx-2019-0019</w:t>
              </w:r>
            </w:hyperlink>
          </w:p>
        </w:tc>
      </w:tr>
      <w:tr w:rsidR="00D12521" w:rsidRPr="000170DA" w:rsidTr="00F97E96">
        <w:tc>
          <w:tcPr>
            <w:tcW w:w="1080" w:type="dxa"/>
            <w:tcBorders>
              <w:top w:val="single" w:sz="4" w:space="0" w:color="auto"/>
              <w:left w:val="single" w:sz="4" w:space="0" w:color="auto"/>
              <w:bottom w:val="single" w:sz="4" w:space="0" w:color="auto"/>
              <w:right w:val="single" w:sz="4" w:space="0" w:color="auto"/>
            </w:tcBorders>
            <w:vAlign w:val="center"/>
          </w:tcPr>
          <w:p w:rsidR="00D12521" w:rsidRPr="000170DA" w:rsidRDefault="00D12521" w:rsidP="00F97E9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2702" w:rsidRPr="00612702" w:rsidRDefault="00612702" w:rsidP="00612702">
            <w:pPr>
              <w:rPr>
                <w:rFonts w:ascii="Garamond" w:hAnsi="Garamond"/>
                <w:lang w:val="en-AU"/>
              </w:rPr>
            </w:pPr>
            <w:r>
              <w:rPr>
                <w:rFonts w:ascii="Garamond" w:hAnsi="Garamond"/>
                <w:lang w:val="en-AU"/>
              </w:rPr>
              <w:t xml:space="preserve">Issues around diagnosis, whether that be misdiagnosis, diagnostic error or over-diagnosis, have come to the fore in recent years. The scale of each or any of these is not always clear. This paper reports on an attempt to the estimate the burden of serious misdiagnosis-related harms in the USA. The study </w:t>
            </w:r>
            <w:r w:rsidRPr="00612702">
              <w:rPr>
                <w:rFonts w:ascii="Garamond" w:hAnsi="Garamond"/>
                <w:lang w:val="en-AU"/>
              </w:rPr>
              <w:t xml:space="preserve">sought to identify diseases accounting for the majority of serious misdiagnosis-related harms (morbidity/mortality). </w:t>
            </w:r>
            <w:r>
              <w:rPr>
                <w:rFonts w:ascii="Garamond" w:hAnsi="Garamond"/>
                <w:lang w:val="en-AU"/>
              </w:rPr>
              <w:t xml:space="preserve">The study used </w:t>
            </w:r>
            <w:r w:rsidRPr="00612702">
              <w:rPr>
                <w:rFonts w:ascii="Garamond" w:hAnsi="Garamond"/>
                <w:lang w:val="en-AU"/>
              </w:rPr>
              <w:t>malpractice claims</w:t>
            </w:r>
            <w:r>
              <w:rPr>
                <w:rFonts w:ascii="Garamond" w:hAnsi="Garamond"/>
                <w:lang w:val="en-AU"/>
              </w:rPr>
              <w:t xml:space="preserve"> data and </w:t>
            </w:r>
            <w:r w:rsidRPr="00612702">
              <w:rPr>
                <w:rFonts w:ascii="Garamond" w:hAnsi="Garamond"/>
                <w:lang w:val="en-AU"/>
              </w:rPr>
              <w:t>analy</w:t>
            </w:r>
            <w:r>
              <w:rPr>
                <w:rFonts w:ascii="Garamond" w:hAnsi="Garamond"/>
                <w:lang w:val="en-AU"/>
              </w:rPr>
              <w:t>s</w:t>
            </w:r>
            <w:r w:rsidRPr="00612702">
              <w:rPr>
                <w:rFonts w:ascii="Garamond" w:hAnsi="Garamond"/>
                <w:lang w:val="en-AU"/>
              </w:rPr>
              <w:t xml:space="preserve">ed vascular events, infections, and cancers, including frequency, severity, and settings. </w:t>
            </w:r>
            <w:r>
              <w:rPr>
                <w:rFonts w:ascii="Garamond" w:hAnsi="Garamond"/>
                <w:lang w:val="en-AU"/>
              </w:rPr>
              <w:t xml:space="preserve">The </w:t>
            </w:r>
            <w:r w:rsidR="00F97E96">
              <w:rPr>
                <w:rFonts w:ascii="Garamond" w:hAnsi="Garamond"/>
                <w:lang w:val="en-AU"/>
              </w:rPr>
              <w:t>aut</w:t>
            </w:r>
            <w:r>
              <w:rPr>
                <w:rFonts w:ascii="Garamond" w:hAnsi="Garamond"/>
                <w:lang w:val="en-AU"/>
              </w:rPr>
              <w:t>h</w:t>
            </w:r>
            <w:r w:rsidR="00F97E96">
              <w:rPr>
                <w:rFonts w:ascii="Garamond" w:hAnsi="Garamond"/>
                <w:lang w:val="en-AU"/>
              </w:rPr>
              <w:t>o</w:t>
            </w:r>
            <w:r>
              <w:rPr>
                <w:rFonts w:ascii="Garamond" w:hAnsi="Garamond"/>
                <w:lang w:val="en-AU"/>
              </w:rPr>
              <w:t>rs report that f</w:t>
            </w:r>
            <w:r w:rsidRPr="00612702">
              <w:rPr>
                <w:rFonts w:ascii="Garamond" w:hAnsi="Garamond"/>
                <w:lang w:val="en-AU"/>
              </w:rPr>
              <w:t xml:space="preserve">rom </w:t>
            </w:r>
            <w:r w:rsidRPr="00F97E96">
              <w:rPr>
                <w:rFonts w:ascii="Garamond" w:hAnsi="Garamond"/>
                <w:b/>
                <w:lang w:val="en-AU"/>
              </w:rPr>
              <w:t>55,377 closed malpractice claims</w:t>
            </w:r>
            <w:r w:rsidRPr="00612702">
              <w:rPr>
                <w:rFonts w:ascii="Garamond" w:hAnsi="Garamond"/>
                <w:lang w:val="en-AU"/>
              </w:rPr>
              <w:t xml:space="preserve">, </w:t>
            </w:r>
            <w:r>
              <w:rPr>
                <w:rFonts w:ascii="Garamond" w:hAnsi="Garamond"/>
                <w:lang w:val="en-AU"/>
              </w:rPr>
              <w:t xml:space="preserve">they found </w:t>
            </w:r>
            <w:r w:rsidRPr="00F97E96">
              <w:rPr>
                <w:rFonts w:ascii="Garamond" w:hAnsi="Garamond"/>
                <w:b/>
                <w:lang w:val="en-AU"/>
              </w:rPr>
              <w:t>11,592 diagnostic error cases</w:t>
            </w:r>
            <w:r w:rsidRPr="00612702">
              <w:rPr>
                <w:rFonts w:ascii="Garamond" w:hAnsi="Garamond"/>
                <w:lang w:val="en-AU"/>
              </w:rPr>
              <w:t xml:space="preserve"> [median age 49, interquartile range (IQR) 36–60; 51.7% female]</w:t>
            </w:r>
            <w:r w:rsidR="00F97E96">
              <w:rPr>
                <w:rFonts w:ascii="Garamond" w:hAnsi="Garamond"/>
                <w:lang w:val="en-AU"/>
              </w:rPr>
              <w:t xml:space="preserve"> including </w:t>
            </w:r>
            <w:r w:rsidRPr="00612702">
              <w:rPr>
                <w:rFonts w:ascii="Garamond" w:hAnsi="Garamond"/>
                <w:lang w:val="en-AU"/>
              </w:rPr>
              <w:t>7379 with high-severity harms (53.0% death). The</w:t>
            </w:r>
            <w:r w:rsidR="00F97E96">
              <w:rPr>
                <w:rFonts w:ascii="Garamond" w:hAnsi="Garamond"/>
                <w:lang w:val="en-AU"/>
              </w:rPr>
              <w:t>y report that the ‘</w:t>
            </w:r>
            <w:r w:rsidRPr="00612702">
              <w:rPr>
                <w:rFonts w:ascii="Garamond" w:hAnsi="Garamond"/>
                <w:lang w:val="en-AU"/>
              </w:rPr>
              <w:t>Big Three diseases accounted for 74.1% of high-severity cases (</w:t>
            </w:r>
            <w:r w:rsidRPr="00F97E96">
              <w:rPr>
                <w:rFonts w:ascii="Garamond" w:hAnsi="Garamond"/>
                <w:b/>
                <w:lang w:val="en-AU"/>
              </w:rPr>
              <w:t>vascular events 22.8%, infections 13.5%, and cancers 37.8%</w:t>
            </w:r>
            <w:r w:rsidRPr="00612702">
              <w:rPr>
                <w:rFonts w:ascii="Garamond" w:hAnsi="Garamond"/>
                <w:lang w:val="en-AU"/>
              </w:rPr>
              <w:t>). In aggregate, the top five from each category (n</w:t>
            </w:r>
            <w:r w:rsidRPr="00612702">
              <w:rPr>
                <w:lang w:val="en-AU"/>
              </w:rPr>
              <w:t> </w:t>
            </w:r>
            <w:r w:rsidRPr="00612702">
              <w:rPr>
                <w:rFonts w:ascii="Garamond" w:hAnsi="Garamond"/>
                <w:lang w:val="en-AU"/>
              </w:rPr>
              <w:t>=</w:t>
            </w:r>
            <w:r w:rsidRPr="00612702">
              <w:rPr>
                <w:lang w:val="en-AU"/>
              </w:rPr>
              <w:t> </w:t>
            </w:r>
            <w:r w:rsidRPr="00612702">
              <w:rPr>
                <w:rFonts w:ascii="Garamond" w:hAnsi="Garamond"/>
                <w:lang w:val="en-AU"/>
              </w:rPr>
              <w:t>15 diseases) accounted for 47.1% of high-severity cases. The most frequent disease in each category, respectively, was stroke, sepsis, and lung cancer. Causes were disproportionately clinical judgment factors (85.7%) across categories (range 82.0–88.8%).</w:t>
            </w:r>
            <w:r w:rsidR="00F97E96">
              <w:rPr>
                <w:rFonts w:ascii="Garamond" w:hAnsi="Garamond"/>
                <w:lang w:val="en-AU"/>
              </w:rPr>
              <w:t>’</w:t>
            </w:r>
          </w:p>
          <w:p w:rsidR="00D12521" w:rsidRPr="00F44FEC" w:rsidRDefault="00F97E96" w:rsidP="00F97E96">
            <w:pPr>
              <w:rPr>
                <w:rFonts w:ascii="Garamond" w:hAnsi="Garamond"/>
                <w:lang w:val="en-AU"/>
              </w:rPr>
            </w:pPr>
            <w:r>
              <w:rPr>
                <w:rFonts w:ascii="Garamond" w:hAnsi="Garamond"/>
                <w:lang w:val="en-AU"/>
              </w:rPr>
              <w:t>They conclude that ‘</w:t>
            </w:r>
            <w:r w:rsidR="00612702" w:rsidRPr="00612702">
              <w:rPr>
                <w:rFonts w:ascii="Garamond" w:hAnsi="Garamond"/>
                <w:lang w:val="en-AU"/>
              </w:rPr>
              <w:t xml:space="preserve">The Big Three diseases account for about three-fourths of serious misdiagnosis-related harms. </w:t>
            </w:r>
            <w:r w:rsidR="00612702" w:rsidRPr="00F97E96">
              <w:rPr>
                <w:rFonts w:ascii="Garamond" w:hAnsi="Garamond"/>
                <w:b/>
                <w:lang w:val="en-AU"/>
              </w:rPr>
              <w:t>Initial efforts to improve diagnosis should focus on vascular events, infections, and cancers.</w:t>
            </w:r>
            <w:r>
              <w:rPr>
                <w:rFonts w:ascii="Garamond" w:hAnsi="Garamond"/>
                <w:lang w:val="en-AU"/>
              </w:rPr>
              <w:t>’</w:t>
            </w:r>
          </w:p>
        </w:tc>
      </w:tr>
    </w:tbl>
    <w:p w:rsidR="00D12521" w:rsidRDefault="00D12521" w:rsidP="00D12521">
      <w:pPr>
        <w:keepNext/>
        <w:rPr>
          <w:rFonts w:ascii="Garamond" w:hAnsi="Garamond"/>
          <w:i/>
          <w:lang w:val="en-AU"/>
        </w:rPr>
      </w:pPr>
    </w:p>
    <w:p w:rsidR="00D12521" w:rsidRPr="00FC3937" w:rsidRDefault="00FC3937" w:rsidP="00D12521">
      <w:pPr>
        <w:keepNext/>
        <w:keepLines/>
        <w:autoSpaceDE w:val="0"/>
        <w:autoSpaceDN w:val="0"/>
        <w:adjustRightInd w:val="0"/>
        <w:rPr>
          <w:rFonts w:ascii="Garamond" w:hAnsi="Garamond"/>
          <w:i/>
          <w:lang w:val="en-AU"/>
        </w:rPr>
      </w:pPr>
      <w:r w:rsidRPr="00FC3937">
        <w:rPr>
          <w:rFonts w:ascii="Garamond" w:hAnsi="Garamond"/>
          <w:i/>
          <w:lang w:val="en-AU"/>
        </w:rPr>
        <w:t>In Hospitals With More Nurses Who Have Baccalaureate Degrees, Better Outcomes For Patients After Cardiac Arrest</w:t>
      </w:r>
    </w:p>
    <w:p w:rsidR="00236865" w:rsidRDefault="00236865" w:rsidP="00D12521">
      <w:pPr>
        <w:keepNext/>
        <w:keepLines/>
        <w:autoSpaceDE w:val="0"/>
        <w:autoSpaceDN w:val="0"/>
        <w:adjustRightInd w:val="0"/>
        <w:rPr>
          <w:rFonts w:ascii="Garamond" w:hAnsi="Garamond"/>
          <w:lang w:val="en-AU"/>
        </w:rPr>
      </w:pPr>
      <w:r w:rsidRPr="00236865">
        <w:rPr>
          <w:rFonts w:ascii="Garamond" w:hAnsi="Garamond"/>
          <w:lang w:val="en-AU"/>
        </w:rPr>
        <w:t>Harrison JM, Aiken LH, Sloane DM, Brooks Carthon JM, Merchant RM, Berg RA, et al</w:t>
      </w:r>
    </w:p>
    <w:p w:rsidR="00FC3937" w:rsidRDefault="00236865" w:rsidP="00D12521">
      <w:pPr>
        <w:keepNext/>
        <w:keepLines/>
        <w:autoSpaceDE w:val="0"/>
        <w:autoSpaceDN w:val="0"/>
        <w:adjustRightInd w:val="0"/>
        <w:rPr>
          <w:rFonts w:ascii="Garamond" w:hAnsi="Garamond"/>
          <w:lang w:val="en-AU"/>
        </w:rPr>
      </w:pPr>
      <w:r w:rsidRPr="00236865">
        <w:rPr>
          <w:rFonts w:ascii="Garamond" w:hAnsi="Garamond"/>
          <w:lang w:val="en-AU"/>
        </w:rPr>
        <w:t>Health Affairs. 2019;38(7):1087-94.</w:t>
      </w:r>
    </w:p>
    <w:tbl>
      <w:tblPr>
        <w:tblStyle w:val="TableGrid"/>
        <w:tblW w:w="9360" w:type="dxa"/>
        <w:tblInd w:w="288" w:type="dxa"/>
        <w:tblLayout w:type="fixed"/>
        <w:tblLook w:val="01E0" w:firstRow="1" w:lastRow="1" w:firstColumn="1" w:lastColumn="1" w:noHBand="0" w:noVBand="0"/>
      </w:tblPr>
      <w:tblGrid>
        <w:gridCol w:w="1080"/>
        <w:gridCol w:w="8280"/>
      </w:tblGrid>
      <w:tr w:rsidR="00D12521" w:rsidRPr="000170DA" w:rsidTr="00F97E96">
        <w:tc>
          <w:tcPr>
            <w:tcW w:w="1080" w:type="dxa"/>
            <w:tcBorders>
              <w:top w:val="single" w:sz="4" w:space="0" w:color="auto"/>
              <w:left w:val="single" w:sz="4" w:space="0" w:color="auto"/>
              <w:bottom w:val="single" w:sz="4" w:space="0" w:color="auto"/>
              <w:right w:val="single" w:sz="4" w:space="0" w:color="auto"/>
            </w:tcBorders>
            <w:vAlign w:val="center"/>
          </w:tcPr>
          <w:p w:rsidR="00D12521" w:rsidRPr="000170DA" w:rsidRDefault="00D12521" w:rsidP="00F97E9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12521" w:rsidRPr="000170DA" w:rsidRDefault="00BF271B" w:rsidP="00F97E96">
            <w:pPr>
              <w:rPr>
                <w:rStyle w:val="Hyperlink"/>
                <w:rFonts w:ascii="Garamond" w:hAnsi="Garamond"/>
                <w:color w:val="auto"/>
                <w:u w:val="none"/>
                <w:lang w:val="en-AU"/>
              </w:rPr>
            </w:pPr>
            <w:hyperlink r:id="rId26" w:history="1">
              <w:r w:rsidR="00236865" w:rsidRPr="00EE5787">
                <w:rPr>
                  <w:rStyle w:val="Hyperlink"/>
                  <w:rFonts w:ascii="Garamond" w:hAnsi="Garamond"/>
                  <w:lang w:val="en-AU"/>
                </w:rPr>
                <w:t>https://doi.org/10.1377/hlthaff.2018.05064</w:t>
              </w:r>
            </w:hyperlink>
          </w:p>
        </w:tc>
      </w:tr>
      <w:tr w:rsidR="00D12521" w:rsidRPr="000170DA" w:rsidTr="00F97E96">
        <w:tc>
          <w:tcPr>
            <w:tcW w:w="1080" w:type="dxa"/>
            <w:tcBorders>
              <w:top w:val="single" w:sz="4" w:space="0" w:color="auto"/>
              <w:left w:val="single" w:sz="4" w:space="0" w:color="auto"/>
              <w:bottom w:val="single" w:sz="4" w:space="0" w:color="auto"/>
              <w:right w:val="single" w:sz="4" w:space="0" w:color="auto"/>
            </w:tcBorders>
            <w:vAlign w:val="center"/>
          </w:tcPr>
          <w:p w:rsidR="00D12521" w:rsidRPr="000170DA" w:rsidRDefault="00D12521" w:rsidP="00F97E9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12521" w:rsidRPr="00F44FEC" w:rsidRDefault="00FC3937" w:rsidP="00236865">
            <w:pPr>
              <w:rPr>
                <w:rFonts w:ascii="Garamond" w:hAnsi="Garamond"/>
                <w:lang w:val="en-AU"/>
              </w:rPr>
            </w:pPr>
            <w:r>
              <w:rPr>
                <w:rFonts w:ascii="Garamond" w:hAnsi="Garamond"/>
                <w:lang w:val="en-AU"/>
              </w:rPr>
              <w:t xml:space="preserve">There is existing literature on nursing staffing and safety and quality to which this paper adds. This paper reports finding support for a more educated nursing staff having a beneficial effect. Using data from four US states, they report </w:t>
            </w:r>
            <w:r w:rsidRPr="00FC3937">
              <w:rPr>
                <w:rFonts w:ascii="Garamond" w:hAnsi="Garamond"/>
                <w:lang w:val="en-AU"/>
              </w:rPr>
              <w:t>a 10-percentage-point increase in the share of hospital nursing staff with a bachelor’s degree corresponds with a 24 percent increase in a patient’s odds of surviving an in-hospital cardiac arrest with limited cerebral damage.</w:t>
            </w:r>
            <w:r w:rsidR="00236865">
              <w:rPr>
                <w:rFonts w:ascii="Garamond" w:hAnsi="Garamond"/>
                <w:lang w:val="en-AU"/>
              </w:rPr>
              <w:t xml:space="preserve"> The authors observe that ‘</w:t>
            </w:r>
            <w:r w:rsidR="00236865" w:rsidRPr="00236865">
              <w:rPr>
                <w:rFonts w:ascii="Garamond" w:hAnsi="Garamond"/>
                <w:lang w:val="en-AU"/>
              </w:rPr>
              <w:t xml:space="preserve">These findings contribute to the growing body of evidence that supports policies to </w:t>
            </w:r>
            <w:r w:rsidR="00236865" w:rsidRPr="00236865">
              <w:rPr>
                <w:rFonts w:ascii="Garamond" w:hAnsi="Garamond"/>
                <w:b/>
                <w:lang w:val="en-AU"/>
              </w:rPr>
              <w:t>increase access to baccalaureate-level education and improve hospital nurse staffing</w:t>
            </w:r>
            <w:r w:rsidR="00236865" w:rsidRPr="00236865">
              <w:rPr>
                <w:rFonts w:ascii="Garamond" w:hAnsi="Garamond"/>
                <w:lang w:val="en-AU"/>
              </w:rPr>
              <w:t>.</w:t>
            </w:r>
            <w:r w:rsidR="00236865">
              <w:rPr>
                <w:rFonts w:ascii="Garamond" w:hAnsi="Garamond"/>
                <w:lang w:val="en-AU"/>
              </w:rPr>
              <w:t>’</w:t>
            </w:r>
          </w:p>
        </w:tc>
      </w:tr>
    </w:tbl>
    <w:p w:rsidR="00822EED" w:rsidRDefault="00822EED" w:rsidP="00D12521">
      <w:pPr>
        <w:keepNext/>
        <w:rPr>
          <w:rFonts w:ascii="Garamond" w:hAnsi="Garamond"/>
          <w:i/>
          <w:lang w:val="en-AU"/>
        </w:rPr>
      </w:pPr>
    </w:p>
    <w:p w:rsidR="00D12521" w:rsidRPr="00C57211" w:rsidRDefault="00D12521" w:rsidP="00D12521">
      <w:pPr>
        <w:keepNext/>
        <w:rPr>
          <w:rFonts w:ascii="Garamond" w:hAnsi="Garamond"/>
          <w:i/>
          <w:lang w:val="en-AU"/>
        </w:rPr>
      </w:pPr>
      <w:r w:rsidRPr="00D12521">
        <w:rPr>
          <w:rFonts w:ascii="Garamond" w:hAnsi="Garamond"/>
          <w:i/>
          <w:lang w:val="en-AU"/>
        </w:rPr>
        <w:t>Austra</w:t>
      </w:r>
      <w:r>
        <w:rPr>
          <w:rFonts w:ascii="Garamond" w:hAnsi="Garamond"/>
          <w:i/>
          <w:lang w:val="en-AU"/>
        </w:rPr>
        <w:t>lian Journal of Primary Health</w:t>
      </w:r>
    </w:p>
    <w:p w:rsidR="00D12521" w:rsidRDefault="00D12521" w:rsidP="00D12521">
      <w:pPr>
        <w:keepNext/>
        <w:rPr>
          <w:rFonts w:ascii="Garamond" w:hAnsi="Garamond"/>
          <w:lang w:val="en-AU"/>
        </w:rPr>
      </w:pPr>
      <w:r w:rsidRPr="00D12521">
        <w:rPr>
          <w:rFonts w:ascii="Garamond" w:hAnsi="Garamond"/>
          <w:lang w:val="en-AU"/>
        </w:rPr>
        <w:t>Volume 25 Number 3 2019</w:t>
      </w:r>
    </w:p>
    <w:tbl>
      <w:tblPr>
        <w:tblStyle w:val="TableGrid"/>
        <w:tblW w:w="9360" w:type="dxa"/>
        <w:tblInd w:w="288" w:type="dxa"/>
        <w:tblLayout w:type="fixed"/>
        <w:tblLook w:val="01E0" w:firstRow="1" w:lastRow="1" w:firstColumn="1" w:lastColumn="1" w:noHBand="0" w:noVBand="0"/>
      </w:tblPr>
      <w:tblGrid>
        <w:gridCol w:w="1080"/>
        <w:gridCol w:w="8280"/>
      </w:tblGrid>
      <w:tr w:rsidR="00D12521" w:rsidRPr="000170DA" w:rsidTr="00F97E96">
        <w:tc>
          <w:tcPr>
            <w:tcW w:w="1080" w:type="dxa"/>
            <w:tcBorders>
              <w:top w:val="single" w:sz="4" w:space="0" w:color="auto"/>
              <w:left w:val="single" w:sz="4" w:space="0" w:color="auto"/>
              <w:bottom w:val="single" w:sz="4" w:space="0" w:color="auto"/>
              <w:right w:val="single" w:sz="4" w:space="0" w:color="auto"/>
            </w:tcBorders>
            <w:vAlign w:val="center"/>
          </w:tcPr>
          <w:p w:rsidR="00D12521" w:rsidRPr="000170DA" w:rsidRDefault="00D12521" w:rsidP="00F97E9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12521" w:rsidRPr="000170DA" w:rsidRDefault="00BF271B" w:rsidP="00F97E96">
            <w:pPr>
              <w:rPr>
                <w:rStyle w:val="Hyperlink"/>
                <w:rFonts w:ascii="Garamond" w:hAnsi="Garamond"/>
                <w:color w:val="auto"/>
                <w:u w:val="none"/>
                <w:lang w:val="en-AU"/>
              </w:rPr>
            </w:pPr>
            <w:hyperlink r:id="rId27" w:history="1">
              <w:r w:rsidR="00D12521" w:rsidRPr="00310882">
                <w:rPr>
                  <w:rStyle w:val="Hyperlink"/>
                  <w:rFonts w:ascii="Garamond" w:hAnsi="Garamond"/>
                  <w:lang w:val="en-AU"/>
                </w:rPr>
                <w:t>https://www.publish.csiro.au/py/issue/9441</w:t>
              </w:r>
            </w:hyperlink>
          </w:p>
        </w:tc>
      </w:tr>
      <w:tr w:rsidR="00D12521" w:rsidRPr="000170DA" w:rsidTr="00F97E96">
        <w:tc>
          <w:tcPr>
            <w:tcW w:w="1080" w:type="dxa"/>
            <w:tcBorders>
              <w:top w:val="single" w:sz="4" w:space="0" w:color="auto"/>
              <w:left w:val="single" w:sz="4" w:space="0" w:color="auto"/>
              <w:bottom w:val="single" w:sz="4" w:space="0" w:color="auto"/>
              <w:right w:val="single" w:sz="4" w:space="0" w:color="auto"/>
            </w:tcBorders>
            <w:vAlign w:val="center"/>
          </w:tcPr>
          <w:p w:rsidR="00D12521" w:rsidRPr="000170DA" w:rsidRDefault="00D12521" w:rsidP="00F97E9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12521" w:rsidRPr="007C3778" w:rsidRDefault="00D12521" w:rsidP="00F97E96">
            <w:pPr>
              <w:rPr>
                <w:rFonts w:ascii="Garamond" w:hAnsi="Garamond"/>
                <w:lang w:val="en-AU"/>
              </w:rPr>
            </w:pPr>
            <w:r w:rsidRPr="00B440ED">
              <w:rPr>
                <w:rFonts w:ascii="Garamond" w:hAnsi="Garamond"/>
                <w:lang w:val="en-AU"/>
              </w:rPr>
              <w:t xml:space="preserve">A new issue of </w:t>
            </w:r>
            <w:r>
              <w:rPr>
                <w:rFonts w:ascii="Garamond" w:hAnsi="Garamond"/>
                <w:lang w:val="en-AU"/>
              </w:rPr>
              <w:t xml:space="preserve">the </w:t>
            </w:r>
            <w:r w:rsidRPr="00D12521">
              <w:rPr>
                <w:rFonts w:ascii="Garamond" w:hAnsi="Garamond"/>
                <w:i/>
                <w:lang w:val="en-AU"/>
              </w:rPr>
              <w:t>Austra</w:t>
            </w:r>
            <w:r>
              <w:rPr>
                <w:rFonts w:ascii="Garamond" w:hAnsi="Garamond"/>
                <w:i/>
                <w:lang w:val="en-AU"/>
              </w:rPr>
              <w:t>lian Journal of Primary Health</w:t>
            </w:r>
            <w:r w:rsidRPr="00B440ED">
              <w:rPr>
                <w:rFonts w:ascii="Garamond" w:hAnsi="Garamond"/>
                <w:lang w:val="en-AU"/>
              </w:rPr>
              <w:t xml:space="preserve"> has been published. Articles in this issue of </w:t>
            </w:r>
            <w:r>
              <w:rPr>
                <w:rFonts w:ascii="Garamond" w:hAnsi="Garamond"/>
                <w:lang w:val="en-AU"/>
              </w:rPr>
              <w:t xml:space="preserve">the </w:t>
            </w:r>
            <w:r w:rsidRPr="00D12521">
              <w:rPr>
                <w:rFonts w:ascii="Garamond" w:hAnsi="Garamond"/>
                <w:i/>
                <w:lang w:val="en-AU"/>
              </w:rPr>
              <w:t>Austra</w:t>
            </w:r>
            <w:r>
              <w:rPr>
                <w:rFonts w:ascii="Garamond" w:hAnsi="Garamond"/>
                <w:i/>
                <w:lang w:val="en-AU"/>
              </w:rPr>
              <w:t xml:space="preserve">lian Journal of Primary Health </w:t>
            </w:r>
            <w:r w:rsidRPr="00B440ED">
              <w:rPr>
                <w:rFonts w:ascii="Garamond" w:hAnsi="Garamond"/>
                <w:lang w:val="en-AU"/>
              </w:rPr>
              <w:t>include:</w:t>
            </w:r>
          </w:p>
          <w:p w:rsidR="00D12521" w:rsidRPr="00D12521" w:rsidRDefault="00D12521" w:rsidP="00F97E96">
            <w:pPr>
              <w:pStyle w:val="ListParagraph"/>
              <w:numPr>
                <w:ilvl w:val="0"/>
                <w:numId w:val="15"/>
              </w:numPr>
              <w:rPr>
                <w:rFonts w:ascii="Garamond" w:hAnsi="Garamond"/>
                <w:lang w:val="en-AU"/>
              </w:rPr>
            </w:pPr>
            <w:r w:rsidRPr="00D12521">
              <w:rPr>
                <w:rFonts w:ascii="Garamond" w:hAnsi="Garamond"/>
                <w:lang w:val="en-AU"/>
              </w:rPr>
              <w:t xml:space="preserve">Challenges in </w:t>
            </w:r>
            <w:r w:rsidRPr="00D12521">
              <w:rPr>
                <w:rFonts w:ascii="Garamond" w:hAnsi="Garamond"/>
                <w:b/>
                <w:lang w:val="en-AU"/>
              </w:rPr>
              <w:t>primary care policy</w:t>
            </w:r>
            <w:r w:rsidRPr="00D12521">
              <w:rPr>
                <w:rFonts w:ascii="Garamond" w:hAnsi="Garamond"/>
                <w:lang w:val="en-AU"/>
              </w:rPr>
              <w:t xml:space="preserve"> (Stephen Duckett</w:t>
            </w:r>
            <w:r>
              <w:rPr>
                <w:rFonts w:ascii="Garamond" w:hAnsi="Garamond"/>
                <w:lang w:val="en-AU"/>
              </w:rPr>
              <w:t>)</w:t>
            </w:r>
          </w:p>
          <w:p w:rsidR="00D12521" w:rsidRDefault="00D12521" w:rsidP="00F97E96">
            <w:pPr>
              <w:pStyle w:val="ListParagraph"/>
              <w:numPr>
                <w:ilvl w:val="0"/>
                <w:numId w:val="15"/>
              </w:numPr>
              <w:rPr>
                <w:rFonts w:ascii="Garamond" w:hAnsi="Garamond"/>
                <w:lang w:val="en-AU"/>
              </w:rPr>
            </w:pPr>
            <w:r w:rsidRPr="00D12521">
              <w:rPr>
                <w:rFonts w:ascii="Garamond" w:hAnsi="Garamond"/>
                <w:lang w:val="en-AU"/>
              </w:rPr>
              <w:t xml:space="preserve">Reducing </w:t>
            </w:r>
            <w:r w:rsidRPr="00D12521">
              <w:rPr>
                <w:rFonts w:ascii="Garamond" w:hAnsi="Garamond"/>
                <w:b/>
                <w:lang w:val="en-AU"/>
              </w:rPr>
              <w:t>alcohol-related harm</w:t>
            </w:r>
            <w:r w:rsidRPr="00D12521">
              <w:rPr>
                <w:rFonts w:ascii="Garamond" w:hAnsi="Garamond"/>
                <w:lang w:val="en-AU"/>
              </w:rPr>
              <w:t xml:space="preserve"> in people recently treated for </w:t>
            </w:r>
            <w:r w:rsidRPr="00D12521">
              <w:rPr>
                <w:rFonts w:ascii="Garamond" w:hAnsi="Garamond"/>
                <w:b/>
                <w:lang w:val="en-AU"/>
              </w:rPr>
              <w:t>hepatitis C</w:t>
            </w:r>
            <w:r w:rsidRPr="00D12521">
              <w:rPr>
                <w:rFonts w:ascii="Garamond" w:hAnsi="Garamond"/>
                <w:lang w:val="en-AU"/>
              </w:rPr>
              <w:t xml:space="preserve"> (Sasha Hermosa, Stelliana Goutzamanis, Joseph Doyle and Peter Higgs</w:t>
            </w:r>
            <w:r>
              <w:rPr>
                <w:rFonts w:ascii="Garamond" w:hAnsi="Garamond"/>
                <w:lang w:val="en-AU"/>
              </w:rPr>
              <w:t>)</w:t>
            </w:r>
          </w:p>
          <w:p w:rsidR="00D12521" w:rsidRPr="00D12521" w:rsidRDefault="00D12521" w:rsidP="00F97E96">
            <w:pPr>
              <w:pStyle w:val="ListParagraph"/>
              <w:numPr>
                <w:ilvl w:val="0"/>
                <w:numId w:val="15"/>
              </w:numPr>
              <w:rPr>
                <w:rFonts w:ascii="Garamond" w:hAnsi="Garamond"/>
                <w:lang w:val="en-AU"/>
              </w:rPr>
            </w:pPr>
            <w:r w:rsidRPr="00D12521">
              <w:rPr>
                <w:rFonts w:ascii="Garamond" w:hAnsi="Garamond"/>
                <w:lang w:val="en-AU"/>
              </w:rPr>
              <w:t xml:space="preserve">Effectiveness of </w:t>
            </w:r>
            <w:r w:rsidRPr="00D12521">
              <w:rPr>
                <w:rFonts w:ascii="Garamond" w:hAnsi="Garamond"/>
                <w:b/>
                <w:lang w:val="en-AU"/>
              </w:rPr>
              <w:t xml:space="preserve">chronic obstructive pulmonary disease self-management </w:t>
            </w:r>
            <w:r w:rsidRPr="00D12521">
              <w:rPr>
                <w:rFonts w:ascii="Garamond" w:hAnsi="Garamond"/>
                <w:lang w:val="en-AU"/>
              </w:rPr>
              <w:t>interventions in primary care settings: a systematic review (Hassan Hosseinzadeh and Mahmmoud Shnaigat</w:t>
            </w:r>
            <w:r>
              <w:rPr>
                <w:rFonts w:ascii="Garamond" w:hAnsi="Garamond"/>
                <w:lang w:val="en-AU"/>
              </w:rPr>
              <w:t>)</w:t>
            </w:r>
          </w:p>
          <w:p w:rsidR="00D12521" w:rsidRPr="00D12521" w:rsidRDefault="00D12521" w:rsidP="00F97E96">
            <w:pPr>
              <w:pStyle w:val="ListParagraph"/>
              <w:numPr>
                <w:ilvl w:val="0"/>
                <w:numId w:val="15"/>
              </w:numPr>
              <w:rPr>
                <w:rFonts w:ascii="Garamond" w:hAnsi="Garamond"/>
                <w:lang w:val="en-AU"/>
              </w:rPr>
            </w:pPr>
            <w:r w:rsidRPr="00D12521">
              <w:rPr>
                <w:rFonts w:ascii="Garamond" w:hAnsi="Garamond"/>
                <w:lang w:val="en-AU"/>
              </w:rPr>
              <w:t xml:space="preserve">How can healthcare professionals address poor </w:t>
            </w:r>
            <w:r w:rsidRPr="00D12521">
              <w:rPr>
                <w:rFonts w:ascii="Garamond" w:hAnsi="Garamond"/>
                <w:b/>
                <w:lang w:val="en-AU"/>
              </w:rPr>
              <w:t>health service utilisation among refugees</w:t>
            </w:r>
            <w:r w:rsidRPr="00D12521">
              <w:rPr>
                <w:rFonts w:ascii="Garamond" w:hAnsi="Garamond"/>
                <w:lang w:val="en-AU"/>
              </w:rPr>
              <w:t xml:space="preserve"> after resettlement in Australia? A narrative systematic review of recent evidence (Jamuna Parajuli and Dell Horey</w:t>
            </w:r>
            <w:r>
              <w:rPr>
                <w:rFonts w:ascii="Garamond" w:hAnsi="Garamond"/>
                <w:lang w:val="en-AU"/>
              </w:rPr>
              <w:t>)</w:t>
            </w:r>
          </w:p>
          <w:p w:rsidR="00D12521" w:rsidRPr="00D12521" w:rsidRDefault="00D12521" w:rsidP="00F97E96">
            <w:pPr>
              <w:pStyle w:val="ListParagraph"/>
              <w:numPr>
                <w:ilvl w:val="0"/>
                <w:numId w:val="15"/>
              </w:numPr>
              <w:rPr>
                <w:rFonts w:ascii="Garamond" w:hAnsi="Garamond"/>
                <w:lang w:val="en-AU"/>
              </w:rPr>
            </w:pPr>
            <w:r w:rsidRPr="00D12521">
              <w:rPr>
                <w:rFonts w:ascii="Garamond" w:hAnsi="Garamond"/>
                <w:b/>
                <w:lang w:val="en-AU"/>
              </w:rPr>
              <w:t>Continuity of care</w:t>
            </w:r>
            <w:r w:rsidRPr="00D12521">
              <w:rPr>
                <w:rFonts w:ascii="Garamond" w:hAnsi="Garamond"/>
                <w:lang w:val="en-AU"/>
              </w:rPr>
              <w:t>: why it matters and what we can do (Alexandra Hofer and Malcolm McDonald</w:t>
            </w:r>
            <w:r>
              <w:rPr>
                <w:rFonts w:ascii="Garamond" w:hAnsi="Garamond"/>
                <w:lang w:val="en-AU"/>
              </w:rPr>
              <w:t>)</w:t>
            </w:r>
          </w:p>
          <w:p w:rsidR="00D12521" w:rsidRPr="00D12521" w:rsidRDefault="00D12521" w:rsidP="00F97E96">
            <w:pPr>
              <w:pStyle w:val="ListParagraph"/>
              <w:numPr>
                <w:ilvl w:val="0"/>
                <w:numId w:val="15"/>
              </w:numPr>
              <w:rPr>
                <w:rFonts w:ascii="Garamond" w:hAnsi="Garamond"/>
                <w:lang w:val="en-AU"/>
              </w:rPr>
            </w:pPr>
            <w:r w:rsidRPr="00D12521">
              <w:rPr>
                <w:rFonts w:ascii="Garamond" w:hAnsi="Garamond"/>
                <w:lang w:val="en-AU"/>
              </w:rPr>
              <w:t xml:space="preserve">Hunter and New England Diabetes Alliance: innovative and </w:t>
            </w:r>
            <w:r w:rsidRPr="00D12521">
              <w:rPr>
                <w:rFonts w:ascii="Garamond" w:hAnsi="Garamond"/>
                <w:b/>
                <w:lang w:val="en-AU"/>
              </w:rPr>
              <w:t>integrated diabetes care delivery in general practice</w:t>
            </w:r>
            <w:r w:rsidRPr="00D12521">
              <w:rPr>
                <w:rFonts w:ascii="Garamond" w:hAnsi="Garamond"/>
                <w:lang w:val="en-AU"/>
              </w:rPr>
              <w:t xml:space="preserve"> (Shamasunder Acharya, Annalise N. Philcox, Martha Parsons, B Suthers, J Luu, M Lynch, M Jones and J Attia</w:t>
            </w:r>
            <w:r>
              <w:rPr>
                <w:rFonts w:ascii="Garamond" w:hAnsi="Garamond"/>
                <w:lang w:val="en-AU"/>
              </w:rPr>
              <w:t>)</w:t>
            </w:r>
          </w:p>
          <w:p w:rsidR="00D12521" w:rsidRPr="00D12521" w:rsidRDefault="00D12521" w:rsidP="00F97E96">
            <w:pPr>
              <w:pStyle w:val="ListParagraph"/>
              <w:numPr>
                <w:ilvl w:val="0"/>
                <w:numId w:val="15"/>
              </w:numPr>
              <w:rPr>
                <w:rFonts w:ascii="Garamond" w:hAnsi="Garamond"/>
                <w:lang w:val="en-AU"/>
              </w:rPr>
            </w:pPr>
            <w:r w:rsidRPr="00D12521">
              <w:rPr>
                <w:rFonts w:ascii="Garamond" w:hAnsi="Garamond"/>
                <w:lang w:val="en-AU"/>
              </w:rPr>
              <w:t xml:space="preserve">Behavioural change in primary care professionals undertaking online education in </w:t>
            </w:r>
            <w:r w:rsidRPr="00D12521">
              <w:rPr>
                <w:rFonts w:ascii="Garamond" w:hAnsi="Garamond"/>
                <w:b/>
                <w:lang w:val="en-AU"/>
              </w:rPr>
              <w:t>dementia care in general practice</w:t>
            </w:r>
            <w:r w:rsidRPr="00D12521">
              <w:rPr>
                <w:rFonts w:ascii="Garamond" w:hAnsi="Garamond"/>
                <w:lang w:val="en-AU"/>
              </w:rPr>
              <w:t xml:space="preserve"> (Michael W Bentley, Rohan Kerr, Margaret Ginger and Jacob Karagoz</w:t>
            </w:r>
            <w:r>
              <w:rPr>
                <w:rFonts w:ascii="Garamond" w:hAnsi="Garamond"/>
                <w:lang w:val="en-AU"/>
              </w:rPr>
              <w:t>)</w:t>
            </w:r>
          </w:p>
          <w:p w:rsidR="00D12521" w:rsidRPr="00D12521" w:rsidRDefault="00D12521" w:rsidP="00F97E96">
            <w:pPr>
              <w:pStyle w:val="ListParagraph"/>
              <w:numPr>
                <w:ilvl w:val="0"/>
                <w:numId w:val="15"/>
              </w:numPr>
              <w:rPr>
                <w:rFonts w:ascii="Garamond" w:hAnsi="Garamond"/>
                <w:lang w:val="en-AU"/>
              </w:rPr>
            </w:pPr>
            <w:r w:rsidRPr="00D12521">
              <w:rPr>
                <w:rFonts w:ascii="Garamond" w:hAnsi="Garamond"/>
                <w:lang w:val="en-AU"/>
              </w:rPr>
              <w:t xml:space="preserve">Evaluation of </w:t>
            </w:r>
            <w:r w:rsidRPr="00D12521">
              <w:rPr>
                <w:rFonts w:ascii="Garamond" w:hAnsi="Garamond"/>
                <w:b/>
                <w:lang w:val="en-AU"/>
              </w:rPr>
              <w:t>health promotion capacity gains</w:t>
            </w:r>
            <w:r w:rsidRPr="00D12521">
              <w:rPr>
                <w:rFonts w:ascii="Garamond" w:hAnsi="Garamond"/>
                <w:lang w:val="en-AU"/>
              </w:rPr>
              <w:t xml:space="preserve"> in a state-wide rural </w:t>
            </w:r>
            <w:r w:rsidRPr="00D12521">
              <w:rPr>
                <w:rFonts w:ascii="Garamond" w:hAnsi="Garamond"/>
                <w:b/>
                <w:lang w:val="en-AU"/>
              </w:rPr>
              <w:t>food literacy</w:t>
            </w:r>
            <w:r w:rsidRPr="00D12521">
              <w:rPr>
                <w:rFonts w:ascii="Garamond" w:hAnsi="Garamond"/>
                <w:lang w:val="en-AU"/>
              </w:rPr>
              <w:t xml:space="preserve"> intervention (Claire Palermo, Louise van Herwerden, Isabella Maugeri, Fiona McKenzie-Lewis and Roger Hughes</w:t>
            </w:r>
            <w:r>
              <w:rPr>
                <w:rFonts w:ascii="Garamond" w:hAnsi="Garamond"/>
                <w:lang w:val="en-AU"/>
              </w:rPr>
              <w:t>)</w:t>
            </w:r>
          </w:p>
          <w:p w:rsidR="00D12521" w:rsidRPr="00D12521" w:rsidRDefault="00D12521" w:rsidP="00F97E96">
            <w:pPr>
              <w:pStyle w:val="ListParagraph"/>
              <w:numPr>
                <w:ilvl w:val="0"/>
                <w:numId w:val="15"/>
              </w:numPr>
              <w:rPr>
                <w:rFonts w:ascii="Garamond" w:hAnsi="Garamond"/>
                <w:lang w:val="en-AU"/>
              </w:rPr>
            </w:pPr>
            <w:r w:rsidRPr="00D12521">
              <w:rPr>
                <w:rFonts w:ascii="Garamond" w:hAnsi="Garamond"/>
                <w:lang w:val="en-AU"/>
              </w:rPr>
              <w:t xml:space="preserve">Expanded </w:t>
            </w:r>
            <w:r w:rsidRPr="00D12521">
              <w:rPr>
                <w:rFonts w:ascii="Garamond" w:hAnsi="Garamond"/>
                <w:b/>
                <w:lang w:val="en-AU"/>
              </w:rPr>
              <w:t>normal weight obesity and blood pressure in Chinese adults</w:t>
            </w:r>
            <w:r w:rsidRPr="00D12521">
              <w:rPr>
                <w:rFonts w:ascii="Garamond" w:hAnsi="Garamond"/>
                <w:lang w:val="en-AU"/>
              </w:rPr>
              <w:t>: a community-based cross-sectional study (Huijing He, Li Pan, Feng Liu, Jingang Ma, Zhiping Hu, Li Wang, Yajun Li and Guangliang Shan</w:t>
            </w:r>
            <w:r>
              <w:rPr>
                <w:rFonts w:ascii="Garamond" w:hAnsi="Garamond"/>
                <w:lang w:val="en-AU"/>
              </w:rPr>
              <w:t>)</w:t>
            </w:r>
          </w:p>
          <w:p w:rsidR="00D12521" w:rsidRPr="00D12521" w:rsidRDefault="00D12521" w:rsidP="00F97E96">
            <w:pPr>
              <w:pStyle w:val="ListParagraph"/>
              <w:numPr>
                <w:ilvl w:val="0"/>
                <w:numId w:val="15"/>
              </w:numPr>
              <w:rPr>
                <w:rFonts w:ascii="Garamond" w:hAnsi="Garamond"/>
                <w:lang w:val="en-AU"/>
              </w:rPr>
            </w:pPr>
            <w:r w:rsidRPr="00D12521">
              <w:rPr>
                <w:rFonts w:ascii="Garamond" w:hAnsi="Garamond"/>
                <w:lang w:val="en-AU"/>
              </w:rPr>
              <w:t xml:space="preserve">A qualitative investigation of barriers, support-seeking and coping among </w:t>
            </w:r>
            <w:r w:rsidRPr="00D12521">
              <w:rPr>
                <w:rFonts w:ascii="Garamond" w:hAnsi="Garamond"/>
                <w:b/>
                <w:lang w:val="en-AU"/>
              </w:rPr>
              <w:t>South Sudanese people with chronic hepatitis B</w:t>
            </w:r>
            <w:r w:rsidRPr="00D12521">
              <w:rPr>
                <w:rFonts w:ascii="Garamond" w:hAnsi="Garamond"/>
                <w:lang w:val="en-AU"/>
              </w:rPr>
              <w:t xml:space="preserve"> in Australia (William Mude, Christopher Fisher, Jacqui Richmond, Jack Wallace and R Le Gautier</w:t>
            </w:r>
            <w:r>
              <w:rPr>
                <w:rFonts w:ascii="Garamond" w:hAnsi="Garamond"/>
                <w:lang w:val="en-AU"/>
              </w:rPr>
              <w:t>)</w:t>
            </w:r>
          </w:p>
          <w:p w:rsidR="00D12521" w:rsidRPr="00D12521" w:rsidRDefault="00D12521" w:rsidP="00F97E96">
            <w:pPr>
              <w:pStyle w:val="ListParagraph"/>
              <w:numPr>
                <w:ilvl w:val="0"/>
                <w:numId w:val="15"/>
              </w:numPr>
              <w:rPr>
                <w:rFonts w:ascii="Garamond" w:hAnsi="Garamond"/>
                <w:lang w:val="en-AU"/>
              </w:rPr>
            </w:pPr>
            <w:r w:rsidRPr="00D12521">
              <w:rPr>
                <w:rFonts w:ascii="Garamond" w:hAnsi="Garamond"/>
                <w:lang w:val="en-AU"/>
              </w:rPr>
              <w:t xml:space="preserve">Has a national policy guideline influenced the practice of raising the topic of </w:t>
            </w:r>
            <w:r w:rsidRPr="00D12521">
              <w:rPr>
                <w:rFonts w:ascii="Garamond" w:hAnsi="Garamond"/>
                <w:b/>
                <w:lang w:val="en-AU"/>
              </w:rPr>
              <w:t>alcohol and breastfeeding</w:t>
            </w:r>
            <w:r w:rsidRPr="00D12521">
              <w:rPr>
                <w:rFonts w:ascii="Garamond" w:hAnsi="Garamond"/>
                <w:lang w:val="en-AU"/>
              </w:rPr>
              <w:t xml:space="preserve"> by maternal healthcare practitioners? (Roslyn Carmel Giglia and Tracy Reibel</w:t>
            </w:r>
          </w:p>
          <w:p w:rsidR="00D12521" w:rsidRPr="007C3778" w:rsidRDefault="00D12521" w:rsidP="00D12521">
            <w:pPr>
              <w:pStyle w:val="ListParagraph"/>
              <w:numPr>
                <w:ilvl w:val="0"/>
                <w:numId w:val="15"/>
              </w:numPr>
              <w:rPr>
                <w:rFonts w:ascii="Garamond" w:hAnsi="Garamond"/>
                <w:lang w:val="en-AU"/>
              </w:rPr>
            </w:pPr>
            <w:r w:rsidRPr="00D12521">
              <w:rPr>
                <w:rFonts w:ascii="Garamond" w:hAnsi="Garamond"/>
                <w:lang w:val="en-AU"/>
              </w:rPr>
              <w:t xml:space="preserve">The </w:t>
            </w:r>
            <w:r w:rsidRPr="00D12521">
              <w:rPr>
                <w:rFonts w:ascii="Garamond" w:hAnsi="Garamond"/>
                <w:b/>
                <w:lang w:val="en-AU"/>
              </w:rPr>
              <w:t>Enhanced Maternal and Child Health nursing program</w:t>
            </w:r>
            <w:r w:rsidRPr="00D12521">
              <w:rPr>
                <w:rFonts w:ascii="Garamond" w:hAnsi="Garamond"/>
                <w:lang w:val="en-AU"/>
              </w:rPr>
              <w:t xml:space="preserve"> in Victoria: a cross-sectional study of clinical practice</w:t>
            </w:r>
            <w:r>
              <w:rPr>
                <w:rFonts w:ascii="Garamond" w:hAnsi="Garamond"/>
                <w:lang w:val="en-AU"/>
              </w:rPr>
              <w:t xml:space="preserve"> (</w:t>
            </w:r>
            <w:r w:rsidRPr="00D12521">
              <w:rPr>
                <w:rFonts w:ascii="Garamond" w:hAnsi="Garamond"/>
                <w:lang w:val="en-AU"/>
              </w:rPr>
              <w:t>Catina Adams, Leesa Hooker and Angela Taft</w:t>
            </w:r>
            <w:r>
              <w:rPr>
                <w:rFonts w:ascii="Garamond" w:hAnsi="Garamond"/>
                <w:lang w:val="en-AU"/>
              </w:rPr>
              <w:t>)</w:t>
            </w:r>
          </w:p>
        </w:tc>
      </w:tr>
    </w:tbl>
    <w:p w:rsidR="00D12521" w:rsidRDefault="00D12521" w:rsidP="00D12521">
      <w:pPr>
        <w:rPr>
          <w:rFonts w:ascii="Garamond" w:hAnsi="Garamond"/>
          <w:i/>
          <w:lang w:val="en-AU"/>
        </w:rPr>
      </w:pPr>
    </w:p>
    <w:p w:rsidR="000C087C" w:rsidRPr="00C57211" w:rsidRDefault="0095599F" w:rsidP="000C087C">
      <w:pPr>
        <w:keepNext/>
        <w:rPr>
          <w:rFonts w:ascii="Garamond" w:hAnsi="Garamond"/>
          <w:i/>
          <w:lang w:val="en-AU"/>
        </w:rPr>
      </w:pPr>
      <w:r>
        <w:rPr>
          <w:rFonts w:ascii="Garamond" w:hAnsi="Garamond"/>
          <w:i/>
          <w:lang w:val="en-AU"/>
        </w:rPr>
        <w:t>Healthcare Papers</w:t>
      </w:r>
    </w:p>
    <w:p w:rsidR="0095599F" w:rsidRPr="0095599F" w:rsidRDefault="0095599F" w:rsidP="0095599F">
      <w:pPr>
        <w:keepNext/>
        <w:rPr>
          <w:rFonts w:ascii="Garamond" w:hAnsi="Garamond"/>
          <w:lang w:val="en-AU"/>
        </w:rPr>
      </w:pPr>
      <w:r w:rsidRPr="0095599F">
        <w:rPr>
          <w:rFonts w:ascii="Garamond" w:hAnsi="Garamond"/>
          <w:lang w:val="en-AU"/>
        </w:rPr>
        <w:t>Volume 18, Number 1, 2019</w:t>
      </w:r>
    </w:p>
    <w:tbl>
      <w:tblPr>
        <w:tblStyle w:val="TableGrid"/>
        <w:tblW w:w="9360" w:type="dxa"/>
        <w:tblInd w:w="288" w:type="dxa"/>
        <w:tblLayout w:type="fixed"/>
        <w:tblLook w:val="01E0" w:firstRow="1" w:lastRow="1" w:firstColumn="1" w:lastColumn="1" w:noHBand="0" w:noVBand="0"/>
      </w:tblPr>
      <w:tblGrid>
        <w:gridCol w:w="1080"/>
        <w:gridCol w:w="8280"/>
      </w:tblGrid>
      <w:tr w:rsidR="000C087C" w:rsidRPr="000170DA" w:rsidTr="0095599F">
        <w:tc>
          <w:tcPr>
            <w:tcW w:w="1080" w:type="dxa"/>
            <w:tcBorders>
              <w:top w:val="single" w:sz="4" w:space="0" w:color="auto"/>
              <w:left w:val="single" w:sz="4" w:space="0" w:color="auto"/>
              <w:bottom w:val="single" w:sz="4" w:space="0" w:color="auto"/>
              <w:right w:val="single" w:sz="4" w:space="0" w:color="auto"/>
            </w:tcBorders>
            <w:vAlign w:val="center"/>
          </w:tcPr>
          <w:p w:rsidR="000C087C" w:rsidRPr="000170DA" w:rsidRDefault="000C087C" w:rsidP="00F97E9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C087C" w:rsidRPr="000170DA" w:rsidRDefault="00BF271B" w:rsidP="0095599F">
            <w:pPr>
              <w:rPr>
                <w:rStyle w:val="Hyperlink"/>
                <w:rFonts w:ascii="Garamond" w:hAnsi="Garamond"/>
                <w:color w:val="auto"/>
                <w:u w:val="none"/>
                <w:lang w:val="en-AU"/>
              </w:rPr>
            </w:pPr>
            <w:hyperlink r:id="rId28" w:history="1">
              <w:r w:rsidR="0095599F" w:rsidRPr="00EE5787">
                <w:rPr>
                  <w:rStyle w:val="Hyperlink"/>
                  <w:rFonts w:ascii="Garamond" w:hAnsi="Garamond"/>
                  <w:lang w:val="en-AU"/>
                </w:rPr>
                <w:t>https://www.longwoods.com/publications/healthcarepapers/25865/1/vol.-18-no.-1-2018-reflecting-on-choosing-wisely-canada-at-five-years</w:t>
              </w:r>
            </w:hyperlink>
          </w:p>
        </w:tc>
      </w:tr>
      <w:tr w:rsidR="000C087C" w:rsidRPr="000170DA" w:rsidTr="0095599F">
        <w:tc>
          <w:tcPr>
            <w:tcW w:w="1080" w:type="dxa"/>
            <w:tcBorders>
              <w:top w:val="single" w:sz="4" w:space="0" w:color="auto"/>
              <w:left w:val="single" w:sz="4" w:space="0" w:color="auto"/>
              <w:bottom w:val="single" w:sz="4" w:space="0" w:color="auto"/>
              <w:right w:val="single" w:sz="4" w:space="0" w:color="auto"/>
            </w:tcBorders>
            <w:vAlign w:val="center"/>
          </w:tcPr>
          <w:p w:rsidR="000C087C" w:rsidRPr="000170DA" w:rsidRDefault="000C087C" w:rsidP="00F97E9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087C" w:rsidRPr="007C3778" w:rsidRDefault="000C087C" w:rsidP="0095599F">
            <w:pPr>
              <w:keepNext/>
              <w:rPr>
                <w:rFonts w:ascii="Garamond" w:hAnsi="Garamond"/>
                <w:lang w:val="en-AU"/>
              </w:rPr>
            </w:pPr>
            <w:r w:rsidRPr="00B440ED">
              <w:rPr>
                <w:rFonts w:ascii="Garamond" w:hAnsi="Garamond"/>
                <w:lang w:val="en-AU"/>
              </w:rPr>
              <w:t>A new issue</w:t>
            </w:r>
            <w:r w:rsidR="001B4F49">
              <w:rPr>
                <w:rFonts w:ascii="Garamond" w:hAnsi="Garamond"/>
                <w:lang w:val="en-AU"/>
              </w:rPr>
              <w:t xml:space="preserve"> of</w:t>
            </w:r>
            <w:r w:rsidRPr="00B440ED">
              <w:rPr>
                <w:rFonts w:ascii="Garamond" w:hAnsi="Garamond"/>
                <w:lang w:val="en-AU"/>
              </w:rPr>
              <w:t xml:space="preserve"> </w:t>
            </w:r>
            <w:r w:rsidR="0095599F">
              <w:rPr>
                <w:rFonts w:ascii="Garamond" w:hAnsi="Garamond"/>
                <w:i/>
                <w:lang w:val="en-AU"/>
              </w:rPr>
              <w:t xml:space="preserve">Healthcare Papers </w:t>
            </w:r>
            <w:r w:rsidRPr="00B440ED">
              <w:rPr>
                <w:rFonts w:ascii="Garamond" w:hAnsi="Garamond"/>
                <w:lang w:val="en-AU"/>
              </w:rPr>
              <w:t>has been published</w:t>
            </w:r>
            <w:r w:rsidR="0095599F">
              <w:rPr>
                <w:rFonts w:ascii="Garamond" w:hAnsi="Garamond"/>
                <w:lang w:val="en-AU"/>
              </w:rPr>
              <w:t xml:space="preserve"> with the theme ‘</w:t>
            </w:r>
            <w:r w:rsidR="0095599F" w:rsidRPr="0095599F">
              <w:rPr>
                <w:rFonts w:ascii="Garamond" w:hAnsi="Garamond"/>
                <w:lang w:val="en-AU"/>
              </w:rPr>
              <w:t>Reflecting on Choosing Wisely Canada at Five Year</w:t>
            </w:r>
            <w:r w:rsidR="0095599F">
              <w:rPr>
                <w:rFonts w:ascii="Garamond" w:hAnsi="Garamond"/>
                <w:lang w:val="en-AU"/>
              </w:rPr>
              <w:t>’</w:t>
            </w:r>
            <w:r w:rsidRPr="00B440ED">
              <w:rPr>
                <w:rFonts w:ascii="Garamond" w:hAnsi="Garamond"/>
                <w:lang w:val="en-AU"/>
              </w:rPr>
              <w:t xml:space="preserve">. Articles in this issue of </w:t>
            </w:r>
            <w:r w:rsidR="0095599F">
              <w:rPr>
                <w:rFonts w:ascii="Garamond" w:hAnsi="Garamond"/>
                <w:i/>
                <w:lang w:val="en-AU"/>
              </w:rPr>
              <w:t xml:space="preserve">Healthcare Papers </w:t>
            </w:r>
            <w:r w:rsidRPr="00B440ED">
              <w:rPr>
                <w:rFonts w:ascii="Garamond" w:hAnsi="Garamond"/>
                <w:lang w:val="en-AU"/>
              </w:rPr>
              <w:t>include:</w:t>
            </w:r>
          </w:p>
          <w:p w:rsidR="00F97E96" w:rsidRPr="00F97E96" w:rsidRDefault="00F97E96" w:rsidP="00F97E96">
            <w:pPr>
              <w:pStyle w:val="ListParagraph"/>
              <w:numPr>
                <w:ilvl w:val="0"/>
                <w:numId w:val="15"/>
              </w:numPr>
              <w:rPr>
                <w:rFonts w:ascii="Garamond" w:hAnsi="Garamond"/>
                <w:lang w:val="en-AU"/>
              </w:rPr>
            </w:pPr>
            <w:r w:rsidRPr="00F97E96">
              <w:rPr>
                <w:rFonts w:ascii="Garamond" w:hAnsi="Garamond"/>
                <w:lang w:val="en-AU"/>
              </w:rPr>
              <w:t xml:space="preserve">Introduction: </w:t>
            </w:r>
            <w:r w:rsidRPr="00F97E96">
              <w:rPr>
                <w:rFonts w:ascii="Garamond" w:hAnsi="Garamond"/>
                <w:b/>
                <w:lang w:val="en-AU"/>
              </w:rPr>
              <w:t>Choosing Wisely Canada</w:t>
            </w:r>
            <w:r w:rsidRPr="00F97E96">
              <w:rPr>
                <w:rFonts w:ascii="Garamond" w:hAnsi="Garamond"/>
                <w:lang w:val="en-AU"/>
              </w:rPr>
              <w:t xml:space="preserve"> Now in the Big Leagues (R</w:t>
            </w:r>
            <w:r w:rsidR="001B4F49">
              <w:rPr>
                <w:rFonts w:ascii="Garamond" w:hAnsi="Garamond"/>
                <w:lang w:val="en-AU"/>
              </w:rPr>
              <w:t xml:space="preserve"> </w:t>
            </w:r>
            <w:r w:rsidRPr="00F97E96">
              <w:rPr>
                <w:rFonts w:ascii="Garamond" w:hAnsi="Garamond"/>
                <w:lang w:val="en-AU"/>
              </w:rPr>
              <w:t>Bell</w:t>
            </w:r>
            <w:r>
              <w:rPr>
                <w:rFonts w:ascii="Garamond" w:hAnsi="Garamond"/>
                <w:lang w:val="en-AU"/>
              </w:rPr>
              <w:t>)</w:t>
            </w:r>
          </w:p>
          <w:p w:rsidR="00F97E96" w:rsidRPr="00F97E96" w:rsidRDefault="00F97E96" w:rsidP="00F97E96">
            <w:pPr>
              <w:pStyle w:val="ListParagraph"/>
              <w:numPr>
                <w:ilvl w:val="0"/>
                <w:numId w:val="15"/>
              </w:numPr>
              <w:rPr>
                <w:rFonts w:ascii="Garamond" w:hAnsi="Garamond"/>
                <w:lang w:val="en-AU"/>
              </w:rPr>
            </w:pPr>
            <w:r w:rsidRPr="00F97E96">
              <w:rPr>
                <w:rFonts w:ascii="Garamond" w:hAnsi="Garamond"/>
                <w:lang w:val="en-AU"/>
              </w:rPr>
              <w:t xml:space="preserve">Invited Essay: Reflecting on Choosing Wisely Canada at Five Years: Accomplishments, Challenges and Opportunities for </w:t>
            </w:r>
            <w:r w:rsidRPr="00F97E96">
              <w:rPr>
                <w:rFonts w:ascii="Garamond" w:hAnsi="Garamond"/>
                <w:b/>
                <w:lang w:val="en-AU"/>
              </w:rPr>
              <w:t>Reducing Overuse and Improving Quality</w:t>
            </w:r>
            <w:r w:rsidRPr="00F97E96">
              <w:rPr>
                <w:rFonts w:ascii="Garamond" w:hAnsi="Garamond"/>
                <w:lang w:val="en-AU"/>
              </w:rPr>
              <w:t xml:space="preserve"> (Karen Born, Tai Huynh and Wendy Levinson</w:t>
            </w:r>
            <w:r>
              <w:rPr>
                <w:rFonts w:ascii="Garamond" w:hAnsi="Garamond"/>
                <w:lang w:val="en-AU"/>
              </w:rPr>
              <w:t>)</w:t>
            </w:r>
          </w:p>
          <w:p w:rsidR="00F97E96" w:rsidRPr="00F97E96" w:rsidRDefault="00F97E96" w:rsidP="00F97E96">
            <w:pPr>
              <w:pStyle w:val="ListParagraph"/>
              <w:numPr>
                <w:ilvl w:val="0"/>
                <w:numId w:val="15"/>
              </w:numPr>
              <w:rPr>
                <w:rFonts w:ascii="Garamond" w:hAnsi="Garamond"/>
                <w:lang w:val="en-AU"/>
              </w:rPr>
            </w:pPr>
            <w:r w:rsidRPr="00F97E96">
              <w:rPr>
                <w:rFonts w:ascii="Garamond" w:hAnsi="Garamond"/>
                <w:lang w:val="en-AU"/>
              </w:rPr>
              <w:t xml:space="preserve">Commentary: </w:t>
            </w:r>
            <w:r w:rsidRPr="00F97E96">
              <w:rPr>
                <w:rFonts w:ascii="Garamond" w:hAnsi="Garamond"/>
                <w:b/>
                <w:lang w:val="en-AU"/>
              </w:rPr>
              <w:t>Choosing Wisely</w:t>
            </w:r>
            <w:r w:rsidRPr="00F97E96">
              <w:rPr>
                <w:rFonts w:ascii="Garamond" w:hAnsi="Garamond"/>
                <w:lang w:val="en-AU"/>
              </w:rPr>
              <w:t xml:space="preserve"> in the Northwest Territories: A Case for Thinking Beyond the Test in </w:t>
            </w:r>
            <w:r w:rsidRPr="00F97E96">
              <w:rPr>
                <w:rFonts w:ascii="Garamond" w:hAnsi="Garamond"/>
                <w:b/>
                <w:lang w:val="en-AU"/>
              </w:rPr>
              <w:t>Rural and Remote</w:t>
            </w:r>
            <w:r w:rsidRPr="00F97E96">
              <w:rPr>
                <w:rFonts w:ascii="Garamond" w:hAnsi="Garamond"/>
                <w:lang w:val="en-AU"/>
              </w:rPr>
              <w:t xml:space="preserve"> Northern Communities (Pooja Chugh and Suraiya Naidoo</w:t>
            </w:r>
            <w:r>
              <w:rPr>
                <w:rFonts w:ascii="Garamond" w:hAnsi="Garamond"/>
                <w:lang w:val="en-AU"/>
              </w:rPr>
              <w:t>)</w:t>
            </w:r>
          </w:p>
          <w:p w:rsidR="00F97E96" w:rsidRPr="00F97E96" w:rsidRDefault="00F97E96" w:rsidP="00F97E96">
            <w:pPr>
              <w:pStyle w:val="ListParagraph"/>
              <w:numPr>
                <w:ilvl w:val="0"/>
                <w:numId w:val="15"/>
              </w:numPr>
              <w:rPr>
                <w:rFonts w:ascii="Garamond" w:hAnsi="Garamond"/>
                <w:lang w:val="en-AU"/>
              </w:rPr>
            </w:pPr>
            <w:r w:rsidRPr="00F97E96">
              <w:rPr>
                <w:rFonts w:ascii="Garamond" w:hAnsi="Garamond"/>
                <w:lang w:val="en-AU"/>
              </w:rPr>
              <w:t xml:space="preserve">Commentary: Choosing Wisely in the </w:t>
            </w:r>
            <w:r w:rsidRPr="00F97E96">
              <w:rPr>
                <w:rFonts w:ascii="Garamond" w:hAnsi="Garamond"/>
                <w:b/>
                <w:lang w:val="en-AU"/>
              </w:rPr>
              <w:t>Context of Corporate Influence</w:t>
            </w:r>
            <w:r w:rsidRPr="00F97E96">
              <w:rPr>
                <w:rFonts w:ascii="Garamond" w:hAnsi="Garamond"/>
                <w:lang w:val="en-AU"/>
              </w:rPr>
              <w:t xml:space="preserve"> (Quinn Grundy</w:t>
            </w:r>
            <w:r>
              <w:rPr>
                <w:rFonts w:ascii="Garamond" w:hAnsi="Garamond"/>
                <w:lang w:val="en-AU"/>
              </w:rPr>
              <w:t>)</w:t>
            </w:r>
          </w:p>
          <w:p w:rsidR="00F97E96" w:rsidRPr="00F97E96" w:rsidRDefault="00F97E96" w:rsidP="00F97E96">
            <w:pPr>
              <w:pStyle w:val="ListParagraph"/>
              <w:numPr>
                <w:ilvl w:val="0"/>
                <w:numId w:val="15"/>
              </w:numPr>
              <w:rPr>
                <w:rFonts w:ascii="Garamond" w:hAnsi="Garamond"/>
                <w:lang w:val="en-AU"/>
              </w:rPr>
            </w:pPr>
            <w:r w:rsidRPr="00F97E96">
              <w:rPr>
                <w:rFonts w:ascii="Garamond" w:hAnsi="Garamond"/>
                <w:lang w:val="en-AU"/>
              </w:rPr>
              <w:t xml:space="preserve">Commentary: Choosing Wisely Canada Needs to Start Helping Doctors to Understand How </w:t>
            </w:r>
            <w:r w:rsidRPr="00F97E96">
              <w:rPr>
                <w:rFonts w:ascii="Garamond" w:hAnsi="Garamond"/>
                <w:b/>
                <w:lang w:val="en-AU"/>
              </w:rPr>
              <w:t>Commercial Influences Affect Their Prescribing</w:t>
            </w:r>
            <w:r w:rsidRPr="00F97E96">
              <w:rPr>
                <w:rFonts w:ascii="Garamond" w:hAnsi="Garamond"/>
                <w:lang w:val="en-AU"/>
              </w:rPr>
              <w:t xml:space="preserve"> (Joel Lexchin</w:t>
            </w:r>
            <w:r>
              <w:rPr>
                <w:rFonts w:ascii="Garamond" w:hAnsi="Garamond"/>
                <w:lang w:val="en-AU"/>
              </w:rPr>
              <w:t>)</w:t>
            </w:r>
          </w:p>
          <w:p w:rsidR="00F97E96" w:rsidRPr="00F97E96" w:rsidRDefault="00F97E96" w:rsidP="00F97E96">
            <w:pPr>
              <w:pStyle w:val="ListParagraph"/>
              <w:numPr>
                <w:ilvl w:val="0"/>
                <w:numId w:val="15"/>
              </w:numPr>
              <w:rPr>
                <w:rFonts w:ascii="Garamond" w:hAnsi="Garamond"/>
                <w:lang w:val="en-AU"/>
              </w:rPr>
            </w:pPr>
            <w:r w:rsidRPr="00F97E96">
              <w:rPr>
                <w:rFonts w:ascii="Garamond" w:hAnsi="Garamond"/>
                <w:lang w:val="en-AU"/>
              </w:rPr>
              <w:t xml:space="preserve">Commentary: Choosing Wisely: An Important Step in the Right Direction to </w:t>
            </w:r>
            <w:r w:rsidRPr="00F97E96">
              <w:rPr>
                <w:rFonts w:ascii="Garamond" w:hAnsi="Garamond"/>
                <w:b/>
                <w:lang w:val="en-AU"/>
              </w:rPr>
              <w:t>Addressing Overuse of Health Services</w:t>
            </w:r>
            <w:r w:rsidRPr="00F97E96">
              <w:rPr>
                <w:rFonts w:ascii="Garamond" w:hAnsi="Garamond"/>
                <w:lang w:val="en-AU"/>
              </w:rPr>
              <w:t xml:space="preserve"> (Moriah E Ellen and M G Wilson</w:t>
            </w:r>
            <w:r>
              <w:rPr>
                <w:rFonts w:ascii="Garamond" w:hAnsi="Garamond"/>
                <w:lang w:val="en-AU"/>
              </w:rPr>
              <w:t>)</w:t>
            </w:r>
          </w:p>
          <w:p w:rsidR="00F97E96" w:rsidRPr="00F97E96" w:rsidRDefault="00F97E96" w:rsidP="00F97E96">
            <w:pPr>
              <w:pStyle w:val="ListParagraph"/>
              <w:numPr>
                <w:ilvl w:val="0"/>
                <w:numId w:val="15"/>
              </w:numPr>
              <w:rPr>
                <w:rFonts w:ascii="Garamond" w:hAnsi="Garamond"/>
                <w:lang w:val="en-AU"/>
              </w:rPr>
            </w:pPr>
            <w:r w:rsidRPr="00F97E96">
              <w:rPr>
                <w:rFonts w:ascii="Garamond" w:hAnsi="Garamond"/>
                <w:lang w:val="en-AU"/>
              </w:rPr>
              <w:t xml:space="preserve">Commentary: </w:t>
            </w:r>
            <w:r w:rsidRPr="00F97E96">
              <w:rPr>
                <w:rFonts w:ascii="Garamond" w:hAnsi="Garamond"/>
                <w:b/>
                <w:lang w:val="en-AU"/>
              </w:rPr>
              <w:t>De-implementation of Low-Value Care</w:t>
            </w:r>
            <w:r w:rsidRPr="00F97E96">
              <w:rPr>
                <w:rFonts w:ascii="Garamond" w:hAnsi="Garamond"/>
                <w:lang w:val="en-AU"/>
              </w:rPr>
              <w:t>: Audit and Feedback Wisely (Noah M. Ivers and Laura Desveaux</w:t>
            </w:r>
            <w:r>
              <w:rPr>
                <w:rFonts w:ascii="Garamond" w:hAnsi="Garamond"/>
                <w:lang w:val="en-AU"/>
              </w:rPr>
              <w:t>)</w:t>
            </w:r>
          </w:p>
          <w:p w:rsidR="00F97E96" w:rsidRPr="00F97E96" w:rsidRDefault="00F97E96" w:rsidP="00F97E96">
            <w:pPr>
              <w:pStyle w:val="ListParagraph"/>
              <w:numPr>
                <w:ilvl w:val="0"/>
                <w:numId w:val="15"/>
              </w:numPr>
              <w:rPr>
                <w:rFonts w:ascii="Garamond" w:hAnsi="Garamond"/>
                <w:lang w:val="en-AU"/>
              </w:rPr>
            </w:pPr>
            <w:r w:rsidRPr="00F97E96">
              <w:rPr>
                <w:rFonts w:ascii="Garamond" w:hAnsi="Garamond"/>
                <w:lang w:val="en-AU"/>
              </w:rPr>
              <w:t xml:space="preserve">Commentary: Choosing Wisely Canada Must Do </w:t>
            </w:r>
            <w:r w:rsidRPr="00F97E96">
              <w:rPr>
                <w:rFonts w:ascii="Garamond" w:hAnsi="Garamond"/>
                <w:b/>
                <w:lang w:val="en-AU"/>
              </w:rPr>
              <w:t>More Than Recommend Wise Choices</w:t>
            </w:r>
            <w:r w:rsidRPr="00F97E96">
              <w:rPr>
                <w:rFonts w:ascii="Garamond" w:hAnsi="Garamond"/>
                <w:lang w:val="en-AU"/>
              </w:rPr>
              <w:t xml:space="preserve"> (Alan J Forster and Ashley Ryer</w:t>
            </w:r>
            <w:r>
              <w:rPr>
                <w:rFonts w:ascii="Garamond" w:hAnsi="Garamond"/>
                <w:lang w:val="en-AU"/>
              </w:rPr>
              <w:t>)</w:t>
            </w:r>
          </w:p>
          <w:p w:rsidR="00F97E96" w:rsidRPr="00F97E96" w:rsidRDefault="00F97E96" w:rsidP="00F97E96">
            <w:pPr>
              <w:pStyle w:val="ListParagraph"/>
              <w:numPr>
                <w:ilvl w:val="0"/>
                <w:numId w:val="15"/>
              </w:numPr>
              <w:rPr>
                <w:rFonts w:ascii="Garamond" w:hAnsi="Garamond"/>
                <w:lang w:val="en-AU"/>
              </w:rPr>
            </w:pPr>
            <w:r w:rsidRPr="00F97E96">
              <w:rPr>
                <w:rFonts w:ascii="Garamond" w:hAnsi="Garamond"/>
                <w:lang w:val="en-AU"/>
              </w:rPr>
              <w:t xml:space="preserve">Commentary: </w:t>
            </w:r>
            <w:r w:rsidRPr="00F97E96">
              <w:rPr>
                <w:rFonts w:ascii="Garamond" w:hAnsi="Garamond"/>
                <w:b/>
                <w:lang w:val="en-AU"/>
              </w:rPr>
              <w:t>Choosing Digital Technologies Wisely</w:t>
            </w:r>
            <w:r w:rsidRPr="00F97E96">
              <w:rPr>
                <w:rFonts w:ascii="Garamond" w:hAnsi="Garamond"/>
                <w:lang w:val="en-AU"/>
              </w:rPr>
              <w:t>: Six Dimensions to DECIDE (Kendall Ho</w:t>
            </w:r>
            <w:r>
              <w:rPr>
                <w:rFonts w:ascii="Garamond" w:hAnsi="Garamond"/>
                <w:lang w:val="en-AU"/>
              </w:rPr>
              <w:t>)</w:t>
            </w:r>
          </w:p>
          <w:p w:rsidR="000C087C" w:rsidRPr="007C3778" w:rsidRDefault="00F97E96" w:rsidP="00F97E96">
            <w:pPr>
              <w:pStyle w:val="ListParagraph"/>
              <w:numPr>
                <w:ilvl w:val="0"/>
                <w:numId w:val="15"/>
              </w:numPr>
              <w:rPr>
                <w:rFonts w:ascii="Garamond" w:hAnsi="Garamond"/>
                <w:lang w:val="en-AU"/>
              </w:rPr>
            </w:pPr>
            <w:r w:rsidRPr="00F97E96">
              <w:rPr>
                <w:rFonts w:ascii="Garamond" w:hAnsi="Garamond"/>
                <w:lang w:val="en-AU"/>
              </w:rPr>
              <w:t xml:space="preserve">The Authors Respond: </w:t>
            </w:r>
            <w:r w:rsidRPr="00F97E96">
              <w:rPr>
                <w:rFonts w:ascii="Garamond" w:hAnsi="Garamond"/>
                <w:b/>
                <w:lang w:val="en-AU"/>
              </w:rPr>
              <w:t>Overuse in Canada</w:t>
            </w:r>
            <w:r w:rsidRPr="00F97E96">
              <w:rPr>
                <w:rFonts w:ascii="Garamond" w:hAnsi="Garamond"/>
                <w:lang w:val="en-AU"/>
              </w:rPr>
              <w:t xml:space="preserve">: A Complex Problem in a Complex Healthcare System </w:t>
            </w:r>
            <w:r>
              <w:rPr>
                <w:rFonts w:ascii="Garamond" w:hAnsi="Garamond"/>
                <w:lang w:val="en-AU"/>
              </w:rPr>
              <w:t>(</w:t>
            </w:r>
            <w:r w:rsidRPr="00F97E96">
              <w:rPr>
                <w:rFonts w:ascii="Garamond" w:hAnsi="Garamond"/>
                <w:lang w:val="en-AU"/>
              </w:rPr>
              <w:t>Karen Born, Wendy Levinson and Tai Huynh</w:t>
            </w:r>
            <w:r>
              <w:rPr>
                <w:rFonts w:ascii="Garamond" w:hAnsi="Garamond"/>
                <w:lang w:val="en-AU"/>
              </w:rPr>
              <w:t>)</w:t>
            </w:r>
          </w:p>
        </w:tc>
      </w:tr>
    </w:tbl>
    <w:p w:rsidR="000C087C" w:rsidRDefault="000C087C" w:rsidP="000C087C">
      <w:pPr>
        <w:rPr>
          <w:rFonts w:ascii="Garamond" w:hAnsi="Garamond"/>
          <w:i/>
          <w:lang w:val="en-AU"/>
        </w:rPr>
      </w:pPr>
    </w:p>
    <w:p w:rsidR="00BE06E5" w:rsidRPr="00C57211" w:rsidRDefault="00BE06E5" w:rsidP="00BE06E5">
      <w:pPr>
        <w:keepNext/>
        <w:rPr>
          <w:rFonts w:ascii="Garamond" w:hAnsi="Garamond"/>
          <w:i/>
          <w:lang w:val="en-AU"/>
        </w:rPr>
      </w:pPr>
      <w:r>
        <w:rPr>
          <w:rFonts w:ascii="Garamond" w:hAnsi="Garamond"/>
          <w:i/>
          <w:lang w:val="en-AU"/>
        </w:rPr>
        <w:t>Health Affairs</w:t>
      </w:r>
    </w:p>
    <w:p w:rsidR="00BE06E5" w:rsidRPr="00D65371" w:rsidRDefault="00BE06E5" w:rsidP="00BE06E5">
      <w:pPr>
        <w:keepNext/>
        <w:rPr>
          <w:rFonts w:ascii="Garamond" w:hAnsi="Garamond"/>
          <w:lang w:val="en-AU"/>
        </w:rPr>
      </w:pPr>
      <w:r w:rsidRPr="00F63992">
        <w:rPr>
          <w:rFonts w:ascii="Garamond" w:hAnsi="Garamond"/>
          <w:lang w:val="en-AU"/>
        </w:rPr>
        <w:t xml:space="preserve">Volume 38, Number </w:t>
      </w:r>
      <w:r>
        <w:rPr>
          <w:rFonts w:ascii="Garamond" w:hAnsi="Garamond"/>
          <w:lang w:val="en-AU"/>
        </w:rPr>
        <w:t>7</w:t>
      </w:r>
      <w:r w:rsidRPr="00F63992">
        <w:rPr>
          <w:rFonts w:ascii="Garamond" w:hAnsi="Garamond"/>
          <w:lang w:val="en-AU"/>
        </w:rPr>
        <w:t xml:space="preserve"> (</w:t>
      </w:r>
      <w:r>
        <w:rPr>
          <w:rFonts w:ascii="Garamond" w:hAnsi="Garamond"/>
          <w:lang w:val="en-AU"/>
        </w:rPr>
        <w:t>Jul</w:t>
      </w:r>
      <w:r w:rsidRPr="00F63992">
        <w:rPr>
          <w:rFonts w:ascii="Garamond" w:hAnsi="Garamond"/>
          <w:lang w:val="en-AU"/>
        </w:rPr>
        <w:t>y 2019)</w:t>
      </w:r>
    </w:p>
    <w:tbl>
      <w:tblPr>
        <w:tblStyle w:val="TableGrid"/>
        <w:tblW w:w="0" w:type="auto"/>
        <w:tblInd w:w="288" w:type="dxa"/>
        <w:tblLayout w:type="fixed"/>
        <w:tblLook w:val="01E0" w:firstRow="1" w:lastRow="1" w:firstColumn="1" w:lastColumn="1" w:noHBand="0" w:noVBand="0"/>
      </w:tblPr>
      <w:tblGrid>
        <w:gridCol w:w="1080"/>
        <w:gridCol w:w="8280"/>
      </w:tblGrid>
      <w:tr w:rsidR="00BE06E5" w:rsidRPr="000170DA" w:rsidTr="000E668B">
        <w:tc>
          <w:tcPr>
            <w:tcW w:w="1080" w:type="dxa"/>
            <w:tcBorders>
              <w:top w:val="single" w:sz="4" w:space="0" w:color="auto"/>
              <w:left w:val="single" w:sz="4" w:space="0" w:color="auto"/>
              <w:bottom w:val="single" w:sz="4" w:space="0" w:color="auto"/>
              <w:right w:val="single" w:sz="4" w:space="0" w:color="auto"/>
            </w:tcBorders>
            <w:vAlign w:val="center"/>
          </w:tcPr>
          <w:p w:rsidR="00BE06E5" w:rsidRPr="000170DA" w:rsidRDefault="00BE06E5" w:rsidP="000E668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E06E5" w:rsidRPr="000170DA" w:rsidRDefault="00BF271B" w:rsidP="000E668B">
            <w:pPr>
              <w:rPr>
                <w:rStyle w:val="Hyperlink"/>
                <w:rFonts w:ascii="Garamond" w:hAnsi="Garamond"/>
                <w:color w:val="auto"/>
                <w:u w:val="none"/>
                <w:lang w:val="en-AU"/>
              </w:rPr>
            </w:pPr>
            <w:hyperlink r:id="rId29" w:history="1">
              <w:r w:rsidR="00BE06E5" w:rsidRPr="00444DB6">
                <w:rPr>
                  <w:rStyle w:val="Hyperlink"/>
                  <w:rFonts w:ascii="Garamond" w:hAnsi="Garamond"/>
                  <w:lang w:val="en-AU"/>
                </w:rPr>
                <w:t>https://www.healthaffairs.org/toc/hlthaff/38/7</w:t>
              </w:r>
            </w:hyperlink>
          </w:p>
        </w:tc>
      </w:tr>
      <w:tr w:rsidR="00BE06E5" w:rsidRPr="000170DA" w:rsidTr="000E668B">
        <w:tc>
          <w:tcPr>
            <w:tcW w:w="1080" w:type="dxa"/>
            <w:tcBorders>
              <w:top w:val="single" w:sz="4" w:space="0" w:color="auto"/>
              <w:left w:val="single" w:sz="4" w:space="0" w:color="auto"/>
              <w:bottom w:val="single" w:sz="4" w:space="0" w:color="auto"/>
              <w:right w:val="single" w:sz="4" w:space="0" w:color="auto"/>
            </w:tcBorders>
            <w:vAlign w:val="center"/>
          </w:tcPr>
          <w:p w:rsidR="00BE06E5" w:rsidRPr="000170DA" w:rsidRDefault="00BE06E5" w:rsidP="000E668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E06E5" w:rsidRPr="007C3778" w:rsidRDefault="00BE06E5" w:rsidP="000E668B">
            <w:pPr>
              <w:rPr>
                <w:rFonts w:ascii="Garamond" w:hAnsi="Garamond"/>
                <w:lang w:val="en-AU"/>
              </w:rPr>
            </w:pPr>
            <w:r w:rsidRPr="00B440ED">
              <w:rPr>
                <w:rFonts w:ascii="Garamond" w:hAnsi="Garamond"/>
                <w:lang w:val="en-AU"/>
              </w:rPr>
              <w:t xml:space="preserve">A new issue of </w:t>
            </w:r>
            <w:r>
              <w:rPr>
                <w:rFonts w:ascii="Garamond" w:hAnsi="Garamond"/>
                <w:i/>
                <w:lang w:val="en-AU"/>
              </w:rPr>
              <w:t>Health Affairs</w:t>
            </w:r>
            <w:r w:rsidRPr="00B440ED">
              <w:rPr>
                <w:rFonts w:ascii="Garamond" w:hAnsi="Garamond"/>
                <w:lang w:val="en-AU"/>
              </w:rPr>
              <w:t xml:space="preserve"> has been published</w:t>
            </w:r>
            <w:r>
              <w:rPr>
                <w:rFonts w:ascii="Garamond" w:hAnsi="Garamond"/>
                <w:lang w:val="en-AU"/>
              </w:rPr>
              <w:t xml:space="preserve"> with the themes ‘</w:t>
            </w:r>
            <w:r w:rsidRPr="00F95F62">
              <w:rPr>
                <w:rFonts w:ascii="Garamond" w:hAnsi="Garamond"/>
                <w:lang w:val="en-AU"/>
              </w:rPr>
              <w:t>Physicians, Nurses, Disparities, And More</w:t>
            </w:r>
            <w:r>
              <w:rPr>
                <w:rFonts w:ascii="Garamond" w:hAnsi="Garamond"/>
                <w:lang w:val="en-AU"/>
              </w:rPr>
              <w:t>’</w:t>
            </w:r>
            <w:r w:rsidRPr="00B440ED">
              <w:rPr>
                <w:rFonts w:ascii="Garamond" w:hAnsi="Garamond"/>
                <w:lang w:val="en-AU"/>
              </w:rPr>
              <w:t xml:space="preserve">. Articles in this issue of </w:t>
            </w:r>
            <w:r>
              <w:rPr>
                <w:rFonts w:ascii="Garamond" w:hAnsi="Garamond"/>
                <w:i/>
                <w:lang w:val="en-AU"/>
              </w:rPr>
              <w:t>Health Affairs</w:t>
            </w:r>
            <w:r w:rsidRPr="00B440ED">
              <w:rPr>
                <w:rFonts w:ascii="Garamond" w:hAnsi="Garamond"/>
                <w:lang w:val="en-AU"/>
              </w:rPr>
              <w:t xml:space="preserve"> include:</w:t>
            </w:r>
          </w:p>
          <w:p w:rsidR="00BE06E5" w:rsidRPr="00F95F62" w:rsidRDefault="00BE06E5" w:rsidP="000E668B">
            <w:pPr>
              <w:pStyle w:val="ListParagraph"/>
              <w:numPr>
                <w:ilvl w:val="0"/>
                <w:numId w:val="15"/>
              </w:numPr>
              <w:rPr>
                <w:rFonts w:ascii="Garamond" w:hAnsi="Garamond"/>
                <w:lang w:val="en-AU"/>
              </w:rPr>
            </w:pPr>
            <w:r w:rsidRPr="00F95F62">
              <w:rPr>
                <w:rFonts w:ascii="Garamond" w:hAnsi="Garamond"/>
                <w:lang w:val="en-AU"/>
              </w:rPr>
              <w:t xml:space="preserve">To </w:t>
            </w:r>
            <w:r w:rsidRPr="00F95F62">
              <w:rPr>
                <w:rFonts w:ascii="Garamond" w:hAnsi="Garamond"/>
                <w:b/>
                <w:lang w:val="en-AU"/>
              </w:rPr>
              <w:t>Improve Outcomes</w:t>
            </w:r>
            <w:r w:rsidRPr="00F95F62">
              <w:rPr>
                <w:rFonts w:ascii="Garamond" w:hAnsi="Garamond"/>
                <w:lang w:val="en-AU"/>
              </w:rPr>
              <w:t xml:space="preserve">, Health Systems Invest In </w:t>
            </w:r>
            <w:r w:rsidRPr="00F95F62">
              <w:rPr>
                <w:rFonts w:ascii="Garamond" w:hAnsi="Garamond"/>
                <w:b/>
                <w:lang w:val="en-AU"/>
              </w:rPr>
              <w:t>Affordable Housing</w:t>
            </w:r>
            <w:r w:rsidRPr="00F95F62">
              <w:rPr>
                <w:rFonts w:ascii="Garamond" w:hAnsi="Garamond"/>
                <w:lang w:val="en-AU"/>
              </w:rPr>
              <w:t xml:space="preserve"> (David Tuller</w:t>
            </w:r>
            <w:r>
              <w:rPr>
                <w:rFonts w:ascii="Garamond" w:hAnsi="Garamond"/>
                <w:lang w:val="en-AU"/>
              </w:rPr>
              <w:t>)</w:t>
            </w:r>
          </w:p>
          <w:p w:rsidR="00BE06E5" w:rsidRPr="00F95F62" w:rsidRDefault="00BE06E5" w:rsidP="000E668B">
            <w:pPr>
              <w:pStyle w:val="ListParagraph"/>
              <w:numPr>
                <w:ilvl w:val="0"/>
                <w:numId w:val="15"/>
              </w:numPr>
              <w:rPr>
                <w:rFonts w:ascii="Garamond" w:hAnsi="Garamond"/>
                <w:lang w:val="en-AU"/>
              </w:rPr>
            </w:pPr>
            <w:r w:rsidRPr="00EF31FA">
              <w:rPr>
                <w:rFonts w:ascii="Garamond" w:hAnsi="Garamond"/>
                <w:b/>
                <w:lang w:val="en-AU"/>
              </w:rPr>
              <w:t>Physicians’ Well-Being</w:t>
            </w:r>
            <w:r w:rsidRPr="00F95F62">
              <w:rPr>
                <w:rFonts w:ascii="Garamond" w:hAnsi="Garamond"/>
                <w:lang w:val="en-AU"/>
              </w:rPr>
              <w:t xml:space="preserve"> Linked To In-Basket Messages Generated By Algorithms In Electronic Health Records (Ming Tai-Seale, Ellis C Dillon, Yan Yang, Robert Nordgren, Ruth L Steinberg, Teresa Nauenberg, Tim C Lee, Amy Meehan, Jinnan Li, Albert Solomon Chan, and Dominick L Frosch</w:t>
            </w:r>
            <w:r>
              <w:rPr>
                <w:rFonts w:ascii="Garamond" w:hAnsi="Garamond"/>
                <w:lang w:val="en-AU"/>
              </w:rPr>
              <w:t>)</w:t>
            </w:r>
          </w:p>
          <w:p w:rsidR="00BE06E5" w:rsidRPr="00EF31FA" w:rsidRDefault="00BE06E5" w:rsidP="000E668B">
            <w:pPr>
              <w:pStyle w:val="ListParagraph"/>
              <w:numPr>
                <w:ilvl w:val="0"/>
                <w:numId w:val="15"/>
              </w:numPr>
              <w:rPr>
                <w:rFonts w:ascii="Garamond" w:hAnsi="Garamond"/>
                <w:lang w:val="en-AU"/>
              </w:rPr>
            </w:pPr>
            <w:r w:rsidRPr="00EF31FA">
              <w:rPr>
                <w:rFonts w:ascii="Garamond" w:hAnsi="Garamond"/>
                <w:lang w:val="en-AU"/>
              </w:rPr>
              <w:t xml:space="preserve">Accuracy Of The Relative Value Scale Update Committee’s Time Estimates And Physician Fee Schedule For </w:t>
            </w:r>
            <w:r w:rsidRPr="00EF31FA">
              <w:rPr>
                <w:rFonts w:ascii="Garamond" w:hAnsi="Garamond"/>
                <w:b/>
                <w:lang w:val="en-AU"/>
              </w:rPr>
              <w:t>Joint Replacement</w:t>
            </w:r>
            <w:r w:rsidRPr="00EF31FA">
              <w:rPr>
                <w:rFonts w:ascii="Garamond" w:hAnsi="Garamond"/>
                <w:lang w:val="en-AU"/>
              </w:rPr>
              <w:t xml:space="preserve"> (John W Urwin, Emily Gudbranson, Danielle Graham, Dawei Xie, Eric Hume, and E J Emanuel</w:t>
            </w:r>
            <w:r>
              <w:rPr>
                <w:rFonts w:ascii="Garamond" w:hAnsi="Garamond"/>
                <w:lang w:val="en-AU"/>
              </w:rPr>
              <w:t>)</w:t>
            </w:r>
          </w:p>
          <w:p w:rsidR="00BE06E5" w:rsidRPr="00EF31FA" w:rsidRDefault="00BE06E5" w:rsidP="000E668B">
            <w:pPr>
              <w:pStyle w:val="ListParagraph"/>
              <w:numPr>
                <w:ilvl w:val="0"/>
                <w:numId w:val="15"/>
              </w:numPr>
              <w:rPr>
                <w:rFonts w:ascii="Garamond" w:hAnsi="Garamond"/>
                <w:lang w:val="en-AU"/>
              </w:rPr>
            </w:pPr>
            <w:r w:rsidRPr="00EF31FA">
              <w:rPr>
                <w:rFonts w:ascii="Garamond" w:hAnsi="Garamond"/>
                <w:lang w:val="en-AU"/>
              </w:rPr>
              <w:t xml:space="preserve">In Hospitals With More </w:t>
            </w:r>
            <w:r w:rsidRPr="00EF31FA">
              <w:rPr>
                <w:rFonts w:ascii="Garamond" w:hAnsi="Garamond"/>
                <w:b/>
                <w:lang w:val="en-AU"/>
              </w:rPr>
              <w:t>Nurses</w:t>
            </w:r>
            <w:r w:rsidRPr="00EF31FA">
              <w:rPr>
                <w:rFonts w:ascii="Garamond" w:hAnsi="Garamond"/>
                <w:lang w:val="en-AU"/>
              </w:rPr>
              <w:t xml:space="preserve"> Who Have Baccalaureate Degrees, Better </w:t>
            </w:r>
            <w:r w:rsidRPr="00EF31FA">
              <w:rPr>
                <w:rFonts w:ascii="Garamond" w:hAnsi="Garamond"/>
                <w:b/>
                <w:lang w:val="en-AU"/>
              </w:rPr>
              <w:t>Outcomes For Patients After Cardiac Arrest</w:t>
            </w:r>
            <w:r w:rsidRPr="00EF31FA">
              <w:rPr>
                <w:rFonts w:ascii="Garamond" w:hAnsi="Garamond"/>
                <w:lang w:val="en-AU"/>
              </w:rPr>
              <w:t xml:space="preserve"> (Jordan M Harrison, Linda H Aiken, Douglas M Sloane, J Margo Brooks Carthon, Raina M Merchant, Robert A Berg, and Matthew D McHugh</w:t>
            </w:r>
          </w:p>
          <w:p w:rsidR="00BE06E5" w:rsidRPr="00EF31FA" w:rsidRDefault="00BE06E5" w:rsidP="000E668B">
            <w:pPr>
              <w:pStyle w:val="ListParagraph"/>
              <w:numPr>
                <w:ilvl w:val="0"/>
                <w:numId w:val="15"/>
              </w:numPr>
              <w:rPr>
                <w:rFonts w:ascii="Garamond" w:hAnsi="Garamond"/>
                <w:lang w:val="en-AU"/>
              </w:rPr>
            </w:pPr>
            <w:r w:rsidRPr="00EF31FA">
              <w:rPr>
                <w:rFonts w:ascii="Garamond" w:hAnsi="Garamond"/>
                <w:lang w:val="en-AU"/>
              </w:rPr>
              <w:t xml:space="preserve">Daily </w:t>
            </w:r>
            <w:r w:rsidRPr="00EF31FA">
              <w:rPr>
                <w:rFonts w:ascii="Garamond" w:hAnsi="Garamond"/>
                <w:b/>
                <w:lang w:val="en-AU"/>
              </w:rPr>
              <w:t>Nursing Home Staffing Levels</w:t>
            </w:r>
            <w:r w:rsidRPr="00EF31FA">
              <w:rPr>
                <w:rFonts w:ascii="Garamond" w:hAnsi="Garamond"/>
                <w:lang w:val="en-AU"/>
              </w:rPr>
              <w:t xml:space="preserve"> Highly Variable, Often Below CMS Expectations (Fangli Geng, David G Stevenson, and David C Grabowski</w:t>
            </w:r>
            <w:r>
              <w:rPr>
                <w:rFonts w:ascii="Garamond" w:hAnsi="Garamond"/>
                <w:lang w:val="en-AU"/>
              </w:rPr>
              <w:t>)</w:t>
            </w:r>
          </w:p>
          <w:p w:rsidR="00BE06E5" w:rsidRPr="00EF31FA" w:rsidRDefault="00BE06E5" w:rsidP="000E668B">
            <w:pPr>
              <w:pStyle w:val="ListParagraph"/>
              <w:numPr>
                <w:ilvl w:val="0"/>
                <w:numId w:val="15"/>
              </w:numPr>
              <w:rPr>
                <w:rFonts w:ascii="Garamond" w:hAnsi="Garamond"/>
                <w:lang w:val="en-AU"/>
              </w:rPr>
            </w:pPr>
            <w:r w:rsidRPr="00EF31FA">
              <w:rPr>
                <w:rFonts w:ascii="Garamond" w:hAnsi="Garamond"/>
                <w:lang w:val="en-AU"/>
              </w:rPr>
              <w:t xml:space="preserve">The Role Of Social Risk Factors In </w:t>
            </w:r>
            <w:r w:rsidRPr="00EF31FA">
              <w:rPr>
                <w:rFonts w:ascii="Garamond" w:hAnsi="Garamond"/>
                <w:b/>
                <w:lang w:val="en-AU"/>
              </w:rPr>
              <w:t>Dialysis Facility</w:t>
            </w:r>
            <w:r w:rsidRPr="00EF31FA">
              <w:rPr>
                <w:rFonts w:ascii="Garamond" w:hAnsi="Garamond"/>
                <w:lang w:val="en-AU"/>
              </w:rPr>
              <w:t xml:space="preserve"> Ratings And Penalties Under A Medicare Quality Incentive Program (Andrew C Qi, Anne M Butler, and Karen E Joynt Maddox</w:t>
            </w:r>
            <w:r>
              <w:rPr>
                <w:rFonts w:ascii="Garamond" w:hAnsi="Garamond"/>
                <w:lang w:val="en-AU"/>
              </w:rPr>
              <w:t>)</w:t>
            </w:r>
          </w:p>
          <w:p w:rsidR="00BE06E5" w:rsidRPr="00EF31FA" w:rsidRDefault="00BE06E5" w:rsidP="000E668B">
            <w:pPr>
              <w:pStyle w:val="ListParagraph"/>
              <w:numPr>
                <w:ilvl w:val="0"/>
                <w:numId w:val="15"/>
              </w:numPr>
              <w:rPr>
                <w:rFonts w:ascii="Garamond" w:hAnsi="Garamond"/>
                <w:lang w:val="en-AU"/>
              </w:rPr>
            </w:pPr>
            <w:r w:rsidRPr="00EF31FA">
              <w:rPr>
                <w:rFonts w:ascii="Garamond" w:hAnsi="Garamond"/>
                <w:lang w:val="en-AU"/>
              </w:rPr>
              <w:t xml:space="preserve">A National Examination Of </w:t>
            </w:r>
            <w:r w:rsidRPr="00EF31FA">
              <w:rPr>
                <w:rFonts w:ascii="Garamond" w:hAnsi="Garamond"/>
                <w:b/>
                <w:lang w:val="en-AU"/>
              </w:rPr>
              <w:t>Long-Term Care Setting, Outcomes, And Disparities</w:t>
            </w:r>
            <w:r w:rsidRPr="00EF31FA">
              <w:rPr>
                <w:rFonts w:ascii="Garamond" w:hAnsi="Garamond"/>
                <w:lang w:val="en-AU"/>
              </w:rPr>
              <w:t xml:space="preserve"> Among Elderly Dual Eligibles (Rebecca J Gorges, Prachi Sanghavi, and R Tamara Konetzka</w:t>
            </w:r>
            <w:r>
              <w:rPr>
                <w:rFonts w:ascii="Garamond" w:hAnsi="Garamond"/>
                <w:lang w:val="en-AU"/>
              </w:rPr>
              <w:t>)</w:t>
            </w:r>
          </w:p>
          <w:p w:rsidR="00BE06E5" w:rsidRPr="00EF31FA" w:rsidRDefault="00BE06E5" w:rsidP="000E668B">
            <w:pPr>
              <w:pStyle w:val="ListParagraph"/>
              <w:numPr>
                <w:ilvl w:val="0"/>
                <w:numId w:val="15"/>
              </w:numPr>
              <w:rPr>
                <w:rFonts w:ascii="Garamond" w:hAnsi="Garamond"/>
                <w:lang w:val="en-AU"/>
              </w:rPr>
            </w:pPr>
            <w:r w:rsidRPr="00EF31FA">
              <w:rPr>
                <w:rFonts w:ascii="Garamond" w:hAnsi="Garamond"/>
                <w:lang w:val="en-AU"/>
              </w:rPr>
              <w:t xml:space="preserve">Racial And Ethnic Disparities In Care Following The </w:t>
            </w:r>
            <w:r w:rsidRPr="00EF31FA">
              <w:rPr>
                <w:rFonts w:ascii="Garamond" w:hAnsi="Garamond"/>
                <w:b/>
                <w:lang w:val="en-AU"/>
              </w:rPr>
              <w:t>New York State Sepsis Initiative</w:t>
            </w:r>
            <w:r w:rsidRPr="00EF31FA">
              <w:rPr>
                <w:rFonts w:ascii="Garamond" w:hAnsi="Garamond"/>
                <w:lang w:val="en-AU"/>
              </w:rPr>
              <w:t xml:space="preserve"> (Keith Corl, Mitchell Levy, Gary Phillips, Kathleen Terry, Marcus Friedrich, and Amal N Trivedi</w:t>
            </w:r>
            <w:r>
              <w:rPr>
                <w:rFonts w:ascii="Garamond" w:hAnsi="Garamond"/>
                <w:lang w:val="en-AU"/>
              </w:rPr>
              <w:t>)</w:t>
            </w:r>
          </w:p>
          <w:p w:rsidR="00BE06E5" w:rsidRPr="00EF31FA" w:rsidRDefault="00BE06E5" w:rsidP="000E668B">
            <w:pPr>
              <w:pStyle w:val="ListParagraph"/>
              <w:numPr>
                <w:ilvl w:val="0"/>
                <w:numId w:val="15"/>
              </w:numPr>
              <w:rPr>
                <w:rFonts w:ascii="Garamond" w:hAnsi="Garamond"/>
                <w:lang w:val="en-AU"/>
              </w:rPr>
            </w:pPr>
            <w:r w:rsidRPr="00EF31FA">
              <w:rPr>
                <w:rFonts w:ascii="Garamond" w:hAnsi="Garamond"/>
                <w:lang w:val="en-AU"/>
              </w:rPr>
              <w:t xml:space="preserve">Fewer Bonuses, More Penalties At Skilled </w:t>
            </w:r>
            <w:r w:rsidRPr="00EF31FA">
              <w:rPr>
                <w:rFonts w:ascii="Garamond" w:hAnsi="Garamond"/>
                <w:b/>
                <w:lang w:val="en-AU"/>
              </w:rPr>
              <w:t>Nursing Facilities Serving Vulnerable Populations</w:t>
            </w:r>
            <w:r w:rsidRPr="00EF31FA">
              <w:rPr>
                <w:rFonts w:ascii="Garamond" w:hAnsi="Garamond"/>
                <w:lang w:val="en-AU"/>
              </w:rPr>
              <w:t xml:space="preserve"> (Jennifer Gaudet Hefele, Xiao “Joyce” Wang, and Emily Lim</w:t>
            </w:r>
            <w:r>
              <w:rPr>
                <w:rFonts w:ascii="Garamond" w:hAnsi="Garamond"/>
                <w:lang w:val="en-AU"/>
              </w:rPr>
              <w:t>)</w:t>
            </w:r>
          </w:p>
          <w:p w:rsidR="00BE06E5" w:rsidRPr="00EF31FA" w:rsidRDefault="00BE06E5" w:rsidP="000E668B">
            <w:pPr>
              <w:pStyle w:val="ListParagraph"/>
              <w:numPr>
                <w:ilvl w:val="0"/>
                <w:numId w:val="15"/>
              </w:numPr>
              <w:rPr>
                <w:rFonts w:ascii="Garamond" w:hAnsi="Garamond"/>
                <w:lang w:val="en-AU"/>
              </w:rPr>
            </w:pPr>
            <w:r w:rsidRPr="00EF31FA">
              <w:rPr>
                <w:rFonts w:ascii="Garamond" w:hAnsi="Garamond"/>
                <w:lang w:val="en-AU"/>
              </w:rPr>
              <w:t xml:space="preserve">Growth Of </w:t>
            </w:r>
            <w:r w:rsidRPr="00EF31FA">
              <w:rPr>
                <w:rFonts w:ascii="Garamond" w:hAnsi="Garamond"/>
                <w:b/>
                <w:lang w:val="en-AU"/>
              </w:rPr>
              <w:t>Public Coverage Among Working Families</w:t>
            </w:r>
            <w:r w:rsidRPr="00EF31FA">
              <w:rPr>
                <w:rFonts w:ascii="Garamond" w:hAnsi="Garamond"/>
                <w:lang w:val="en-AU"/>
              </w:rPr>
              <w:t xml:space="preserve"> In The Private Sector (Douglas Strane, Genevieve P Kanter, Meredith Matone, Ahaviah Glaser, and David M Rubin</w:t>
            </w:r>
            <w:r>
              <w:rPr>
                <w:rFonts w:ascii="Garamond" w:hAnsi="Garamond"/>
                <w:lang w:val="en-AU"/>
              </w:rPr>
              <w:t>)</w:t>
            </w:r>
          </w:p>
          <w:p w:rsidR="00BE06E5" w:rsidRPr="00EF31FA" w:rsidRDefault="00BE06E5" w:rsidP="000E668B">
            <w:pPr>
              <w:pStyle w:val="ListParagraph"/>
              <w:numPr>
                <w:ilvl w:val="0"/>
                <w:numId w:val="15"/>
              </w:numPr>
              <w:rPr>
                <w:rFonts w:ascii="Garamond" w:hAnsi="Garamond"/>
                <w:lang w:val="en-AU"/>
              </w:rPr>
            </w:pPr>
            <w:r w:rsidRPr="00EF31FA">
              <w:rPr>
                <w:rFonts w:ascii="Garamond" w:hAnsi="Garamond"/>
                <w:b/>
                <w:lang w:val="en-AU"/>
              </w:rPr>
              <w:t>Blue-Collar Workers Had Greatest Insurance Gains</w:t>
            </w:r>
            <w:r w:rsidRPr="00EF31FA">
              <w:rPr>
                <w:rFonts w:ascii="Garamond" w:hAnsi="Garamond"/>
                <w:lang w:val="en-AU"/>
              </w:rPr>
              <w:t xml:space="preserve"> After ACA Implementation (Sumit D Agarwal, Anna L Goldman, and B D Sommers</w:t>
            </w:r>
            <w:r>
              <w:rPr>
                <w:rFonts w:ascii="Garamond" w:hAnsi="Garamond"/>
                <w:lang w:val="en-AU"/>
              </w:rPr>
              <w:t>)</w:t>
            </w:r>
          </w:p>
          <w:p w:rsidR="00BE06E5" w:rsidRPr="00EF31FA" w:rsidRDefault="00BE06E5" w:rsidP="000E668B">
            <w:pPr>
              <w:pStyle w:val="ListParagraph"/>
              <w:numPr>
                <w:ilvl w:val="0"/>
                <w:numId w:val="15"/>
              </w:numPr>
              <w:rPr>
                <w:rFonts w:ascii="Garamond" w:hAnsi="Garamond"/>
                <w:lang w:val="en-AU"/>
              </w:rPr>
            </w:pPr>
            <w:r w:rsidRPr="00EF31FA">
              <w:rPr>
                <w:rFonts w:ascii="Garamond" w:hAnsi="Garamond"/>
                <w:lang w:val="en-AU"/>
              </w:rPr>
              <w:t xml:space="preserve">Low-Income Childless Adults’ </w:t>
            </w:r>
            <w:r w:rsidRPr="00EF31FA">
              <w:rPr>
                <w:rFonts w:ascii="Garamond" w:hAnsi="Garamond"/>
                <w:b/>
                <w:lang w:val="en-AU"/>
              </w:rPr>
              <w:t>Access To Antidiabetic Drugs</w:t>
            </w:r>
            <w:r w:rsidRPr="00EF31FA">
              <w:rPr>
                <w:rFonts w:ascii="Garamond" w:hAnsi="Garamond"/>
                <w:lang w:val="en-AU"/>
              </w:rPr>
              <w:t xml:space="preserve"> In Wisconsin Medicaid After Coverage Expansion (Nam Hyo Kim, Kevin A Look, and Marguerite E Burns</w:t>
            </w:r>
            <w:r>
              <w:rPr>
                <w:rFonts w:ascii="Garamond" w:hAnsi="Garamond"/>
                <w:lang w:val="en-AU"/>
              </w:rPr>
              <w:t>)</w:t>
            </w:r>
          </w:p>
          <w:p w:rsidR="00BE06E5" w:rsidRPr="00EF31FA" w:rsidRDefault="00BE06E5" w:rsidP="000E668B">
            <w:pPr>
              <w:pStyle w:val="ListParagraph"/>
              <w:numPr>
                <w:ilvl w:val="0"/>
                <w:numId w:val="15"/>
              </w:numPr>
              <w:rPr>
                <w:rFonts w:ascii="Garamond" w:hAnsi="Garamond"/>
                <w:lang w:val="en-AU"/>
              </w:rPr>
            </w:pPr>
            <w:r w:rsidRPr="00EF31FA">
              <w:rPr>
                <w:rFonts w:ascii="Garamond" w:hAnsi="Garamond"/>
                <w:lang w:val="en-AU"/>
              </w:rPr>
              <w:t xml:space="preserve">Association Of State Policies With </w:t>
            </w:r>
            <w:r w:rsidRPr="00EF31FA">
              <w:rPr>
                <w:rFonts w:ascii="Garamond" w:hAnsi="Garamond"/>
                <w:b/>
                <w:lang w:val="en-AU"/>
              </w:rPr>
              <w:t>Medicaid Disenrollment Among Low-Income Medicare Beneficiaries</w:t>
            </w:r>
            <w:r w:rsidRPr="00EF31FA">
              <w:rPr>
                <w:rFonts w:ascii="Garamond" w:hAnsi="Garamond"/>
                <w:lang w:val="en-AU"/>
              </w:rPr>
              <w:t xml:space="preserve"> (Eric T Roberts, Jacqueline Hayley Welsh, Julie M Donohue, and Lindsay M Sabik</w:t>
            </w:r>
            <w:r>
              <w:rPr>
                <w:rFonts w:ascii="Garamond" w:hAnsi="Garamond"/>
                <w:lang w:val="en-AU"/>
              </w:rPr>
              <w:t>)</w:t>
            </w:r>
          </w:p>
          <w:p w:rsidR="00BE06E5" w:rsidRPr="00EF31FA" w:rsidRDefault="00BE06E5" w:rsidP="000E668B">
            <w:pPr>
              <w:pStyle w:val="ListParagraph"/>
              <w:numPr>
                <w:ilvl w:val="0"/>
                <w:numId w:val="15"/>
              </w:numPr>
              <w:rPr>
                <w:rFonts w:ascii="Garamond" w:hAnsi="Garamond"/>
                <w:lang w:val="en-AU"/>
              </w:rPr>
            </w:pPr>
            <w:r w:rsidRPr="00EF31FA">
              <w:rPr>
                <w:rFonts w:ascii="Garamond" w:hAnsi="Garamond"/>
                <w:lang w:val="en-AU"/>
              </w:rPr>
              <w:t xml:space="preserve">Twenty Years Of </w:t>
            </w:r>
            <w:r w:rsidRPr="00EF31FA">
              <w:rPr>
                <w:rFonts w:ascii="Garamond" w:hAnsi="Garamond"/>
                <w:b/>
                <w:lang w:val="en-AU"/>
              </w:rPr>
              <w:t>Antiretroviral Therapy For People Living With HIV</w:t>
            </w:r>
            <w:r w:rsidRPr="00EF31FA">
              <w:rPr>
                <w:rFonts w:ascii="Garamond" w:hAnsi="Garamond"/>
                <w:lang w:val="en-AU"/>
              </w:rPr>
              <w:t>: Global Costs, Health Achievements, Economic Benefits (Steven S Forsythe, William McGreevey, Alan Whiteside, Maunank Shah, Joshua Cohen, Robert Hecht, Lori A Bollinger, and Anthony Kinghorn</w:t>
            </w:r>
            <w:r>
              <w:rPr>
                <w:rFonts w:ascii="Garamond" w:hAnsi="Garamond"/>
                <w:lang w:val="en-AU"/>
              </w:rPr>
              <w:t>)</w:t>
            </w:r>
          </w:p>
          <w:p w:rsidR="00BE06E5" w:rsidRPr="00031697" w:rsidRDefault="00BE06E5" w:rsidP="000E668B">
            <w:pPr>
              <w:pStyle w:val="ListParagraph"/>
              <w:numPr>
                <w:ilvl w:val="0"/>
                <w:numId w:val="15"/>
              </w:numPr>
              <w:rPr>
                <w:rFonts w:ascii="Garamond" w:hAnsi="Garamond"/>
                <w:lang w:val="en-AU"/>
              </w:rPr>
            </w:pPr>
            <w:r w:rsidRPr="00031697">
              <w:rPr>
                <w:rFonts w:ascii="Garamond" w:hAnsi="Garamond"/>
                <w:b/>
                <w:lang w:val="en-AU"/>
              </w:rPr>
              <w:t>Epidemiological And Health Systems Implications Of Evolving HIV And Hypertension</w:t>
            </w:r>
            <w:r w:rsidRPr="00031697">
              <w:rPr>
                <w:rFonts w:ascii="Garamond" w:hAnsi="Garamond"/>
                <w:lang w:val="en-AU"/>
              </w:rPr>
              <w:t xml:space="preserve"> In South Africa And Kenya (Brianna Osetinsky, Jan A C Hontelez, Mark N Lurie, Stephen T McGarvey, Gerald S Bloomfield, Sonak D Pastakia, Richard Wamai, Till Bärnighausen, Sake J de Vlas, and O Galárraga</w:t>
            </w:r>
            <w:r>
              <w:rPr>
                <w:rFonts w:ascii="Garamond" w:hAnsi="Garamond"/>
                <w:lang w:val="en-AU"/>
              </w:rPr>
              <w:t>)</w:t>
            </w:r>
          </w:p>
          <w:p w:rsidR="00BE06E5" w:rsidRPr="00031697" w:rsidRDefault="00BE06E5" w:rsidP="000E668B">
            <w:pPr>
              <w:pStyle w:val="ListParagraph"/>
              <w:numPr>
                <w:ilvl w:val="0"/>
                <w:numId w:val="15"/>
              </w:numPr>
              <w:rPr>
                <w:rFonts w:ascii="Garamond" w:hAnsi="Garamond"/>
                <w:lang w:val="en-AU"/>
              </w:rPr>
            </w:pPr>
            <w:r w:rsidRPr="00031697">
              <w:rPr>
                <w:rFonts w:ascii="Garamond" w:hAnsi="Garamond"/>
                <w:lang w:val="en-AU"/>
              </w:rPr>
              <w:t xml:space="preserve">The Impact Of </w:t>
            </w:r>
            <w:r w:rsidRPr="00031697">
              <w:rPr>
                <w:rFonts w:ascii="Garamond" w:hAnsi="Garamond"/>
                <w:b/>
                <w:lang w:val="en-AU"/>
              </w:rPr>
              <w:t>Price Regulation</w:t>
            </w:r>
            <w:r w:rsidRPr="00031697">
              <w:rPr>
                <w:rFonts w:ascii="Garamond" w:hAnsi="Garamond"/>
                <w:lang w:val="en-AU"/>
              </w:rPr>
              <w:t xml:space="preserve"> On The </w:t>
            </w:r>
            <w:r w:rsidRPr="00031697">
              <w:rPr>
                <w:rFonts w:ascii="Garamond" w:hAnsi="Garamond"/>
                <w:b/>
                <w:lang w:val="en-AU"/>
              </w:rPr>
              <w:t>Availability Of New Drugs</w:t>
            </w:r>
            <w:r w:rsidRPr="00031697">
              <w:rPr>
                <w:rFonts w:ascii="Garamond" w:hAnsi="Garamond"/>
                <w:lang w:val="en-AU"/>
              </w:rPr>
              <w:t xml:space="preserve"> In Germany (Ariel D Stern, Felicitas Pietrulla, Annika Herr, Aaron S Kesselheim, and Ameet Sarpatwari</w:t>
            </w:r>
            <w:r>
              <w:rPr>
                <w:rFonts w:ascii="Garamond" w:hAnsi="Garamond"/>
                <w:lang w:val="en-AU"/>
              </w:rPr>
              <w:t>)</w:t>
            </w:r>
          </w:p>
          <w:p w:rsidR="00BE06E5" w:rsidRPr="00031697" w:rsidRDefault="00BE06E5" w:rsidP="000E668B">
            <w:pPr>
              <w:pStyle w:val="ListParagraph"/>
              <w:numPr>
                <w:ilvl w:val="0"/>
                <w:numId w:val="15"/>
              </w:numPr>
              <w:rPr>
                <w:rFonts w:ascii="Garamond" w:hAnsi="Garamond"/>
                <w:lang w:val="en-AU"/>
              </w:rPr>
            </w:pPr>
            <w:r w:rsidRPr="00031697">
              <w:rPr>
                <w:rFonts w:ascii="Garamond" w:hAnsi="Garamond"/>
                <w:lang w:val="en-AU"/>
              </w:rPr>
              <w:t xml:space="preserve">Sending The </w:t>
            </w:r>
            <w:r w:rsidRPr="00031697">
              <w:rPr>
                <w:rFonts w:ascii="Garamond" w:hAnsi="Garamond"/>
                <w:b/>
                <w:lang w:val="en-AU"/>
              </w:rPr>
              <w:t>Wrong Price Signal</w:t>
            </w:r>
            <w:r w:rsidRPr="00031697">
              <w:rPr>
                <w:rFonts w:ascii="Garamond" w:hAnsi="Garamond"/>
                <w:lang w:val="en-AU"/>
              </w:rPr>
              <w:t>: Why Do Some Brand-Name Drugs Cost Medicare Beneficiaries Less Than Generics? (Stacie B Dusetzina, Shelley Jazowski, Ashley Cole, and Joehl Nguyen</w:t>
            </w:r>
            <w:r>
              <w:rPr>
                <w:rFonts w:ascii="Garamond" w:hAnsi="Garamond"/>
                <w:lang w:val="en-AU"/>
              </w:rPr>
              <w:t>)</w:t>
            </w:r>
          </w:p>
          <w:p w:rsidR="00BE06E5" w:rsidRPr="00031697" w:rsidRDefault="00BE06E5" w:rsidP="000E668B">
            <w:pPr>
              <w:pStyle w:val="ListParagraph"/>
              <w:numPr>
                <w:ilvl w:val="0"/>
                <w:numId w:val="15"/>
              </w:numPr>
              <w:rPr>
                <w:rFonts w:ascii="Garamond" w:hAnsi="Garamond"/>
                <w:lang w:val="en-AU"/>
              </w:rPr>
            </w:pPr>
            <w:r w:rsidRPr="00031697">
              <w:rPr>
                <w:rFonts w:ascii="Garamond" w:hAnsi="Garamond"/>
                <w:b/>
                <w:lang w:val="en-AU"/>
              </w:rPr>
              <w:t>Air Ambulances</w:t>
            </w:r>
            <w:r w:rsidRPr="00031697">
              <w:rPr>
                <w:rFonts w:ascii="Garamond" w:hAnsi="Garamond"/>
                <w:lang w:val="en-AU"/>
              </w:rPr>
              <w:t xml:space="preserve"> With Sky-High Charges (Ge Bai, Arjun Chanmugam, Valerie Y. Suslow, and Gerard F Anderson</w:t>
            </w:r>
            <w:r>
              <w:rPr>
                <w:rFonts w:ascii="Garamond" w:hAnsi="Garamond"/>
                <w:lang w:val="en-AU"/>
              </w:rPr>
              <w:t>)</w:t>
            </w:r>
          </w:p>
          <w:p w:rsidR="00BE06E5" w:rsidRPr="00031697" w:rsidRDefault="00BE06E5" w:rsidP="000E668B">
            <w:pPr>
              <w:pStyle w:val="ListParagraph"/>
              <w:numPr>
                <w:ilvl w:val="0"/>
                <w:numId w:val="15"/>
              </w:numPr>
              <w:rPr>
                <w:rFonts w:ascii="Garamond" w:hAnsi="Garamond"/>
                <w:lang w:val="en-AU"/>
              </w:rPr>
            </w:pPr>
            <w:r w:rsidRPr="00031697">
              <w:rPr>
                <w:rFonts w:ascii="Garamond" w:hAnsi="Garamond"/>
                <w:b/>
                <w:lang w:val="en-AU"/>
              </w:rPr>
              <w:t>ACO Contracts</w:t>
            </w:r>
            <w:r w:rsidRPr="00031697">
              <w:rPr>
                <w:rFonts w:ascii="Garamond" w:hAnsi="Garamond"/>
                <w:lang w:val="en-AU"/>
              </w:rPr>
              <w:t xml:space="preserve"> With Downside Financial Risk Growing, But Still In The Minority (Kristen A Peck, Benjamin Usadi, Alexander J Mainor, Elliott S Fisher, and Carrie H. Colla</w:t>
            </w:r>
            <w:r>
              <w:rPr>
                <w:rFonts w:ascii="Garamond" w:hAnsi="Garamond"/>
                <w:lang w:val="en-AU"/>
              </w:rPr>
              <w:t>)</w:t>
            </w:r>
          </w:p>
          <w:p w:rsidR="00BE06E5" w:rsidRPr="00031697" w:rsidRDefault="00BE06E5" w:rsidP="000E668B">
            <w:pPr>
              <w:pStyle w:val="ListParagraph"/>
              <w:numPr>
                <w:ilvl w:val="0"/>
                <w:numId w:val="15"/>
              </w:numPr>
              <w:rPr>
                <w:rFonts w:ascii="Garamond" w:hAnsi="Garamond"/>
                <w:lang w:val="en-AU"/>
              </w:rPr>
            </w:pPr>
            <w:r w:rsidRPr="00031697">
              <w:rPr>
                <w:rFonts w:ascii="Garamond" w:hAnsi="Garamond"/>
                <w:lang w:val="en-AU"/>
              </w:rPr>
              <w:t xml:space="preserve">Impact Of Medicare </w:t>
            </w:r>
            <w:r w:rsidRPr="00031697">
              <w:rPr>
                <w:rFonts w:ascii="Garamond" w:hAnsi="Garamond"/>
                <w:b/>
                <w:lang w:val="en-AU"/>
              </w:rPr>
              <w:t>Readmissions Penalties</w:t>
            </w:r>
            <w:r w:rsidRPr="00031697">
              <w:rPr>
                <w:rFonts w:ascii="Garamond" w:hAnsi="Garamond"/>
                <w:lang w:val="en-AU"/>
              </w:rPr>
              <w:t xml:space="preserve"> On Targeted Surgical Conditions (Karan R Chhabra, Andrew M Ibrahim, Jyothi R Thumma, Andrew M Ryan, and Justin B Dimick</w:t>
            </w:r>
            <w:r>
              <w:rPr>
                <w:rFonts w:ascii="Garamond" w:hAnsi="Garamond"/>
                <w:lang w:val="en-AU"/>
              </w:rPr>
              <w:t>)</w:t>
            </w:r>
          </w:p>
          <w:p w:rsidR="00BE06E5" w:rsidRPr="00031697" w:rsidRDefault="00BE06E5" w:rsidP="000E668B">
            <w:pPr>
              <w:pStyle w:val="ListParagraph"/>
              <w:numPr>
                <w:ilvl w:val="0"/>
                <w:numId w:val="15"/>
              </w:numPr>
              <w:rPr>
                <w:rFonts w:ascii="Garamond" w:hAnsi="Garamond"/>
                <w:lang w:val="en-AU"/>
              </w:rPr>
            </w:pPr>
            <w:r w:rsidRPr="00031697">
              <w:rPr>
                <w:rFonts w:ascii="Garamond" w:hAnsi="Garamond"/>
                <w:b/>
                <w:lang w:val="en-AU"/>
              </w:rPr>
              <w:t>Nonopioid Overdose Death Rates</w:t>
            </w:r>
            <w:r w:rsidRPr="00031697">
              <w:rPr>
                <w:rFonts w:ascii="Garamond" w:hAnsi="Garamond"/>
                <w:lang w:val="en-AU"/>
              </w:rPr>
              <w:t xml:space="preserve"> Rose Almost As Fast As Those Involving Opioids, 1999–2016 (Christopher J Ruhm</w:t>
            </w:r>
            <w:r>
              <w:rPr>
                <w:rFonts w:ascii="Garamond" w:hAnsi="Garamond"/>
                <w:lang w:val="en-AU"/>
              </w:rPr>
              <w:t>)</w:t>
            </w:r>
          </w:p>
          <w:p w:rsidR="00BE06E5" w:rsidRPr="007C3778" w:rsidRDefault="00BE06E5" w:rsidP="000E668B">
            <w:pPr>
              <w:pStyle w:val="ListParagraph"/>
              <w:numPr>
                <w:ilvl w:val="0"/>
                <w:numId w:val="15"/>
              </w:numPr>
              <w:rPr>
                <w:rFonts w:ascii="Garamond" w:hAnsi="Garamond"/>
                <w:lang w:val="en-AU"/>
              </w:rPr>
            </w:pPr>
            <w:r w:rsidRPr="00F95F62">
              <w:rPr>
                <w:rFonts w:ascii="Garamond" w:hAnsi="Garamond"/>
                <w:lang w:val="en-AU"/>
              </w:rPr>
              <w:t xml:space="preserve">Dying To Access </w:t>
            </w:r>
            <w:r w:rsidRPr="00031697">
              <w:rPr>
                <w:rFonts w:ascii="Garamond" w:hAnsi="Garamond"/>
                <w:b/>
                <w:lang w:val="en-AU"/>
              </w:rPr>
              <w:t>Methadone</w:t>
            </w:r>
            <w:r>
              <w:rPr>
                <w:rFonts w:ascii="Garamond" w:hAnsi="Garamond"/>
                <w:lang w:val="en-AU"/>
              </w:rPr>
              <w:t xml:space="preserve"> (</w:t>
            </w:r>
            <w:r w:rsidRPr="00F95F62">
              <w:rPr>
                <w:rFonts w:ascii="Garamond" w:hAnsi="Garamond"/>
                <w:lang w:val="en-AU"/>
              </w:rPr>
              <w:t>Jessica L Gregg</w:t>
            </w:r>
            <w:r>
              <w:rPr>
                <w:rFonts w:ascii="Garamond" w:hAnsi="Garamond"/>
                <w:lang w:val="en-AU"/>
              </w:rPr>
              <w:t>)</w:t>
            </w:r>
          </w:p>
        </w:tc>
      </w:tr>
    </w:tbl>
    <w:p w:rsidR="00BE06E5" w:rsidRDefault="00BE06E5" w:rsidP="000C087C">
      <w:pPr>
        <w:rPr>
          <w:rFonts w:ascii="Garamond" w:hAnsi="Garamond"/>
          <w:i/>
          <w:lang w:val="en-AU"/>
        </w:rPr>
      </w:pPr>
    </w:p>
    <w:p w:rsidR="004E4D38" w:rsidRPr="00467B47" w:rsidRDefault="004E4D38" w:rsidP="004E4D38">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E4D38" w:rsidRPr="00467B47" w:rsidTr="0023729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E4D38" w:rsidRPr="00467B47" w:rsidRDefault="00BF271B" w:rsidP="0023729D">
            <w:pPr>
              <w:keepNext/>
              <w:rPr>
                <w:rFonts w:ascii="Garamond" w:hAnsi="Garamond"/>
                <w:lang w:val="en-AU"/>
              </w:rPr>
            </w:pPr>
            <w:hyperlink r:id="rId30" w:history="1">
              <w:r w:rsidR="004E4D38" w:rsidRPr="00467B47">
                <w:rPr>
                  <w:rStyle w:val="Hyperlink"/>
                  <w:rFonts w:ascii="Garamond" w:hAnsi="Garamond"/>
                  <w:lang w:val="en-AU"/>
                </w:rPr>
                <w:t>https://qualitysafety.bmj.com/content/early/recent</w:t>
              </w:r>
            </w:hyperlink>
          </w:p>
        </w:tc>
      </w:tr>
      <w:tr w:rsidR="004E4D38" w:rsidRPr="00467B47" w:rsidTr="0023729D">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E4D38" w:rsidRPr="00467B47" w:rsidRDefault="004E4D38" w:rsidP="0023729D">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BC7E34" w:rsidRPr="00D84575" w:rsidRDefault="00C7712D" w:rsidP="00C7712D">
            <w:pPr>
              <w:pStyle w:val="ListParagraph"/>
              <w:numPr>
                <w:ilvl w:val="0"/>
                <w:numId w:val="14"/>
              </w:numPr>
              <w:rPr>
                <w:rFonts w:ascii="Garamond" w:hAnsi="Garamond"/>
                <w:lang w:val="en-AU"/>
              </w:rPr>
            </w:pPr>
            <w:r w:rsidRPr="007A41A7">
              <w:rPr>
                <w:rFonts w:ascii="Garamond" w:hAnsi="Garamond"/>
                <w:b/>
                <w:lang w:val="en-AU"/>
              </w:rPr>
              <w:t>Managing risk in hazardous conditions</w:t>
            </w:r>
            <w:r w:rsidRPr="007A41A7">
              <w:rPr>
                <w:rFonts w:ascii="Garamond" w:hAnsi="Garamond"/>
                <w:lang w:val="en-AU"/>
              </w:rPr>
              <w:t xml:space="preserve">: improvisation is not enough </w:t>
            </w:r>
            <w:r>
              <w:rPr>
                <w:rFonts w:ascii="Garamond" w:hAnsi="Garamond"/>
                <w:lang w:val="en-AU"/>
              </w:rPr>
              <w:t>(</w:t>
            </w:r>
            <w:r w:rsidRPr="00C7712D">
              <w:rPr>
                <w:rFonts w:ascii="Garamond" w:hAnsi="Garamond"/>
                <w:lang w:val="en-AU"/>
              </w:rPr>
              <w:t>Rene Amalberti, Charles Vincent</w:t>
            </w:r>
            <w:r>
              <w:rPr>
                <w:rFonts w:ascii="Garamond" w:hAnsi="Garamond"/>
                <w:lang w:val="en-AU"/>
              </w:rPr>
              <w:t>)</w:t>
            </w:r>
          </w:p>
        </w:tc>
      </w:tr>
    </w:tbl>
    <w:p w:rsidR="00563806" w:rsidRDefault="00563806" w:rsidP="00D0516A">
      <w:pPr>
        <w:keepNext/>
        <w:rPr>
          <w:rFonts w:ascii="Garamond" w:hAnsi="Garamond"/>
          <w:i/>
          <w:lang w:val="en-AU"/>
        </w:rPr>
      </w:pPr>
    </w:p>
    <w:p w:rsidR="00B44299" w:rsidRPr="00467B47" w:rsidRDefault="00B44299" w:rsidP="00B44299">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B44299" w:rsidRPr="00467B47" w:rsidTr="00F27731">
        <w:tc>
          <w:tcPr>
            <w:tcW w:w="1080" w:type="dxa"/>
            <w:tcBorders>
              <w:top w:val="single" w:sz="4" w:space="0" w:color="auto"/>
              <w:left w:val="single" w:sz="4" w:space="0" w:color="auto"/>
              <w:bottom w:val="single" w:sz="4" w:space="0" w:color="auto"/>
              <w:right w:val="single" w:sz="4" w:space="0" w:color="auto"/>
            </w:tcBorders>
            <w:vAlign w:val="center"/>
          </w:tcPr>
          <w:p w:rsidR="00B44299" w:rsidRPr="00467B47" w:rsidRDefault="00B44299" w:rsidP="00F27731">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44299" w:rsidRPr="00467B47" w:rsidRDefault="00BF271B" w:rsidP="00F27731">
            <w:pPr>
              <w:keepNext/>
              <w:rPr>
                <w:rFonts w:ascii="Garamond" w:hAnsi="Garamond"/>
                <w:lang w:val="en-AU"/>
              </w:rPr>
            </w:pPr>
            <w:hyperlink r:id="rId31" w:history="1">
              <w:r w:rsidR="00B44299" w:rsidRPr="00D31E10">
                <w:rPr>
                  <w:rStyle w:val="Hyperlink"/>
                  <w:rFonts w:ascii="Garamond" w:hAnsi="Garamond"/>
                  <w:lang w:val="en-AU"/>
                </w:rPr>
                <w:t>https://academic.oup.com/intqhc/advance-articles</w:t>
              </w:r>
            </w:hyperlink>
          </w:p>
        </w:tc>
      </w:tr>
      <w:tr w:rsidR="00B44299" w:rsidRPr="00467B47" w:rsidTr="00F27731">
        <w:tc>
          <w:tcPr>
            <w:tcW w:w="1080" w:type="dxa"/>
            <w:tcBorders>
              <w:top w:val="single" w:sz="4" w:space="0" w:color="auto"/>
              <w:left w:val="single" w:sz="4" w:space="0" w:color="auto"/>
              <w:bottom w:val="single" w:sz="4" w:space="0" w:color="auto"/>
              <w:right w:val="single" w:sz="4" w:space="0" w:color="auto"/>
            </w:tcBorders>
            <w:vAlign w:val="center"/>
          </w:tcPr>
          <w:p w:rsidR="00B44299" w:rsidRPr="00467B47" w:rsidRDefault="00B44299" w:rsidP="00F27731">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4299" w:rsidRPr="00467B47" w:rsidRDefault="00B44299" w:rsidP="00F27731">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C7712D" w:rsidRDefault="00C7712D" w:rsidP="00C7712D">
            <w:pPr>
              <w:pStyle w:val="ListParagraph"/>
              <w:numPr>
                <w:ilvl w:val="0"/>
                <w:numId w:val="14"/>
              </w:numPr>
              <w:rPr>
                <w:rFonts w:ascii="Garamond" w:hAnsi="Garamond"/>
                <w:lang w:val="en-AU"/>
              </w:rPr>
            </w:pPr>
            <w:r w:rsidRPr="007A41A7">
              <w:rPr>
                <w:rFonts w:ascii="Garamond" w:hAnsi="Garamond"/>
                <w:b/>
                <w:lang w:val="en-AU"/>
              </w:rPr>
              <w:t>Quality health care in extreme adversity</w:t>
            </w:r>
            <w:r w:rsidRPr="007A41A7">
              <w:rPr>
                <w:rFonts w:ascii="Garamond" w:hAnsi="Garamond"/>
                <w:lang w:val="en-AU"/>
              </w:rPr>
              <w:t>—an action framework</w:t>
            </w:r>
            <w:r w:rsidRPr="00C7712D">
              <w:rPr>
                <w:rFonts w:ascii="Garamond" w:hAnsi="Garamond"/>
                <w:lang w:val="en-AU"/>
              </w:rPr>
              <w:t xml:space="preserve"> (Sheila Leatherman; Linda Tawfik; Dilshad Jaff; Grace Jaworski; Matthew Neilson</w:t>
            </w:r>
            <w:r>
              <w:rPr>
                <w:rFonts w:ascii="Garamond" w:hAnsi="Garamond"/>
                <w:lang w:val="en-AU"/>
              </w:rPr>
              <w:t xml:space="preserve">; </w:t>
            </w:r>
            <w:r w:rsidRPr="00C7712D">
              <w:rPr>
                <w:rFonts w:ascii="Garamond" w:hAnsi="Garamond"/>
                <w:lang w:val="en-AU"/>
              </w:rPr>
              <w:t>Shamsuzzoha Babar Syed</w:t>
            </w:r>
            <w:r>
              <w:rPr>
                <w:rFonts w:ascii="Garamond" w:hAnsi="Garamond"/>
                <w:lang w:val="en-AU"/>
              </w:rPr>
              <w:t>;</w:t>
            </w:r>
            <w:r w:rsidRPr="00C7712D">
              <w:rPr>
                <w:rFonts w:ascii="Garamond" w:hAnsi="Garamond"/>
                <w:lang w:val="en-AU"/>
              </w:rPr>
              <w:t xml:space="preserve"> Mondher Letaief</w:t>
            </w:r>
            <w:r>
              <w:rPr>
                <w:rFonts w:ascii="Garamond" w:hAnsi="Garamond"/>
                <w:lang w:val="en-AU"/>
              </w:rPr>
              <w:t>)</w:t>
            </w:r>
          </w:p>
          <w:p w:rsidR="00753EA8" w:rsidRPr="00DA6435" w:rsidRDefault="00C7712D" w:rsidP="00C7712D">
            <w:pPr>
              <w:pStyle w:val="ListParagraph"/>
              <w:numPr>
                <w:ilvl w:val="0"/>
                <w:numId w:val="14"/>
              </w:numPr>
              <w:rPr>
                <w:rFonts w:ascii="Garamond" w:hAnsi="Garamond"/>
                <w:lang w:val="en-AU"/>
              </w:rPr>
            </w:pPr>
            <w:r w:rsidRPr="007A41A7">
              <w:rPr>
                <w:rFonts w:ascii="Garamond" w:hAnsi="Garamond"/>
                <w:lang w:val="en-AU"/>
              </w:rPr>
              <w:t xml:space="preserve">Economic evaluation of </w:t>
            </w:r>
            <w:r w:rsidRPr="007A41A7">
              <w:rPr>
                <w:rFonts w:ascii="Garamond" w:hAnsi="Garamond"/>
                <w:b/>
                <w:lang w:val="en-AU"/>
              </w:rPr>
              <w:t>guideline implementation in primary care</w:t>
            </w:r>
            <w:r w:rsidRPr="007A41A7">
              <w:rPr>
                <w:rFonts w:ascii="Garamond" w:hAnsi="Garamond"/>
                <w:lang w:val="en-AU"/>
              </w:rPr>
              <w:t>: a systematic review</w:t>
            </w:r>
            <w:r w:rsidRPr="00C7712D">
              <w:rPr>
                <w:rFonts w:ascii="Garamond" w:hAnsi="Garamond"/>
                <w:lang w:val="en-AU"/>
              </w:rPr>
              <w:t xml:space="preserve"> </w:t>
            </w:r>
            <w:r>
              <w:rPr>
                <w:rFonts w:ascii="Garamond" w:hAnsi="Garamond"/>
                <w:lang w:val="en-AU"/>
              </w:rPr>
              <w:t>(</w:t>
            </w:r>
            <w:r w:rsidRPr="00C7712D">
              <w:rPr>
                <w:rFonts w:ascii="Garamond" w:hAnsi="Garamond"/>
                <w:lang w:val="en-AU"/>
              </w:rPr>
              <w:t>Eva Kovacs; Xiaoting Wang; Ralf Strobl; Eva Grill</w:t>
            </w:r>
            <w:r>
              <w:rPr>
                <w:rFonts w:ascii="Garamond" w:hAnsi="Garamond"/>
                <w:lang w:val="en-AU"/>
              </w:rPr>
              <w:t>)</w:t>
            </w:r>
          </w:p>
        </w:tc>
      </w:tr>
    </w:tbl>
    <w:p w:rsidR="00B76BA1" w:rsidRPr="00B76BA1" w:rsidRDefault="00B76BA1" w:rsidP="00070CFE">
      <w:pPr>
        <w:rPr>
          <w:rFonts w:ascii="Garamond" w:hAnsi="Garamond"/>
          <w:lang w:val="en-AU"/>
        </w:rPr>
      </w:pPr>
    </w:p>
    <w:p w:rsidR="00B76BA1" w:rsidRPr="00B76BA1" w:rsidRDefault="00B76BA1" w:rsidP="00070CFE">
      <w:pPr>
        <w:rPr>
          <w:rFonts w:ascii="Garamond" w:hAnsi="Garamond"/>
          <w:lang w:val="en-AU"/>
        </w:rPr>
      </w:pPr>
    </w:p>
    <w:p w:rsidR="00822EED" w:rsidRDefault="00822EED">
      <w:pPr>
        <w:rPr>
          <w:rFonts w:ascii="Garamond" w:hAnsi="Garamond"/>
          <w:b/>
          <w:lang w:val="en-AU"/>
        </w:rPr>
      </w:pPr>
      <w:r>
        <w:rPr>
          <w:rFonts w:ascii="Garamond" w:hAnsi="Garamond"/>
          <w:b/>
          <w:lang w:val="en-AU"/>
        </w:rPr>
        <w:br w:type="page"/>
      </w:r>
    </w:p>
    <w:p w:rsidR="00E7643F" w:rsidRPr="001C0CF1" w:rsidRDefault="001C0CF1" w:rsidP="00070CFE">
      <w:pPr>
        <w:rPr>
          <w:rFonts w:ascii="Garamond" w:hAnsi="Garamond"/>
          <w:b/>
          <w:lang w:val="en-AU"/>
        </w:rPr>
      </w:pPr>
      <w:r w:rsidRPr="001C0CF1">
        <w:rPr>
          <w:rFonts w:ascii="Garamond" w:hAnsi="Garamond"/>
          <w:b/>
          <w:lang w:val="en-AU"/>
        </w:rPr>
        <w:t>Online resources</w:t>
      </w:r>
    </w:p>
    <w:p w:rsidR="0009148E" w:rsidRDefault="0009148E" w:rsidP="00070CFE">
      <w:pPr>
        <w:rPr>
          <w:rFonts w:ascii="Garamond" w:hAnsi="Garamond"/>
          <w:lang w:val="en-AU"/>
        </w:rPr>
      </w:pPr>
    </w:p>
    <w:p w:rsidR="00B44299" w:rsidRPr="000170DA" w:rsidRDefault="00B44299" w:rsidP="00B44299">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624648" w:rsidRDefault="00BF271B" w:rsidP="00B44299">
      <w:pPr>
        <w:keepNext/>
        <w:keepLines/>
        <w:rPr>
          <w:rFonts w:ascii="Garamond" w:hAnsi="Garamond"/>
          <w:u w:val="single"/>
          <w:lang w:val="en-AU"/>
        </w:rPr>
      </w:pPr>
      <w:hyperlink r:id="rId32" w:history="1">
        <w:r w:rsidR="00624648" w:rsidRPr="00131E90">
          <w:rPr>
            <w:rStyle w:val="Hyperlink"/>
            <w:rFonts w:ascii="Garamond" w:hAnsi="Garamond"/>
            <w:lang w:val="en-AU"/>
          </w:rPr>
          <w:t>https://www.nice.org.uk/guidance</w:t>
        </w:r>
      </w:hyperlink>
    </w:p>
    <w:p w:rsidR="00B44299" w:rsidRPr="000170DA" w:rsidRDefault="00B44299" w:rsidP="00B44299">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B40FBC" w:rsidRPr="00BF271B" w:rsidRDefault="00B40FBC" w:rsidP="00F97E96">
      <w:pPr>
        <w:pStyle w:val="ListParagraph"/>
        <w:keepNext/>
        <w:keepLines/>
        <w:numPr>
          <w:ilvl w:val="0"/>
          <w:numId w:val="14"/>
        </w:numPr>
        <w:rPr>
          <w:rFonts w:ascii="Garamond" w:hAnsi="Garamond"/>
          <w:lang w:val="en-AU"/>
        </w:rPr>
      </w:pPr>
      <w:r w:rsidRPr="00BF271B">
        <w:rPr>
          <w:rFonts w:ascii="Garamond" w:hAnsi="Garamond"/>
          <w:lang w:val="en-AU"/>
        </w:rPr>
        <w:t xml:space="preserve">Quality Standard QS185 </w:t>
      </w:r>
      <w:r w:rsidRPr="00BF271B">
        <w:rPr>
          <w:rFonts w:ascii="Garamond" w:hAnsi="Garamond"/>
          <w:b/>
          <w:i/>
          <w:lang w:val="en-AU"/>
        </w:rPr>
        <w:t>Hearing loss</w:t>
      </w:r>
      <w:r w:rsidRPr="00BF271B">
        <w:rPr>
          <w:rFonts w:ascii="Garamond" w:hAnsi="Garamond"/>
          <w:i/>
          <w:lang w:val="en-AU"/>
        </w:rPr>
        <w:t xml:space="preserve"> in adults</w:t>
      </w:r>
      <w:r w:rsidRPr="00BF271B">
        <w:rPr>
          <w:rFonts w:ascii="Garamond" w:hAnsi="Garamond"/>
          <w:lang w:val="en-AU"/>
        </w:rPr>
        <w:t xml:space="preserve"> </w:t>
      </w:r>
      <w:hyperlink r:id="rId33" w:history="1">
        <w:r w:rsidRPr="00BF271B">
          <w:rPr>
            <w:rStyle w:val="Hyperlink"/>
            <w:rFonts w:ascii="Garamond" w:hAnsi="Garamond"/>
            <w:lang w:val="en-AU"/>
          </w:rPr>
          <w:t>https://www.nice.org.uk/guidance/qs185</w:t>
        </w:r>
      </w:hyperlink>
    </w:p>
    <w:p w:rsidR="00B40FBC" w:rsidRPr="00BF271B" w:rsidRDefault="00B40FBC" w:rsidP="00F97E96">
      <w:pPr>
        <w:pStyle w:val="ListParagraph"/>
        <w:keepNext/>
        <w:keepLines/>
        <w:numPr>
          <w:ilvl w:val="0"/>
          <w:numId w:val="14"/>
        </w:numPr>
        <w:rPr>
          <w:rFonts w:ascii="Garamond" w:hAnsi="Garamond"/>
          <w:lang w:val="en-AU"/>
        </w:rPr>
      </w:pPr>
      <w:r w:rsidRPr="00BF271B">
        <w:rPr>
          <w:rFonts w:ascii="Garamond" w:hAnsi="Garamond"/>
          <w:lang w:val="en-AU"/>
        </w:rPr>
        <w:t xml:space="preserve">Quality Standard QS186 </w:t>
      </w:r>
      <w:r w:rsidRPr="00BF271B">
        <w:rPr>
          <w:rFonts w:ascii="Garamond" w:hAnsi="Garamond"/>
          <w:b/>
          <w:i/>
          <w:lang w:val="en-AU"/>
        </w:rPr>
        <w:t>Lyme disease</w:t>
      </w:r>
      <w:r w:rsidRPr="00BF271B">
        <w:rPr>
          <w:rFonts w:ascii="Garamond" w:hAnsi="Garamond"/>
          <w:lang w:val="en-AU"/>
        </w:rPr>
        <w:t xml:space="preserve"> </w:t>
      </w:r>
      <w:hyperlink r:id="rId34" w:history="1">
        <w:r w:rsidRPr="00BF271B">
          <w:rPr>
            <w:rStyle w:val="Hyperlink"/>
            <w:rFonts w:ascii="Garamond" w:hAnsi="Garamond"/>
            <w:lang w:val="en-AU"/>
          </w:rPr>
          <w:t>https://www.nice.org.uk/guidance/qs186</w:t>
        </w:r>
      </w:hyperlink>
    </w:p>
    <w:p w:rsidR="00AF4D9D" w:rsidRDefault="00AF4D9D" w:rsidP="00FA11D5">
      <w:pPr>
        <w:keepLines/>
        <w:jc w:val="both"/>
        <w:rPr>
          <w:rFonts w:ascii="Garamond" w:hAnsi="Garamond"/>
          <w:lang w:val="en-AU"/>
        </w:rPr>
      </w:pPr>
    </w:p>
    <w:p w:rsidR="008523CC" w:rsidRPr="00B5521E" w:rsidRDefault="008523CC" w:rsidP="008523CC">
      <w:pPr>
        <w:keepNext/>
        <w:rPr>
          <w:rFonts w:ascii="Garamond" w:hAnsi="Garamond"/>
          <w:i/>
          <w:lang w:val="en-AU"/>
        </w:rPr>
      </w:pPr>
      <w:r w:rsidRPr="00B5521E">
        <w:rPr>
          <w:rFonts w:ascii="Garamond" w:hAnsi="Garamond"/>
          <w:i/>
          <w:lang w:val="en-AU"/>
        </w:rPr>
        <w:t>[USA] Patient Safety Primers</w:t>
      </w:r>
    </w:p>
    <w:bookmarkStart w:id="1" w:name="_GoBack"/>
    <w:p w:rsidR="008523CC" w:rsidRPr="00B5521E" w:rsidRDefault="00BF271B" w:rsidP="008523CC">
      <w:pPr>
        <w:keepNext/>
        <w:rPr>
          <w:rFonts w:ascii="Garamond" w:hAnsi="Garamond"/>
          <w:lang w:val="en-AU"/>
        </w:rPr>
      </w:pPr>
      <w:r>
        <w:fldChar w:fldCharType="begin"/>
      </w:r>
      <w:r>
        <w:instrText xml:space="preserve"> HYPERLINK "https://psnet.ahrq.gov/primers/" </w:instrText>
      </w:r>
      <w:r>
        <w:fldChar w:fldCharType="separate"/>
      </w:r>
      <w:r w:rsidR="008523CC" w:rsidRPr="00B5521E">
        <w:rPr>
          <w:rStyle w:val="Hyperlink"/>
          <w:rFonts w:ascii="Garamond" w:hAnsi="Garamond"/>
          <w:lang w:val="en-AU"/>
        </w:rPr>
        <w:t>https://psnet.ahrq.gov/primers/</w:t>
      </w:r>
      <w:r>
        <w:rPr>
          <w:rStyle w:val="Hyperlink"/>
          <w:rFonts w:ascii="Garamond" w:hAnsi="Garamond"/>
          <w:lang w:val="en-AU"/>
        </w:rPr>
        <w:fldChar w:fldCharType="end"/>
      </w:r>
    </w:p>
    <w:p w:rsidR="008523CC" w:rsidRPr="00B5521E" w:rsidRDefault="008523CC" w:rsidP="008523CC">
      <w:pPr>
        <w:keepNext/>
        <w:rPr>
          <w:rFonts w:ascii="Garamond" w:hAnsi="Garamond"/>
          <w:lang w:val="en-AU"/>
        </w:rPr>
      </w:pPr>
      <w:r w:rsidRPr="00B5521E">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rsidR="008523CC" w:rsidRPr="008523CC" w:rsidRDefault="008523CC" w:rsidP="008523CC">
      <w:pPr>
        <w:pStyle w:val="ListParagraph"/>
        <w:numPr>
          <w:ilvl w:val="0"/>
          <w:numId w:val="16"/>
        </w:numPr>
        <w:rPr>
          <w:rFonts w:ascii="Garamond" w:hAnsi="Garamond"/>
          <w:lang w:val="en-AU"/>
        </w:rPr>
      </w:pPr>
      <w:r w:rsidRPr="008523CC">
        <w:rPr>
          <w:rFonts w:ascii="Garamond" w:hAnsi="Garamond"/>
          <w:b/>
          <w:lang w:val="en-AU"/>
        </w:rPr>
        <w:t>Maternal safety</w:t>
      </w:r>
      <w:r w:rsidRPr="008523CC">
        <w:rPr>
          <w:rFonts w:ascii="Garamond" w:hAnsi="Garamond"/>
          <w:lang w:val="en-AU"/>
        </w:rPr>
        <w:t xml:space="preserve"> Pregnancy, childbirth, and the postpartum year present a complex set of patient safety challenges. This primer reviews trends in US maternal morbidity and mortality and offers recommendations and resources for improving maternal safety and addressing contributing factors at policy, system, facility, and clinician levels.</w:t>
      </w:r>
      <w:r>
        <w:rPr>
          <w:rFonts w:ascii="Garamond" w:hAnsi="Garamond"/>
          <w:lang w:val="en-AU"/>
        </w:rPr>
        <w:br/>
      </w:r>
      <w:hyperlink r:id="rId35" w:history="1">
        <w:r w:rsidRPr="00EE5787">
          <w:rPr>
            <w:rStyle w:val="Hyperlink"/>
            <w:rFonts w:ascii="Garamond" w:hAnsi="Garamond"/>
            <w:lang w:val="en-AU"/>
          </w:rPr>
          <w:t>https://psnet.ahrq.gov/primers/primer/50/Maternal-Safety</w:t>
        </w:r>
      </w:hyperlink>
      <w:r>
        <w:rPr>
          <w:rFonts w:ascii="Garamond" w:hAnsi="Garamond"/>
          <w:lang w:val="en-AU"/>
        </w:rPr>
        <w:t xml:space="preserve"> </w:t>
      </w:r>
    </w:p>
    <w:bookmarkEnd w:id="1"/>
    <w:p w:rsidR="00B40FBC" w:rsidRDefault="00B40FBC" w:rsidP="00FA11D5">
      <w:pPr>
        <w:keepLines/>
        <w:jc w:val="both"/>
        <w:rPr>
          <w:rFonts w:ascii="Garamond" w:hAnsi="Garamond"/>
          <w:lang w:val="en-AU"/>
        </w:rPr>
      </w:pPr>
    </w:p>
    <w:p w:rsidR="00AF4D9D" w:rsidRPr="00BD76EB" w:rsidRDefault="00AF4D9D" w:rsidP="00FA11D5">
      <w:pPr>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6"/>
      <w:footerReference w:type="default" r:id="rId3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96" w:rsidRDefault="00F97E96">
      <w:r>
        <w:separator/>
      </w:r>
    </w:p>
  </w:endnote>
  <w:endnote w:type="continuationSeparator" w:id="0">
    <w:p w:rsidR="00F97E96" w:rsidRDefault="00F9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E96" w:rsidRDefault="00F97E9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F271B">
      <w:rPr>
        <w:rStyle w:val="PageNumber"/>
        <w:noProof/>
      </w:rPr>
      <w:t>6</w:t>
    </w:r>
    <w:r>
      <w:rPr>
        <w:rStyle w:val="PageNumber"/>
      </w:rPr>
      <w:fldChar w:fldCharType="end"/>
    </w:r>
  </w:p>
  <w:p w:rsidR="00F97E96" w:rsidRPr="001E78F0" w:rsidRDefault="00F97E9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E96" w:rsidRPr="001E78F0" w:rsidRDefault="00F97E9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BF271B">
      <w:rPr>
        <w:rStyle w:val="PageNumber"/>
        <w:rFonts w:ascii="Garamond" w:hAnsi="Garamond"/>
        <w:noProof/>
      </w:rPr>
      <w:t>5</w:t>
    </w:r>
    <w:r w:rsidRPr="001E78F0">
      <w:rPr>
        <w:rStyle w:val="PageNumber"/>
        <w:rFonts w:ascii="Garamond" w:hAnsi="Garamond"/>
      </w:rPr>
      <w:fldChar w:fldCharType="end"/>
    </w:r>
  </w:p>
  <w:p w:rsidR="00F97E96" w:rsidRPr="001E78F0" w:rsidRDefault="00F97E9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425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96" w:rsidRDefault="00F97E96">
      <w:r>
        <w:separator/>
      </w:r>
    </w:p>
  </w:footnote>
  <w:footnote w:type="continuationSeparator" w:id="0">
    <w:p w:rsidR="00F97E96" w:rsidRDefault="00F9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674E3B"/>
    <w:multiLevelType w:val="hybridMultilevel"/>
    <w:tmpl w:val="3E2806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016274"/>
    <w:multiLevelType w:val="hybridMultilevel"/>
    <w:tmpl w:val="6A8E44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E1699F"/>
    <w:multiLevelType w:val="hybridMultilevel"/>
    <w:tmpl w:val="82546F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372F0D"/>
    <w:multiLevelType w:val="hybridMultilevel"/>
    <w:tmpl w:val="9A94A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B20925"/>
    <w:multiLevelType w:val="hybridMultilevel"/>
    <w:tmpl w:val="E160A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F63F5"/>
    <w:multiLevelType w:val="hybridMultilevel"/>
    <w:tmpl w:val="3562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C0117D"/>
    <w:multiLevelType w:val="hybridMultilevel"/>
    <w:tmpl w:val="DA9AEC36"/>
    <w:lvl w:ilvl="0" w:tplc="0A42CDDA">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4E5B50"/>
    <w:multiLevelType w:val="hybridMultilevel"/>
    <w:tmpl w:val="C9905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DF42A6"/>
    <w:multiLevelType w:val="hybridMultilevel"/>
    <w:tmpl w:val="17742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5C24D3"/>
    <w:multiLevelType w:val="hybridMultilevel"/>
    <w:tmpl w:val="F7CC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CA1257"/>
    <w:multiLevelType w:val="hybridMultilevel"/>
    <w:tmpl w:val="8C2AC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612AB"/>
    <w:multiLevelType w:val="hybridMultilevel"/>
    <w:tmpl w:val="9E4A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835911"/>
    <w:multiLevelType w:val="hybridMultilevel"/>
    <w:tmpl w:val="419C61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8"/>
  </w:num>
  <w:num w:numId="15">
    <w:abstractNumId w:val="11"/>
  </w:num>
  <w:num w:numId="16">
    <w:abstractNumId w:val="10"/>
  </w:num>
  <w:num w:numId="17">
    <w:abstractNumId w:val="22"/>
  </w:num>
  <w:num w:numId="18">
    <w:abstractNumId w:val="15"/>
  </w:num>
  <w:num w:numId="19">
    <w:abstractNumId w:val="14"/>
  </w:num>
  <w:num w:numId="20">
    <w:abstractNumId w:val="12"/>
  </w:num>
  <w:num w:numId="21">
    <w:abstractNumId w:val="26"/>
  </w:num>
  <w:num w:numId="22">
    <w:abstractNumId w:val="23"/>
  </w:num>
  <w:num w:numId="23">
    <w:abstractNumId w:val="16"/>
  </w:num>
  <w:num w:numId="24">
    <w:abstractNumId w:val="20"/>
  </w:num>
  <w:num w:numId="25">
    <w:abstractNumId w:val="13"/>
  </w:num>
  <w:num w:numId="26">
    <w:abstractNumId w:val="24"/>
  </w:num>
  <w:num w:numId="27">
    <w:abstractNumId w:val="19"/>
  </w:num>
  <w:num w:numId="28">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48F"/>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52"/>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6AE"/>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5BF"/>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772"/>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0F3"/>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814"/>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BD3"/>
    <w:rsid w:val="00A12DB6"/>
    <w:rsid w:val="00A12FE9"/>
    <w:rsid w:val="00A1307F"/>
    <w:rsid w:val="00A133FD"/>
    <w:rsid w:val="00A1372A"/>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D5C"/>
    <w:rsid w:val="00BE0F6A"/>
    <w:rsid w:val="00BE1061"/>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1B"/>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6F3"/>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57"/>
    <w:rsid w:val="00E804B2"/>
    <w:rsid w:val="00E8067F"/>
    <w:rsid w:val="00E80719"/>
    <w:rsid w:val="00E80739"/>
    <w:rsid w:val="00E80E41"/>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4C"/>
    <w:rsid w:val="00F9691C"/>
    <w:rsid w:val="00F96D1C"/>
    <w:rsid w:val="00F96EFD"/>
    <w:rsid w:val="00F97183"/>
    <w:rsid w:val="00F97235"/>
    <w:rsid w:val="00F976AD"/>
    <w:rsid w:val="00F97C5F"/>
    <w:rsid w:val="00F97D61"/>
    <w:rsid w:val="00F97D70"/>
    <w:rsid w:val="00F97E9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33B"/>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1E7FEEA3"/>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1111/jep.13181" TargetMode="External"/><Relationship Id="rId26" Type="http://schemas.openxmlformats.org/officeDocument/2006/relationships/hyperlink" Target="https://doi.org/10.1377/hlthaff.2018.0506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gif"/><Relationship Id="rId34" Type="http://schemas.openxmlformats.org/officeDocument/2006/relationships/hyperlink" Target="https://www.nice.org.uk/guidance/qs186"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mckinsey.com/~/media/McKinsey/Industries/Healthcare%20Systems%20and%20Services/Our%20Insights/Promoting%20an%20overdue%20digital%20transformation%20in%20healthcare/Promoting-an-overdue-digital-transformation-in-healthcare.ashx" TargetMode="External"/><Relationship Id="rId25" Type="http://schemas.openxmlformats.org/officeDocument/2006/relationships/hyperlink" Target="https://doi.org/10.1515/dx-2019-0019" TargetMode="External"/><Relationship Id="rId33" Type="http://schemas.openxmlformats.org/officeDocument/2006/relationships/hyperlink" Target="https://www.nice.org.uk/guidance/qs18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cgp.org.uk/policy/rcgp-policy-areas/transgender-care.aspx" TargetMode="External"/><Relationship Id="rId20" Type="http://schemas.openxmlformats.org/officeDocument/2006/relationships/hyperlink" Target="https://doi.org/10.1071/PY19041" TargetMode="External"/><Relationship Id="rId29" Type="http://schemas.openxmlformats.org/officeDocument/2006/relationships/hyperlink" Target="https://www.healthaffairs.org/toc/hlthaff/3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136/bmjqs-2018-009117" TargetMode="External"/><Relationship Id="rId32" Type="http://schemas.openxmlformats.org/officeDocument/2006/relationships/hyperlink" Target="https://www.nice.org.uk/guidance"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ocal.gov.uk/what-difference-place-makes-growing-impact-health-and-wellbeing-boards" TargetMode="External"/><Relationship Id="rId23" Type="http://schemas.openxmlformats.org/officeDocument/2006/relationships/hyperlink" Target="http://dx.doi.org/10.1136/leader-2019-000145" TargetMode="External"/><Relationship Id="rId28" Type="http://schemas.openxmlformats.org/officeDocument/2006/relationships/hyperlink" Target="https://www.longwoods.com/publications/healthcarepapers/25865/1/vol.-18-no.-1-2018-reflecting-on-choosing-wisely-canada-at-five-years" TargetMode="External"/><Relationship Id="rId36" Type="http://schemas.openxmlformats.org/officeDocument/2006/relationships/footer" Target="footer1.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australian-atlas-healthcare-variation-series" TargetMode="External"/><Relationship Id="rId31" Type="http://schemas.openxmlformats.org/officeDocument/2006/relationships/hyperlink" Target="https://academic.oup.com/intqhc/advance-articles"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071/PY18179" TargetMode="External"/><Relationship Id="rId27" Type="http://schemas.openxmlformats.org/officeDocument/2006/relationships/hyperlink" Target="https://www.publish.csiro.au/py/issue/9441" TargetMode="External"/><Relationship Id="rId30" Type="http://schemas.openxmlformats.org/officeDocument/2006/relationships/hyperlink" Target="https://qualitysafety.bmj.com/content/early/recent" TargetMode="External"/><Relationship Id="rId35" Type="http://schemas.openxmlformats.org/officeDocument/2006/relationships/hyperlink" Target="https://psnet.ahrq.gov/primers/primer/50/Maternal-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D13C5-BD80-4EEC-BA3E-B6E7AA58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10</Pages>
  <Words>4233</Words>
  <Characters>24132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On the Radar Issue 424</vt:lpstr>
    </vt:vector>
  </TitlesOfParts>
  <Company>ACSQHC</Company>
  <LinksUpToDate>false</LinksUpToDate>
  <CharactersWithSpaces>28309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424</dc:title>
  <dc:subject/>
  <dc:creator>Dr Niall Johnson</dc:creator>
  <cp:keywords/>
  <dc:description/>
  <cp:lastModifiedBy>Johnson, Niall</cp:lastModifiedBy>
  <cp:revision>11</cp:revision>
  <cp:lastPrinted>2018-03-02T02:34:00Z</cp:lastPrinted>
  <dcterms:created xsi:type="dcterms:W3CDTF">2019-07-07T22:13:00Z</dcterms:created>
  <dcterms:modified xsi:type="dcterms:W3CDTF">2019-07-12T04:01:00Z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