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317CA5">
        <w:rPr>
          <w:rFonts w:ascii="Garamond" w:hAnsi="Garamond"/>
          <w:lang w:val="en-AU"/>
        </w:rPr>
        <w:t>8</w:t>
      </w:r>
    </w:p>
    <w:p w:rsidR="00755242" w:rsidRDefault="00317CA5" w:rsidP="00F738B5">
      <w:pPr>
        <w:rPr>
          <w:rFonts w:ascii="Garamond" w:hAnsi="Garamond"/>
          <w:lang w:val="en-AU"/>
        </w:rPr>
      </w:pPr>
      <w:r>
        <w:rPr>
          <w:rFonts w:ascii="Garamond" w:hAnsi="Garamond"/>
          <w:lang w:val="en-AU"/>
        </w:rPr>
        <w:t>5 August</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2137BF" w:rsidRPr="00E25143" w:rsidRDefault="002137BF" w:rsidP="002422CA">
      <w:pPr>
        <w:keepLines/>
        <w:autoSpaceDE w:val="0"/>
        <w:autoSpaceDN w:val="0"/>
        <w:adjustRightInd w:val="0"/>
        <w:rPr>
          <w:rFonts w:ascii="Garamond" w:hAnsi="Garamond"/>
          <w:lang w:val="en-AU"/>
        </w:rPr>
      </w:pPr>
    </w:p>
    <w:p w:rsidR="00317CA5" w:rsidRDefault="00317CA5" w:rsidP="00C17C82">
      <w:pPr>
        <w:keepNext/>
        <w:ind w:left="720" w:hanging="720"/>
        <w:rPr>
          <w:rFonts w:ascii="Garamond" w:hAnsi="Garamond"/>
          <w:b/>
          <w:lang w:val="en-AU"/>
        </w:rPr>
      </w:pPr>
      <w:r>
        <w:rPr>
          <w:rFonts w:ascii="Garamond" w:hAnsi="Garamond"/>
          <w:b/>
          <w:lang w:val="en-AU"/>
        </w:rPr>
        <w:t>Books</w:t>
      </w:r>
    </w:p>
    <w:p w:rsidR="00317CA5" w:rsidRDefault="00317CA5" w:rsidP="00317CA5">
      <w:pPr>
        <w:keepNext/>
        <w:keepLines/>
        <w:autoSpaceDE w:val="0"/>
        <w:autoSpaceDN w:val="0"/>
        <w:adjustRightInd w:val="0"/>
        <w:rPr>
          <w:rFonts w:ascii="Garamond" w:hAnsi="Garamond"/>
          <w:lang w:val="en-AU"/>
        </w:rPr>
      </w:pPr>
    </w:p>
    <w:p w:rsidR="00317CA5" w:rsidRPr="00B81C8E" w:rsidRDefault="00B81C8E" w:rsidP="00317CA5">
      <w:pPr>
        <w:keepNext/>
        <w:keepLines/>
        <w:autoSpaceDE w:val="0"/>
        <w:autoSpaceDN w:val="0"/>
        <w:adjustRightInd w:val="0"/>
        <w:rPr>
          <w:rFonts w:ascii="Garamond" w:hAnsi="Garamond"/>
          <w:i/>
          <w:lang w:val="en-AU"/>
        </w:rPr>
      </w:pPr>
      <w:r w:rsidRPr="00B81C8E">
        <w:rPr>
          <w:rFonts w:ascii="Garamond" w:hAnsi="Garamond"/>
          <w:i/>
          <w:lang w:val="en-AU"/>
        </w:rPr>
        <w:t>Vibrant and Healthy Kids: Aligning Science, Practice, and Policy to Advance Health Equity</w:t>
      </w:r>
    </w:p>
    <w:p w:rsidR="00B81C8E" w:rsidRDefault="00B81C8E" w:rsidP="00317CA5">
      <w:pPr>
        <w:keepNext/>
        <w:keepLines/>
        <w:autoSpaceDE w:val="0"/>
        <w:autoSpaceDN w:val="0"/>
        <w:adjustRightInd w:val="0"/>
        <w:rPr>
          <w:rFonts w:ascii="Garamond" w:hAnsi="Garamond"/>
          <w:lang w:val="en-AU"/>
        </w:rPr>
      </w:pPr>
      <w:r w:rsidRPr="00B81C8E">
        <w:rPr>
          <w:rFonts w:ascii="Garamond" w:hAnsi="Garamond"/>
          <w:lang w:val="en-AU"/>
        </w:rPr>
        <w:t>National Research Council</w:t>
      </w:r>
    </w:p>
    <w:p w:rsidR="00B81C8E" w:rsidRDefault="00B81C8E" w:rsidP="00317CA5">
      <w:pPr>
        <w:keepNext/>
        <w:keepLines/>
        <w:autoSpaceDE w:val="0"/>
        <w:autoSpaceDN w:val="0"/>
        <w:adjustRightInd w:val="0"/>
        <w:rPr>
          <w:rFonts w:ascii="Garamond" w:hAnsi="Garamond"/>
          <w:lang w:val="en-AU"/>
        </w:rPr>
      </w:pPr>
      <w:r w:rsidRPr="00B81C8E">
        <w:rPr>
          <w:rFonts w:ascii="Garamond" w:hAnsi="Garamond"/>
          <w:lang w:val="en-AU"/>
        </w:rPr>
        <w:t>Washington, DC: The National Academies Press; 2019.</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B81C8E" w:rsidP="0043006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C8E" w:rsidRPr="000170DA" w:rsidRDefault="00216708" w:rsidP="00B81C8E">
            <w:pPr>
              <w:rPr>
                <w:rStyle w:val="Hyperlink"/>
                <w:rFonts w:ascii="Garamond" w:hAnsi="Garamond"/>
                <w:color w:val="auto"/>
                <w:u w:val="none"/>
                <w:lang w:val="en-AU"/>
              </w:rPr>
            </w:pPr>
            <w:hyperlink r:id="rId15" w:history="1">
              <w:r w:rsidR="00B81C8E" w:rsidRPr="007509BC">
                <w:rPr>
                  <w:rStyle w:val="Hyperlink"/>
                  <w:rFonts w:ascii="Garamond" w:hAnsi="Garamond"/>
                  <w:lang w:val="en-AU"/>
                </w:rPr>
                <w:t>https://doi.org/10.17226/25466</w:t>
              </w:r>
            </w:hyperlink>
          </w:p>
        </w:tc>
      </w:tr>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1C8E" w:rsidRPr="005A00FB" w:rsidRDefault="00B81C8E" w:rsidP="00B81C8E">
            <w:pPr>
              <w:rPr>
                <w:rFonts w:ascii="Garamond" w:hAnsi="Garamond"/>
                <w:lang w:val="en-AU"/>
              </w:rPr>
            </w:pPr>
            <w:r>
              <w:rPr>
                <w:rFonts w:ascii="Garamond" w:hAnsi="Garamond"/>
                <w:lang w:val="en-AU"/>
              </w:rPr>
              <w:t xml:space="preserve">This report brings together the knowledge </w:t>
            </w:r>
            <w:r w:rsidRPr="00B81C8E">
              <w:rPr>
                <w:rFonts w:ascii="Garamond" w:hAnsi="Garamond"/>
                <w:lang w:val="en-AU"/>
              </w:rPr>
              <w:t>of prenatal and early childhood development</w:t>
            </w:r>
            <w:r>
              <w:rPr>
                <w:rFonts w:ascii="Garamond" w:hAnsi="Garamond"/>
                <w:lang w:val="en-AU"/>
              </w:rPr>
              <w:t xml:space="preserve"> to focus on </w:t>
            </w:r>
            <w:r w:rsidRPr="00B81C8E">
              <w:rPr>
                <w:rFonts w:ascii="Garamond" w:hAnsi="Garamond"/>
                <w:lang w:val="en-AU"/>
              </w:rPr>
              <w:t>policy, program, and systems changes</w:t>
            </w:r>
            <w:r>
              <w:rPr>
                <w:rFonts w:ascii="Garamond" w:hAnsi="Garamond"/>
                <w:lang w:val="en-AU"/>
              </w:rPr>
              <w:t xml:space="preserve"> and sets out the </w:t>
            </w:r>
            <w:r w:rsidRPr="00B81C8E">
              <w:rPr>
                <w:rFonts w:ascii="Garamond" w:hAnsi="Garamond"/>
                <w:lang w:val="en-AU"/>
              </w:rPr>
              <w:t>steps needed to move children who are at risk for negative</w:t>
            </w:r>
            <w:r>
              <w:rPr>
                <w:rFonts w:ascii="Garamond" w:hAnsi="Garamond"/>
                <w:lang w:val="en-AU"/>
              </w:rPr>
              <w:t xml:space="preserve"> </w:t>
            </w:r>
            <w:r w:rsidRPr="00B81C8E">
              <w:rPr>
                <w:rFonts w:ascii="Garamond" w:hAnsi="Garamond"/>
                <w:lang w:val="en-AU"/>
              </w:rPr>
              <w:t>outcomes toward positive health trajectories, reducing health disparities.</w:t>
            </w:r>
            <w:r>
              <w:rPr>
                <w:rFonts w:ascii="Garamond" w:hAnsi="Garamond"/>
                <w:lang w:val="en-AU"/>
              </w:rPr>
              <w:t xml:space="preserve"> The report summary observes that ‘</w:t>
            </w:r>
            <w:r w:rsidRPr="00B81C8E">
              <w:rPr>
                <w:rFonts w:ascii="Garamond" w:hAnsi="Garamond"/>
                <w:lang w:val="en-AU"/>
              </w:rPr>
              <w:t>Implementing programs aimed at people in crisis alone</w:t>
            </w:r>
            <w:r>
              <w:rPr>
                <w:rFonts w:ascii="Garamond" w:hAnsi="Garamond"/>
                <w:lang w:val="en-AU"/>
              </w:rPr>
              <w:t xml:space="preserve"> </w:t>
            </w:r>
            <w:r w:rsidRPr="00B81C8E">
              <w:rPr>
                <w:rFonts w:ascii="Garamond" w:hAnsi="Garamond"/>
                <w:lang w:val="en-AU"/>
              </w:rPr>
              <w:t>will not advance health equity—those programs are</w:t>
            </w:r>
            <w:r>
              <w:rPr>
                <w:rFonts w:ascii="Garamond" w:hAnsi="Garamond"/>
                <w:lang w:val="en-AU"/>
              </w:rPr>
              <w:t xml:space="preserve"> </w:t>
            </w:r>
            <w:r w:rsidRPr="00B81C8E">
              <w:rPr>
                <w:rFonts w:ascii="Garamond" w:hAnsi="Garamond"/>
                <w:lang w:val="en-AU"/>
              </w:rPr>
              <w:t>important for addressing immediate needs, but until</w:t>
            </w:r>
            <w:r>
              <w:rPr>
                <w:rFonts w:ascii="Garamond" w:hAnsi="Garamond"/>
                <w:lang w:val="en-AU"/>
              </w:rPr>
              <w:t xml:space="preserve"> </w:t>
            </w:r>
            <w:r w:rsidRPr="00B81C8E">
              <w:rPr>
                <w:rFonts w:ascii="Garamond" w:hAnsi="Garamond"/>
                <w:lang w:val="en-AU"/>
              </w:rPr>
              <w:t>the systemic roots of inequity are addressed, there will</w:t>
            </w:r>
            <w:r>
              <w:rPr>
                <w:rFonts w:ascii="Garamond" w:hAnsi="Garamond"/>
                <w:lang w:val="en-AU"/>
              </w:rPr>
              <w:t xml:space="preserve"> </w:t>
            </w:r>
            <w:r w:rsidRPr="00B81C8E">
              <w:rPr>
                <w:rFonts w:ascii="Garamond" w:hAnsi="Garamond"/>
                <w:lang w:val="en-AU"/>
              </w:rPr>
              <w:t xml:space="preserve">likely be another set of crises around the corner. </w:t>
            </w:r>
            <w:r w:rsidRPr="00B81C8E">
              <w:rPr>
                <w:rFonts w:ascii="Garamond" w:hAnsi="Garamond"/>
                <w:b/>
                <w:lang w:val="en-AU"/>
              </w:rPr>
              <w:t>Reducing health disparities by addressing their systemic root causes</w:t>
            </w:r>
            <w:r w:rsidRPr="00B81C8E">
              <w:rPr>
                <w:rFonts w:ascii="Garamond" w:hAnsi="Garamond"/>
                <w:lang w:val="en-AU"/>
              </w:rPr>
              <w:t xml:space="preserve">, including poverty and racism, </w:t>
            </w:r>
            <w:r w:rsidRPr="00B81C8E">
              <w:rPr>
                <w:rFonts w:ascii="Garamond" w:hAnsi="Garamond"/>
                <w:b/>
                <w:lang w:val="en-AU"/>
              </w:rPr>
              <w:t>is foundational to advance health equity</w:t>
            </w:r>
            <w:r w:rsidRPr="00B81C8E">
              <w:rPr>
                <w:rFonts w:ascii="Garamond" w:hAnsi="Garamond"/>
                <w:lang w:val="en-AU"/>
              </w:rPr>
              <w:t>. The science-driven recommendations provided in this report lay out practice, policy, and</w:t>
            </w:r>
            <w:r>
              <w:rPr>
                <w:rFonts w:ascii="Garamond" w:hAnsi="Garamond"/>
                <w:lang w:val="en-AU"/>
              </w:rPr>
              <w:t xml:space="preserve"> </w:t>
            </w:r>
            <w:r w:rsidRPr="00B81C8E">
              <w:rPr>
                <w:rFonts w:ascii="Garamond" w:hAnsi="Garamond"/>
                <w:lang w:val="en-AU"/>
              </w:rPr>
              <w:t>systems changes needed to close the health equity gap</w:t>
            </w:r>
            <w:r>
              <w:rPr>
                <w:rFonts w:ascii="Garamond" w:hAnsi="Garamond"/>
                <w:lang w:val="en-AU"/>
              </w:rPr>
              <w:t xml:space="preserve"> </w:t>
            </w:r>
            <w:r w:rsidRPr="00B81C8E">
              <w:rPr>
                <w:rFonts w:ascii="Garamond" w:hAnsi="Garamond"/>
                <w:lang w:val="en-AU"/>
              </w:rPr>
              <w:t>and nurture vibrant and healthy children</w:t>
            </w:r>
            <w:r>
              <w:rPr>
                <w:rFonts w:ascii="Garamond" w:hAnsi="Garamond"/>
                <w:lang w:val="en-AU"/>
              </w:rPr>
              <w:t>.’</w:t>
            </w:r>
          </w:p>
        </w:tc>
      </w:tr>
    </w:tbl>
    <w:p w:rsidR="00317CA5" w:rsidRDefault="00317CA5" w:rsidP="00C17C82">
      <w:pPr>
        <w:keepNext/>
        <w:ind w:left="720" w:hanging="720"/>
        <w:rPr>
          <w:rFonts w:ascii="Garamond" w:hAnsi="Garamond"/>
          <w:b/>
          <w:lang w:val="en-AU"/>
        </w:rPr>
      </w:pPr>
      <w:r>
        <w:rPr>
          <w:rFonts w:ascii="Garamond" w:hAnsi="Garamond"/>
          <w:b/>
          <w:lang w:val="en-AU"/>
        </w:rPr>
        <w:lastRenderedPageBreak/>
        <w:t>Reports</w:t>
      </w:r>
    </w:p>
    <w:p w:rsidR="00317CA5" w:rsidRDefault="00317CA5" w:rsidP="00317CA5">
      <w:pPr>
        <w:keepNext/>
        <w:keepLines/>
        <w:autoSpaceDE w:val="0"/>
        <w:autoSpaceDN w:val="0"/>
        <w:adjustRightInd w:val="0"/>
        <w:rPr>
          <w:rFonts w:ascii="Garamond" w:hAnsi="Garamond"/>
          <w:lang w:val="en-AU"/>
        </w:rPr>
      </w:pPr>
    </w:p>
    <w:p w:rsidR="002069DE" w:rsidRPr="00D552AA" w:rsidRDefault="002069DE" w:rsidP="002069DE">
      <w:pPr>
        <w:keepNext/>
        <w:keepLines/>
        <w:autoSpaceDE w:val="0"/>
        <w:autoSpaceDN w:val="0"/>
        <w:adjustRightInd w:val="0"/>
        <w:rPr>
          <w:rFonts w:ascii="Garamond" w:hAnsi="Garamond"/>
          <w:i/>
          <w:lang w:val="en-AU"/>
        </w:rPr>
      </w:pPr>
      <w:r w:rsidRPr="00D552AA">
        <w:rPr>
          <w:rFonts w:ascii="Garamond" w:hAnsi="Garamond"/>
          <w:i/>
          <w:lang w:val="en-AU"/>
        </w:rPr>
        <w:t>Connecting the dots: digitally empowered pharmacists</w:t>
      </w:r>
    </w:p>
    <w:p w:rsidR="002069DE" w:rsidRPr="00D552AA" w:rsidRDefault="002069DE" w:rsidP="002069DE">
      <w:pPr>
        <w:keepNext/>
        <w:keepLines/>
        <w:autoSpaceDE w:val="0"/>
        <w:autoSpaceDN w:val="0"/>
        <w:adjustRightInd w:val="0"/>
        <w:rPr>
          <w:rFonts w:ascii="Garamond" w:hAnsi="Garamond"/>
          <w:i/>
          <w:lang w:val="en-AU"/>
        </w:rPr>
      </w:pPr>
      <w:r w:rsidRPr="00D552AA">
        <w:rPr>
          <w:rFonts w:ascii="Garamond" w:hAnsi="Garamond"/>
          <w:i/>
          <w:lang w:val="en-AU"/>
        </w:rPr>
        <w:t>Better medicine use by 2023, powered by digital health transformation</w:t>
      </w:r>
    </w:p>
    <w:p w:rsidR="002069DE" w:rsidRDefault="002069DE" w:rsidP="002069DE">
      <w:pPr>
        <w:keepNext/>
        <w:keepLines/>
        <w:autoSpaceDE w:val="0"/>
        <w:autoSpaceDN w:val="0"/>
        <w:adjustRightInd w:val="0"/>
        <w:rPr>
          <w:rFonts w:ascii="Garamond" w:hAnsi="Garamond"/>
          <w:lang w:val="en-AU"/>
        </w:rPr>
      </w:pPr>
      <w:r w:rsidRPr="00D552AA">
        <w:rPr>
          <w:rFonts w:ascii="Garamond" w:hAnsi="Garamond"/>
          <w:lang w:val="en-AU"/>
        </w:rPr>
        <w:t>Pharmaceutical Society of Australia</w:t>
      </w:r>
    </w:p>
    <w:p w:rsidR="002069DE" w:rsidRDefault="002069DE" w:rsidP="002069DE">
      <w:pPr>
        <w:keepNext/>
        <w:keepLines/>
        <w:autoSpaceDE w:val="0"/>
        <w:autoSpaceDN w:val="0"/>
        <w:adjustRightInd w:val="0"/>
        <w:rPr>
          <w:rFonts w:ascii="Garamond" w:hAnsi="Garamond"/>
          <w:lang w:val="en-AU"/>
        </w:rPr>
      </w:pPr>
      <w:r w:rsidRPr="00D552AA">
        <w:rPr>
          <w:rFonts w:ascii="Garamond" w:hAnsi="Garamond"/>
          <w:lang w:val="en-AU"/>
        </w:rPr>
        <w:t>Canberra: Pharmaceutical Society of Australia; 2019. p. 42.</w:t>
      </w:r>
    </w:p>
    <w:tbl>
      <w:tblPr>
        <w:tblStyle w:val="TableGrid"/>
        <w:tblW w:w="0" w:type="auto"/>
        <w:tblInd w:w="288" w:type="dxa"/>
        <w:tblLayout w:type="fixed"/>
        <w:tblLook w:val="01E0" w:firstRow="1" w:lastRow="1" w:firstColumn="1" w:lastColumn="1" w:noHBand="0" w:noVBand="0"/>
      </w:tblPr>
      <w:tblGrid>
        <w:gridCol w:w="1080"/>
        <w:gridCol w:w="8280"/>
      </w:tblGrid>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069DE" w:rsidRPr="000170DA" w:rsidRDefault="00216708" w:rsidP="004F7B71">
            <w:pPr>
              <w:rPr>
                <w:rStyle w:val="Hyperlink"/>
                <w:rFonts w:ascii="Garamond" w:hAnsi="Garamond"/>
                <w:color w:val="auto"/>
                <w:u w:val="none"/>
                <w:lang w:val="en-AU"/>
              </w:rPr>
            </w:pPr>
            <w:hyperlink r:id="rId16" w:history="1">
              <w:r w:rsidR="002069DE" w:rsidRPr="00266800">
                <w:rPr>
                  <w:rStyle w:val="Hyperlink"/>
                  <w:rFonts w:ascii="Garamond" w:hAnsi="Garamond"/>
                  <w:lang w:val="en-AU"/>
                </w:rPr>
                <w:t>https://www.psa.org.au/advocacy/working-for-our-profession/connecting-the-dots-digitally-empowered-pharmacists/</w:t>
              </w:r>
            </w:hyperlink>
          </w:p>
        </w:tc>
      </w:tr>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69DE" w:rsidRDefault="002069DE" w:rsidP="004F7B71">
            <w:pPr>
              <w:rPr>
                <w:rFonts w:ascii="Garamond" w:hAnsi="Garamond"/>
                <w:lang w:val="en-AU"/>
              </w:rPr>
            </w:pPr>
            <w:r>
              <w:rPr>
                <w:rFonts w:ascii="Garamond" w:hAnsi="Garamond"/>
                <w:lang w:val="en-AU"/>
              </w:rPr>
              <w:t xml:space="preserve">The </w:t>
            </w:r>
            <w:r w:rsidRPr="00D552AA">
              <w:rPr>
                <w:rFonts w:ascii="Garamond" w:hAnsi="Garamond"/>
                <w:lang w:val="en-AU"/>
              </w:rPr>
              <w:t>Pharmaceutical Society of Australia</w:t>
            </w:r>
            <w:r>
              <w:rPr>
                <w:rFonts w:ascii="Garamond" w:hAnsi="Garamond"/>
                <w:lang w:val="en-AU"/>
              </w:rPr>
              <w:t xml:space="preserve"> has produced this report (with funding from the </w:t>
            </w:r>
            <w:r w:rsidRPr="00D552AA">
              <w:rPr>
                <w:rFonts w:ascii="Garamond" w:hAnsi="Garamond"/>
                <w:lang w:val="en-AU"/>
              </w:rPr>
              <w:t>Australian Digital Health Agency</w:t>
            </w:r>
            <w:r>
              <w:rPr>
                <w:rFonts w:ascii="Garamond" w:hAnsi="Garamond"/>
                <w:lang w:val="en-AU"/>
              </w:rPr>
              <w:t>) offering a vision of t</w:t>
            </w:r>
            <w:r w:rsidRPr="00D552AA">
              <w:rPr>
                <w:rFonts w:ascii="Garamond" w:hAnsi="Garamond"/>
                <w:lang w:val="en-AU"/>
              </w:rPr>
              <w:t xml:space="preserve">he future of pharmacy where </w:t>
            </w:r>
            <w:r w:rsidRPr="00063D6D">
              <w:rPr>
                <w:rFonts w:ascii="Garamond" w:hAnsi="Garamond"/>
                <w:b/>
                <w:lang w:val="en-AU"/>
              </w:rPr>
              <w:t>digital systems provide pharmacists with more information to better inform clinical decisions that allows seamless, more customised clinical care and better medicine outcome</w:t>
            </w:r>
            <w:r>
              <w:rPr>
                <w:rFonts w:ascii="Garamond" w:hAnsi="Garamond"/>
                <w:lang w:val="en-AU"/>
              </w:rPr>
              <w:t>s.</w:t>
            </w:r>
            <w:r w:rsidR="00D27F60">
              <w:rPr>
                <w:rFonts w:ascii="Garamond" w:hAnsi="Garamond"/>
                <w:lang w:val="en-AU"/>
              </w:rPr>
              <w:t xml:space="preserve"> The report also notes the </w:t>
            </w:r>
            <w:r w:rsidR="00D27F60" w:rsidRPr="00D27F60">
              <w:rPr>
                <w:rFonts w:ascii="Garamond" w:hAnsi="Garamond"/>
                <w:lang w:val="en-AU"/>
              </w:rPr>
              <w:t>Australian Digital Health Agency</w:t>
            </w:r>
            <w:r w:rsidR="00D27F60">
              <w:rPr>
                <w:rFonts w:ascii="Garamond" w:hAnsi="Garamond"/>
                <w:lang w:val="en-AU"/>
              </w:rPr>
              <w:t>’s proposed a</w:t>
            </w:r>
            <w:r w:rsidR="00D27F60" w:rsidRPr="00D27F60">
              <w:rPr>
                <w:rFonts w:ascii="Garamond" w:hAnsi="Garamond"/>
                <w:lang w:val="en-AU"/>
              </w:rPr>
              <w:t>ctions for safe and effective medicine use by patients</w:t>
            </w:r>
            <w:r w:rsidR="00D27F60">
              <w:rPr>
                <w:rFonts w:ascii="Garamond" w:hAnsi="Garamond"/>
                <w:lang w:val="en-AU"/>
              </w:rPr>
              <w:t>. These actions include:</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Electronic prescriptions</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Best Possible Medicines List</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 xml:space="preserve">National Medicines Data Service </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 xml:space="preserve">Medicines information for consumers </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 xml:space="preserve">Medicines decision support tools </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medicine-safety decision support in clinical software</w:t>
            </w:r>
          </w:p>
          <w:p w:rsidR="00D27F60" w:rsidRPr="00D27F60" w:rsidRDefault="00D27F60" w:rsidP="00D27F60">
            <w:pPr>
              <w:pStyle w:val="ListParagraph"/>
              <w:numPr>
                <w:ilvl w:val="0"/>
                <w:numId w:val="35"/>
              </w:numPr>
              <w:rPr>
                <w:rFonts w:ascii="Garamond" w:hAnsi="Garamond"/>
                <w:lang w:val="en-AU"/>
              </w:rPr>
            </w:pPr>
            <w:r w:rsidRPr="00D27F60">
              <w:rPr>
                <w:rFonts w:ascii="Garamond" w:hAnsi="Garamond"/>
                <w:lang w:val="en-AU"/>
              </w:rPr>
              <w:t>Enhance incident reporting capabilities (including with National Allergy Strategy) Real-time prescription monitoring</w:t>
            </w:r>
            <w:r w:rsidRPr="00D27F60">
              <w:rPr>
                <w:rFonts w:ascii="Garamond" w:hAnsi="Garamond"/>
                <w:lang w:val="en-AU"/>
              </w:rPr>
              <w:t>.</w:t>
            </w:r>
          </w:p>
        </w:tc>
      </w:tr>
    </w:tbl>
    <w:p w:rsidR="002069DE" w:rsidRDefault="002069DE" w:rsidP="002069DE">
      <w:pPr>
        <w:keepNext/>
        <w:ind w:left="720" w:hanging="720"/>
        <w:rPr>
          <w:rFonts w:ascii="Garamond" w:hAnsi="Garamond"/>
          <w:b/>
          <w:lang w:val="en-AU"/>
        </w:rPr>
      </w:pPr>
    </w:p>
    <w:p w:rsidR="008D386B" w:rsidRDefault="008D386B" w:rsidP="008D386B">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medication safety</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17" w:history="1">
        <w:r w:rsidRPr="00D91045">
          <w:rPr>
            <w:rStyle w:val="Hyperlink"/>
            <w:rFonts w:ascii="Garamond" w:hAnsi="Garamond"/>
            <w:lang w:val="en-AU"/>
          </w:rPr>
          <w:t>https://www.safetyandquality.gov.au/our-work/medication-safety</w:t>
        </w:r>
      </w:hyperlink>
      <w:r>
        <w:rPr>
          <w:rFonts w:ascii="Garamond" w:hAnsi="Garamond"/>
          <w:lang w:val="en-AU"/>
        </w:rPr>
        <w:t xml:space="preserve"> </w:t>
      </w:r>
    </w:p>
    <w:p w:rsidR="008D386B" w:rsidRDefault="008D386B" w:rsidP="008D386B">
      <w:pPr>
        <w:keepNext/>
        <w:keepLines/>
        <w:autoSpaceDE w:val="0"/>
        <w:autoSpaceDN w:val="0"/>
        <w:adjustRightInd w:val="0"/>
        <w:rPr>
          <w:rFonts w:ascii="Garamond" w:hAnsi="Garamond"/>
          <w:lang w:val="en-AU"/>
        </w:rPr>
      </w:pPr>
    </w:p>
    <w:p w:rsidR="008D386B" w:rsidRDefault="008D386B" w:rsidP="008D386B">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e-Health </w:t>
      </w:r>
      <w:r>
        <w:rPr>
          <w:rFonts w:ascii="Garamond" w:hAnsi="Garamond"/>
          <w:lang w:val="en-AU"/>
        </w:rPr>
        <w:t xml:space="preserve">safety, </w:t>
      </w:r>
      <w:r w:rsidRPr="006C5462">
        <w:rPr>
          <w:rFonts w:ascii="Garamond" w:hAnsi="Garamond"/>
          <w:lang w:val="en-AU"/>
        </w:rPr>
        <w:t>see</w:t>
      </w:r>
      <w:r>
        <w:rPr>
          <w:rFonts w:ascii="Garamond" w:hAnsi="Garamond"/>
          <w:lang w:val="en-AU"/>
        </w:rPr>
        <w:t xml:space="preserve"> </w:t>
      </w:r>
      <w:hyperlink r:id="rId18" w:history="1">
        <w:r w:rsidRPr="00D91045">
          <w:rPr>
            <w:rStyle w:val="Hyperlink"/>
            <w:rFonts w:ascii="Garamond" w:hAnsi="Garamond"/>
            <w:lang w:val="en-AU"/>
          </w:rPr>
          <w:t>https://www.safetyandquality.gov.au/our-work/e-health-safety</w:t>
        </w:r>
      </w:hyperlink>
    </w:p>
    <w:p w:rsidR="008D386B" w:rsidRDefault="008D386B" w:rsidP="008D386B">
      <w:pPr>
        <w:keepNext/>
        <w:keepLines/>
        <w:autoSpaceDE w:val="0"/>
        <w:autoSpaceDN w:val="0"/>
        <w:adjustRightInd w:val="0"/>
        <w:rPr>
          <w:rFonts w:ascii="Garamond" w:hAnsi="Garamond"/>
          <w:lang w:val="en-AU"/>
        </w:rPr>
      </w:pPr>
    </w:p>
    <w:p w:rsidR="00BB00F9" w:rsidRPr="00BB00F9" w:rsidRDefault="00BB00F9" w:rsidP="00063D6D">
      <w:pPr>
        <w:keepNext/>
        <w:ind w:left="720" w:hanging="720"/>
        <w:rPr>
          <w:rFonts w:ascii="Garamond" w:hAnsi="Garamond"/>
          <w:i/>
          <w:lang w:val="en-AU"/>
        </w:rPr>
      </w:pPr>
      <w:r w:rsidRPr="00BB00F9">
        <w:rPr>
          <w:rFonts w:ascii="Garamond" w:hAnsi="Garamond"/>
          <w:i/>
          <w:lang w:val="en-AU"/>
        </w:rPr>
        <w:t>Emergency admissions to hospital from care homes: How often and what for?</w:t>
      </w:r>
    </w:p>
    <w:p w:rsidR="00BB00F9" w:rsidRDefault="00BB00F9" w:rsidP="00063D6D">
      <w:pPr>
        <w:keepNext/>
        <w:ind w:left="720" w:hanging="720"/>
        <w:rPr>
          <w:rFonts w:ascii="Garamond" w:hAnsi="Garamond"/>
          <w:lang w:val="en-AU"/>
        </w:rPr>
      </w:pPr>
      <w:r w:rsidRPr="00BB00F9">
        <w:rPr>
          <w:rFonts w:ascii="Garamond" w:hAnsi="Garamond"/>
          <w:lang w:val="en-AU"/>
        </w:rPr>
        <w:t>Improvement Analytics Unit briefing</w:t>
      </w:r>
    </w:p>
    <w:p w:rsidR="00BB00F9" w:rsidRDefault="00BB00F9" w:rsidP="00BB00F9">
      <w:pPr>
        <w:keepNext/>
        <w:ind w:left="720" w:hanging="720"/>
        <w:rPr>
          <w:rFonts w:ascii="Garamond" w:hAnsi="Garamond"/>
          <w:lang w:val="en-AU"/>
        </w:rPr>
      </w:pPr>
      <w:r w:rsidRPr="00BB00F9">
        <w:rPr>
          <w:rFonts w:ascii="Garamond" w:hAnsi="Garamond"/>
          <w:lang w:val="en-AU"/>
        </w:rPr>
        <w:t>Wolters, Santos F, Lloyd T, Lilburne C, Steventon A</w:t>
      </w:r>
    </w:p>
    <w:p w:rsidR="00063D6D" w:rsidRDefault="00BB00F9" w:rsidP="00063D6D">
      <w:pPr>
        <w:keepNext/>
        <w:ind w:left="720" w:hanging="720"/>
        <w:rPr>
          <w:rFonts w:ascii="Garamond" w:hAnsi="Garamond"/>
          <w:lang w:val="en-AU"/>
        </w:rPr>
      </w:pPr>
      <w:r w:rsidRPr="00BB00F9">
        <w:rPr>
          <w:rFonts w:ascii="Garamond" w:hAnsi="Garamond"/>
          <w:lang w:val="en-AU"/>
        </w:rPr>
        <w:t>London: The Health Foundation; 2019. p. 36.</w:t>
      </w:r>
    </w:p>
    <w:tbl>
      <w:tblPr>
        <w:tblStyle w:val="TableGrid"/>
        <w:tblW w:w="9360" w:type="dxa"/>
        <w:tblInd w:w="288" w:type="dxa"/>
        <w:tblLayout w:type="fixed"/>
        <w:tblLook w:val="01E0" w:firstRow="1" w:lastRow="1" w:firstColumn="1" w:lastColumn="1" w:noHBand="0" w:noVBand="0"/>
      </w:tblPr>
      <w:tblGrid>
        <w:gridCol w:w="1080"/>
        <w:gridCol w:w="8280"/>
      </w:tblGrid>
      <w:tr w:rsidR="00063D6D" w:rsidRPr="000170DA" w:rsidTr="008D386B">
        <w:tc>
          <w:tcPr>
            <w:tcW w:w="10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Style w:val="Hyperlink"/>
                <w:rFonts w:ascii="Garamond" w:hAnsi="Garamond"/>
                <w:color w:val="auto"/>
                <w:u w:val="none"/>
                <w:lang w:val="en-AU"/>
              </w:rPr>
            </w:pPr>
            <w:hyperlink r:id="rId19" w:history="1">
              <w:r w:rsidRPr="007509BC">
                <w:rPr>
                  <w:rStyle w:val="Hyperlink"/>
                  <w:rFonts w:ascii="Garamond" w:hAnsi="Garamond"/>
                  <w:lang w:val="en-AU"/>
                </w:rPr>
                <w:t>https://www.health.org.uk/publications/reports/emergency-admissions-to-hospital-from-care-homes</w:t>
              </w:r>
            </w:hyperlink>
          </w:p>
        </w:tc>
      </w:tr>
      <w:tr w:rsidR="00063D6D" w:rsidRPr="000170DA" w:rsidTr="008D386B">
        <w:tc>
          <w:tcPr>
            <w:tcW w:w="10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3D6D" w:rsidRPr="005A00FB" w:rsidRDefault="00063D6D" w:rsidP="00BB00F9">
            <w:pPr>
              <w:rPr>
                <w:rFonts w:ascii="Garamond" w:hAnsi="Garamond"/>
                <w:lang w:val="en-AU"/>
              </w:rPr>
            </w:pPr>
            <w:r>
              <w:rPr>
                <w:rFonts w:ascii="Garamond" w:hAnsi="Garamond"/>
                <w:lang w:val="en-AU"/>
              </w:rPr>
              <w:t xml:space="preserve">The UK’s Health Foundation has produced this </w:t>
            </w:r>
            <w:r w:rsidR="00BB00F9">
              <w:rPr>
                <w:rFonts w:ascii="Garamond" w:hAnsi="Garamond"/>
                <w:lang w:val="en-AU"/>
              </w:rPr>
              <w:t xml:space="preserve">briefing from their </w:t>
            </w:r>
            <w:r w:rsidR="00BB00F9" w:rsidRPr="00BB00F9">
              <w:rPr>
                <w:rFonts w:ascii="Garamond" w:hAnsi="Garamond"/>
                <w:lang w:val="en-AU"/>
              </w:rPr>
              <w:t>Improvement Analytics Unit</w:t>
            </w:r>
            <w:r w:rsidR="00BB00F9">
              <w:rPr>
                <w:rFonts w:ascii="Garamond" w:hAnsi="Garamond"/>
                <w:lang w:val="en-AU"/>
              </w:rPr>
              <w:t xml:space="preserve"> on an analysis of </w:t>
            </w:r>
            <w:r w:rsidR="00BB00F9" w:rsidRPr="00BB00F9">
              <w:rPr>
                <w:rFonts w:ascii="Garamond" w:hAnsi="Garamond"/>
                <w:lang w:val="en-AU"/>
              </w:rPr>
              <w:t xml:space="preserve">a national linked dataset identifying </w:t>
            </w:r>
            <w:r w:rsidR="00BB00F9" w:rsidRPr="00BB00F9">
              <w:rPr>
                <w:rFonts w:ascii="Garamond" w:hAnsi="Garamond"/>
                <w:b/>
                <w:lang w:val="en-AU"/>
              </w:rPr>
              <w:t>permanent care home residents aged 65 and older</w:t>
            </w:r>
            <w:r w:rsidR="00BB00F9" w:rsidRPr="00BB00F9">
              <w:rPr>
                <w:rFonts w:ascii="Garamond" w:hAnsi="Garamond"/>
                <w:lang w:val="en-AU"/>
              </w:rPr>
              <w:t xml:space="preserve"> </w:t>
            </w:r>
            <w:r w:rsidR="00BB00F9">
              <w:rPr>
                <w:rFonts w:ascii="Garamond" w:hAnsi="Garamond"/>
                <w:lang w:val="en-AU"/>
              </w:rPr>
              <w:t xml:space="preserve">that </w:t>
            </w:r>
            <w:r w:rsidR="00BB00F9" w:rsidRPr="00BB00F9">
              <w:rPr>
                <w:rFonts w:ascii="Garamond" w:hAnsi="Garamond"/>
                <w:lang w:val="en-AU"/>
              </w:rPr>
              <w:t xml:space="preserve">found that </w:t>
            </w:r>
            <w:r w:rsidR="00BB00F9" w:rsidRPr="00BB00F9">
              <w:rPr>
                <w:rFonts w:ascii="Garamond" w:hAnsi="Garamond"/>
                <w:b/>
                <w:lang w:val="en-AU"/>
              </w:rPr>
              <w:t>on average during 2016/17</w:t>
            </w:r>
            <w:r w:rsidR="00BB00F9" w:rsidRPr="00BB00F9">
              <w:rPr>
                <w:rFonts w:ascii="Garamond" w:hAnsi="Garamond"/>
                <w:lang w:val="en-AU"/>
              </w:rPr>
              <w:t xml:space="preserve"> care home residents </w:t>
            </w:r>
            <w:r w:rsidR="00BB00F9" w:rsidRPr="00BB00F9">
              <w:rPr>
                <w:rFonts w:ascii="Garamond" w:hAnsi="Garamond"/>
                <w:b/>
                <w:lang w:val="en-AU"/>
              </w:rPr>
              <w:t xml:space="preserve">went to </w:t>
            </w:r>
            <w:r w:rsidR="00BB00F9" w:rsidRPr="00BB00F9">
              <w:rPr>
                <w:rFonts w:ascii="Garamond" w:hAnsi="Garamond"/>
                <w:b/>
                <w:lang w:val="en-AU"/>
              </w:rPr>
              <w:t>accident and emergency (</w:t>
            </w:r>
            <w:r w:rsidR="00BB00F9" w:rsidRPr="00BB00F9">
              <w:rPr>
                <w:rFonts w:ascii="Garamond" w:hAnsi="Garamond"/>
                <w:b/>
                <w:lang w:val="en-AU"/>
              </w:rPr>
              <w:t xml:space="preserve">A&amp;E </w:t>
            </w:r>
            <w:r w:rsidR="00BB00F9" w:rsidRPr="00BB00F9">
              <w:rPr>
                <w:rFonts w:ascii="Garamond" w:hAnsi="Garamond"/>
                <w:b/>
                <w:lang w:val="en-AU"/>
              </w:rPr>
              <w:t>)</w:t>
            </w:r>
            <w:r w:rsidR="00BB00F9" w:rsidRPr="00BB00F9">
              <w:rPr>
                <w:rFonts w:ascii="Garamond" w:hAnsi="Garamond"/>
                <w:b/>
                <w:lang w:val="en-AU"/>
              </w:rPr>
              <w:t>0.98 times</w:t>
            </w:r>
            <w:r w:rsidR="00BB00F9" w:rsidRPr="00BB00F9">
              <w:rPr>
                <w:rFonts w:ascii="Garamond" w:hAnsi="Garamond"/>
                <w:lang w:val="en-AU"/>
              </w:rPr>
              <w:t xml:space="preserve"> and </w:t>
            </w:r>
            <w:r w:rsidR="00BB00F9" w:rsidRPr="00BB00F9">
              <w:rPr>
                <w:rFonts w:ascii="Garamond" w:hAnsi="Garamond"/>
                <w:b/>
                <w:lang w:val="en-AU"/>
              </w:rPr>
              <w:t>were admitted as an emergency 0.70 times</w:t>
            </w:r>
            <w:r w:rsidR="00BB00F9" w:rsidRPr="00BB00F9">
              <w:rPr>
                <w:rFonts w:ascii="Garamond" w:hAnsi="Garamond"/>
                <w:lang w:val="en-AU"/>
              </w:rPr>
              <w:t>.</w:t>
            </w:r>
            <w:r w:rsidR="00BB00F9">
              <w:rPr>
                <w:rFonts w:ascii="Garamond" w:hAnsi="Garamond"/>
                <w:lang w:val="en-AU"/>
              </w:rPr>
              <w:t xml:space="preserve"> The analysis showed that e</w:t>
            </w:r>
            <w:r w:rsidR="00BB00F9" w:rsidRPr="00BB00F9">
              <w:rPr>
                <w:rFonts w:ascii="Garamond" w:hAnsi="Garamond"/>
                <w:lang w:val="en-AU"/>
              </w:rPr>
              <w:t>mergency admissions were found to be particularly high in residential care homes compared with nursing care homes.</w:t>
            </w:r>
            <w:r w:rsidR="00BB00F9">
              <w:rPr>
                <w:rFonts w:ascii="Garamond" w:hAnsi="Garamond"/>
                <w:lang w:val="en-AU"/>
              </w:rPr>
              <w:t xml:space="preserve"> The authors believe that a</w:t>
            </w:r>
            <w:r w:rsidR="00BB00F9" w:rsidRPr="00BB00F9">
              <w:rPr>
                <w:rFonts w:ascii="Garamond" w:hAnsi="Garamond"/>
                <w:lang w:val="en-AU"/>
              </w:rPr>
              <w:t xml:space="preserve"> </w:t>
            </w:r>
            <w:r w:rsidR="00BB00F9" w:rsidRPr="00BB00F9">
              <w:rPr>
                <w:rFonts w:ascii="Garamond" w:hAnsi="Garamond"/>
                <w:b/>
                <w:lang w:val="en-AU"/>
              </w:rPr>
              <w:t xml:space="preserve">large </w:t>
            </w:r>
            <w:r w:rsidR="00BB00F9" w:rsidRPr="00BB00F9">
              <w:rPr>
                <w:rFonts w:ascii="Garamond" w:hAnsi="Garamond"/>
                <w:b/>
                <w:lang w:val="en-AU"/>
              </w:rPr>
              <w:t xml:space="preserve">proportion </w:t>
            </w:r>
            <w:r w:rsidR="00BB00F9" w:rsidRPr="00BB00F9">
              <w:rPr>
                <w:rFonts w:ascii="Garamond" w:hAnsi="Garamond"/>
                <w:b/>
                <w:lang w:val="en-AU"/>
              </w:rPr>
              <w:t>of these emergency admissions may be avoidable</w:t>
            </w:r>
            <w:r w:rsidR="00BB00F9" w:rsidRPr="00BB00F9">
              <w:rPr>
                <w:rFonts w:ascii="Garamond" w:hAnsi="Garamond"/>
                <w:lang w:val="en-AU"/>
              </w:rPr>
              <w:t>: 41% were for conditions that are potentially manageable, treatable or preventable outside of a hospital setting, or that could have been caused by poor care or neglect.</w:t>
            </w:r>
          </w:p>
        </w:tc>
      </w:tr>
    </w:tbl>
    <w:p w:rsidR="008D386B" w:rsidRDefault="008D386B" w:rsidP="008D386B">
      <w:pPr>
        <w:keepNext/>
        <w:keepLines/>
        <w:autoSpaceDE w:val="0"/>
        <w:autoSpaceDN w:val="0"/>
        <w:adjustRightInd w:val="0"/>
        <w:rPr>
          <w:rFonts w:ascii="Garamond" w:hAnsi="Garamond"/>
          <w:i/>
          <w:lang w:val="en-AU"/>
        </w:rPr>
      </w:pPr>
    </w:p>
    <w:p w:rsidR="008D386B" w:rsidRDefault="008D386B">
      <w:pPr>
        <w:rPr>
          <w:rFonts w:ascii="Garamond" w:hAnsi="Garamond"/>
          <w:i/>
          <w:lang w:val="en-AU"/>
        </w:rPr>
      </w:pPr>
      <w:r>
        <w:rPr>
          <w:rFonts w:ascii="Garamond" w:hAnsi="Garamond"/>
          <w:i/>
          <w:lang w:val="en-AU"/>
        </w:rPr>
        <w:br w:type="page"/>
      </w:r>
    </w:p>
    <w:p w:rsidR="008D386B" w:rsidRPr="000D0EF6" w:rsidRDefault="008D386B" w:rsidP="008D386B">
      <w:pPr>
        <w:keepNext/>
        <w:keepLines/>
        <w:autoSpaceDE w:val="0"/>
        <w:autoSpaceDN w:val="0"/>
        <w:adjustRightInd w:val="0"/>
        <w:rPr>
          <w:rFonts w:ascii="Garamond" w:hAnsi="Garamond"/>
          <w:i/>
          <w:lang w:val="en-AU"/>
        </w:rPr>
      </w:pPr>
      <w:r w:rsidRPr="000D0EF6">
        <w:rPr>
          <w:rFonts w:ascii="Garamond" w:hAnsi="Garamond"/>
          <w:i/>
          <w:lang w:val="en-AU"/>
        </w:rPr>
        <w:t>Health at the centre: Responsible data sharing in the digital society</w:t>
      </w:r>
    </w:p>
    <w:p w:rsidR="008D386B" w:rsidRDefault="008D386B" w:rsidP="008D386B">
      <w:pPr>
        <w:keepNext/>
        <w:keepLines/>
        <w:autoSpaceDE w:val="0"/>
        <w:autoSpaceDN w:val="0"/>
        <w:adjustRightInd w:val="0"/>
        <w:rPr>
          <w:rFonts w:ascii="Garamond" w:hAnsi="Garamond"/>
          <w:lang w:val="en-AU"/>
        </w:rPr>
      </w:pPr>
      <w:r w:rsidRPr="000D0EF6">
        <w:rPr>
          <w:rFonts w:ascii="Garamond" w:hAnsi="Garamond"/>
          <w:lang w:val="en-AU"/>
        </w:rPr>
        <w:t>Niezen MGH, Edelenbosch R, Van Bodegom L, Verhoef P</w:t>
      </w:r>
    </w:p>
    <w:p w:rsidR="008D386B" w:rsidRDefault="008D386B" w:rsidP="008D386B">
      <w:pPr>
        <w:keepNext/>
        <w:keepLines/>
        <w:autoSpaceDE w:val="0"/>
        <w:autoSpaceDN w:val="0"/>
        <w:adjustRightInd w:val="0"/>
        <w:rPr>
          <w:rFonts w:ascii="Garamond" w:hAnsi="Garamond"/>
          <w:lang w:val="en-AU"/>
        </w:rPr>
      </w:pPr>
      <w:r w:rsidRPr="000D0EF6">
        <w:rPr>
          <w:rFonts w:ascii="Garamond" w:hAnsi="Garamond"/>
          <w:lang w:val="en-AU"/>
        </w:rPr>
        <w:t>The Hague: Rathenau Instituut, 2019.</w:t>
      </w:r>
      <w:r w:rsidRPr="002069DE">
        <w:rPr>
          <w:rFonts w:ascii="Garamond" w:hAnsi="Garamond"/>
          <w:lang w:val="en-AU"/>
        </w:rPr>
        <w:t xml:space="preserve"> p. </w:t>
      </w:r>
      <w:r>
        <w:rPr>
          <w:rFonts w:ascii="Garamond" w:hAnsi="Garamond"/>
          <w:lang w:val="en-AU"/>
        </w:rPr>
        <w:t>16</w:t>
      </w:r>
      <w:r w:rsidRPr="002069DE">
        <w:rPr>
          <w:rFonts w:ascii="Garamond" w:hAnsi="Garamond"/>
          <w:lang w:val="en-AU"/>
        </w:rPr>
        <w:t>2.</w:t>
      </w:r>
    </w:p>
    <w:tbl>
      <w:tblPr>
        <w:tblStyle w:val="TableGrid"/>
        <w:tblW w:w="0" w:type="auto"/>
        <w:tblInd w:w="288" w:type="dxa"/>
        <w:tblLayout w:type="fixed"/>
        <w:tblLook w:val="01E0" w:firstRow="1" w:lastRow="1" w:firstColumn="1" w:lastColumn="1" w:noHBand="0" w:noVBand="0"/>
      </w:tblPr>
      <w:tblGrid>
        <w:gridCol w:w="1080"/>
        <w:gridCol w:w="8280"/>
      </w:tblGrid>
      <w:tr w:rsidR="008D386B"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8D386B" w:rsidRPr="000170DA" w:rsidRDefault="008D386B" w:rsidP="00C62DE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D386B" w:rsidRPr="000170DA" w:rsidRDefault="008D386B" w:rsidP="00C62DEE">
            <w:pPr>
              <w:rPr>
                <w:rStyle w:val="Hyperlink"/>
                <w:rFonts w:ascii="Garamond" w:hAnsi="Garamond"/>
                <w:color w:val="auto"/>
                <w:u w:val="none"/>
                <w:lang w:val="en-AU"/>
              </w:rPr>
            </w:pPr>
            <w:hyperlink r:id="rId20" w:history="1">
              <w:r w:rsidRPr="007509BC">
                <w:rPr>
                  <w:rStyle w:val="Hyperlink"/>
                  <w:rFonts w:ascii="Garamond" w:hAnsi="Garamond"/>
                  <w:lang w:val="en-AU"/>
                </w:rPr>
                <w:t>https://www.rathenau.nl/en/making-perfect-lives/health-centre</w:t>
              </w:r>
            </w:hyperlink>
          </w:p>
        </w:tc>
      </w:tr>
      <w:tr w:rsidR="008D386B"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8D386B" w:rsidRPr="000170DA" w:rsidRDefault="008D386B" w:rsidP="00C62D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386B" w:rsidRPr="005A00FB" w:rsidRDefault="008D386B" w:rsidP="00C62DEE">
            <w:pPr>
              <w:rPr>
                <w:rFonts w:ascii="Garamond" w:hAnsi="Garamond"/>
                <w:lang w:val="en-AU"/>
              </w:rPr>
            </w:pPr>
            <w:r>
              <w:rPr>
                <w:rFonts w:ascii="Garamond" w:hAnsi="Garamond"/>
                <w:lang w:val="en-AU"/>
              </w:rPr>
              <w:t xml:space="preserve">The Rathenau Instituut in the Netherlands has produced this report that examined </w:t>
            </w:r>
            <w:r w:rsidRPr="000D0EF6">
              <w:rPr>
                <w:rFonts w:ascii="Garamond" w:hAnsi="Garamond"/>
                <w:lang w:val="en-AU"/>
              </w:rPr>
              <w:t xml:space="preserve">digital services that enable patients and healthy people to share data with a view to improving their health. </w:t>
            </w:r>
            <w:r>
              <w:rPr>
                <w:rFonts w:ascii="Garamond" w:hAnsi="Garamond"/>
                <w:lang w:val="en-AU"/>
              </w:rPr>
              <w:t xml:space="preserve">The report suggests that </w:t>
            </w:r>
            <w:r w:rsidRPr="000D0EF6">
              <w:rPr>
                <w:rFonts w:ascii="Garamond" w:hAnsi="Garamond"/>
                <w:lang w:val="en-AU"/>
              </w:rPr>
              <w:t xml:space="preserve">that </w:t>
            </w:r>
            <w:r w:rsidRPr="00C0570D">
              <w:rPr>
                <w:rFonts w:ascii="Garamond" w:hAnsi="Garamond"/>
                <w:b/>
                <w:lang w:val="en-AU"/>
              </w:rPr>
              <w:t>responsible and secure data sharing is best achieved by remaining small in scale and by focusing on what is truly necessary for the patient</w:t>
            </w:r>
            <w:r w:rsidRPr="000D0EF6">
              <w:rPr>
                <w:rFonts w:ascii="Garamond" w:hAnsi="Garamond"/>
                <w:lang w:val="en-AU"/>
              </w:rPr>
              <w:t>. Th</w:t>
            </w:r>
            <w:r>
              <w:rPr>
                <w:rFonts w:ascii="Garamond" w:hAnsi="Garamond"/>
                <w:lang w:val="en-AU"/>
              </w:rPr>
              <w:t>e</w:t>
            </w:r>
            <w:r w:rsidRPr="000D0EF6">
              <w:rPr>
                <w:rFonts w:ascii="Garamond" w:hAnsi="Garamond"/>
                <w:lang w:val="en-AU"/>
              </w:rPr>
              <w:t xml:space="preserve"> report </w:t>
            </w:r>
            <w:r>
              <w:rPr>
                <w:rFonts w:ascii="Garamond" w:hAnsi="Garamond"/>
                <w:lang w:val="en-AU"/>
              </w:rPr>
              <w:t xml:space="preserve">seeks to offer </w:t>
            </w:r>
            <w:r w:rsidRPr="000D0EF6">
              <w:rPr>
                <w:rFonts w:ascii="Garamond" w:hAnsi="Garamond"/>
                <w:lang w:val="en-AU"/>
              </w:rPr>
              <w:t>government, the healthcare sector and politicians the tools they need to ensure that digital health data services are used in a way that is compatible with a ‘socially responsible digital society’.</w:t>
            </w:r>
          </w:p>
        </w:tc>
      </w:tr>
    </w:tbl>
    <w:p w:rsidR="008D386B" w:rsidRDefault="008D386B" w:rsidP="008D386B">
      <w:pPr>
        <w:keepNext/>
        <w:ind w:left="720" w:hanging="720"/>
        <w:rPr>
          <w:rFonts w:ascii="Garamond" w:hAnsi="Garamond"/>
          <w:lang w:val="en-AU"/>
        </w:rPr>
      </w:pPr>
    </w:p>
    <w:p w:rsidR="003E0B18" w:rsidRDefault="002069DE" w:rsidP="002069DE">
      <w:pPr>
        <w:keepNext/>
        <w:keepLines/>
        <w:autoSpaceDE w:val="0"/>
        <w:autoSpaceDN w:val="0"/>
        <w:adjustRightInd w:val="0"/>
        <w:rPr>
          <w:rFonts w:ascii="Garamond" w:hAnsi="Garamond"/>
          <w:lang w:val="en-AU"/>
        </w:rPr>
      </w:pPr>
      <w:r w:rsidRPr="002069DE">
        <w:rPr>
          <w:rFonts w:ascii="Garamond" w:hAnsi="Garamond"/>
          <w:i/>
          <w:lang w:val="en-AU"/>
        </w:rPr>
        <w:t>Advancing our health: Prevention in the 2020s</w:t>
      </w:r>
      <w:r w:rsidRPr="002069DE">
        <w:rPr>
          <w:rFonts w:ascii="Garamond" w:hAnsi="Garamond"/>
          <w:i/>
          <w:lang w:val="en-AU"/>
        </w:rPr>
        <w:cr/>
      </w:r>
      <w:r w:rsidR="003E0B18" w:rsidRPr="003E0B18">
        <w:rPr>
          <w:rFonts w:ascii="Garamond" w:hAnsi="Garamond"/>
          <w:lang w:val="en-AU"/>
        </w:rPr>
        <w:t>Department of Health and Social Care</w:t>
      </w:r>
    </w:p>
    <w:p w:rsidR="00586C24" w:rsidRPr="003E0B18" w:rsidRDefault="003E0B18" w:rsidP="002069DE">
      <w:pPr>
        <w:keepNext/>
        <w:keepLines/>
        <w:autoSpaceDE w:val="0"/>
        <w:autoSpaceDN w:val="0"/>
        <w:adjustRightInd w:val="0"/>
        <w:rPr>
          <w:rFonts w:ascii="Garamond" w:hAnsi="Garamond"/>
          <w:lang w:val="en-AU"/>
        </w:rPr>
      </w:pPr>
      <w:r w:rsidRPr="003E0B18">
        <w:rPr>
          <w:rFonts w:ascii="Garamond" w:hAnsi="Garamond"/>
          <w:lang w:val="en-AU"/>
        </w:rPr>
        <w:t>London: Department of Health and Social Care; 2019. p. 78.</w:t>
      </w:r>
    </w:p>
    <w:tbl>
      <w:tblPr>
        <w:tblStyle w:val="TableGrid"/>
        <w:tblW w:w="0" w:type="auto"/>
        <w:tblInd w:w="288" w:type="dxa"/>
        <w:tblLayout w:type="fixed"/>
        <w:tblLook w:val="01E0" w:firstRow="1" w:lastRow="1" w:firstColumn="1" w:lastColumn="1" w:noHBand="0" w:noVBand="0"/>
      </w:tblPr>
      <w:tblGrid>
        <w:gridCol w:w="1080"/>
        <w:gridCol w:w="8280"/>
      </w:tblGrid>
      <w:tr w:rsidR="00586C24"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586C24" w:rsidRPr="000170DA" w:rsidRDefault="00586C24" w:rsidP="0043006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6C24" w:rsidRPr="000170DA" w:rsidRDefault="00216708" w:rsidP="003E0B18">
            <w:pPr>
              <w:rPr>
                <w:rStyle w:val="Hyperlink"/>
                <w:rFonts w:ascii="Garamond" w:hAnsi="Garamond"/>
                <w:color w:val="auto"/>
                <w:u w:val="none"/>
                <w:lang w:val="en-AU"/>
              </w:rPr>
            </w:pPr>
            <w:hyperlink r:id="rId21" w:history="1">
              <w:r w:rsidR="003E0B18" w:rsidRPr="007509BC">
                <w:rPr>
                  <w:rStyle w:val="Hyperlink"/>
                  <w:rFonts w:ascii="Garamond" w:hAnsi="Garamond"/>
                  <w:lang w:val="en-AU"/>
                </w:rPr>
                <w:t>https://www.gov.uk/government/consultations/advancing-our-health-prevention-in-the-2020s</w:t>
              </w:r>
            </w:hyperlink>
          </w:p>
        </w:tc>
      </w:tr>
      <w:tr w:rsidR="00586C24"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586C24" w:rsidRPr="000170DA" w:rsidRDefault="00586C24" w:rsidP="0043006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6C24" w:rsidRDefault="002069DE" w:rsidP="002069DE">
            <w:pPr>
              <w:rPr>
                <w:rFonts w:ascii="Garamond" w:hAnsi="Garamond"/>
                <w:lang w:val="en-AU"/>
              </w:rPr>
            </w:pPr>
            <w:r w:rsidRPr="002069DE">
              <w:rPr>
                <w:rFonts w:ascii="Garamond" w:hAnsi="Garamond"/>
                <w:lang w:val="en-AU"/>
              </w:rPr>
              <w:t xml:space="preserve">The </w:t>
            </w:r>
            <w:r>
              <w:rPr>
                <w:rFonts w:ascii="Garamond" w:hAnsi="Garamond"/>
                <w:lang w:val="en-AU"/>
              </w:rPr>
              <w:t xml:space="preserve">English </w:t>
            </w:r>
            <w:r w:rsidRPr="002069DE">
              <w:rPr>
                <w:rFonts w:ascii="Garamond" w:hAnsi="Garamond"/>
                <w:lang w:val="en-AU"/>
              </w:rPr>
              <w:t xml:space="preserve">Department of Health and Social Care, together with the Cabinet Office, has published this </w:t>
            </w:r>
            <w:r>
              <w:rPr>
                <w:rFonts w:ascii="Garamond" w:hAnsi="Garamond"/>
                <w:lang w:val="en-AU"/>
              </w:rPr>
              <w:t xml:space="preserve">(consultation) </w:t>
            </w:r>
            <w:r w:rsidRPr="002069DE">
              <w:rPr>
                <w:rFonts w:ascii="Garamond" w:hAnsi="Garamond"/>
                <w:lang w:val="en-AU"/>
              </w:rPr>
              <w:t>Green Paper setting out proposals to tackle the causes of preventable ill health in England. It signals a new approach to public health that involves a personalised prevention model.</w:t>
            </w:r>
            <w:r w:rsidR="008464C6">
              <w:rPr>
                <w:rFonts w:ascii="Garamond" w:hAnsi="Garamond"/>
                <w:lang w:val="en-AU"/>
              </w:rPr>
              <w:t xml:space="preserve"> The proposed actions include:</w:t>
            </w:r>
          </w:p>
          <w:p w:rsidR="008464C6" w:rsidRDefault="008464C6" w:rsidP="008464C6">
            <w:pPr>
              <w:pStyle w:val="ListParagraph"/>
              <w:numPr>
                <w:ilvl w:val="0"/>
                <w:numId w:val="34"/>
              </w:numPr>
              <w:rPr>
                <w:rFonts w:ascii="Garamond" w:hAnsi="Garamond"/>
                <w:lang w:val="en-AU"/>
              </w:rPr>
            </w:pPr>
            <w:r w:rsidRPr="008464C6">
              <w:rPr>
                <w:rFonts w:ascii="Garamond" w:hAnsi="Garamond"/>
                <w:lang w:val="en-AU"/>
              </w:rPr>
              <w:t xml:space="preserve">embedding </w:t>
            </w:r>
            <w:r w:rsidRPr="008464C6">
              <w:rPr>
                <w:rFonts w:ascii="Garamond" w:hAnsi="Garamond"/>
                <w:b/>
                <w:lang w:val="en-AU"/>
              </w:rPr>
              <w:t>genomics</w:t>
            </w:r>
            <w:r w:rsidRPr="008464C6">
              <w:rPr>
                <w:rFonts w:ascii="Garamond" w:hAnsi="Garamond"/>
                <w:lang w:val="en-AU"/>
              </w:rPr>
              <w:t xml:space="preserve"> in routine healthcare</w:t>
            </w:r>
          </w:p>
          <w:p w:rsidR="008464C6" w:rsidRDefault="008464C6" w:rsidP="008464C6">
            <w:pPr>
              <w:pStyle w:val="ListParagraph"/>
              <w:numPr>
                <w:ilvl w:val="0"/>
                <w:numId w:val="34"/>
              </w:numPr>
              <w:rPr>
                <w:rFonts w:ascii="Garamond" w:hAnsi="Garamond"/>
                <w:lang w:val="en-AU"/>
              </w:rPr>
            </w:pPr>
            <w:r>
              <w:rPr>
                <w:rFonts w:ascii="Garamond" w:hAnsi="Garamond"/>
                <w:lang w:val="en-AU"/>
              </w:rPr>
              <w:t xml:space="preserve">efforts to further </w:t>
            </w:r>
            <w:r w:rsidRPr="008464C6">
              <w:rPr>
                <w:rFonts w:ascii="Garamond" w:hAnsi="Garamond"/>
                <w:b/>
                <w:lang w:val="en-AU"/>
              </w:rPr>
              <w:t>reduce smoking</w:t>
            </w:r>
            <w:r>
              <w:rPr>
                <w:rFonts w:ascii="Garamond" w:hAnsi="Garamond"/>
                <w:lang w:val="en-AU"/>
              </w:rPr>
              <w:t xml:space="preserve"> with the aim of a smoke-free 2030</w:t>
            </w:r>
          </w:p>
          <w:p w:rsidR="008464C6" w:rsidRDefault="008464C6" w:rsidP="008464C6">
            <w:pPr>
              <w:pStyle w:val="ListParagraph"/>
              <w:numPr>
                <w:ilvl w:val="0"/>
                <w:numId w:val="34"/>
              </w:numPr>
              <w:rPr>
                <w:rFonts w:ascii="Garamond" w:hAnsi="Garamond"/>
                <w:lang w:val="en-AU"/>
              </w:rPr>
            </w:pPr>
            <w:r>
              <w:rPr>
                <w:rFonts w:ascii="Garamond" w:hAnsi="Garamond"/>
                <w:lang w:val="en-AU"/>
              </w:rPr>
              <w:t xml:space="preserve">greater </w:t>
            </w:r>
            <w:r w:rsidRPr="008464C6">
              <w:rPr>
                <w:rFonts w:ascii="Garamond" w:hAnsi="Garamond"/>
                <w:b/>
                <w:lang w:val="en-AU"/>
              </w:rPr>
              <w:t>diabetes prevention</w:t>
            </w:r>
          </w:p>
          <w:p w:rsidR="005E7428" w:rsidRDefault="008464C6" w:rsidP="008464C6">
            <w:pPr>
              <w:pStyle w:val="ListParagraph"/>
              <w:numPr>
                <w:ilvl w:val="0"/>
                <w:numId w:val="34"/>
              </w:numPr>
              <w:rPr>
                <w:rFonts w:ascii="Garamond" w:hAnsi="Garamond"/>
                <w:lang w:val="en-AU"/>
              </w:rPr>
            </w:pPr>
            <w:r w:rsidRPr="008464C6">
              <w:rPr>
                <w:rFonts w:ascii="Garamond" w:hAnsi="Garamond"/>
                <w:lang w:val="en-AU"/>
              </w:rPr>
              <w:t xml:space="preserve">pursuing the </w:t>
            </w:r>
            <w:r w:rsidRPr="008464C6">
              <w:rPr>
                <w:rFonts w:ascii="Garamond" w:hAnsi="Garamond"/>
                <w:b/>
                <w:lang w:val="en-AU"/>
              </w:rPr>
              <w:t>Childhood Obesity Strategy</w:t>
            </w:r>
            <w:r w:rsidRPr="008464C6">
              <w:rPr>
                <w:rFonts w:ascii="Garamond" w:hAnsi="Garamond"/>
                <w:lang w:val="en-AU"/>
              </w:rPr>
              <w:t>, including bold action on</w:t>
            </w:r>
            <w:r w:rsidRPr="008464C6">
              <w:rPr>
                <w:rFonts w:ascii="Garamond" w:hAnsi="Garamond"/>
                <w:lang w:val="en-AU"/>
              </w:rPr>
              <w:t xml:space="preserve"> </w:t>
            </w:r>
            <w:r w:rsidRPr="008464C6">
              <w:rPr>
                <w:rFonts w:ascii="Garamond" w:hAnsi="Garamond"/>
                <w:lang w:val="en-AU"/>
              </w:rPr>
              <w:t>infant feeding, clear labelling, food reformulation improving the nutritional content of foods,</w:t>
            </w:r>
            <w:r w:rsidRPr="008464C6">
              <w:rPr>
                <w:rFonts w:ascii="Garamond" w:hAnsi="Garamond"/>
                <w:lang w:val="en-AU"/>
              </w:rPr>
              <w:t xml:space="preserve"> ending the sale of energy drinks to children </w:t>
            </w:r>
            <w:r w:rsidRPr="008464C6">
              <w:rPr>
                <w:rFonts w:ascii="Garamond" w:hAnsi="Garamond"/>
                <w:lang w:val="en-AU"/>
              </w:rPr>
              <w:t>and support for individuals to achieve and maintain a healthier weight</w:t>
            </w:r>
          </w:p>
          <w:p w:rsidR="008464C6" w:rsidRPr="008464C6" w:rsidRDefault="008464C6" w:rsidP="008464C6">
            <w:pPr>
              <w:pStyle w:val="ListParagraph"/>
              <w:numPr>
                <w:ilvl w:val="0"/>
                <w:numId w:val="34"/>
              </w:numPr>
              <w:rPr>
                <w:rFonts w:ascii="Garamond" w:hAnsi="Garamond"/>
                <w:lang w:val="en-AU"/>
              </w:rPr>
            </w:pPr>
            <w:r>
              <w:rPr>
                <w:rFonts w:ascii="Garamond" w:hAnsi="Garamond"/>
                <w:lang w:val="en-AU"/>
              </w:rPr>
              <w:t xml:space="preserve">launching a </w:t>
            </w:r>
            <w:r w:rsidRPr="008464C6">
              <w:rPr>
                <w:rFonts w:ascii="Garamond" w:hAnsi="Garamond"/>
                <w:b/>
                <w:lang w:val="en-AU"/>
              </w:rPr>
              <w:t>mental health prevention program</w:t>
            </w:r>
          </w:p>
          <w:p w:rsidR="008464C6" w:rsidRPr="005A00FB" w:rsidRDefault="008464C6" w:rsidP="008464C6">
            <w:pPr>
              <w:pStyle w:val="ListParagraph"/>
              <w:numPr>
                <w:ilvl w:val="0"/>
                <w:numId w:val="34"/>
              </w:numPr>
              <w:rPr>
                <w:rFonts w:ascii="Garamond" w:hAnsi="Garamond"/>
                <w:lang w:val="en-AU"/>
              </w:rPr>
            </w:pPr>
            <w:r>
              <w:rPr>
                <w:rFonts w:ascii="Garamond" w:hAnsi="Garamond"/>
                <w:lang w:val="en-AU"/>
              </w:rPr>
              <w:t>m</w:t>
            </w:r>
            <w:r w:rsidRPr="008464C6">
              <w:rPr>
                <w:rFonts w:ascii="Garamond" w:hAnsi="Garamond"/>
                <w:lang w:val="en-AU"/>
              </w:rPr>
              <w:t>odernis</w:t>
            </w:r>
            <w:r>
              <w:rPr>
                <w:rFonts w:ascii="Garamond" w:hAnsi="Garamond"/>
                <w:lang w:val="en-AU"/>
              </w:rPr>
              <w:t>ing</w:t>
            </w:r>
            <w:r w:rsidRPr="008464C6">
              <w:rPr>
                <w:rFonts w:ascii="Garamond" w:hAnsi="Garamond"/>
                <w:lang w:val="en-AU"/>
              </w:rPr>
              <w:t xml:space="preserve"> the </w:t>
            </w:r>
            <w:r w:rsidRPr="008464C6">
              <w:rPr>
                <w:rFonts w:ascii="Garamond" w:hAnsi="Garamond"/>
                <w:b/>
                <w:lang w:val="en-AU"/>
              </w:rPr>
              <w:t>Healthy Child</w:t>
            </w:r>
            <w:r w:rsidRPr="008464C6">
              <w:rPr>
                <w:rFonts w:ascii="Garamond" w:hAnsi="Garamond"/>
                <w:lang w:val="en-AU"/>
              </w:rPr>
              <w:t xml:space="preserve"> Programme</w:t>
            </w:r>
            <w:r>
              <w:rPr>
                <w:rFonts w:ascii="Garamond" w:hAnsi="Garamond"/>
                <w:lang w:val="en-AU"/>
              </w:rPr>
              <w:t>.</w:t>
            </w:r>
          </w:p>
        </w:tc>
      </w:tr>
    </w:tbl>
    <w:p w:rsidR="00586C24" w:rsidRDefault="00586C24" w:rsidP="00586C24">
      <w:pPr>
        <w:keepNext/>
        <w:ind w:left="720" w:hanging="720"/>
        <w:rPr>
          <w:rFonts w:ascii="Garamond" w:hAnsi="Garamond"/>
          <w:b/>
          <w:lang w:val="en-AU"/>
        </w:rPr>
      </w:pPr>
    </w:p>
    <w:p w:rsidR="00063D6D" w:rsidRPr="00586C24" w:rsidRDefault="00063D6D" w:rsidP="00063D6D">
      <w:pPr>
        <w:keepNext/>
        <w:keepLines/>
        <w:autoSpaceDE w:val="0"/>
        <w:autoSpaceDN w:val="0"/>
        <w:adjustRightInd w:val="0"/>
        <w:rPr>
          <w:rFonts w:ascii="Garamond" w:hAnsi="Garamond"/>
          <w:i/>
          <w:lang w:val="en-AU"/>
        </w:rPr>
      </w:pPr>
      <w:r w:rsidRPr="00063D6D">
        <w:rPr>
          <w:rFonts w:ascii="Garamond" w:hAnsi="Garamond"/>
          <w:i/>
          <w:lang w:val="en-AU"/>
        </w:rPr>
        <w:t xml:space="preserve">Whole systems approach to obesity: </w:t>
      </w:r>
      <w:r>
        <w:rPr>
          <w:rFonts w:ascii="Garamond" w:hAnsi="Garamond"/>
          <w:i/>
          <w:lang w:val="en-AU"/>
        </w:rPr>
        <w:t>A</w:t>
      </w:r>
      <w:r w:rsidRPr="00063D6D">
        <w:rPr>
          <w:rFonts w:ascii="Garamond" w:hAnsi="Garamond"/>
          <w:i/>
          <w:lang w:val="en-AU"/>
        </w:rPr>
        <w:t xml:space="preserve"> guide to support local approaches to promoting a healthy weight</w:t>
      </w:r>
    </w:p>
    <w:p w:rsidR="00BB00F9" w:rsidRDefault="00BB00F9" w:rsidP="00063D6D">
      <w:pPr>
        <w:keepNext/>
        <w:keepLines/>
        <w:autoSpaceDE w:val="0"/>
        <w:autoSpaceDN w:val="0"/>
        <w:adjustRightInd w:val="0"/>
        <w:rPr>
          <w:rFonts w:ascii="Garamond" w:hAnsi="Garamond"/>
          <w:lang w:val="en-AU"/>
        </w:rPr>
      </w:pPr>
      <w:r w:rsidRPr="00BB00F9">
        <w:rPr>
          <w:rFonts w:ascii="Garamond" w:hAnsi="Garamond"/>
          <w:lang w:val="en-AU"/>
        </w:rPr>
        <w:t>Public Health England</w:t>
      </w:r>
    </w:p>
    <w:p w:rsidR="00063D6D" w:rsidRDefault="00BB00F9" w:rsidP="00063D6D">
      <w:pPr>
        <w:keepNext/>
        <w:keepLines/>
        <w:autoSpaceDE w:val="0"/>
        <w:autoSpaceDN w:val="0"/>
        <w:adjustRightInd w:val="0"/>
        <w:rPr>
          <w:rFonts w:ascii="Garamond" w:hAnsi="Garamond"/>
          <w:lang w:val="en-AU"/>
        </w:rPr>
      </w:pPr>
      <w:r w:rsidRPr="00BB00F9">
        <w:rPr>
          <w:rFonts w:ascii="Garamond" w:hAnsi="Garamond"/>
          <w:lang w:val="en-AU"/>
        </w:rPr>
        <w:t>London: Public Health England; 2019. p. 104.</w:t>
      </w:r>
    </w:p>
    <w:tbl>
      <w:tblPr>
        <w:tblStyle w:val="TableGrid"/>
        <w:tblW w:w="0" w:type="auto"/>
        <w:tblInd w:w="288" w:type="dxa"/>
        <w:tblLayout w:type="fixed"/>
        <w:tblLook w:val="01E0" w:firstRow="1" w:lastRow="1" w:firstColumn="1" w:lastColumn="1" w:noHBand="0" w:noVBand="0"/>
      </w:tblPr>
      <w:tblGrid>
        <w:gridCol w:w="1080"/>
        <w:gridCol w:w="8280"/>
      </w:tblGrid>
      <w:tr w:rsidR="00063D6D"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Style w:val="Hyperlink"/>
                <w:rFonts w:ascii="Garamond" w:hAnsi="Garamond"/>
                <w:color w:val="auto"/>
                <w:u w:val="none"/>
                <w:lang w:val="en-AU"/>
              </w:rPr>
            </w:pPr>
            <w:hyperlink r:id="rId22" w:history="1">
              <w:r w:rsidRPr="00266800">
                <w:rPr>
                  <w:rStyle w:val="Hyperlink"/>
                  <w:rFonts w:ascii="Garamond" w:hAnsi="Garamond"/>
                  <w:lang w:val="en-AU"/>
                </w:rPr>
                <w:t>https://www.gov.uk/government/publications/whole-systems-approach-to-obesity</w:t>
              </w:r>
            </w:hyperlink>
          </w:p>
        </w:tc>
      </w:tr>
      <w:tr w:rsidR="00063D6D"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063D6D" w:rsidRPr="000170DA" w:rsidRDefault="00063D6D" w:rsidP="00C62D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63D6D" w:rsidRPr="00063D6D" w:rsidRDefault="00063D6D" w:rsidP="00063D6D">
            <w:pPr>
              <w:rPr>
                <w:rFonts w:ascii="Garamond" w:hAnsi="Garamond"/>
                <w:lang w:val="en-AU"/>
              </w:rPr>
            </w:pPr>
            <w:r>
              <w:rPr>
                <w:rFonts w:ascii="Garamond" w:hAnsi="Garamond"/>
                <w:lang w:val="en-AU"/>
              </w:rPr>
              <w:t xml:space="preserve">Public Health England has developed this </w:t>
            </w:r>
            <w:r w:rsidRPr="00586C24">
              <w:rPr>
                <w:rFonts w:ascii="Garamond" w:hAnsi="Garamond"/>
                <w:lang w:val="en-AU"/>
              </w:rPr>
              <w:t>guide and set of resources to support local authorities with implementing a whole systems approach to address obesity and promote a healthy weight.</w:t>
            </w:r>
            <w:r>
              <w:rPr>
                <w:rFonts w:ascii="Garamond" w:hAnsi="Garamond"/>
                <w:lang w:val="en-AU"/>
              </w:rPr>
              <w:t xml:space="preserve"> </w:t>
            </w:r>
            <w:r w:rsidRPr="00063D6D">
              <w:rPr>
                <w:rFonts w:ascii="Garamond" w:hAnsi="Garamond"/>
                <w:lang w:val="en-AU"/>
              </w:rPr>
              <w:t>It is intended for local authorities and partners, including the NHS, local businesses and the community and voluntary sector.</w:t>
            </w:r>
          </w:p>
          <w:p w:rsidR="00063D6D" w:rsidRPr="00063D6D" w:rsidRDefault="00063D6D" w:rsidP="00063D6D">
            <w:pPr>
              <w:rPr>
                <w:rFonts w:ascii="Garamond" w:hAnsi="Garamond"/>
                <w:lang w:val="en-AU"/>
              </w:rPr>
            </w:pPr>
            <w:r w:rsidRPr="00063D6D">
              <w:rPr>
                <w:rFonts w:ascii="Garamond" w:hAnsi="Garamond"/>
                <w:lang w:val="en-AU"/>
              </w:rPr>
              <w:t>The guide covers:</w:t>
            </w:r>
          </w:p>
          <w:p w:rsidR="00063D6D" w:rsidRPr="00063D6D" w:rsidRDefault="00063D6D" w:rsidP="00063D6D">
            <w:pPr>
              <w:pStyle w:val="ListParagraph"/>
              <w:numPr>
                <w:ilvl w:val="0"/>
                <w:numId w:val="37"/>
              </w:numPr>
              <w:rPr>
                <w:rFonts w:ascii="Garamond" w:hAnsi="Garamond"/>
                <w:lang w:val="en-AU"/>
              </w:rPr>
            </w:pPr>
            <w:r w:rsidRPr="00063D6D">
              <w:rPr>
                <w:rFonts w:ascii="Garamond" w:hAnsi="Garamond"/>
                <w:lang w:val="en-AU"/>
              </w:rPr>
              <w:t>the role of local authorities</w:t>
            </w:r>
          </w:p>
          <w:p w:rsidR="00063D6D" w:rsidRPr="00063D6D" w:rsidRDefault="00063D6D" w:rsidP="00063D6D">
            <w:pPr>
              <w:pStyle w:val="ListParagraph"/>
              <w:numPr>
                <w:ilvl w:val="0"/>
                <w:numId w:val="37"/>
              </w:numPr>
              <w:rPr>
                <w:rFonts w:ascii="Garamond" w:hAnsi="Garamond"/>
                <w:lang w:val="en-AU"/>
              </w:rPr>
            </w:pPr>
            <w:r w:rsidRPr="00063D6D">
              <w:rPr>
                <w:rFonts w:ascii="Garamond" w:hAnsi="Garamond"/>
                <w:lang w:val="en-AU"/>
              </w:rPr>
              <w:t>the benefits of taking a whole systems approach</w:t>
            </w:r>
          </w:p>
          <w:p w:rsidR="00063D6D" w:rsidRPr="00063D6D" w:rsidRDefault="00063D6D" w:rsidP="00063D6D">
            <w:pPr>
              <w:pStyle w:val="ListParagraph"/>
              <w:numPr>
                <w:ilvl w:val="0"/>
                <w:numId w:val="37"/>
              </w:numPr>
              <w:rPr>
                <w:rFonts w:ascii="Garamond" w:hAnsi="Garamond"/>
                <w:lang w:val="en-AU"/>
              </w:rPr>
            </w:pPr>
            <w:r w:rsidRPr="00063D6D">
              <w:rPr>
                <w:rFonts w:ascii="Garamond" w:hAnsi="Garamond"/>
                <w:lang w:val="en-AU"/>
              </w:rPr>
              <w:t>the 6-phase process - each phase provides practical support</w:t>
            </w:r>
          </w:p>
          <w:p w:rsidR="00063D6D" w:rsidRPr="005A00FB" w:rsidRDefault="00063D6D" w:rsidP="00063D6D">
            <w:pPr>
              <w:rPr>
                <w:rFonts w:ascii="Garamond" w:hAnsi="Garamond"/>
                <w:lang w:val="en-AU"/>
              </w:rPr>
            </w:pPr>
            <w:r w:rsidRPr="00063D6D">
              <w:rPr>
                <w:rFonts w:ascii="Garamond" w:hAnsi="Garamond"/>
                <w:lang w:val="en-AU"/>
              </w:rPr>
              <w:t>Each phase has accompanying resources. Included with the guide is a separate ‘learning report’, explaining the findings of the co-production and testing of the guide with local authorities.</w:t>
            </w:r>
          </w:p>
        </w:tc>
      </w:tr>
    </w:tbl>
    <w:p w:rsidR="008D386B" w:rsidRDefault="008D386B" w:rsidP="002069DE">
      <w:pPr>
        <w:keepNext/>
        <w:keepLines/>
        <w:autoSpaceDE w:val="0"/>
        <w:autoSpaceDN w:val="0"/>
        <w:adjustRightInd w:val="0"/>
        <w:rPr>
          <w:rFonts w:ascii="Garamond" w:hAnsi="Garamond"/>
          <w:i/>
          <w:lang w:val="en-AU"/>
        </w:rPr>
      </w:pPr>
    </w:p>
    <w:p w:rsidR="008D386B" w:rsidRDefault="008D386B" w:rsidP="008D386B">
      <w:pPr>
        <w:rPr>
          <w:lang w:val="en-AU"/>
        </w:rPr>
      </w:pPr>
      <w:r>
        <w:rPr>
          <w:lang w:val="en-AU"/>
        </w:rPr>
        <w:br w:type="page"/>
      </w:r>
    </w:p>
    <w:p w:rsidR="002069DE" w:rsidRPr="002069DE" w:rsidRDefault="002069DE" w:rsidP="002069DE">
      <w:pPr>
        <w:keepNext/>
        <w:keepLines/>
        <w:autoSpaceDE w:val="0"/>
        <w:autoSpaceDN w:val="0"/>
        <w:adjustRightInd w:val="0"/>
        <w:rPr>
          <w:rFonts w:ascii="Garamond" w:hAnsi="Garamond"/>
          <w:i/>
          <w:lang w:val="en-AU"/>
        </w:rPr>
      </w:pPr>
      <w:r w:rsidRPr="002069DE">
        <w:rPr>
          <w:rFonts w:ascii="Garamond" w:hAnsi="Garamond"/>
          <w:i/>
          <w:lang w:val="en-AU"/>
        </w:rPr>
        <w:t>Health, care and the 100-year life: How policymakers can ensure health and fairness for all in an era of extreme longevity</w:t>
      </w:r>
    </w:p>
    <w:p w:rsidR="002069DE" w:rsidRDefault="002069DE" w:rsidP="002069DE">
      <w:pPr>
        <w:keepNext/>
        <w:keepLines/>
        <w:autoSpaceDE w:val="0"/>
        <w:autoSpaceDN w:val="0"/>
        <w:adjustRightInd w:val="0"/>
        <w:rPr>
          <w:rFonts w:ascii="Garamond" w:hAnsi="Garamond"/>
          <w:lang w:val="en-AU"/>
        </w:rPr>
      </w:pPr>
      <w:r w:rsidRPr="002069DE">
        <w:rPr>
          <w:rFonts w:ascii="Garamond" w:hAnsi="Garamond"/>
          <w:lang w:val="en-AU"/>
        </w:rPr>
        <w:t>Petrie K, Kirkup J</w:t>
      </w:r>
    </w:p>
    <w:p w:rsidR="002069DE" w:rsidRDefault="002069DE" w:rsidP="002069DE">
      <w:pPr>
        <w:keepNext/>
        <w:keepLines/>
        <w:autoSpaceDE w:val="0"/>
        <w:autoSpaceDN w:val="0"/>
        <w:adjustRightInd w:val="0"/>
        <w:rPr>
          <w:rFonts w:ascii="Garamond" w:hAnsi="Garamond"/>
          <w:lang w:val="en-AU"/>
        </w:rPr>
      </w:pPr>
      <w:r w:rsidRPr="002069DE">
        <w:rPr>
          <w:rFonts w:ascii="Garamond" w:hAnsi="Garamond"/>
          <w:lang w:val="en-AU"/>
        </w:rPr>
        <w:t>London: Social Market Foundation; 2019. p. 24.</w:t>
      </w:r>
    </w:p>
    <w:tbl>
      <w:tblPr>
        <w:tblStyle w:val="TableGrid"/>
        <w:tblW w:w="9360" w:type="dxa"/>
        <w:tblInd w:w="288" w:type="dxa"/>
        <w:tblLayout w:type="fixed"/>
        <w:tblLook w:val="01E0" w:firstRow="1" w:lastRow="1" w:firstColumn="1" w:lastColumn="1" w:noHBand="0" w:noVBand="0"/>
      </w:tblPr>
      <w:tblGrid>
        <w:gridCol w:w="1080"/>
        <w:gridCol w:w="8280"/>
      </w:tblGrid>
      <w:tr w:rsidR="002069DE" w:rsidRPr="000170DA" w:rsidTr="000D0EF6">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069DE" w:rsidRPr="000170DA" w:rsidRDefault="00216708" w:rsidP="002069DE">
            <w:pPr>
              <w:rPr>
                <w:rStyle w:val="Hyperlink"/>
                <w:rFonts w:ascii="Garamond" w:hAnsi="Garamond"/>
                <w:color w:val="auto"/>
                <w:u w:val="none"/>
                <w:lang w:val="en-AU"/>
              </w:rPr>
            </w:pPr>
            <w:hyperlink r:id="rId23" w:history="1">
              <w:r w:rsidR="002069DE" w:rsidRPr="007509BC">
                <w:rPr>
                  <w:rStyle w:val="Hyperlink"/>
                  <w:rFonts w:ascii="Garamond" w:hAnsi="Garamond"/>
                  <w:lang w:val="en-AU"/>
                </w:rPr>
                <w:t>https://www.smf.co.uk/publications/health-care-100-year-life/</w:t>
              </w:r>
            </w:hyperlink>
          </w:p>
        </w:tc>
      </w:tr>
      <w:tr w:rsidR="002069DE" w:rsidRPr="000170DA" w:rsidTr="000D0EF6">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69DE" w:rsidRDefault="002069DE" w:rsidP="002069DE">
            <w:pPr>
              <w:rPr>
                <w:rFonts w:ascii="Garamond" w:hAnsi="Garamond"/>
                <w:lang w:val="en-AU"/>
              </w:rPr>
            </w:pPr>
            <w:r>
              <w:rPr>
                <w:rFonts w:ascii="Garamond" w:hAnsi="Garamond"/>
                <w:lang w:val="en-AU"/>
              </w:rPr>
              <w:t xml:space="preserve">The Social Market Foundation has produced this report on the challenges to </w:t>
            </w:r>
            <w:r w:rsidRPr="002069DE">
              <w:rPr>
                <w:rFonts w:ascii="Garamond" w:hAnsi="Garamond"/>
                <w:lang w:val="en-AU"/>
              </w:rPr>
              <w:t>health, care and medicine</w:t>
            </w:r>
            <w:r>
              <w:rPr>
                <w:rFonts w:ascii="Garamond" w:hAnsi="Garamond"/>
                <w:lang w:val="en-AU"/>
              </w:rPr>
              <w:t xml:space="preserve"> that a longer living population may pose. </w:t>
            </w:r>
            <w:r w:rsidRPr="002069DE">
              <w:rPr>
                <w:rFonts w:ascii="Garamond" w:hAnsi="Garamond"/>
                <w:lang w:val="en-AU"/>
              </w:rPr>
              <w:t xml:space="preserve">A child born </w:t>
            </w:r>
            <w:r>
              <w:rPr>
                <w:rFonts w:ascii="Garamond" w:hAnsi="Garamond"/>
                <w:lang w:val="en-AU"/>
              </w:rPr>
              <w:t xml:space="preserve">in the UK </w:t>
            </w:r>
            <w:r w:rsidRPr="002069DE">
              <w:rPr>
                <w:rFonts w:ascii="Garamond" w:hAnsi="Garamond"/>
                <w:lang w:val="en-AU"/>
              </w:rPr>
              <w:t>today has a one in three chance of living to 100. This is the first in a series of reports focusing on how the 100-year life may affect Britain’s society, economy and public services.</w:t>
            </w:r>
            <w:r w:rsidR="00063D6D">
              <w:rPr>
                <w:rFonts w:ascii="Garamond" w:hAnsi="Garamond"/>
                <w:lang w:val="en-AU"/>
              </w:rPr>
              <w:t xml:space="preserve"> The authors make five recommendations:</w:t>
            </w:r>
          </w:p>
          <w:p w:rsidR="00063D6D" w:rsidRPr="00063D6D" w:rsidRDefault="00063D6D" w:rsidP="00063D6D">
            <w:pPr>
              <w:pStyle w:val="ListParagraph"/>
              <w:numPr>
                <w:ilvl w:val="0"/>
                <w:numId w:val="36"/>
              </w:numPr>
              <w:rPr>
                <w:rFonts w:ascii="Garamond" w:hAnsi="Garamond"/>
                <w:lang w:val="en-AU"/>
              </w:rPr>
            </w:pPr>
            <w:r w:rsidRPr="00063D6D">
              <w:rPr>
                <w:rFonts w:ascii="Garamond" w:hAnsi="Garamond"/>
                <w:b/>
                <w:lang w:val="en-AU"/>
              </w:rPr>
              <w:t>Public education on longer lives</w:t>
            </w:r>
            <w:r w:rsidRPr="00063D6D">
              <w:rPr>
                <w:rFonts w:ascii="Garamond" w:hAnsi="Garamond"/>
                <w:lang w:val="en-AU"/>
              </w:rPr>
              <w:t>; public awareness on the reality of longer lives and ageing must occur if people are to prepare for later life.</w:t>
            </w:r>
          </w:p>
          <w:p w:rsidR="00063D6D" w:rsidRPr="00063D6D" w:rsidRDefault="00063D6D" w:rsidP="00063D6D">
            <w:pPr>
              <w:pStyle w:val="ListParagraph"/>
              <w:numPr>
                <w:ilvl w:val="0"/>
                <w:numId w:val="36"/>
              </w:numPr>
              <w:rPr>
                <w:rFonts w:ascii="Garamond" w:hAnsi="Garamond"/>
                <w:lang w:val="en-AU"/>
              </w:rPr>
            </w:pPr>
            <w:r w:rsidRPr="00063D6D">
              <w:rPr>
                <w:rFonts w:ascii="Garamond" w:hAnsi="Garamond"/>
                <w:b/>
                <w:lang w:val="en-AU"/>
              </w:rPr>
              <w:t>Incorporating “teachable moments” into the NHS</w:t>
            </w:r>
            <w:r w:rsidRPr="00063D6D">
              <w:rPr>
                <w:rFonts w:ascii="Garamond" w:hAnsi="Garamond"/>
                <w:lang w:val="en-AU"/>
              </w:rPr>
              <w:t>; people must be supported to make better decisions to improve their health. This is an essential component of the mission to reduce inequality in life expectancy across the UK.</w:t>
            </w:r>
          </w:p>
          <w:p w:rsidR="00063D6D" w:rsidRPr="00063D6D" w:rsidRDefault="00063D6D" w:rsidP="00063D6D">
            <w:pPr>
              <w:pStyle w:val="ListParagraph"/>
              <w:numPr>
                <w:ilvl w:val="0"/>
                <w:numId w:val="36"/>
              </w:numPr>
              <w:rPr>
                <w:rFonts w:ascii="Garamond" w:hAnsi="Garamond"/>
                <w:lang w:val="en-AU"/>
              </w:rPr>
            </w:pPr>
            <w:r w:rsidRPr="00063D6D">
              <w:rPr>
                <w:rFonts w:ascii="Garamond" w:hAnsi="Garamond"/>
                <w:b/>
                <w:lang w:val="en-AU"/>
              </w:rPr>
              <w:t>Changes to medicine procurement</w:t>
            </w:r>
            <w:r w:rsidRPr="00063D6D">
              <w:rPr>
                <w:rFonts w:ascii="Garamond" w:hAnsi="Garamond"/>
                <w:lang w:val="en-AU"/>
              </w:rPr>
              <w:t>; the NHS and NICE must look beyond the standard methods of procurement to ensure that innovative medicines are not restricted or only available to those not reliant on the state.</w:t>
            </w:r>
          </w:p>
          <w:p w:rsidR="00063D6D" w:rsidRPr="00063D6D" w:rsidRDefault="00063D6D" w:rsidP="00063D6D">
            <w:pPr>
              <w:pStyle w:val="ListParagraph"/>
              <w:numPr>
                <w:ilvl w:val="0"/>
                <w:numId w:val="36"/>
              </w:numPr>
              <w:rPr>
                <w:rFonts w:ascii="Garamond" w:hAnsi="Garamond"/>
                <w:lang w:val="en-AU"/>
              </w:rPr>
            </w:pPr>
            <w:r w:rsidRPr="00063D6D">
              <w:rPr>
                <w:rFonts w:ascii="Garamond" w:hAnsi="Garamond"/>
                <w:b/>
                <w:lang w:val="en-AU"/>
              </w:rPr>
              <w:t>Social prescribing of digital skills</w:t>
            </w:r>
            <w:r w:rsidRPr="00063D6D">
              <w:rPr>
                <w:rFonts w:ascii="Garamond" w:hAnsi="Garamond"/>
                <w:lang w:val="en-AU"/>
              </w:rPr>
              <w:t>; the government should expand the work of NHS Digital and the Good Things Foundation on social prescribing of digital skills. To ensure no member of society is left behind as health comes digitalised.</w:t>
            </w:r>
          </w:p>
          <w:p w:rsidR="005E7428" w:rsidRPr="00063D6D" w:rsidRDefault="00063D6D" w:rsidP="00063D6D">
            <w:pPr>
              <w:pStyle w:val="ListParagraph"/>
              <w:numPr>
                <w:ilvl w:val="0"/>
                <w:numId w:val="36"/>
              </w:numPr>
              <w:rPr>
                <w:rFonts w:ascii="Garamond" w:hAnsi="Garamond"/>
                <w:lang w:val="en-AU"/>
              </w:rPr>
            </w:pPr>
            <w:r w:rsidRPr="00063D6D">
              <w:rPr>
                <w:rFonts w:ascii="Garamond" w:hAnsi="Garamond"/>
                <w:b/>
                <w:lang w:val="en-AU"/>
              </w:rPr>
              <w:t>Improvements to rehabilitation</w:t>
            </w:r>
            <w:r w:rsidRPr="00063D6D">
              <w:rPr>
                <w:rFonts w:ascii="Garamond" w:hAnsi="Garamond"/>
                <w:lang w:val="en-AU"/>
              </w:rPr>
              <w:t>; the government should invest more into rehabilitation and reablement services for the elderly.</w:t>
            </w:r>
          </w:p>
        </w:tc>
      </w:tr>
    </w:tbl>
    <w:p w:rsidR="000D0EF6" w:rsidRDefault="000D0EF6" w:rsidP="002069DE">
      <w:pPr>
        <w:keepNext/>
        <w:ind w:left="720" w:hanging="720"/>
        <w:rPr>
          <w:rFonts w:ascii="Garamond" w:hAnsi="Garamond"/>
          <w:i/>
          <w:lang w:val="en-AU"/>
        </w:rPr>
      </w:pPr>
    </w:p>
    <w:p w:rsidR="003E0B18" w:rsidRPr="002069DE" w:rsidRDefault="003E0B18" w:rsidP="00C17C82">
      <w:pPr>
        <w:keepNext/>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C2106D" w:rsidRDefault="00C2106D" w:rsidP="00C2106D">
      <w:pPr>
        <w:keepNext/>
        <w:keepLines/>
        <w:autoSpaceDE w:val="0"/>
        <w:autoSpaceDN w:val="0"/>
        <w:adjustRightInd w:val="0"/>
        <w:rPr>
          <w:rFonts w:ascii="Garamond" w:hAnsi="Garamond"/>
          <w:lang w:val="en-AU"/>
        </w:rPr>
      </w:pPr>
    </w:p>
    <w:p w:rsidR="00317CA5" w:rsidRPr="003E0B18" w:rsidRDefault="003E0B18" w:rsidP="00317CA5">
      <w:pPr>
        <w:keepNext/>
        <w:keepLines/>
        <w:autoSpaceDE w:val="0"/>
        <w:autoSpaceDN w:val="0"/>
        <w:adjustRightInd w:val="0"/>
        <w:rPr>
          <w:rFonts w:ascii="Garamond" w:hAnsi="Garamond"/>
          <w:i/>
          <w:lang w:val="en-AU"/>
        </w:rPr>
      </w:pPr>
      <w:r w:rsidRPr="003E0B18">
        <w:rPr>
          <w:rFonts w:ascii="Garamond" w:hAnsi="Garamond"/>
          <w:i/>
          <w:lang w:val="en-AU"/>
        </w:rPr>
        <w:t>Association between complications and death within 30 days after noncardiac surgery</w:t>
      </w:r>
    </w:p>
    <w:p w:rsidR="003E0B18" w:rsidRDefault="003E0B18" w:rsidP="00317CA5">
      <w:pPr>
        <w:keepNext/>
        <w:keepLines/>
        <w:autoSpaceDE w:val="0"/>
        <w:autoSpaceDN w:val="0"/>
        <w:adjustRightInd w:val="0"/>
        <w:rPr>
          <w:rFonts w:ascii="Garamond" w:hAnsi="Garamond"/>
          <w:lang w:val="en-AU"/>
        </w:rPr>
      </w:pPr>
      <w:r w:rsidRPr="003E0B18">
        <w:rPr>
          <w:rFonts w:ascii="Garamond" w:hAnsi="Garamond"/>
          <w:lang w:val="en-AU"/>
        </w:rPr>
        <w:t>The Vascular Events in Noncardiac Surgery Patients Cohort Evaluation (VISION) Study Investigators</w:t>
      </w:r>
    </w:p>
    <w:p w:rsidR="003E0B18" w:rsidRDefault="003E0B18" w:rsidP="00317CA5">
      <w:pPr>
        <w:keepNext/>
        <w:keepLines/>
        <w:autoSpaceDE w:val="0"/>
        <w:autoSpaceDN w:val="0"/>
        <w:adjustRightInd w:val="0"/>
        <w:rPr>
          <w:rFonts w:ascii="Garamond" w:hAnsi="Garamond"/>
          <w:lang w:val="en-AU"/>
        </w:rPr>
      </w:pPr>
      <w:r w:rsidRPr="003E0B18">
        <w:rPr>
          <w:rFonts w:ascii="Garamond" w:hAnsi="Garamond"/>
          <w:lang w:val="en-AU"/>
        </w:rPr>
        <w:t>Canadian Medical Association Journal. 2019;191(30):E830.</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7CA5" w:rsidRPr="000170DA" w:rsidRDefault="00216708" w:rsidP="00430060">
            <w:pPr>
              <w:rPr>
                <w:rStyle w:val="Hyperlink"/>
                <w:rFonts w:ascii="Garamond" w:hAnsi="Garamond"/>
                <w:color w:val="auto"/>
                <w:u w:val="none"/>
                <w:lang w:val="en-AU"/>
              </w:rPr>
            </w:pPr>
            <w:hyperlink r:id="rId24" w:history="1">
              <w:r w:rsidR="003E0B18" w:rsidRPr="007509BC">
                <w:rPr>
                  <w:rStyle w:val="Hyperlink"/>
                  <w:rFonts w:ascii="Garamond" w:hAnsi="Garamond"/>
                  <w:lang w:val="en-AU"/>
                </w:rPr>
                <w:t>https://doi.org/10.1503/cmaj.190221</w:t>
              </w:r>
            </w:hyperlink>
          </w:p>
        </w:tc>
      </w:tr>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0B18" w:rsidRPr="005A00FB" w:rsidRDefault="00A32932" w:rsidP="00A32932">
            <w:pPr>
              <w:rPr>
                <w:rFonts w:ascii="Garamond" w:hAnsi="Garamond"/>
                <w:lang w:val="en-AU"/>
              </w:rPr>
            </w:pPr>
            <w:r>
              <w:rPr>
                <w:rFonts w:ascii="Garamond" w:hAnsi="Garamond"/>
                <w:lang w:val="en-AU"/>
              </w:rPr>
              <w:t xml:space="preserve">Paper reporting on a </w:t>
            </w:r>
            <w:r w:rsidRPr="00A32932">
              <w:rPr>
                <w:rFonts w:ascii="Garamond" w:hAnsi="Garamond"/>
                <w:lang w:val="en-AU"/>
              </w:rPr>
              <w:t xml:space="preserve"> prospective cohort study of patients aged 45 years and older who underwent inpatient non</w:t>
            </w:r>
            <w:r>
              <w:rPr>
                <w:rFonts w:ascii="Garamond" w:hAnsi="Garamond"/>
                <w:lang w:val="en-AU"/>
              </w:rPr>
              <w:t>-</w:t>
            </w:r>
            <w:r w:rsidRPr="00A32932">
              <w:rPr>
                <w:rFonts w:ascii="Garamond" w:hAnsi="Garamond"/>
                <w:lang w:val="en-AU"/>
              </w:rPr>
              <w:t>cardiac surgery at 28 centres in 14 countries</w:t>
            </w:r>
            <w:r>
              <w:rPr>
                <w:rFonts w:ascii="Garamond" w:hAnsi="Garamond"/>
                <w:lang w:val="en-AU"/>
              </w:rPr>
              <w:t xml:space="preserve"> that sought to </w:t>
            </w:r>
            <w:r w:rsidRPr="00A32932">
              <w:rPr>
                <w:rFonts w:ascii="Garamond" w:hAnsi="Garamond"/>
                <w:lang w:val="en-AU"/>
              </w:rPr>
              <w:t>h the frequency and timing of death and its association with perioperative complications.</w:t>
            </w:r>
            <w:r>
              <w:rPr>
                <w:rFonts w:ascii="Garamond" w:hAnsi="Garamond"/>
                <w:lang w:val="en-AU"/>
              </w:rPr>
              <w:t xml:space="preserve"> Covering 40,004 patients the study identified that </w:t>
            </w:r>
            <w:r w:rsidRPr="00A32932">
              <w:rPr>
                <w:rFonts w:ascii="Garamond" w:hAnsi="Garamond"/>
                <w:lang w:val="en-AU"/>
              </w:rPr>
              <w:t>715 patients (1.8%) died within 30 days of surgery. Five deaths (0.7%) occurred in the operating room, 500 deaths (69.9%) occurred after surgery during the index admission to hospital and 210 deaths (29.4%) occurred after discharge from the hospital.</w:t>
            </w:r>
            <w:r>
              <w:rPr>
                <w:rFonts w:ascii="Garamond" w:hAnsi="Garamond"/>
                <w:lang w:val="en-AU"/>
              </w:rPr>
              <w:t xml:space="preserve"> </w:t>
            </w:r>
            <w:r w:rsidR="00493840">
              <w:rPr>
                <w:rFonts w:ascii="Garamond" w:hAnsi="Garamond"/>
                <w:lang w:val="en-AU"/>
              </w:rPr>
              <w:t>The authors</w:t>
            </w:r>
            <w:r w:rsidR="003E0B18">
              <w:rPr>
                <w:rFonts w:ascii="Garamond" w:hAnsi="Garamond"/>
                <w:lang w:val="en-AU"/>
              </w:rPr>
              <w:t xml:space="preserve"> concluded that ‘</w:t>
            </w:r>
            <w:r w:rsidR="003E0B18" w:rsidRPr="003E0B18">
              <w:rPr>
                <w:rFonts w:ascii="Garamond" w:hAnsi="Garamond"/>
                <w:lang w:val="en-AU"/>
              </w:rPr>
              <w:t xml:space="preserve">Among adults undergoing noncardiac surgery, 99.3% of deaths occurred after the procedure and </w:t>
            </w:r>
            <w:r w:rsidR="003E0B18" w:rsidRPr="003E0B18">
              <w:rPr>
                <w:rFonts w:ascii="Garamond" w:hAnsi="Garamond"/>
                <w:b/>
                <w:lang w:val="en-AU"/>
              </w:rPr>
              <w:t>44.9% of deaths</w:t>
            </w:r>
            <w:r w:rsidR="003E0B18" w:rsidRPr="003E0B18">
              <w:rPr>
                <w:rFonts w:ascii="Garamond" w:hAnsi="Garamond"/>
                <w:lang w:val="en-AU"/>
              </w:rPr>
              <w:t xml:space="preserve"> were </w:t>
            </w:r>
            <w:r w:rsidR="003E0B18" w:rsidRPr="003E0B18">
              <w:rPr>
                <w:rFonts w:ascii="Garamond" w:hAnsi="Garamond"/>
                <w:b/>
                <w:lang w:val="en-AU"/>
              </w:rPr>
              <w:t>associated</w:t>
            </w:r>
            <w:r w:rsidR="003E0B18" w:rsidRPr="003E0B18">
              <w:rPr>
                <w:rFonts w:ascii="Garamond" w:hAnsi="Garamond"/>
                <w:lang w:val="en-AU"/>
              </w:rPr>
              <w:t xml:space="preserve"> with </w:t>
            </w:r>
            <w:r w:rsidR="003E0B18" w:rsidRPr="003E0B18">
              <w:rPr>
                <w:rFonts w:ascii="Garamond" w:hAnsi="Garamond"/>
                <w:b/>
                <w:lang w:val="en-AU"/>
              </w:rPr>
              <w:t>3 complications</w:t>
            </w:r>
            <w:r w:rsidR="003E0B18" w:rsidRPr="003E0B18">
              <w:rPr>
                <w:rFonts w:ascii="Garamond" w:hAnsi="Garamond"/>
                <w:lang w:val="en-AU"/>
              </w:rPr>
              <w:t xml:space="preserve">: </w:t>
            </w:r>
            <w:r w:rsidR="003E0B18" w:rsidRPr="003E0B18">
              <w:rPr>
                <w:rFonts w:ascii="Garamond" w:hAnsi="Garamond"/>
                <w:b/>
                <w:lang w:val="en-AU"/>
              </w:rPr>
              <w:t>major bleeding</w:t>
            </w:r>
            <w:r w:rsidR="003E0B18" w:rsidRPr="003E0B18">
              <w:rPr>
                <w:rFonts w:ascii="Garamond" w:hAnsi="Garamond"/>
                <w:lang w:val="en-AU"/>
              </w:rPr>
              <w:t xml:space="preserve">, MINS </w:t>
            </w:r>
            <w:r w:rsidR="003E0B18">
              <w:rPr>
                <w:rFonts w:ascii="Garamond" w:hAnsi="Garamond"/>
                <w:lang w:val="en-AU"/>
              </w:rPr>
              <w:t>[</w:t>
            </w:r>
            <w:r w:rsidR="003E0B18" w:rsidRPr="003E0B18">
              <w:rPr>
                <w:rFonts w:ascii="Garamond" w:hAnsi="Garamond"/>
                <w:b/>
                <w:lang w:val="en-AU"/>
              </w:rPr>
              <w:t>myocardial injury</w:t>
            </w:r>
            <w:r w:rsidR="003E0B18" w:rsidRPr="003E0B18">
              <w:rPr>
                <w:rFonts w:ascii="Garamond" w:hAnsi="Garamond"/>
                <w:lang w:val="en-AU"/>
              </w:rPr>
              <w:t xml:space="preserve"> after noncardiac surgery</w:t>
            </w:r>
            <w:r w:rsidR="003E0B18">
              <w:rPr>
                <w:rFonts w:ascii="Garamond" w:hAnsi="Garamond"/>
                <w:lang w:val="en-AU"/>
              </w:rPr>
              <w:t xml:space="preserve">] </w:t>
            </w:r>
            <w:r w:rsidR="003E0B18" w:rsidRPr="003E0B18">
              <w:rPr>
                <w:rFonts w:ascii="Garamond" w:hAnsi="Garamond"/>
                <w:lang w:val="en-AU"/>
              </w:rPr>
              <w:t xml:space="preserve">and </w:t>
            </w:r>
            <w:r w:rsidR="003E0B18" w:rsidRPr="003E0B18">
              <w:rPr>
                <w:rFonts w:ascii="Garamond" w:hAnsi="Garamond"/>
                <w:b/>
                <w:lang w:val="en-AU"/>
              </w:rPr>
              <w:t>sepsis</w:t>
            </w:r>
            <w:r w:rsidR="003E0B18" w:rsidRPr="003E0B18">
              <w:rPr>
                <w:rFonts w:ascii="Garamond" w:hAnsi="Garamond"/>
                <w:lang w:val="en-AU"/>
              </w:rPr>
              <w:t xml:space="preserve">. Given these findings, focusing on the prevention, early identification and management of these 3 complications holds promise for reducing perioperative mortality. </w:t>
            </w:r>
            <w:r w:rsidR="003E0B18">
              <w:rPr>
                <w:rFonts w:ascii="Garamond" w:hAnsi="Garamond"/>
                <w:lang w:val="en-AU"/>
              </w:rPr>
              <w:t>'</w:t>
            </w:r>
          </w:p>
        </w:tc>
      </w:tr>
    </w:tbl>
    <w:p w:rsidR="00317CA5" w:rsidRDefault="00317CA5" w:rsidP="00317CA5">
      <w:pPr>
        <w:keepNext/>
        <w:keepLines/>
        <w:autoSpaceDE w:val="0"/>
        <w:autoSpaceDN w:val="0"/>
        <w:adjustRightInd w:val="0"/>
        <w:rPr>
          <w:rFonts w:ascii="Garamond" w:hAnsi="Garamond"/>
          <w:lang w:val="en-AU"/>
        </w:rPr>
      </w:pPr>
    </w:p>
    <w:p w:rsidR="00A32932" w:rsidRDefault="00A32932">
      <w:pPr>
        <w:rPr>
          <w:rFonts w:ascii="Garamond" w:hAnsi="Garamond"/>
          <w:i/>
          <w:lang w:val="en-AU"/>
        </w:rPr>
      </w:pPr>
      <w:r>
        <w:rPr>
          <w:rFonts w:ascii="Garamond" w:hAnsi="Garamond"/>
          <w:i/>
          <w:lang w:val="en-AU"/>
        </w:rPr>
        <w:br w:type="page"/>
      </w:r>
    </w:p>
    <w:p w:rsidR="00A32932" w:rsidRPr="00692D71" w:rsidRDefault="00A32932" w:rsidP="00A32932">
      <w:pPr>
        <w:keepNext/>
        <w:keepLines/>
        <w:autoSpaceDE w:val="0"/>
        <w:autoSpaceDN w:val="0"/>
        <w:adjustRightInd w:val="0"/>
        <w:rPr>
          <w:rFonts w:ascii="Garamond" w:hAnsi="Garamond"/>
          <w:i/>
          <w:lang w:val="en-AU"/>
        </w:rPr>
      </w:pPr>
      <w:r w:rsidRPr="00692D71">
        <w:rPr>
          <w:rFonts w:ascii="Garamond" w:hAnsi="Garamond"/>
          <w:i/>
          <w:lang w:val="en-AU"/>
        </w:rPr>
        <w:t>Pharmacists’ role in Antimicrobial Stewardship and relationship with antibiotic consumption in hospitals: an observational multicentre study</w:t>
      </w:r>
    </w:p>
    <w:p w:rsidR="00A32932" w:rsidRDefault="00A32932" w:rsidP="00A32932">
      <w:pPr>
        <w:keepNext/>
        <w:keepLines/>
        <w:autoSpaceDE w:val="0"/>
        <w:autoSpaceDN w:val="0"/>
        <w:adjustRightInd w:val="0"/>
        <w:rPr>
          <w:rFonts w:ascii="Garamond" w:hAnsi="Garamond"/>
          <w:lang w:val="en-AU"/>
        </w:rPr>
      </w:pPr>
      <w:r w:rsidRPr="00692D71">
        <w:rPr>
          <w:rFonts w:ascii="Garamond" w:hAnsi="Garamond"/>
          <w:lang w:val="en-AU"/>
        </w:rPr>
        <w:t>Ourghanlian C, Lapidus N, Antignac M, Fernandez C, Dumartin C, Hindlet P</w:t>
      </w:r>
    </w:p>
    <w:p w:rsidR="00A32932" w:rsidRDefault="00A32932" w:rsidP="00A32932">
      <w:pPr>
        <w:keepNext/>
        <w:keepLines/>
        <w:autoSpaceDE w:val="0"/>
        <w:autoSpaceDN w:val="0"/>
        <w:adjustRightInd w:val="0"/>
        <w:rPr>
          <w:rFonts w:ascii="Garamond" w:hAnsi="Garamond"/>
          <w:lang w:val="en-AU"/>
        </w:rPr>
      </w:pPr>
      <w:r w:rsidRPr="00692D71">
        <w:rPr>
          <w:rFonts w:ascii="Garamond" w:hAnsi="Garamond"/>
          <w:lang w:val="en-AU"/>
        </w:rPr>
        <w:t>Journal of Global Antimicrobial Resistance. 2019</w:t>
      </w:r>
      <w:r>
        <w:rPr>
          <w:rFonts w:ascii="Garamond" w:hAnsi="Garamond"/>
          <w:lang w:val="en-AU"/>
        </w:rPr>
        <w:t xml:space="preserve"> [epub]</w:t>
      </w:r>
      <w:r w:rsidRPr="00692D7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32932"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A32932" w:rsidRPr="000170DA" w:rsidRDefault="00A32932" w:rsidP="00C62DE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32932" w:rsidRPr="000170DA" w:rsidRDefault="00A32932" w:rsidP="00C62DEE">
            <w:pPr>
              <w:rPr>
                <w:rStyle w:val="Hyperlink"/>
                <w:rFonts w:ascii="Garamond" w:hAnsi="Garamond"/>
                <w:color w:val="auto"/>
                <w:u w:val="none"/>
                <w:lang w:val="en-AU"/>
              </w:rPr>
            </w:pPr>
            <w:hyperlink r:id="rId25" w:history="1">
              <w:r w:rsidRPr="00266800">
                <w:rPr>
                  <w:rStyle w:val="Hyperlink"/>
                  <w:rFonts w:ascii="Garamond" w:hAnsi="Garamond"/>
                  <w:lang w:val="en-AU"/>
                </w:rPr>
                <w:t>https://doi.org/10.1016/j.jgar.2019.07.009</w:t>
              </w:r>
            </w:hyperlink>
          </w:p>
        </w:tc>
      </w:tr>
      <w:tr w:rsidR="00A32932"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A32932" w:rsidRPr="000170DA" w:rsidRDefault="00A32932" w:rsidP="00C62D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2932" w:rsidRPr="005A00FB" w:rsidRDefault="00A32932" w:rsidP="00C62DEE">
            <w:pPr>
              <w:rPr>
                <w:rFonts w:ascii="Garamond" w:hAnsi="Garamond"/>
                <w:lang w:val="en-AU"/>
              </w:rPr>
            </w:pPr>
            <w:r>
              <w:rPr>
                <w:rFonts w:ascii="Garamond" w:hAnsi="Garamond"/>
                <w:lang w:val="en-AU"/>
              </w:rPr>
              <w:t>Interventions aimed at safer and better uses of medicines would seem to go better when pharmacists are involved. As with the literature on medication reconciliation, this addition to the literature on antimicrobial stewardship argues that ‘</w:t>
            </w:r>
            <w:r w:rsidRPr="00692D71">
              <w:rPr>
                <w:rFonts w:ascii="Garamond" w:hAnsi="Garamond"/>
                <w:b/>
                <w:lang w:val="en-AU"/>
              </w:rPr>
              <w:t>Antibiotic consumption</w:t>
            </w:r>
            <w:r w:rsidRPr="00692D71">
              <w:rPr>
                <w:rFonts w:ascii="Garamond" w:hAnsi="Garamond"/>
                <w:lang w:val="en-AU"/>
              </w:rPr>
              <w:t xml:space="preserve"> was </w:t>
            </w:r>
            <w:r w:rsidRPr="00692D71">
              <w:rPr>
                <w:rFonts w:ascii="Garamond" w:hAnsi="Garamond"/>
                <w:b/>
                <w:lang w:val="en-AU"/>
              </w:rPr>
              <w:t>lower</w:t>
            </w:r>
            <w:r w:rsidRPr="00692D71">
              <w:rPr>
                <w:rFonts w:ascii="Garamond" w:hAnsi="Garamond"/>
                <w:lang w:val="en-AU"/>
              </w:rPr>
              <w:t xml:space="preserve"> when the </w:t>
            </w:r>
            <w:r w:rsidRPr="00692D71">
              <w:rPr>
                <w:rFonts w:ascii="Garamond" w:hAnsi="Garamond"/>
                <w:b/>
                <w:lang w:val="en-AU"/>
              </w:rPr>
              <w:t>antibiotic advisor was a pharmacist</w:t>
            </w:r>
            <w:r w:rsidRPr="00692D71">
              <w:rPr>
                <w:rFonts w:ascii="Garamond" w:hAnsi="Garamond"/>
                <w:lang w:val="en-AU"/>
              </w:rPr>
              <w:t xml:space="preserve"> and when the </w:t>
            </w:r>
            <w:r w:rsidRPr="00692D71">
              <w:rPr>
                <w:rFonts w:ascii="Garamond" w:hAnsi="Garamond"/>
                <w:b/>
                <w:lang w:val="en-AU"/>
              </w:rPr>
              <w:t>pharmaceutical team reviewed all prescriptions</w:t>
            </w:r>
            <w:r w:rsidRPr="00692D71">
              <w:rPr>
                <w:rFonts w:ascii="Garamond" w:hAnsi="Garamond"/>
                <w:lang w:val="en-AU"/>
              </w:rPr>
              <w:t>.</w:t>
            </w:r>
            <w:r>
              <w:rPr>
                <w:rFonts w:ascii="Garamond" w:hAnsi="Garamond"/>
                <w:lang w:val="en-AU"/>
              </w:rPr>
              <w:t xml:space="preserve">’ This </w:t>
            </w:r>
            <w:r w:rsidRPr="00692D71">
              <w:rPr>
                <w:rFonts w:ascii="Garamond" w:hAnsi="Garamond"/>
                <w:lang w:val="en-AU"/>
              </w:rPr>
              <w:t>a retrospective observational multicentre study</w:t>
            </w:r>
            <w:r>
              <w:rPr>
                <w:rFonts w:ascii="Garamond" w:hAnsi="Garamond"/>
                <w:lang w:val="en-AU"/>
              </w:rPr>
              <w:t xml:space="preserve"> used data for 2016 from 77 French hospitals accounting for more than 7 million bed days in 24,000 beds.</w:t>
            </w:r>
          </w:p>
        </w:tc>
      </w:tr>
    </w:tbl>
    <w:p w:rsidR="00A32932" w:rsidRDefault="00A32932" w:rsidP="00A32932">
      <w:pPr>
        <w:keepNext/>
        <w:keepLines/>
        <w:autoSpaceDE w:val="0"/>
        <w:autoSpaceDN w:val="0"/>
        <w:adjustRightInd w:val="0"/>
        <w:rPr>
          <w:rFonts w:ascii="Garamond" w:hAnsi="Garamond"/>
          <w:lang w:val="en-AU"/>
        </w:rPr>
      </w:pPr>
    </w:p>
    <w:p w:rsidR="00A32932" w:rsidRDefault="00A32932" w:rsidP="00A32932">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antimicrobial stewardship</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6" w:history="1">
        <w:r w:rsidRPr="00D91045">
          <w:rPr>
            <w:rStyle w:val="Hyperlink"/>
            <w:rFonts w:ascii="Garamond" w:hAnsi="Garamond"/>
            <w:lang w:val="en-AU"/>
          </w:rPr>
          <w:t>https://www.safetyandquality.gov.au/our-work/antimicrobial-stewardship</w:t>
        </w:r>
      </w:hyperlink>
      <w:r>
        <w:rPr>
          <w:rFonts w:ascii="Garamond" w:hAnsi="Garamond"/>
          <w:lang w:val="en-AU"/>
        </w:rPr>
        <w:t xml:space="preserve"> </w:t>
      </w:r>
    </w:p>
    <w:p w:rsidR="00A32932" w:rsidRDefault="00A32932" w:rsidP="00A32932">
      <w:pPr>
        <w:keepNext/>
        <w:keepLines/>
        <w:autoSpaceDE w:val="0"/>
        <w:autoSpaceDN w:val="0"/>
        <w:adjustRightInd w:val="0"/>
        <w:rPr>
          <w:rFonts w:ascii="Garamond" w:hAnsi="Garamond"/>
          <w:lang w:val="en-AU"/>
        </w:rPr>
      </w:pPr>
    </w:p>
    <w:p w:rsidR="00317CA5" w:rsidRPr="00493840" w:rsidRDefault="00493840" w:rsidP="00317CA5">
      <w:pPr>
        <w:keepNext/>
        <w:keepLines/>
        <w:autoSpaceDE w:val="0"/>
        <w:autoSpaceDN w:val="0"/>
        <w:adjustRightInd w:val="0"/>
        <w:rPr>
          <w:rFonts w:ascii="Garamond" w:hAnsi="Garamond"/>
          <w:i/>
          <w:lang w:val="en-AU"/>
        </w:rPr>
      </w:pPr>
      <w:r w:rsidRPr="00493840">
        <w:rPr>
          <w:rFonts w:ascii="Garamond" w:hAnsi="Garamond"/>
          <w:i/>
          <w:lang w:val="en-AU"/>
        </w:rPr>
        <w:t>Burnout in healthcare: the case for organisational change</w:t>
      </w:r>
    </w:p>
    <w:p w:rsidR="00E057E2" w:rsidRDefault="00E057E2" w:rsidP="00317CA5">
      <w:pPr>
        <w:keepNext/>
        <w:keepLines/>
        <w:autoSpaceDE w:val="0"/>
        <w:autoSpaceDN w:val="0"/>
        <w:adjustRightInd w:val="0"/>
        <w:rPr>
          <w:rFonts w:ascii="Garamond" w:hAnsi="Garamond"/>
          <w:lang w:val="en-AU"/>
        </w:rPr>
      </w:pPr>
      <w:r w:rsidRPr="00E057E2">
        <w:rPr>
          <w:rFonts w:ascii="Garamond" w:hAnsi="Garamond"/>
          <w:lang w:val="en-AU"/>
        </w:rPr>
        <w:t>Montgomery A, Panagopoulou E, Esmail A, Richards T, Maslach C</w:t>
      </w:r>
    </w:p>
    <w:p w:rsidR="00493840" w:rsidRDefault="00E057E2" w:rsidP="00317CA5">
      <w:pPr>
        <w:keepNext/>
        <w:keepLines/>
        <w:autoSpaceDE w:val="0"/>
        <w:autoSpaceDN w:val="0"/>
        <w:adjustRightInd w:val="0"/>
        <w:rPr>
          <w:rFonts w:ascii="Garamond" w:hAnsi="Garamond"/>
          <w:lang w:val="en-AU"/>
        </w:rPr>
      </w:pPr>
      <w:r w:rsidRPr="00E057E2">
        <w:rPr>
          <w:rFonts w:ascii="Garamond" w:hAnsi="Garamond"/>
          <w:lang w:val="en-AU"/>
        </w:rPr>
        <w:t>BMJ. 2019;366:l4774.</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17CA5" w:rsidRPr="000170DA" w:rsidRDefault="00493840" w:rsidP="00430060">
            <w:pPr>
              <w:rPr>
                <w:rStyle w:val="Hyperlink"/>
                <w:rFonts w:ascii="Garamond" w:hAnsi="Garamond"/>
                <w:color w:val="auto"/>
                <w:u w:val="none"/>
                <w:lang w:val="en-AU"/>
              </w:rPr>
            </w:pPr>
            <w:hyperlink r:id="rId27" w:history="1">
              <w:r w:rsidRPr="00D91045">
                <w:rPr>
                  <w:rStyle w:val="Hyperlink"/>
                  <w:rFonts w:ascii="Garamond" w:hAnsi="Garamond"/>
                  <w:lang w:val="en-AU"/>
                </w:rPr>
                <w:t>https://doi.org/10.1136/bmj.l4774</w:t>
              </w:r>
            </w:hyperlink>
          </w:p>
        </w:tc>
      </w:tr>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7CA5" w:rsidRDefault="00A32932" w:rsidP="009940B7">
            <w:pPr>
              <w:rPr>
                <w:rFonts w:ascii="Garamond" w:hAnsi="Garamond"/>
                <w:lang w:val="en-AU"/>
              </w:rPr>
            </w:pPr>
            <w:r>
              <w:rPr>
                <w:rFonts w:ascii="Garamond" w:hAnsi="Garamond"/>
                <w:lang w:val="en-AU"/>
              </w:rPr>
              <w:t xml:space="preserve">Burnout has, rightly, been attracting much attention in healthcare (and in many other fields). While building resilience may contribute to improving how individuals and systems cope there is some concern that an over-emphasis on this may be focusing on (if not blaming) on the individual. This piece in the </w:t>
            </w:r>
            <w:r w:rsidRPr="00A32932">
              <w:rPr>
                <w:rFonts w:ascii="Garamond" w:hAnsi="Garamond"/>
                <w:i/>
                <w:lang w:val="en-AU"/>
              </w:rPr>
              <w:t>BMJ</w:t>
            </w:r>
            <w:r>
              <w:rPr>
                <w:rFonts w:ascii="Garamond" w:hAnsi="Garamond"/>
                <w:lang w:val="en-AU"/>
              </w:rPr>
              <w:t xml:space="preserve">, </w:t>
            </w:r>
            <w:r w:rsidR="00E057E2">
              <w:rPr>
                <w:rFonts w:ascii="Garamond" w:hAnsi="Garamond"/>
                <w:lang w:val="en-AU"/>
              </w:rPr>
              <w:t>observes that ‘</w:t>
            </w:r>
            <w:r w:rsidR="00E057E2" w:rsidRPr="00E057E2">
              <w:rPr>
                <w:rFonts w:ascii="Garamond" w:hAnsi="Garamond"/>
                <w:lang w:val="en-AU"/>
              </w:rPr>
              <w:t>Burnout is an occupational phenomenon and we need to look beyond the individual to find effective solution</w:t>
            </w:r>
            <w:r w:rsidR="00E057E2">
              <w:rPr>
                <w:rFonts w:ascii="Garamond" w:hAnsi="Garamond"/>
                <w:lang w:val="en-AU"/>
              </w:rPr>
              <w:t>s’.</w:t>
            </w:r>
            <w:r w:rsidR="009940B7">
              <w:rPr>
                <w:rFonts w:ascii="Garamond" w:hAnsi="Garamond"/>
                <w:lang w:val="en-AU"/>
              </w:rPr>
              <w:t xml:space="preserve"> Burnout is an important issue in healthcare beyond its impact on healthcare workers as it can have significant safety and quality implications. The authors argue that</w:t>
            </w:r>
          </w:p>
          <w:p w:rsidR="009940B7" w:rsidRDefault="009940B7" w:rsidP="009940B7">
            <w:pPr>
              <w:pStyle w:val="ListParagraph"/>
              <w:numPr>
                <w:ilvl w:val="0"/>
                <w:numId w:val="38"/>
              </w:numPr>
              <w:rPr>
                <w:rFonts w:ascii="Garamond" w:hAnsi="Garamond"/>
                <w:lang w:val="en-AU"/>
              </w:rPr>
            </w:pPr>
            <w:r w:rsidRPr="009940B7">
              <w:rPr>
                <w:rFonts w:ascii="Garamond" w:hAnsi="Garamond"/>
                <w:lang w:val="en-AU"/>
              </w:rPr>
              <w:t>Healthcare organisations should assess burnout at departmental level</w:t>
            </w:r>
          </w:p>
          <w:p w:rsidR="009940B7" w:rsidRPr="009940B7" w:rsidRDefault="009940B7" w:rsidP="009940B7">
            <w:pPr>
              <w:pStyle w:val="ListParagraph"/>
              <w:numPr>
                <w:ilvl w:val="0"/>
                <w:numId w:val="38"/>
              </w:numPr>
              <w:rPr>
                <w:rFonts w:ascii="Garamond" w:hAnsi="Garamond"/>
                <w:lang w:val="en-AU"/>
              </w:rPr>
            </w:pPr>
            <w:r>
              <w:rPr>
                <w:rFonts w:ascii="Garamond" w:hAnsi="Garamond"/>
                <w:lang w:val="en-AU"/>
              </w:rPr>
              <w:t xml:space="preserve">Burnout should be </w:t>
            </w:r>
            <w:r w:rsidRPr="009940B7">
              <w:rPr>
                <w:rFonts w:ascii="Garamond" w:hAnsi="Garamond"/>
                <w:lang w:val="en-AU"/>
              </w:rPr>
              <w:t>a metric of safety of care</w:t>
            </w:r>
          </w:p>
          <w:p w:rsidR="009940B7" w:rsidRPr="009940B7" w:rsidRDefault="009940B7" w:rsidP="009940B7">
            <w:pPr>
              <w:pStyle w:val="ListParagraph"/>
              <w:numPr>
                <w:ilvl w:val="0"/>
                <w:numId w:val="38"/>
              </w:numPr>
              <w:rPr>
                <w:rFonts w:ascii="Garamond" w:hAnsi="Garamond"/>
                <w:lang w:val="en-AU"/>
              </w:rPr>
            </w:pPr>
            <w:r w:rsidRPr="009940B7">
              <w:rPr>
                <w:rFonts w:ascii="Garamond" w:hAnsi="Garamond"/>
                <w:lang w:val="en-AU"/>
              </w:rPr>
              <w:t>More focus is needed on developing healthy workplaces</w:t>
            </w:r>
          </w:p>
          <w:p w:rsidR="009940B7" w:rsidRPr="009940B7" w:rsidRDefault="009940B7" w:rsidP="009940B7">
            <w:pPr>
              <w:pStyle w:val="ListParagraph"/>
              <w:numPr>
                <w:ilvl w:val="0"/>
                <w:numId w:val="38"/>
              </w:numPr>
              <w:rPr>
                <w:rFonts w:ascii="Garamond" w:hAnsi="Garamond"/>
                <w:lang w:val="en-AU"/>
              </w:rPr>
            </w:pPr>
            <w:r w:rsidRPr="009940B7">
              <w:rPr>
                <w:rFonts w:ascii="Garamond" w:hAnsi="Garamond"/>
                <w:lang w:val="en-AU"/>
              </w:rPr>
              <w:t>Staff and patients must be included in developing actions to reduce and prevent burnout</w:t>
            </w:r>
            <w:r>
              <w:rPr>
                <w:rFonts w:ascii="Garamond" w:hAnsi="Garamond"/>
                <w:lang w:val="en-AU"/>
              </w:rPr>
              <w:t>.</w:t>
            </w:r>
          </w:p>
        </w:tc>
      </w:tr>
    </w:tbl>
    <w:p w:rsidR="00317CA5" w:rsidRDefault="00317CA5" w:rsidP="00317CA5">
      <w:pPr>
        <w:keepNext/>
        <w:keepLines/>
        <w:autoSpaceDE w:val="0"/>
        <w:autoSpaceDN w:val="0"/>
        <w:adjustRightInd w:val="0"/>
        <w:rPr>
          <w:rFonts w:ascii="Garamond" w:hAnsi="Garamond"/>
          <w:lang w:val="en-AU"/>
        </w:rPr>
      </w:pPr>
    </w:p>
    <w:p w:rsidR="005A00FB" w:rsidRDefault="00586C24" w:rsidP="005A00FB">
      <w:pPr>
        <w:keepNext/>
        <w:rPr>
          <w:rFonts w:ascii="Garamond" w:hAnsi="Garamond"/>
          <w:i/>
          <w:lang w:val="en-AU"/>
        </w:rPr>
      </w:pPr>
      <w:r w:rsidRPr="00586C24">
        <w:rPr>
          <w:rFonts w:ascii="Garamond" w:hAnsi="Garamond"/>
          <w:i/>
          <w:lang w:val="en-AU"/>
        </w:rPr>
        <w:t>Public Health Research &amp; Practice</w:t>
      </w:r>
    </w:p>
    <w:p w:rsidR="005A00FB" w:rsidRPr="0093529C" w:rsidRDefault="00D119E0" w:rsidP="005A00FB">
      <w:pPr>
        <w:keepNext/>
        <w:rPr>
          <w:rFonts w:ascii="Garamond" w:hAnsi="Garamond"/>
          <w:lang w:val="en-AU"/>
        </w:rPr>
      </w:pPr>
      <w:r w:rsidRPr="00D119E0">
        <w:rPr>
          <w:rFonts w:ascii="Garamond" w:hAnsi="Garamond"/>
          <w:lang w:val="en-AU"/>
        </w:rPr>
        <w:t>July 2019, Volume 29, Issue 2</w:t>
      </w:r>
    </w:p>
    <w:tbl>
      <w:tblPr>
        <w:tblStyle w:val="TableGrid"/>
        <w:tblW w:w="9360" w:type="dxa"/>
        <w:tblInd w:w="288" w:type="dxa"/>
        <w:tblLayout w:type="fixed"/>
        <w:tblLook w:val="01E0" w:firstRow="1" w:lastRow="1" w:firstColumn="1" w:lastColumn="1" w:noHBand="0" w:noVBand="0"/>
      </w:tblPr>
      <w:tblGrid>
        <w:gridCol w:w="1080"/>
        <w:gridCol w:w="8280"/>
      </w:tblGrid>
      <w:tr w:rsidR="005A00FB"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0170DA" w:rsidRDefault="005A00FB" w:rsidP="001022E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00FB" w:rsidRPr="000170DA" w:rsidRDefault="00D119E0" w:rsidP="00D119E0">
            <w:pPr>
              <w:rPr>
                <w:rStyle w:val="Hyperlink"/>
                <w:rFonts w:ascii="Garamond" w:hAnsi="Garamond"/>
                <w:color w:val="auto"/>
                <w:u w:val="none"/>
                <w:lang w:val="en-AU"/>
              </w:rPr>
            </w:pPr>
            <w:hyperlink r:id="rId28" w:history="1">
              <w:r w:rsidRPr="00D91045">
                <w:rPr>
                  <w:rStyle w:val="Hyperlink"/>
                  <w:rFonts w:ascii="Garamond" w:hAnsi="Garamond"/>
                  <w:lang w:val="en-AU"/>
                </w:rPr>
                <w:t>http://www.phrp.com.au/issues/july-2019-volume-29-issue-2/</w:t>
              </w:r>
            </w:hyperlink>
          </w:p>
        </w:tc>
      </w:tr>
      <w:tr w:rsidR="005A00FB" w:rsidRPr="000170DA"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0170DA" w:rsidRDefault="005A00FB" w:rsidP="001022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00FB" w:rsidRPr="007C3778" w:rsidRDefault="005A00FB" w:rsidP="00B90D97">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586C24" w:rsidRPr="00586C24">
              <w:rPr>
                <w:rFonts w:ascii="Garamond" w:hAnsi="Garamond"/>
                <w:i/>
                <w:lang w:val="en-AU"/>
              </w:rPr>
              <w:t>Public Health Research &amp; Practice</w:t>
            </w:r>
            <w:r w:rsidR="00586C24">
              <w:rPr>
                <w:rFonts w:ascii="Garamond" w:hAnsi="Garamond"/>
                <w:lang w:val="en-AU"/>
              </w:rPr>
              <w:t xml:space="preserve"> </w:t>
            </w:r>
            <w:r w:rsidRPr="00B440ED">
              <w:rPr>
                <w:rFonts w:ascii="Garamond" w:hAnsi="Garamond"/>
                <w:lang w:val="en-AU"/>
              </w:rPr>
              <w:t>has been published</w:t>
            </w:r>
            <w:r w:rsidR="00586C24">
              <w:rPr>
                <w:rFonts w:ascii="Garamond" w:hAnsi="Garamond"/>
                <w:lang w:val="en-AU"/>
              </w:rPr>
              <w:t xml:space="preserve"> </w:t>
            </w:r>
            <w:r w:rsidR="00586C24" w:rsidRPr="00586C24">
              <w:rPr>
                <w:rFonts w:ascii="Garamond" w:hAnsi="Garamond"/>
                <w:lang w:val="en-AU"/>
              </w:rPr>
              <w:t xml:space="preserve">with a special focus on </w:t>
            </w:r>
            <w:r w:rsidR="00586C24" w:rsidRPr="00586C24">
              <w:rPr>
                <w:rFonts w:ascii="Garamond" w:hAnsi="Garamond"/>
                <w:b/>
                <w:lang w:val="en-AU"/>
              </w:rPr>
              <w:t>cancer screening in</w:t>
            </w:r>
            <w:r w:rsidR="00586C24">
              <w:rPr>
                <w:rFonts w:ascii="Garamond" w:hAnsi="Garamond"/>
                <w:b/>
                <w:lang w:val="en-AU"/>
              </w:rPr>
              <w:t xml:space="preserve"> Austra</w:t>
            </w:r>
            <w:r w:rsidR="00586C24" w:rsidRPr="00586C24">
              <w:rPr>
                <w:rFonts w:ascii="Garamond" w:hAnsi="Garamond"/>
                <w:b/>
                <w:lang w:val="en-AU"/>
              </w:rPr>
              <w:t>l</w:t>
            </w:r>
            <w:r w:rsidR="00586C24">
              <w:rPr>
                <w:rFonts w:ascii="Garamond" w:hAnsi="Garamond"/>
                <w:b/>
                <w:lang w:val="en-AU"/>
              </w:rPr>
              <w:t>i</w:t>
            </w:r>
            <w:r w:rsidR="00586C24" w:rsidRPr="00586C24">
              <w:rPr>
                <w:rFonts w:ascii="Garamond" w:hAnsi="Garamond"/>
                <w:b/>
                <w:lang w:val="en-AU"/>
              </w:rPr>
              <w:t>a</w:t>
            </w:r>
            <w:r w:rsidRPr="00B440ED">
              <w:rPr>
                <w:rFonts w:ascii="Garamond" w:hAnsi="Garamond"/>
                <w:lang w:val="en-AU"/>
              </w:rPr>
              <w:t>.</w:t>
            </w:r>
            <w:r w:rsidR="00B90D97">
              <w:rPr>
                <w:rFonts w:ascii="Garamond" w:hAnsi="Garamond"/>
                <w:lang w:val="en-AU"/>
              </w:rPr>
              <w:t xml:space="preserve"> </w:t>
            </w:r>
            <w:r w:rsidRPr="00B440ED">
              <w:rPr>
                <w:rFonts w:ascii="Garamond" w:hAnsi="Garamond"/>
                <w:lang w:val="en-AU"/>
              </w:rPr>
              <w:t xml:space="preserve">Articles in this issue of </w:t>
            </w:r>
            <w:r w:rsidR="00586C24" w:rsidRPr="00586C24">
              <w:rPr>
                <w:rFonts w:ascii="Garamond" w:hAnsi="Garamond"/>
                <w:i/>
                <w:lang w:val="en-AU"/>
              </w:rPr>
              <w:t>Public Health Research &amp; Practice</w:t>
            </w:r>
            <w:r w:rsidR="00586C24">
              <w:rPr>
                <w:rFonts w:ascii="Garamond" w:hAnsi="Garamond"/>
                <w:lang w:val="en-AU"/>
              </w:rPr>
              <w:t xml:space="preserve"> </w:t>
            </w:r>
            <w:r w:rsidRPr="00B440ED">
              <w:rPr>
                <w:rFonts w:ascii="Garamond" w:hAnsi="Garamond"/>
                <w:lang w:val="en-AU"/>
              </w:rPr>
              <w:t>include:</w:t>
            </w:r>
          </w:p>
          <w:p w:rsidR="00D119E0" w:rsidRPr="00D119E0" w:rsidRDefault="005A00FB" w:rsidP="00E70ED2">
            <w:pPr>
              <w:pStyle w:val="ListParagraph"/>
              <w:numPr>
                <w:ilvl w:val="0"/>
                <w:numId w:val="15"/>
              </w:numPr>
              <w:rPr>
                <w:rFonts w:ascii="Garamond" w:hAnsi="Garamond"/>
                <w:lang w:val="en-AU"/>
              </w:rPr>
            </w:pPr>
            <w:r w:rsidRPr="00D119E0">
              <w:rPr>
                <w:rFonts w:ascii="Garamond" w:hAnsi="Garamond"/>
                <w:lang w:val="en-AU"/>
              </w:rPr>
              <w:t>Editorial:</w:t>
            </w:r>
            <w:r w:rsidR="00B90D97" w:rsidRPr="00D119E0">
              <w:rPr>
                <w:rFonts w:ascii="Garamond" w:hAnsi="Garamond"/>
                <w:lang w:val="en-AU"/>
              </w:rPr>
              <w:t xml:space="preserve"> </w:t>
            </w:r>
            <w:r w:rsidR="00D119E0" w:rsidRPr="00D119E0">
              <w:rPr>
                <w:rFonts w:ascii="Garamond" w:hAnsi="Garamond"/>
                <w:b/>
                <w:lang w:val="en-AU"/>
              </w:rPr>
              <w:t>Cancer screening in Australia</w:t>
            </w:r>
            <w:r w:rsidR="00D119E0" w:rsidRPr="00D119E0">
              <w:rPr>
                <w:rFonts w:ascii="Garamond" w:hAnsi="Garamond"/>
                <w:lang w:val="en-AU"/>
              </w:rPr>
              <w:t>: successes, challenges and future directions</w:t>
            </w:r>
            <w:r w:rsidR="00D119E0" w:rsidRPr="00D119E0">
              <w:rPr>
                <w:rFonts w:ascii="Garamond" w:hAnsi="Garamond"/>
                <w:lang w:val="en-AU"/>
              </w:rPr>
              <w:t xml:space="preserve"> (</w:t>
            </w:r>
            <w:r w:rsidR="00D119E0" w:rsidRPr="00D119E0">
              <w:rPr>
                <w:rFonts w:ascii="Garamond" w:hAnsi="Garamond"/>
                <w:lang w:val="en-AU"/>
              </w:rPr>
              <w:t>Sanchia Aranda, David C Currow</w:t>
            </w:r>
            <w:r w:rsidR="00D119E0">
              <w:rPr>
                <w:rFonts w:ascii="Garamond" w:hAnsi="Garamond"/>
                <w:lang w:val="en-AU"/>
              </w:rPr>
              <w:t>)</w:t>
            </w:r>
          </w:p>
          <w:p w:rsidR="00D119E0" w:rsidRPr="00D119E0" w:rsidRDefault="00D119E0" w:rsidP="00935022">
            <w:pPr>
              <w:pStyle w:val="ListParagraph"/>
              <w:numPr>
                <w:ilvl w:val="0"/>
                <w:numId w:val="15"/>
              </w:numPr>
              <w:rPr>
                <w:rFonts w:ascii="Garamond" w:hAnsi="Garamond"/>
                <w:lang w:val="en-AU"/>
              </w:rPr>
            </w:pPr>
            <w:r w:rsidRPr="00D119E0">
              <w:rPr>
                <w:rFonts w:ascii="Garamond" w:hAnsi="Garamond"/>
                <w:b/>
                <w:lang w:val="en-AU"/>
              </w:rPr>
              <w:t>Cancer screening in Australia</w:t>
            </w:r>
            <w:r w:rsidRPr="00D119E0">
              <w:rPr>
                <w:rFonts w:ascii="Garamond" w:hAnsi="Garamond"/>
                <w:lang w:val="en-AU"/>
              </w:rPr>
              <w:t xml:space="preserve">: future directions in </w:t>
            </w:r>
            <w:r w:rsidRPr="00D119E0">
              <w:rPr>
                <w:rFonts w:ascii="Garamond" w:hAnsi="Garamond"/>
                <w:b/>
                <w:lang w:val="en-AU"/>
              </w:rPr>
              <w:t>melanoma</w:t>
            </w:r>
            <w:r w:rsidRPr="00D119E0">
              <w:rPr>
                <w:rFonts w:ascii="Garamond" w:hAnsi="Garamond"/>
                <w:lang w:val="en-AU"/>
              </w:rPr>
              <w:t xml:space="preserve">, </w:t>
            </w:r>
            <w:r w:rsidRPr="00D119E0">
              <w:rPr>
                <w:rFonts w:ascii="Garamond" w:hAnsi="Garamond"/>
                <w:b/>
                <w:lang w:val="en-AU"/>
              </w:rPr>
              <w:t>Lynch syndrome</w:t>
            </w:r>
            <w:r w:rsidRPr="00D119E0">
              <w:rPr>
                <w:rFonts w:ascii="Garamond" w:hAnsi="Garamond"/>
                <w:lang w:val="en-AU"/>
              </w:rPr>
              <w:t xml:space="preserve">, and </w:t>
            </w:r>
            <w:r w:rsidRPr="00D119E0">
              <w:rPr>
                <w:rFonts w:ascii="Garamond" w:hAnsi="Garamond"/>
                <w:b/>
                <w:lang w:val="en-AU"/>
              </w:rPr>
              <w:t>liver, lung and prostate cancers</w:t>
            </w:r>
            <w:r w:rsidRPr="00D119E0">
              <w:rPr>
                <w:rFonts w:ascii="Garamond" w:hAnsi="Garamond"/>
                <w:lang w:val="en-AU"/>
              </w:rPr>
              <w:t xml:space="preserve"> (</w:t>
            </w:r>
            <w:r w:rsidRPr="00D119E0">
              <w:rPr>
                <w:rFonts w:ascii="Garamond" w:hAnsi="Garamond"/>
                <w:lang w:val="en-AU"/>
              </w:rPr>
              <w:t>Marianne F Weber, Henry M Marshall, Nicole Rankin, Stephen Duffy, Kwun M Fong, Kate Dunlop, Lauren Humphreys, Amelia K Smit, Anne E Cust, Natalie Taylor, Gillian Mitchell, Yoon-Jung Kang, Kathy Tucker, Mark Jenkins, Finlay Macrae, Ian Lockart, Mark Danta, Bruce K Armstrong, Megan Howe</w:t>
            </w:r>
            <w:r>
              <w:rPr>
                <w:rFonts w:ascii="Garamond" w:hAnsi="Garamond"/>
                <w:lang w:val="en-AU"/>
              </w:rPr>
              <w:t>)</w:t>
            </w:r>
          </w:p>
          <w:p w:rsidR="00D119E0" w:rsidRPr="00D119E0" w:rsidRDefault="00D119E0" w:rsidP="00821891">
            <w:pPr>
              <w:pStyle w:val="ListParagraph"/>
              <w:numPr>
                <w:ilvl w:val="0"/>
                <w:numId w:val="15"/>
              </w:numPr>
              <w:rPr>
                <w:rFonts w:ascii="Garamond" w:hAnsi="Garamond"/>
                <w:lang w:val="en-AU"/>
              </w:rPr>
            </w:pPr>
            <w:r w:rsidRPr="00D119E0">
              <w:rPr>
                <w:rFonts w:ascii="Garamond" w:hAnsi="Garamond"/>
                <w:lang w:val="en-AU"/>
              </w:rPr>
              <w:t xml:space="preserve">Improving </w:t>
            </w:r>
            <w:r w:rsidRPr="00D119E0">
              <w:rPr>
                <w:rFonts w:ascii="Garamond" w:hAnsi="Garamond"/>
                <w:b/>
                <w:lang w:val="en-AU"/>
              </w:rPr>
              <w:t>breast cancer screening in Australia</w:t>
            </w:r>
            <w:r w:rsidRPr="00D119E0">
              <w:rPr>
                <w:rFonts w:ascii="Garamond" w:hAnsi="Garamond"/>
                <w:lang w:val="en-AU"/>
              </w:rPr>
              <w:t>: a public health perspective</w:t>
            </w:r>
            <w:r w:rsidRPr="00D119E0">
              <w:rPr>
                <w:rFonts w:ascii="Garamond" w:hAnsi="Garamond"/>
                <w:lang w:val="en-AU"/>
              </w:rPr>
              <w:t xml:space="preserve"> (</w:t>
            </w:r>
            <w:r w:rsidRPr="00D119E0">
              <w:rPr>
                <w:rFonts w:ascii="Garamond" w:hAnsi="Garamond"/>
                <w:lang w:val="en-AU"/>
              </w:rPr>
              <w:t>Carolyn Nickson, Louiza S Velentzis, Patrick Brennan, G Bruce Mann, Nehmat Houssami</w:t>
            </w:r>
            <w:r>
              <w:rPr>
                <w:rFonts w:ascii="Garamond" w:hAnsi="Garamond"/>
                <w:lang w:val="en-AU"/>
              </w:rPr>
              <w:t>)</w:t>
            </w:r>
          </w:p>
          <w:p w:rsidR="00D119E0" w:rsidRPr="00D119E0" w:rsidRDefault="00D119E0" w:rsidP="00657B2B">
            <w:pPr>
              <w:pStyle w:val="ListParagraph"/>
              <w:numPr>
                <w:ilvl w:val="0"/>
                <w:numId w:val="15"/>
              </w:numPr>
              <w:rPr>
                <w:rFonts w:ascii="Garamond" w:hAnsi="Garamond"/>
                <w:lang w:val="en-AU"/>
              </w:rPr>
            </w:pPr>
            <w:r w:rsidRPr="00D119E0">
              <w:rPr>
                <w:rFonts w:ascii="Garamond" w:hAnsi="Garamond"/>
                <w:lang w:val="en-AU"/>
              </w:rPr>
              <w:t xml:space="preserve">The role of modelling in the policy </w:t>
            </w:r>
            <w:r w:rsidRPr="00D119E0">
              <w:rPr>
                <w:rFonts w:ascii="Garamond" w:hAnsi="Garamond"/>
                <w:b/>
                <w:lang w:val="en-AU"/>
              </w:rPr>
              <w:t>decision making process for cancer screening</w:t>
            </w:r>
            <w:r w:rsidRPr="00D119E0">
              <w:rPr>
                <w:rFonts w:ascii="Garamond" w:hAnsi="Garamond"/>
                <w:lang w:val="en-AU"/>
              </w:rPr>
              <w:t>: example of prostate specific antigen screening</w:t>
            </w:r>
            <w:r w:rsidRPr="00D119E0">
              <w:rPr>
                <w:rFonts w:ascii="Garamond" w:hAnsi="Garamond"/>
                <w:lang w:val="en-AU"/>
              </w:rPr>
              <w:t xml:space="preserve"> (</w:t>
            </w:r>
            <w:r w:rsidRPr="00D119E0">
              <w:rPr>
                <w:rFonts w:ascii="Garamond" w:hAnsi="Garamond"/>
                <w:lang w:val="en-AU"/>
              </w:rPr>
              <w:t>Abraham M Getaneh, Eveline AM Heijnsdijk, Harry J de Koning</w:t>
            </w:r>
            <w:r>
              <w:rPr>
                <w:rFonts w:ascii="Garamond" w:hAnsi="Garamond"/>
                <w:lang w:val="en-AU"/>
              </w:rPr>
              <w:t>)</w:t>
            </w:r>
          </w:p>
          <w:p w:rsidR="00D119E0" w:rsidRPr="00D119E0" w:rsidRDefault="00D119E0" w:rsidP="007B1CE4">
            <w:pPr>
              <w:pStyle w:val="ListParagraph"/>
              <w:numPr>
                <w:ilvl w:val="0"/>
                <w:numId w:val="15"/>
              </w:numPr>
              <w:rPr>
                <w:rFonts w:ascii="Garamond" w:hAnsi="Garamond"/>
                <w:lang w:val="en-AU"/>
              </w:rPr>
            </w:pPr>
            <w:r w:rsidRPr="00D119E0">
              <w:rPr>
                <w:rFonts w:ascii="Garamond" w:hAnsi="Garamond"/>
                <w:b/>
                <w:lang w:val="en-AU"/>
              </w:rPr>
              <w:t>Benefits, harms and cost-effectiveness of cancer screening</w:t>
            </w:r>
            <w:r w:rsidRPr="00D119E0">
              <w:rPr>
                <w:rFonts w:ascii="Garamond" w:hAnsi="Garamond"/>
                <w:lang w:val="en-AU"/>
              </w:rPr>
              <w:t xml:space="preserve"> in Australia: an overview of modelling estimates</w:t>
            </w:r>
            <w:r w:rsidRPr="00D119E0">
              <w:rPr>
                <w:rFonts w:ascii="Garamond" w:hAnsi="Garamond"/>
                <w:lang w:val="en-AU"/>
              </w:rPr>
              <w:t xml:space="preserve"> (</w:t>
            </w:r>
            <w:r w:rsidRPr="00D119E0">
              <w:rPr>
                <w:rFonts w:ascii="Garamond" w:hAnsi="Garamond"/>
                <w:lang w:val="en-AU"/>
              </w:rPr>
              <w:t>Jie-Bin Lew, Eleonora Feletto, Stephen Wade, Michael Caruana, Yoon-Jung Kang, Carolyn Nickson, Kate T Simms, Pietro Procopio, Natalie Taylor, Joachim Worthington, D Smith, K Canfell</w:t>
            </w:r>
            <w:r>
              <w:rPr>
                <w:rFonts w:ascii="Garamond" w:hAnsi="Garamond"/>
                <w:lang w:val="en-AU"/>
              </w:rPr>
              <w:t>)</w:t>
            </w:r>
          </w:p>
          <w:p w:rsidR="00D119E0" w:rsidRPr="00D119E0" w:rsidRDefault="00D119E0" w:rsidP="00601721">
            <w:pPr>
              <w:pStyle w:val="ListParagraph"/>
              <w:numPr>
                <w:ilvl w:val="0"/>
                <w:numId w:val="15"/>
              </w:numPr>
              <w:rPr>
                <w:rFonts w:ascii="Garamond" w:hAnsi="Garamond"/>
                <w:lang w:val="en-AU"/>
              </w:rPr>
            </w:pPr>
            <w:r w:rsidRPr="00D119E0">
              <w:rPr>
                <w:rFonts w:ascii="Garamond" w:hAnsi="Garamond"/>
                <w:lang w:val="en-AU"/>
              </w:rPr>
              <w:t xml:space="preserve">Overview of </w:t>
            </w:r>
            <w:r w:rsidRPr="00D119E0">
              <w:rPr>
                <w:rFonts w:ascii="Garamond" w:hAnsi="Garamond"/>
                <w:b/>
                <w:lang w:val="en-AU"/>
              </w:rPr>
              <w:t>paediatric tuberculosis</w:t>
            </w:r>
            <w:r w:rsidRPr="00D119E0">
              <w:rPr>
                <w:rFonts w:ascii="Garamond" w:hAnsi="Garamond"/>
                <w:lang w:val="en-AU"/>
              </w:rPr>
              <w:t xml:space="preserve"> cases treated in the Sydney Children’s Hospitals Network, Australia</w:t>
            </w:r>
            <w:r w:rsidRPr="00D119E0">
              <w:rPr>
                <w:rFonts w:ascii="Garamond" w:hAnsi="Garamond"/>
                <w:lang w:val="en-AU"/>
              </w:rPr>
              <w:t xml:space="preserve"> (</w:t>
            </w:r>
            <w:r w:rsidRPr="00D119E0">
              <w:rPr>
                <w:rFonts w:ascii="Garamond" w:hAnsi="Garamond"/>
                <w:lang w:val="en-AU"/>
              </w:rPr>
              <w:t>Laila S Al Yazidi, Ben J Marais, Meredith Wickens, Pamela Palasanthiran, David Isaacs, Alexander Outhred, Brendan McMullan, Philip N Britton</w:t>
            </w:r>
            <w:r>
              <w:rPr>
                <w:rFonts w:ascii="Garamond" w:hAnsi="Garamond"/>
                <w:lang w:val="en-AU"/>
              </w:rPr>
              <w:t>)</w:t>
            </w:r>
          </w:p>
          <w:p w:rsidR="00D119E0" w:rsidRPr="00D119E0" w:rsidRDefault="00D119E0" w:rsidP="00280D45">
            <w:pPr>
              <w:pStyle w:val="ListParagraph"/>
              <w:numPr>
                <w:ilvl w:val="0"/>
                <w:numId w:val="15"/>
              </w:numPr>
              <w:rPr>
                <w:rFonts w:ascii="Garamond" w:hAnsi="Garamond"/>
                <w:lang w:val="en-AU"/>
              </w:rPr>
            </w:pPr>
            <w:r w:rsidRPr="00D119E0">
              <w:rPr>
                <w:rFonts w:ascii="Garamond" w:hAnsi="Garamond"/>
                <w:lang w:val="en-AU"/>
              </w:rPr>
              <w:t xml:space="preserve">Lessons from the renewal of the </w:t>
            </w:r>
            <w:r w:rsidRPr="00D119E0">
              <w:rPr>
                <w:rFonts w:ascii="Garamond" w:hAnsi="Garamond"/>
                <w:b/>
                <w:lang w:val="en-AU"/>
              </w:rPr>
              <w:t>National Cervical Screening Program</w:t>
            </w:r>
            <w:r w:rsidRPr="00D119E0">
              <w:rPr>
                <w:rFonts w:ascii="Garamond" w:hAnsi="Garamond"/>
                <w:lang w:val="en-AU"/>
              </w:rPr>
              <w:t xml:space="preserve"> in Australia</w:t>
            </w:r>
            <w:r w:rsidRPr="00D119E0">
              <w:rPr>
                <w:rFonts w:ascii="Garamond" w:hAnsi="Garamond"/>
                <w:lang w:val="en-AU"/>
              </w:rPr>
              <w:t xml:space="preserve"> (</w:t>
            </w:r>
            <w:r w:rsidRPr="00D119E0">
              <w:rPr>
                <w:rFonts w:ascii="Garamond" w:hAnsi="Garamond"/>
                <w:lang w:val="en-AU"/>
              </w:rPr>
              <w:t>Megan Smith, Ian Hammond, Marion Saville</w:t>
            </w:r>
            <w:r>
              <w:rPr>
                <w:rFonts w:ascii="Garamond" w:hAnsi="Garamond"/>
                <w:lang w:val="en-AU"/>
              </w:rPr>
              <w:t>)</w:t>
            </w:r>
          </w:p>
          <w:p w:rsidR="00D119E0" w:rsidRPr="00D119E0" w:rsidRDefault="00D119E0" w:rsidP="007A45B0">
            <w:pPr>
              <w:pStyle w:val="ListParagraph"/>
              <w:numPr>
                <w:ilvl w:val="0"/>
                <w:numId w:val="15"/>
              </w:numPr>
              <w:rPr>
                <w:rFonts w:ascii="Garamond" w:hAnsi="Garamond"/>
                <w:lang w:val="en-AU"/>
              </w:rPr>
            </w:pPr>
            <w:r w:rsidRPr="00D119E0">
              <w:rPr>
                <w:rFonts w:ascii="Garamond" w:hAnsi="Garamond"/>
                <w:lang w:val="en-AU"/>
              </w:rPr>
              <w:t xml:space="preserve">The </w:t>
            </w:r>
            <w:r w:rsidRPr="00D119E0">
              <w:rPr>
                <w:rFonts w:ascii="Garamond" w:hAnsi="Garamond"/>
                <w:b/>
                <w:lang w:val="en-AU"/>
              </w:rPr>
              <w:t>National Bowel Cancer Screening Program</w:t>
            </w:r>
            <w:r w:rsidRPr="00D119E0">
              <w:rPr>
                <w:rFonts w:ascii="Garamond" w:hAnsi="Garamond"/>
                <w:lang w:val="en-AU"/>
              </w:rPr>
              <w:t>: time to achieve its potential to save lives</w:t>
            </w:r>
            <w:r w:rsidRPr="00D119E0">
              <w:rPr>
                <w:rFonts w:ascii="Garamond" w:hAnsi="Garamond"/>
                <w:lang w:val="en-AU"/>
              </w:rPr>
              <w:t xml:space="preserve"> (</w:t>
            </w:r>
            <w:r w:rsidRPr="00D119E0">
              <w:rPr>
                <w:rFonts w:ascii="Garamond" w:hAnsi="Garamond"/>
                <w:lang w:val="en-AU"/>
              </w:rPr>
              <w:t>Hooi C Ee, James St John</w:t>
            </w:r>
            <w:r>
              <w:rPr>
                <w:rFonts w:ascii="Garamond" w:hAnsi="Garamond"/>
                <w:lang w:val="en-AU"/>
              </w:rPr>
              <w:t>)</w:t>
            </w:r>
          </w:p>
          <w:p w:rsidR="00D119E0" w:rsidRPr="00D119E0" w:rsidRDefault="00D119E0" w:rsidP="00B82477">
            <w:pPr>
              <w:pStyle w:val="ListParagraph"/>
              <w:numPr>
                <w:ilvl w:val="0"/>
                <w:numId w:val="15"/>
              </w:numPr>
              <w:rPr>
                <w:rFonts w:ascii="Garamond" w:hAnsi="Garamond"/>
                <w:lang w:val="en-AU"/>
              </w:rPr>
            </w:pPr>
            <w:r w:rsidRPr="00D119E0">
              <w:rPr>
                <w:rFonts w:ascii="Garamond" w:hAnsi="Garamond"/>
                <w:lang w:val="en-AU"/>
              </w:rPr>
              <w:t xml:space="preserve">Increasing </w:t>
            </w:r>
            <w:r w:rsidRPr="00D119E0">
              <w:rPr>
                <w:rFonts w:ascii="Garamond" w:hAnsi="Garamond"/>
                <w:b/>
                <w:lang w:val="en-AU"/>
              </w:rPr>
              <w:t>bowel cancer screening participation</w:t>
            </w:r>
            <w:r w:rsidRPr="00D119E0">
              <w:rPr>
                <w:rFonts w:ascii="Garamond" w:hAnsi="Garamond"/>
                <w:lang w:val="en-AU"/>
              </w:rPr>
              <w:t>: integrating population-wide, primary care and more targeted approaches</w:t>
            </w:r>
            <w:r w:rsidRPr="00D119E0">
              <w:rPr>
                <w:rFonts w:ascii="Garamond" w:hAnsi="Garamond"/>
                <w:lang w:val="en-AU"/>
              </w:rPr>
              <w:t xml:space="preserve"> (</w:t>
            </w:r>
            <w:r w:rsidRPr="00D119E0">
              <w:rPr>
                <w:rFonts w:ascii="Garamond" w:hAnsi="Garamond"/>
                <w:lang w:val="en-AU"/>
              </w:rPr>
              <w:t>Kerryann L Lotfi-Jam, Clare L O'Reilly, Charissa S Feng, Melanie A Wakefield, Sarah Durkin, K H Broun</w:t>
            </w:r>
            <w:r>
              <w:rPr>
                <w:rFonts w:ascii="Garamond" w:hAnsi="Garamond"/>
                <w:lang w:val="en-AU"/>
              </w:rPr>
              <w:t>)</w:t>
            </w:r>
          </w:p>
          <w:p w:rsidR="005A00FB" w:rsidRPr="007C3778" w:rsidRDefault="00D119E0" w:rsidP="00D119E0">
            <w:pPr>
              <w:pStyle w:val="ListParagraph"/>
              <w:numPr>
                <w:ilvl w:val="0"/>
                <w:numId w:val="15"/>
              </w:numPr>
              <w:rPr>
                <w:rFonts w:ascii="Garamond" w:hAnsi="Garamond"/>
                <w:lang w:val="en-AU"/>
              </w:rPr>
            </w:pPr>
            <w:r w:rsidRPr="00D119E0">
              <w:rPr>
                <w:rFonts w:ascii="Garamond" w:hAnsi="Garamond"/>
                <w:lang w:val="en-AU"/>
              </w:rPr>
              <w:t xml:space="preserve">Using Facebook to recruit for a </w:t>
            </w:r>
            <w:r w:rsidRPr="00D119E0">
              <w:rPr>
                <w:rFonts w:ascii="Garamond" w:hAnsi="Garamond"/>
                <w:b/>
                <w:lang w:val="en-AU"/>
              </w:rPr>
              <w:t>public health campaign evaluation</w:t>
            </w:r>
            <w:r>
              <w:rPr>
                <w:rFonts w:ascii="Garamond" w:hAnsi="Garamond"/>
                <w:lang w:val="en-AU"/>
              </w:rPr>
              <w:t xml:space="preserve"> (</w:t>
            </w:r>
            <w:r w:rsidRPr="00D119E0">
              <w:rPr>
                <w:rFonts w:ascii="Garamond" w:hAnsi="Garamond"/>
                <w:lang w:val="en-AU"/>
              </w:rPr>
              <w:t>James Kite, Michael Collins, Becky Freeman</w:t>
            </w:r>
            <w:r>
              <w:rPr>
                <w:rFonts w:ascii="Garamond" w:hAnsi="Garamond"/>
                <w:lang w:val="en-AU"/>
              </w:rPr>
              <w:t>)</w:t>
            </w:r>
          </w:p>
        </w:tc>
      </w:tr>
    </w:tbl>
    <w:p w:rsidR="005A00FB" w:rsidRDefault="005A00FB" w:rsidP="005A00FB">
      <w:pPr>
        <w:keepNext/>
        <w:rPr>
          <w:rFonts w:ascii="Garamond" w:hAnsi="Garamond"/>
          <w:i/>
          <w:lang w:val="en-AU"/>
        </w:rPr>
      </w:pPr>
    </w:p>
    <w:p w:rsidR="00B246B3" w:rsidRDefault="00B246B3" w:rsidP="00B246B3">
      <w:pPr>
        <w:keepNext/>
        <w:rPr>
          <w:rFonts w:ascii="Garamond" w:hAnsi="Garamond"/>
          <w:i/>
          <w:lang w:val="en-AU"/>
        </w:rPr>
      </w:pPr>
      <w:r w:rsidRPr="00B246B3">
        <w:rPr>
          <w:rFonts w:ascii="Garamond" w:hAnsi="Garamond"/>
          <w:i/>
          <w:lang w:val="en-AU"/>
        </w:rPr>
        <w:t>Austr</w:t>
      </w:r>
      <w:r>
        <w:rPr>
          <w:rFonts w:ascii="Garamond" w:hAnsi="Garamond"/>
          <w:i/>
          <w:lang w:val="en-AU"/>
        </w:rPr>
        <w:t>alian Journal of Primary Health</w:t>
      </w:r>
    </w:p>
    <w:p w:rsidR="00B246B3" w:rsidRPr="00B246B3" w:rsidRDefault="00B246B3" w:rsidP="00B246B3">
      <w:pPr>
        <w:keepNext/>
        <w:rPr>
          <w:rFonts w:ascii="Garamond" w:hAnsi="Garamond"/>
          <w:lang w:val="en-AU"/>
        </w:rPr>
      </w:pPr>
      <w:r w:rsidRPr="00B246B3">
        <w:rPr>
          <w:rFonts w:ascii="Garamond" w:hAnsi="Garamond"/>
          <w:lang w:val="en-AU"/>
        </w:rPr>
        <w:t>Virtual Issue - Interdisciplinary Approaches to Improving Oral Health</w:t>
      </w:r>
    </w:p>
    <w:tbl>
      <w:tblPr>
        <w:tblStyle w:val="TableGrid"/>
        <w:tblW w:w="9360" w:type="dxa"/>
        <w:tblInd w:w="288" w:type="dxa"/>
        <w:tblLayout w:type="fixed"/>
        <w:tblLook w:val="01E0" w:firstRow="1" w:lastRow="1" w:firstColumn="1" w:lastColumn="1" w:noHBand="0" w:noVBand="0"/>
      </w:tblPr>
      <w:tblGrid>
        <w:gridCol w:w="1080"/>
        <w:gridCol w:w="8280"/>
      </w:tblGrid>
      <w:tr w:rsidR="00B246B3" w:rsidRPr="000170DA" w:rsidTr="00C62DEE">
        <w:tc>
          <w:tcPr>
            <w:tcW w:w="1080" w:type="dxa"/>
            <w:tcBorders>
              <w:top w:val="single" w:sz="4" w:space="0" w:color="auto"/>
              <w:left w:val="single" w:sz="4" w:space="0" w:color="auto"/>
              <w:bottom w:val="single" w:sz="4" w:space="0" w:color="auto"/>
              <w:right w:val="single" w:sz="4" w:space="0" w:color="auto"/>
            </w:tcBorders>
            <w:vAlign w:val="center"/>
          </w:tcPr>
          <w:p w:rsidR="00B246B3" w:rsidRPr="000170DA" w:rsidRDefault="00B246B3" w:rsidP="00C62DE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246B3" w:rsidRPr="000170DA" w:rsidRDefault="00B246B3" w:rsidP="00C62DEE">
            <w:pPr>
              <w:rPr>
                <w:rStyle w:val="Hyperlink"/>
                <w:rFonts w:ascii="Garamond" w:hAnsi="Garamond"/>
                <w:color w:val="auto"/>
                <w:u w:val="none"/>
                <w:lang w:val="en-AU"/>
              </w:rPr>
            </w:pPr>
            <w:hyperlink r:id="rId29" w:history="1">
              <w:r w:rsidRPr="00D91045">
                <w:rPr>
                  <w:rStyle w:val="Hyperlink"/>
                  <w:rFonts w:ascii="Garamond" w:hAnsi="Garamond"/>
                  <w:lang w:val="en-AU"/>
                </w:rPr>
                <w:t>https://www.publish.csiro.au/py/virtualissue/2602</w:t>
              </w:r>
            </w:hyperlink>
          </w:p>
        </w:tc>
      </w:tr>
      <w:tr w:rsidR="00B246B3" w:rsidRPr="007C3778" w:rsidTr="00C62DEE">
        <w:tc>
          <w:tcPr>
            <w:tcW w:w="1080" w:type="dxa"/>
            <w:tcBorders>
              <w:top w:val="single" w:sz="4" w:space="0" w:color="auto"/>
              <w:left w:val="single" w:sz="4" w:space="0" w:color="auto"/>
              <w:bottom w:val="single" w:sz="4" w:space="0" w:color="auto"/>
              <w:right w:val="single" w:sz="4" w:space="0" w:color="auto"/>
            </w:tcBorders>
            <w:vAlign w:val="center"/>
          </w:tcPr>
          <w:p w:rsidR="00B246B3" w:rsidRPr="000170DA" w:rsidRDefault="00B246B3" w:rsidP="00C62D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46B3" w:rsidRPr="007C3778" w:rsidRDefault="00B246B3" w:rsidP="00C62DEE">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B246B3">
              <w:rPr>
                <w:rFonts w:ascii="Garamond" w:hAnsi="Garamond"/>
                <w:i/>
                <w:lang w:val="en-AU"/>
              </w:rPr>
              <w:t xml:space="preserve">Australian Journal of Primary Health </w:t>
            </w:r>
            <w:r w:rsidRPr="00B246B3">
              <w:rPr>
                <w:rFonts w:ascii="Garamond" w:hAnsi="Garamond"/>
                <w:lang w:val="en-AU"/>
              </w:rPr>
              <w:t>has</w:t>
            </w:r>
            <w:r>
              <w:rPr>
                <w:rFonts w:ascii="Garamond" w:hAnsi="Garamond"/>
                <w:i/>
                <w:lang w:val="en-AU"/>
              </w:rPr>
              <w:t xml:space="preserve"> </w:t>
            </w:r>
            <w:r w:rsidRPr="00B440ED">
              <w:rPr>
                <w:rFonts w:ascii="Garamond" w:hAnsi="Garamond"/>
                <w:lang w:val="en-AU"/>
              </w:rPr>
              <w:t>been published</w:t>
            </w:r>
            <w:r>
              <w:rPr>
                <w:rFonts w:ascii="Garamond" w:hAnsi="Garamond"/>
                <w:lang w:val="en-AU"/>
              </w:rPr>
              <w:t>. This is a virtual issue</w:t>
            </w:r>
            <w:r>
              <w:rPr>
                <w:rFonts w:ascii="Garamond" w:hAnsi="Garamond"/>
                <w:lang w:val="en-AU"/>
              </w:rPr>
              <w:t xml:space="preserve"> </w:t>
            </w:r>
            <w:r>
              <w:rPr>
                <w:rFonts w:ascii="Garamond" w:hAnsi="Garamond"/>
                <w:lang w:val="en-AU"/>
              </w:rPr>
              <w:t xml:space="preserve">that is a compilation </w:t>
            </w:r>
            <w:r w:rsidRPr="00586C24">
              <w:rPr>
                <w:rFonts w:ascii="Garamond" w:hAnsi="Garamond"/>
                <w:lang w:val="en-AU"/>
              </w:rPr>
              <w:t>with a focus on</w:t>
            </w:r>
            <w:r>
              <w:rPr>
                <w:rFonts w:ascii="Garamond" w:hAnsi="Garamond"/>
                <w:lang w:val="en-AU"/>
              </w:rPr>
              <w:t xml:space="preserve"> “</w:t>
            </w:r>
            <w:r w:rsidRPr="00B246B3">
              <w:rPr>
                <w:rFonts w:ascii="Garamond" w:hAnsi="Garamond"/>
                <w:b/>
                <w:lang w:val="en-AU"/>
              </w:rPr>
              <w:t>Interdisciplinary Approaches to Improving Oral Health</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w:t>
            </w:r>
            <w:r>
              <w:rPr>
                <w:rFonts w:ascii="Garamond" w:hAnsi="Garamond"/>
                <w:lang w:val="en-AU"/>
              </w:rPr>
              <w:t xml:space="preserve">virtual </w:t>
            </w:r>
            <w:r w:rsidRPr="00B440ED">
              <w:rPr>
                <w:rFonts w:ascii="Garamond" w:hAnsi="Garamond"/>
                <w:lang w:val="en-AU"/>
              </w:rPr>
              <w:t xml:space="preserve">issue of </w:t>
            </w:r>
            <w:r w:rsidRPr="00B246B3">
              <w:rPr>
                <w:rFonts w:ascii="Garamond" w:hAnsi="Garamond"/>
                <w:i/>
                <w:lang w:val="en-AU"/>
              </w:rPr>
              <w:t xml:space="preserve">Australian Journal of Primary Health </w:t>
            </w:r>
            <w:r w:rsidRPr="00B440ED">
              <w:rPr>
                <w:rFonts w:ascii="Garamond" w:hAnsi="Garamond"/>
                <w:lang w:val="en-AU"/>
              </w:rPr>
              <w:t>include:</w:t>
            </w:r>
          </w:p>
          <w:p w:rsidR="00B246B3" w:rsidRPr="00B246B3" w:rsidRDefault="00B246B3" w:rsidP="00501D14">
            <w:pPr>
              <w:pStyle w:val="ListParagraph"/>
              <w:numPr>
                <w:ilvl w:val="0"/>
                <w:numId w:val="15"/>
              </w:numPr>
              <w:rPr>
                <w:rFonts w:ascii="Garamond" w:hAnsi="Garamond"/>
                <w:lang w:val="en-AU"/>
              </w:rPr>
            </w:pPr>
            <w:r w:rsidRPr="00B246B3">
              <w:rPr>
                <w:rFonts w:ascii="Garamond" w:hAnsi="Garamond"/>
                <w:b/>
                <w:lang w:val="en-AU"/>
              </w:rPr>
              <w:t>Access to dental care and dental ill-health of people with serious mental illness</w:t>
            </w:r>
            <w:r w:rsidRPr="00B246B3">
              <w:rPr>
                <w:rFonts w:ascii="Garamond" w:hAnsi="Garamond"/>
                <w:lang w:val="en-AU"/>
              </w:rPr>
              <w:t>: views of nurses working in mental health settings in Australia</w:t>
            </w:r>
            <w:r w:rsidRPr="00B246B3">
              <w:rPr>
                <w:rFonts w:ascii="Garamond" w:hAnsi="Garamond"/>
                <w:lang w:val="en-AU"/>
              </w:rPr>
              <w:t xml:space="preserve"> (</w:t>
            </w:r>
            <w:r w:rsidR="00A20719">
              <w:rPr>
                <w:rFonts w:ascii="Garamond" w:hAnsi="Garamond"/>
                <w:lang w:val="en-AU"/>
              </w:rPr>
              <w:t>Brenda Happell</w:t>
            </w:r>
            <w:r w:rsidRPr="00B246B3">
              <w:rPr>
                <w:rFonts w:ascii="Garamond" w:hAnsi="Garamond"/>
                <w:lang w:val="en-AU"/>
              </w:rPr>
              <w:t>, Chris Platania-Phung</w:t>
            </w:r>
            <w:r w:rsidR="00216708">
              <w:rPr>
                <w:rFonts w:ascii="Garamond" w:hAnsi="Garamond"/>
                <w:lang w:val="en-AU"/>
              </w:rPr>
              <w:t>,</w:t>
            </w:r>
            <w:r w:rsidRPr="00B246B3">
              <w:rPr>
                <w:rFonts w:ascii="Garamond" w:hAnsi="Garamond"/>
                <w:lang w:val="en-AU"/>
              </w:rPr>
              <w:t xml:space="preserve"> David Scott and Christine Hanley</w:t>
            </w:r>
            <w:r>
              <w:rPr>
                <w:rFonts w:ascii="Garamond" w:hAnsi="Garamond"/>
                <w:lang w:val="en-AU"/>
              </w:rPr>
              <w:t>)</w:t>
            </w:r>
          </w:p>
          <w:p w:rsidR="00B246B3" w:rsidRPr="00B246B3" w:rsidRDefault="00B246B3" w:rsidP="001922DC">
            <w:pPr>
              <w:pStyle w:val="ListParagraph"/>
              <w:numPr>
                <w:ilvl w:val="0"/>
                <w:numId w:val="15"/>
              </w:numPr>
              <w:rPr>
                <w:rFonts w:ascii="Garamond" w:hAnsi="Garamond"/>
                <w:lang w:val="en-AU"/>
              </w:rPr>
            </w:pPr>
            <w:r w:rsidRPr="00B246B3">
              <w:rPr>
                <w:rFonts w:ascii="Garamond" w:hAnsi="Garamond"/>
                <w:lang w:val="en-AU"/>
              </w:rPr>
              <w:t xml:space="preserve">The role of </w:t>
            </w:r>
            <w:r w:rsidRPr="00B246B3">
              <w:rPr>
                <w:rFonts w:ascii="Garamond" w:hAnsi="Garamond"/>
                <w:b/>
                <w:lang w:val="en-AU"/>
              </w:rPr>
              <w:t>community mental health services in supporting oral health</w:t>
            </w:r>
            <w:r w:rsidRPr="00B246B3">
              <w:rPr>
                <w:rFonts w:ascii="Garamond" w:hAnsi="Garamond"/>
                <w:lang w:val="en-AU"/>
              </w:rPr>
              <w:t xml:space="preserve"> outcomes among consumers</w:t>
            </w:r>
            <w:r w:rsidRPr="00B246B3">
              <w:rPr>
                <w:rFonts w:ascii="Garamond" w:hAnsi="Garamond"/>
                <w:lang w:val="en-AU"/>
              </w:rPr>
              <w:t xml:space="preserve"> (</w:t>
            </w:r>
            <w:r w:rsidRPr="00B246B3">
              <w:rPr>
                <w:rFonts w:ascii="Garamond" w:hAnsi="Garamond"/>
                <w:lang w:val="en-AU"/>
              </w:rPr>
              <w:t>Rebecca Meldrum</w:t>
            </w:r>
            <w:r w:rsidR="00216708">
              <w:rPr>
                <w:rFonts w:ascii="Garamond" w:hAnsi="Garamond"/>
                <w:lang w:val="en-AU"/>
              </w:rPr>
              <w:t>,</w:t>
            </w:r>
            <w:r w:rsidRPr="00B246B3">
              <w:rPr>
                <w:rFonts w:ascii="Garamond" w:hAnsi="Garamond"/>
                <w:lang w:val="en-AU"/>
              </w:rPr>
              <w:t xml:space="preserve"> Hillary Ho and Julie Satur</w:t>
            </w:r>
            <w:r>
              <w:rPr>
                <w:rFonts w:ascii="Garamond" w:hAnsi="Garamond"/>
                <w:lang w:val="en-AU"/>
              </w:rPr>
              <w:t>)</w:t>
            </w:r>
          </w:p>
          <w:p w:rsidR="00B246B3" w:rsidRPr="00B246B3" w:rsidRDefault="00B246B3" w:rsidP="00CA760A">
            <w:pPr>
              <w:pStyle w:val="ListParagraph"/>
              <w:numPr>
                <w:ilvl w:val="0"/>
                <w:numId w:val="15"/>
              </w:numPr>
              <w:rPr>
                <w:rFonts w:ascii="Garamond" w:hAnsi="Garamond"/>
                <w:lang w:val="en-AU"/>
              </w:rPr>
            </w:pPr>
            <w:r w:rsidRPr="00B246B3">
              <w:rPr>
                <w:rFonts w:ascii="Garamond" w:hAnsi="Garamond"/>
                <w:b/>
                <w:lang w:val="en-AU"/>
              </w:rPr>
              <w:t>Homeless adults' access to dental services</w:t>
            </w:r>
            <w:r w:rsidRPr="00B246B3">
              <w:rPr>
                <w:rFonts w:ascii="Garamond" w:hAnsi="Garamond"/>
                <w:lang w:val="en-AU"/>
              </w:rPr>
              <w:t xml:space="preserve"> and strategies to improve their oral health: a systematic literature review</w:t>
            </w:r>
            <w:r w:rsidRPr="00B246B3">
              <w:rPr>
                <w:rFonts w:ascii="Garamond" w:hAnsi="Garamond"/>
                <w:lang w:val="en-AU"/>
              </w:rPr>
              <w:t xml:space="preserve"> (</w:t>
            </w:r>
            <w:r w:rsidRPr="00B246B3">
              <w:rPr>
                <w:rFonts w:ascii="Garamond" w:hAnsi="Garamond"/>
                <w:lang w:val="en-AU"/>
              </w:rPr>
              <w:t>Jacqueline Goode</w:t>
            </w:r>
            <w:r w:rsidR="00216708">
              <w:rPr>
                <w:rFonts w:ascii="Garamond" w:hAnsi="Garamond"/>
                <w:lang w:val="en-AU"/>
              </w:rPr>
              <w:t>,</w:t>
            </w:r>
            <w:r w:rsidRPr="00B246B3">
              <w:rPr>
                <w:rFonts w:ascii="Garamond" w:hAnsi="Garamond"/>
                <w:lang w:val="en-AU"/>
              </w:rPr>
              <w:t xml:space="preserve"> Ha Hoang and Leonard Crocombe</w:t>
            </w:r>
            <w:r>
              <w:rPr>
                <w:rFonts w:ascii="Garamond" w:hAnsi="Garamond"/>
                <w:lang w:val="en-AU"/>
              </w:rPr>
              <w:t>)</w:t>
            </w:r>
          </w:p>
          <w:p w:rsidR="00B246B3" w:rsidRPr="00B246B3" w:rsidRDefault="00B246B3" w:rsidP="00A026BC">
            <w:pPr>
              <w:pStyle w:val="ListParagraph"/>
              <w:numPr>
                <w:ilvl w:val="0"/>
                <w:numId w:val="15"/>
              </w:numPr>
              <w:rPr>
                <w:rFonts w:ascii="Garamond" w:hAnsi="Garamond"/>
                <w:lang w:val="en-AU"/>
              </w:rPr>
            </w:pPr>
            <w:r w:rsidRPr="00B246B3">
              <w:rPr>
                <w:rFonts w:ascii="Garamond" w:hAnsi="Garamond"/>
                <w:b/>
                <w:lang w:val="en-AU"/>
              </w:rPr>
              <w:t>Hospital admissions and emergency department presentations for dental conditions</w:t>
            </w:r>
            <w:r w:rsidRPr="00B246B3">
              <w:rPr>
                <w:rFonts w:ascii="Garamond" w:hAnsi="Garamond"/>
                <w:lang w:val="en-AU"/>
              </w:rPr>
              <w:t xml:space="preserve"> indicate access to hospital, rather than poor access to dental health care in the community</w:t>
            </w:r>
            <w:r w:rsidRPr="00B246B3">
              <w:rPr>
                <w:rFonts w:ascii="Garamond" w:hAnsi="Garamond"/>
                <w:lang w:val="en-AU"/>
              </w:rPr>
              <w:t xml:space="preserve"> (</w:t>
            </w:r>
            <w:r w:rsidRPr="00B246B3">
              <w:rPr>
                <w:rFonts w:ascii="Garamond" w:hAnsi="Garamond"/>
                <w:lang w:val="en-AU"/>
              </w:rPr>
              <w:t>Matthew Yap</w:t>
            </w:r>
            <w:r w:rsidR="00216708">
              <w:rPr>
                <w:rFonts w:ascii="Garamond" w:hAnsi="Garamond"/>
                <w:lang w:val="en-AU"/>
              </w:rPr>
              <w:t>,</w:t>
            </w:r>
            <w:r w:rsidRPr="00B246B3">
              <w:rPr>
                <w:rFonts w:ascii="Garamond" w:hAnsi="Garamond"/>
                <w:lang w:val="en-AU"/>
              </w:rPr>
              <w:t xml:space="preserve"> Mei-Ruu</w:t>
            </w:r>
            <w:bookmarkStart w:id="1" w:name="_GoBack"/>
            <w:bookmarkEnd w:id="1"/>
            <w:r w:rsidRPr="00B246B3">
              <w:rPr>
                <w:rFonts w:ascii="Garamond" w:hAnsi="Garamond"/>
                <w:lang w:val="en-AU"/>
              </w:rPr>
              <w:t xml:space="preserve"> Kok</w:t>
            </w:r>
            <w:r w:rsidR="00216708">
              <w:rPr>
                <w:rFonts w:ascii="Garamond" w:hAnsi="Garamond"/>
                <w:lang w:val="en-AU"/>
              </w:rPr>
              <w:t>,</w:t>
            </w:r>
            <w:r w:rsidRPr="00B246B3">
              <w:rPr>
                <w:rFonts w:ascii="Garamond" w:hAnsi="Garamond"/>
                <w:lang w:val="en-AU"/>
              </w:rPr>
              <w:t xml:space="preserve"> Soniya Nanda</w:t>
            </w:r>
            <w:r w:rsidR="00216708">
              <w:rPr>
                <w:rFonts w:ascii="Garamond" w:hAnsi="Garamond"/>
                <w:lang w:val="en-AU"/>
              </w:rPr>
              <w:t>,</w:t>
            </w:r>
            <w:r w:rsidRPr="00B246B3">
              <w:rPr>
                <w:rFonts w:ascii="Garamond" w:hAnsi="Garamond"/>
                <w:lang w:val="en-AU"/>
              </w:rPr>
              <w:t xml:space="preserve"> Alistair Vickery and David Whyatt</w:t>
            </w:r>
            <w:r>
              <w:rPr>
                <w:rFonts w:ascii="Garamond" w:hAnsi="Garamond"/>
                <w:lang w:val="en-AU"/>
              </w:rPr>
              <w:t>)</w:t>
            </w:r>
          </w:p>
          <w:p w:rsidR="00B246B3" w:rsidRPr="00B246B3" w:rsidRDefault="00B246B3" w:rsidP="00EE52D1">
            <w:pPr>
              <w:pStyle w:val="ListParagraph"/>
              <w:numPr>
                <w:ilvl w:val="0"/>
                <w:numId w:val="15"/>
              </w:numPr>
              <w:rPr>
                <w:rFonts w:ascii="Garamond" w:hAnsi="Garamond"/>
                <w:lang w:val="en-AU"/>
              </w:rPr>
            </w:pPr>
            <w:r w:rsidRPr="00B246B3">
              <w:rPr>
                <w:rFonts w:ascii="Garamond" w:hAnsi="Garamond"/>
                <w:lang w:val="en-AU"/>
              </w:rPr>
              <w:t>A health-promoting</w:t>
            </w:r>
            <w:r w:rsidRPr="00B246B3">
              <w:rPr>
                <w:rFonts w:ascii="Garamond" w:hAnsi="Garamond"/>
                <w:b/>
                <w:lang w:val="en-AU"/>
              </w:rPr>
              <w:t xml:space="preserve"> community dental service</w:t>
            </w:r>
            <w:r w:rsidRPr="00B246B3">
              <w:rPr>
                <w:rFonts w:ascii="Garamond" w:hAnsi="Garamond"/>
                <w:lang w:val="en-AU"/>
              </w:rPr>
              <w:t xml:space="preserve"> in Melbourne, Victoria, Australia: protocol for the North Richmond model of oral health care</w:t>
            </w:r>
            <w:r w:rsidRPr="00B246B3">
              <w:rPr>
                <w:rFonts w:ascii="Garamond" w:hAnsi="Garamond"/>
                <w:lang w:val="en-AU"/>
              </w:rPr>
              <w:t xml:space="preserve"> (</w:t>
            </w:r>
            <w:r w:rsidRPr="00B246B3">
              <w:rPr>
                <w:rFonts w:ascii="Garamond" w:hAnsi="Garamond"/>
                <w:lang w:val="en-AU"/>
              </w:rPr>
              <w:t>Martin Hall and Bradley Christian</w:t>
            </w:r>
            <w:r>
              <w:rPr>
                <w:rFonts w:ascii="Garamond" w:hAnsi="Garamond"/>
                <w:lang w:val="en-AU"/>
              </w:rPr>
              <w:t>)</w:t>
            </w:r>
          </w:p>
          <w:p w:rsidR="00B246B3" w:rsidRPr="00B246B3" w:rsidRDefault="00B246B3" w:rsidP="002E6BF0">
            <w:pPr>
              <w:pStyle w:val="ListParagraph"/>
              <w:numPr>
                <w:ilvl w:val="0"/>
                <w:numId w:val="15"/>
              </w:numPr>
              <w:rPr>
                <w:rFonts w:ascii="Garamond" w:hAnsi="Garamond"/>
                <w:lang w:val="en-AU"/>
              </w:rPr>
            </w:pPr>
            <w:r w:rsidRPr="00B246B3">
              <w:rPr>
                <w:rFonts w:ascii="Garamond" w:hAnsi="Garamond"/>
                <w:lang w:val="en-AU"/>
              </w:rPr>
              <w:t xml:space="preserve">Building </w:t>
            </w:r>
            <w:r w:rsidRPr="00B246B3">
              <w:rPr>
                <w:rFonts w:ascii="Garamond" w:hAnsi="Garamond"/>
                <w:b/>
                <w:lang w:val="en-AU"/>
              </w:rPr>
              <w:t>oral health capacity in a women's health service</w:t>
            </w:r>
            <w:r w:rsidRPr="00B246B3">
              <w:rPr>
                <w:rFonts w:ascii="Garamond" w:hAnsi="Garamond"/>
                <w:lang w:val="en-AU"/>
              </w:rPr>
              <w:t xml:space="preserve"> (</w:t>
            </w:r>
            <w:r w:rsidRPr="00B246B3">
              <w:rPr>
                <w:rFonts w:ascii="Garamond" w:hAnsi="Garamond"/>
                <w:lang w:val="en-AU"/>
              </w:rPr>
              <w:t>Angela Durey</w:t>
            </w:r>
            <w:r w:rsidR="00216708">
              <w:rPr>
                <w:rFonts w:ascii="Garamond" w:hAnsi="Garamond"/>
                <w:lang w:val="en-AU"/>
              </w:rPr>
              <w:t>,</w:t>
            </w:r>
            <w:r w:rsidRPr="00B246B3">
              <w:rPr>
                <w:rFonts w:ascii="Garamond" w:hAnsi="Garamond"/>
                <w:lang w:val="en-AU"/>
              </w:rPr>
              <w:t xml:space="preserve"> Susan Kaye Lee</w:t>
            </w:r>
            <w:r w:rsidR="00216708">
              <w:rPr>
                <w:rFonts w:ascii="Garamond" w:hAnsi="Garamond"/>
                <w:lang w:val="en-AU"/>
              </w:rPr>
              <w:t>,</w:t>
            </w:r>
            <w:r w:rsidRPr="00B246B3">
              <w:rPr>
                <w:rFonts w:ascii="Garamond" w:hAnsi="Garamond"/>
                <w:lang w:val="en-AU"/>
              </w:rPr>
              <w:t xml:space="preserve"> Bola Adebayo and Linda Slack-Smith</w:t>
            </w:r>
            <w:r>
              <w:rPr>
                <w:rFonts w:ascii="Garamond" w:hAnsi="Garamond"/>
                <w:lang w:val="en-AU"/>
              </w:rPr>
              <w:t>)</w:t>
            </w:r>
          </w:p>
          <w:p w:rsidR="00B246B3" w:rsidRPr="00B246B3" w:rsidRDefault="00B246B3" w:rsidP="00CC206A">
            <w:pPr>
              <w:pStyle w:val="ListParagraph"/>
              <w:numPr>
                <w:ilvl w:val="0"/>
                <w:numId w:val="15"/>
              </w:numPr>
              <w:rPr>
                <w:rFonts w:ascii="Garamond" w:hAnsi="Garamond"/>
                <w:lang w:val="en-AU"/>
              </w:rPr>
            </w:pPr>
            <w:r w:rsidRPr="00B246B3">
              <w:rPr>
                <w:rFonts w:ascii="Garamond" w:hAnsi="Garamond"/>
                <w:b/>
                <w:lang w:val="en-AU"/>
              </w:rPr>
              <w:t>Oral health care in residential aged care services</w:t>
            </w:r>
            <w:r w:rsidRPr="00B246B3">
              <w:rPr>
                <w:rFonts w:ascii="Garamond" w:hAnsi="Garamond"/>
                <w:lang w:val="en-AU"/>
              </w:rPr>
              <w:t>: barriers to engaging health-care providers</w:t>
            </w:r>
            <w:r w:rsidRPr="00B246B3">
              <w:rPr>
                <w:rFonts w:ascii="Garamond" w:hAnsi="Garamond"/>
                <w:lang w:val="en-AU"/>
              </w:rPr>
              <w:t xml:space="preserve"> (</w:t>
            </w:r>
            <w:r w:rsidRPr="00B246B3">
              <w:rPr>
                <w:rFonts w:ascii="Garamond" w:hAnsi="Garamond"/>
                <w:lang w:val="en-AU"/>
              </w:rPr>
              <w:t>Lydia Hearn and Linda Slack-Smith</w:t>
            </w:r>
            <w:r>
              <w:rPr>
                <w:rFonts w:ascii="Garamond" w:hAnsi="Garamond"/>
                <w:lang w:val="en-AU"/>
              </w:rPr>
              <w:t>)</w:t>
            </w:r>
          </w:p>
          <w:p w:rsidR="00B246B3" w:rsidRPr="00B246B3" w:rsidRDefault="00B246B3" w:rsidP="00E74DBF">
            <w:pPr>
              <w:pStyle w:val="ListParagraph"/>
              <w:numPr>
                <w:ilvl w:val="0"/>
                <w:numId w:val="15"/>
              </w:numPr>
              <w:rPr>
                <w:rFonts w:ascii="Garamond" w:hAnsi="Garamond"/>
                <w:lang w:val="en-AU"/>
              </w:rPr>
            </w:pPr>
            <w:r w:rsidRPr="00B246B3">
              <w:rPr>
                <w:rFonts w:ascii="Garamond" w:hAnsi="Garamond"/>
                <w:lang w:val="en-AU"/>
              </w:rPr>
              <w:t xml:space="preserve">Role of information and communication technology in promoting </w:t>
            </w:r>
            <w:r w:rsidRPr="00B246B3">
              <w:rPr>
                <w:rFonts w:ascii="Garamond" w:hAnsi="Garamond"/>
                <w:b/>
                <w:lang w:val="en-AU"/>
              </w:rPr>
              <w:t>oral health at residential aged care facilities</w:t>
            </w:r>
            <w:r w:rsidRPr="00B246B3">
              <w:rPr>
                <w:rFonts w:ascii="Garamond" w:hAnsi="Garamond"/>
                <w:lang w:val="en-AU"/>
              </w:rPr>
              <w:t xml:space="preserve"> (</w:t>
            </w:r>
            <w:r w:rsidRPr="00B246B3">
              <w:rPr>
                <w:rFonts w:ascii="Garamond" w:hAnsi="Garamond"/>
                <w:lang w:val="en-AU"/>
              </w:rPr>
              <w:t>Bola Adebayo</w:t>
            </w:r>
            <w:r w:rsidR="00216708">
              <w:rPr>
                <w:rFonts w:ascii="Garamond" w:hAnsi="Garamond"/>
                <w:lang w:val="en-AU"/>
              </w:rPr>
              <w:t>,</w:t>
            </w:r>
            <w:r w:rsidRPr="00B246B3">
              <w:rPr>
                <w:rFonts w:ascii="Garamond" w:hAnsi="Garamond"/>
                <w:lang w:val="en-AU"/>
              </w:rPr>
              <w:t xml:space="preserve"> Angela Durey and Linda M Slack-Smith</w:t>
            </w:r>
            <w:r>
              <w:rPr>
                <w:rFonts w:ascii="Garamond" w:hAnsi="Garamond"/>
                <w:lang w:val="en-AU"/>
              </w:rPr>
              <w:t>)</w:t>
            </w:r>
          </w:p>
          <w:p w:rsidR="00B246B3" w:rsidRPr="00B246B3" w:rsidRDefault="00B246B3" w:rsidP="0040119C">
            <w:pPr>
              <w:pStyle w:val="ListParagraph"/>
              <w:numPr>
                <w:ilvl w:val="0"/>
                <w:numId w:val="15"/>
              </w:numPr>
              <w:rPr>
                <w:rFonts w:ascii="Garamond" w:hAnsi="Garamond"/>
                <w:lang w:val="en-AU"/>
              </w:rPr>
            </w:pPr>
            <w:r w:rsidRPr="00B246B3">
              <w:rPr>
                <w:rFonts w:ascii="Garamond" w:hAnsi="Garamond"/>
                <w:lang w:val="en-AU"/>
              </w:rPr>
              <w:t xml:space="preserve">Engaging </w:t>
            </w:r>
            <w:r w:rsidRPr="00B246B3">
              <w:rPr>
                <w:rFonts w:ascii="Garamond" w:hAnsi="Garamond"/>
                <w:b/>
                <w:lang w:val="en-AU"/>
              </w:rPr>
              <w:t>dental professionals in residential aged-care facilities</w:t>
            </w:r>
            <w:r w:rsidRPr="00B246B3">
              <w:rPr>
                <w:rFonts w:ascii="Garamond" w:hAnsi="Garamond"/>
                <w:lang w:val="en-AU"/>
              </w:rPr>
              <w:t>: staff perspectives regarding access to oral care</w:t>
            </w:r>
            <w:r w:rsidRPr="00B246B3">
              <w:rPr>
                <w:rFonts w:ascii="Garamond" w:hAnsi="Garamond"/>
                <w:lang w:val="en-AU"/>
              </w:rPr>
              <w:t xml:space="preserve"> (</w:t>
            </w:r>
            <w:r w:rsidRPr="00B246B3">
              <w:rPr>
                <w:rFonts w:ascii="Garamond" w:hAnsi="Garamond"/>
                <w:lang w:val="en-AU"/>
              </w:rPr>
              <w:t>Lydia Hearn and Linda Slack-Smith</w:t>
            </w:r>
            <w:r>
              <w:rPr>
                <w:rFonts w:ascii="Garamond" w:hAnsi="Garamond"/>
                <w:lang w:val="en-AU"/>
              </w:rPr>
              <w:t>)</w:t>
            </w:r>
          </w:p>
          <w:p w:rsidR="00B246B3" w:rsidRPr="007C3778" w:rsidRDefault="00B246B3" w:rsidP="00B246B3">
            <w:pPr>
              <w:pStyle w:val="ListParagraph"/>
              <w:numPr>
                <w:ilvl w:val="0"/>
                <w:numId w:val="15"/>
              </w:numPr>
              <w:rPr>
                <w:rFonts w:ascii="Garamond" w:hAnsi="Garamond"/>
                <w:lang w:val="en-AU"/>
              </w:rPr>
            </w:pPr>
            <w:r w:rsidRPr="00B246B3">
              <w:rPr>
                <w:rFonts w:ascii="Garamond" w:hAnsi="Garamond"/>
                <w:lang w:val="en-AU"/>
              </w:rPr>
              <w:t xml:space="preserve">GPs Confidence in and Barriers to </w:t>
            </w:r>
            <w:r w:rsidRPr="00B246B3">
              <w:rPr>
                <w:rFonts w:ascii="Garamond" w:hAnsi="Garamond"/>
                <w:b/>
                <w:lang w:val="en-AU"/>
              </w:rPr>
              <w:t>Implementing Smoking Cessation Activities</w:t>
            </w:r>
            <w:r w:rsidRPr="00B246B3">
              <w:rPr>
                <w:rFonts w:ascii="Garamond" w:hAnsi="Garamond"/>
                <w:lang w:val="en-AU"/>
              </w:rPr>
              <w:t>: Compared to Dentists, Dental Hygienists and Pharmacists</w:t>
            </w:r>
            <w:r>
              <w:rPr>
                <w:rFonts w:ascii="Garamond" w:hAnsi="Garamond"/>
                <w:lang w:val="en-AU"/>
              </w:rPr>
              <w:t xml:space="preserve"> (David Edwards</w:t>
            </w:r>
            <w:r w:rsidR="00216708">
              <w:rPr>
                <w:rFonts w:ascii="Garamond" w:hAnsi="Garamond"/>
                <w:lang w:val="en-AU"/>
              </w:rPr>
              <w:t>,</w:t>
            </w:r>
            <w:r>
              <w:rPr>
                <w:rFonts w:ascii="Garamond" w:hAnsi="Garamond"/>
                <w:lang w:val="en-AU"/>
              </w:rPr>
              <w:t xml:space="preserve"> Toby Freeman</w:t>
            </w:r>
            <w:r w:rsidRPr="00B246B3">
              <w:rPr>
                <w:rFonts w:ascii="Garamond" w:hAnsi="Garamond"/>
                <w:lang w:val="en-AU"/>
              </w:rPr>
              <w:t>, John Litt and Ann M Roche</w:t>
            </w:r>
            <w:r>
              <w:rPr>
                <w:rFonts w:ascii="Garamond" w:hAnsi="Garamond"/>
                <w:lang w:val="en-AU"/>
              </w:rPr>
              <w:t>)</w:t>
            </w:r>
          </w:p>
        </w:tc>
      </w:tr>
    </w:tbl>
    <w:p w:rsidR="00B246B3" w:rsidRPr="00B246B3" w:rsidRDefault="00B246B3" w:rsidP="00B246B3">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216708" w:rsidP="001022EB">
            <w:pPr>
              <w:keepNext/>
              <w:rPr>
                <w:rFonts w:ascii="Garamond" w:hAnsi="Garamond"/>
                <w:lang w:val="en-AU"/>
              </w:rPr>
            </w:pPr>
            <w:hyperlink r:id="rId30"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1A14DA" w:rsidRPr="001A14DA" w:rsidRDefault="001A14DA" w:rsidP="00F61764">
            <w:pPr>
              <w:pStyle w:val="ListParagraph"/>
              <w:numPr>
                <w:ilvl w:val="0"/>
                <w:numId w:val="14"/>
              </w:numPr>
              <w:rPr>
                <w:rFonts w:ascii="Garamond" w:hAnsi="Garamond"/>
                <w:lang w:val="en-AU"/>
              </w:rPr>
            </w:pPr>
            <w:r w:rsidRPr="001A14DA">
              <w:rPr>
                <w:rFonts w:ascii="Garamond" w:hAnsi="Garamond"/>
                <w:b/>
                <w:lang w:val="en-AU"/>
              </w:rPr>
              <w:t>The ageing surgeon</w:t>
            </w:r>
            <w:r w:rsidRPr="001A14DA">
              <w:rPr>
                <w:rFonts w:ascii="Garamond" w:hAnsi="Garamond"/>
                <w:lang w:val="en-AU"/>
              </w:rPr>
              <w:t>: a qualitative study of expert opinions on assuring performance and supporting safe career transitions among older surgeons</w:t>
            </w:r>
            <w:r w:rsidRPr="001A14DA">
              <w:rPr>
                <w:rFonts w:ascii="Garamond" w:hAnsi="Garamond"/>
                <w:lang w:val="en-AU"/>
              </w:rPr>
              <w:t xml:space="preserve"> (</w:t>
            </w:r>
            <w:r w:rsidRPr="001A14DA">
              <w:rPr>
                <w:rFonts w:ascii="Garamond" w:hAnsi="Garamond"/>
                <w:lang w:val="en-AU"/>
              </w:rPr>
              <w:t>Rupert Sherwood, Marie Bismark</w:t>
            </w:r>
            <w:r>
              <w:rPr>
                <w:rFonts w:ascii="Garamond" w:hAnsi="Garamond"/>
                <w:lang w:val="en-AU"/>
              </w:rPr>
              <w:t>)</w:t>
            </w:r>
          </w:p>
          <w:p w:rsidR="007B7116" w:rsidRPr="007B7116" w:rsidRDefault="007B7116" w:rsidP="00000DB1">
            <w:pPr>
              <w:pStyle w:val="ListParagraph"/>
              <w:numPr>
                <w:ilvl w:val="0"/>
                <w:numId w:val="14"/>
              </w:numPr>
              <w:rPr>
                <w:rFonts w:ascii="Garamond" w:hAnsi="Garamond"/>
                <w:lang w:val="en-AU"/>
              </w:rPr>
            </w:pPr>
            <w:r w:rsidRPr="007B7116">
              <w:rPr>
                <w:rFonts w:ascii="Garamond" w:hAnsi="Garamond"/>
                <w:lang w:val="en-AU"/>
              </w:rPr>
              <w:t xml:space="preserve">Exploring the </w:t>
            </w:r>
            <w:r w:rsidRPr="007B7116">
              <w:rPr>
                <w:rFonts w:ascii="Garamond" w:hAnsi="Garamond"/>
                <w:b/>
                <w:lang w:val="en-AU"/>
              </w:rPr>
              <w:t>sustainability of quality improvement interventions</w:t>
            </w:r>
            <w:r w:rsidRPr="007B7116">
              <w:rPr>
                <w:rFonts w:ascii="Garamond" w:hAnsi="Garamond"/>
                <w:lang w:val="en-AU"/>
              </w:rPr>
              <w:t xml:space="preserve"> in healthcare organisations: a multiple methods study of the 10-year impact of the ‘Productive Ward: Releasing Time to Care’ programme in English acute hospitals (Glenn Robert, Sophie Sarre, Jill Maben, Peter Griffiths, R Chable</w:t>
            </w:r>
            <w:r>
              <w:rPr>
                <w:rFonts w:ascii="Garamond" w:hAnsi="Garamond"/>
                <w:lang w:val="en-AU"/>
              </w:rPr>
              <w:t>)</w:t>
            </w:r>
          </w:p>
          <w:p w:rsidR="005A00FB" w:rsidRDefault="007B7116" w:rsidP="007B7116">
            <w:pPr>
              <w:pStyle w:val="ListParagraph"/>
              <w:numPr>
                <w:ilvl w:val="0"/>
                <w:numId w:val="14"/>
              </w:numPr>
              <w:rPr>
                <w:rFonts w:ascii="Garamond" w:hAnsi="Garamond"/>
                <w:lang w:val="en-AU"/>
              </w:rPr>
            </w:pPr>
            <w:r w:rsidRPr="007B7116">
              <w:rPr>
                <w:rFonts w:ascii="Garamond" w:hAnsi="Garamond"/>
                <w:lang w:val="en-AU"/>
              </w:rPr>
              <w:t xml:space="preserve">How do stakeholders experience the </w:t>
            </w:r>
            <w:r w:rsidRPr="007B7116">
              <w:rPr>
                <w:rFonts w:ascii="Garamond" w:hAnsi="Garamond"/>
                <w:b/>
                <w:lang w:val="en-AU"/>
              </w:rPr>
              <w:t>adoption of electronic prescribing systems in hospitals</w:t>
            </w:r>
            <w:r w:rsidRPr="007B7116">
              <w:rPr>
                <w:rFonts w:ascii="Garamond" w:hAnsi="Garamond"/>
                <w:lang w:val="en-AU"/>
              </w:rPr>
              <w:t xml:space="preserve">? A systematic review and thematic synthesis of qualitative studies </w:t>
            </w:r>
            <w:r>
              <w:rPr>
                <w:rFonts w:ascii="Garamond" w:hAnsi="Garamond"/>
                <w:lang w:val="en-AU"/>
              </w:rPr>
              <w:t>(</w:t>
            </w:r>
            <w:r w:rsidRPr="007B7116">
              <w:rPr>
                <w:rFonts w:ascii="Garamond" w:hAnsi="Garamond"/>
                <w:lang w:val="en-AU"/>
              </w:rPr>
              <w:t>Albert Farre, G Heath, K Shaw, D Bem, C Cummins</w:t>
            </w:r>
            <w:r>
              <w:rPr>
                <w:rFonts w:ascii="Garamond" w:hAnsi="Garamond"/>
                <w:lang w:val="en-AU"/>
              </w:rPr>
              <w:t>)</w:t>
            </w:r>
          </w:p>
          <w:p w:rsidR="001A14DA" w:rsidRPr="001A14DA" w:rsidRDefault="001A14DA" w:rsidP="00625E23">
            <w:pPr>
              <w:pStyle w:val="ListParagraph"/>
              <w:numPr>
                <w:ilvl w:val="0"/>
                <w:numId w:val="14"/>
              </w:numPr>
              <w:rPr>
                <w:rFonts w:ascii="Garamond" w:hAnsi="Garamond"/>
                <w:lang w:val="en-AU"/>
              </w:rPr>
            </w:pPr>
            <w:r w:rsidRPr="001A14DA">
              <w:rPr>
                <w:rFonts w:ascii="Garamond" w:hAnsi="Garamond"/>
                <w:lang w:val="en-AU"/>
              </w:rPr>
              <w:t>Editorial</w:t>
            </w:r>
            <w:r w:rsidRPr="001A14DA">
              <w:rPr>
                <w:rFonts w:ascii="Garamond" w:hAnsi="Garamond"/>
                <w:lang w:val="en-AU"/>
              </w:rPr>
              <w:t xml:space="preserve">: </w:t>
            </w:r>
            <w:r w:rsidRPr="001A14DA">
              <w:rPr>
                <w:rFonts w:ascii="Garamond" w:hAnsi="Garamond"/>
                <w:lang w:val="en-AU"/>
              </w:rPr>
              <w:t xml:space="preserve">What does it take to </w:t>
            </w:r>
            <w:r w:rsidRPr="001A14DA">
              <w:rPr>
                <w:rFonts w:ascii="Garamond" w:hAnsi="Garamond"/>
                <w:b/>
                <w:lang w:val="en-AU"/>
              </w:rPr>
              <w:t>improve nationwide healthcare quality in China</w:t>
            </w:r>
            <w:r w:rsidRPr="001A14DA">
              <w:rPr>
                <w:rFonts w:ascii="Garamond" w:hAnsi="Garamond"/>
                <w:lang w:val="en-AU"/>
              </w:rPr>
              <w:t xml:space="preserve">? </w:t>
            </w:r>
            <w:r w:rsidRPr="001A14DA">
              <w:rPr>
                <w:rFonts w:ascii="Garamond" w:hAnsi="Garamond"/>
                <w:lang w:val="en-AU"/>
              </w:rPr>
              <w:t>(</w:t>
            </w:r>
            <w:r w:rsidRPr="001A14DA">
              <w:rPr>
                <w:rFonts w:ascii="Garamond" w:hAnsi="Garamond"/>
                <w:lang w:val="en-AU"/>
              </w:rPr>
              <w:t>Xi Li, Harlan M Krumholz</w:t>
            </w:r>
            <w:r>
              <w:rPr>
                <w:rFonts w:ascii="Garamond" w:hAnsi="Garamond"/>
                <w:lang w:val="en-AU"/>
              </w:rPr>
              <w:t>)</w:t>
            </w:r>
          </w:p>
          <w:p w:rsidR="001A14DA" w:rsidRPr="00D84575" w:rsidRDefault="001A14DA" w:rsidP="001A14DA">
            <w:pPr>
              <w:pStyle w:val="ListParagraph"/>
              <w:numPr>
                <w:ilvl w:val="0"/>
                <w:numId w:val="14"/>
              </w:numPr>
              <w:rPr>
                <w:rFonts w:ascii="Garamond" w:hAnsi="Garamond"/>
                <w:lang w:val="en-AU"/>
              </w:rPr>
            </w:pPr>
            <w:r w:rsidRPr="001A14DA">
              <w:rPr>
                <w:rFonts w:ascii="Garamond" w:hAnsi="Garamond"/>
                <w:b/>
                <w:lang w:val="en-AU"/>
              </w:rPr>
              <w:t>Failure to administer recommended chemotherapy</w:t>
            </w:r>
            <w:r w:rsidRPr="001A14DA">
              <w:rPr>
                <w:rFonts w:ascii="Garamond" w:hAnsi="Garamond"/>
                <w:lang w:val="en-AU"/>
              </w:rPr>
              <w:t>: acceptable variation or cancer care quality blind spot?</w:t>
            </w:r>
            <w:r>
              <w:rPr>
                <w:rFonts w:ascii="Garamond" w:hAnsi="Garamond"/>
                <w:lang w:val="en-AU"/>
              </w:rPr>
              <w:t xml:space="preserve"> (</w:t>
            </w:r>
            <w:r w:rsidRPr="001A14DA">
              <w:rPr>
                <w:rFonts w:ascii="Garamond" w:hAnsi="Garamond"/>
                <w:lang w:val="en-AU"/>
              </w:rPr>
              <w:t>Ryan J Ellis, Cary Jo R Schlick, Joe Feinglass, Mary F Mulcahy, Al B Benson, Sheetal M Kircher, Tony D Yang, David D Odell, Karl Bilimoria, Ryan P Merkow</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5A00FB" w:rsidRDefault="005A00FB" w:rsidP="007B7116">
      <w:pPr>
        <w:keepNext/>
        <w:rPr>
          <w:rFonts w:ascii="Garamond" w:hAnsi="Garamond"/>
          <w:lang w:val="en-AU"/>
        </w:rPr>
      </w:pPr>
    </w:p>
    <w:p w:rsidR="00EA3F43" w:rsidRPr="00EA3F43" w:rsidRDefault="00EA3F43" w:rsidP="007B7116">
      <w:pPr>
        <w:keepNext/>
        <w:rPr>
          <w:rFonts w:ascii="Garamond" w:hAnsi="Garamond"/>
          <w:i/>
          <w:lang w:val="en-AU"/>
        </w:rPr>
      </w:pPr>
      <w:r w:rsidRPr="00EA3F43">
        <w:rPr>
          <w:rFonts w:ascii="Garamond" w:hAnsi="Garamond"/>
          <w:i/>
          <w:lang w:val="en-AU"/>
        </w:rPr>
        <w:t>Antibiotic prescribing in primary care: Therapeutic Guidelines summary table 2019</w:t>
      </w:r>
    </w:p>
    <w:p w:rsidR="00EA3F43" w:rsidRDefault="00216708" w:rsidP="007B7116">
      <w:pPr>
        <w:keepNext/>
        <w:rPr>
          <w:rFonts w:ascii="Garamond" w:hAnsi="Garamond"/>
          <w:lang w:val="en-AU"/>
        </w:rPr>
      </w:pPr>
      <w:hyperlink r:id="rId31" w:history="1">
        <w:r w:rsidR="00EA3F43" w:rsidRPr="007509BC">
          <w:rPr>
            <w:rStyle w:val="Hyperlink"/>
            <w:rFonts w:ascii="Garamond" w:hAnsi="Garamond"/>
            <w:lang w:val="en-AU"/>
          </w:rPr>
          <w:t>https://tgldcdp.tg.org.au/fulltext/quicklinks/GPSummary_v9.pdf</w:t>
        </w:r>
      </w:hyperlink>
    </w:p>
    <w:p w:rsidR="00EA3F43" w:rsidRDefault="00DE04B9" w:rsidP="007B7116">
      <w:pPr>
        <w:keepNext/>
        <w:rPr>
          <w:rFonts w:ascii="Garamond" w:hAnsi="Garamond"/>
          <w:lang w:val="en-AU"/>
        </w:rPr>
      </w:pPr>
      <w:r w:rsidRPr="00DE04B9">
        <w:rPr>
          <w:rFonts w:ascii="Garamond" w:hAnsi="Garamond"/>
          <w:lang w:val="en-AU"/>
        </w:rPr>
        <w:t>Therapeutic Guidelines</w:t>
      </w:r>
      <w:r>
        <w:rPr>
          <w:rFonts w:ascii="Garamond" w:hAnsi="Garamond"/>
          <w:lang w:val="en-AU"/>
        </w:rPr>
        <w:t xml:space="preserve"> has made freely available a summary table on the </w:t>
      </w:r>
      <w:r w:rsidRPr="00DE04B9">
        <w:rPr>
          <w:rFonts w:ascii="Garamond" w:hAnsi="Garamond"/>
          <w:lang w:val="en-AU"/>
        </w:rPr>
        <w:t xml:space="preserve">prescribing </w:t>
      </w:r>
      <w:r>
        <w:rPr>
          <w:rFonts w:ascii="Garamond" w:hAnsi="Garamond"/>
          <w:lang w:val="en-AU"/>
        </w:rPr>
        <w:t>of a</w:t>
      </w:r>
      <w:r w:rsidRPr="00DE04B9">
        <w:rPr>
          <w:rFonts w:ascii="Garamond" w:hAnsi="Garamond"/>
          <w:lang w:val="en-AU"/>
        </w:rPr>
        <w:t>ntibiotic</w:t>
      </w:r>
      <w:r>
        <w:rPr>
          <w:rFonts w:ascii="Garamond" w:hAnsi="Garamond"/>
          <w:lang w:val="en-AU"/>
        </w:rPr>
        <w:t>s</w:t>
      </w:r>
      <w:r w:rsidRPr="00DE04B9">
        <w:rPr>
          <w:rFonts w:ascii="Garamond" w:hAnsi="Garamond"/>
          <w:lang w:val="en-AU"/>
        </w:rPr>
        <w:t xml:space="preserve"> in primary care</w:t>
      </w:r>
      <w:r>
        <w:rPr>
          <w:rFonts w:ascii="Garamond" w:hAnsi="Garamond"/>
          <w:lang w:val="en-AU"/>
        </w:rPr>
        <w:t xml:space="preserve">. Derived the </w:t>
      </w:r>
      <w:r w:rsidRPr="00DE04B9">
        <w:rPr>
          <w:rFonts w:ascii="Garamond" w:hAnsi="Garamond"/>
          <w:lang w:val="en-AU"/>
        </w:rPr>
        <w:t xml:space="preserve">recently updated 16th edition of </w:t>
      </w:r>
      <w:r w:rsidRPr="00DE04B9">
        <w:rPr>
          <w:rFonts w:ascii="Garamond" w:hAnsi="Garamond"/>
          <w:i/>
          <w:lang w:val="en-AU"/>
        </w:rPr>
        <w:t>Antibiotic Guidelines</w:t>
      </w:r>
      <w:r w:rsidRPr="00DE04B9">
        <w:rPr>
          <w:rFonts w:ascii="Garamond" w:hAnsi="Garamond"/>
          <w:lang w:val="en-AU"/>
        </w:rPr>
        <w:t xml:space="preserve"> </w:t>
      </w:r>
      <w:r>
        <w:rPr>
          <w:rFonts w:ascii="Garamond" w:hAnsi="Garamond"/>
          <w:lang w:val="en-AU"/>
        </w:rPr>
        <w:t xml:space="preserve">the summary </w:t>
      </w:r>
      <w:r w:rsidRPr="00DE04B9">
        <w:rPr>
          <w:rFonts w:ascii="Garamond" w:hAnsi="Garamond"/>
          <w:lang w:val="en-AU"/>
        </w:rPr>
        <w:t>covers the management of common infections seen by GPs.</w:t>
      </w:r>
    </w:p>
    <w:p w:rsidR="00EA3F43" w:rsidRDefault="00EA3F43" w:rsidP="007B7116">
      <w:pPr>
        <w:keepNext/>
        <w:rPr>
          <w:rFonts w:ascii="Garamond" w:hAnsi="Garamond"/>
          <w:lang w:val="en-AU"/>
        </w:rPr>
      </w:pPr>
    </w:p>
    <w:p w:rsidR="009C1382" w:rsidRDefault="009C1382" w:rsidP="007B7116">
      <w:pPr>
        <w:keepNext/>
        <w:rPr>
          <w:rFonts w:ascii="Garamond" w:hAnsi="Garamond"/>
          <w:lang w:val="en-AU"/>
        </w:rPr>
      </w:pPr>
      <w:r w:rsidRPr="00F93700">
        <w:rPr>
          <w:rFonts w:ascii="Garamond" w:hAnsi="Garamond"/>
          <w:i/>
          <w:lang w:val="en-AU"/>
        </w:rPr>
        <w:t>Future Leaders Communiqué</w:t>
      </w:r>
    </w:p>
    <w:p w:rsidR="009C1382" w:rsidRDefault="00216708" w:rsidP="007B7116">
      <w:pPr>
        <w:keepNext/>
        <w:rPr>
          <w:rFonts w:ascii="Garamond" w:hAnsi="Garamond"/>
          <w:lang w:val="en-AU"/>
        </w:rPr>
      </w:pPr>
      <w:hyperlink r:id="rId32" w:history="1">
        <w:r w:rsidR="009C1382" w:rsidRPr="007509BC">
          <w:rPr>
            <w:rStyle w:val="Hyperlink"/>
            <w:rFonts w:ascii="Garamond" w:hAnsi="Garamond"/>
            <w:lang w:val="en-AU"/>
          </w:rPr>
          <w:t>https://www.thecommuniques.com/post/future-leaders-communiqu%C3%A9-volume-4-issue-3-july-2019</w:t>
        </w:r>
      </w:hyperlink>
    </w:p>
    <w:p w:rsidR="009C1382" w:rsidRPr="008127B8" w:rsidRDefault="009C1382" w:rsidP="009C1382">
      <w:pPr>
        <w:rPr>
          <w:rFonts w:ascii="Garamond" w:hAnsi="Garamond"/>
          <w:lang w:val="en-AU"/>
        </w:rPr>
      </w:pPr>
      <w:r w:rsidRPr="008127B8">
        <w:rPr>
          <w:rFonts w:ascii="Garamond" w:hAnsi="Garamond"/>
          <w:lang w:val="en-AU"/>
        </w:rPr>
        <w:t>Victorian Institute of Forensic Medicine</w:t>
      </w:r>
    </w:p>
    <w:p w:rsidR="009C1382" w:rsidRDefault="009C1382" w:rsidP="009C1382">
      <w:pPr>
        <w:rPr>
          <w:rFonts w:ascii="Garamond" w:hAnsi="Garamond"/>
          <w:lang w:val="en-AU"/>
        </w:rPr>
      </w:pPr>
      <w:r w:rsidRPr="00F93700">
        <w:rPr>
          <w:rFonts w:ascii="Garamond" w:hAnsi="Garamond"/>
          <w:lang w:val="en-AU"/>
        </w:rPr>
        <w:t xml:space="preserve">Volume </w:t>
      </w:r>
      <w:r>
        <w:rPr>
          <w:rFonts w:ascii="Garamond" w:hAnsi="Garamond"/>
          <w:lang w:val="en-AU"/>
        </w:rPr>
        <w:t>4</w:t>
      </w:r>
      <w:r w:rsidRPr="00F93700">
        <w:rPr>
          <w:rFonts w:ascii="Garamond" w:hAnsi="Garamond"/>
          <w:lang w:val="en-AU"/>
        </w:rPr>
        <w:t xml:space="preserve"> Issue </w:t>
      </w:r>
      <w:r>
        <w:rPr>
          <w:rFonts w:ascii="Garamond" w:hAnsi="Garamond"/>
          <w:lang w:val="en-AU"/>
        </w:rPr>
        <w:t>3 July 2019</w:t>
      </w:r>
    </w:p>
    <w:p w:rsidR="009C1382" w:rsidRDefault="009C1382" w:rsidP="009C1382">
      <w:pPr>
        <w:rPr>
          <w:rFonts w:ascii="Garamond" w:hAnsi="Garamond"/>
          <w:b/>
          <w:lang w:val="en-AU"/>
        </w:rPr>
      </w:pPr>
      <w:r w:rsidRPr="008127B8">
        <w:rPr>
          <w:rFonts w:ascii="Garamond" w:hAnsi="Garamond"/>
          <w:lang w:val="en-AU"/>
        </w:rPr>
        <w:t xml:space="preserve">This issue of the </w:t>
      </w:r>
      <w:r w:rsidRPr="00F93700">
        <w:rPr>
          <w:rFonts w:ascii="Garamond" w:hAnsi="Garamond"/>
          <w:i/>
          <w:lang w:val="en-AU"/>
        </w:rPr>
        <w:t>Future Leaders Communiqué</w:t>
      </w:r>
      <w:r w:rsidRPr="008127B8">
        <w:rPr>
          <w:rFonts w:ascii="Garamond" w:hAnsi="Garamond"/>
          <w:lang w:val="en-AU"/>
        </w:rPr>
        <w:t xml:space="preserve"> </w:t>
      </w:r>
      <w:r w:rsidR="00BE0C4F">
        <w:rPr>
          <w:rFonts w:ascii="Garamond" w:hAnsi="Garamond"/>
          <w:lang w:val="en-AU"/>
        </w:rPr>
        <w:t xml:space="preserve">looks at the </w:t>
      </w:r>
      <w:r w:rsidR="00BE0C4F" w:rsidRPr="00BE0C4F">
        <w:rPr>
          <w:rFonts w:ascii="Garamond" w:hAnsi="Garamond"/>
          <w:lang w:val="en-AU"/>
        </w:rPr>
        <w:t xml:space="preserve">coronial inquest into the death of a young woman who was misdiagnosed. The medical practitioner </w:t>
      </w:r>
      <w:r w:rsidR="00BE0C4F">
        <w:rPr>
          <w:rFonts w:ascii="Garamond" w:hAnsi="Garamond"/>
          <w:lang w:val="en-AU"/>
        </w:rPr>
        <w:t xml:space="preserve">involved </w:t>
      </w:r>
      <w:r w:rsidR="00BE0C4F" w:rsidRPr="00BE0C4F">
        <w:rPr>
          <w:rFonts w:ascii="Garamond" w:hAnsi="Garamond"/>
          <w:lang w:val="en-AU"/>
        </w:rPr>
        <w:t>was a junior doctor working in a busy emergency department</w:t>
      </w:r>
      <w:r w:rsidR="00BE0C4F">
        <w:rPr>
          <w:rFonts w:ascii="Garamond" w:hAnsi="Garamond"/>
          <w:lang w:val="en-AU"/>
        </w:rPr>
        <w:t xml:space="preserve"> and this issue discusses factors that can contribute to </w:t>
      </w:r>
      <w:r w:rsidR="00BE0C4F" w:rsidRPr="001A14DA">
        <w:rPr>
          <w:rFonts w:ascii="Garamond" w:hAnsi="Garamond"/>
          <w:b/>
          <w:lang w:val="en-AU"/>
        </w:rPr>
        <w:t>misdiagnosis</w:t>
      </w:r>
      <w:r w:rsidR="00BE0C4F" w:rsidRPr="00BE0C4F">
        <w:rPr>
          <w:rFonts w:ascii="Garamond" w:hAnsi="Garamond"/>
          <w:lang w:val="en-AU"/>
        </w:rPr>
        <w:t>.</w:t>
      </w:r>
      <w:r w:rsidR="001A14DA">
        <w:rPr>
          <w:rFonts w:ascii="Garamond" w:hAnsi="Garamond"/>
          <w:lang w:val="en-AU"/>
        </w:rPr>
        <w:t xml:space="preserve"> This issue also includes two expert commentaries on issues that related to the case: </w:t>
      </w:r>
      <w:r w:rsidR="001A14DA" w:rsidRPr="001A14DA">
        <w:rPr>
          <w:rFonts w:ascii="Garamond" w:hAnsi="Garamond"/>
          <w:b/>
          <w:lang w:val="en-AU"/>
        </w:rPr>
        <w:t>meningitis</w:t>
      </w:r>
      <w:r w:rsidR="001A14DA">
        <w:rPr>
          <w:rFonts w:ascii="Garamond" w:hAnsi="Garamond"/>
          <w:lang w:val="en-AU"/>
        </w:rPr>
        <w:t xml:space="preserve"> and the use of </w:t>
      </w:r>
      <w:r w:rsidR="001A14DA" w:rsidRPr="001A14DA">
        <w:rPr>
          <w:rFonts w:ascii="Garamond" w:hAnsi="Garamond"/>
          <w:b/>
          <w:lang w:val="en-AU"/>
        </w:rPr>
        <w:t>restraint</w:t>
      </w:r>
      <w:r w:rsidR="001A14DA">
        <w:rPr>
          <w:rFonts w:ascii="Garamond" w:hAnsi="Garamond"/>
          <w:lang w:val="en-AU"/>
        </w:rPr>
        <w:t>.</w:t>
      </w:r>
    </w:p>
    <w:p w:rsidR="009C1382" w:rsidRDefault="009C1382" w:rsidP="009C1382">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216708" w:rsidP="005A00FB">
      <w:pPr>
        <w:keepNext/>
        <w:keepLines/>
        <w:rPr>
          <w:rFonts w:ascii="Garamond" w:hAnsi="Garamond"/>
          <w:u w:val="single"/>
          <w:lang w:val="en-AU"/>
        </w:rPr>
      </w:pPr>
      <w:hyperlink r:id="rId33"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17CA5" w:rsidRDefault="009C1382" w:rsidP="009C1382">
      <w:pPr>
        <w:pStyle w:val="ListParagraph"/>
        <w:keepNext/>
        <w:keepLines/>
        <w:numPr>
          <w:ilvl w:val="0"/>
          <w:numId w:val="14"/>
        </w:numPr>
        <w:rPr>
          <w:rFonts w:ascii="Garamond" w:hAnsi="Garamond"/>
          <w:lang w:val="en-AU"/>
        </w:rPr>
      </w:pPr>
      <w:r>
        <w:rPr>
          <w:rFonts w:ascii="Garamond" w:hAnsi="Garamond"/>
          <w:lang w:val="en-AU"/>
        </w:rPr>
        <w:t xml:space="preserve">NICE Guideline NG61 </w:t>
      </w:r>
      <w:r w:rsidRPr="009C1382">
        <w:rPr>
          <w:rFonts w:ascii="Garamond" w:hAnsi="Garamond"/>
          <w:b/>
          <w:i/>
          <w:lang w:val="en-AU"/>
        </w:rPr>
        <w:t>End of life care</w:t>
      </w:r>
      <w:r w:rsidRPr="009C1382">
        <w:rPr>
          <w:rFonts w:ascii="Garamond" w:hAnsi="Garamond"/>
          <w:i/>
          <w:lang w:val="en-AU"/>
        </w:rPr>
        <w:t xml:space="preserve"> for infants, children and young people with life-limiting conditions: planning and management</w:t>
      </w:r>
      <w:r>
        <w:rPr>
          <w:rFonts w:ascii="Garamond" w:hAnsi="Garamond"/>
          <w:lang w:val="en-AU"/>
        </w:rPr>
        <w:t xml:space="preserve"> </w:t>
      </w:r>
      <w:hyperlink r:id="rId34" w:history="1">
        <w:r w:rsidRPr="007509BC">
          <w:rPr>
            <w:rStyle w:val="Hyperlink"/>
            <w:rFonts w:ascii="Garamond" w:hAnsi="Garamond"/>
            <w:lang w:val="en-AU"/>
          </w:rPr>
          <w:t>https://www.nice.org.uk/guidance/ng61</w:t>
        </w:r>
      </w:hyperlink>
    </w:p>
    <w:p w:rsidR="009C1382" w:rsidRDefault="009C1382" w:rsidP="009C1382">
      <w:pPr>
        <w:pStyle w:val="ListParagraph"/>
        <w:keepNext/>
        <w:keepLines/>
        <w:numPr>
          <w:ilvl w:val="0"/>
          <w:numId w:val="14"/>
        </w:numPr>
        <w:rPr>
          <w:rFonts w:ascii="Garamond" w:hAnsi="Garamond"/>
          <w:lang w:val="en-AU"/>
        </w:rPr>
      </w:pPr>
      <w:r>
        <w:rPr>
          <w:rFonts w:ascii="Garamond" w:hAnsi="Garamond"/>
          <w:lang w:val="en-AU"/>
        </w:rPr>
        <w:t xml:space="preserve">Clinical Guideline CG113 </w:t>
      </w:r>
      <w:r w:rsidRPr="009C1382">
        <w:rPr>
          <w:rFonts w:ascii="Garamond" w:hAnsi="Garamond"/>
          <w:b/>
          <w:i/>
          <w:lang w:val="en-AU"/>
        </w:rPr>
        <w:t>Generalised anxiety disorder</w:t>
      </w:r>
      <w:r w:rsidRPr="009C1382">
        <w:rPr>
          <w:rFonts w:ascii="Garamond" w:hAnsi="Garamond"/>
          <w:i/>
          <w:lang w:val="en-AU"/>
        </w:rPr>
        <w:t xml:space="preserve"> and </w:t>
      </w:r>
      <w:r w:rsidRPr="009C1382">
        <w:rPr>
          <w:rFonts w:ascii="Garamond" w:hAnsi="Garamond"/>
          <w:b/>
          <w:i/>
          <w:lang w:val="en-AU"/>
        </w:rPr>
        <w:t>panic disorder</w:t>
      </w:r>
      <w:r w:rsidRPr="009C1382">
        <w:rPr>
          <w:rFonts w:ascii="Garamond" w:hAnsi="Garamond"/>
          <w:i/>
          <w:lang w:val="en-AU"/>
        </w:rPr>
        <w:t xml:space="preserve"> in adults: management</w:t>
      </w:r>
      <w:r>
        <w:rPr>
          <w:rFonts w:ascii="Garamond" w:hAnsi="Garamond"/>
          <w:lang w:val="en-AU"/>
        </w:rPr>
        <w:t xml:space="preserve"> </w:t>
      </w:r>
      <w:hyperlink r:id="rId35" w:history="1">
        <w:r w:rsidRPr="007509BC">
          <w:rPr>
            <w:rStyle w:val="Hyperlink"/>
            <w:rFonts w:ascii="Garamond" w:hAnsi="Garamond"/>
            <w:lang w:val="en-AU"/>
          </w:rPr>
          <w:t>https://www.nice.org.uk/guidance/cg113</w:t>
        </w:r>
      </w:hyperlink>
    </w:p>
    <w:p w:rsidR="00BE0C4F" w:rsidRDefault="00BE0C4F" w:rsidP="00BE0C4F">
      <w:pPr>
        <w:pStyle w:val="ListParagraph"/>
        <w:keepNext/>
        <w:keepLines/>
        <w:numPr>
          <w:ilvl w:val="0"/>
          <w:numId w:val="14"/>
        </w:numPr>
        <w:rPr>
          <w:rFonts w:ascii="Garamond" w:hAnsi="Garamond"/>
          <w:lang w:val="en-AU"/>
        </w:rPr>
      </w:pPr>
      <w:r>
        <w:rPr>
          <w:rFonts w:ascii="Garamond" w:hAnsi="Garamond"/>
          <w:lang w:val="en-AU"/>
        </w:rPr>
        <w:t xml:space="preserve">Clinical Guideline CG173 </w:t>
      </w:r>
      <w:r w:rsidRPr="00BE0C4F">
        <w:rPr>
          <w:rFonts w:ascii="Garamond" w:hAnsi="Garamond"/>
          <w:b/>
          <w:i/>
          <w:lang w:val="en-AU"/>
        </w:rPr>
        <w:t>Neuropathic pain</w:t>
      </w:r>
      <w:r w:rsidRPr="00BE0C4F">
        <w:rPr>
          <w:rFonts w:ascii="Garamond" w:hAnsi="Garamond"/>
          <w:i/>
          <w:lang w:val="en-AU"/>
        </w:rPr>
        <w:t xml:space="preserve"> in adults: pharmacological management in non-specialist settings</w:t>
      </w:r>
      <w:r>
        <w:rPr>
          <w:rFonts w:ascii="Garamond" w:hAnsi="Garamond"/>
          <w:lang w:val="en-AU"/>
        </w:rPr>
        <w:t xml:space="preserve"> </w:t>
      </w:r>
      <w:hyperlink r:id="rId36" w:history="1">
        <w:r w:rsidRPr="007509BC">
          <w:rPr>
            <w:rStyle w:val="Hyperlink"/>
            <w:rFonts w:ascii="Garamond" w:hAnsi="Garamond"/>
            <w:lang w:val="en-AU"/>
          </w:rPr>
          <w:t>https://www.nice.org.uk/guidance/cg173</w:t>
        </w:r>
      </w:hyperlink>
    </w:p>
    <w:p w:rsidR="00BE0C4F" w:rsidRDefault="00BE0C4F" w:rsidP="00BE0C4F">
      <w:pPr>
        <w:pStyle w:val="ListParagraph"/>
        <w:keepNext/>
        <w:keepLines/>
        <w:numPr>
          <w:ilvl w:val="0"/>
          <w:numId w:val="14"/>
        </w:numPr>
        <w:rPr>
          <w:rFonts w:ascii="Garamond" w:hAnsi="Garamond"/>
          <w:lang w:val="en-AU"/>
        </w:rPr>
      </w:pPr>
      <w:r>
        <w:rPr>
          <w:rFonts w:ascii="Garamond" w:hAnsi="Garamond"/>
          <w:lang w:val="en-AU"/>
        </w:rPr>
        <w:t xml:space="preserve">Clinical Guideline CG186 </w:t>
      </w:r>
      <w:r w:rsidRPr="00BE0C4F">
        <w:rPr>
          <w:rFonts w:ascii="Garamond" w:hAnsi="Garamond"/>
          <w:b/>
          <w:i/>
          <w:lang w:val="en-AU"/>
        </w:rPr>
        <w:t>Multiple sclerosis</w:t>
      </w:r>
      <w:r w:rsidRPr="00BE0C4F">
        <w:rPr>
          <w:rFonts w:ascii="Garamond" w:hAnsi="Garamond"/>
          <w:i/>
          <w:lang w:val="en-AU"/>
        </w:rPr>
        <w:t xml:space="preserve"> in adults: management </w:t>
      </w:r>
      <w:hyperlink r:id="rId37" w:history="1">
        <w:r w:rsidRPr="007509BC">
          <w:rPr>
            <w:rStyle w:val="Hyperlink"/>
            <w:rFonts w:ascii="Garamond" w:hAnsi="Garamond"/>
            <w:lang w:val="en-AU"/>
          </w:rPr>
          <w:t>https://www.nice.org.uk/guidance/cg186</w:t>
        </w:r>
      </w:hyperlink>
    </w:p>
    <w:p w:rsidR="001A14DA" w:rsidRDefault="001A14DA" w:rsidP="001A14DA">
      <w:pPr>
        <w:pStyle w:val="ListParagraph"/>
        <w:keepNext/>
        <w:keepLines/>
        <w:numPr>
          <w:ilvl w:val="0"/>
          <w:numId w:val="14"/>
        </w:numPr>
        <w:rPr>
          <w:rFonts w:ascii="Garamond" w:hAnsi="Garamond"/>
          <w:lang w:val="en-AU"/>
        </w:rPr>
      </w:pPr>
      <w:r>
        <w:rPr>
          <w:rFonts w:ascii="Garamond" w:hAnsi="Garamond"/>
          <w:lang w:val="en-AU"/>
        </w:rPr>
        <w:t>Quality Standard QS14</w:t>
      </w:r>
      <w:r>
        <w:rPr>
          <w:rFonts w:ascii="Garamond" w:hAnsi="Garamond"/>
          <w:lang w:val="en-AU"/>
        </w:rPr>
        <w:t xml:space="preserve"> </w:t>
      </w:r>
      <w:r w:rsidRPr="001A14DA">
        <w:rPr>
          <w:rFonts w:ascii="Garamond" w:hAnsi="Garamond"/>
          <w:b/>
          <w:i/>
          <w:lang w:val="en-AU"/>
        </w:rPr>
        <w:t>Service user experience</w:t>
      </w:r>
      <w:r w:rsidRPr="001A14DA">
        <w:rPr>
          <w:rFonts w:ascii="Garamond" w:hAnsi="Garamond"/>
          <w:i/>
          <w:lang w:val="en-AU"/>
        </w:rPr>
        <w:t xml:space="preserve"> in adult mental health services </w:t>
      </w:r>
      <w:hyperlink r:id="rId38" w:history="1">
        <w:r w:rsidRPr="00D91045">
          <w:rPr>
            <w:rStyle w:val="Hyperlink"/>
            <w:rFonts w:ascii="Garamond" w:hAnsi="Garamond"/>
            <w:lang w:val="en-AU"/>
          </w:rPr>
          <w:t>https://www.nice.org.uk/guidance/qs14</w:t>
        </w:r>
      </w:hyperlink>
    </w:p>
    <w:p w:rsidR="001A14DA" w:rsidRDefault="001A14DA" w:rsidP="001A14DA">
      <w:pPr>
        <w:pStyle w:val="ListParagraph"/>
        <w:keepNext/>
        <w:keepLines/>
        <w:numPr>
          <w:ilvl w:val="0"/>
          <w:numId w:val="14"/>
        </w:numPr>
        <w:rPr>
          <w:rFonts w:ascii="Garamond" w:hAnsi="Garamond"/>
          <w:lang w:val="en-AU"/>
        </w:rPr>
      </w:pPr>
      <w:r>
        <w:rPr>
          <w:rFonts w:ascii="Garamond" w:hAnsi="Garamond"/>
          <w:lang w:val="en-AU"/>
        </w:rPr>
        <w:t xml:space="preserve">Quality Standard QS15 </w:t>
      </w:r>
      <w:r w:rsidRPr="001A14DA">
        <w:rPr>
          <w:rFonts w:ascii="Garamond" w:hAnsi="Garamond"/>
          <w:b/>
          <w:i/>
          <w:lang w:val="en-AU"/>
        </w:rPr>
        <w:t>Patient experience</w:t>
      </w:r>
      <w:r w:rsidRPr="001A14DA">
        <w:rPr>
          <w:rFonts w:ascii="Garamond" w:hAnsi="Garamond"/>
          <w:i/>
          <w:lang w:val="en-AU"/>
        </w:rPr>
        <w:t xml:space="preserve"> in adult NHS services </w:t>
      </w:r>
      <w:hyperlink r:id="rId39" w:history="1">
        <w:r w:rsidRPr="00D91045">
          <w:rPr>
            <w:rStyle w:val="Hyperlink"/>
            <w:rFonts w:ascii="Garamond" w:hAnsi="Garamond"/>
            <w:lang w:val="en-AU"/>
          </w:rPr>
          <w:t>https://www.nice.org.uk/guidance/qs15</w:t>
        </w:r>
      </w:hyperlink>
    </w:p>
    <w:p w:rsidR="00AF4D9D" w:rsidRDefault="00AF4D9D" w:rsidP="00FA11D5">
      <w:pPr>
        <w:keepLines/>
        <w:jc w:val="both"/>
        <w:rPr>
          <w:rFonts w:ascii="Garamond" w:hAnsi="Garamond"/>
          <w:lang w:val="en-AU"/>
        </w:rPr>
      </w:pPr>
    </w:p>
    <w:p w:rsidR="00317CA5" w:rsidRPr="007A47A8" w:rsidRDefault="00317CA5" w:rsidP="00317CA5">
      <w:pPr>
        <w:keepNext/>
        <w:keepLines/>
        <w:rPr>
          <w:rFonts w:ascii="Garamond" w:hAnsi="Garamond"/>
          <w:i/>
          <w:lang w:val="en-AU"/>
        </w:rPr>
      </w:pPr>
      <w:r w:rsidRPr="007A47A8">
        <w:rPr>
          <w:rFonts w:ascii="Garamond" w:hAnsi="Garamond"/>
          <w:i/>
          <w:lang w:val="en-AU"/>
        </w:rPr>
        <w:t>[UK] National Institute for Health Research</w:t>
      </w:r>
    </w:p>
    <w:p w:rsidR="00317CA5" w:rsidRDefault="00216708" w:rsidP="00317CA5">
      <w:pPr>
        <w:keepNext/>
        <w:keepLines/>
        <w:rPr>
          <w:rStyle w:val="Hyperlink"/>
          <w:rFonts w:ascii="Garamond" w:hAnsi="Garamond"/>
          <w:lang w:val="en-AU"/>
        </w:rPr>
      </w:pPr>
      <w:hyperlink r:id="rId40" w:history="1">
        <w:r w:rsidR="00317CA5" w:rsidRPr="00EC0041">
          <w:rPr>
            <w:rStyle w:val="Hyperlink"/>
            <w:rFonts w:ascii="Garamond" w:hAnsi="Garamond"/>
            <w:lang w:val="en-AU"/>
          </w:rPr>
          <w:t>https://discover.dc.nihr.ac.uk/portal/search/signals</w:t>
        </w:r>
      </w:hyperlink>
    </w:p>
    <w:p w:rsidR="00317CA5" w:rsidRDefault="00317CA5" w:rsidP="00317CA5">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Pulmonary rehabilitation may modestly improve anxiety and depression in adults with </w:t>
      </w:r>
      <w:r w:rsidRPr="00EE15C7">
        <w:rPr>
          <w:rFonts w:ascii="Garamond" w:hAnsi="Garamond"/>
          <w:b/>
          <w:lang w:val="en-AU"/>
        </w:rPr>
        <w:t>chronic obstructive pulmonary disease</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Mixed evidence shows some impact of mass media campaigns promoting </w:t>
      </w:r>
      <w:r w:rsidRPr="00EE15C7">
        <w:rPr>
          <w:rFonts w:ascii="Garamond" w:hAnsi="Garamond"/>
          <w:b/>
          <w:lang w:val="en-AU"/>
        </w:rPr>
        <w:t>tobacco control</w:t>
      </w:r>
      <w:r w:rsidRPr="00EE15C7">
        <w:rPr>
          <w:rFonts w:ascii="Garamond" w:hAnsi="Garamond"/>
          <w:lang w:val="en-AU"/>
        </w:rPr>
        <w:t>,</w:t>
      </w:r>
      <w:r w:rsidRPr="00EE15C7">
        <w:rPr>
          <w:rFonts w:ascii="Garamond" w:hAnsi="Garamond"/>
          <w:b/>
          <w:lang w:val="en-AU"/>
        </w:rPr>
        <w:t xml:space="preserve"> physical activity </w:t>
      </w:r>
      <w:r w:rsidRPr="00EE15C7">
        <w:rPr>
          <w:rFonts w:ascii="Garamond" w:hAnsi="Garamond"/>
          <w:lang w:val="en-AU"/>
        </w:rPr>
        <w:t>and</w:t>
      </w:r>
      <w:r w:rsidRPr="00EE15C7">
        <w:rPr>
          <w:rFonts w:ascii="Garamond" w:hAnsi="Garamond"/>
          <w:b/>
          <w:lang w:val="en-AU"/>
        </w:rPr>
        <w:t xml:space="preserve"> sexual health</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Whole-body MRI scans are as accurate as standard imaging pathways for </w:t>
      </w:r>
      <w:r w:rsidRPr="00EE15C7">
        <w:rPr>
          <w:rFonts w:ascii="Garamond" w:hAnsi="Garamond"/>
          <w:b/>
          <w:lang w:val="en-AU"/>
        </w:rPr>
        <w:t>lung cancer staging</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Whole-body MRI is effective for identifying metastatic disease in </w:t>
      </w:r>
      <w:r w:rsidRPr="00EE15C7">
        <w:rPr>
          <w:rFonts w:ascii="Garamond" w:hAnsi="Garamond"/>
          <w:b/>
          <w:lang w:val="en-AU"/>
        </w:rPr>
        <w:t>colorectal cancer</w:t>
      </w:r>
      <w:r w:rsidRPr="00EE15C7">
        <w:rPr>
          <w:rFonts w:ascii="Garamond" w:hAnsi="Garamond"/>
          <w:lang w:val="en-AU"/>
        </w:rPr>
        <w:t xml:space="preserve"> patients</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Levetiracetam is a useful alternative to phenytoin in stopping prolonged </w:t>
      </w:r>
      <w:r w:rsidRPr="00EE15C7">
        <w:rPr>
          <w:rFonts w:ascii="Garamond" w:hAnsi="Garamond"/>
          <w:b/>
          <w:lang w:val="en-AU"/>
        </w:rPr>
        <w:t>epileptic seizures</w:t>
      </w:r>
      <w:r w:rsidRPr="00EE15C7">
        <w:rPr>
          <w:rFonts w:ascii="Garamond" w:hAnsi="Garamond"/>
          <w:lang w:val="en-AU"/>
        </w:rPr>
        <w:t xml:space="preserve"> in children </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Transvaginal ultrasound and MRI achieve similar accuracy for diagnosing </w:t>
      </w:r>
      <w:r w:rsidRPr="00EE15C7">
        <w:rPr>
          <w:rFonts w:ascii="Garamond" w:hAnsi="Garamond"/>
          <w:b/>
          <w:lang w:val="en-AU"/>
        </w:rPr>
        <w:t>lower bowel endometriosis</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Routine use of </w:t>
      </w:r>
      <w:r w:rsidRPr="00EE15C7">
        <w:rPr>
          <w:rFonts w:ascii="Garamond" w:hAnsi="Garamond"/>
          <w:b/>
          <w:lang w:val="en-AU"/>
        </w:rPr>
        <w:t>progesterone does not prevent miscarriage</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Insights into the </w:t>
      </w:r>
      <w:r w:rsidRPr="00EE15C7">
        <w:rPr>
          <w:rFonts w:ascii="Garamond" w:hAnsi="Garamond"/>
          <w:b/>
          <w:lang w:val="en-AU"/>
        </w:rPr>
        <w:t>transfer between children’s and adults’ services</w:t>
      </w:r>
      <w:r w:rsidRPr="00EE15C7">
        <w:rPr>
          <w:rFonts w:ascii="Garamond" w:hAnsi="Garamond"/>
          <w:lang w:val="en-AU"/>
        </w:rPr>
        <w:t xml:space="preserve"> for young people with selected long-term conditions </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Placental growth factor testing can speed up </w:t>
      </w:r>
      <w:r w:rsidRPr="00EE15C7">
        <w:rPr>
          <w:rFonts w:ascii="Garamond" w:hAnsi="Garamond"/>
          <w:b/>
          <w:lang w:val="en-AU"/>
        </w:rPr>
        <w:t>diagnosis of pre-eclampsia</w:t>
      </w:r>
    </w:p>
    <w:p w:rsidR="00EE15C7" w:rsidRPr="00EE15C7" w:rsidRDefault="00EE15C7" w:rsidP="00EE15C7">
      <w:pPr>
        <w:pStyle w:val="ListParagraph"/>
        <w:keepLines/>
        <w:numPr>
          <w:ilvl w:val="0"/>
          <w:numId w:val="14"/>
        </w:numPr>
        <w:rPr>
          <w:rFonts w:ascii="Garamond" w:hAnsi="Garamond"/>
          <w:lang w:val="en-AU"/>
        </w:rPr>
      </w:pPr>
      <w:r w:rsidRPr="00EE15C7">
        <w:rPr>
          <w:rFonts w:ascii="Garamond" w:hAnsi="Garamond"/>
          <w:lang w:val="en-AU"/>
        </w:rPr>
        <w:t xml:space="preserve">Meaningful increases in </w:t>
      </w:r>
      <w:r w:rsidRPr="00EE15C7">
        <w:rPr>
          <w:rFonts w:ascii="Garamond" w:hAnsi="Garamond"/>
          <w:b/>
          <w:lang w:val="en-AU"/>
        </w:rPr>
        <w:t>physical activity levels after cancer</w:t>
      </w:r>
      <w:r w:rsidRPr="00EE15C7">
        <w:rPr>
          <w:rFonts w:ascii="Garamond" w:hAnsi="Garamond"/>
          <w:lang w:val="en-AU"/>
        </w:rPr>
        <w:t xml:space="preserve"> can be sustained for three months or more</w:t>
      </w:r>
    </w:p>
    <w:p w:rsidR="00494A24" w:rsidRDefault="00494A24" w:rsidP="00FA11D5">
      <w:pPr>
        <w:keepLines/>
        <w:jc w:val="both"/>
        <w:rPr>
          <w:rFonts w:ascii="Garamond" w:hAnsi="Garamond"/>
          <w:lang w:val="en-AU"/>
        </w:rPr>
      </w:pPr>
    </w:p>
    <w:p w:rsidR="00A32932" w:rsidRDefault="00A3293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16708">
      <w:rPr>
        <w:rStyle w:val="PageNumber"/>
        <w:noProof/>
      </w:rPr>
      <w:t>4</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9650B">
      <w:rPr>
        <w:rFonts w:ascii="Garamond" w:hAnsi="Garamond"/>
      </w:rPr>
      <w:t xml:space="preserve"> Issue 42</w:t>
    </w:r>
    <w:r w:rsidR="00317CA5">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16708">
      <w:rPr>
        <w:rStyle w:val="PageNumber"/>
        <w:rFonts w:ascii="Garamond" w:hAnsi="Garamond"/>
        <w:noProof/>
      </w:rPr>
      <w:t>3</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9650B">
      <w:rPr>
        <w:rFonts w:ascii="Garamond" w:hAnsi="Garamond"/>
      </w:rPr>
      <w:t xml:space="preserve"> Issue 42</w:t>
    </w:r>
    <w:r w:rsidR="00317CA5">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E5CAD"/>
    <w:multiLevelType w:val="hybridMultilevel"/>
    <w:tmpl w:val="26B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110DE"/>
    <w:multiLevelType w:val="hybridMultilevel"/>
    <w:tmpl w:val="788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33663"/>
    <w:multiLevelType w:val="hybridMultilevel"/>
    <w:tmpl w:val="422C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07303A"/>
    <w:multiLevelType w:val="hybridMultilevel"/>
    <w:tmpl w:val="B36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7D53B4"/>
    <w:multiLevelType w:val="hybridMultilevel"/>
    <w:tmpl w:val="DBF8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14"/>
  </w:num>
  <w:num w:numId="16">
    <w:abstractNumId w:val="10"/>
  </w:num>
  <w:num w:numId="17">
    <w:abstractNumId w:val="28"/>
  </w:num>
  <w:num w:numId="18">
    <w:abstractNumId w:val="19"/>
  </w:num>
  <w:num w:numId="19">
    <w:abstractNumId w:val="17"/>
  </w:num>
  <w:num w:numId="20">
    <w:abstractNumId w:val="15"/>
  </w:num>
  <w:num w:numId="21">
    <w:abstractNumId w:val="35"/>
  </w:num>
  <w:num w:numId="22">
    <w:abstractNumId w:val="31"/>
  </w:num>
  <w:num w:numId="23">
    <w:abstractNumId w:val="20"/>
  </w:num>
  <w:num w:numId="24">
    <w:abstractNumId w:val="25"/>
  </w:num>
  <w:num w:numId="25">
    <w:abstractNumId w:val="16"/>
  </w:num>
  <w:num w:numId="26">
    <w:abstractNumId w:val="32"/>
  </w:num>
  <w:num w:numId="27">
    <w:abstractNumId w:val="24"/>
  </w:num>
  <w:num w:numId="28">
    <w:abstractNumId w:val="36"/>
  </w:num>
  <w:num w:numId="29">
    <w:abstractNumId w:val="26"/>
  </w:num>
  <w:num w:numId="30">
    <w:abstractNumId w:val="18"/>
  </w:num>
  <w:num w:numId="31">
    <w:abstractNumId w:val="37"/>
  </w:num>
  <w:num w:numId="32">
    <w:abstractNumId w:val="30"/>
  </w:num>
  <w:num w:numId="33">
    <w:abstractNumId w:val="34"/>
  </w:num>
  <w:num w:numId="34">
    <w:abstractNumId w:val="13"/>
  </w:num>
  <w:num w:numId="35">
    <w:abstractNumId w:val="12"/>
  </w:num>
  <w:num w:numId="36">
    <w:abstractNumId w:val="23"/>
  </w:num>
  <w:num w:numId="37">
    <w:abstractNumId w:val="11"/>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05D83E2"/>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e-health-safety" TargetMode="External"/><Relationship Id="rId26" Type="http://schemas.openxmlformats.org/officeDocument/2006/relationships/hyperlink" Target="https://www.safetyandquality.gov.au/our-work/antimicrobial-stewardship" TargetMode="External"/><Relationship Id="rId39" Type="http://schemas.openxmlformats.org/officeDocument/2006/relationships/hyperlink" Target="https://www.nice.org.uk/guidance/qs15" TargetMode="External"/><Relationship Id="rId3" Type="http://schemas.openxmlformats.org/officeDocument/2006/relationships/styles" Target="styles.xml"/><Relationship Id="rId21" Type="http://schemas.openxmlformats.org/officeDocument/2006/relationships/hyperlink" Target="https://www.gov.uk/government/consultations/advancing-our-health-prevention-in-the-2020s" TargetMode="External"/><Relationship Id="rId34" Type="http://schemas.openxmlformats.org/officeDocument/2006/relationships/hyperlink" Target="https://www.nice.org.uk/guidance/ng61"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s://doi.org/10.1016/j.jgar.2019.07.009" TargetMode="External"/><Relationship Id="rId33" Type="http://schemas.openxmlformats.org/officeDocument/2006/relationships/hyperlink" Target="https://www.nice.org.uk/guidance" TargetMode="External"/><Relationship Id="rId38" Type="http://schemas.openxmlformats.org/officeDocument/2006/relationships/hyperlink" Target="https://www.nice.org.uk/guidance/qs14" TargetMode="External"/><Relationship Id="rId2" Type="http://schemas.openxmlformats.org/officeDocument/2006/relationships/numbering" Target="numbering.xml"/><Relationship Id="rId16" Type="http://schemas.openxmlformats.org/officeDocument/2006/relationships/hyperlink" Target="https://www.psa.org.au/advocacy/working-for-our-profession/connecting-the-dots-digitally-empowered-pharmacists/" TargetMode="External"/><Relationship Id="rId20" Type="http://schemas.openxmlformats.org/officeDocument/2006/relationships/hyperlink" Target="https://www.rathenau.nl/en/making-perfect-lives/health-centre" TargetMode="External"/><Relationship Id="rId29" Type="http://schemas.openxmlformats.org/officeDocument/2006/relationships/hyperlink" Target="https://www.publish.csiro.au/py/virtualissue/260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503/cmaj.190221" TargetMode="External"/><Relationship Id="rId32" Type="http://schemas.openxmlformats.org/officeDocument/2006/relationships/hyperlink" Target="https://www.thecommuniques.com/post/future-leaders-communiqu%C3%A9-volume-4-issue-3-july-2019" TargetMode="External"/><Relationship Id="rId37" Type="http://schemas.openxmlformats.org/officeDocument/2006/relationships/hyperlink" Target="https://www.nice.org.uk/guidance/cg186" TargetMode="External"/><Relationship Id="rId40" Type="http://schemas.openxmlformats.org/officeDocument/2006/relationships/hyperlink" Target="https://discover.dc.nihr.ac.uk/portal/search/signals" TargetMode="External"/><Relationship Id="rId5" Type="http://schemas.openxmlformats.org/officeDocument/2006/relationships/webSettings" Target="webSettings.xml"/><Relationship Id="rId15" Type="http://schemas.openxmlformats.org/officeDocument/2006/relationships/hyperlink" Target="https://doi.org/10.17226/25466" TargetMode="External"/><Relationship Id="rId23" Type="http://schemas.openxmlformats.org/officeDocument/2006/relationships/hyperlink" Target="https://www.smf.co.uk/publications/health-care-100-year-life/" TargetMode="External"/><Relationship Id="rId28" Type="http://schemas.openxmlformats.org/officeDocument/2006/relationships/hyperlink" Target="http://www.phrp.com.au/issues/july-2019-volume-29-issue-2/" TargetMode="External"/><Relationship Id="rId36" Type="http://schemas.openxmlformats.org/officeDocument/2006/relationships/hyperlink" Target="https://www.nice.org.uk/guidance/cg17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health.org.uk/publications/reports/emergency-admissions-to-hospital-from-care-homes" TargetMode="External"/><Relationship Id="rId31" Type="http://schemas.openxmlformats.org/officeDocument/2006/relationships/hyperlink" Target="https://tgldcdp.tg.org.au/fulltext/quicklinks/GPSummary_v9.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gov.uk/government/publications/whole-systems-approach-to-obesity" TargetMode="External"/><Relationship Id="rId27" Type="http://schemas.openxmlformats.org/officeDocument/2006/relationships/hyperlink" Target="https://doi.org/10.1136/bmj.l4774"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nice.org.uk/guidance/cg11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DB61-32F1-4456-A56B-AF16509F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On the Radar Issue 428</vt:lpstr>
    </vt:vector>
  </TitlesOfParts>
  <Company>ACSQHC</Company>
  <LinksUpToDate>false</LinksUpToDate>
  <CharactersWithSpaces>24472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428</dc:title>
  <dc:subject/>
  <dc:creator>Dr Niall Johnson</dc:creator>
  <cp:keywords/>
  <dc:description/>
  <cp:lastModifiedBy>Johnson, Niall</cp:lastModifiedBy>
  <cp:revision>18</cp:revision>
  <cp:lastPrinted>2018-03-02T02:34:00Z</cp:lastPrinted>
  <dcterms:created xsi:type="dcterms:W3CDTF">2019-07-28T21:13:00Z</dcterms:created>
  <dcterms:modified xsi:type="dcterms:W3CDTF">2019-08-02T02:35:00Z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