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6771D4">
        <w:rPr>
          <w:rFonts w:ascii="Garamond" w:hAnsi="Garamond"/>
          <w:lang w:val="en-AU"/>
        </w:rPr>
        <w:t>35</w:t>
      </w:r>
    </w:p>
    <w:p w:rsidR="00755242" w:rsidRDefault="006771D4" w:rsidP="00F738B5">
      <w:pPr>
        <w:rPr>
          <w:rFonts w:ascii="Garamond" w:hAnsi="Garamond"/>
          <w:lang w:val="en-AU"/>
        </w:rPr>
      </w:pPr>
      <w:r>
        <w:rPr>
          <w:rFonts w:ascii="Garamond" w:hAnsi="Garamond"/>
          <w:lang w:val="en-AU"/>
        </w:rPr>
        <w:t>23</w:t>
      </w:r>
      <w:r w:rsidR="0004028D">
        <w:rPr>
          <w:rFonts w:ascii="Garamond" w:hAnsi="Garamond"/>
          <w:lang w:val="en-AU"/>
        </w:rPr>
        <w:t xml:space="preserve"> September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317CA5" w:rsidRDefault="00317CA5" w:rsidP="00C17C82">
      <w:pPr>
        <w:keepNext/>
        <w:ind w:left="720" w:hanging="720"/>
        <w:rPr>
          <w:rFonts w:ascii="Garamond" w:hAnsi="Garamond"/>
          <w:b/>
          <w:lang w:val="en-AU"/>
        </w:rPr>
      </w:pPr>
      <w:r>
        <w:rPr>
          <w:rFonts w:ascii="Garamond" w:hAnsi="Garamond"/>
          <w:b/>
          <w:lang w:val="en-AU"/>
        </w:rPr>
        <w:t>Reports</w:t>
      </w:r>
    </w:p>
    <w:p w:rsidR="00042AC4" w:rsidRDefault="00042AC4" w:rsidP="00754494">
      <w:pPr>
        <w:keepNext/>
        <w:keepLines/>
        <w:autoSpaceDE w:val="0"/>
        <w:autoSpaceDN w:val="0"/>
        <w:adjustRightInd w:val="0"/>
        <w:rPr>
          <w:rFonts w:ascii="Garamond" w:hAnsi="Garamond"/>
          <w:lang w:val="en-AU"/>
        </w:rPr>
      </w:pPr>
    </w:p>
    <w:p w:rsidR="00AB0F54" w:rsidRPr="00042AC4" w:rsidRDefault="00042AC4" w:rsidP="00754494">
      <w:pPr>
        <w:keepNext/>
        <w:keepLines/>
        <w:autoSpaceDE w:val="0"/>
        <w:autoSpaceDN w:val="0"/>
        <w:adjustRightInd w:val="0"/>
        <w:rPr>
          <w:rFonts w:ascii="Garamond" w:hAnsi="Garamond"/>
          <w:i/>
          <w:lang w:val="en-AU"/>
        </w:rPr>
      </w:pPr>
      <w:r w:rsidRPr="00042AC4">
        <w:rPr>
          <w:rFonts w:ascii="Garamond" w:hAnsi="Garamond"/>
          <w:i/>
          <w:lang w:val="en-AU"/>
        </w:rPr>
        <w:t>The State of Patient Experience 2019: A Call to Action for the Future of Human Experience</w:t>
      </w:r>
    </w:p>
    <w:p w:rsidR="00685C11" w:rsidRDefault="00685C11" w:rsidP="00754494">
      <w:pPr>
        <w:keepNext/>
        <w:keepLines/>
        <w:autoSpaceDE w:val="0"/>
        <w:autoSpaceDN w:val="0"/>
        <w:adjustRightInd w:val="0"/>
        <w:rPr>
          <w:rFonts w:ascii="Garamond" w:hAnsi="Garamond"/>
          <w:lang w:val="en-AU"/>
        </w:rPr>
      </w:pPr>
      <w:r w:rsidRPr="00685C11">
        <w:rPr>
          <w:rFonts w:ascii="Garamond" w:hAnsi="Garamond"/>
          <w:lang w:val="en-AU"/>
        </w:rPr>
        <w:t>Wolf JA</w:t>
      </w:r>
    </w:p>
    <w:p w:rsidR="00042AC4" w:rsidRDefault="00685C11" w:rsidP="00754494">
      <w:pPr>
        <w:keepNext/>
        <w:keepLines/>
        <w:autoSpaceDE w:val="0"/>
        <w:autoSpaceDN w:val="0"/>
        <w:adjustRightInd w:val="0"/>
        <w:rPr>
          <w:rFonts w:ascii="Garamond" w:hAnsi="Garamond"/>
          <w:lang w:val="en-AU"/>
        </w:rPr>
      </w:pPr>
      <w:r w:rsidRPr="00685C11">
        <w:rPr>
          <w:rFonts w:ascii="Garamond" w:hAnsi="Garamond"/>
          <w:lang w:val="en-AU"/>
        </w:rPr>
        <w:t>Nashville: The Beryl Institute; 2019. p. 40.</w:t>
      </w:r>
    </w:p>
    <w:tbl>
      <w:tblPr>
        <w:tblStyle w:val="TableGrid"/>
        <w:tblW w:w="0" w:type="auto"/>
        <w:tblInd w:w="288" w:type="dxa"/>
        <w:tblLayout w:type="fixed"/>
        <w:tblLook w:val="01E0" w:firstRow="1" w:lastRow="1" w:firstColumn="1" w:lastColumn="1" w:noHBand="0" w:noVBand="0"/>
      </w:tblPr>
      <w:tblGrid>
        <w:gridCol w:w="1080"/>
        <w:gridCol w:w="8280"/>
      </w:tblGrid>
      <w:tr w:rsidR="002069DE"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FB3C6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356F" w:rsidRPr="000170DA" w:rsidRDefault="00865019" w:rsidP="007B356F">
            <w:pPr>
              <w:rPr>
                <w:rStyle w:val="Hyperlink"/>
                <w:rFonts w:ascii="Garamond" w:hAnsi="Garamond"/>
                <w:color w:val="auto"/>
                <w:u w:val="none"/>
                <w:lang w:val="en-AU"/>
              </w:rPr>
            </w:pPr>
            <w:hyperlink r:id="rId15" w:history="1">
              <w:r w:rsidR="00042AC4" w:rsidRPr="00E6515E">
                <w:rPr>
                  <w:rStyle w:val="Hyperlink"/>
                  <w:rFonts w:ascii="Garamond" w:hAnsi="Garamond"/>
                  <w:lang w:val="en-AU"/>
                </w:rPr>
                <w:t>https://www.theberylinstitute.org/general/custom.asp?page=PXBENCHMARKING</w:t>
              </w:r>
            </w:hyperlink>
          </w:p>
        </w:tc>
      </w:tr>
      <w:tr w:rsidR="002069DE"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FB3C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2AC4" w:rsidRPr="00042AC4" w:rsidRDefault="00042AC4" w:rsidP="00042AC4">
            <w:pPr>
              <w:rPr>
                <w:rFonts w:ascii="Garamond" w:hAnsi="Garamond"/>
                <w:lang w:val="en-AU"/>
              </w:rPr>
            </w:pPr>
            <w:r>
              <w:rPr>
                <w:rFonts w:ascii="Garamond" w:hAnsi="Garamond"/>
                <w:lang w:val="en-AU"/>
              </w:rPr>
              <w:t>The Beryl Institute in the USA produces a biennial ‘state of the art’ report on patient experience. The report aims to identify</w:t>
            </w:r>
            <w:r w:rsidRPr="00042AC4">
              <w:rPr>
                <w:rFonts w:ascii="Garamond" w:hAnsi="Garamond"/>
                <w:lang w:val="en-AU"/>
              </w:rPr>
              <w:t xml:space="preserve"> trends and share insights on patient experience including how healthcare professionals are structuring their experience efforts across the globe.</w:t>
            </w:r>
            <w:r>
              <w:rPr>
                <w:rFonts w:ascii="Garamond" w:hAnsi="Garamond"/>
                <w:lang w:val="en-AU"/>
              </w:rPr>
              <w:t xml:space="preserve"> The report suggests that:</w:t>
            </w:r>
          </w:p>
          <w:p w:rsidR="00042AC4" w:rsidRPr="00042AC4" w:rsidRDefault="00042AC4" w:rsidP="00CD7577">
            <w:pPr>
              <w:pStyle w:val="ListParagraph"/>
              <w:numPr>
                <w:ilvl w:val="0"/>
                <w:numId w:val="16"/>
              </w:numPr>
              <w:rPr>
                <w:rFonts w:ascii="Garamond" w:hAnsi="Garamond"/>
                <w:lang w:val="en-AU"/>
              </w:rPr>
            </w:pPr>
            <w:r w:rsidRPr="00042AC4">
              <w:rPr>
                <w:rFonts w:ascii="Garamond" w:hAnsi="Garamond"/>
                <w:lang w:val="en-AU"/>
              </w:rPr>
              <w:t>Patient experience efforts continue to mature and remain established within healthcare organisations</w:t>
            </w:r>
          </w:p>
          <w:p w:rsidR="00042AC4" w:rsidRPr="00042AC4" w:rsidRDefault="00042AC4" w:rsidP="00CD7577">
            <w:pPr>
              <w:pStyle w:val="ListParagraph"/>
              <w:numPr>
                <w:ilvl w:val="0"/>
                <w:numId w:val="16"/>
              </w:numPr>
              <w:rPr>
                <w:rFonts w:ascii="Garamond" w:hAnsi="Garamond"/>
                <w:lang w:val="en-AU"/>
              </w:rPr>
            </w:pPr>
            <w:r w:rsidRPr="00042AC4">
              <w:rPr>
                <w:rFonts w:ascii="Garamond" w:hAnsi="Garamond"/>
                <w:lang w:val="en-AU"/>
              </w:rPr>
              <w:t>An integrated view of experience continues to be supported and is grounded in the engagement of patients and families</w:t>
            </w:r>
          </w:p>
          <w:p w:rsidR="00042AC4" w:rsidRPr="00042AC4" w:rsidRDefault="00042AC4" w:rsidP="00CD7577">
            <w:pPr>
              <w:pStyle w:val="ListParagraph"/>
              <w:numPr>
                <w:ilvl w:val="0"/>
                <w:numId w:val="16"/>
              </w:numPr>
              <w:rPr>
                <w:rFonts w:ascii="Garamond" w:hAnsi="Garamond"/>
                <w:lang w:val="en-AU"/>
              </w:rPr>
            </w:pPr>
            <w:r w:rsidRPr="00042AC4">
              <w:rPr>
                <w:rFonts w:ascii="Garamond" w:hAnsi="Garamond"/>
                <w:lang w:val="en-AU"/>
              </w:rPr>
              <w:t>Focused leadership remains the greatest support of experience, while diluted leadership emerges as the biggest roadblock</w:t>
            </w:r>
          </w:p>
          <w:p w:rsidR="00042AC4" w:rsidRPr="00042AC4" w:rsidRDefault="00042AC4" w:rsidP="00CD7577">
            <w:pPr>
              <w:pStyle w:val="ListParagraph"/>
              <w:numPr>
                <w:ilvl w:val="0"/>
                <w:numId w:val="16"/>
              </w:numPr>
              <w:rPr>
                <w:rFonts w:ascii="Garamond" w:hAnsi="Garamond"/>
                <w:lang w:val="en-AU"/>
              </w:rPr>
            </w:pPr>
            <w:r w:rsidRPr="00042AC4">
              <w:rPr>
                <w:rFonts w:ascii="Garamond" w:hAnsi="Garamond"/>
                <w:lang w:val="en-AU"/>
              </w:rPr>
              <w:lastRenderedPageBreak/>
              <w:t>Culture is vital for achieving positive experience efforts, signifying a growing recognition that the types of organizations we build in healthcare are the foundations for experience provided</w:t>
            </w:r>
          </w:p>
          <w:p w:rsidR="00042AC4" w:rsidRPr="00042AC4" w:rsidRDefault="00042AC4" w:rsidP="00CD7577">
            <w:pPr>
              <w:pStyle w:val="ListParagraph"/>
              <w:numPr>
                <w:ilvl w:val="0"/>
                <w:numId w:val="16"/>
              </w:numPr>
              <w:rPr>
                <w:rFonts w:ascii="Garamond" w:hAnsi="Garamond"/>
                <w:lang w:val="en-AU"/>
              </w:rPr>
            </w:pPr>
            <w:r w:rsidRPr="00042AC4">
              <w:rPr>
                <w:rFonts w:ascii="Garamond" w:hAnsi="Garamond"/>
                <w:lang w:val="en-AU"/>
              </w:rPr>
              <w:t>Healthcare organisations are utilizing social media feedback as a tool to measure their overall improvement in patient experience.</w:t>
            </w:r>
          </w:p>
        </w:tc>
      </w:tr>
    </w:tbl>
    <w:p w:rsidR="002069DE" w:rsidRDefault="002069DE" w:rsidP="00053F66">
      <w:pPr>
        <w:ind w:left="720" w:hanging="720"/>
        <w:rPr>
          <w:rFonts w:ascii="Garamond" w:hAnsi="Garamond"/>
          <w:b/>
          <w:lang w:val="en-AU"/>
        </w:rPr>
      </w:pPr>
    </w:p>
    <w:p w:rsidR="00685C11" w:rsidRDefault="00685C11" w:rsidP="00685C11">
      <w:pPr>
        <w:keepNext/>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person-centred care, </w:t>
      </w:r>
      <w:r w:rsidRPr="006C5462">
        <w:rPr>
          <w:rFonts w:ascii="Garamond" w:hAnsi="Garamond"/>
          <w:lang w:val="en-AU"/>
        </w:rPr>
        <w:t>see</w:t>
      </w:r>
      <w:r>
        <w:rPr>
          <w:rFonts w:ascii="Garamond" w:hAnsi="Garamond"/>
          <w:lang w:val="en-AU"/>
        </w:rPr>
        <w:t xml:space="preserve"> </w:t>
      </w:r>
      <w:hyperlink r:id="rId16" w:history="1">
        <w:r w:rsidRPr="00E6515E">
          <w:rPr>
            <w:rStyle w:val="Hyperlink"/>
            <w:rFonts w:ascii="Garamond" w:hAnsi="Garamond"/>
            <w:lang w:val="en-AU"/>
          </w:rPr>
          <w:t>https://www.safetyandquality.gov.au/our-work/partnering-consumers/person-centred-care</w:t>
        </w:r>
      </w:hyperlink>
    </w:p>
    <w:p w:rsidR="00685C11" w:rsidRPr="00685C11" w:rsidRDefault="00685C11" w:rsidP="00685C11">
      <w:pPr>
        <w:keepNext/>
        <w:rPr>
          <w:rFonts w:ascii="Garamond" w:hAnsi="Garamond"/>
          <w:lang w:val="en-AU"/>
        </w:rPr>
      </w:pPr>
    </w:p>
    <w:p w:rsidR="002F7EE4" w:rsidRPr="005B57C1" w:rsidRDefault="005B57C1" w:rsidP="00754494">
      <w:pPr>
        <w:keepNext/>
        <w:keepLines/>
        <w:autoSpaceDE w:val="0"/>
        <w:autoSpaceDN w:val="0"/>
        <w:adjustRightInd w:val="0"/>
        <w:rPr>
          <w:rFonts w:ascii="Garamond" w:hAnsi="Garamond"/>
          <w:i/>
          <w:lang w:val="en-AU"/>
        </w:rPr>
      </w:pPr>
      <w:r w:rsidRPr="005B57C1">
        <w:rPr>
          <w:rFonts w:ascii="Garamond" w:hAnsi="Garamond"/>
          <w:i/>
          <w:lang w:val="en-AU"/>
        </w:rPr>
        <w:t>PHE Strategy 2020 to 2025</w:t>
      </w:r>
    </w:p>
    <w:p w:rsidR="00180EE2" w:rsidRDefault="00180EE2" w:rsidP="00754494">
      <w:pPr>
        <w:keepNext/>
        <w:keepLines/>
        <w:autoSpaceDE w:val="0"/>
        <w:autoSpaceDN w:val="0"/>
        <w:adjustRightInd w:val="0"/>
        <w:rPr>
          <w:rFonts w:ascii="Garamond" w:hAnsi="Garamond"/>
          <w:lang w:val="en-AU"/>
        </w:rPr>
      </w:pPr>
      <w:r w:rsidRPr="00180EE2">
        <w:rPr>
          <w:rFonts w:ascii="Garamond" w:hAnsi="Garamond"/>
          <w:lang w:val="en-AU"/>
        </w:rPr>
        <w:t>Public Health England</w:t>
      </w:r>
    </w:p>
    <w:p w:rsidR="005B57C1" w:rsidRDefault="00180EE2" w:rsidP="00754494">
      <w:pPr>
        <w:keepNext/>
        <w:keepLines/>
        <w:autoSpaceDE w:val="0"/>
        <w:autoSpaceDN w:val="0"/>
        <w:adjustRightInd w:val="0"/>
        <w:rPr>
          <w:rFonts w:ascii="Garamond" w:hAnsi="Garamond"/>
          <w:lang w:val="en-AU"/>
        </w:rPr>
      </w:pPr>
      <w:r w:rsidRPr="00180EE2">
        <w:rPr>
          <w:rFonts w:ascii="Garamond" w:hAnsi="Garamond"/>
          <w:lang w:val="en-AU"/>
        </w:rPr>
        <w:t>London: Public Health England; 2019. p. 40.</w:t>
      </w:r>
    </w:p>
    <w:tbl>
      <w:tblPr>
        <w:tblStyle w:val="TableGrid"/>
        <w:tblW w:w="0" w:type="auto"/>
        <w:tblInd w:w="288" w:type="dxa"/>
        <w:tblLayout w:type="fixed"/>
        <w:tblLook w:val="01E0" w:firstRow="1" w:lastRow="1" w:firstColumn="1" w:lastColumn="1" w:noHBand="0" w:noVBand="0"/>
      </w:tblPr>
      <w:tblGrid>
        <w:gridCol w:w="1080"/>
        <w:gridCol w:w="8280"/>
      </w:tblGrid>
      <w:tr w:rsidR="00754494"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754494" w:rsidRPr="000170DA" w:rsidRDefault="00754494" w:rsidP="00FB3C6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4494" w:rsidRPr="000170DA" w:rsidRDefault="00865019" w:rsidP="00FB3C66">
            <w:pPr>
              <w:rPr>
                <w:rStyle w:val="Hyperlink"/>
                <w:rFonts w:ascii="Garamond" w:hAnsi="Garamond"/>
                <w:color w:val="auto"/>
                <w:u w:val="none"/>
                <w:lang w:val="en-AU"/>
              </w:rPr>
            </w:pPr>
            <w:hyperlink r:id="rId17" w:history="1">
              <w:r w:rsidR="005B57C1" w:rsidRPr="00F5244A">
                <w:rPr>
                  <w:rStyle w:val="Hyperlink"/>
                  <w:rFonts w:ascii="Garamond" w:hAnsi="Garamond"/>
                  <w:lang w:val="en-AU"/>
                </w:rPr>
                <w:t>https://www.gov.uk/government/publications/phe-strategy-2020-to-2025</w:t>
              </w:r>
            </w:hyperlink>
          </w:p>
        </w:tc>
      </w:tr>
      <w:tr w:rsidR="00754494"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754494" w:rsidRPr="000170DA" w:rsidRDefault="00754494" w:rsidP="00FB3C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4494" w:rsidRDefault="00180EE2" w:rsidP="00180EE2">
            <w:pPr>
              <w:rPr>
                <w:rFonts w:ascii="Garamond" w:hAnsi="Garamond"/>
                <w:lang w:val="en-AU"/>
              </w:rPr>
            </w:pPr>
            <w:r>
              <w:rPr>
                <w:rFonts w:ascii="Garamond" w:hAnsi="Garamond"/>
                <w:lang w:val="en-AU"/>
              </w:rPr>
              <w:t>Public Health England (PHE) has released their strategic plan setting out their priorities for the coming 5 years. PHE’s stated purpose is ‘</w:t>
            </w:r>
            <w:r w:rsidRPr="00180EE2">
              <w:rPr>
                <w:rFonts w:ascii="Garamond" w:hAnsi="Garamond"/>
                <w:lang w:val="en-AU"/>
              </w:rPr>
              <w:t>keeping</w:t>
            </w:r>
            <w:r w:rsidR="00053F66">
              <w:rPr>
                <w:rFonts w:ascii="Garamond" w:hAnsi="Garamond"/>
                <w:lang w:val="en-AU"/>
              </w:rPr>
              <w:t xml:space="preserve"> </w:t>
            </w:r>
            <w:r w:rsidRPr="00180EE2">
              <w:rPr>
                <w:rFonts w:ascii="Garamond" w:hAnsi="Garamond"/>
                <w:lang w:val="en-AU"/>
              </w:rPr>
              <w:t>people safe, preventing poor health, narrowing the health gap and supporting a strong</w:t>
            </w:r>
            <w:r w:rsidR="00053F66">
              <w:rPr>
                <w:rFonts w:ascii="Garamond" w:hAnsi="Garamond"/>
                <w:lang w:val="en-AU"/>
              </w:rPr>
              <w:t xml:space="preserve"> </w:t>
            </w:r>
            <w:r w:rsidRPr="00180EE2">
              <w:rPr>
                <w:rFonts w:ascii="Garamond" w:hAnsi="Garamond"/>
                <w:lang w:val="en-AU"/>
              </w:rPr>
              <w:t>economy</w:t>
            </w:r>
            <w:r>
              <w:rPr>
                <w:rFonts w:ascii="Garamond" w:hAnsi="Garamond"/>
                <w:lang w:val="en-AU"/>
              </w:rPr>
              <w:t xml:space="preserve">’. </w:t>
            </w:r>
            <w:r w:rsidR="00053F66">
              <w:rPr>
                <w:rFonts w:ascii="Garamond" w:hAnsi="Garamond"/>
                <w:lang w:val="en-AU"/>
              </w:rPr>
              <w:t>The priorities for the next five years include:</w:t>
            </w:r>
          </w:p>
          <w:p w:rsidR="00053F66" w:rsidRPr="00053F66" w:rsidRDefault="00053F66" w:rsidP="00CD7577">
            <w:pPr>
              <w:pStyle w:val="ListParagraph"/>
              <w:numPr>
                <w:ilvl w:val="0"/>
                <w:numId w:val="20"/>
              </w:numPr>
              <w:rPr>
                <w:rFonts w:ascii="Garamond" w:hAnsi="Garamond"/>
                <w:lang w:val="en-AU"/>
              </w:rPr>
            </w:pPr>
            <w:r w:rsidRPr="00053F66">
              <w:rPr>
                <w:rFonts w:ascii="Garamond" w:hAnsi="Garamond"/>
                <w:lang w:val="en-AU"/>
              </w:rPr>
              <w:t>smoke-free society</w:t>
            </w:r>
          </w:p>
          <w:p w:rsidR="00053F66" w:rsidRPr="00053F66" w:rsidRDefault="00053F66" w:rsidP="00CD7577">
            <w:pPr>
              <w:pStyle w:val="ListParagraph"/>
              <w:numPr>
                <w:ilvl w:val="0"/>
                <w:numId w:val="20"/>
              </w:numPr>
              <w:rPr>
                <w:rFonts w:ascii="Garamond" w:hAnsi="Garamond"/>
                <w:lang w:val="en-AU"/>
              </w:rPr>
            </w:pPr>
            <w:r w:rsidRPr="00053F66">
              <w:rPr>
                <w:rFonts w:ascii="Garamond" w:hAnsi="Garamond"/>
                <w:lang w:val="en-AU"/>
              </w:rPr>
              <w:t>healthier diets, healthier weight</w:t>
            </w:r>
          </w:p>
          <w:p w:rsidR="00053F66" w:rsidRPr="00053F66" w:rsidRDefault="00053F66" w:rsidP="00CD7577">
            <w:pPr>
              <w:pStyle w:val="ListParagraph"/>
              <w:numPr>
                <w:ilvl w:val="0"/>
                <w:numId w:val="20"/>
              </w:numPr>
              <w:rPr>
                <w:rFonts w:ascii="Garamond" w:hAnsi="Garamond"/>
                <w:lang w:val="en-AU"/>
              </w:rPr>
            </w:pPr>
            <w:r w:rsidRPr="00053F66">
              <w:rPr>
                <w:rFonts w:ascii="Garamond" w:hAnsi="Garamond"/>
                <w:lang w:val="en-AU"/>
              </w:rPr>
              <w:t>cleaner air</w:t>
            </w:r>
          </w:p>
          <w:p w:rsidR="00053F66" w:rsidRPr="00053F66" w:rsidRDefault="00053F66" w:rsidP="00CD7577">
            <w:pPr>
              <w:pStyle w:val="ListParagraph"/>
              <w:numPr>
                <w:ilvl w:val="0"/>
                <w:numId w:val="20"/>
              </w:numPr>
              <w:rPr>
                <w:rFonts w:ascii="Garamond" w:hAnsi="Garamond"/>
                <w:lang w:val="en-AU"/>
              </w:rPr>
            </w:pPr>
            <w:r w:rsidRPr="00053F66">
              <w:rPr>
                <w:rFonts w:ascii="Garamond" w:hAnsi="Garamond"/>
                <w:lang w:val="en-AU"/>
              </w:rPr>
              <w:t>better mental health</w:t>
            </w:r>
          </w:p>
          <w:p w:rsidR="00053F66" w:rsidRPr="00053F66" w:rsidRDefault="00053F66" w:rsidP="00CD7577">
            <w:pPr>
              <w:pStyle w:val="ListParagraph"/>
              <w:numPr>
                <w:ilvl w:val="0"/>
                <w:numId w:val="20"/>
              </w:numPr>
              <w:rPr>
                <w:rFonts w:ascii="Garamond" w:hAnsi="Garamond"/>
                <w:lang w:val="en-AU"/>
              </w:rPr>
            </w:pPr>
            <w:r w:rsidRPr="00053F66">
              <w:rPr>
                <w:rFonts w:ascii="Garamond" w:hAnsi="Garamond"/>
                <w:lang w:val="en-AU"/>
              </w:rPr>
              <w:t>best start in life</w:t>
            </w:r>
          </w:p>
          <w:p w:rsidR="00053F66" w:rsidRPr="00053F66" w:rsidRDefault="00053F66" w:rsidP="00CD7577">
            <w:pPr>
              <w:pStyle w:val="ListParagraph"/>
              <w:numPr>
                <w:ilvl w:val="0"/>
                <w:numId w:val="20"/>
              </w:numPr>
              <w:rPr>
                <w:rFonts w:ascii="Garamond" w:hAnsi="Garamond"/>
                <w:lang w:val="en-AU"/>
              </w:rPr>
            </w:pPr>
            <w:r w:rsidRPr="00053F66">
              <w:rPr>
                <w:rFonts w:ascii="Garamond" w:hAnsi="Garamond"/>
                <w:lang w:val="en-AU"/>
              </w:rPr>
              <w:t>effective responses to major incidents</w:t>
            </w:r>
          </w:p>
          <w:p w:rsidR="00053F66" w:rsidRPr="00053F66" w:rsidRDefault="00053F66" w:rsidP="00CD7577">
            <w:pPr>
              <w:pStyle w:val="ListParagraph"/>
              <w:numPr>
                <w:ilvl w:val="0"/>
                <w:numId w:val="20"/>
              </w:numPr>
              <w:rPr>
                <w:rFonts w:ascii="Garamond" w:hAnsi="Garamond"/>
                <w:lang w:val="en-AU"/>
              </w:rPr>
            </w:pPr>
            <w:r w:rsidRPr="00053F66">
              <w:rPr>
                <w:rFonts w:ascii="Garamond" w:hAnsi="Garamond"/>
                <w:lang w:val="en-AU"/>
              </w:rPr>
              <w:t>reduced risk from antimicrobial resistance</w:t>
            </w:r>
          </w:p>
          <w:p w:rsidR="00053F66" w:rsidRPr="00053F66" w:rsidRDefault="00053F66" w:rsidP="00CD7577">
            <w:pPr>
              <w:pStyle w:val="ListParagraph"/>
              <w:numPr>
                <w:ilvl w:val="0"/>
                <w:numId w:val="20"/>
              </w:numPr>
              <w:rPr>
                <w:rFonts w:ascii="Garamond" w:hAnsi="Garamond"/>
                <w:lang w:val="en-AU"/>
              </w:rPr>
            </w:pPr>
            <w:r w:rsidRPr="00053F66">
              <w:rPr>
                <w:rFonts w:ascii="Garamond" w:hAnsi="Garamond"/>
                <w:lang w:val="en-AU"/>
              </w:rPr>
              <w:t>predictive prevention</w:t>
            </w:r>
          </w:p>
          <w:p w:rsidR="00053F66" w:rsidRPr="00053F66" w:rsidRDefault="00053F66" w:rsidP="00CD7577">
            <w:pPr>
              <w:pStyle w:val="ListParagraph"/>
              <w:numPr>
                <w:ilvl w:val="0"/>
                <w:numId w:val="20"/>
              </w:numPr>
              <w:rPr>
                <w:rFonts w:ascii="Garamond" w:hAnsi="Garamond"/>
                <w:lang w:val="en-AU"/>
              </w:rPr>
            </w:pPr>
            <w:r w:rsidRPr="00053F66">
              <w:rPr>
                <w:rFonts w:ascii="Garamond" w:hAnsi="Garamond"/>
                <w:lang w:val="en-AU"/>
              </w:rPr>
              <w:t>enhanced data and surveillance capabilities</w:t>
            </w:r>
          </w:p>
          <w:p w:rsidR="00053F66" w:rsidRDefault="00053F66" w:rsidP="00CD7577">
            <w:pPr>
              <w:pStyle w:val="ListParagraph"/>
              <w:numPr>
                <w:ilvl w:val="0"/>
                <w:numId w:val="20"/>
              </w:numPr>
              <w:rPr>
                <w:rFonts w:ascii="Garamond" w:hAnsi="Garamond"/>
                <w:lang w:val="en-AU"/>
              </w:rPr>
            </w:pPr>
            <w:r w:rsidRPr="00053F66">
              <w:rPr>
                <w:rFonts w:ascii="Garamond" w:hAnsi="Garamond"/>
                <w:lang w:val="en-AU"/>
              </w:rPr>
              <w:t>new national science campus.</w:t>
            </w:r>
          </w:p>
          <w:p w:rsidR="00053F66" w:rsidRPr="00053F66" w:rsidRDefault="00053F66" w:rsidP="00053F66">
            <w:pPr>
              <w:jc w:val="center"/>
              <w:rPr>
                <w:rFonts w:ascii="Garamond" w:hAnsi="Garamond"/>
                <w:lang w:val="en-AU"/>
              </w:rPr>
            </w:pPr>
            <w:r>
              <w:rPr>
                <w:rFonts w:ascii="Garamond" w:hAnsi="Garamond"/>
                <w:noProof/>
                <w:lang w:val="en-AU" w:eastAsia="en-AU"/>
              </w:rPr>
              <w:drawing>
                <wp:inline distT="0" distB="0" distL="0" distR="0">
                  <wp:extent cx="4334933" cy="3933360"/>
                  <wp:effectExtent l="0" t="0" r="8890" b="0"/>
                  <wp:docPr id="1" name="Picture 1" descr="\\central.health\DfsUserEnv\Users\User_07\JOHNNI\Pictures\PH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PH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1844" cy="3948704"/>
                          </a:xfrm>
                          <a:prstGeom prst="rect">
                            <a:avLst/>
                          </a:prstGeom>
                          <a:noFill/>
                          <a:ln>
                            <a:noFill/>
                          </a:ln>
                        </pic:spPr>
                      </pic:pic>
                    </a:graphicData>
                  </a:graphic>
                </wp:inline>
              </w:drawing>
            </w:r>
          </w:p>
        </w:tc>
      </w:tr>
    </w:tbl>
    <w:p w:rsidR="00282D29" w:rsidRDefault="00282D29" w:rsidP="00C17C82">
      <w:pPr>
        <w:keepNext/>
        <w:ind w:left="720" w:hanging="720"/>
        <w:rPr>
          <w:rFonts w:ascii="Garamond" w:hAnsi="Garamond"/>
          <w:b/>
          <w:lang w:val="en-AU"/>
        </w:rPr>
      </w:pPr>
      <w:r>
        <w:rPr>
          <w:rFonts w:ascii="Garamond" w:hAnsi="Garamond"/>
          <w:b/>
          <w:lang w:val="en-AU"/>
        </w:rPr>
        <w:t>Journal articles</w:t>
      </w:r>
    </w:p>
    <w:p w:rsidR="00AC272C" w:rsidRDefault="00AC272C" w:rsidP="00AC272C">
      <w:pPr>
        <w:keepNext/>
        <w:keepLines/>
        <w:autoSpaceDE w:val="0"/>
        <w:autoSpaceDN w:val="0"/>
        <w:adjustRightInd w:val="0"/>
        <w:rPr>
          <w:rFonts w:ascii="Garamond" w:hAnsi="Garamond"/>
          <w:lang w:val="en-AU"/>
        </w:rPr>
      </w:pPr>
    </w:p>
    <w:p w:rsidR="00C32984" w:rsidRPr="00C32984" w:rsidRDefault="00C32984" w:rsidP="00C32984">
      <w:pPr>
        <w:keepNext/>
        <w:keepLines/>
        <w:autoSpaceDE w:val="0"/>
        <w:autoSpaceDN w:val="0"/>
        <w:adjustRightInd w:val="0"/>
        <w:rPr>
          <w:rFonts w:ascii="Garamond" w:hAnsi="Garamond"/>
          <w:i/>
          <w:lang w:val="en-AU"/>
        </w:rPr>
      </w:pPr>
      <w:r w:rsidRPr="00C32984">
        <w:rPr>
          <w:rFonts w:ascii="Garamond" w:hAnsi="Garamond"/>
          <w:i/>
          <w:lang w:val="en-AU"/>
        </w:rPr>
        <w:t>Five reasons for optimism on World Patient Safety Day</w:t>
      </w:r>
    </w:p>
    <w:p w:rsidR="006F1231" w:rsidRDefault="006F1231" w:rsidP="00C32984">
      <w:pPr>
        <w:keepNext/>
        <w:keepLines/>
        <w:autoSpaceDE w:val="0"/>
        <w:autoSpaceDN w:val="0"/>
        <w:adjustRightInd w:val="0"/>
        <w:rPr>
          <w:rFonts w:ascii="Garamond" w:hAnsi="Garamond"/>
          <w:lang w:val="en-AU"/>
        </w:rPr>
      </w:pPr>
      <w:r w:rsidRPr="006F1231">
        <w:rPr>
          <w:rFonts w:ascii="Garamond" w:hAnsi="Garamond"/>
          <w:lang w:val="en-AU"/>
        </w:rPr>
        <w:t>Fontana G, Flott K, Dhingra-Kumar N, Durkin M, Darzi A</w:t>
      </w:r>
    </w:p>
    <w:p w:rsidR="00C32984" w:rsidRDefault="006F1231" w:rsidP="00C32984">
      <w:pPr>
        <w:keepNext/>
        <w:keepLines/>
        <w:autoSpaceDE w:val="0"/>
        <w:autoSpaceDN w:val="0"/>
        <w:adjustRightInd w:val="0"/>
        <w:rPr>
          <w:rFonts w:ascii="Garamond" w:hAnsi="Garamond"/>
          <w:lang w:val="en-AU"/>
        </w:rPr>
      </w:pPr>
      <w:r w:rsidRPr="006F1231">
        <w:rPr>
          <w:rFonts w:ascii="Garamond" w:hAnsi="Garamond"/>
          <w:lang w:val="en-AU"/>
        </w:rPr>
        <w:t>The Lancet. 2019</w:t>
      </w:r>
      <w:r w:rsidR="00442BD2">
        <w:rPr>
          <w:rFonts w:ascii="Garamond" w:hAnsi="Garamond"/>
          <w:lang w:val="en-AU"/>
        </w:rPr>
        <w:t xml:space="preserve"> [epub]</w:t>
      </w:r>
      <w:r w:rsidRPr="006F1231">
        <w:rPr>
          <w:rFonts w:ascii="Garamond" w:hAnsi="Garamond"/>
          <w:lang w:val="en-AU"/>
        </w:rPr>
        <w:t>.</w:t>
      </w:r>
    </w:p>
    <w:p w:rsidR="006F1231" w:rsidRDefault="006F1231" w:rsidP="00C32984">
      <w:pPr>
        <w:keepNext/>
        <w:keepLines/>
        <w:autoSpaceDE w:val="0"/>
        <w:autoSpaceDN w:val="0"/>
        <w:adjustRightInd w:val="0"/>
        <w:rPr>
          <w:rFonts w:ascii="Garamond" w:hAnsi="Garamond"/>
          <w:lang w:val="en-AU"/>
        </w:rPr>
      </w:pPr>
    </w:p>
    <w:p w:rsidR="006F1231" w:rsidRPr="006F1231" w:rsidRDefault="006F1231" w:rsidP="006F1231">
      <w:pPr>
        <w:keepNext/>
        <w:keepLines/>
        <w:autoSpaceDE w:val="0"/>
        <w:autoSpaceDN w:val="0"/>
        <w:adjustRightInd w:val="0"/>
        <w:rPr>
          <w:rFonts w:ascii="Garamond" w:hAnsi="Garamond"/>
          <w:i/>
          <w:lang w:val="en-AU"/>
        </w:rPr>
      </w:pPr>
      <w:r w:rsidRPr="006F1231">
        <w:rPr>
          <w:rFonts w:ascii="Garamond" w:hAnsi="Garamond"/>
          <w:i/>
          <w:lang w:val="en-AU"/>
        </w:rPr>
        <w:t>Patient safety: too little, but not too late</w:t>
      </w:r>
    </w:p>
    <w:p w:rsidR="006F1231" w:rsidRDefault="006F1231" w:rsidP="00C32984">
      <w:pPr>
        <w:keepNext/>
        <w:keepLines/>
        <w:autoSpaceDE w:val="0"/>
        <w:autoSpaceDN w:val="0"/>
        <w:adjustRightInd w:val="0"/>
        <w:rPr>
          <w:rFonts w:ascii="Garamond" w:hAnsi="Garamond"/>
          <w:lang w:val="en-AU"/>
        </w:rPr>
      </w:pPr>
      <w:r w:rsidRPr="006F1231">
        <w:rPr>
          <w:rFonts w:ascii="Garamond" w:hAnsi="Garamond"/>
          <w:lang w:val="en-AU"/>
        </w:rPr>
        <w:t>The Lancet</w:t>
      </w:r>
    </w:p>
    <w:p w:rsidR="006F1231" w:rsidRDefault="006F1231" w:rsidP="00C32984">
      <w:pPr>
        <w:keepNext/>
        <w:keepLines/>
        <w:autoSpaceDE w:val="0"/>
        <w:autoSpaceDN w:val="0"/>
        <w:adjustRightInd w:val="0"/>
        <w:rPr>
          <w:rFonts w:ascii="Garamond" w:hAnsi="Garamond"/>
          <w:lang w:val="en-AU"/>
        </w:rPr>
      </w:pPr>
      <w:r w:rsidRPr="006F1231">
        <w:rPr>
          <w:rFonts w:ascii="Garamond" w:hAnsi="Garamond"/>
          <w:lang w:val="en-AU"/>
        </w:rPr>
        <w:t>The Lancet. 2019;394(10202):895.</w:t>
      </w:r>
    </w:p>
    <w:tbl>
      <w:tblPr>
        <w:tblStyle w:val="TableGrid"/>
        <w:tblW w:w="0" w:type="auto"/>
        <w:tblInd w:w="288" w:type="dxa"/>
        <w:tblLayout w:type="fixed"/>
        <w:tblLook w:val="01E0" w:firstRow="1" w:lastRow="1" w:firstColumn="1" w:lastColumn="1" w:noHBand="0" w:noVBand="0"/>
      </w:tblPr>
      <w:tblGrid>
        <w:gridCol w:w="1080"/>
        <w:gridCol w:w="8280"/>
      </w:tblGrid>
      <w:tr w:rsidR="00C32984"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C32984" w:rsidRPr="000170DA" w:rsidRDefault="00C32984" w:rsidP="00FB3C6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F1231" w:rsidRDefault="006F1231" w:rsidP="00FB3C66">
            <w:pPr>
              <w:rPr>
                <w:rStyle w:val="Hyperlink"/>
                <w:rFonts w:ascii="Garamond" w:hAnsi="Garamond"/>
                <w:color w:val="auto"/>
                <w:u w:val="none"/>
                <w:lang w:val="en-AU"/>
              </w:rPr>
            </w:pPr>
            <w:r>
              <w:rPr>
                <w:rStyle w:val="Hyperlink"/>
                <w:rFonts w:ascii="Garamond" w:hAnsi="Garamond"/>
                <w:color w:val="auto"/>
                <w:u w:val="none"/>
                <w:lang w:val="en-AU"/>
              </w:rPr>
              <w:t xml:space="preserve">Fontana et al </w:t>
            </w:r>
            <w:hyperlink r:id="rId19" w:history="1">
              <w:r w:rsidRPr="00132492">
                <w:rPr>
                  <w:rStyle w:val="Hyperlink"/>
                  <w:rFonts w:ascii="Garamond" w:hAnsi="Garamond"/>
                  <w:lang w:val="en-AU"/>
                </w:rPr>
                <w:t>https://doi.org/10.1016/S0140-6736(19)32134-8</w:t>
              </w:r>
            </w:hyperlink>
            <w:r>
              <w:rPr>
                <w:rStyle w:val="Hyperlink"/>
                <w:rFonts w:ascii="Garamond" w:hAnsi="Garamond"/>
                <w:color w:val="auto"/>
                <w:u w:val="none"/>
                <w:lang w:val="en-AU"/>
              </w:rPr>
              <w:t xml:space="preserve"> </w:t>
            </w:r>
          </w:p>
          <w:p w:rsidR="006F1231" w:rsidRPr="000170DA" w:rsidRDefault="006F1231" w:rsidP="006F1231">
            <w:pPr>
              <w:rPr>
                <w:rStyle w:val="Hyperlink"/>
                <w:rFonts w:ascii="Garamond" w:hAnsi="Garamond"/>
                <w:color w:val="auto"/>
                <w:u w:val="none"/>
                <w:lang w:val="en-AU"/>
              </w:rPr>
            </w:pPr>
            <w:r>
              <w:rPr>
                <w:rStyle w:val="Hyperlink"/>
                <w:rFonts w:ascii="Garamond" w:hAnsi="Garamond"/>
                <w:color w:val="auto"/>
                <w:u w:val="none"/>
                <w:lang w:val="en-AU"/>
              </w:rPr>
              <w:t xml:space="preserve">The Lancet </w:t>
            </w:r>
            <w:hyperlink r:id="rId20" w:history="1">
              <w:r w:rsidRPr="00132492">
                <w:rPr>
                  <w:rStyle w:val="Hyperlink"/>
                  <w:rFonts w:ascii="Garamond" w:hAnsi="Garamond"/>
                  <w:lang w:val="en-AU"/>
                </w:rPr>
                <w:t>https://doi.org/10.1016/S0140-6736(19)32080-X</w:t>
              </w:r>
            </w:hyperlink>
          </w:p>
        </w:tc>
      </w:tr>
      <w:tr w:rsidR="00C32984"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C32984" w:rsidRPr="000170DA" w:rsidRDefault="00C32984" w:rsidP="00FB3C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1231" w:rsidRDefault="006F1231" w:rsidP="006F1231">
            <w:pPr>
              <w:rPr>
                <w:rFonts w:ascii="Garamond" w:hAnsi="Garamond"/>
                <w:lang w:val="en-AU"/>
              </w:rPr>
            </w:pPr>
            <w:r>
              <w:rPr>
                <w:rFonts w:ascii="Garamond" w:hAnsi="Garamond"/>
                <w:lang w:val="en-AU"/>
              </w:rPr>
              <w:t>The</w:t>
            </w:r>
            <w:r w:rsidR="00C32984">
              <w:rPr>
                <w:rFonts w:ascii="Garamond" w:hAnsi="Garamond"/>
                <w:lang w:val="en-AU"/>
              </w:rPr>
              <w:t>s</w:t>
            </w:r>
            <w:r>
              <w:rPr>
                <w:rFonts w:ascii="Garamond" w:hAnsi="Garamond"/>
                <w:lang w:val="en-AU"/>
              </w:rPr>
              <w:t>e</w:t>
            </w:r>
            <w:r w:rsidR="00C32984">
              <w:rPr>
                <w:rFonts w:ascii="Garamond" w:hAnsi="Garamond"/>
                <w:lang w:val="en-AU"/>
              </w:rPr>
              <w:t xml:space="preserve"> piece</w:t>
            </w:r>
            <w:r>
              <w:rPr>
                <w:rFonts w:ascii="Garamond" w:hAnsi="Garamond"/>
                <w:lang w:val="en-AU"/>
              </w:rPr>
              <w:t>s</w:t>
            </w:r>
            <w:r w:rsidR="00C32984">
              <w:rPr>
                <w:rFonts w:ascii="Garamond" w:hAnsi="Garamond"/>
                <w:lang w:val="en-AU"/>
              </w:rPr>
              <w:t xml:space="preserve"> appeared in </w:t>
            </w:r>
            <w:r w:rsidR="00C32984" w:rsidRPr="00C32984">
              <w:rPr>
                <w:rFonts w:ascii="Garamond" w:hAnsi="Garamond"/>
                <w:i/>
                <w:lang w:val="en-AU"/>
              </w:rPr>
              <w:t>The Lancet</w:t>
            </w:r>
            <w:r w:rsidR="00C32984">
              <w:rPr>
                <w:rFonts w:ascii="Garamond" w:hAnsi="Garamond"/>
                <w:lang w:val="en-AU"/>
              </w:rPr>
              <w:t xml:space="preserve"> to mark World Patient Safety Day (17 September). </w:t>
            </w:r>
          </w:p>
          <w:p w:rsidR="006F1231" w:rsidRDefault="006F1231" w:rsidP="006F1231">
            <w:pPr>
              <w:rPr>
                <w:rFonts w:ascii="Garamond" w:hAnsi="Garamond"/>
                <w:lang w:val="en-AU"/>
              </w:rPr>
            </w:pPr>
            <w:r>
              <w:rPr>
                <w:rFonts w:ascii="Garamond" w:hAnsi="Garamond"/>
                <w:lang w:val="en-AU"/>
              </w:rPr>
              <w:t>The editorial notes that ‘</w:t>
            </w:r>
            <w:r w:rsidRPr="006F1231">
              <w:rPr>
                <w:rFonts w:ascii="Garamond" w:hAnsi="Garamond"/>
                <w:lang w:val="en-AU"/>
              </w:rPr>
              <w:t>Protecting patients from errors, injuries, accidents, and infections is an essential goal for every health system, but no health system has so far successfully addressed patient safety.</w:t>
            </w:r>
            <w:r>
              <w:rPr>
                <w:rFonts w:ascii="Garamond" w:hAnsi="Garamond"/>
                <w:lang w:val="en-AU"/>
              </w:rPr>
              <w:t>’ The editorial goes on to observe</w:t>
            </w:r>
            <w:r w:rsidR="00EF5287">
              <w:rPr>
                <w:rFonts w:ascii="Garamond" w:hAnsi="Garamond"/>
                <w:lang w:val="en-AU"/>
              </w:rPr>
              <w:t>:</w:t>
            </w:r>
          </w:p>
          <w:p w:rsidR="006F1231" w:rsidRPr="00EF5287" w:rsidRDefault="006F1231" w:rsidP="00CD7577">
            <w:pPr>
              <w:pStyle w:val="ListParagraph"/>
              <w:numPr>
                <w:ilvl w:val="0"/>
                <w:numId w:val="18"/>
              </w:numPr>
              <w:rPr>
                <w:rFonts w:ascii="Garamond" w:hAnsi="Garamond"/>
                <w:lang w:val="en-AU"/>
              </w:rPr>
            </w:pPr>
            <w:r w:rsidRPr="00EF5287">
              <w:rPr>
                <w:rFonts w:ascii="Garamond" w:hAnsi="Garamond"/>
                <w:lang w:val="en-AU"/>
              </w:rPr>
              <w:t>Worldwide, the risk of patient death because of a preventable medical accident is one in 300. One in ten patients suffer injury while receiving health care, and 15% of all hospital expenses are incurred as a result of treating failures in patient safety.</w:t>
            </w:r>
          </w:p>
          <w:p w:rsidR="00EF5287" w:rsidRPr="00EF5287" w:rsidRDefault="006F1231" w:rsidP="00CD7577">
            <w:pPr>
              <w:pStyle w:val="ListParagraph"/>
              <w:numPr>
                <w:ilvl w:val="0"/>
                <w:numId w:val="18"/>
              </w:numPr>
              <w:rPr>
                <w:rFonts w:ascii="Garamond" w:hAnsi="Garamond"/>
                <w:lang w:val="en-AU"/>
              </w:rPr>
            </w:pPr>
            <w:r w:rsidRPr="00EF5287">
              <w:rPr>
                <w:rFonts w:ascii="Garamond" w:hAnsi="Garamond"/>
                <w:lang w:val="en-AU"/>
              </w:rPr>
              <w:t xml:space="preserve">Patient safety hinges on quality of care. </w:t>
            </w:r>
          </w:p>
          <w:p w:rsidR="00EF5287" w:rsidRPr="00EF5287" w:rsidRDefault="006F1231" w:rsidP="00CD7577">
            <w:pPr>
              <w:pStyle w:val="ListParagraph"/>
              <w:numPr>
                <w:ilvl w:val="0"/>
                <w:numId w:val="18"/>
              </w:numPr>
              <w:rPr>
                <w:rFonts w:ascii="Garamond" w:hAnsi="Garamond"/>
                <w:lang w:val="en-AU"/>
              </w:rPr>
            </w:pPr>
            <w:r w:rsidRPr="00EF5287">
              <w:rPr>
                <w:rFonts w:ascii="Garamond" w:hAnsi="Garamond"/>
                <w:lang w:val="en-AU"/>
              </w:rPr>
              <w:t>The safety of patients must be the paramount concern of professionals and the systems they work in.</w:t>
            </w:r>
          </w:p>
          <w:p w:rsidR="00053F66" w:rsidRDefault="00EF5287" w:rsidP="00CD7577">
            <w:pPr>
              <w:pStyle w:val="ListParagraph"/>
              <w:numPr>
                <w:ilvl w:val="0"/>
                <w:numId w:val="18"/>
              </w:numPr>
              <w:rPr>
                <w:rFonts w:ascii="Garamond" w:hAnsi="Garamond"/>
                <w:lang w:val="en-AU"/>
              </w:rPr>
            </w:pPr>
            <w:r w:rsidRPr="00EF5287">
              <w:rPr>
                <w:rFonts w:ascii="Garamond" w:hAnsi="Garamond"/>
                <w:lang w:val="en-AU"/>
              </w:rPr>
              <w:t>H</w:t>
            </w:r>
            <w:r w:rsidR="006F1231" w:rsidRPr="00EF5287">
              <w:rPr>
                <w:rFonts w:ascii="Garamond" w:hAnsi="Garamond"/>
                <w:lang w:val="en-AU"/>
              </w:rPr>
              <w:t>ealth professionals must recognise that patient safety is a two-way partnership. Patients must be involved—indeed be central—in their own care.</w:t>
            </w:r>
          </w:p>
          <w:p w:rsidR="00EF5287" w:rsidRPr="00EF5287" w:rsidRDefault="00EF5287" w:rsidP="00CD7577">
            <w:pPr>
              <w:pStyle w:val="ListParagraph"/>
              <w:numPr>
                <w:ilvl w:val="0"/>
                <w:numId w:val="18"/>
              </w:numPr>
              <w:rPr>
                <w:rFonts w:ascii="Garamond" w:hAnsi="Garamond"/>
                <w:lang w:val="en-AU"/>
              </w:rPr>
            </w:pPr>
            <w:r w:rsidRPr="00EF5287">
              <w:rPr>
                <w:rFonts w:ascii="Garamond" w:hAnsi="Garamond"/>
                <w:lang w:val="en-AU"/>
              </w:rPr>
              <w:t>A</w:t>
            </w:r>
            <w:r w:rsidR="006F1231" w:rsidRPr="00EF5287">
              <w:rPr>
                <w:rFonts w:ascii="Garamond" w:hAnsi="Garamond"/>
                <w:lang w:val="en-AU"/>
              </w:rPr>
              <w:t xml:space="preserve">wareness of the burden that patient safety requirements place on </w:t>
            </w:r>
            <w:r w:rsidRPr="00EF5287">
              <w:rPr>
                <w:rFonts w:ascii="Garamond" w:hAnsi="Garamond"/>
                <w:lang w:val="en-AU"/>
              </w:rPr>
              <w:t xml:space="preserve">low to middle income countries </w:t>
            </w:r>
            <w:r w:rsidR="006F1231" w:rsidRPr="00EF5287">
              <w:rPr>
                <w:rFonts w:ascii="Garamond" w:hAnsi="Garamond"/>
                <w:lang w:val="en-AU"/>
              </w:rPr>
              <w:t>is needed: addressing all improvements necessary for increased patient safety require resources.</w:t>
            </w:r>
          </w:p>
          <w:p w:rsidR="006F1231" w:rsidRPr="00EF5287" w:rsidRDefault="000E697E" w:rsidP="00CD7577">
            <w:pPr>
              <w:pStyle w:val="ListParagraph"/>
              <w:numPr>
                <w:ilvl w:val="0"/>
                <w:numId w:val="18"/>
              </w:numPr>
              <w:rPr>
                <w:rFonts w:ascii="Garamond" w:hAnsi="Garamond"/>
                <w:lang w:val="en-AU"/>
              </w:rPr>
            </w:pPr>
            <w:r>
              <w:rPr>
                <w:rFonts w:ascii="Garamond" w:hAnsi="Garamond"/>
                <w:lang w:val="en-AU"/>
              </w:rPr>
              <w:t>I</w:t>
            </w:r>
            <w:r w:rsidR="006F1231" w:rsidRPr="00EF5287">
              <w:rPr>
                <w:rFonts w:ascii="Garamond" w:hAnsi="Garamond"/>
                <w:lang w:val="en-AU"/>
              </w:rPr>
              <w:t>n the treatment of immediate illness, health-care systems must offer best practice and consistent treatment for all patients, and at all levels, to ensure further damage is prevented.</w:t>
            </w:r>
          </w:p>
          <w:p w:rsidR="006F1231" w:rsidRPr="006F1231" w:rsidRDefault="00C32984" w:rsidP="006F1231">
            <w:pPr>
              <w:rPr>
                <w:rFonts w:ascii="Garamond" w:hAnsi="Garamond"/>
                <w:lang w:val="en-AU"/>
              </w:rPr>
            </w:pPr>
            <w:r>
              <w:rPr>
                <w:rFonts w:ascii="Garamond" w:hAnsi="Garamond"/>
                <w:lang w:val="en-AU"/>
              </w:rPr>
              <w:t xml:space="preserve">While recognising the continuing need for vigilance and work to address patient safety, the </w:t>
            </w:r>
            <w:r w:rsidR="006F1231">
              <w:rPr>
                <w:rFonts w:ascii="Garamond" w:hAnsi="Garamond"/>
                <w:lang w:val="en-AU"/>
              </w:rPr>
              <w:t xml:space="preserve">Fontana et al </w:t>
            </w:r>
            <w:r>
              <w:rPr>
                <w:rFonts w:ascii="Garamond" w:hAnsi="Garamond"/>
                <w:lang w:val="en-AU"/>
              </w:rPr>
              <w:t xml:space="preserve">observed five </w:t>
            </w:r>
            <w:r w:rsidR="006F1231">
              <w:rPr>
                <w:rFonts w:ascii="Garamond" w:hAnsi="Garamond"/>
                <w:lang w:val="en-AU"/>
              </w:rPr>
              <w:t xml:space="preserve">trends </w:t>
            </w:r>
            <w:r>
              <w:rPr>
                <w:rFonts w:ascii="Garamond" w:hAnsi="Garamond"/>
                <w:lang w:val="en-AU"/>
              </w:rPr>
              <w:t>that give cause for optimism about patient safety.</w:t>
            </w:r>
            <w:r w:rsidR="006F1231">
              <w:rPr>
                <w:rFonts w:ascii="Garamond" w:hAnsi="Garamond"/>
                <w:lang w:val="en-AU"/>
              </w:rPr>
              <w:t xml:space="preserve"> These five trends </w:t>
            </w:r>
            <w:r w:rsidR="006F1231" w:rsidRPr="006F1231">
              <w:rPr>
                <w:rFonts w:ascii="Garamond" w:hAnsi="Garamond"/>
                <w:lang w:val="en-AU"/>
              </w:rPr>
              <w:t>t</w:t>
            </w:r>
            <w:r w:rsidR="006F1231">
              <w:rPr>
                <w:rFonts w:ascii="Garamond" w:hAnsi="Garamond"/>
                <w:lang w:val="en-AU"/>
              </w:rPr>
              <w:t>hat provide hope for the future are:</w:t>
            </w:r>
          </w:p>
          <w:p w:rsidR="006F1231" w:rsidRPr="006F1231" w:rsidRDefault="006F1231" w:rsidP="00CD7577">
            <w:pPr>
              <w:pStyle w:val="ListParagraph"/>
              <w:numPr>
                <w:ilvl w:val="0"/>
                <w:numId w:val="17"/>
              </w:numPr>
              <w:rPr>
                <w:rFonts w:ascii="Garamond" w:hAnsi="Garamond"/>
                <w:lang w:val="en-AU"/>
              </w:rPr>
            </w:pPr>
            <w:r w:rsidRPr="006F1231">
              <w:rPr>
                <w:rFonts w:ascii="Garamond" w:hAnsi="Garamond"/>
                <w:lang w:val="en-AU"/>
              </w:rPr>
              <w:t>we understand patient safety better than ever before</w:t>
            </w:r>
          </w:p>
          <w:p w:rsidR="006F1231" w:rsidRPr="006F1231" w:rsidRDefault="006F1231" w:rsidP="00CD7577">
            <w:pPr>
              <w:pStyle w:val="ListParagraph"/>
              <w:numPr>
                <w:ilvl w:val="0"/>
                <w:numId w:val="17"/>
              </w:numPr>
              <w:rPr>
                <w:rFonts w:ascii="Garamond" w:hAnsi="Garamond"/>
                <w:lang w:val="en-AU"/>
              </w:rPr>
            </w:pPr>
            <w:r w:rsidRPr="006F1231">
              <w:rPr>
                <w:rFonts w:ascii="Garamond" w:hAnsi="Garamond"/>
                <w:lang w:val="en-AU"/>
              </w:rPr>
              <w:t>global leaders now consider patient safety a priority</w:t>
            </w:r>
          </w:p>
          <w:p w:rsidR="006F1231" w:rsidRPr="006F1231" w:rsidRDefault="006F1231" w:rsidP="00CD7577">
            <w:pPr>
              <w:pStyle w:val="ListParagraph"/>
              <w:numPr>
                <w:ilvl w:val="0"/>
                <w:numId w:val="17"/>
              </w:numPr>
              <w:rPr>
                <w:rFonts w:ascii="Garamond" w:hAnsi="Garamond"/>
                <w:lang w:val="en-AU"/>
              </w:rPr>
            </w:pPr>
            <w:r w:rsidRPr="006F1231">
              <w:rPr>
                <w:rFonts w:ascii="Garamond" w:hAnsi="Garamond"/>
                <w:lang w:val="en-AU"/>
              </w:rPr>
              <w:t>patient safety has become a crucial component of the WHO and universal health care agenda</w:t>
            </w:r>
          </w:p>
          <w:p w:rsidR="006F1231" w:rsidRPr="006F1231" w:rsidRDefault="006F1231" w:rsidP="00CD7577">
            <w:pPr>
              <w:pStyle w:val="ListParagraph"/>
              <w:numPr>
                <w:ilvl w:val="0"/>
                <w:numId w:val="17"/>
              </w:numPr>
              <w:rPr>
                <w:rFonts w:ascii="Garamond" w:hAnsi="Garamond"/>
                <w:lang w:val="en-AU"/>
              </w:rPr>
            </w:pPr>
            <w:r w:rsidRPr="006F1231">
              <w:rPr>
                <w:rFonts w:ascii="Garamond" w:hAnsi="Garamond"/>
                <w:lang w:val="en-AU"/>
              </w:rPr>
              <w:t>international collaboration on patient safety is increasing</w:t>
            </w:r>
          </w:p>
          <w:p w:rsidR="006F1231" w:rsidRPr="006F1231" w:rsidRDefault="006F1231" w:rsidP="00CD7577">
            <w:pPr>
              <w:pStyle w:val="ListParagraph"/>
              <w:numPr>
                <w:ilvl w:val="0"/>
                <w:numId w:val="17"/>
              </w:numPr>
              <w:rPr>
                <w:rFonts w:ascii="Garamond" w:hAnsi="Garamond"/>
                <w:lang w:val="en-AU"/>
              </w:rPr>
            </w:pPr>
            <w:r w:rsidRPr="006F1231">
              <w:rPr>
                <w:rFonts w:ascii="Garamond" w:hAnsi="Garamond"/>
                <w:lang w:val="en-AU"/>
              </w:rPr>
              <w:t>the approaches and methods that could help improve patient safety are expanding. Digital and data-driven innovations—</w:t>
            </w:r>
            <w:r w:rsidR="00561B17" w:rsidRPr="006F1231">
              <w:rPr>
                <w:rFonts w:ascii="Garamond" w:hAnsi="Garamond"/>
                <w:lang w:val="en-AU"/>
              </w:rPr>
              <w:t>e.g.</w:t>
            </w:r>
            <w:r w:rsidRPr="006F1231">
              <w:rPr>
                <w:rFonts w:ascii="Garamond" w:hAnsi="Garamond"/>
                <w:lang w:val="en-AU"/>
              </w:rPr>
              <w:t>, analysis of patient data and action based on this information—could have the potential to transform health care and patient safety and are of interest to health system leaders.</w:t>
            </w:r>
          </w:p>
        </w:tc>
      </w:tr>
    </w:tbl>
    <w:p w:rsidR="00C32984" w:rsidRDefault="00C32984" w:rsidP="00C32984">
      <w:pPr>
        <w:keepNext/>
        <w:ind w:left="720" w:hanging="720"/>
        <w:rPr>
          <w:rFonts w:ascii="Garamond" w:hAnsi="Garamond"/>
          <w:b/>
          <w:lang w:val="en-AU"/>
        </w:rPr>
      </w:pPr>
    </w:p>
    <w:p w:rsidR="00FB3C66" w:rsidRDefault="00FB3C66">
      <w:pPr>
        <w:rPr>
          <w:rFonts w:ascii="Garamond" w:hAnsi="Garamond"/>
          <w:i/>
          <w:lang w:val="en-AU"/>
        </w:rPr>
      </w:pPr>
      <w:r>
        <w:rPr>
          <w:rFonts w:ascii="Garamond" w:hAnsi="Garamond"/>
          <w:i/>
          <w:lang w:val="en-AU"/>
        </w:rPr>
        <w:br w:type="page"/>
      </w:r>
    </w:p>
    <w:p w:rsidR="00FB3C66" w:rsidRPr="005B57C1" w:rsidRDefault="00FB3C66" w:rsidP="00FB3C66">
      <w:pPr>
        <w:keepNext/>
        <w:keepLines/>
        <w:autoSpaceDE w:val="0"/>
        <w:autoSpaceDN w:val="0"/>
        <w:adjustRightInd w:val="0"/>
        <w:rPr>
          <w:rFonts w:ascii="Garamond" w:hAnsi="Garamond"/>
          <w:i/>
          <w:lang w:val="en-AU"/>
        </w:rPr>
      </w:pPr>
      <w:r w:rsidRPr="005B57C1">
        <w:rPr>
          <w:rFonts w:ascii="Garamond" w:hAnsi="Garamond"/>
          <w:i/>
          <w:lang w:val="en-AU"/>
        </w:rPr>
        <w:t>Raising and responding to frontline concerns in healthcare</w:t>
      </w:r>
    </w:p>
    <w:p w:rsidR="00DF6D21" w:rsidRDefault="00DF6D21" w:rsidP="00FB3C66">
      <w:pPr>
        <w:keepNext/>
        <w:keepLines/>
        <w:autoSpaceDE w:val="0"/>
        <w:autoSpaceDN w:val="0"/>
        <w:adjustRightInd w:val="0"/>
        <w:rPr>
          <w:rFonts w:ascii="Garamond" w:hAnsi="Garamond"/>
          <w:lang w:val="en-AU"/>
        </w:rPr>
      </w:pPr>
      <w:r w:rsidRPr="00DF6D21">
        <w:rPr>
          <w:rFonts w:ascii="Garamond" w:hAnsi="Garamond"/>
          <w:lang w:val="en-AU"/>
        </w:rPr>
        <w:t>Mannion R, Davies H</w:t>
      </w:r>
    </w:p>
    <w:p w:rsidR="00FB3C66" w:rsidRDefault="00DF6D21" w:rsidP="00FB3C66">
      <w:pPr>
        <w:keepNext/>
        <w:keepLines/>
        <w:autoSpaceDE w:val="0"/>
        <w:autoSpaceDN w:val="0"/>
        <w:adjustRightInd w:val="0"/>
        <w:rPr>
          <w:rFonts w:ascii="Garamond" w:hAnsi="Garamond"/>
          <w:lang w:val="en-AU"/>
        </w:rPr>
      </w:pPr>
      <w:r w:rsidRPr="00DF6D21">
        <w:rPr>
          <w:rFonts w:ascii="Garamond" w:hAnsi="Garamond"/>
          <w:lang w:val="en-AU"/>
        </w:rPr>
        <w:t>BMJ. 2019;366:l4944.</w:t>
      </w:r>
    </w:p>
    <w:tbl>
      <w:tblPr>
        <w:tblStyle w:val="TableGrid"/>
        <w:tblW w:w="0" w:type="auto"/>
        <w:tblInd w:w="288" w:type="dxa"/>
        <w:tblLayout w:type="fixed"/>
        <w:tblLook w:val="01E0" w:firstRow="1" w:lastRow="1" w:firstColumn="1" w:lastColumn="1" w:noHBand="0" w:noVBand="0"/>
      </w:tblPr>
      <w:tblGrid>
        <w:gridCol w:w="1080"/>
        <w:gridCol w:w="8280"/>
      </w:tblGrid>
      <w:tr w:rsidR="00FB3C66"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FB3C66" w:rsidRPr="000170DA" w:rsidRDefault="00FB3C66" w:rsidP="00FB3C6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B3C66" w:rsidRPr="000170DA" w:rsidRDefault="00865019" w:rsidP="00FB3C66">
            <w:pPr>
              <w:rPr>
                <w:rStyle w:val="Hyperlink"/>
                <w:rFonts w:ascii="Garamond" w:hAnsi="Garamond"/>
                <w:color w:val="auto"/>
                <w:u w:val="none"/>
                <w:lang w:val="en-AU"/>
              </w:rPr>
            </w:pPr>
            <w:hyperlink r:id="rId21" w:history="1">
              <w:r w:rsidR="00FB3C66" w:rsidRPr="00F5244A">
                <w:rPr>
                  <w:rStyle w:val="Hyperlink"/>
                  <w:rFonts w:ascii="Garamond" w:hAnsi="Garamond"/>
                  <w:lang w:val="en-AU"/>
                </w:rPr>
                <w:t>https://doi.org/10.1136/bmj.l4944</w:t>
              </w:r>
            </w:hyperlink>
          </w:p>
        </w:tc>
      </w:tr>
      <w:tr w:rsidR="00FB3C66"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FB3C66" w:rsidRPr="000170DA" w:rsidRDefault="00FB3C66" w:rsidP="00FB3C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3C66" w:rsidRDefault="00FB3C66" w:rsidP="00FB3C66">
            <w:pPr>
              <w:rPr>
                <w:rFonts w:ascii="Garamond" w:hAnsi="Garamond"/>
                <w:lang w:val="en-AU"/>
              </w:rPr>
            </w:pPr>
            <w:r>
              <w:rPr>
                <w:rFonts w:ascii="Garamond" w:hAnsi="Garamond"/>
                <w:lang w:val="en-AU"/>
              </w:rPr>
              <w:t>The theme for the recent World Patient Safety Day was “</w:t>
            </w:r>
            <w:r w:rsidRPr="00FB3C66">
              <w:rPr>
                <w:rFonts w:ascii="Garamond" w:hAnsi="Garamond"/>
                <w:lang w:val="en-AU"/>
              </w:rPr>
              <w:t>Speak Up for Patient Safety</w:t>
            </w:r>
            <w:r>
              <w:rPr>
                <w:rFonts w:ascii="Garamond" w:hAnsi="Garamond"/>
                <w:lang w:val="en-AU"/>
              </w:rPr>
              <w:t xml:space="preserve">”. However, speaking up is not always easy to do. Nor is responding to concerns when they are raised. This piece looks at the individual and situational/organisational factors </w:t>
            </w:r>
            <w:r w:rsidR="00DF6D21">
              <w:rPr>
                <w:rFonts w:ascii="Garamond" w:hAnsi="Garamond"/>
                <w:lang w:val="en-AU"/>
              </w:rPr>
              <w:t>that can hinder or enable speaking up and responding to concerns. The key messages the authors identify are:</w:t>
            </w:r>
          </w:p>
          <w:p w:rsidR="00DF6D21" w:rsidRPr="00DF6D21" w:rsidRDefault="00DF6D21" w:rsidP="00CD7577">
            <w:pPr>
              <w:pStyle w:val="ListParagraph"/>
              <w:numPr>
                <w:ilvl w:val="0"/>
                <w:numId w:val="21"/>
              </w:numPr>
              <w:rPr>
                <w:rFonts w:ascii="Garamond" w:hAnsi="Garamond"/>
                <w:lang w:val="en-AU"/>
              </w:rPr>
            </w:pPr>
            <w:r w:rsidRPr="00DF6D21">
              <w:rPr>
                <w:rFonts w:ascii="Garamond" w:hAnsi="Garamond"/>
                <w:lang w:val="en-AU"/>
              </w:rPr>
              <w:t>Frontline health professionals are often best placed to identify substandard care and alert colleagues and managers if patients are at risk</w:t>
            </w:r>
          </w:p>
          <w:p w:rsidR="00DF6D21" w:rsidRPr="00DF6D21" w:rsidRDefault="00DF6D21" w:rsidP="00CD7577">
            <w:pPr>
              <w:pStyle w:val="ListParagraph"/>
              <w:numPr>
                <w:ilvl w:val="0"/>
                <w:numId w:val="21"/>
              </w:numPr>
              <w:rPr>
                <w:rFonts w:ascii="Garamond" w:hAnsi="Garamond"/>
                <w:lang w:val="en-AU"/>
              </w:rPr>
            </w:pPr>
            <w:r w:rsidRPr="00DF6D21">
              <w:rPr>
                <w:rFonts w:ascii="Garamond" w:hAnsi="Garamond"/>
                <w:lang w:val="en-AU"/>
              </w:rPr>
              <w:t>Staff can be afraid to raise legitimate concerns and have sometimes been bullied and victimised for doing so</w:t>
            </w:r>
          </w:p>
          <w:p w:rsidR="00DF6D21" w:rsidRPr="00DF6D21" w:rsidRDefault="00DF6D21" w:rsidP="00CD7577">
            <w:pPr>
              <w:pStyle w:val="ListParagraph"/>
              <w:numPr>
                <w:ilvl w:val="0"/>
                <w:numId w:val="21"/>
              </w:numPr>
              <w:rPr>
                <w:rFonts w:ascii="Garamond" w:hAnsi="Garamond"/>
                <w:lang w:val="en-AU"/>
              </w:rPr>
            </w:pPr>
            <w:r w:rsidRPr="00DF6D21">
              <w:rPr>
                <w:rFonts w:ascii="Garamond" w:hAnsi="Garamond"/>
                <w:lang w:val="en-AU"/>
              </w:rPr>
              <w:t>Managers need to redouble efforts to create the right organisational environments where frontline voices can be aired and responded to appropriately</w:t>
            </w:r>
          </w:p>
          <w:p w:rsidR="00DF6D21" w:rsidRDefault="00DF6D21" w:rsidP="00CD7577">
            <w:pPr>
              <w:pStyle w:val="ListParagraph"/>
              <w:numPr>
                <w:ilvl w:val="0"/>
                <w:numId w:val="21"/>
              </w:numPr>
              <w:rPr>
                <w:rFonts w:ascii="Garamond" w:hAnsi="Garamond"/>
                <w:lang w:val="en-AU"/>
              </w:rPr>
            </w:pPr>
            <w:r w:rsidRPr="00DF6D21">
              <w:rPr>
                <w:rFonts w:ascii="Garamond" w:hAnsi="Garamond"/>
                <w:lang w:val="en-AU"/>
              </w:rPr>
              <w:t>Management education and leadership training must find ways to encourage this.</w:t>
            </w:r>
          </w:p>
          <w:p w:rsidR="00DF6D21" w:rsidRDefault="00DF6D21" w:rsidP="00DF6D21">
            <w:pPr>
              <w:jc w:val="center"/>
              <w:rPr>
                <w:rFonts w:ascii="Garamond" w:hAnsi="Garamond"/>
                <w:lang w:val="en-AU"/>
              </w:rPr>
            </w:pPr>
            <w:r>
              <w:rPr>
                <w:noProof/>
                <w:lang w:val="en-AU" w:eastAsia="en-AU"/>
              </w:rPr>
              <w:drawing>
                <wp:inline distT="0" distB="0" distL="0" distR="0">
                  <wp:extent cx="3933825" cy="2809875"/>
                  <wp:effectExtent l="0" t="0" r="9525" b="9525"/>
                  <wp:docPr id="2" name="Picture 2" descr="\\central.health\DfsUserEnv\Users\User_07\JOHNNI\Downloads\F1.large (3).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ownloads\F1.large (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0709" cy="2821935"/>
                          </a:xfrm>
                          <a:prstGeom prst="rect">
                            <a:avLst/>
                          </a:prstGeom>
                          <a:noFill/>
                          <a:ln>
                            <a:noFill/>
                          </a:ln>
                        </pic:spPr>
                      </pic:pic>
                    </a:graphicData>
                  </a:graphic>
                </wp:inline>
              </w:drawing>
            </w:r>
          </w:p>
          <w:p w:rsidR="00617EDB" w:rsidRPr="00DF6D21" w:rsidRDefault="00617EDB" w:rsidP="00DF6D21">
            <w:pPr>
              <w:jc w:val="center"/>
              <w:rPr>
                <w:rFonts w:ascii="Garamond" w:hAnsi="Garamond"/>
                <w:lang w:val="en-AU"/>
              </w:rPr>
            </w:pPr>
          </w:p>
        </w:tc>
      </w:tr>
    </w:tbl>
    <w:p w:rsidR="00FB3C66" w:rsidRDefault="00FB3C66" w:rsidP="00FB3C66">
      <w:pPr>
        <w:keepNext/>
        <w:keepLines/>
        <w:autoSpaceDE w:val="0"/>
        <w:autoSpaceDN w:val="0"/>
        <w:adjustRightInd w:val="0"/>
        <w:rPr>
          <w:rFonts w:ascii="Garamond" w:hAnsi="Garamond"/>
          <w:lang w:val="en-AU"/>
        </w:rPr>
      </w:pPr>
    </w:p>
    <w:p w:rsidR="00634A58" w:rsidRPr="00634A58" w:rsidRDefault="00634A58" w:rsidP="00634A58">
      <w:pPr>
        <w:keepNext/>
        <w:keepLines/>
        <w:autoSpaceDE w:val="0"/>
        <w:autoSpaceDN w:val="0"/>
        <w:adjustRightInd w:val="0"/>
        <w:rPr>
          <w:rFonts w:ascii="Garamond" w:hAnsi="Garamond"/>
          <w:i/>
          <w:lang w:val="en-AU"/>
        </w:rPr>
      </w:pPr>
      <w:r w:rsidRPr="00634A58">
        <w:rPr>
          <w:rFonts w:ascii="Garamond" w:hAnsi="Garamond"/>
          <w:i/>
          <w:lang w:val="en-AU"/>
        </w:rPr>
        <w:t>Hospitalisation for medication misadventures among older adults with and without dementia: A 5</w:t>
      </w:r>
      <w:r w:rsidRPr="00634A58">
        <w:rPr>
          <w:i/>
          <w:lang w:val="en-AU"/>
        </w:rPr>
        <w:t>‐</w:t>
      </w:r>
      <w:r w:rsidRPr="00634A58">
        <w:rPr>
          <w:rFonts w:ascii="Garamond" w:hAnsi="Garamond"/>
          <w:i/>
          <w:lang w:val="en-AU"/>
        </w:rPr>
        <w:t>year retrospective study</w:t>
      </w:r>
    </w:p>
    <w:p w:rsidR="00FB3C66" w:rsidRDefault="00FB3C66" w:rsidP="00634A58">
      <w:pPr>
        <w:keepNext/>
        <w:keepLines/>
        <w:autoSpaceDE w:val="0"/>
        <w:autoSpaceDN w:val="0"/>
        <w:adjustRightInd w:val="0"/>
        <w:rPr>
          <w:rFonts w:ascii="Garamond" w:hAnsi="Garamond"/>
          <w:lang w:val="en-AU"/>
        </w:rPr>
      </w:pPr>
      <w:r w:rsidRPr="00FB3C66">
        <w:rPr>
          <w:rFonts w:ascii="Garamond" w:hAnsi="Garamond"/>
          <w:lang w:val="en-AU"/>
        </w:rPr>
        <w:t>Mullan J, Burns P, Mohanan L, Lago L, Jordan M, Potter J</w:t>
      </w:r>
    </w:p>
    <w:p w:rsidR="00634A58" w:rsidRDefault="00FB3C66" w:rsidP="00634A58">
      <w:pPr>
        <w:keepNext/>
        <w:keepLines/>
        <w:autoSpaceDE w:val="0"/>
        <w:autoSpaceDN w:val="0"/>
        <w:adjustRightInd w:val="0"/>
        <w:rPr>
          <w:rFonts w:ascii="Garamond" w:hAnsi="Garamond"/>
          <w:lang w:val="en-AU"/>
        </w:rPr>
      </w:pPr>
      <w:r w:rsidRPr="00FB3C66">
        <w:rPr>
          <w:rFonts w:ascii="Garamond" w:hAnsi="Garamond"/>
          <w:lang w:val="en-AU"/>
        </w:rPr>
        <w:t>Australasian Journal on Ageing. 2019</w:t>
      </w:r>
      <w:r w:rsidR="00442BD2">
        <w:rPr>
          <w:rFonts w:ascii="Garamond" w:hAnsi="Garamond"/>
          <w:lang w:val="en-AU"/>
        </w:rPr>
        <w:t xml:space="preserve"> [epub]</w:t>
      </w:r>
      <w:r w:rsidRPr="00FB3C66">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34A58"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634A58" w:rsidRPr="000170DA" w:rsidRDefault="00634A58" w:rsidP="00FB3C6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34A58" w:rsidRPr="000170DA" w:rsidRDefault="00865019" w:rsidP="00FB3C66">
            <w:pPr>
              <w:rPr>
                <w:rStyle w:val="Hyperlink"/>
                <w:rFonts w:ascii="Garamond" w:hAnsi="Garamond"/>
                <w:color w:val="auto"/>
                <w:u w:val="none"/>
                <w:lang w:val="en-AU"/>
              </w:rPr>
            </w:pPr>
            <w:hyperlink r:id="rId23" w:history="1">
              <w:r w:rsidR="00634A58" w:rsidRPr="00F5244A">
                <w:rPr>
                  <w:rStyle w:val="Hyperlink"/>
                  <w:rFonts w:ascii="Garamond" w:hAnsi="Garamond"/>
                  <w:lang w:val="en-AU"/>
                </w:rPr>
                <w:t>https://doi.org/10.1111/ajag.12712</w:t>
              </w:r>
            </w:hyperlink>
          </w:p>
        </w:tc>
      </w:tr>
      <w:tr w:rsidR="00634A58"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634A58" w:rsidRPr="000170DA" w:rsidRDefault="00634A58" w:rsidP="00FB3C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3C66" w:rsidRPr="005A00FB" w:rsidRDefault="00A87B82" w:rsidP="00FB3C66">
            <w:pPr>
              <w:rPr>
                <w:rFonts w:ascii="Garamond" w:hAnsi="Garamond"/>
                <w:lang w:val="en-AU"/>
              </w:rPr>
            </w:pPr>
            <w:r>
              <w:rPr>
                <w:rFonts w:ascii="Garamond" w:hAnsi="Garamond"/>
                <w:lang w:val="en-AU"/>
              </w:rPr>
              <w:t xml:space="preserve">Dementia is a common </w:t>
            </w:r>
            <w:r w:rsidR="00C62A80" w:rsidRPr="00C62A80">
              <w:rPr>
                <w:rFonts w:ascii="Garamond" w:hAnsi="Garamond"/>
                <w:lang w:val="en-AU"/>
              </w:rPr>
              <w:t xml:space="preserve">affliction </w:t>
            </w:r>
            <w:r>
              <w:rPr>
                <w:rFonts w:ascii="Garamond" w:hAnsi="Garamond"/>
                <w:lang w:val="en-AU"/>
              </w:rPr>
              <w:t>in older patients. This Australian study sought to ascertain if dementia played a role in medication ‘misadventures’ leading to hospitalisation.</w:t>
            </w:r>
            <w:r w:rsidR="00FB3C66">
              <w:rPr>
                <w:rFonts w:ascii="Garamond" w:hAnsi="Garamond"/>
                <w:lang w:val="en-AU"/>
              </w:rPr>
              <w:t xml:space="preserve"> This study was a</w:t>
            </w:r>
            <w:r w:rsidR="00FB3C66" w:rsidRPr="00FB3C66">
              <w:rPr>
                <w:rFonts w:ascii="Garamond" w:hAnsi="Garamond"/>
                <w:lang w:val="en-AU"/>
              </w:rPr>
              <w:t xml:space="preserve"> retrospective analysis of hospital admissions between 2012 and 2016</w:t>
            </w:r>
            <w:r w:rsidR="00FB3C66">
              <w:rPr>
                <w:rFonts w:ascii="Garamond" w:hAnsi="Garamond"/>
                <w:lang w:val="en-AU"/>
              </w:rPr>
              <w:t xml:space="preserve"> of </w:t>
            </w:r>
            <w:r w:rsidR="00FB3C66" w:rsidRPr="00FB3C66">
              <w:rPr>
                <w:rFonts w:ascii="Garamond" w:hAnsi="Garamond"/>
                <w:lang w:val="en-AU"/>
              </w:rPr>
              <w:t xml:space="preserve">older adults living in regional Australia. </w:t>
            </w:r>
            <w:r w:rsidR="00FB3C66">
              <w:rPr>
                <w:rFonts w:ascii="Garamond" w:hAnsi="Garamond"/>
                <w:lang w:val="en-AU"/>
              </w:rPr>
              <w:t>The authors report that ‘m</w:t>
            </w:r>
            <w:r w:rsidR="00FB3C66" w:rsidRPr="00FB3C66">
              <w:rPr>
                <w:rFonts w:ascii="Garamond" w:hAnsi="Garamond"/>
                <w:lang w:val="en-AU"/>
              </w:rPr>
              <w:t xml:space="preserve">edication misadventures contributed to 10 555 (4.6%) of the total 228 165 admissions for older adults over the study period. Among these admissions, </w:t>
            </w:r>
            <w:r w:rsidR="00FB3C66" w:rsidRPr="00FB3C66">
              <w:rPr>
                <w:rFonts w:ascii="Garamond" w:hAnsi="Garamond"/>
                <w:b/>
                <w:lang w:val="en-AU"/>
              </w:rPr>
              <w:t>older adults with dementia were three times more likely to be hospitalised with medication misadventures (14.0%), than their non</w:t>
            </w:r>
            <w:r w:rsidR="00FB3C66" w:rsidRPr="00FB3C66">
              <w:rPr>
                <w:b/>
                <w:lang w:val="en-AU"/>
              </w:rPr>
              <w:t>‐</w:t>
            </w:r>
            <w:r w:rsidR="00FB3C66" w:rsidRPr="00FB3C66">
              <w:rPr>
                <w:rFonts w:ascii="Garamond" w:hAnsi="Garamond"/>
                <w:b/>
                <w:lang w:val="en-AU"/>
              </w:rPr>
              <w:t>dementia counterparts (4.2%)</w:t>
            </w:r>
            <w:r w:rsidR="00FB3C66" w:rsidRPr="00FB3C66">
              <w:rPr>
                <w:rFonts w:ascii="Garamond" w:hAnsi="Garamond"/>
                <w:lang w:val="en-AU"/>
              </w:rPr>
              <w:t xml:space="preserve">. Medication misadventures relating to </w:t>
            </w:r>
            <w:r w:rsidR="00FB3C66" w:rsidRPr="00FB3C66">
              <w:rPr>
                <w:rFonts w:ascii="Garamond" w:hAnsi="Garamond" w:cs="Garamond"/>
                <w:lang w:val="en-AU"/>
              </w:rPr>
              <w:t>“</w:t>
            </w:r>
            <w:r w:rsidR="00FB3C66" w:rsidRPr="00FB3C66">
              <w:rPr>
                <w:rFonts w:ascii="Garamond" w:hAnsi="Garamond"/>
                <w:lang w:val="en-AU"/>
              </w:rPr>
              <w:t>anticoagulants</w:t>
            </w:r>
            <w:r w:rsidR="00FB3C66" w:rsidRPr="00FB3C66">
              <w:rPr>
                <w:rFonts w:ascii="Garamond" w:hAnsi="Garamond" w:cs="Garamond"/>
                <w:lang w:val="en-AU"/>
              </w:rPr>
              <w:t>”</w:t>
            </w:r>
            <w:r w:rsidR="00FB3C66" w:rsidRPr="00FB3C66">
              <w:rPr>
                <w:rFonts w:ascii="Garamond" w:hAnsi="Garamond"/>
                <w:lang w:val="en-AU"/>
              </w:rPr>
              <w:t xml:space="preserve"> and </w:t>
            </w:r>
            <w:r w:rsidR="00FB3C66" w:rsidRPr="00FB3C66">
              <w:rPr>
                <w:rFonts w:ascii="Garamond" w:hAnsi="Garamond" w:cs="Garamond"/>
                <w:lang w:val="en-AU"/>
              </w:rPr>
              <w:t>“</w:t>
            </w:r>
            <w:r w:rsidR="00FB3C66" w:rsidRPr="00FB3C66">
              <w:rPr>
                <w:rFonts w:ascii="Garamond" w:hAnsi="Garamond"/>
                <w:lang w:val="en-AU"/>
              </w:rPr>
              <w:t>opioids/related analgesics</w:t>
            </w:r>
            <w:r w:rsidR="00FB3C66" w:rsidRPr="00FB3C66">
              <w:rPr>
                <w:rFonts w:ascii="Garamond" w:hAnsi="Garamond" w:cs="Garamond"/>
                <w:lang w:val="en-AU"/>
              </w:rPr>
              <w:t>”</w:t>
            </w:r>
            <w:r w:rsidR="00FB3C66" w:rsidRPr="00FB3C66">
              <w:rPr>
                <w:rFonts w:ascii="Garamond" w:hAnsi="Garamond"/>
                <w:lang w:val="en-AU"/>
              </w:rPr>
              <w:t xml:space="preserve"> accounted for the majority of admissions (24.3% dementia vs 30.7% non</w:t>
            </w:r>
            <w:r w:rsidR="00FB3C66" w:rsidRPr="00FB3C66">
              <w:rPr>
                <w:lang w:val="en-AU"/>
              </w:rPr>
              <w:t>‐</w:t>
            </w:r>
            <w:r w:rsidR="00FB3C66" w:rsidRPr="00FB3C66">
              <w:rPr>
                <w:rFonts w:ascii="Garamond" w:hAnsi="Garamond"/>
                <w:lang w:val="en-AU"/>
              </w:rPr>
              <w:t>dementia).</w:t>
            </w:r>
            <w:r w:rsidR="00FB3C66">
              <w:rPr>
                <w:rFonts w:ascii="Garamond" w:hAnsi="Garamond"/>
                <w:lang w:val="en-AU"/>
              </w:rPr>
              <w:t>’</w:t>
            </w:r>
          </w:p>
        </w:tc>
      </w:tr>
    </w:tbl>
    <w:p w:rsidR="00FB3C66" w:rsidRDefault="00FB3C66" w:rsidP="00FB3C66">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cognitive impairment, including dementia and </w:t>
      </w:r>
      <w:r w:rsidR="00561B17">
        <w:rPr>
          <w:rFonts w:ascii="Garamond" w:hAnsi="Garamond"/>
          <w:lang w:val="en-AU"/>
        </w:rPr>
        <w:t>delirium</w:t>
      </w:r>
      <w:r>
        <w:rPr>
          <w:rFonts w:ascii="Garamond" w:hAnsi="Garamond"/>
          <w:lang w:val="en-AU"/>
        </w:rPr>
        <w:t xml:space="preserve">, </w:t>
      </w:r>
      <w:r w:rsidRPr="006C5462">
        <w:rPr>
          <w:rFonts w:ascii="Garamond" w:hAnsi="Garamond"/>
          <w:lang w:val="en-AU"/>
        </w:rPr>
        <w:t>see</w:t>
      </w:r>
      <w:r>
        <w:rPr>
          <w:rFonts w:ascii="Garamond" w:hAnsi="Garamond"/>
          <w:lang w:val="en-AU"/>
        </w:rPr>
        <w:t xml:space="preserve"> </w:t>
      </w:r>
      <w:hyperlink r:id="rId24" w:history="1">
        <w:r w:rsidRPr="00E432DE">
          <w:rPr>
            <w:rStyle w:val="Hyperlink"/>
            <w:rFonts w:ascii="Garamond" w:hAnsi="Garamond"/>
            <w:lang w:val="en-AU"/>
          </w:rPr>
          <w:t>https://www.safetyandquality.gov.au/our-work/cognitive-impairment</w:t>
        </w:r>
      </w:hyperlink>
    </w:p>
    <w:p w:rsidR="00FB3C66" w:rsidRDefault="00FB3C66" w:rsidP="00634A58">
      <w:pPr>
        <w:keepNext/>
        <w:keepLines/>
        <w:autoSpaceDE w:val="0"/>
        <w:autoSpaceDN w:val="0"/>
        <w:adjustRightInd w:val="0"/>
        <w:rPr>
          <w:rFonts w:ascii="Garamond" w:hAnsi="Garamond"/>
          <w:lang w:val="en-AU"/>
        </w:rPr>
      </w:pPr>
    </w:p>
    <w:p w:rsidR="00FB3C66" w:rsidRDefault="00FB3C66" w:rsidP="00FB3C66">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medication safety, </w:t>
      </w:r>
      <w:r w:rsidRPr="006C5462">
        <w:rPr>
          <w:rFonts w:ascii="Garamond" w:hAnsi="Garamond"/>
          <w:lang w:val="en-AU"/>
        </w:rPr>
        <w:t>see</w:t>
      </w:r>
      <w:r>
        <w:rPr>
          <w:rFonts w:ascii="Garamond" w:hAnsi="Garamond"/>
          <w:lang w:val="en-AU"/>
        </w:rPr>
        <w:t xml:space="preserve"> </w:t>
      </w:r>
      <w:hyperlink r:id="rId25" w:history="1">
        <w:r w:rsidRPr="00D91045">
          <w:rPr>
            <w:rStyle w:val="Hyperlink"/>
            <w:rFonts w:ascii="Garamond" w:hAnsi="Garamond"/>
            <w:lang w:val="en-AU"/>
          </w:rPr>
          <w:t>https://www.safetyandquality.gov.au/our-work/medication-safety</w:t>
        </w:r>
      </w:hyperlink>
      <w:r>
        <w:rPr>
          <w:rFonts w:ascii="Garamond" w:hAnsi="Garamond"/>
          <w:lang w:val="en-AU"/>
        </w:rPr>
        <w:t xml:space="preserve"> </w:t>
      </w:r>
    </w:p>
    <w:p w:rsidR="00FB3C66" w:rsidRDefault="00FB3C66" w:rsidP="00FB3C66">
      <w:pPr>
        <w:keepNext/>
        <w:keepLines/>
        <w:autoSpaceDE w:val="0"/>
        <w:autoSpaceDN w:val="0"/>
        <w:adjustRightInd w:val="0"/>
        <w:rPr>
          <w:rFonts w:ascii="Garamond" w:hAnsi="Garamond"/>
          <w:lang w:val="en-AU"/>
        </w:rPr>
      </w:pPr>
    </w:p>
    <w:p w:rsidR="00DA7BCB" w:rsidRDefault="00DA7BCB" w:rsidP="00FB3C66">
      <w:pPr>
        <w:keepNext/>
        <w:keepLines/>
        <w:autoSpaceDE w:val="0"/>
        <w:autoSpaceDN w:val="0"/>
        <w:adjustRightInd w:val="0"/>
        <w:rPr>
          <w:rFonts w:ascii="Garamond" w:hAnsi="Garamond"/>
          <w:lang w:val="en-AU"/>
        </w:rPr>
      </w:pPr>
    </w:p>
    <w:p w:rsidR="00273157" w:rsidRPr="005B57C1" w:rsidRDefault="00273157" w:rsidP="00273157">
      <w:pPr>
        <w:keepNext/>
        <w:keepLines/>
        <w:autoSpaceDE w:val="0"/>
        <w:autoSpaceDN w:val="0"/>
        <w:adjustRightInd w:val="0"/>
        <w:rPr>
          <w:rFonts w:ascii="Garamond" w:hAnsi="Garamond"/>
          <w:i/>
          <w:lang w:val="en-AU"/>
        </w:rPr>
      </w:pPr>
      <w:r w:rsidRPr="005B57C1">
        <w:rPr>
          <w:rFonts w:ascii="Garamond" w:hAnsi="Garamond"/>
          <w:i/>
          <w:lang w:val="en-AU"/>
        </w:rPr>
        <w:t>Recognizing the Dying Patient, When Less Could be More: A Diagnostic Framework for Shared Decision-Making at the End of Life</w:t>
      </w:r>
    </w:p>
    <w:p w:rsidR="00DA7BCB" w:rsidRDefault="00DA7BCB" w:rsidP="00273157">
      <w:pPr>
        <w:keepNext/>
        <w:keepLines/>
        <w:autoSpaceDE w:val="0"/>
        <w:autoSpaceDN w:val="0"/>
        <w:adjustRightInd w:val="0"/>
        <w:rPr>
          <w:rFonts w:ascii="Garamond" w:hAnsi="Garamond"/>
          <w:lang w:val="en-AU"/>
        </w:rPr>
      </w:pPr>
      <w:r w:rsidRPr="00DA7BCB">
        <w:rPr>
          <w:rFonts w:ascii="Garamond" w:hAnsi="Garamond"/>
          <w:lang w:val="en-AU"/>
        </w:rPr>
        <w:t>Kalsi D, Ward J, Lee R, Wee B, Fulford KWM, Handa A</w:t>
      </w:r>
    </w:p>
    <w:p w:rsidR="00273157" w:rsidRDefault="00DA7BCB" w:rsidP="00273157">
      <w:pPr>
        <w:keepNext/>
        <w:keepLines/>
        <w:autoSpaceDE w:val="0"/>
        <w:autoSpaceDN w:val="0"/>
        <w:adjustRightInd w:val="0"/>
        <w:rPr>
          <w:rFonts w:ascii="Garamond" w:hAnsi="Garamond"/>
          <w:lang w:val="en-AU"/>
        </w:rPr>
      </w:pPr>
      <w:r w:rsidRPr="00DA7BCB">
        <w:rPr>
          <w:rFonts w:ascii="Garamond" w:hAnsi="Garamond"/>
          <w:lang w:val="en-AU"/>
        </w:rPr>
        <w:t>Journal of Patient Experience. 2019</w:t>
      </w:r>
      <w:r>
        <w:rPr>
          <w:rFonts w:ascii="Garamond" w:hAnsi="Garamond"/>
          <w:lang w:val="en-AU"/>
        </w:rPr>
        <w:t xml:space="preserve"> [epub]</w:t>
      </w:r>
      <w:r w:rsidRPr="00DA7BCB">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273157" w:rsidRPr="000170DA" w:rsidTr="005A5F71">
        <w:tc>
          <w:tcPr>
            <w:tcW w:w="1080" w:type="dxa"/>
            <w:tcBorders>
              <w:top w:val="single" w:sz="4" w:space="0" w:color="auto"/>
              <w:left w:val="single" w:sz="4" w:space="0" w:color="auto"/>
              <w:bottom w:val="single" w:sz="4" w:space="0" w:color="auto"/>
              <w:right w:val="single" w:sz="4" w:space="0" w:color="auto"/>
            </w:tcBorders>
            <w:vAlign w:val="center"/>
          </w:tcPr>
          <w:p w:rsidR="00273157" w:rsidRPr="000170DA" w:rsidRDefault="00273157" w:rsidP="005A5F7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73157" w:rsidRPr="000170DA" w:rsidRDefault="00865019" w:rsidP="005A5F71">
            <w:pPr>
              <w:rPr>
                <w:rStyle w:val="Hyperlink"/>
                <w:rFonts w:ascii="Garamond" w:hAnsi="Garamond"/>
                <w:color w:val="auto"/>
                <w:u w:val="none"/>
                <w:lang w:val="en-AU"/>
              </w:rPr>
            </w:pPr>
            <w:hyperlink r:id="rId26" w:history="1">
              <w:r w:rsidR="00273157" w:rsidRPr="00F5244A">
                <w:rPr>
                  <w:rStyle w:val="Hyperlink"/>
                  <w:rFonts w:ascii="Garamond" w:hAnsi="Garamond"/>
                  <w:lang w:val="en-AU"/>
                </w:rPr>
                <w:t>https://doi.org/10.1177/2374373519869153</w:t>
              </w:r>
            </w:hyperlink>
          </w:p>
        </w:tc>
      </w:tr>
      <w:tr w:rsidR="00273157" w:rsidRPr="000170DA" w:rsidTr="005A5F71">
        <w:tc>
          <w:tcPr>
            <w:tcW w:w="1080" w:type="dxa"/>
            <w:tcBorders>
              <w:top w:val="single" w:sz="4" w:space="0" w:color="auto"/>
              <w:left w:val="single" w:sz="4" w:space="0" w:color="auto"/>
              <w:bottom w:val="single" w:sz="4" w:space="0" w:color="auto"/>
              <w:right w:val="single" w:sz="4" w:space="0" w:color="auto"/>
            </w:tcBorders>
            <w:vAlign w:val="center"/>
          </w:tcPr>
          <w:p w:rsidR="00273157" w:rsidRPr="000170DA" w:rsidRDefault="00273157" w:rsidP="005A5F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7BCB" w:rsidRDefault="00C83A0F" w:rsidP="00DA7BCB">
            <w:pPr>
              <w:rPr>
                <w:rFonts w:ascii="Garamond" w:hAnsi="Garamond"/>
                <w:lang w:val="en-AU"/>
              </w:rPr>
            </w:pPr>
            <w:r>
              <w:rPr>
                <w:rFonts w:ascii="Garamond" w:hAnsi="Garamond"/>
                <w:lang w:val="en-AU"/>
              </w:rPr>
              <w:t>As the authors of this piece state at the outset: ‘</w:t>
            </w:r>
            <w:r w:rsidRPr="00C83A0F">
              <w:rPr>
                <w:rFonts w:ascii="Garamond" w:hAnsi="Garamond"/>
                <w:lang w:val="en-AU"/>
              </w:rPr>
              <w:t>Recognizing dying patients is crucial to produce outcomes that are satisfactory to patients, their families, and clinicians.</w:t>
            </w:r>
            <w:r>
              <w:rPr>
                <w:rFonts w:ascii="Garamond" w:hAnsi="Garamond"/>
                <w:lang w:val="en-AU"/>
              </w:rPr>
              <w:t xml:space="preserve">’ </w:t>
            </w:r>
            <w:r w:rsidR="00DA7BCB">
              <w:rPr>
                <w:rFonts w:ascii="Garamond" w:hAnsi="Garamond"/>
                <w:lang w:val="en-AU"/>
              </w:rPr>
              <w:t xml:space="preserve">This has led to the development of </w:t>
            </w:r>
            <w:r w:rsidR="00DA7BCB" w:rsidRPr="00DA7BCB">
              <w:rPr>
                <w:rFonts w:ascii="Garamond" w:hAnsi="Garamond"/>
                <w:lang w:val="en-AU"/>
              </w:rPr>
              <w:t>a novel diagnostic framework to support shared palliative decision-making that can be summari</w:t>
            </w:r>
            <w:r w:rsidR="00DA7BCB">
              <w:rPr>
                <w:rFonts w:ascii="Garamond" w:hAnsi="Garamond"/>
                <w:lang w:val="en-AU"/>
              </w:rPr>
              <w:t>s</w:t>
            </w:r>
            <w:r w:rsidR="00DA7BCB" w:rsidRPr="00DA7BCB">
              <w:rPr>
                <w:rFonts w:ascii="Garamond" w:hAnsi="Garamond"/>
                <w:lang w:val="en-AU"/>
              </w:rPr>
              <w:t xml:space="preserve">ed as </w:t>
            </w:r>
          </w:p>
          <w:p w:rsidR="00DA7BCB" w:rsidRPr="00DA7BCB" w:rsidRDefault="00DA7BCB" w:rsidP="00DA7BCB">
            <w:pPr>
              <w:pStyle w:val="ListParagraph"/>
              <w:numPr>
                <w:ilvl w:val="0"/>
                <w:numId w:val="23"/>
              </w:numPr>
              <w:rPr>
                <w:rFonts w:ascii="Garamond" w:hAnsi="Garamond"/>
                <w:lang w:val="en-AU"/>
              </w:rPr>
            </w:pPr>
            <w:r w:rsidRPr="00DA7BCB">
              <w:rPr>
                <w:rFonts w:ascii="Garamond" w:hAnsi="Garamond"/>
                <w:lang w:val="en-AU"/>
              </w:rPr>
              <w:t xml:space="preserve">Is the acute pathology reversible? </w:t>
            </w:r>
          </w:p>
          <w:p w:rsidR="00DA7BCB" w:rsidRPr="00DA7BCB" w:rsidRDefault="00DA7BCB" w:rsidP="00DA7BCB">
            <w:pPr>
              <w:pStyle w:val="ListParagraph"/>
              <w:numPr>
                <w:ilvl w:val="0"/>
                <w:numId w:val="23"/>
              </w:numPr>
              <w:rPr>
                <w:rFonts w:ascii="Garamond" w:hAnsi="Garamond"/>
                <w:lang w:val="en-AU"/>
              </w:rPr>
            </w:pPr>
            <w:r w:rsidRPr="00DA7BCB">
              <w:rPr>
                <w:rFonts w:ascii="Garamond" w:hAnsi="Garamond"/>
                <w:lang w:val="en-AU"/>
              </w:rPr>
              <w:t xml:space="preserve">What is the patient’s physiological reserve? </w:t>
            </w:r>
          </w:p>
          <w:p w:rsidR="00DA7BCB" w:rsidRDefault="00DA7BCB" w:rsidP="00DA7BCB">
            <w:pPr>
              <w:pStyle w:val="ListParagraph"/>
              <w:numPr>
                <w:ilvl w:val="0"/>
                <w:numId w:val="23"/>
              </w:numPr>
              <w:rPr>
                <w:rFonts w:ascii="Garamond" w:hAnsi="Garamond"/>
                <w:lang w:val="en-AU"/>
              </w:rPr>
            </w:pPr>
            <w:r w:rsidRPr="00DA7BCB">
              <w:rPr>
                <w:rFonts w:ascii="Garamond" w:hAnsi="Garamond"/>
                <w:lang w:val="en-AU"/>
              </w:rPr>
              <w:t>What is important to the patient? Will they be fit enough for discharge for a reasonable length of time?</w:t>
            </w:r>
          </w:p>
          <w:p w:rsidR="00DA7BCB" w:rsidRDefault="00DA7BCB" w:rsidP="00DA7BCB">
            <w:pPr>
              <w:rPr>
                <w:rFonts w:ascii="Garamond" w:hAnsi="Garamond"/>
                <w:lang w:val="en-AU"/>
              </w:rPr>
            </w:pPr>
            <w:r>
              <w:rPr>
                <w:rFonts w:ascii="Garamond" w:hAnsi="Garamond"/>
                <w:noProof/>
                <w:lang w:val="en-AU" w:eastAsia="en-AU"/>
              </w:rPr>
              <w:drawing>
                <wp:inline distT="0" distB="0" distL="0" distR="0">
                  <wp:extent cx="5102577" cy="3470188"/>
                  <wp:effectExtent l="0" t="0" r="3175" b="0"/>
                  <wp:docPr id="6" name="Picture 6" descr="\\central.health\DfsUserEnv\Users\User_07\JOHNNI\Downloads\Kal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ral.health\DfsUserEnv\Users\User_07\JOHNNI\Downloads\Kalsi.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06184" cy="3472641"/>
                          </a:xfrm>
                          <a:prstGeom prst="rect">
                            <a:avLst/>
                          </a:prstGeom>
                          <a:noFill/>
                          <a:ln>
                            <a:noFill/>
                          </a:ln>
                        </pic:spPr>
                      </pic:pic>
                    </a:graphicData>
                  </a:graphic>
                </wp:inline>
              </w:drawing>
            </w:r>
          </w:p>
          <w:p w:rsidR="00DA7BCB" w:rsidRPr="00DA7BCB" w:rsidRDefault="00DA7BCB" w:rsidP="00DA7BCB">
            <w:pPr>
              <w:rPr>
                <w:rFonts w:ascii="Garamond" w:hAnsi="Garamond"/>
                <w:lang w:val="en-AU"/>
              </w:rPr>
            </w:pPr>
          </w:p>
        </w:tc>
      </w:tr>
    </w:tbl>
    <w:p w:rsidR="00273157" w:rsidRDefault="00273157" w:rsidP="00273157">
      <w:pPr>
        <w:keepNext/>
        <w:keepLines/>
        <w:autoSpaceDE w:val="0"/>
        <w:autoSpaceDN w:val="0"/>
        <w:adjustRightInd w:val="0"/>
        <w:rPr>
          <w:rFonts w:ascii="Garamond" w:hAnsi="Garamond"/>
          <w:lang w:val="en-AU"/>
        </w:rPr>
      </w:pPr>
    </w:p>
    <w:p w:rsidR="00273157" w:rsidRDefault="00273157" w:rsidP="00273157">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shared decision making, </w:t>
      </w:r>
      <w:r w:rsidRPr="006C5462">
        <w:rPr>
          <w:rFonts w:ascii="Garamond" w:hAnsi="Garamond"/>
          <w:lang w:val="en-AU"/>
        </w:rPr>
        <w:t>see</w:t>
      </w:r>
      <w:r>
        <w:rPr>
          <w:rFonts w:ascii="Garamond" w:hAnsi="Garamond"/>
          <w:lang w:val="en-AU"/>
        </w:rPr>
        <w:t xml:space="preserve"> </w:t>
      </w:r>
      <w:hyperlink r:id="rId28" w:history="1">
        <w:r w:rsidRPr="00B919DD">
          <w:rPr>
            <w:rStyle w:val="Hyperlink"/>
            <w:rFonts w:ascii="Garamond" w:hAnsi="Garamond"/>
            <w:lang w:val="en-AU"/>
          </w:rPr>
          <w:t>https://www.safetyandquality.gov.au/our-work/partnering-consumers/shared-decision-making</w:t>
        </w:r>
      </w:hyperlink>
      <w:r>
        <w:rPr>
          <w:rFonts w:ascii="Garamond" w:hAnsi="Garamond"/>
          <w:lang w:val="en-AU"/>
        </w:rPr>
        <w:t xml:space="preserve"> </w:t>
      </w:r>
    </w:p>
    <w:p w:rsidR="00273157" w:rsidRDefault="00273157" w:rsidP="00273157">
      <w:pPr>
        <w:keepNext/>
        <w:keepLines/>
        <w:autoSpaceDE w:val="0"/>
        <w:autoSpaceDN w:val="0"/>
        <w:adjustRightInd w:val="0"/>
        <w:rPr>
          <w:rFonts w:ascii="Garamond" w:hAnsi="Garamond"/>
          <w:lang w:val="en-AU"/>
        </w:rPr>
      </w:pPr>
    </w:p>
    <w:p w:rsidR="00273157" w:rsidRDefault="00273157" w:rsidP="00273157">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end-of-life care, </w:t>
      </w:r>
      <w:r w:rsidRPr="006C5462">
        <w:rPr>
          <w:rFonts w:ascii="Garamond" w:hAnsi="Garamond"/>
          <w:lang w:val="en-AU"/>
        </w:rPr>
        <w:t>see</w:t>
      </w:r>
      <w:r>
        <w:rPr>
          <w:rFonts w:ascii="Garamond" w:hAnsi="Garamond"/>
          <w:lang w:val="en-AU"/>
        </w:rPr>
        <w:t xml:space="preserve"> </w:t>
      </w:r>
      <w:hyperlink r:id="rId29" w:history="1">
        <w:r w:rsidRPr="00E432DE">
          <w:rPr>
            <w:rStyle w:val="Hyperlink"/>
            <w:rFonts w:ascii="Garamond" w:hAnsi="Garamond"/>
            <w:lang w:val="en-AU"/>
          </w:rPr>
          <w:t>https://www.safetyandquality.gov.au/our-work/end-life-care</w:t>
        </w:r>
      </w:hyperlink>
    </w:p>
    <w:p w:rsidR="00273157" w:rsidRDefault="00273157" w:rsidP="00DA7BCB">
      <w:pPr>
        <w:keepLines/>
        <w:autoSpaceDE w:val="0"/>
        <w:autoSpaceDN w:val="0"/>
        <w:adjustRightInd w:val="0"/>
        <w:rPr>
          <w:rFonts w:ascii="Garamond" w:hAnsi="Garamond"/>
          <w:lang w:val="en-AU"/>
        </w:rPr>
      </w:pPr>
    </w:p>
    <w:p w:rsidR="006771D4" w:rsidRPr="00634A58" w:rsidRDefault="00634A58" w:rsidP="006771D4">
      <w:pPr>
        <w:keepNext/>
        <w:keepLines/>
        <w:autoSpaceDE w:val="0"/>
        <w:autoSpaceDN w:val="0"/>
        <w:adjustRightInd w:val="0"/>
        <w:rPr>
          <w:rFonts w:ascii="Garamond" w:hAnsi="Garamond"/>
          <w:i/>
          <w:lang w:val="en-AU"/>
        </w:rPr>
      </w:pPr>
      <w:r w:rsidRPr="00634A58">
        <w:rPr>
          <w:rFonts w:ascii="Garamond" w:hAnsi="Garamond"/>
          <w:i/>
          <w:lang w:val="en-AU"/>
        </w:rPr>
        <w:t>Compassionate Coverage: A Patient Access Linen System</w:t>
      </w:r>
    </w:p>
    <w:p w:rsidR="00273157" w:rsidRDefault="00273157" w:rsidP="006771D4">
      <w:pPr>
        <w:keepNext/>
        <w:keepLines/>
        <w:autoSpaceDE w:val="0"/>
        <w:autoSpaceDN w:val="0"/>
        <w:adjustRightInd w:val="0"/>
        <w:rPr>
          <w:rFonts w:ascii="Garamond" w:hAnsi="Garamond"/>
          <w:lang w:val="en-AU"/>
        </w:rPr>
      </w:pPr>
      <w:r w:rsidRPr="00273157">
        <w:rPr>
          <w:rFonts w:ascii="Garamond" w:hAnsi="Garamond"/>
          <w:lang w:val="en-AU"/>
        </w:rPr>
        <w:t>Rabin JM, Farner KC, Brody AH, Peyser A, Kline M</w:t>
      </w:r>
    </w:p>
    <w:p w:rsidR="00634A58" w:rsidRDefault="00273157" w:rsidP="006771D4">
      <w:pPr>
        <w:keepNext/>
        <w:keepLines/>
        <w:autoSpaceDE w:val="0"/>
        <w:autoSpaceDN w:val="0"/>
        <w:adjustRightInd w:val="0"/>
        <w:rPr>
          <w:rFonts w:ascii="Garamond" w:hAnsi="Garamond"/>
          <w:lang w:val="en-AU"/>
        </w:rPr>
      </w:pPr>
      <w:r w:rsidRPr="00273157">
        <w:rPr>
          <w:rFonts w:ascii="Garamond" w:hAnsi="Garamond"/>
          <w:lang w:val="en-AU"/>
        </w:rPr>
        <w:t>Journal of Patient Experience. 2018;6(3):185-93.</w:t>
      </w:r>
    </w:p>
    <w:tbl>
      <w:tblPr>
        <w:tblStyle w:val="TableGrid"/>
        <w:tblW w:w="0" w:type="auto"/>
        <w:tblInd w:w="288" w:type="dxa"/>
        <w:tblLayout w:type="fixed"/>
        <w:tblLook w:val="01E0" w:firstRow="1" w:lastRow="1" w:firstColumn="1" w:lastColumn="1" w:noHBand="0" w:noVBand="0"/>
      </w:tblPr>
      <w:tblGrid>
        <w:gridCol w:w="1080"/>
        <w:gridCol w:w="8280"/>
      </w:tblGrid>
      <w:tr w:rsidR="006771D4"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6771D4" w:rsidRPr="000170DA" w:rsidRDefault="006771D4" w:rsidP="00FB3C6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71D4" w:rsidRPr="000170DA" w:rsidRDefault="00865019" w:rsidP="00FB3C66">
            <w:pPr>
              <w:rPr>
                <w:rStyle w:val="Hyperlink"/>
                <w:rFonts w:ascii="Garamond" w:hAnsi="Garamond"/>
                <w:color w:val="auto"/>
                <w:u w:val="none"/>
                <w:lang w:val="en-AU"/>
              </w:rPr>
            </w:pPr>
            <w:hyperlink r:id="rId30" w:history="1">
              <w:r w:rsidR="00634A58" w:rsidRPr="00F5244A">
                <w:rPr>
                  <w:rStyle w:val="Hyperlink"/>
                  <w:rFonts w:ascii="Garamond" w:hAnsi="Garamond"/>
                  <w:lang w:val="en-AU"/>
                </w:rPr>
                <w:t>https://doi.org/10.1177/2374373518793411</w:t>
              </w:r>
            </w:hyperlink>
          </w:p>
        </w:tc>
      </w:tr>
      <w:tr w:rsidR="006771D4"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6771D4" w:rsidRPr="000170DA" w:rsidRDefault="006771D4" w:rsidP="00FB3C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71D4" w:rsidRDefault="00A87B82" w:rsidP="00A87B82">
            <w:pPr>
              <w:rPr>
                <w:rFonts w:ascii="Garamond" w:hAnsi="Garamond"/>
                <w:lang w:val="en-AU"/>
              </w:rPr>
            </w:pPr>
            <w:r>
              <w:rPr>
                <w:rFonts w:ascii="Garamond" w:hAnsi="Garamond"/>
                <w:lang w:val="en-AU"/>
              </w:rPr>
              <w:t xml:space="preserve">Hospital gowns have been a source of patient discomfort, unease (and sometimes) complaint. There have been some attempts to improve them, but this paper presents one of the more comprehensive descriptions of an attempt to offer </w:t>
            </w:r>
            <w:r w:rsidR="00273157" w:rsidRPr="00273157">
              <w:rPr>
                <w:rFonts w:ascii="Garamond" w:hAnsi="Garamond"/>
                <w:lang w:val="en-AU"/>
              </w:rPr>
              <w:t>obstetrics and gyn</w:t>
            </w:r>
            <w:r w:rsidR="00273157">
              <w:rPr>
                <w:rFonts w:ascii="Garamond" w:hAnsi="Garamond"/>
                <w:lang w:val="en-AU"/>
              </w:rPr>
              <w:t>a</w:t>
            </w:r>
            <w:r w:rsidR="00273157" w:rsidRPr="00273157">
              <w:rPr>
                <w:rFonts w:ascii="Garamond" w:hAnsi="Garamond"/>
                <w:lang w:val="en-AU"/>
              </w:rPr>
              <w:t xml:space="preserve">ecology </w:t>
            </w:r>
            <w:r>
              <w:rPr>
                <w:rFonts w:ascii="Garamond" w:hAnsi="Garamond"/>
                <w:lang w:val="en-AU"/>
              </w:rPr>
              <w:t>patients greater choice and engagement in patient attire.</w:t>
            </w:r>
          </w:p>
          <w:p w:rsidR="00A87B82" w:rsidRDefault="00273157" w:rsidP="00A87B82">
            <w:pPr>
              <w:rPr>
                <w:rFonts w:ascii="Garamond" w:hAnsi="Garamond"/>
                <w:lang w:val="en-AU"/>
              </w:rPr>
            </w:pPr>
            <w:r>
              <w:rPr>
                <w:rFonts w:ascii="Garamond" w:hAnsi="Garamond"/>
                <w:noProof/>
                <w:lang w:val="en-AU" w:eastAsia="en-AU"/>
              </w:rPr>
              <w:drawing>
                <wp:inline distT="0" distB="0" distL="0" distR="0">
                  <wp:extent cx="5113655" cy="3522345"/>
                  <wp:effectExtent l="0" t="0" r="0" b="1905"/>
                  <wp:docPr id="4" name="Picture 4" descr="\\central.health\DfsUserEnv\Users\User_07\JOHNNI\Pictures\PAL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Pictures\PALS 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13655" cy="3522345"/>
                          </a:xfrm>
                          <a:prstGeom prst="rect">
                            <a:avLst/>
                          </a:prstGeom>
                          <a:noFill/>
                          <a:ln>
                            <a:noFill/>
                          </a:ln>
                        </pic:spPr>
                      </pic:pic>
                    </a:graphicData>
                  </a:graphic>
                </wp:inline>
              </w:drawing>
            </w:r>
          </w:p>
          <w:p w:rsidR="00273157" w:rsidRDefault="00273157" w:rsidP="00A87B82">
            <w:pPr>
              <w:rPr>
                <w:rFonts w:ascii="Garamond" w:hAnsi="Garamond"/>
                <w:lang w:val="en-AU"/>
              </w:rPr>
            </w:pPr>
            <w:r>
              <w:rPr>
                <w:rFonts w:ascii="Garamond" w:hAnsi="Garamond"/>
                <w:noProof/>
                <w:lang w:val="en-AU" w:eastAsia="en-AU"/>
              </w:rPr>
              <w:drawing>
                <wp:inline distT="0" distB="0" distL="0" distR="0">
                  <wp:extent cx="4712400" cy="3664800"/>
                  <wp:effectExtent l="0" t="0" r="0" b="0"/>
                  <wp:docPr id="5" name="Picture 5" descr="\\central.health\DfsUserEnv\Users\User_07\JOHNNI\Pictures\PAL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health\DfsUserEnv\Users\User_07\JOHNNI\Pictures\PALS 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12400" cy="3664800"/>
                          </a:xfrm>
                          <a:prstGeom prst="rect">
                            <a:avLst/>
                          </a:prstGeom>
                          <a:noFill/>
                          <a:ln>
                            <a:noFill/>
                          </a:ln>
                        </pic:spPr>
                      </pic:pic>
                    </a:graphicData>
                  </a:graphic>
                </wp:inline>
              </w:drawing>
            </w:r>
          </w:p>
          <w:p w:rsidR="00273157" w:rsidRPr="005A00FB" w:rsidRDefault="00273157" w:rsidP="00A87B82">
            <w:pPr>
              <w:rPr>
                <w:rFonts w:ascii="Garamond" w:hAnsi="Garamond"/>
                <w:lang w:val="en-AU"/>
              </w:rPr>
            </w:pPr>
          </w:p>
        </w:tc>
      </w:tr>
    </w:tbl>
    <w:p w:rsidR="00273157" w:rsidRDefault="00273157" w:rsidP="00D067EB">
      <w:pPr>
        <w:rPr>
          <w:rFonts w:ascii="Garamond" w:hAnsi="Garamond"/>
          <w:i/>
          <w:lang w:val="en-AU"/>
        </w:rPr>
      </w:pPr>
    </w:p>
    <w:p w:rsidR="00DA7BCB" w:rsidRPr="00634A58" w:rsidRDefault="00DA7BCB" w:rsidP="00DA7BCB">
      <w:pPr>
        <w:keepNext/>
        <w:keepLines/>
        <w:autoSpaceDE w:val="0"/>
        <w:autoSpaceDN w:val="0"/>
        <w:adjustRightInd w:val="0"/>
        <w:rPr>
          <w:rFonts w:ascii="Garamond" w:hAnsi="Garamond"/>
          <w:i/>
          <w:lang w:val="en-AU"/>
        </w:rPr>
      </w:pPr>
      <w:r w:rsidRPr="00634A58">
        <w:rPr>
          <w:rFonts w:ascii="Garamond" w:hAnsi="Garamond"/>
          <w:i/>
          <w:lang w:val="en-AU"/>
        </w:rPr>
        <w:t>Realising the potential of health information technology to enhance medication safety</w:t>
      </w:r>
    </w:p>
    <w:p w:rsidR="00DA7BCB" w:rsidRDefault="00DA7BCB" w:rsidP="00DA7BCB">
      <w:pPr>
        <w:keepNext/>
        <w:keepLines/>
        <w:autoSpaceDE w:val="0"/>
        <w:autoSpaceDN w:val="0"/>
        <w:adjustRightInd w:val="0"/>
        <w:rPr>
          <w:rFonts w:ascii="Garamond" w:hAnsi="Garamond"/>
          <w:lang w:val="en-AU"/>
        </w:rPr>
      </w:pPr>
      <w:r w:rsidRPr="007F4FB4">
        <w:rPr>
          <w:rFonts w:ascii="Garamond" w:hAnsi="Garamond"/>
          <w:lang w:val="en-AU"/>
        </w:rPr>
        <w:t>Sheikh A</w:t>
      </w:r>
    </w:p>
    <w:p w:rsidR="00DA7BCB" w:rsidRDefault="00DA7BCB" w:rsidP="00DA7BCB">
      <w:pPr>
        <w:keepNext/>
        <w:keepLines/>
        <w:autoSpaceDE w:val="0"/>
        <w:autoSpaceDN w:val="0"/>
        <w:adjustRightInd w:val="0"/>
        <w:rPr>
          <w:rFonts w:ascii="Garamond" w:hAnsi="Garamond"/>
          <w:lang w:val="en-AU"/>
        </w:rPr>
      </w:pPr>
      <w:r w:rsidRPr="007F4FB4">
        <w:rPr>
          <w:rFonts w:ascii="Garamond" w:hAnsi="Garamond"/>
          <w:lang w:val="en-AU"/>
        </w:rPr>
        <w:t>BMJ Quality &amp; Safety. 2019</w:t>
      </w:r>
      <w:r>
        <w:rPr>
          <w:rFonts w:ascii="Garamond" w:hAnsi="Garamond"/>
          <w:lang w:val="en-AU"/>
        </w:rPr>
        <w:t xml:space="preserve"> [epub]</w:t>
      </w:r>
      <w:r w:rsidRPr="007F4FB4">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A7BCB" w:rsidRPr="000170DA" w:rsidTr="005A5F71">
        <w:tc>
          <w:tcPr>
            <w:tcW w:w="1080" w:type="dxa"/>
            <w:tcBorders>
              <w:top w:val="single" w:sz="4" w:space="0" w:color="auto"/>
              <w:left w:val="single" w:sz="4" w:space="0" w:color="auto"/>
              <w:bottom w:val="single" w:sz="4" w:space="0" w:color="auto"/>
              <w:right w:val="single" w:sz="4" w:space="0" w:color="auto"/>
            </w:tcBorders>
            <w:vAlign w:val="center"/>
          </w:tcPr>
          <w:p w:rsidR="00DA7BCB" w:rsidRPr="000170DA" w:rsidRDefault="00DA7BCB" w:rsidP="005A5F7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7BCB" w:rsidRPr="000170DA" w:rsidRDefault="00865019" w:rsidP="005A5F71">
            <w:pPr>
              <w:rPr>
                <w:rStyle w:val="Hyperlink"/>
                <w:rFonts w:ascii="Garamond" w:hAnsi="Garamond"/>
                <w:color w:val="auto"/>
                <w:u w:val="none"/>
                <w:lang w:val="en-AU"/>
              </w:rPr>
            </w:pPr>
            <w:hyperlink r:id="rId33" w:history="1">
              <w:r w:rsidR="00DA7BCB" w:rsidRPr="00F5244A">
                <w:rPr>
                  <w:rStyle w:val="Hyperlink"/>
                  <w:rFonts w:ascii="Garamond" w:hAnsi="Garamond"/>
                  <w:lang w:val="en-AU"/>
                </w:rPr>
                <w:t>http://dx.doi.org/10.1136/bmjqs-2019-010018</w:t>
              </w:r>
            </w:hyperlink>
          </w:p>
        </w:tc>
      </w:tr>
      <w:tr w:rsidR="00DA7BCB" w:rsidRPr="000170DA" w:rsidTr="005A5F71">
        <w:tc>
          <w:tcPr>
            <w:tcW w:w="1080" w:type="dxa"/>
            <w:tcBorders>
              <w:top w:val="single" w:sz="4" w:space="0" w:color="auto"/>
              <w:left w:val="single" w:sz="4" w:space="0" w:color="auto"/>
              <w:bottom w:val="single" w:sz="4" w:space="0" w:color="auto"/>
              <w:right w:val="single" w:sz="4" w:space="0" w:color="auto"/>
            </w:tcBorders>
            <w:vAlign w:val="center"/>
          </w:tcPr>
          <w:p w:rsidR="00DA7BCB" w:rsidRPr="000170DA" w:rsidRDefault="00DA7BCB" w:rsidP="005A5F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7BCB" w:rsidRDefault="00DA7BCB" w:rsidP="005A5F71">
            <w:pPr>
              <w:rPr>
                <w:rFonts w:ascii="Garamond" w:hAnsi="Garamond"/>
                <w:lang w:val="en-AU"/>
              </w:rPr>
            </w:pPr>
            <w:r>
              <w:rPr>
                <w:rFonts w:ascii="Garamond" w:hAnsi="Garamond"/>
                <w:lang w:val="en-AU"/>
              </w:rPr>
              <w:t xml:space="preserve">In this editorial the author identifies six key issues that </w:t>
            </w:r>
            <w:r w:rsidRPr="00273157">
              <w:rPr>
                <w:rFonts w:ascii="Garamond" w:hAnsi="Garamond"/>
                <w:lang w:val="en-AU"/>
              </w:rPr>
              <w:t xml:space="preserve">that need to be addressed to realise the potential of </w:t>
            </w:r>
            <w:r>
              <w:rPr>
                <w:rFonts w:ascii="Garamond" w:hAnsi="Garamond"/>
                <w:lang w:val="en-AU"/>
              </w:rPr>
              <w:t>health information technology (</w:t>
            </w:r>
            <w:r w:rsidRPr="00273157">
              <w:rPr>
                <w:rFonts w:ascii="Garamond" w:hAnsi="Garamond"/>
                <w:lang w:val="en-AU"/>
              </w:rPr>
              <w:t>HIT</w:t>
            </w:r>
            <w:r>
              <w:rPr>
                <w:rFonts w:ascii="Garamond" w:hAnsi="Garamond"/>
                <w:lang w:val="en-AU"/>
              </w:rPr>
              <w:t>)</w:t>
            </w:r>
            <w:r w:rsidRPr="00273157">
              <w:rPr>
                <w:rFonts w:ascii="Garamond" w:hAnsi="Garamond"/>
                <w:lang w:val="en-AU"/>
              </w:rPr>
              <w:t xml:space="preserve"> to improve medication safety</w:t>
            </w:r>
            <w:r>
              <w:rPr>
                <w:rFonts w:ascii="Garamond" w:hAnsi="Garamond"/>
                <w:lang w:val="en-AU"/>
              </w:rPr>
              <w:t>. The issues identified are:</w:t>
            </w:r>
          </w:p>
          <w:p w:rsidR="00DA7BCB" w:rsidRDefault="00DA7BCB" w:rsidP="005A5F71">
            <w:pPr>
              <w:pStyle w:val="ListParagraph"/>
              <w:numPr>
                <w:ilvl w:val="0"/>
                <w:numId w:val="22"/>
              </w:numPr>
              <w:rPr>
                <w:rFonts w:ascii="Garamond" w:hAnsi="Garamond"/>
                <w:lang w:val="en-AU"/>
              </w:rPr>
            </w:pPr>
            <w:r>
              <w:rPr>
                <w:rFonts w:ascii="Garamond" w:hAnsi="Garamond"/>
                <w:lang w:val="en-AU"/>
              </w:rPr>
              <w:t>A</w:t>
            </w:r>
            <w:r w:rsidRPr="00273157">
              <w:rPr>
                <w:rFonts w:ascii="Garamond" w:hAnsi="Garamond"/>
                <w:lang w:val="en-AU"/>
              </w:rPr>
              <w:t xml:space="preserve"> need for more accurate data on the absolute and relative burden of preventable harm associated with different medications across care settings</w:t>
            </w:r>
            <w:r>
              <w:rPr>
                <w:rFonts w:ascii="Garamond" w:hAnsi="Garamond"/>
                <w:lang w:val="en-AU"/>
              </w:rPr>
              <w:t xml:space="preserve"> </w:t>
            </w:r>
            <w:r w:rsidRPr="00273157">
              <w:rPr>
                <w:rFonts w:ascii="Garamond" w:hAnsi="Garamond"/>
                <w:lang w:val="en-AU"/>
              </w:rPr>
              <w:t>and an appreciation of which subpopulations are at highest risk of these errors.</w:t>
            </w:r>
          </w:p>
          <w:p w:rsidR="00DA7BCB" w:rsidRPr="00273157" w:rsidRDefault="00DA7BCB" w:rsidP="005A5F71">
            <w:pPr>
              <w:pStyle w:val="ListParagraph"/>
              <w:numPr>
                <w:ilvl w:val="0"/>
                <w:numId w:val="22"/>
              </w:numPr>
              <w:rPr>
                <w:rFonts w:ascii="Garamond" w:hAnsi="Garamond"/>
                <w:lang w:val="en-AU"/>
              </w:rPr>
            </w:pPr>
            <w:r w:rsidRPr="007F4FB4">
              <w:rPr>
                <w:rFonts w:ascii="Garamond" w:hAnsi="Garamond"/>
                <w:lang w:val="en-AU"/>
              </w:rPr>
              <w:t>A need to develop valid and reliable indicators of errors associated with these drugs to allow meaningful benchmarking and an assessment of progress in enhancing patient safety over time or in relation to the effectiveness of interventions.</w:t>
            </w:r>
          </w:p>
          <w:p w:rsidR="00DA7BCB" w:rsidRDefault="00DA7BCB" w:rsidP="005A5F71">
            <w:pPr>
              <w:pStyle w:val="ListParagraph"/>
              <w:numPr>
                <w:ilvl w:val="0"/>
                <w:numId w:val="22"/>
              </w:numPr>
              <w:rPr>
                <w:rFonts w:ascii="Garamond" w:hAnsi="Garamond"/>
                <w:lang w:val="en-AU"/>
              </w:rPr>
            </w:pPr>
            <w:r w:rsidRPr="007F4FB4">
              <w:rPr>
                <w:rFonts w:ascii="Garamond" w:hAnsi="Garamond"/>
                <w:lang w:val="en-AU"/>
              </w:rPr>
              <w:t xml:space="preserve">A need to develop interventions that capitalise on the increasingly ubiquitous electronic health record (HER) infrastructures and accompanying CPOE and CDSS functionality, but which also attend to wider sociotechnical considerations. </w:t>
            </w:r>
          </w:p>
          <w:p w:rsidR="00DA7BCB" w:rsidRDefault="00DA7BCB" w:rsidP="005A5F71">
            <w:pPr>
              <w:pStyle w:val="ListParagraph"/>
              <w:numPr>
                <w:ilvl w:val="0"/>
                <w:numId w:val="22"/>
              </w:numPr>
              <w:rPr>
                <w:rFonts w:ascii="Garamond" w:hAnsi="Garamond"/>
                <w:lang w:val="en-AU"/>
              </w:rPr>
            </w:pPr>
            <w:r>
              <w:rPr>
                <w:rFonts w:ascii="Garamond" w:hAnsi="Garamond"/>
                <w:lang w:val="en-AU"/>
              </w:rPr>
              <w:t>A</w:t>
            </w:r>
            <w:r w:rsidRPr="007F4FB4">
              <w:rPr>
                <w:rFonts w:ascii="Garamond" w:hAnsi="Garamond"/>
                <w:lang w:val="en-AU"/>
              </w:rPr>
              <w:t xml:space="preserve"> need to evaluate the acceptability, effectiveness and cost-effectiveness of these complex HIT-based interventions using robust study designs, preferabl</w:t>
            </w:r>
            <w:r>
              <w:rPr>
                <w:rFonts w:ascii="Garamond" w:hAnsi="Garamond"/>
                <w:lang w:val="en-AU"/>
              </w:rPr>
              <w:t>y randomised controlled trials.</w:t>
            </w:r>
          </w:p>
          <w:p w:rsidR="00DA7BCB" w:rsidRDefault="00DA7BCB" w:rsidP="005A5F71">
            <w:pPr>
              <w:pStyle w:val="ListParagraph"/>
              <w:numPr>
                <w:ilvl w:val="0"/>
                <w:numId w:val="22"/>
              </w:numPr>
              <w:rPr>
                <w:rFonts w:ascii="Garamond" w:hAnsi="Garamond"/>
                <w:lang w:val="en-AU"/>
              </w:rPr>
            </w:pPr>
            <w:r>
              <w:rPr>
                <w:rFonts w:ascii="Garamond" w:hAnsi="Garamond"/>
                <w:lang w:val="en-AU"/>
              </w:rPr>
              <w:t>M</w:t>
            </w:r>
            <w:r w:rsidRPr="00273157">
              <w:rPr>
                <w:rFonts w:ascii="Garamond" w:hAnsi="Garamond"/>
                <w:lang w:val="en-AU"/>
              </w:rPr>
              <w:t>echanisms to enable standardised reporting of progress in enhancing medication safety nat</w:t>
            </w:r>
            <w:r>
              <w:rPr>
                <w:rFonts w:ascii="Garamond" w:hAnsi="Garamond"/>
                <w:lang w:val="en-AU"/>
              </w:rPr>
              <w:t>ionally.</w:t>
            </w:r>
          </w:p>
          <w:p w:rsidR="00DA7BCB" w:rsidRPr="00273157" w:rsidRDefault="00DA7BCB" w:rsidP="005A5F71">
            <w:pPr>
              <w:pStyle w:val="ListParagraph"/>
              <w:numPr>
                <w:ilvl w:val="0"/>
                <w:numId w:val="22"/>
              </w:numPr>
              <w:rPr>
                <w:rFonts w:ascii="Garamond" w:hAnsi="Garamond"/>
                <w:lang w:val="en-AU"/>
              </w:rPr>
            </w:pPr>
            <w:r>
              <w:rPr>
                <w:rFonts w:ascii="Garamond" w:hAnsi="Garamond"/>
                <w:lang w:val="en-AU"/>
              </w:rPr>
              <w:t>F</w:t>
            </w:r>
            <w:r w:rsidRPr="00273157">
              <w:rPr>
                <w:rFonts w:ascii="Garamond" w:hAnsi="Garamond"/>
                <w:lang w:val="en-AU"/>
              </w:rPr>
              <w:t>ar more open in reporting on the (many) limitations of EHRs in hampering progress towards the goal of medication safety together with mandatory reporting of any new HIT/EHR-associated risks to medication safety. Such transparency should lead to more informed choices about the relative strengths and limitations of different EHRs and, more importantly, provide important insights into how to improve the design of EHRs.</w:t>
            </w:r>
          </w:p>
        </w:tc>
      </w:tr>
    </w:tbl>
    <w:p w:rsidR="00DA7BCB" w:rsidRDefault="00DA7BCB" w:rsidP="00DA7BCB">
      <w:pPr>
        <w:keepNext/>
        <w:keepLines/>
        <w:autoSpaceDE w:val="0"/>
        <w:autoSpaceDN w:val="0"/>
        <w:adjustRightInd w:val="0"/>
        <w:rPr>
          <w:rFonts w:ascii="Garamond" w:hAnsi="Garamond"/>
          <w:lang w:val="en-AU"/>
        </w:rPr>
      </w:pPr>
    </w:p>
    <w:p w:rsidR="00DA7BCB" w:rsidRDefault="00DA7BCB" w:rsidP="00DA7BCB">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medication safety, </w:t>
      </w:r>
      <w:r w:rsidRPr="006C5462">
        <w:rPr>
          <w:rFonts w:ascii="Garamond" w:hAnsi="Garamond"/>
          <w:lang w:val="en-AU"/>
        </w:rPr>
        <w:t>see</w:t>
      </w:r>
      <w:r>
        <w:rPr>
          <w:rFonts w:ascii="Garamond" w:hAnsi="Garamond"/>
          <w:lang w:val="en-AU"/>
        </w:rPr>
        <w:t xml:space="preserve"> </w:t>
      </w:r>
      <w:hyperlink r:id="rId34" w:history="1">
        <w:r w:rsidRPr="00D91045">
          <w:rPr>
            <w:rStyle w:val="Hyperlink"/>
            <w:rFonts w:ascii="Garamond" w:hAnsi="Garamond"/>
            <w:lang w:val="en-AU"/>
          </w:rPr>
          <w:t>https://www.safetyandquality.gov.au/our-work/medication-safety</w:t>
        </w:r>
      </w:hyperlink>
      <w:r>
        <w:rPr>
          <w:rFonts w:ascii="Garamond" w:hAnsi="Garamond"/>
          <w:lang w:val="en-AU"/>
        </w:rPr>
        <w:t xml:space="preserve"> </w:t>
      </w:r>
    </w:p>
    <w:p w:rsidR="00DA7BCB" w:rsidRDefault="00DA7BCB" w:rsidP="00DA7BCB">
      <w:pPr>
        <w:keepNext/>
        <w:keepLines/>
        <w:autoSpaceDE w:val="0"/>
        <w:autoSpaceDN w:val="0"/>
        <w:adjustRightInd w:val="0"/>
        <w:rPr>
          <w:rFonts w:ascii="Garamond" w:hAnsi="Garamond"/>
          <w:lang w:val="en-AU"/>
        </w:rPr>
      </w:pPr>
    </w:p>
    <w:p w:rsidR="00DA7BCB" w:rsidRPr="00634A58" w:rsidRDefault="00DA7BCB" w:rsidP="00DA7BCB">
      <w:pPr>
        <w:keepNext/>
        <w:keepLines/>
        <w:autoSpaceDE w:val="0"/>
        <w:autoSpaceDN w:val="0"/>
        <w:adjustRightInd w:val="0"/>
        <w:rPr>
          <w:rFonts w:ascii="Garamond" w:hAnsi="Garamond"/>
          <w:i/>
          <w:lang w:val="en-AU"/>
        </w:rPr>
      </w:pPr>
      <w:r w:rsidRPr="00634A58">
        <w:rPr>
          <w:rFonts w:ascii="Garamond" w:hAnsi="Garamond"/>
          <w:i/>
          <w:lang w:val="en-AU"/>
        </w:rPr>
        <w:t>Patient safety incidents caused by poor quality surgical instruments</w:t>
      </w:r>
    </w:p>
    <w:p w:rsidR="00DA7BCB" w:rsidRDefault="00DA7BCB" w:rsidP="00DA7BCB">
      <w:pPr>
        <w:keepNext/>
        <w:keepLines/>
        <w:autoSpaceDE w:val="0"/>
        <w:autoSpaceDN w:val="0"/>
        <w:adjustRightInd w:val="0"/>
        <w:rPr>
          <w:rFonts w:ascii="Garamond" w:hAnsi="Garamond"/>
          <w:lang w:val="en-AU"/>
        </w:rPr>
      </w:pPr>
      <w:r w:rsidRPr="00E31BB0">
        <w:rPr>
          <w:rFonts w:ascii="Garamond" w:hAnsi="Garamond"/>
          <w:lang w:val="en-AU"/>
        </w:rPr>
        <w:t>Dominguez ED, Rocos B</w:t>
      </w:r>
    </w:p>
    <w:p w:rsidR="00DA7BCB" w:rsidRDefault="00DA7BCB" w:rsidP="00DA7BCB">
      <w:pPr>
        <w:keepNext/>
        <w:keepLines/>
        <w:autoSpaceDE w:val="0"/>
        <w:autoSpaceDN w:val="0"/>
        <w:adjustRightInd w:val="0"/>
        <w:rPr>
          <w:rFonts w:ascii="Garamond" w:hAnsi="Garamond"/>
          <w:lang w:val="en-AU"/>
        </w:rPr>
      </w:pPr>
      <w:r w:rsidRPr="00E31BB0">
        <w:rPr>
          <w:rFonts w:ascii="Garamond" w:hAnsi="Garamond"/>
          <w:lang w:val="en-AU"/>
        </w:rPr>
        <w:t>Cureus. 2019;11(6):e4877.</w:t>
      </w:r>
    </w:p>
    <w:tbl>
      <w:tblPr>
        <w:tblStyle w:val="TableGrid"/>
        <w:tblW w:w="0" w:type="auto"/>
        <w:tblInd w:w="288" w:type="dxa"/>
        <w:tblLayout w:type="fixed"/>
        <w:tblLook w:val="01E0" w:firstRow="1" w:lastRow="1" w:firstColumn="1" w:lastColumn="1" w:noHBand="0" w:noVBand="0"/>
      </w:tblPr>
      <w:tblGrid>
        <w:gridCol w:w="1080"/>
        <w:gridCol w:w="8280"/>
      </w:tblGrid>
      <w:tr w:rsidR="00DA7BCB" w:rsidRPr="000170DA" w:rsidTr="005A5F71">
        <w:tc>
          <w:tcPr>
            <w:tcW w:w="1080" w:type="dxa"/>
            <w:tcBorders>
              <w:top w:val="single" w:sz="4" w:space="0" w:color="auto"/>
              <w:left w:val="single" w:sz="4" w:space="0" w:color="auto"/>
              <w:bottom w:val="single" w:sz="4" w:space="0" w:color="auto"/>
              <w:right w:val="single" w:sz="4" w:space="0" w:color="auto"/>
            </w:tcBorders>
            <w:vAlign w:val="center"/>
          </w:tcPr>
          <w:p w:rsidR="00DA7BCB" w:rsidRPr="000170DA" w:rsidRDefault="00DA7BCB" w:rsidP="005A5F7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7BCB" w:rsidRPr="000170DA" w:rsidRDefault="00865019" w:rsidP="005A5F71">
            <w:pPr>
              <w:rPr>
                <w:rStyle w:val="Hyperlink"/>
                <w:rFonts w:ascii="Garamond" w:hAnsi="Garamond"/>
                <w:color w:val="auto"/>
                <w:u w:val="none"/>
                <w:lang w:val="en-AU"/>
              </w:rPr>
            </w:pPr>
            <w:hyperlink r:id="rId35" w:history="1">
              <w:r w:rsidR="00DA7BCB" w:rsidRPr="00F5244A">
                <w:rPr>
                  <w:rStyle w:val="Hyperlink"/>
                  <w:rFonts w:ascii="Garamond" w:hAnsi="Garamond"/>
                  <w:lang w:val="en-AU"/>
                </w:rPr>
                <w:t>http://doi.org/10.7759/cureus.4877</w:t>
              </w:r>
            </w:hyperlink>
          </w:p>
        </w:tc>
      </w:tr>
      <w:tr w:rsidR="00DA7BCB" w:rsidRPr="000170DA" w:rsidTr="005A5F71">
        <w:tc>
          <w:tcPr>
            <w:tcW w:w="1080" w:type="dxa"/>
            <w:tcBorders>
              <w:top w:val="single" w:sz="4" w:space="0" w:color="auto"/>
              <w:left w:val="single" w:sz="4" w:space="0" w:color="auto"/>
              <w:bottom w:val="single" w:sz="4" w:space="0" w:color="auto"/>
              <w:right w:val="single" w:sz="4" w:space="0" w:color="auto"/>
            </w:tcBorders>
            <w:vAlign w:val="center"/>
          </w:tcPr>
          <w:p w:rsidR="00DA7BCB" w:rsidRPr="000170DA" w:rsidRDefault="00DA7BCB" w:rsidP="005A5F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7BCB" w:rsidRPr="005A00FB" w:rsidRDefault="00DA7BCB" w:rsidP="005A5F71">
            <w:pPr>
              <w:rPr>
                <w:rFonts w:ascii="Garamond" w:hAnsi="Garamond"/>
                <w:lang w:val="en-AU"/>
              </w:rPr>
            </w:pPr>
            <w:r>
              <w:rPr>
                <w:rFonts w:ascii="Garamond" w:hAnsi="Garamond"/>
                <w:lang w:val="en-AU"/>
              </w:rPr>
              <w:t xml:space="preserve">The saying ‘A bad workman always blames his tools’ is quite familiar. But in considerations of safety and quality in health </w:t>
            </w:r>
            <w:r w:rsidR="00561B17">
              <w:rPr>
                <w:rFonts w:ascii="Garamond" w:hAnsi="Garamond"/>
                <w:lang w:val="en-AU"/>
              </w:rPr>
              <w:t>care,</w:t>
            </w:r>
            <w:r>
              <w:rPr>
                <w:rFonts w:ascii="Garamond" w:hAnsi="Garamond"/>
                <w:lang w:val="en-AU"/>
              </w:rPr>
              <w:t xml:space="preserve"> the equipment involved is frequently not considered. This UK study examined the </w:t>
            </w:r>
            <w:r w:rsidRPr="00E31BB0">
              <w:rPr>
                <w:rFonts w:ascii="Garamond" w:hAnsi="Garamond"/>
                <w:lang w:val="en-AU"/>
              </w:rPr>
              <w:t>National Reporting and Learning Service database</w:t>
            </w:r>
            <w:r>
              <w:rPr>
                <w:rFonts w:ascii="Garamond" w:hAnsi="Garamond"/>
                <w:lang w:val="en-AU"/>
              </w:rPr>
              <w:t xml:space="preserve"> to ascertain the scale of the problem of poor quality instruments failing. From the data for </w:t>
            </w:r>
            <w:r w:rsidRPr="00E31BB0">
              <w:rPr>
                <w:rFonts w:ascii="Garamond" w:hAnsi="Garamond"/>
                <w:lang w:val="en-AU"/>
              </w:rPr>
              <w:t>August 2004</w:t>
            </w:r>
            <w:r>
              <w:rPr>
                <w:rFonts w:ascii="Garamond" w:hAnsi="Garamond"/>
                <w:lang w:val="en-AU"/>
              </w:rPr>
              <w:t>–</w:t>
            </w:r>
            <w:r w:rsidRPr="00E31BB0">
              <w:rPr>
                <w:rFonts w:ascii="Garamond" w:hAnsi="Garamond"/>
                <w:lang w:val="en-AU"/>
              </w:rPr>
              <w:t>December 2010</w:t>
            </w:r>
            <w:r>
              <w:rPr>
                <w:rFonts w:ascii="Garamond" w:hAnsi="Garamond"/>
                <w:lang w:val="en-AU"/>
              </w:rPr>
              <w:t xml:space="preserve">, 161 </w:t>
            </w:r>
            <w:r w:rsidRPr="00E31BB0">
              <w:rPr>
                <w:rFonts w:ascii="Garamond" w:hAnsi="Garamond"/>
                <w:lang w:val="en-AU"/>
              </w:rPr>
              <w:t xml:space="preserve">incidents were identified </w:t>
            </w:r>
            <w:r>
              <w:rPr>
                <w:rFonts w:ascii="Garamond" w:hAnsi="Garamond"/>
                <w:lang w:val="en-AU"/>
              </w:rPr>
              <w:t xml:space="preserve">the led to </w:t>
            </w:r>
            <w:r w:rsidRPr="00E31BB0">
              <w:rPr>
                <w:rFonts w:ascii="Garamond" w:hAnsi="Garamond"/>
                <w:lang w:val="en-AU"/>
              </w:rPr>
              <w:t>five re</w:t>
            </w:r>
            <w:r>
              <w:rPr>
                <w:rFonts w:ascii="Garamond" w:hAnsi="Garamond"/>
                <w:lang w:val="en-AU"/>
              </w:rPr>
              <w:t>-</w:t>
            </w:r>
            <w:r w:rsidRPr="00E31BB0">
              <w:rPr>
                <w:rFonts w:ascii="Garamond" w:hAnsi="Garamond"/>
                <w:lang w:val="en-AU"/>
              </w:rPr>
              <w:t>operations, one incident of severe harm, six incidents of moderate harm, 35 of low harm, and 119 no harm incidents. No patient deaths were discovered. Drill</w:t>
            </w:r>
            <w:r>
              <w:rPr>
                <w:rFonts w:ascii="Garamond" w:hAnsi="Garamond"/>
                <w:lang w:val="en-AU"/>
              </w:rPr>
              <w:t xml:space="preserve"> </w:t>
            </w:r>
            <w:r w:rsidRPr="00E31BB0">
              <w:rPr>
                <w:rFonts w:ascii="Garamond" w:hAnsi="Garamond"/>
                <w:lang w:val="en-AU"/>
              </w:rPr>
              <w:t>bits were the most commonly broken instrument.</w:t>
            </w:r>
            <w:r>
              <w:rPr>
                <w:rFonts w:ascii="Garamond" w:hAnsi="Garamond"/>
                <w:lang w:val="en-AU"/>
              </w:rPr>
              <w:t xml:space="preserve"> The authors considered their findings to ‘</w:t>
            </w:r>
            <w:r w:rsidRPr="00E31BB0">
              <w:rPr>
                <w:rFonts w:ascii="Garamond" w:hAnsi="Garamond"/>
                <w:lang w:val="en-AU"/>
              </w:rPr>
              <w:t>be the tip of the iceberg. Poor reporting of patient safety incidents means that there may be as many as 1500 incidents a year of poor quality surgical instruments causing harm. We suggest that forming a Surgical Instrument Quality Service at Trusts within the National Health Service (NHS) could prevent harm coming to patients, reduce cost, and improve the outcomes of surgical procedures.</w:t>
            </w:r>
            <w:r>
              <w:rPr>
                <w:rFonts w:ascii="Garamond" w:hAnsi="Garamond"/>
                <w:lang w:val="en-AU"/>
              </w:rPr>
              <w:t>’</w:t>
            </w:r>
          </w:p>
        </w:tc>
      </w:tr>
    </w:tbl>
    <w:p w:rsidR="00DA7BCB" w:rsidRPr="005B57C1" w:rsidRDefault="00DA7BCB" w:rsidP="00DA7BCB">
      <w:pPr>
        <w:keepNext/>
        <w:keepLines/>
        <w:autoSpaceDE w:val="0"/>
        <w:autoSpaceDN w:val="0"/>
        <w:adjustRightInd w:val="0"/>
        <w:rPr>
          <w:rFonts w:ascii="Garamond" w:hAnsi="Garamond"/>
          <w:i/>
          <w:lang w:val="en-AU"/>
        </w:rPr>
      </w:pPr>
      <w:r w:rsidRPr="005B57C1">
        <w:rPr>
          <w:rFonts w:ascii="Garamond" w:hAnsi="Garamond"/>
          <w:i/>
          <w:lang w:val="en-AU"/>
        </w:rPr>
        <w:t>Investigating for improvement? Five strategies to ensure national patient safety investigations improve patient safety</w:t>
      </w:r>
    </w:p>
    <w:p w:rsidR="00442BD2" w:rsidRDefault="00442BD2" w:rsidP="00DA7BCB">
      <w:pPr>
        <w:keepNext/>
        <w:keepLines/>
        <w:autoSpaceDE w:val="0"/>
        <w:autoSpaceDN w:val="0"/>
        <w:adjustRightInd w:val="0"/>
        <w:rPr>
          <w:rFonts w:ascii="Garamond" w:hAnsi="Garamond"/>
          <w:lang w:val="en-AU"/>
        </w:rPr>
      </w:pPr>
      <w:r w:rsidRPr="00442BD2">
        <w:rPr>
          <w:rFonts w:ascii="Garamond" w:hAnsi="Garamond"/>
          <w:lang w:val="en-AU"/>
        </w:rPr>
        <w:t>Macrae C</w:t>
      </w:r>
    </w:p>
    <w:p w:rsidR="00442BD2" w:rsidRDefault="00442BD2" w:rsidP="00DA7BCB">
      <w:pPr>
        <w:keepNext/>
        <w:keepLines/>
        <w:autoSpaceDE w:val="0"/>
        <w:autoSpaceDN w:val="0"/>
        <w:adjustRightInd w:val="0"/>
        <w:rPr>
          <w:rFonts w:ascii="Garamond" w:hAnsi="Garamond"/>
          <w:lang w:val="en-AU"/>
        </w:rPr>
      </w:pPr>
      <w:r w:rsidRPr="00442BD2">
        <w:rPr>
          <w:rFonts w:ascii="Garamond" w:hAnsi="Garamond"/>
          <w:lang w:val="en-AU"/>
        </w:rPr>
        <w:t>Journal of the Royal Society of Medicine. 2019;112(9):365-9.</w:t>
      </w:r>
      <w:r>
        <w:rPr>
          <w:rFonts w:ascii="Garamond" w:hAnsi="Garamond"/>
          <w:lang w:val="en-AU"/>
        </w:rPr>
        <w:t>u</w:t>
      </w:r>
    </w:p>
    <w:tbl>
      <w:tblPr>
        <w:tblStyle w:val="TableGrid"/>
        <w:tblW w:w="0" w:type="auto"/>
        <w:tblInd w:w="288" w:type="dxa"/>
        <w:tblLayout w:type="fixed"/>
        <w:tblLook w:val="01E0" w:firstRow="1" w:lastRow="1" w:firstColumn="1" w:lastColumn="1" w:noHBand="0" w:noVBand="0"/>
      </w:tblPr>
      <w:tblGrid>
        <w:gridCol w:w="1080"/>
        <w:gridCol w:w="8280"/>
      </w:tblGrid>
      <w:tr w:rsidR="00DA7BCB" w:rsidRPr="000170DA" w:rsidTr="005A5F71">
        <w:tc>
          <w:tcPr>
            <w:tcW w:w="1080" w:type="dxa"/>
            <w:tcBorders>
              <w:top w:val="single" w:sz="4" w:space="0" w:color="auto"/>
              <w:left w:val="single" w:sz="4" w:space="0" w:color="auto"/>
              <w:bottom w:val="single" w:sz="4" w:space="0" w:color="auto"/>
              <w:right w:val="single" w:sz="4" w:space="0" w:color="auto"/>
            </w:tcBorders>
            <w:vAlign w:val="center"/>
          </w:tcPr>
          <w:p w:rsidR="00DA7BCB" w:rsidRPr="000170DA" w:rsidRDefault="00DA7BCB" w:rsidP="005A5F7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7BCB" w:rsidRPr="000170DA" w:rsidRDefault="00865019" w:rsidP="005A5F71">
            <w:pPr>
              <w:rPr>
                <w:rStyle w:val="Hyperlink"/>
                <w:rFonts w:ascii="Garamond" w:hAnsi="Garamond"/>
                <w:color w:val="auto"/>
                <w:u w:val="none"/>
                <w:lang w:val="en-AU"/>
              </w:rPr>
            </w:pPr>
            <w:hyperlink r:id="rId36" w:history="1">
              <w:r w:rsidR="00DA7BCB" w:rsidRPr="00F5244A">
                <w:rPr>
                  <w:rStyle w:val="Hyperlink"/>
                  <w:rFonts w:ascii="Garamond" w:hAnsi="Garamond"/>
                  <w:lang w:val="en-AU"/>
                </w:rPr>
                <w:t>https://doi.org/10.1177/0141076819848114</w:t>
              </w:r>
            </w:hyperlink>
          </w:p>
        </w:tc>
      </w:tr>
      <w:tr w:rsidR="00DA7BCB" w:rsidRPr="000170DA" w:rsidTr="005A5F71">
        <w:tc>
          <w:tcPr>
            <w:tcW w:w="1080" w:type="dxa"/>
            <w:tcBorders>
              <w:top w:val="single" w:sz="4" w:space="0" w:color="auto"/>
              <w:left w:val="single" w:sz="4" w:space="0" w:color="auto"/>
              <w:bottom w:val="single" w:sz="4" w:space="0" w:color="auto"/>
              <w:right w:val="single" w:sz="4" w:space="0" w:color="auto"/>
            </w:tcBorders>
            <w:vAlign w:val="center"/>
          </w:tcPr>
          <w:p w:rsidR="00DA7BCB" w:rsidRPr="000170DA" w:rsidRDefault="00DA7BCB" w:rsidP="005A5F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7EDB" w:rsidRDefault="00442BD2" w:rsidP="00617EDB">
            <w:pPr>
              <w:rPr>
                <w:rFonts w:ascii="Garamond" w:hAnsi="Garamond"/>
                <w:lang w:val="en-AU"/>
              </w:rPr>
            </w:pPr>
            <w:r>
              <w:rPr>
                <w:rFonts w:ascii="Garamond" w:hAnsi="Garamond"/>
                <w:lang w:val="en-AU"/>
              </w:rPr>
              <w:t xml:space="preserve">This piece has been spurred by the establishment of </w:t>
            </w:r>
            <w:r w:rsidRPr="00442BD2">
              <w:rPr>
                <w:rFonts w:ascii="Garamond" w:hAnsi="Garamond"/>
                <w:lang w:val="en-AU"/>
              </w:rPr>
              <w:t>national, independent safety investigation bodies that will investigate serious patient safety risks that span the healthcare system and develop system-wide recommendations for learning and improvement</w:t>
            </w:r>
            <w:r>
              <w:rPr>
                <w:rFonts w:ascii="Garamond" w:hAnsi="Garamond"/>
                <w:lang w:val="en-AU"/>
              </w:rPr>
              <w:t xml:space="preserve"> in both England and Norway.</w:t>
            </w:r>
            <w:r w:rsidRPr="00442BD2">
              <w:rPr>
                <w:rFonts w:ascii="Garamond" w:hAnsi="Garamond"/>
                <w:lang w:val="en-AU"/>
              </w:rPr>
              <w:t xml:space="preserve"> In England, the Healthcare Safety Investigation Branch became operational in April 2017</w:t>
            </w:r>
            <w:r>
              <w:rPr>
                <w:rFonts w:ascii="Garamond" w:hAnsi="Garamond"/>
                <w:lang w:val="en-AU"/>
              </w:rPr>
              <w:t xml:space="preserve"> while in </w:t>
            </w:r>
            <w:r w:rsidRPr="00442BD2">
              <w:rPr>
                <w:rFonts w:ascii="Garamond" w:hAnsi="Garamond"/>
                <w:lang w:val="en-AU"/>
              </w:rPr>
              <w:t xml:space="preserve">Norway, the State Investigation Commission for Health and Care Services </w:t>
            </w:r>
            <w:r>
              <w:rPr>
                <w:rFonts w:ascii="Garamond" w:hAnsi="Garamond"/>
                <w:lang w:val="en-AU"/>
              </w:rPr>
              <w:t xml:space="preserve">will commence </w:t>
            </w:r>
            <w:r w:rsidRPr="00442BD2">
              <w:rPr>
                <w:rFonts w:ascii="Garamond" w:hAnsi="Garamond"/>
                <w:lang w:val="en-AU"/>
              </w:rPr>
              <w:t>operation</w:t>
            </w:r>
            <w:r>
              <w:rPr>
                <w:rFonts w:ascii="Garamond" w:hAnsi="Garamond"/>
                <w:lang w:val="en-AU"/>
              </w:rPr>
              <w:t>s</w:t>
            </w:r>
            <w:r w:rsidRPr="00442BD2">
              <w:rPr>
                <w:rFonts w:ascii="Garamond" w:hAnsi="Garamond"/>
                <w:lang w:val="en-AU"/>
              </w:rPr>
              <w:t xml:space="preserve"> in 2019.</w:t>
            </w:r>
            <w:r>
              <w:rPr>
                <w:rFonts w:ascii="Garamond" w:hAnsi="Garamond"/>
                <w:lang w:val="en-AU"/>
              </w:rPr>
              <w:t xml:space="preserve"> </w:t>
            </w:r>
            <w:r w:rsidR="00617EDB">
              <w:rPr>
                <w:rFonts w:ascii="Garamond" w:hAnsi="Garamond"/>
                <w:lang w:val="en-AU"/>
              </w:rPr>
              <w:t xml:space="preserve">In this piece, </w:t>
            </w:r>
            <w:r w:rsidR="00617EDB" w:rsidRPr="00617EDB">
              <w:rPr>
                <w:rFonts w:ascii="Garamond" w:hAnsi="Garamond"/>
                <w:lang w:val="en-AU"/>
              </w:rPr>
              <w:t xml:space="preserve">five core strategies </w:t>
            </w:r>
            <w:r w:rsidR="00617EDB">
              <w:rPr>
                <w:rFonts w:ascii="Garamond" w:hAnsi="Garamond"/>
                <w:lang w:val="en-AU"/>
              </w:rPr>
              <w:t>are discussed with the understanding that they ‘</w:t>
            </w:r>
            <w:r w:rsidR="00617EDB" w:rsidRPr="00617EDB">
              <w:rPr>
                <w:rFonts w:ascii="Garamond" w:hAnsi="Garamond"/>
                <w:lang w:val="en-AU"/>
              </w:rPr>
              <w:t>translate the fundamental principles of national, system-wide safety investigation into more concrete objectives for strategic development and draw on both early experiences in the English health system combined with insights from other learning-oriented, systems-focused investigative practices.</w:t>
            </w:r>
            <w:r w:rsidR="00617EDB">
              <w:rPr>
                <w:rFonts w:ascii="Garamond" w:hAnsi="Garamond"/>
                <w:lang w:val="en-AU"/>
              </w:rPr>
              <w:t>’</w:t>
            </w:r>
          </w:p>
          <w:p w:rsidR="00DA7BCB" w:rsidRDefault="00617EDB" w:rsidP="00442BD2">
            <w:pPr>
              <w:rPr>
                <w:rFonts w:ascii="Garamond" w:hAnsi="Garamond"/>
                <w:lang w:val="en-AU"/>
              </w:rPr>
            </w:pPr>
            <w:r>
              <w:rPr>
                <w:rFonts w:ascii="Garamond" w:hAnsi="Garamond"/>
                <w:lang w:val="en-AU"/>
              </w:rPr>
              <w:t>The five strategies are:</w:t>
            </w:r>
          </w:p>
          <w:p w:rsidR="00617EDB" w:rsidRDefault="00617EDB" w:rsidP="00617EDB">
            <w:pPr>
              <w:pStyle w:val="ListParagraph"/>
              <w:numPr>
                <w:ilvl w:val="0"/>
                <w:numId w:val="24"/>
              </w:numPr>
              <w:rPr>
                <w:rFonts w:ascii="Garamond" w:hAnsi="Garamond"/>
                <w:lang w:val="en-AU"/>
              </w:rPr>
            </w:pPr>
            <w:r w:rsidRPr="00617EDB">
              <w:rPr>
                <w:rFonts w:ascii="Garamond" w:hAnsi="Garamond"/>
                <w:lang w:val="en-AU"/>
              </w:rPr>
              <w:t>Untangle systemic risks: explain the sources of system-wide safety problems</w:t>
            </w:r>
          </w:p>
          <w:p w:rsidR="00617EDB" w:rsidRDefault="00617EDB" w:rsidP="00617EDB">
            <w:pPr>
              <w:pStyle w:val="ListParagraph"/>
              <w:numPr>
                <w:ilvl w:val="0"/>
                <w:numId w:val="24"/>
              </w:numPr>
              <w:rPr>
                <w:rFonts w:ascii="Garamond" w:hAnsi="Garamond"/>
                <w:lang w:val="en-AU"/>
              </w:rPr>
            </w:pPr>
            <w:r w:rsidRPr="00617EDB">
              <w:rPr>
                <w:rFonts w:ascii="Garamond" w:hAnsi="Garamond"/>
                <w:lang w:val="en-AU"/>
              </w:rPr>
              <w:t>Reconfigure systems: construct innovative and co-creative recommendations</w:t>
            </w:r>
          </w:p>
          <w:p w:rsidR="00617EDB" w:rsidRDefault="00617EDB" w:rsidP="00617EDB">
            <w:pPr>
              <w:pStyle w:val="ListParagraph"/>
              <w:numPr>
                <w:ilvl w:val="0"/>
                <w:numId w:val="24"/>
              </w:numPr>
              <w:rPr>
                <w:rFonts w:ascii="Garamond" w:hAnsi="Garamond"/>
                <w:lang w:val="en-AU"/>
              </w:rPr>
            </w:pPr>
            <w:r w:rsidRPr="00617EDB">
              <w:rPr>
                <w:rFonts w:ascii="Garamond" w:hAnsi="Garamond"/>
                <w:lang w:val="en-AU"/>
              </w:rPr>
              <w:t>Show your working: develop methodology and share ongoing evaluation</w:t>
            </w:r>
          </w:p>
          <w:p w:rsidR="00617EDB" w:rsidRDefault="00617EDB" w:rsidP="00617EDB">
            <w:pPr>
              <w:pStyle w:val="ListParagraph"/>
              <w:numPr>
                <w:ilvl w:val="0"/>
                <w:numId w:val="24"/>
              </w:numPr>
              <w:rPr>
                <w:rFonts w:ascii="Garamond" w:hAnsi="Garamond"/>
                <w:lang w:val="en-AU"/>
              </w:rPr>
            </w:pPr>
            <w:r w:rsidRPr="00617EDB">
              <w:rPr>
                <w:rFonts w:ascii="Garamond" w:hAnsi="Garamond"/>
                <w:lang w:val="en-AU"/>
              </w:rPr>
              <w:t>Narrative and voice: reveal the complexity of practice and experience</w:t>
            </w:r>
          </w:p>
          <w:p w:rsidR="00617EDB" w:rsidRPr="00617EDB" w:rsidRDefault="00617EDB" w:rsidP="00617EDB">
            <w:pPr>
              <w:pStyle w:val="ListParagraph"/>
              <w:numPr>
                <w:ilvl w:val="0"/>
                <w:numId w:val="24"/>
              </w:numPr>
              <w:rPr>
                <w:rFonts w:ascii="Garamond" w:hAnsi="Garamond"/>
                <w:lang w:val="en-AU"/>
              </w:rPr>
            </w:pPr>
            <w:r w:rsidRPr="00617EDB">
              <w:rPr>
                <w:rFonts w:ascii="Garamond" w:hAnsi="Garamond"/>
                <w:lang w:val="en-AU"/>
              </w:rPr>
              <w:t>Make risks visible: generate active responsibility and practical knowledge</w:t>
            </w:r>
            <w:r>
              <w:rPr>
                <w:rFonts w:ascii="Garamond" w:hAnsi="Garamond"/>
                <w:lang w:val="en-AU"/>
              </w:rPr>
              <w:t>.</w:t>
            </w:r>
          </w:p>
          <w:p w:rsidR="00617EDB" w:rsidRDefault="00617EDB" w:rsidP="00442BD2">
            <w:pPr>
              <w:rPr>
                <w:rFonts w:ascii="Garamond" w:hAnsi="Garamond"/>
                <w:lang w:val="en-AU"/>
              </w:rPr>
            </w:pPr>
          </w:p>
          <w:p w:rsidR="00617EDB" w:rsidRDefault="00617EDB" w:rsidP="00442BD2">
            <w:pPr>
              <w:rPr>
                <w:rFonts w:ascii="Garamond" w:hAnsi="Garamond"/>
                <w:lang w:val="en-AU"/>
              </w:rPr>
            </w:pPr>
            <w:r>
              <w:rPr>
                <w:rFonts w:ascii="Garamond" w:hAnsi="Garamond"/>
                <w:noProof/>
                <w:lang w:val="en-AU" w:eastAsia="en-AU"/>
              </w:rPr>
              <w:drawing>
                <wp:inline distT="0" distB="0" distL="0" distR="0">
                  <wp:extent cx="5113655" cy="4142740"/>
                  <wp:effectExtent l="0" t="0" r="0" b="0"/>
                  <wp:docPr id="7" name="Picture 7" descr="\\central.health\DfsUserEnv\Users\User_07\JOHNNI\Downloads\5 strategi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ntral.health\DfsUserEnv\Users\User_07\JOHNNI\Downloads\5 strategies.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13655" cy="4142740"/>
                          </a:xfrm>
                          <a:prstGeom prst="rect">
                            <a:avLst/>
                          </a:prstGeom>
                          <a:noFill/>
                          <a:ln>
                            <a:noFill/>
                          </a:ln>
                        </pic:spPr>
                      </pic:pic>
                    </a:graphicData>
                  </a:graphic>
                </wp:inline>
              </w:drawing>
            </w:r>
          </w:p>
          <w:p w:rsidR="00617EDB" w:rsidRPr="005A00FB" w:rsidRDefault="00617EDB" w:rsidP="00442BD2">
            <w:pPr>
              <w:rPr>
                <w:rFonts w:ascii="Garamond" w:hAnsi="Garamond"/>
                <w:lang w:val="en-AU"/>
              </w:rPr>
            </w:pPr>
          </w:p>
        </w:tc>
      </w:tr>
    </w:tbl>
    <w:p w:rsidR="00DA7BCB" w:rsidRDefault="00DA7BCB" w:rsidP="00DA7BCB">
      <w:pPr>
        <w:keepNext/>
        <w:keepLines/>
        <w:autoSpaceDE w:val="0"/>
        <w:autoSpaceDN w:val="0"/>
        <w:adjustRightInd w:val="0"/>
        <w:rPr>
          <w:rFonts w:ascii="Garamond" w:hAnsi="Garamond"/>
          <w:i/>
          <w:lang w:val="en-AU"/>
        </w:rPr>
      </w:pPr>
    </w:p>
    <w:p w:rsidR="00617EDB" w:rsidRDefault="00617EDB">
      <w:pPr>
        <w:rPr>
          <w:rFonts w:ascii="Garamond" w:hAnsi="Garamond"/>
          <w:i/>
          <w:lang w:val="en-AU"/>
        </w:rPr>
      </w:pPr>
      <w:r>
        <w:rPr>
          <w:rFonts w:ascii="Garamond" w:hAnsi="Garamond"/>
          <w:i/>
          <w:lang w:val="en-AU"/>
        </w:rPr>
        <w:br w:type="page"/>
      </w:r>
    </w:p>
    <w:p w:rsidR="00D067EB" w:rsidRPr="00C57211" w:rsidRDefault="00D067EB" w:rsidP="00D067EB">
      <w:pPr>
        <w:rPr>
          <w:rFonts w:ascii="Garamond" w:hAnsi="Garamond"/>
          <w:i/>
          <w:lang w:val="en-AU"/>
        </w:rPr>
      </w:pPr>
      <w:r w:rsidRPr="00C57211">
        <w:rPr>
          <w:rFonts w:ascii="Garamond" w:hAnsi="Garamond"/>
          <w:i/>
          <w:lang w:val="en-AU"/>
        </w:rPr>
        <w:t>BMJ Quality &amp; Safety</w:t>
      </w:r>
    </w:p>
    <w:p w:rsidR="00D067EB" w:rsidRPr="00D65371" w:rsidRDefault="00D067EB" w:rsidP="00D067EB">
      <w:pPr>
        <w:rPr>
          <w:rFonts w:ascii="Garamond" w:hAnsi="Garamond"/>
          <w:lang w:val="en-AU"/>
        </w:rPr>
      </w:pPr>
      <w:r>
        <w:rPr>
          <w:rFonts w:ascii="Garamond" w:hAnsi="Garamond"/>
          <w:lang w:val="en-AU"/>
        </w:rPr>
        <w:t>October 2019 - Volume 28 - 10</w:t>
      </w:r>
    </w:p>
    <w:tbl>
      <w:tblPr>
        <w:tblStyle w:val="TableGrid"/>
        <w:tblW w:w="0" w:type="auto"/>
        <w:tblInd w:w="288" w:type="dxa"/>
        <w:tblLayout w:type="fixed"/>
        <w:tblLook w:val="01E0" w:firstRow="1" w:lastRow="1" w:firstColumn="1" w:lastColumn="1" w:noHBand="0" w:noVBand="0"/>
      </w:tblPr>
      <w:tblGrid>
        <w:gridCol w:w="1080"/>
        <w:gridCol w:w="8280"/>
      </w:tblGrid>
      <w:tr w:rsidR="00D067EB"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D067EB" w:rsidRPr="000170DA" w:rsidRDefault="00D067EB" w:rsidP="00FB3C6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067EB" w:rsidRPr="000170DA" w:rsidRDefault="00865019" w:rsidP="00D067EB">
            <w:pPr>
              <w:rPr>
                <w:rStyle w:val="Hyperlink"/>
                <w:rFonts w:ascii="Garamond" w:hAnsi="Garamond"/>
                <w:color w:val="auto"/>
                <w:u w:val="none"/>
                <w:lang w:val="en-AU"/>
              </w:rPr>
            </w:pPr>
            <w:hyperlink r:id="rId38" w:history="1">
              <w:r w:rsidR="00D067EB" w:rsidRPr="00E432DE">
                <w:rPr>
                  <w:rStyle w:val="Hyperlink"/>
                  <w:rFonts w:ascii="Garamond" w:hAnsi="Garamond"/>
                  <w:lang w:val="en-AU"/>
                </w:rPr>
                <w:t>https://qualitysafety.bmj.com/content/28/10</w:t>
              </w:r>
            </w:hyperlink>
          </w:p>
        </w:tc>
      </w:tr>
      <w:tr w:rsidR="00D067EB"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D067EB" w:rsidRPr="000170DA" w:rsidRDefault="00D067EB" w:rsidP="00FB3C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067EB" w:rsidRPr="007C3778" w:rsidRDefault="00D067EB" w:rsidP="00FB3C66">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D067EB" w:rsidRPr="00D067EB" w:rsidRDefault="00D067EB" w:rsidP="00FB3C66">
            <w:pPr>
              <w:pStyle w:val="ListParagraph"/>
              <w:numPr>
                <w:ilvl w:val="0"/>
                <w:numId w:val="15"/>
              </w:numPr>
              <w:rPr>
                <w:rFonts w:ascii="Garamond" w:hAnsi="Garamond"/>
                <w:lang w:val="en-AU"/>
              </w:rPr>
            </w:pPr>
            <w:r w:rsidRPr="00D067EB">
              <w:rPr>
                <w:rFonts w:ascii="Garamond" w:hAnsi="Garamond"/>
                <w:lang w:val="en-AU"/>
              </w:rPr>
              <w:t xml:space="preserve">Editorial: Improving </w:t>
            </w:r>
            <w:r w:rsidRPr="000E697E">
              <w:rPr>
                <w:rFonts w:ascii="Garamond" w:hAnsi="Garamond"/>
                <w:b/>
                <w:lang w:val="en-AU"/>
              </w:rPr>
              <w:t>patient outcomes following total joint arthroplasty</w:t>
            </w:r>
            <w:r w:rsidRPr="00D067EB">
              <w:rPr>
                <w:rFonts w:ascii="Garamond" w:hAnsi="Garamond"/>
                <w:lang w:val="en-AU"/>
              </w:rPr>
              <w:t>: is there an app for that? (Jesse I Wolfstadt, Christine Soong, Sarah E Ward</w:t>
            </w:r>
            <w:r>
              <w:rPr>
                <w:rFonts w:ascii="Garamond" w:hAnsi="Garamond"/>
                <w:lang w:val="en-AU"/>
              </w:rPr>
              <w:t>)</w:t>
            </w:r>
          </w:p>
          <w:p w:rsidR="00D067EB" w:rsidRPr="000E697E" w:rsidRDefault="00D067EB" w:rsidP="00FB3C66">
            <w:pPr>
              <w:pStyle w:val="ListParagraph"/>
              <w:numPr>
                <w:ilvl w:val="0"/>
                <w:numId w:val="15"/>
              </w:numPr>
              <w:rPr>
                <w:rFonts w:ascii="Garamond" w:hAnsi="Garamond"/>
                <w:lang w:val="en-AU"/>
              </w:rPr>
            </w:pPr>
            <w:r w:rsidRPr="000E697E">
              <w:rPr>
                <w:rFonts w:ascii="Garamond" w:hAnsi="Garamond"/>
                <w:lang w:val="en-AU"/>
              </w:rPr>
              <w:t xml:space="preserve">Editorial: Clinical considerations when </w:t>
            </w:r>
            <w:r w:rsidRPr="000E697E">
              <w:rPr>
                <w:rFonts w:ascii="Garamond" w:hAnsi="Garamond"/>
                <w:b/>
                <w:lang w:val="en-AU"/>
              </w:rPr>
              <w:t xml:space="preserve">applying machine learning to decision-support tasks </w:t>
            </w:r>
            <w:r w:rsidRPr="000E697E">
              <w:rPr>
                <w:rFonts w:ascii="Garamond" w:hAnsi="Garamond"/>
                <w:lang w:val="en-AU"/>
              </w:rPr>
              <w:t>versus automation (Trevor Jamieson, Avi Goldfarb</w:t>
            </w:r>
            <w:r w:rsidR="000E697E">
              <w:rPr>
                <w:rFonts w:ascii="Garamond" w:hAnsi="Garamond"/>
                <w:lang w:val="en-AU"/>
              </w:rPr>
              <w:t>)</w:t>
            </w:r>
          </w:p>
          <w:p w:rsidR="00D067EB" w:rsidRPr="000E697E" w:rsidRDefault="00D067EB" w:rsidP="00FB3C66">
            <w:pPr>
              <w:pStyle w:val="ListParagraph"/>
              <w:numPr>
                <w:ilvl w:val="0"/>
                <w:numId w:val="15"/>
              </w:numPr>
              <w:rPr>
                <w:rFonts w:ascii="Garamond" w:hAnsi="Garamond"/>
                <w:lang w:val="en-AU"/>
              </w:rPr>
            </w:pPr>
            <w:r w:rsidRPr="000E697E">
              <w:rPr>
                <w:rFonts w:ascii="Garamond" w:hAnsi="Garamond"/>
                <w:lang w:val="en-AU"/>
              </w:rPr>
              <w:t xml:space="preserve">Patient activation intervention to facilitate </w:t>
            </w:r>
            <w:r w:rsidRPr="000E697E">
              <w:rPr>
                <w:rFonts w:ascii="Garamond" w:hAnsi="Garamond"/>
                <w:b/>
                <w:lang w:val="en-AU"/>
              </w:rPr>
              <w:t>participation in recovery after total knee replacement</w:t>
            </w:r>
            <w:r w:rsidRPr="000E697E">
              <w:rPr>
                <w:rFonts w:ascii="Garamond" w:hAnsi="Garamond"/>
                <w:lang w:val="en-AU"/>
              </w:rPr>
              <w:t xml:space="preserve"> (MIME): a cluster randomised cross-over trialEditor's Choice (Jo McDonall, Richard de Steiger, John Reynolds, Bernice Redley, Patricia M Livingston, Anastasia F Hutchinson, Mari Botti</w:t>
            </w:r>
            <w:r w:rsidR="000E697E">
              <w:rPr>
                <w:rFonts w:ascii="Garamond" w:hAnsi="Garamond"/>
                <w:lang w:val="en-AU"/>
              </w:rPr>
              <w:t>)</w:t>
            </w:r>
          </w:p>
          <w:p w:rsidR="00D067EB" w:rsidRPr="000E697E" w:rsidRDefault="00D067EB" w:rsidP="00FB3C66">
            <w:pPr>
              <w:pStyle w:val="ListParagraph"/>
              <w:numPr>
                <w:ilvl w:val="0"/>
                <w:numId w:val="15"/>
              </w:numPr>
              <w:rPr>
                <w:rFonts w:ascii="Garamond" w:hAnsi="Garamond"/>
                <w:lang w:val="en-AU"/>
              </w:rPr>
            </w:pPr>
            <w:r w:rsidRPr="000E697E">
              <w:rPr>
                <w:rFonts w:ascii="Garamond" w:hAnsi="Garamond"/>
                <w:lang w:val="en-AU"/>
              </w:rPr>
              <w:t xml:space="preserve">Robot for </w:t>
            </w:r>
            <w:r w:rsidRPr="000E697E">
              <w:rPr>
                <w:rFonts w:ascii="Garamond" w:hAnsi="Garamond"/>
                <w:b/>
                <w:lang w:val="en-AU"/>
              </w:rPr>
              <w:t>health data acquisition among older adults</w:t>
            </w:r>
            <w:r w:rsidRPr="000E697E">
              <w:rPr>
                <w:rFonts w:ascii="Garamond" w:hAnsi="Garamond"/>
                <w:lang w:val="en-AU"/>
              </w:rPr>
              <w:t>: a pilot randomised controlled cross-over trial (Roel Boumans, Fokke van Meulen, Koen Hindriks, Mark Neerincx, Marcel G M Olde Rikkert</w:t>
            </w:r>
            <w:r w:rsidR="000E697E">
              <w:rPr>
                <w:rFonts w:ascii="Garamond" w:hAnsi="Garamond"/>
                <w:lang w:val="en-AU"/>
              </w:rPr>
              <w:t>)</w:t>
            </w:r>
          </w:p>
          <w:p w:rsidR="00D067EB" w:rsidRPr="000E697E" w:rsidRDefault="00D067EB" w:rsidP="00FB3C66">
            <w:pPr>
              <w:pStyle w:val="ListParagraph"/>
              <w:numPr>
                <w:ilvl w:val="0"/>
                <w:numId w:val="15"/>
              </w:numPr>
              <w:rPr>
                <w:rFonts w:ascii="Garamond" w:hAnsi="Garamond"/>
                <w:lang w:val="en-AU"/>
              </w:rPr>
            </w:pPr>
            <w:r w:rsidRPr="000E697E">
              <w:rPr>
                <w:rFonts w:ascii="Garamond" w:hAnsi="Garamond"/>
                <w:lang w:val="en-AU"/>
              </w:rPr>
              <w:t xml:space="preserve">Standardising hospitalist practice in </w:t>
            </w:r>
            <w:r w:rsidRPr="000E697E">
              <w:rPr>
                <w:rFonts w:ascii="Garamond" w:hAnsi="Garamond"/>
                <w:b/>
                <w:lang w:val="en-AU"/>
              </w:rPr>
              <w:t>sepsis and COPD care</w:t>
            </w:r>
            <w:r w:rsidRPr="000E697E">
              <w:rPr>
                <w:rFonts w:ascii="Garamond" w:hAnsi="Garamond"/>
                <w:lang w:val="en-AU"/>
              </w:rPr>
              <w:t xml:space="preserve"> (Steven Bergmann, Mary Tran, Kathryn Robison, Christine Fanning, Simran Sedani, Janet Ready, Kelly Conklin, D Tamondong-Lachica, D Paculdo, J Peabody</w:t>
            </w:r>
            <w:r w:rsidR="000E697E">
              <w:rPr>
                <w:rFonts w:ascii="Garamond" w:hAnsi="Garamond"/>
                <w:lang w:val="en-AU"/>
              </w:rPr>
              <w:t>)</w:t>
            </w:r>
          </w:p>
          <w:p w:rsidR="00D067EB" w:rsidRPr="000E697E" w:rsidRDefault="00D067EB" w:rsidP="00FB3C66">
            <w:pPr>
              <w:pStyle w:val="ListParagraph"/>
              <w:numPr>
                <w:ilvl w:val="0"/>
                <w:numId w:val="15"/>
              </w:numPr>
              <w:rPr>
                <w:rFonts w:ascii="Garamond" w:hAnsi="Garamond"/>
                <w:lang w:val="en-AU"/>
              </w:rPr>
            </w:pPr>
            <w:r w:rsidRPr="000E697E">
              <w:rPr>
                <w:rFonts w:ascii="Garamond" w:hAnsi="Garamond"/>
                <w:lang w:val="en-AU"/>
              </w:rPr>
              <w:t xml:space="preserve">Major reductions in </w:t>
            </w:r>
            <w:r w:rsidRPr="000E697E">
              <w:rPr>
                <w:rFonts w:ascii="Garamond" w:hAnsi="Garamond"/>
                <w:b/>
                <w:lang w:val="en-AU"/>
              </w:rPr>
              <w:t>unnecessary aspartate aminotransferase and blood urea nitrogen tests</w:t>
            </w:r>
            <w:r w:rsidRPr="000E697E">
              <w:rPr>
                <w:rFonts w:ascii="Garamond" w:hAnsi="Garamond"/>
                <w:lang w:val="en-AU"/>
              </w:rPr>
              <w:t xml:space="preserve"> with a quality improvement initiative (Rachel Strauss, Alex Cressman, Mark Cheung, Adina Weinerman, Suzanne Waldman, Edward Etchells, Alireza Zahirieh, Piero Tartaro, Jeremy Rezmovitz, Jeannie Callum</w:t>
            </w:r>
            <w:r w:rsidR="000E697E">
              <w:rPr>
                <w:rFonts w:ascii="Garamond" w:hAnsi="Garamond"/>
                <w:lang w:val="en-AU"/>
              </w:rPr>
              <w:t>)</w:t>
            </w:r>
          </w:p>
          <w:p w:rsidR="00D067EB" w:rsidRPr="000E697E" w:rsidRDefault="00D067EB" w:rsidP="00FB3C66">
            <w:pPr>
              <w:pStyle w:val="ListParagraph"/>
              <w:numPr>
                <w:ilvl w:val="0"/>
                <w:numId w:val="15"/>
              </w:numPr>
              <w:rPr>
                <w:rFonts w:ascii="Garamond" w:hAnsi="Garamond"/>
                <w:lang w:val="en-AU"/>
              </w:rPr>
            </w:pPr>
            <w:r w:rsidRPr="000E697E">
              <w:rPr>
                <w:rFonts w:ascii="Garamond" w:hAnsi="Garamond"/>
                <w:lang w:val="en-AU"/>
              </w:rPr>
              <w:t xml:space="preserve">Assessing the quality of health care in the </w:t>
            </w:r>
            <w:r w:rsidRPr="000E697E">
              <w:rPr>
                <w:rFonts w:ascii="Garamond" w:hAnsi="Garamond"/>
                <w:b/>
                <w:lang w:val="en-AU"/>
              </w:rPr>
              <w:t>management of bronchiolitis</w:t>
            </w:r>
            <w:r w:rsidRPr="000E697E">
              <w:rPr>
                <w:rFonts w:ascii="Garamond" w:hAnsi="Garamond"/>
                <w:lang w:val="en-AU"/>
              </w:rPr>
              <w:t xml:space="preserve"> in Australian children: a population-based sample survey (Nusrat Homaira, Louise K Wiles, Claire Gardner, Charlotte J Molloy, Gaston Arnolda, Hsuen P Ting, Peter Damian Hibbert, Jeffrey Braithwaite, Adam Jaffe</w:t>
            </w:r>
            <w:r w:rsidR="000E697E">
              <w:rPr>
                <w:rFonts w:ascii="Garamond" w:hAnsi="Garamond"/>
                <w:lang w:val="en-AU"/>
              </w:rPr>
              <w:t>)</w:t>
            </w:r>
          </w:p>
          <w:p w:rsidR="00D067EB" w:rsidRPr="000E697E" w:rsidRDefault="00D067EB" w:rsidP="00FB3C66">
            <w:pPr>
              <w:pStyle w:val="ListParagraph"/>
              <w:numPr>
                <w:ilvl w:val="0"/>
                <w:numId w:val="15"/>
              </w:numPr>
              <w:rPr>
                <w:rFonts w:ascii="Garamond" w:hAnsi="Garamond"/>
                <w:lang w:val="en-AU"/>
              </w:rPr>
            </w:pPr>
            <w:r w:rsidRPr="000E697E">
              <w:rPr>
                <w:rFonts w:ascii="Garamond" w:hAnsi="Garamond"/>
                <w:lang w:val="en-AU"/>
              </w:rPr>
              <w:t xml:space="preserve">Management of </w:t>
            </w:r>
            <w:r w:rsidRPr="000E697E">
              <w:rPr>
                <w:rFonts w:ascii="Garamond" w:hAnsi="Garamond"/>
                <w:b/>
                <w:lang w:val="en-AU"/>
              </w:rPr>
              <w:t>low back pain</w:t>
            </w:r>
            <w:r w:rsidRPr="000E697E">
              <w:rPr>
                <w:rFonts w:ascii="Garamond" w:hAnsi="Garamond"/>
                <w:lang w:val="en-AU"/>
              </w:rPr>
              <w:t xml:space="preserve"> in Australian emergency departments (Giovanni E Ferreira, Gustavo C Machado, Christina Abdel Shaheed, Chung-Wei Christine Lin, Chris Needs, James Edwards, Rochelle Facer, Eileen Rogan, Bethan Richards, Christopher G Maher</w:t>
            </w:r>
            <w:r w:rsidR="000E697E">
              <w:rPr>
                <w:rFonts w:ascii="Garamond" w:hAnsi="Garamond"/>
                <w:lang w:val="en-AU"/>
              </w:rPr>
              <w:t>)</w:t>
            </w:r>
          </w:p>
          <w:p w:rsidR="00D067EB" w:rsidRPr="000E697E" w:rsidRDefault="00D067EB" w:rsidP="00FB3C66">
            <w:pPr>
              <w:pStyle w:val="ListParagraph"/>
              <w:numPr>
                <w:ilvl w:val="0"/>
                <w:numId w:val="15"/>
              </w:numPr>
              <w:rPr>
                <w:rFonts w:ascii="Garamond" w:hAnsi="Garamond"/>
                <w:lang w:val="en-AU"/>
              </w:rPr>
            </w:pPr>
            <w:r w:rsidRPr="000E697E">
              <w:rPr>
                <w:rFonts w:ascii="Garamond" w:hAnsi="Garamond"/>
                <w:lang w:val="en-AU"/>
              </w:rPr>
              <w:t xml:space="preserve">Stepped-wedge randomised trial to evaluate population health intervention designed to increase appropriate </w:t>
            </w:r>
            <w:r w:rsidRPr="000E697E">
              <w:rPr>
                <w:rFonts w:ascii="Garamond" w:hAnsi="Garamond"/>
                <w:b/>
                <w:lang w:val="en-AU"/>
              </w:rPr>
              <w:t>anticoagulation in patients with atrial fibrillation</w:t>
            </w:r>
            <w:r w:rsidRPr="000E697E">
              <w:rPr>
                <w:rFonts w:ascii="Garamond" w:hAnsi="Garamond"/>
                <w:lang w:val="en-AU"/>
              </w:rPr>
              <w:t xml:space="preserve"> (Shirley V Wang, James R Rogers, Yinzhu Jin, David DeiCicchi, Sara Dejene, Jean M Connors, David W Bates, Robert J Glynn, M A Fischer</w:t>
            </w:r>
            <w:r w:rsidR="000E697E">
              <w:rPr>
                <w:rFonts w:ascii="Garamond" w:hAnsi="Garamond"/>
                <w:lang w:val="en-AU"/>
              </w:rPr>
              <w:t>)</w:t>
            </w:r>
          </w:p>
          <w:p w:rsidR="00D067EB" w:rsidRPr="000E697E" w:rsidRDefault="00D067EB" w:rsidP="00FB3C66">
            <w:pPr>
              <w:pStyle w:val="ListParagraph"/>
              <w:numPr>
                <w:ilvl w:val="0"/>
                <w:numId w:val="15"/>
              </w:numPr>
              <w:rPr>
                <w:rFonts w:ascii="Garamond" w:hAnsi="Garamond"/>
                <w:lang w:val="en-AU"/>
              </w:rPr>
            </w:pPr>
            <w:r w:rsidRPr="000E697E">
              <w:rPr>
                <w:rFonts w:ascii="Garamond" w:hAnsi="Garamond"/>
                <w:b/>
                <w:lang w:val="en-AU"/>
              </w:rPr>
              <w:t>Patient experience surveys</w:t>
            </w:r>
            <w:r w:rsidRPr="000E697E">
              <w:rPr>
                <w:rFonts w:ascii="Garamond" w:hAnsi="Garamond"/>
                <w:lang w:val="en-AU"/>
              </w:rPr>
              <w:t>: reflections on rating a sacred trust (Catherine C Ferguson</w:t>
            </w:r>
            <w:r w:rsidR="000E697E">
              <w:rPr>
                <w:rFonts w:ascii="Garamond" w:hAnsi="Garamond"/>
                <w:lang w:val="en-AU"/>
              </w:rPr>
              <w:t>)</w:t>
            </w:r>
          </w:p>
          <w:p w:rsidR="00D067EB" w:rsidRPr="000E697E" w:rsidRDefault="00D067EB" w:rsidP="00FB3C66">
            <w:pPr>
              <w:pStyle w:val="ListParagraph"/>
              <w:numPr>
                <w:ilvl w:val="0"/>
                <w:numId w:val="15"/>
              </w:numPr>
              <w:rPr>
                <w:rFonts w:ascii="Garamond" w:hAnsi="Garamond"/>
                <w:lang w:val="en-AU"/>
              </w:rPr>
            </w:pPr>
            <w:r w:rsidRPr="000E697E">
              <w:rPr>
                <w:rFonts w:ascii="Garamond" w:hAnsi="Garamond"/>
                <w:lang w:val="en-AU"/>
              </w:rPr>
              <w:t xml:space="preserve">Altering </w:t>
            </w:r>
            <w:r w:rsidRPr="000A5CDF">
              <w:rPr>
                <w:rFonts w:ascii="Garamond" w:hAnsi="Garamond"/>
                <w:b/>
                <w:lang w:val="en-AU"/>
              </w:rPr>
              <w:t>standard admission order sets</w:t>
            </w:r>
            <w:r w:rsidRPr="000E697E">
              <w:rPr>
                <w:rFonts w:ascii="Garamond" w:hAnsi="Garamond"/>
                <w:lang w:val="en-AU"/>
              </w:rPr>
              <w:t xml:space="preserve"> to promote clinical laboratory stewardship: a cohort quality improvement study (Benjamin Leis, Andrew Frost, Rhonda Bryce, Andrew W Lyon, Kelly Coverett</w:t>
            </w:r>
            <w:r w:rsidR="000E697E">
              <w:rPr>
                <w:rFonts w:ascii="Garamond" w:hAnsi="Garamond"/>
                <w:lang w:val="en-AU"/>
              </w:rPr>
              <w:t>)</w:t>
            </w:r>
          </w:p>
          <w:p w:rsidR="00D067EB" w:rsidRPr="007C3778" w:rsidRDefault="00D067EB" w:rsidP="000E697E">
            <w:pPr>
              <w:pStyle w:val="ListParagraph"/>
              <w:numPr>
                <w:ilvl w:val="0"/>
                <w:numId w:val="15"/>
              </w:numPr>
              <w:rPr>
                <w:rFonts w:ascii="Garamond" w:hAnsi="Garamond"/>
                <w:lang w:val="en-AU"/>
              </w:rPr>
            </w:pPr>
            <w:r w:rsidRPr="000A5CDF">
              <w:rPr>
                <w:rFonts w:ascii="Garamond" w:hAnsi="Garamond"/>
                <w:b/>
                <w:lang w:val="en-AU"/>
              </w:rPr>
              <w:t>MRI for patients with cardiac implantable electronic devices</w:t>
            </w:r>
            <w:r w:rsidRPr="00D067EB">
              <w:rPr>
                <w:rFonts w:ascii="Garamond" w:hAnsi="Garamond"/>
                <w:lang w:val="en-AU"/>
              </w:rPr>
              <w:t>: simplifying complexity with a ‘one-stop’ service model (Anish N Bhuva, Patricia Feuchter, Angela Hawkins, Lizette Cash, Redha Boubertakh, Jane Evanson, Richard Schilling, Martin Lowe, James C Moon, Charlotte H Manisty</w:t>
            </w:r>
            <w:r w:rsidR="000E697E">
              <w:rPr>
                <w:rFonts w:ascii="Garamond" w:hAnsi="Garamond"/>
                <w:lang w:val="en-AU"/>
              </w:rPr>
              <w:t>)</w:t>
            </w:r>
          </w:p>
        </w:tc>
      </w:tr>
    </w:tbl>
    <w:p w:rsidR="00D067EB" w:rsidRDefault="00D067EB" w:rsidP="00D067EB">
      <w:pPr>
        <w:keepNext/>
        <w:keepLines/>
        <w:autoSpaceDE w:val="0"/>
        <w:autoSpaceDN w:val="0"/>
        <w:adjustRightInd w:val="0"/>
        <w:rPr>
          <w:rFonts w:ascii="Garamond" w:hAnsi="Garamond"/>
          <w:lang w:val="en-AU"/>
        </w:rPr>
      </w:pPr>
    </w:p>
    <w:p w:rsidR="00617EDB" w:rsidRDefault="00617EDB">
      <w:pPr>
        <w:rPr>
          <w:rFonts w:ascii="Garamond" w:hAnsi="Garamond"/>
          <w:i/>
          <w:lang w:val="en-AU"/>
        </w:rPr>
      </w:pPr>
      <w:r>
        <w:rPr>
          <w:rFonts w:ascii="Garamond" w:hAnsi="Garamond"/>
          <w:i/>
          <w:lang w:val="en-AU"/>
        </w:rPr>
        <w:br w:type="page"/>
      </w:r>
    </w:p>
    <w:p w:rsidR="009E385C" w:rsidRDefault="00DF6D21" w:rsidP="00673D95">
      <w:pPr>
        <w:keepNext/>
        <w:rPr>
          <w:rFonts w:ascii="Garamond" w:hAnsi="Garamond"/>
          <w:i/>
          <w:lang w:val="en-AU"/>
        </w:rPr>
      </w:pPr>
      <w:r>
        <w:rPr>
          <w:rFonts w:ascii="Garamond" w:hAnsi="Garamond"/>
          <w:i/>
          <w:lang w:val="en-AU"/>
        </w:rPr>
        <w:t>Patient Safety</w:t>
      </w:r>
    </w:p>
    <w:p w:rsidR="00DF6D21" w:rsidRPr="00DF6D21" w:rsidRDefault="00DF6D21" w:rsidP="00673D95">
      <w:pPr>
        <w:keepNext/>
        <w:rPr>
          <w:rFonts w:ascii="Garamond" w:hAnsi="Garamond"/>
          <w:lang w:val="en-AU"/>
        </w:rPr>
      </w:pPr>
      <w:r>
        <w:rPr>
          <w:rFonts w:ascii="Garamond" w:hAnsi="Garamond"/>
          <w:lang w:val="en-AU"/>
        </w:rPr>
        <w:t>Vol. 1 No. 1, September 2019</w:t>
      </w:r>
    </w:p>
    <w:tbl>
      <w:tblPr>
        <w:tblStyle w:val="TableGrid"/>
        <w:tblW w:w="9360" w:type="dxa"/>
        <w:tblInd w:w="288" w:type="dxa"/>
        <w:tblLayout w:type="fixed"/>
        <w:tblLook w:val="01E0" w:firstRow="1" w:lastRow="1" w:firstColumn="1" w:lastColumn="1" w:noHBand="0" w:noVBand="0"/>
      </w:tblPr>
      <w:tblGrid>
        <w:gridCol w:w="1080"/>
        <w:gridCol w:w="8280"/>
      </w:tblGrid>
      <w:tr w:rsidR="009E385C"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9E385C" w:rsidRPr="000170DA" w:rsidRDefault="009E385C" w:rsidP="00FB3C6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E385C" w:rsidRPr="000170DA" w:rsidRDefault="00865019" w:rsidP="00FB3C66">
            <w:pPr>
              <w:rPr>
                <w:rStyle w:val="Hyperlink"/>
                <w:rFonts w:ascii="Garamond" w:hAnsi="Garamond"/>
                <w:color w:val="auto"/>
                <w:u w:val="none"/>
                <w:lang w:val="en-AU"/>
              </w:rPr>
            </w:pPr>
            <w:hyperlink r:id="rId39" w:history="1">
              <w:r w:rsidR="00DF6D21" w:rsidRPr="00E432DE">
                <w:rPr>
                  <w:rStyle w:val="Hyperlink"/>
                  <w:rFonts w:ascii="Garamond" w:hAnsi="Garamond"/>
                  <w:lang w:val="en-AU"/>
                </w:rPr>
                <w:t>https://patientsafetyj.com/index.php/patientsaf/issue/view/September-2019</w:t>
              </w:r>
            </w:hyperlink>
          </w:p>
        </w:tc>
      </w:tr>
      <w:tr w:rsidR="009E385C" w:rsidRPr="000170DA" w:rsidTr="00FB3C66">
        <w:tc>
          <w:tcPr>
            <w:tcW w:w="1080" w:type="dxa"/>
            <w:tcBorders>
              <w:top w:val="single" w:sz="4" w:space="0" w:color="auto"/>
              <w:left w:val="single" w:sz="4" w:space="0" w:color="auto"/>
              <w:bottom w:val="single" w:sz="4" w:space="0" w:color="auto"/>
              <w:right w:val="single" w:sz="4" w:space="0" w:color="auto"/>
            </w:tcBorders>
            <w:vAlign w:val="center"/>
          </w:tcPr>
          <w:p w:rsidR="009E385C" w:rsidRPr="000170DA" w:rsidRDefault="009E385C" w:rsidP="00FB3C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385C" w:rsidRPr="007C3778" w:rsidRDefault="00DF6D21" w:rsidP="00FB3C66">
            <w:pPr>
              <w:rPr>
                <w:rFonts w:ascii="Garamond" w:hAnsi="Garamond"/>
                <w:lang w:val="en-AU"/>
              </w:rPr>
            </w:pPr>
            <w:r>
              <w:rPr>
                <w:rFonts w:ascii="Garamond" w:hAnsi="Garamond"/>
                <w:lang w:val="en-AU"/>
              </w:rPr>
              <w:t>The</w:t>
            </w:r>
            <w:r w:rsidR="009E385C" w:rsidRPr="00B440ED">
              <w:rPr>
                <w:rFonts w:ascii="Garamond" w:hAnsi="Garamond"/>
                <w:lang w:val="en-AU"/>
              </w:rPr>
              <w:t xml:space="preserve"> </w:t>
            </w:r>
            <w:r>
              <w:rPr>
                <w:rFonts w:ascii="Garamond" w:hAnsi="Garamond"/>
                <w:lang w:val="en-AU"/>
              </w:rPr>
              <w:t xml:space="preserve">first </w:t>
            </w:r>
            <w:r w:rsidR="009E385C" w:rsidRPr="00B440ED">
              <w:rPr>
                <w:rFonts w:ascii="Garamond" w:hAnsi="Garamond"/>
                <w:lang w:val="en-AU"/>
              </w:rPr>
              <w:t>issue</w:t>
            </w:r>
            <w:r w:rsidR="009E385C">
              <w:rPr>
                <w:rFonts w:ascii="Garamond" w:hAnsi="Garamond"/>
                <w:lang w:val="en-AU"/>
              </w:rPr>
              <w:t xml:space="preserve"> of</w:t>
            </w:r>
            <w:r w:rsidR="009E385C" w:rsidRPr="00B440ED">
              <w:rPr>
                <w:rFonts w:ascii="Garamond" w:hAnsi="Garamond"/>
                <w:lang w:val="en-AU"/>
              </w:rPr>
              <w:t xml:space="preserve"> </w:t>
            </w:r>
            <w:r>
              <w:rPr>
                <w:rFonts w:ascii="Garamond" w:hAnsi="Garamond"/>
                <w:i/>
                <w:lang w:val="en-AU"/>
              </w:rPr>
              <w:t>Patient Safety</w:t>
            </w:r>
            <w:r w:rsidRPr="0075737E">
              <w:rPr>
                <w:rFonts w:ascii="Garamond" w:hAnsi="Garamond"/>
                <w:i/>
                <w:lang w:val="en-AU"/>
              </w:rPr>
              <w:t xml:space="preserve"> </w:t>
            </w:r>
            <w:r w:rsidR="009E385C" w:rsidRPr="00B440ED">
              <w:rPr>
                <w:rFonts w:ascii="Garamond" w:hAnsi="Garamond"/>
                <w:lang w:val="en-AU"/>
              </w:rPr>
              <w:t>has been published</w:t>
            </w:r>
            <w:r>
              <w:rPr>
                <w:rFonts w:ascii="Garamond" w:hAnsi="Garamond"/>
                <w:lang w:val="en-AU"/>
              </w:rPr>
              <w:t xml:space="preserve"> by the Pennsylvania </w:t>
            </w:r>
            <w:r w:rsidRPr="00DF6D21">
              <w:rPr>
                <w:rFonts w:ascii="Garamond" w:hAnsi="Garamond"/>
                <w:lang w:val="en-AU"/>
              </w:rPr>
              <w:t>Patient Safety</w:t>
            </w:r>
            <w:r>
              <w:rPr>
                <w:rFonts w:ascii="Garamond" w:hAnsi="Garamond"/>
                <w:lang w:val="en-AU"/>
              </w:rPr>
              <w:t xml:space="preserve"> Authority</w:t>
            </w:r>
            <w:r w:rsidR="009E385C" w:rsidRPr="00B440ED">
              <w:rPr>
                <w:rFonts w:ascii="Garamond" w:hAnsi="Garamond"/>
                <w:lang w:val="en-AU"/>
              </w:rPr>
              <w:t>.</w:t>
            </w:r>
            <w:r w:rsidR="009E385C">
              <w:rPr>
                <w:rFonts w:ascii="Garamond" w:hAnsi="Garamond"/>
                <w:lang w:val="en-AU"/>
              </w:rPr>
              <w:t xml:space="preserve"> </w:t>
            </w:r>
            <w:r>
              <w:rPr>
                <w:rFonts w:ascii="Garamond" w:hAnsi="Garamond"/>
                <w:lang w:val="en-AU"/>
              </w:rPr>
              <w:t xml:space="preserve">Items </w:t>
            </w:r>
            <w:r w:rsidR="009E385C" w:rsidRPr="00B440ED">
              <w:rPr>
                <w:rFonts w:ascii="Garamond" w:hAnsi="Garamond"/>
                <w:lang w:val="en-AU"/>
              </w:rPr>
              <w:t xml:space="preserve">in this </w:t>
            </w:r>
            <w:r>
              <w:rPr>
                <w:rFonts w:ascii="Garamond" w:hAnsi="Garamond"/>
                <w:lang w:val="en-AU"/>
              </w:rPr>
              <w:t xml:space="preserve">first </w:t>
            </w:r>
            <w:r w:rsidR="009E385C" w:rsidRPr="00B440ED">
              <w:rPr>
                <w:rFonts w:ascii="Garamond" w:hAnsi="Garamond"/>
                <w:lang w:val="en-AU"/>
              </w:rPr>
              <w:t xml:space="preserve">issue of </w:t>
            </w:r>
            <w:r>
              <w:rPr>
                <w:rFonts w:ascii="Garamond" w:hAnsi="Garamond"/>
                <w:i/>
                <w:lang w:val="en-AU"/>
              </w:rPr>
              <w:t>Patient Safety</w:t>
            </w:r>
            <w:r w:rsidRPr="00B440ED">
              <w:rPr>
                <w:rFonts w:ascii="Garamond" w:hAnsi="Garamond"/>
                <w:lang w:val="en-AU"/>
              </w:rPr>
              <w:t xml:space="preserve"> </w:t>
            </w:r>
            <w:r w:rsidR="009E385C" w:rsidRPr="00B440ED">
              <w:rPr>
                <w:rFonts w:ascii="Garamond" w:hAnsi="Garamond"/>
                <w:lang w:val="en-AU"/>
              </w:rPr>
              <w:t>include:</w:t>
            </w:r>
          </w:p>
          <w:p w:rsidR="00DF6D21" w:rsidRDefault="00DF6D21" w:rsidP="00DF6D21">
            <w:pPr>
              <w:pStyle w:val="ListParagraph"/>
              <w:numPr>
                <w:ilvl w:val="0"/>
                <w:numId w:val="15"/>
              </w:numPr>
              <w:rPr>
                <w:rFonts w:ascii="Garamond" w:hAnsi="Garamond"/>
                <w:lang w:val="en-AU"/>
              </w:rPr>
            </w:pPr>
            <w:r w:rsidRPr="00DF6D21">
              <w:rPr>
                <w:rFonts w:ascii="Garamond" w:hAnsi="Garamond"/>
                <w:lang w:val="en-AU"/>
              </w:rPr>
              <w:t>Letter From the Editor</w:t>
            </w:r>
          </w:p>
          <w:p w:rsidR="00DF6D21" w:rsidRDefault="00DF6D21" w:rsidP="00DF6D21">
            <w:pPr>
              <w:pStyle w:val="ListParagraph"/>
              <w:numPr>
                <w:ilvl w:val="0"/>
                <w:numId w:val="15"/>
              </w:numPr>
              <w:rPr>
                <w:rFonts w:ascii="Garamond" w:hAnsi="Garamond"/>
                <w:lang w:val="en-AU"/>
              </w:rPr>
            </w:pPr>
            <w:r w:rsidRPr="00DF6D21">
              <w:rPr>
                <w:rFonts w:ascii="Garamond" w:hAnsi="Garamond"/>
                <w:lang w:val="en-AU"/>
              </w:rPr>
              <w:t xml:space="preserve">Patient Commentary: Dwight McKay </w:t>
            </w:r>
            <w:r w:rsidR="00CD7577">
              <w:rPr>
                <w:rFonts w:ascii="Garamond" w:hAnsi="Garamond"/>
                <w:lang w:val="en-AU"/>
              </w:rPr>
              <w:t xml:space="preserve">– </w:t>
            </w:r>
            <w:r w:rsidRPr="00DF6D21">
              <w:rPr>
                <w:rFonts w:ascii="Garamond" w:hAnsi="Garamond"/>
                <w:lang w:val="en-AU"/>
              </w:rPr>
              <w:t xml:space="preserve">Why everyone should care </w:t>
            </w:r>
          </w:p>
          <w:p w:rsidR="00DF6D21" w:rsidRDefault="00DF6D21" w:rsidP="00DF6D21">
            <w:pPr>
              <w:pStyle w:val="ListParagraph"/>
              <w:numPr>
                <w:ilvl w:val="0"/>
                <w:numId w:val="15"/>
              </w:numPr>
              <w:rPr>
                <w:rFonts w:ascii="Garamond" w:hAnsi="Garamond"/>
                <w:lang w:val="en-AU"/>
              </w:rPr>
            </w:pPr>
            <w:r w:rsidRPr="00DF6D21">
              <w:rPr>
                <w:rFonts w:ascii="Garamond" w:hAnsi="Garamond"/>
                <w:lang w:val="en-AU"/>
              </w:rPr>
              <w:t>Data Snapshot</w:t>
            </w:r>
            <w:r w:rsidR="00CD7577">
              <w:rPr>
                <w:rFonts w:ascii="Garamond" w:hAnsi="Garamond"/>
                <w:lang w:val="en-AU"/>
              </w:rPr>
              <w:t xml:space="preserve"> – </w:t>
            </w:r>
            <w:r w:rsidRPr="00DF6D21">
              <w:rPr>
                <w:rFonts w:ascii="Garamond" w:hAnsi="Garamond"/>
                <w:lang w:val="en-AU"/>
              </w:rPr>
              <w:t>A battery’s moment of death may come as a beep, a red warning light, or a complete surprise</w:t>
            </w:r>
          </w:p>
          <w:p w:rsidR="00CD7577" w:rsidRDefault="00CD7577" w:rsidP="00CD7577">
            <w:pPr>
              <w:pStyle w:val="ListParagraph"/>
              <w:numPr>
                <w:ilvl w:val="0"/>
                <w:numId w:val="15"/>
              </w:numPr>
              <w:rPr>
                <w:rFonts w:ascii="Garamond" w:hAnsi="Garamond"/>
                <w:lang w:val="en-AU"/>
              </w:rPr>
            </w:pPr>
            <w:r>
              <w:rPr>
                <w:rFonts w:ascii="Garamond" w:hAnsi="Garamond"/>
                <w:lang w:val="en-AU"/>
              </w:rPr>
              <w:t>O</w:t>
            </w:r>
            <w:r w:rsidR="00DF6D21" w:rsidRPr="00DF6D21">
              <w:rPr>
                <w:rFonts w:ascii="Garamond" w:hAnsi="Garamond"/>
                <w:lang w:val="en-AU"/>
              </w:rPr>
              <w:t>ne-on-One With: Dr. Rachel Levine</w:t>
            </w:r>
            <w:r>
              <w:rPr>
                <w:rFonts w:ascii="Garamond" w:hAnsi="Garamond"/>
                <w:lang w:val="en-AU"/>
              </w:rPr>
              <w:t xml:space="preserve"> – </w:t>
            </w:r>
            <w:r w:rsidR="00DF6D21" w:rsidRPr="00DF6D21">
              <w:rPr>
                <w:rFonts w:ascii="Garamond" w:hAnsi="Garamond"/>
                <w:lang w:val="en-AU"/>
              </w:rPr>
              <w:t>How Pennsylvania is fighting the opioid crisis—an interview with the secretary of health</w:t>
            </w:r>
          </w:p>
          <w:p w:rsidR="00CD7577" w:rsidRDefault="00DF6D21" w:rsidP="00CD7577">
            <w:pPr>
              <w:pStyle w:val="ListParagraph"/>
              <w:numPr>
                <w:ilvl w:val="0"/>
                <w:numId w:val="15"/>
              </w:numPr>
              <w:rPr>
                <w:rFonts w:ascii="Garamond" w:hAnsi="Garamond"/>
                <w:lang w:val="en-AU"/>
              </w:rPr>
            </w:pPr>
            <w:r w:rsidRPr="00DF6D21">
              <w:rPr>
                <w:rFonts w:ascii="Garamond" w:hAnsi="Garamond"/>
                <w:lang w:val="en-AU"/>
              </w:rPr>
              <w:t>The Walking Gallery</w:t>
            </w:r>
            <w:r w:rsidR="00CD7577">
              <w:rPr>
                <w:rFonts w:ascii="Garamond" w:hAnsi="Garamond"/>
                <w:lang w:val="en-AU"/>
              </w:rPr>
              <w:t xml:space="preserve"> – </w:t>
            </w:r>
            <w:r w:rsidRPr="00DF6D21">
              <w:rPr>
                <w:rFonts w:ascii="Garamond" w:hAnsi="Garamond"/>
                <w:lang w:val="en-AU"/>
              </w:rPr>
              <w:t>This self-proclaimed army of patient advocates is transforming healthcare</w:t>
            </w:r>
          </w:p>
          <w:p w:rsidR="00CD7577" w:rsidRDefault="00DF6D21" w:rsidP="00CD7577">
            <w:pPr>
              <w:pStyle w:val="ListParagraph"/>
              <w:numPr>
                <w:ilvl w:val="0"/>
                <w:numId w:val="15"/>
              </w:numPr>
              <w:rPr>
                <w:rFonts w:ascii="Garamond" w:hAnsi="Garamond"/>
                <w:lang w:val="en-AU"/>
              </w:rPr>
            </w:pPr>
            <w:r w:rsidRPr="00DF6D21">
              <w:rPr>
                <w:rFonts w:ascii="Garamond" w:hAnsi="Garamond"/>
                <w:lang w:val="en-AU"/>
              </w:rPr>
              <w:t>Data Interpretation</w:t>
            </w:r>
            <w:r w:rsidR="00CD7577">
              <w:rPr>
                <w:rFonts w:ascii="Garamond" w:hAnsi="Garamond"/>
                <w:lang w:val="en-AU"/>
              </w:rPr>
              <w:t xml:space="preserve"> – </w:t>
            </w:r>
            <w:r w:rsidRPr="00DF6D21">
              <w:rPr>
                <w:rFonts w:ascii="Garamond" w:hAnsi="Garamond"/>
                <w:lang w:val="en-AU"/>
              </w:rPr>
              <w:t>A guide to un</w:t>
            </w:r>
            <w:r w:rsidR="00617EDB">
              <w:rPr>
                <w:rFonts w:ascii="Garamond" w:hAnsi="Garamond"/>
                <w:lang w:val="en-AU"/>
              </w:rPr>
              <w:t>derstanding patient safety data</w:t>
            </w:r>
          </w:p>
          <w:p w:rsidR="00CD7577" w:rsidRDefault="00DF6D21" w:rsidP="00CD7577">
            <w:pPr>
              <w:pStyle w:val="ListParagraph"/>
              <w:numPr>
                <w:ilvl w:val="0"/>
                <w:numId w:val="15"/>
              </w:numPr>
              <w:rPr>
                <w:rFonts w:ascii="Garamond" w:hAnsi="Garamond"/>
                <w:lang w:val="en-AU"/>
              </w:rPr>
            </w:pPr>
            <w:r w:rsidRPr="00DF6D21">
              <w:rPr>
                <w:rFonts w:ascii="Garamond" w:hAnsi="Garamond"/>
                <w:lang w:val="en-AU"/>
              </w:rPr>
              <w:t>Pressure Injuries</w:t>
            </w:r>
            <w:r w:rsidR="00CD7577">
              <w:rPr>
                <w:rFonts w:ascii="Garamond" w:hAnsi="Garamond"/>
                <w:lang w:val="en-AU"/>
              </w:rPr>
              <w:t xml:space="preserve"> –</w:t>
            </w:r>
            <w:r w:rsidR="00617EDB">
              <w:rPr>
                <w:rFonts w:ascii="Garamond" w:hAnsi="Garamond"/>
                <w:lang w:val="en-AU"/>
              </w:rPr>
              <w:t xml:space="preserve"> educational impact on </w:t>
            </w:r>
            <w:r w:rsidRPr="00DF6D21">
              <w:rPr>
                <w:rFonts w:ascii="Garamond" w:hAnsi="Garamond"/>
                <w:lang w:val="en-AU"/>
              </w:rPr>
              <w:t>accuracy of pressure injury staging</w:t>
            </w:r>
          </w:p>
          <w:p w:rsidR="00CD7577" w:rsidRDefault="00CD7577" w:rsidP="00CD7577">
            <w:pPr>
              <w:pStyle w:val="ListParagraph"/>
              <w:numPr>
                <w:ilvl w:val="0"/>
                <w:numId w:val="15"/>
              </w:numPr>
              <w:rPr>
                <w:rFonts w:ascii="Garamond" w:hAnsi="Garamond"/>
                <w:lang w:val="en-AU"/>
              </w:rPr>
            </w:pPr>
            <w:r>
              <w:rPr>
                <w:rFonts w:ascii="Garamond" w:hAnsi="Garamond"/>
                <w:lang w:val="en-AU"/>
              </w:rPr>
              <w:t xml:space="preserve">Allergy-Related Medication </w:t>
            </w:r>
            <w:r w:rsidR="00DF6D21" w:rsidRPr="00DF6D21">
              <w:rPr>
                <w:rFonts w:ascii="Garamond" w:hAnsi="Garamond"/>
                <w:lang w:val="en-AU"/>
              </w:rPr>
              <w:t>Errors</w:t>
            </w:r>
            <w:r>
              <w:rPr>
                <w:rFonts w:ascii="Garamond" w:hAnsi="Garamond"/>
                <w:lang w:val="en-AU"/>
              </w:rPr>
              <w:t xml:space="preserve"> –</w:t>
            </w:r>
            <w:r w:rsidR="00DF6D21" w:rsidRPr="00DF6D21">
              <w:rPr>
                <w:rFonts w:ascii="Garamond" w:hAnsi="Garamond"/>
                <w:lang w:val="en-AU"/>
              </w:rPr>
              <w:t>where and when an error is most likely</w:t>
            </w:r>
          </w:p>
          <w:p w:rsidR="00CD7577" w:rsidRDefault="00DF6D21" w:rsidP="00CD7577">
            <w:pPr>
              <w:pStyle w:val="ListParagraph"/>
              <w:numPr>
                <w:ilvl w:val="0"/>
                <w:numId w:val="15"/>
              </w:numPr>
              <w:rPr>
                <w:rFonts w:ascii="Garamond" w:hAnsi="Garamond"/>
                <w:lang w:val="en-AU"/>
              </w:rPr>
            </w:pPr>
            <w:r w:rsidRPr="00DF6D21">
              <w:rPr>
                <w:rFonts w:ascii="Garamond" w:hAnsi="Garamond"/>
                <w:lang w:val="en-AU"/>
              </w:rPr>
              <w:t>Vascular Access</w:t>
            </w:r>
            <w:r w:rsidR="00CD7577">
              <w:rPr>
                <w:rFonts w:ascii="Garamond" w:hAnsi="Garamond"/>
                <w:lang w:val="en-AU"/>
              </w:rPr>
              <w:t xml:space="preserve"> – </w:t>
            </w:r>
            <w:r w:rsidRPr="00DF6D21">
              <w:rPr>
                <w:rFonts w:ascii="Garamond" w:hAnsi="Garamond"/>
                <w:lang w:val="en-AU"/>
              </w:rPr>
              <w:t>Risks associated with peripheral and central venous catheters</w:t>
            </w:r>
          </w:p>
          <w:p w:rsidR="00CD7577" w:rsidRDefault="00DF6D21" w:rsidP="00CD7577">
            <w:pPr>
              <w:pStyle w:val="ListParagraph"/>
              <w:numPr>
                <w:ilvl w:val="0"/>
                <w:numId w:val="15"/>
              </w:numPr>
              <w:rPr>
                <w:rFonts w:ascii="Garamond" w:hAnsi="Garamond"/>
                <w:lang w:val="en-AU"/>
              </w:rPr>
            </w:pPr>
            <w:r w:rsidRPr="00DF6D21">
              <w:rPr>
                <w:rFonts w:ascii="Garamond" w:hAnsi="Garamond"/>
                <w:lang w:val="en-AU"/>
              </w:rPr>
              <w:t>Sepsis Awareness Campaign</w:t>
            </w:r>
            <w:r w:rsidR="00CD7577">
              <w:rPr>
                <w:rFonts w:ascii="Garamond" w:hAnsi="Garamond"/>
                <w:lang w:val="en-AU"/>
              </w:rPr>
              <w:t xml:space="preserve"> – </w:t>
            </w:r>
            <w:r w:rsidRPr="00DF6D21">
              <w:rPr>
                <w:rFonts w:ascii="Garamond" w:hAnsi="Garamond"/>
                <w:lang w:val="en-AU"/>
              </w:rPr>
              <w:t>How do you prevent blood poisoning? Hire Miss Sepsis!</w:t>
            </w:r>
          </w:p>
          <w:p w:rsidR="00CD7577" w:rsidRDefault="00DF6D21" w:rsidP="00CD7577">
            <w:pPr>
              <w:pStyle w:val="ListParagraph"/>
              <w:numPr>
                <w:ilvl w:val="0"/>
                <w:numId w:val="15"/>
              </w:numPr>
              <w:rPr>
                <w:rFonts w:ascii="Garamond" w:hAnsi="Garamond"/>
                <w:lang w:val="en-AU"/>
              </w:rPr>
            </w:pPr>
            <w:r w:rsidRPr="00DF6D21">
              <w:rPr>
                <w:rFonts w:ascii="Garamond" w:hAnsi="Garamond"/>
                <w:lang w:val="en-AU"/>
              </w:rPr>
              <w:t>Process Measures Survey Results</w:t>
            </w:r>
            <w:r w:rsidR="00CD7577">
              <w:rPr>
                <w:rFonts w:ascii="Garamond" w:hAnsi="Garamond"/>
                <w:lang w:val="en-AU"/>
              </w:rPr>
              <w:t xml:space="preserve"> – </w:t>
            </w:r>
            <w:r w:rsidRPr="00DF6D21">
              <w:rPr>
                <w:rFonts w:ascii="Garamond" w:hAnsi="Garamond"/>
                <w:lang w:val="en-AU"/>
              </w:rPr>
              <w:t>Best practice implementation across 10 domains in Pennsylvania hospitals</w:t>
            </w:r>
          </w:p>
          <w:p w:rsidR="009E385C" w:rsidRPr="007C3778" w:rsidRDefault="00DF6D21" w:rsidP="00CD7577">
            <w:pPr>
              <w:pStyle w:val="ListParagraph"/>
              <w:numPr>
                <w:ilvl w:val="0"/>
                <w:numId w:val="15"/>
              </w:numPr>
              <w:rPr>
                <w:rFonts w:ascii="Garamond" w:hAnsi="Garamond"/>
                <w:lang w:val="en-AU"/>
              </w:rPr>
            </w:pPr>
            <w:r w:rsidRPr="00DF6D21">
              <w:rPr>
                <w:rFonts w:ascii="Garamond" w:hAnsi="Garamond"/>
                <w:lang w:val="en-AU"/>
              </w:rPr>
              <w:t>Bedside Story: Sherry</w:t>
            </w:r>
            <w:r w:rsidR="00CD7577">
              <w:rPr>
                <w:rFonts w:ascii="Garamond" w:hAnsi="Garamond"/>
                <w:lang w:val="en-AU"/>
              </w:rPr>
              <w:t xml:space="preserve"> – </w:t>
            </w:r>
            <w:r w:rsidRPr="00DF6D21">
              <w:rPr>
                <w:rFonts w:ascii="Garamond" w:hAnsi="Garamond"/>
                <w:lang w:val="en-AU"/>
              </w:rPr>
              <w:t xml:space="preserve">Inappropriate testing for </w:t>
            </w:r>
            <w:r w:rsidRPr="00CD7577">
              <w:rPr>
                <w:rFonts w:ascii="Garamond" w:hAnsi="Garamond"/>
                <w:i/>
                <w:lang w:val="en-AU"/>
              </w:rPr>
              <w:t>Clostridioides difficile</w:t>
            </w:r>
            <w:r w:rsidRPr="00DF6D21">
              <w:rPr>
                <w:rFonts w:ascii="Garamond" w:hAnsi="Garamond"/>
                <w:lang w:val="en-AU"/>
              </w:rPr>
              <w:t xml:space="preserve"> in long-term care facilities highlight the need for an algorithm</w:t>
            </w:r>
          </w:p>
        </w:tc>
      </w:tr>
    </w:tbl>
    <w:p w:rsidR="009E385C" w:rsidRDefault="009E385C" w:rsidP="009E385C">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FB3C66">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FB3C66">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865019" w:rsidP="00FB3C66">
            <w:pPr>
              <w:keepNext/>
              <w:rPr>
                <w:rFonts w:ascii="Garamond" w:hAnsi="Garamond"/>
                <w:lang w:val="en-AU"/>
              </w:rPr>
            </w:pPr>
            <w:hyperlink r:id="rId40" w:history="1">
              <w:r w:rsidR="005A00FB" w:rsidRPr="00467B47">
                <w:rPr>
                  <w:rStyle w:val="Hyperlink"/>
                  <w:rFonts w:ascii="Garamond" w:hAnsi="Garamond"/>
                  <w:lang w:val="en-AU"/>
                </w:rPr>
                <w:t>https://qualitysafety.bmj.com/content/early/recent</w:t>
              </w:r>
            </w:hyperlink>
          </w:p>
        </w:tc>
      </w:tr>
      <w:tr w:rsidR="005A00FB" w:rsidRPr="00467B47" w:rsidTr="00FB3C66">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FB3C66">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5A00FB" w:rsidRPr="00467B47" w:rsidRDefault="005A00FB" w:rsidP="00FB3C66">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B43285" w:rsidRDefault="00B43285" w:rsidP="00FB3C66">
            <w:pPr>
              <w:pStyle w:val="ListParagraph"/>
              <w:numPr>
                <w:ilvl w:val="0"/>
                <w:numId w:val="14"/>
              </w:numPr>
              <w:rPr>
                <w:rFonts w:ascii="Garamond" w:hAnsi="Garamond"/>
                <w:lang w:val="en-AU"/>
              </w:rPr>
            </w:pPr>
            <w:r w:rsidRPr="00B43285">
              <w:rPr>
                <w:rFonts w:ascii="Garamond" w:hAnsi="Garamond"/>
                <w:lang w:val="en-AU"/>
              </w:rPr>
              <w:t xml:space="preserve">Editorial: Realising the potential of </w:t>
            </w:r>
            <w:r w:rsidRPr="00B43285">
              <w:rPr>
                <w:rFonts w:ascii="Garamond" w:hAnsi="Garamond"/>
                <w:b/>
                <w:lang w:val="en-AU"/>
              </w:rPr>
              <w:t>health information technology to enhance medication safety</w:t>
            </w:r>
            <w:r w:rsidRPr="00B43285">
              <w:rPr>
                <w:rFonts w:ascii="Garamond" w:hAnsi="Garamond"/>
                <w:lang w:val="en-AU"/>
              </w:rPr>
              <w:t xml:space="preserve"> (Aziz Sheikh</w:t>
            </w:r>
            <w:r>
              <w:rPr>
                <w:rFonts w:ascii="Garamond" w:hAnsi="Garamond"/>
                <w:lang w:val="en-AU"/>
              </w:rPr>
              <w:t>)</w:t>
            </w:r>
          </w:p>
          <w:p w:rsidR="00295CE8" w:rsidRPr="00295CE8" w:rsidRDefault="00295CE8" w:rsidP="005A2216">
            <w:pPr>
              <w:pStyle w:val="ListParagraph"/>
              <w:numPr>
                <w:ilvl w:val="0"/>
                <w:numId w:val="14"/>
              </w:numPr>
              <w:rPr>
                <w:rFonts w:ascii="Garamond" w:hAnsi="Garamond"/>
                <w:lang w:val="en-AU"/>
              </w:rPr>
            </w:pPr>
            <w:r w:rsidRPr="00295CE8">
              <w:rPr>
                <w:rFonts w:ascii="Garamond" w:hAnsi="Garamond"/>
                <w:lang w:val="en-AU"/>
              </w:rPr>
              <w:t xml:space="preserve">Identifying and quantifying </w:t>
            </w:r>
            <w:r w:rsidRPr="00295CE8">
              <w:rPr>
                <w:rFonts w:ascii="Garamond" w:hAnsi="Garamond"/>
                <w:b/>
                <w:lang w:val="en-AU"/>
              </w:rPr>
              <w:t>variation between healthcare organisations and geographical regions</w:t>
            </w:r>
            <w:r w:rsidRPr="00295CE8">
              <w:rPr>
                <w:rFonts w:ascii="Garamond" w:hAnsi="Garamond"/>
                <w:lang w:val="en-AU"/>
              </w:rPr>
              <w:t>: using mixed-effects models (Gary Abel, Marc N Elliott</w:t>
            </w:r>
            <w:r>
              <w:rPr>
                <w:rFonts w:ascii="Garamond" w:hAnsi="Garamond"/>
                <w:lang w:val="en-AU"/>
              </w:rPr>
              <w:t>)</w:t>
            </w:r>
          </w:p>
          <w:p w:rsidR="00295CE8" w:rsidRPr="00295CE8" w:rsidRDefault="00295CE8" w:rsidP="00053A9B">
            <w:pPr>
              <w:pStyle w:val="ListParagraph"/>
              <w:numPr>
                <w:ilvl w:val="0"/>
                <w:numId w:val="14"/>
              </w:numPr>
              <w:rPr>
                <w:rFonts w:ascii="Garamond" w:hAnsi="Garamond"/>
                <w:lang w:val="en-AU"/>
              </w:rPr>
            </w:pPr>
            <w:r w:rsidRPr="00295CE8">
              <w:rPr>
                <w:rFonts w:ascii="Garamond" w:hAnsi="Garamond"/>
                <w:b/>
                <w:lang w:val="en-AU"/>
              </w:rPr>
              <w:t>Sustaining effective quality improvement</w:t>
            </w:r>
            <w:r w:rsidRPr="00295CE8">
              <w:rPr>
                <w:rFonts w:ascii="Garamond" w:hAnsi="Garamond"/>
                <w:lang w:val="en-AU"/>
              </w:rPr>
              <w:t xml:space="preserve">: building capacity for </w:t>
            </w:r>
            <w:r w:rsidRPr="00295CE8">
              <w:rPr>
                <w:rFonts w:ascii="Garamond" w:hAnsi="Garamond"/>
                <w:b/>
                <w:lang w:val="en-AU"/>
              </w:rPr>
              <w:t>resilience</w:t>
            </w:r>
            <w:r w:rsidRPr="00295CE8">
              <w:rPr>
                <w:rFonts w:ascii="Garamond" w:hAnsi="Garamond"/>
                <w:lang w:val="en-AU"/>
              </w:rPr>
              <w:t xml:space="preserve"> in the practice facilitator workforce (Tanya T Olmos-Ochoa, David A Ganz, Jenny M Barnard, Lauren S Penney, Neetu Chawla</w:t>
            </w:r>
            <w:r>
              <w:rPr>
                <w:rFonts w:ascii="Garamond" w:hAnsi="Garamond"/>
                <w:lang w:val="en-AU"/>
              </w:rPr>
              <w:t>)</w:t>
            </w:r>
          </w:p>
          <w:p w:rsidR="00295CE8" w:rsidRPr="00295CE8" w:rsidRDefault="00295CE8" w:rsidP="001B7CD0">
            <w:pPr>
              <w:pStyle w:val="ListParagraph"/>
              <w:numPr>
                <w:ilvl w:val="0"/>
                <w:numId w:val="14"/>
              </w:numPr>
              <w:rPr>
                <w:rFonts w:ascii="Garamond" w:hAnsi="Garamond"/>
                <w:lang w:val="en-AU"/>
              </w:rPr>
            </w:pPr>
            <w:r w:rsidRPr="00295CE8">
              <w:rPr>
                <w:rFonts w:ascii="Garamond" w:hAnsi="Garamond"/>
                <w:b/>
                <w:lang w:val="en-AU"/>
              </w:rPr>
              <w:t xml:space="preserve">Medication-related harm in older adults following hospital discharge: </w:t>
            </w:r>
            <w:r w:rsidRPr="00295CE8">
              <w:rPr>
                <w:rFonts w:ascii="Garamond" w:hAnsi="Garamond"/>
                <w:lang w:val="en-AU"/>
              </w:rPr>
              <w:t>development and validation of a prediction tool (Nikesh Parekh, Khalid Ali, John Graham Davies, Jennifer M Stevenson, Winston Banya, Stephen Nyangoma, Rebekah Schiff, Tischa van der Cammen, Jatinder Harchowal, Chakravarthi Rajkumar</w:t>
            </w:r>
            <w:r>
              <w:rPr>
                <w:rFonts w:ascii="Garamond" w:hAnsi="Garamond"/>
                <w:lang w:val="en-AU"/>
              </w:rPr>
              <w:t>)</w:t>
            </w:r>
          </w:p>
          <w:p w:rsidR="00B43285" w:rsidRPr="00B43285" w:rsidRDefault="00B43285" w:rsidP="00FB3C66">
            <w:pPr>
              <w:pStyle w:val="ListParagraph"/>
              <w:numPr>
                <w:ilvl w:val="0"/>
                <w:numId w:val="14"/>
              </w:numPr>
              <w:rPr>
                <w:rFonts w:ascii="Garamond" w:hAnsi="Garamond"/>
                <w:lang w:val="en-AU"/>
              </w:rPr>
            </w:pPr>
            <w:r w:rsidRPr="00B43285">
              <w:rPr>
                <w:rFonts w:ascii="Garamond" w:hAnsi="Garamond"/>
                <w:lang w:val="en-AU"/>
              </w:rPr>
              <w:t xml:space="preserve">Impact of a system-wide quality improvement initiative on </w:t>
            </w:r>
            <w:r w:rsidRPr="00B43285">
              <w:rPr>
                <w:rFonts w:ascii="Garamond" w:hAnsi="Garamond"/>
                <w:b/>
                <w:lang w:val="en-AU"/>
              </w:rPr>
              <w:t>blood pressure control</w:t>
            </w:r>
            <w:r w:rsidRPr="00B43285">
              <w:rPr>
                <w:rFonts w:ascii="Garamond" w:hAnsi="Garamond"/>
                <w:lang w:val="en-AU"/>
              </w:rPr>
              <w:t>: a cohort analysis (Elizabeth R Pfoh, Kathryn Martinez, Nirav Vakharia, Michael Rothberg</w:t>
            </w:r>
            <w:r>
              <w:rPr>
                <w:rFonts w:ascii="Garamond" w:hAnsi="Garamond"/>
                <w:lang w:val="en-AU"/>
              </w:rPr>
              <w:t>)</w:t>
            </w:r>
          </w:p>
          <w:p w:rsidR="00B43285" w:rsidRPr="00B43285" w:rsidRDefault="00B43285" w:rsidP="00FB3C66">
            <w:pPr>
              <w:pStyle w:val="ListParagraph"/>
              <w:numPr>
                <w:ilvl w:val="0"/>
                <w:numId w:val="14"/>
              </w:numPr>
              <w:rPr>
                <w:rFonts w:ascii="Garamond" w:hAnsi="Garamond"/>
                <w:lang w:val="en-AU"/>
              </w:rPr>
            </w:pPr>
            <w:r w:rsidRPr="00B43285">
              <w:rPr>
                <w:rFonts w:ascii="Garamond" w:hAnsi="Garamond"/>
                <w:lang w:val="en-AU"/>
              </w:rPr>
              <w:t xml:space="preserve">Editorial: </w:t>
            </w:r>
            <w:r w:rsidRPr="00B43285">
              <w:rPr>
                <w:rFonts w:ascii="Garamond" w:hAnsi="Garamond"/>
                <w:b/>
                <w:lang w:val="en-AU"/>
              </w:rPr>
              <w:t>The ageing surgeon</w:t>
            </w:r>
            <w:r w:rsidRPr="00B43285">
              <w:rPr>
                <w:rFonts w:ascii="Garamond" w:hAnsi="Garamond"/>
                <w:lang w:val="en-AU"/>
              </w:rPr>
              <w:t xml:space="preserve"> (Natalia Kurek, Ara Darzi</w:t>
            </w:r>
            <w:r>
              <w:rPr>
                <w:rFonts w:ascii="Garamond" w:hAnsi="Garamond"/>
                <w:lang w:val="en-AU"/>
              </w:rPr>
              <w:t>)</w:t>
            </w:r>
          </w:p>
          <w:p w:rsidR="001A14DA" w:rsidRPr="00D84575" w:rsidRDefault="00B43285" w:rsidP="00B43285">
            <w:pPr>
              <w:pStyle w:val="ListParagraph"/>
              <w:numPr>
                <w:ilvl w:val="0"/>
                <w:numId w:val="14"/>
              </w:numPr>
              <w:rPr>
                <w:rFonts w:ascii="Garamond" w:hAnsi="Garamond"/>
                <w:lang w:val="en-AU"/>
              </w:rPr>
            </w:pPr>
            <w:r w:rsidRPr="00B43285">
              <w:rPr>
                <w:rFonts w:ascii="Garamond" w:hAnsi="Garamond"/>
                <w:lang w:val="en-AU"/>
              </w:rPr>
              <w:t xml:space="preserve">When do trials of </w:t>
            </w:r>
            <w:r w:rsidRPr="00B43285">
              <w:rPr>
                <w:rFonts w:ascii="Garamond" w:hAnsi="Garamond"/>
                <w:b/>
                <w:lang w:val="en-AU"/>
              </w:rPr>
              <w:t>diabetes quality improvement strategies</w:t>
            </w:r>
            <w:r w:rsidRPr="00B43285">
              <w:rPr>
                <w:rFonts w:ascii="Garamond" w:hAnsi="Garamond"/>
                <w:lang w:val="en-AU"/>
              </w:rPr>
              <w:t xml:space="preserve"> lead to sustained change in patient care?</w:t>
            </w:r>
            <w:r>
              <w:rPr>
                <w:rFonts w:ascii="Garamond" w:hAnsi="Garamond"/>
                <w:lang w:val="en-AU"/>
              </w:rPr>
              <w:t xml:space="preserve"> (</w:t>
            </w:r>
            <w:r w:rsidRPr="00B43285">
              <w:rPr>
                <w:rFonts w:ascii="Garamond" w:hAnsi="Garamond"/>
                <w:lang w:val="en-AU"/>
              </w:rPr>
              <w:t>Emily L Kearsley-Ho, Hsin Yun Yang, Sathya Karunananthan, Celia Laur, Jeremy M Grimshaw, Noah M Ivers</w:t>
            </w:r>
            <w:r>
              <w:rPr>
                <w:rFonts w:ascii="Garamond" w:hAnsi="Garamond"/>
                <w:lang w:val="en-AU"/>
              </w:rPr>
              <w:t>)</w:t>
            </w:r>
          </w:p>
        </w:tc>
      </w:tr>
    </w:tbl>
    <w:p w:rsidR="00617EDB" w:rsidRDefault="00617EDB">
      <w:pPr>
        <w:rPr>
          <w:rFonts w:ascii="Garamond" w:hAnsi="Garamond"/>
          <w:b/>
          <w:lang w:val="en-AU"/>
        </w:rPr>
      </w:pP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754494" w:rsidRDefault="00754494" w:rsidP="002F7EE4">
      <w:pPr>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865019" w:rsidP="005A00FB">
      <w:pPr>
        <w:keepNext/>
        <w:keepLines/>
        <w:rPr>
          <w:rFonts w:ascii="Garamond" w:hAnsi="Garamond"/>
          <w:u w:val="single"/>
          <w:lang w:val="en-AU"/>
        </w:rPr>
      </w:pPr>
      <w:hyperlink r:id="rId41"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346A83" w:rsidRDefault="009C1382" w:rsidP="00856C08">
      <w:pPr>
        <w:pStyle w:val="ListParagraph"/>
        <w:keepNext/>
        <w:keepLines/>
        <w:numPr>
          <w:ilvl w:val="0"/>
          <w:numId w:val="14"/>
        </w:numPr>
        <w:rPr>
          <w:rFonts w:ascii="Garamond" w:hAnsi="Garamond"/>
          <w:lang w:val="en-AU"/>
        </w:rPr>
      </w:pPr>
      <w:r>
        <w:rPr>
          <w:rFonts w:ascii="Garamond" w:hAnsi="Garamond"/>
          <w:lang w:val="en-AU"/>
        </w:rPr>
        <w:t>NICE Guideline NG</w:t>
      </w:r>
      <w:r w:rsidR="00856C08">
        <w:rPr>
          <w:rFonts w:ascii="Garamond" w:hAnsi="Garamond"/>
          <w:lang w:val="en-AU"/>
        </w:rPr>
        <w:t>87</w:t>
      </w:r>
      <w:r w:rsidR="00493140">
        <w:rPr>
          <w:rFonts w:ascii="Garamond" w:hAnsi="Garamond"/>
          <w:lang w:val="en-AU"/>
        </w:rPr>
        <w:t xml:space="preserve"> </w:t>
      </w:r>
      <w:r w:rsidR="00856C08" w:rsidRPr="00856C08">
        <w:rPr>
          <w:rFonts w:ascii="Garamond" w:hAnsi="Garamond"/>
          <w:b/>
          <w:i/>
          <w:lang w:val="en-AU"/>
        </w:rPr>
        <w:t>Attention deficit hyperactivity disorder</w:t>
      </w:r>
      <w:r w:rsidR="00856C08" w:rsidRPr="00856C08">
        <w:rPr>
          <w:rFonts w:ascii="Garamond" w:hAnsi="Garamond"/>
          <w:i/>
          <w:lang w:val="en-AU"/>
        </w:rPr>
        <w:t xml:space="preserve">: diagnosis and management </w:t>
      </w:r>
      <w:hyperlink r:id="rId42" w:history="1">
        <w:r w:rsidR="00856C08" w:rsidRPr="00E6515E">
          <w:rPr>
            <w:rStyle w:val="Hyperlink"/>
            <w:rFonts w:ascii="Garamond" w:hAnsi="Garamond"/>
            <w:lang w:val="en-AU"/>
          </w:rPr>
          <w:t>https://www.nice.org.uk/guidance/ng87</w:t>
        </w:r>
      </w:hyperlink>
    </w:p>
    <w:p w:rsidR="00D067EB" w:rsidRDefault="00D067EB" w:rsidP="00D067EB">
      <w:pPr>
        <w:pStyle w:val="ListParagraph"/>
        <w:keepNext/>
        <w:keepLines/>
        <w:numPr>
          <w:ilvl w:val="0"/>
          <w:numId w:val="14"/>
        </w:numPr>
        <w:rPr>
          <w:rFonts w:ascii="Garamond" w:hAnsi="Garamond"/>
          <w:lang w:val="en-AU"/>
        </w:rPr>
      </w:pPr>
      <w:r>
        <w:rPr>
          <w:rFonts w:ascii="Garamond" w:hAnsi="Garamond"/>
          <w:lang w:val="en-AU"/>
        </w:rPr>
        <w:t xml:space="preserve">NICE Guideline NG138 </w:t>
      </w:r>
      <w:r w:rsidRPr="00D067EB">
        <w:rPr>
          <w:rFonts w:ascii="Garamond" w:hAnsi="Garamond"/>
          <w:b/>
          <w:i/>
          <w:lang w:val="en-AU"/>
        </w:rPr>
        <w:t>Pneumonia</w:t>
      </w:r>
      <w:r w:rsidRPr="00D067EB">
        <w:rPr>
          <w:rFonts w:ascii="Garamond" w:hAnsi="Garamond"/>
          <w:i/>
          <w:lang w:val="en-AU"/>
        </w:rPr>
        <w:t xml:space="preserve"> (community-acquired): </w:t>
      </w:r>
      <w:r w:rsidRPr="00D067EB">
        <w:rPr>
          <w:rFonts w:ascii="Garamond" w:hAnsi="Garamond"/>
          <w:b/>
          <w:i/>
          <w:lang w:val="en-AU"/>
        </w:rPr>
        <w:t>antimicrobial prescribing</w:t>
      </w:r>
      <w:r>
        <w:rPr>
          <w:rFonts w:ascii="Garamond" w:hAnsi="Garamond"/>
          <w:lang w:val="en-AU"/>
        </w:rPr>
        <w:t xml:space="preserve"> </w:t>
      </w:r>
      <w:hyperlink r:id="rId43" w:history="1">
        <w:r w:rsidRPr="00E432DE">
          <w:rPr>
            <w:rStyle w:val="Hyperlink"/>
            <w:rFonts w:ascii="Garamond" w:hAnsi="Garamond"/>
            <w:lang w:val="en-AU"/>
          </w:rPr>
          <w:t>https://www.nice.org.uk/guidance/ng138</w:t>
        </w:r>
      </w:hyperlink>
    </w:p>
    <w:p w:rsidR="00D067EB" w:rsidRDefault="00D067EB" w:rsidP="00D067EB">
      <w:pPr>
        <w:pStyle w:val="ListParagraph"/>
        <w:keepNext/>
        <w:keepLines/>
        <w:numPr>
          <w:ilvl w:val="0"/>
          <w:numId w:val="14"/>
        </w:numPr>
        <w:rPr>
          <w:rFonts w:ascii="Garamond" w:hAnsi="Garamond"/>
          <w:lang w:val="en-AU"/>
        </w:rPr>
      </w:pPr>
      <w:r>
        <w:rPr>
          <w:rFonts w:ascii="Garamond" w:hAnsi="Garamond"/>
          <w:lang w:val="en-AU"/>
        </w:rPr>
        <w:t xml:space="preserve">NICE Guideline NG139 </w:t>
      </w:r>
      <w:r w:rsidRPr="00D067EB">
        <w:rPr>
          <w:rFonts w:ascii="Garamond" w:hAnsi="Garamond"/>
          <w:b/>
          <w:i/>
          <w:lang w:val="en-AU"/>
        </w:rPr>
        <w:t>Pneumonia</w:t>
      </w:r>
      <w:r w:rsidRPr="00D067EB">
        <w:rPr>
          <w:rFonts w:ascii="Garamond" w:hAnsi="Garamond"/>
          <w:i/>
          <w:lang w:val="en-AU"/>
        </w:rPr>
        <w:t xml:space="preserve"> (hospital-acquired): </w:t>
      </w:r>
      <w:r w:rsidRPr="00D067EB">
        <w:rPr>
          <w:rFonts w:ascii="Garamond" w:hAnsi="Garamond"/>
          <w:b/>
          <w:i/>
          <w:lang w:val="en-AU"/>
        </w:rPr>
        <w:t>antimicrobial prescribing</w:t>
      </w:r>
      <w:r>
        <w:rPr>
          <w:rFonts w:ascii="Garamond" w:hAnsi="Garamond"/>
          <w:lang w:val="en-AU"/>
        </w:rPr>
        <w:t xml:space="preserve"> </w:t>
      </w:r>
      <w:hyperlink r:id="rId44" w:history="1">
        <w:r w:rsidRPr="00E432DE">
          <w:rPr>
            <w:rStyle w:val="Hyperlink"/>
            <w:rFonts w:ascii="Garamond" w:hAnsi="Garamond"/>
            <w:lang w:val="en-AU"/>
          </w:rPr>
          <w:t>https://www.nice.org.uk/guidance/ng139</w:t>
        </w:r>
      </w:hyperlink>
    </w:p>
    <w:p w:rsidR="00346A83" w:rsidRDefault="001A14DA" w:rsidP="00856C08">
      <w:pPr>
        <w:pStyle w:val="ListParagraph"/>
        <w:keepNext/>
        <w:keepLines/>
        <w:numPr>
          <w:ilvl w:val="0"/>
          <w:numId w:val="14"/>
        </w:numPr>
        <w:rPr>
          <w:rFonts w:ascii="Garamond" w:hAnsi="Garamond"/>
          <w:lang w:val="en-AU"/>
        </w:rPr>
      </w:pPr>
      <w:r>
        <w:rPr>
          <w:rFonts w:ascii="Garamond" w:hAnsi="Garamond"/>
          <w:lang w:val="en-AU"/>
        </w:rPr>
        <w:t>Quality Standard QS</w:t>
      </w:r>
      <w:r w:rsidR="00856C08">
        <w:rPr>
          <w:rFonts w:ascii="Garamond" w:hAnsi="Garamond"/>
          <w:lang w:val="en-AU"/>
        </w:rPr>
        <w:t>17</w:t>
      </w:r>
      <w:r w:rsidR="002722A3">
        <w:rPr>
          <w:rFonts w:ascii="Garamond" w:hAnsi="Garamond"/>
          <w:lang w:val="en-AU"/>
        </w:rPr>
        <w:t xml:space="preserve"> </w:t>
      </w:r>
      <w:r w:rsidR="00856C08" w:rsidRPr="00856C08">
        <w:rPr>
          <w:rFonts w:ascii="Garamond" w:hAnsi="Garamond"/>
          <w:b/>
          <w:i/>
          <w:lang w:val="en-AU"/>
        </w:rPr>
        <w:t>Lung cancer</w:t>
      </w:r>
      <w:r w:rsidR="00856C08" w:rsidRPr="00856C08">
        <w:rPr>
          <w:rFonts w:ascii="Garamond" w:hAnsi="Garamond"/>
          <w:i/>
          <w:lang w:val="en-AU"/>
        </w:rPr>
        <w:t xml:space="preserve"> in adults</w:t>
      </w:r>
      <w:r w:rsidR="00856C08">
        <w:rPr>
          <w:rFonts w:ascii="Garamond" w:hAnsi="Garamond"/>
          <w:lang w:val="en-AU"/>
        </w:rPr>
        <w:t xml:space="preserve"> </w:t>
      </w:r>
      <w:hyperlink r:id="rId45" w:history="1">
        <w:r w:rsidR="00856C08" w:rsidRPr="00E6515E">
          <w:rPr>
            <w:rStyle w:val="Hyperlink"/>
            <w:rFonts w:ascii="Garamond" w:hAnsi="Garamond"/>
            <w:lang w:val="en-AU"/>
          </w:rPr>
          <w:t>https://www.nice.org.uk/guidance/qs17</w:t>
        </w:r>
      </w:hyperlink>
    </w:p>
    <w:p w:rsidR="00F466E2" w:rsidRDefault="00F466E2" w:rsidP="00856C08">
      <w:pPr>
        <w:pStyle w:val="ListParagraph"/>
        <w:keepNext/>
        <w:keepLines/>
        <w:numPr>
          <w:ilvl w:val="0"/>
          <w:numId w:val="14"/>
        </w:numPr>
        <w:rPr>
          <w:rFonts w:ascii="Garamond" w:hAnsi="Garamond"/>
          <w:lang w:val="en-AU"/>
        </w:rPr>
      </w:pPr>
      <w:r>
        <w:rPr>
          <w:rFonts w:ascii="Garamond" w:hAnsi="Garamond"/>
          <w:lang w:val="en-AU"/>
        </w:rPr>
        <w:t>Clinical Guideline CG</w:t>
      </w:r>
      <w:r w:rsidR="00856C08">
        <w:rPr>
          <w:rFonts w:ascii="Garamond" w:hAnsi="Garamond"/>
          <w:lang w:val="en-AU"/>
        </w:rPr>
        <w:t xml:space="preserve">176 </w:t>
      </w:r>
      <w:r w:rsidR="00856C08" w:rsidRPr="00856C08">
        <w:rPr>
          <w:rFonts w:ascii="Garamond" w:hAnsi="Garamond"/>
          <w:b/>
          <w:i/>
          <w:lang w:val="en-AU"/>
        </w:rPr>
        <w:t>Head injury</w:t>
      </w:r>
      <w:r w:rsidR="00856C08" w:rsidRPr="00856C08">
        <w:rPr>
          <w:rFonts w:ascii="Garamond" w:hAnsi="Garamond"/>
          <w:i/>
          <w:lang w:val="en-AU"/>
        </w:rPr>
        <w:t xml:space="preserve">: assessment and early management </w:t>
      </w:r>
      <w:hyperlink r:id="rId46" w:history="1">
        <w:r w:rsidR="00856C08" w:rsidRPr="00E6515E">
          <w:rPr>
            <w:rStyle w:val="Hyperlink"/>
            <w:rFonts w:ascii="Garamond" w:hAnsi="Garamond"/>
            <w:lang w:val="en-AU"/>
          </w:rPr>
          <w:t>https://www.nice.org.uk/guidance/cg176</w:t>
        </w:r>
      </w:hyperlink>
    </w:p>
    <w:p w:rsidR="00AF4D9D" w:rsidRDefault="00AF4D9D" w:rsidP="00FA11D5">
      <w:pPr>
        <w:keepLines/>
        <w:jc w:val="both"/>
        <w:rPr>
          <w:rFonts w:ascii="Garamond" w:hAnsi="Garamond"/>
          <w:lang w:val="en-AU"/>
        </w:rPr>
      </w:pPr>
    </w:p>
    <w:p w:rsidR="00D067EB" w:rsidRPr="00D067EB" w:rsidRDefault="00D067EB" w:rsidP="00D067EB">
      <w:pPr>
        <w:keepNext/>
        <w:keepLines/>
        <w:rPr>
          <w:rFonts w:ascii="Garamond" w:hAnsi="Garamond"/>
          <w:i/>
          <w:lang w:val="en-AU"/>
        </w:rPr>
      </w:pPr>
      <w:r>
        <w:rPr>
          <w:rFonts w:ascii="Garamond" w:hAnsi="Garamond"/>
          <w:i/>
          <w:lang w:val="en-AU"/>
        </w:rPr>
        <w:t>[</w:t>
      </w:r>
      <w:r w:rsidRPr="000170DA">
        <w:rPr>
          <w:rFonts w:ascii="Garamond" w:hAnsi="Garamond"/>
          <w:i/>
          <w:lang w:val="en-AU"/>
        </w:rPr>
        <w:t xml:space="preserve">UK] </w:t>
      </w:r>
      <w:r w:rsidRPr="00D067EB">
        <w:rPr>
          <w:rFonts w:ascii="Garamond" w:hAnsi="Garamond"/>
          <w:i/>
          <w:lang w:val="en-AU"/>
        </w:rPr>
        <w:t>Key Therapeutic Topics</w:t>
      </w:r>
    </w:p>
    <w:bookmarkStart w:id="1" w:name="_GoBack"/>
    <w:p w:rsidR="00D067EB" w:rsidRPr="00D067EB" w:rsidRDefault="00865019" w:rsidP="00D067EB">
      <w:pPr>
        <w:keepLines/>
        <w:jc w:val="both"/>
        <w:rPr>
          <w:rFonts w:ascii="Garamond" w:hAnsi="Garamond"/>
          <w:lang w:val="en-AU"/>
        </w:rPr>
      </w:pPr>
      <w:r>
        <w:fldChar w:fldCharType="begin"/>
      </w:r>
      <w:r>
        <w:instrText xml:space="preserve"> HYPERLINK "https://www.nice.org.uk/guidance" </w:instrText>
      </w:r>
      <w:r>
        <w:fldChar w:fldCharType="separate"/>
      </w:r>
      <w:r w:rsidR="00D067EB" w:rsidRPr="00E432DE">
        <w:rPr>
          <w:rStyle w:val="Hyperlink"/>
          <w:rFonts w:ascii="Garamond" w:hAnsi="Garamond"/>
          <w:lang w:val="en-AU"/>
        </w:rPr>
        <w:t>https://www.nice.org.uk/guidance</w:t>
      </w:r>
      <w:r>
        <w:rPr>
          <w:rStyle w:val="Hyperlink"/>
          <w:rFonts w:ascii="Garamond" w:hAnsi="Garamond"/>
          <w:lang w:val="en-AU"/>
        </w:rPr>
        <w:fldChar w:fldCharType="end"/>
      </w:r>
      <w:r w:rsidR="00D067EB">
        <w:rPr>
          <w:rFonts w:ascii="Garamond" w:hAnsi="Garamond"/>
          <w:lang w:val="en-AU"/>
        </w:rPr>
        <w:t xml:space="preserve"> </w:t>
      </w:r>
    </w:p>
    <w:p w:rsidR="00D067EB" w:rsidRDefault="00D067EB" w:rsidP="00D067EB">
      <w:pPr>
        <w:keepLines/>
        <w:jc w:val="both"/>
        <w:rPr>
          <w:rFonts w:ascii="Garamond" w:hAnsi="Garamond"/>
          <w:lang w:val="en-AU"/>
        </w:rPr>
      </w:pPr>
      <w:r w:rsidRPr="00D067EB">
        <w:rPr>
          <w:rFonts w:ascii="Garamond" w:hAnsi="Garamond"/>
          <w:lang w:val="en-AU"/>
        </w:rPr>
        <w:t>The UK’s National Institute for Health and Care Excellence (NICE) publishes Key therapeutic topics (KTTs). These are summaries of the evidence base on a specific topic. New (or updated) KTTs include:</w:t>
      </w:r>
    </w:p>
    <w:p w:rsidR="00A32932" w:rsidRDefault="00D067EB" w:rsidP="00CD7577">
      <w:pPr>
        <w:pStyle w:val="ListParagraph"/>
        <w:keepLines/>
        <w:numPr>
          <w:ilvl w:val="0"/>
          <w:numId w:val="19"/>
        </w:numPr>
        <w:rPr>
          <w:rFonts w:ascii="Garamond" w:hAnsi="Garamond"/>
          <w:lang w:val="en-AU"/>
        </w:rPr>
      </w:pPr>
      <w:r>
        <w:rPr>
          <w:rFonts w:ascii="Garamond" w:hAnsi="Garamond"/>
          <w:lang w:val="en-AU"/>
        </w:rPr>
        <w:t xml:space="preserve">KKT3 </w:t>
      </w:r>
      <w:r w:rsidRPr="00D067EB">
        <w:rPr>
          <w:rFonts w:ascii="Garamond" w:hAnsi="Garamond"/>
          <w:b/>
          <w:i/>
          <w:lang w:val="en-AU"/>
        </w:rPr>
        <w:t>Lipid-modifying drugs</w:t>
      </w:r>
      <w:r>
        <w:rPr>
          <w:rFonts w:ascii="Garamond" w:hAnsi="Garamond"/>
          <w:lang w:val="en-AU"/>
        </w:rPr>
        <w:t xml:space="preserve"> </w:t>
      </w:r>
      <w:hyperlink r:id="rId47" w:history="1">
        <w:r w:rsidRPr="00E432DE">
          <w:rPr>
            <w:rStyle w:val="Hyperlink"/>
            <w:rFonts w:ascii="Garamond" w:hAnsi="Garamond"/>
            <w:lang w:val="en-AU"/>
          </w:rPr>
          <w:t>https://www.nice.org.uk/advice/ktt3</w:t>
        </w:r>
      </w:hyperlink>
      <w:r>
        <w:rPr>
          <w:rFonts w:ascii="Garamond" w:hAnsi="Garamond"/>
          <w:lang w:val="en-AU"/>
        </w:rPr>
        <w:t xml:space="preserve"> </w:t>
      </w:r>
    </w:p>
    <w:p w:rsid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KKT5 </w:t>
      </w:r>
      <w:r w:rsidRPr="00D067EB">
        <w:rPr>
          <w:rFonts w:ascii="Garamond" w:hAnsi="Garamond"/>
          <w:b/>
          <w:i/>
          <w:lang w:val="en-AU"/>
        </w:rPr>
        <w:t>Asthma</w:t>
      </w:r>
      <w:r w:rsidRPr="00D067EB">
        <w:rPr>
          <w:rFonts w:ascii="Garamond" w:hAnsi="Garamond"/>
          <w:i/>
          <w:lang w:val="en-AU"/>
        </w:rPr>
        <w:t>: medicines safety priorities</w:t>
      </w:r>
      <w:r>
        <w:rPr>
          <w:rFonts w:ascii="Garamond" w:hAnsi="Garamond"/>
          <w:lang w:val="en-AU"/>
        </w:rPr>
        <w:t xml:space="preserve"> </w:t>
      </w:r>
      <w:hyperlink r:id="rId48" w:history="1">
        <w:r w:rsidRPr="00E432DE">
          <w:rPr>
            <w:rStyle w:val="Hyperlink"/>
            <w:rFonts w:ascii="Garamond" w:hAnsi="Garamond"/>
            <w:lang w:val="en-AU"/>
          </w:rPr>
          <w:t>https://www.nice.org.uk/advice/ktt5</w:t>
        </w:r>
      </w:hyperlink>
      <w:r>
        <w:rPr>
          <w:rFonts w:ascii="Garamond" w:hAnsi="Garamond"/>
          <w:lang w:val="en-AU"/>
        </w:rPr>
        <w:t xml:space="preserve"> </w:t>
      </w:r>
    </w:p>
    <w:p w:rsid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KTT6 </w:t>
      </w:r>
      <w:r w:rsidRPr="00D067EB">
        <w:rPr>
          <w:rFonts w:ascii="Garamond" w:hAnsi="Garamond"/>
          <w:b/>
          <w:i/>
          <w:lang w:val="en-AU"/>
        </w:rPr>
        <w:t>Hypnotics</w:t>
      </w:r>
      <w:r>
        <w:rPr>
          <w:rFonts w:ascii="Garamond" w:hAnsi="Garamond"/>
          <w:lang w:val="en-AU"/>
        </w:rPr>
        <w:t xml:space="preserve"> </w:t>
      </w:r>
      <w:hyperlink r:id="rId49" w:history="1">
        <w:r w:rsidRPr="00E432DE">
          <w:rPr>
            <w:rStyle w:val="Hyperlink"/>
            <w:rFonts w:ascii="Garamond" w:hAnsi="Garamond"/>
            <w:lang w:val="en-AU"/>
          </w:rPr>
          <w:t>https://www.nice.org.uk/advice/ktt6</w:t>
        </w:r>
      </w:hyperlink>
    </w:p>
    <w:p w:rsid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KTT7 </w:t>
      </w:r>
      <w:r w:rsidRPr="00D067EB">
        <w:rPr>
          <w:rFonts w:ascii="Garamond" w:hAnsi="Garamond"/>
          <w:i/>
          <w:lang w:val="en-AU"/>
        </w:rPr>
        <w:t xml:space="preserve">Antipsychotics in people living with </w:t>
      </w:r>
      <w:r w:rsidRPr="00D067EB">
        <w:rPr>
          <w:rFonts w:ascii="Garamond" w:hAnsi="Garamond"/>
          <w:b/>
          <w:i/>
          <w:lang w:val="en-AU"/>
        </w:rPr>
        <w:t>dementia</w:t>
      </w:r>
      <w:r>
        <w:rPr>
          <w:rFonts w:ascii="Garamond" w:hAnsi="Garamond"/>
          <w:lang w:val="en-AU"/>
        </w:rPr>
        <w:t xml:space="preserve"> </w:t>
      </w:r>
      <w:hyperlink r:id="rId50" w:history="1">
        <w:r w:rsidRPr="00E432DE">
          <w:rPr>
            <w:rStyle w:val="Hyperlink"/>
            <w:rFonts w:ascii="Garamond" w:hAnsi="Garamond"/>
            <w:lang w:val="en-AU"/>
          </w:rPr>
          <w:t>https://www.nice.org.uk/advice/ktt7</w:t>
        </w:r>
      </w:hyperlink>
    </w:p>
    <w:p w:rsid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KTT9 </w:t>
      </w:r>
      <w:r w:rsidRPr="00D067EB">
        <w:rPr>
          <w:rFonts w:ascii="Garamond" w:hAnsi="Garamond"/>
          <w:i/>
          <w:lang w:val="en-AU"/>
        </w:rPr>
        <w:t xml:space="preserve">Antimicrobial stewardship: prescribing </w:t>
      </w:r>
      <w:r w:rsidRPr="00D067EB">
        <w:rPr>
          <w:rFonts w:ascii="Garamond" w:hAnsi="Garamond"/>
          <w:b/>
          <w:i/>
          <w:lang w:val="en-AU"/>
        </w:rPr>
        <w:t>antibiotics</w:t>
      </w:r>
      <w:r w:rsidRPr="00D067EB">
        <w:rPr>
          <w:rFonts w:ascii="Garamond" w:hAnsi="Garamond"/>
          <w:b/>
          <w:lang w:val="en-AU"/>
        </w:rPr>
        <w:t xml:space="preserve"> </w:t>
      </w:r>
      <w:hyperlink r:id="rId51" w:history="1">
        <w:r w:rsidRPr="00E432DE">
          <w:rPr>
            <w:rStyle w:val="Hyperlink"/>
            <w:rFonts w:ascii="Garamond" w:hAnsi="Garamond"/>
            <w:lang w:val="en-AU"/>
          </w:rPr>
          <w:t>https://www.nice.org.uk/advice/ktt9</w:t>
        </w:r>
      </w:hyperlink>
      <w:r>
        <w:rPr>
          <w:rFonts w:ascii="Garamond" w:hAnsi="Garamond"/>
          <w:lang w:val="en-AU"/>
        </w:rPr>
        <w:t xml:space="preserve"> </w:t>
      </w:r>
    </w:p>
    <w:p w:rsid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KTT12 </w:t>
      </w:r>
      <w:r w:rsidRPr="00D067EB">
        <w:rPr>
          <w:rFonts w:ascii="Garamond" w:hAnsi="Garamond"/>
          <w:b/>
          <w:i/>
          <w:lang w:val="en-AU"/>
        </w:rPr>
        <w:t>Type 2 diabetes mellitus</w:t>
      </w:r>
      <w:r w:rsidRPr="00D067EB">
        <w:rPr>
          <w:rFonts w:ascii="Garamond" w:hAnsi="Garamond"/>
          <w:i/>
          <w:lang w:val="en-AU"/>
        </w:rPr>
        <w:t xml:space="preserve">: medicines optimisation priorities </w:t>
      </w:r>
      <w:hyperlink r:id="rId52" w:history="1">
        <w:r w:rsidRPr="00E432DE">
          <w:rPr>
            <w:rStyle w:val="Hyperlink"/>
            <w:rFonts w:ascii="Garamond" w:hAnsi="Garamond"/>
            <w:lang w:val="en-AU"/>
          </w:rPr>
          <w:t>https://www.nice.org.uk/advice/ktt12</w:t>
        </w:r>
      </w:hyperlink>
      <w:r>
        <w:rPr>
          <w:rFonts w:ascii="Garamond" w:hAnsi="Garamond"/>
          <w:lang w:val="en-AU"/>
        </w:rPr>
        <w:t xml:space="preserve"> </w:t>
      </w:r>
    </w:p>
    <w:p w:rsid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KTT14 </w:t>
      </w:r>
      <w:r w:rsidRPr="00D067EB">
        <w:rPr>
          <w:rFonts w:ascii="Garamond" w:hAnsi="Garamond"/>
          <w:b/>
          <w:i/>
          <w:lang w:val="en-AU"/>
        </w:rPr>
        <w:t>Wound care products</w:t>
      </w:r>
      <w:r>
        <w:rPr>
          <w:rFonts w:ascii="Garamond" w:hAnsi="Garamond"/>
          <w:lang w:val="en-AU"/>
        </w:rPr>
        <w:t xml:space="preserve"> </w:t>
      </w:r>
      <w:hyperlink r:id="rId53" w:history="1">
        <w:r w:rsidRPr="00E432DE">
          <w:rPr>
            <w:rStyle w:val="Hyperlink"/>
            <w:rFonts w:ascii="Garamond" w:hAnsi="Garamond"/>
            <w:lang w:val="en-AU"/>
          </w:rPr>
          <w:t>https://www.nice.org.uk/advice/ktt14</w:t>
        </w:r>
      </w:hyperlink>
    </w:p>
    <w:p w:rsid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KTT16 </w:t>
      </w:r>
      <w:r w:rsidRPr="00D067EB">
        <w:rPr>
          <w:rFonts w:ascii="Garamond" w:hAnsi="Garamond"/>
          <w:b/>
          <w:i/>
          <w:lang w:val="en-AU"/>
        </w:rPr>
        <w:t>Anticoagulants</w:t>
      </w:r>
      <w:r w:rsidRPr="00D067EB">
        <w:rPr>
          <w:rFonts w:ascii="Garamond" w:hAnsi="Garamond"/>
          <w:i/>
          <w:lang w:val="en-AU"/>
        </w:rPr>
        <w:t xml:space="preserve">, including direct-acting oral anticoagulants (DOACs) </w:t>
      </w:r>
      <w:hyperlink r:id="rId54" w:history="1">
        <w:r w:rsidRPr="00E432DE">
          <w:rPr>
            <w:rStyle w:val="Hyperlink"/>
            <w:rFonts w:ascii="Garamond" w:hAnsi="Garamond"/>
            <w:lang w:val="en-AU"/>
          </w:rPr>
          <w:t>https://www.nice.org.uk/advice/ktt16</w:t>
        </w:r>
      </w:hyperlink>
      <w:r>
        <w:rPr>
          <w:rFonts w:ascii="Garamond" w:hAnsi="Garamond"/>
          <w:lang w:val="en-AU"/>
        </w:rPr>
        <w:t xml:space="preserve"> </w:t>
      </w:r>
    </w:p>
    <w:p w:rsidR="00D067EB" w:rsidRP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KTT17 </w:t>
      </w:r>
      <w:r w:rsidRPr="00D067EB">
        <w:rPr>
          <w:rFonts w:ascii="Garamond" w:hAnsi="Garamond"/>
          <w:b/>
          <w:i/>
          <w:lang w:val="en-AU"/>
        </w:rPr>
        <w:t>Acute kidney injury</w:t>
      </w:r>
      <w:r w:rsidRPr="00D067EB">
        <w:rPr>
          <w:rFonts w:ascii="Garamond" w:hAnsi="Garamond"/>
          <w:i/>
          <w:lang w:val="en-AU"/>
        </w:rPr>
        <w:t xml:space="preserve"> (AKI): use of medicines in people with or at increased risk of AKI </w:t>
      </w:r>
      <w:hyperlink r:id="rId55" w:history="1">
        <w:r w:rsidRPr="00E432DE">
          <w:rPr>
            <w:rStyle w:val="Hyperlink"/>
            <w:rFonts w:ascii="Garamond" w:hAnsi="Garamond"/>
            <w:lang w:val="en-AU"/>
          </w:rPr>
          <w:t>https://www.nice.org.uk/advice/ktt17</w:t>
        </w:r>
      </w:hyperlink>
    </w:p>
    <w:p w:rsidR="00D067EB" w:rsidRP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KTT18 </w:t>
      </w:r>
      <w:r w:rsidRPr="00D067EB">
        <w:rPr>
          <w:rFonts w:ascii="Garamond" w:hAnsi="Garamond"/>
          <w:b/>
          <w:i/>
          <w:lang w:val="en-AU"/>
        </w:rPr>
        <w:t>Multimorbidity and polypharmacy</w:t>
      </w:r>
      <w:r>
        <w:rPr>
          <w:rFonts w:ascii="Garamond" w:hAnsi="Garamond"/>
          <w:lang w:val="en-AU"/>
        </w:rPr>
        <w:t xml:space="preserve"> </w:t>
      </w:r>
      <w:hyperlink r:id="rId56" w:history="1">
        <w:r w:rsidRPr="00E432DE">
          <w:rPr>
            <w:rStyle w:val="Hyperlink"/>
            <w:rFonts w:ascii="Garamond" w:hAnsi="Garamond"/>
            <w:lang w:val="en-AU"/>
          </w:rPr>
          <w:t>https://www.nice.org.uk/advice/ktt18</w:t>
        </w:r>
      </w:hyperlink>
    </w:p>
    <w:p w:rsidR="00D067EB" w:rsidRP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KTT19 </w:t>
      </w:r>
      <w:r w:rsidRPr="00D067EB">
        <w:rPr>
          <w:rFonts w:ascii="Garamond" w:hAnsi="Garamond"/>
          <w:b/>
          <w:i/>
          <w:lang w:val="en-AU"/>
        </w:rPr>
        <w:t>Psychotropic medicines</w:t>
      </w:r>
      <w:r w:rsidRPr="00D067EB">
        <w:rPr>
          <w:rFonts w:ascii="Garamond" w:hAnsi="Garamond"/>
          <w:i/>
          <w:lang w:val="en-AU"/>
        </w:rPr>
        <w:t xml:space="preserve"> in people with learning disabilities whose behaviour challenges </w:t>
      </w:r>
      <w:hyperlink r:id="rId57" w:history="1">
        <w:r w:rsidRPr="00E432DE">
          <w:rPr>
            <w:rStyle w:val="Hyperlink"/>
            <w:rFonts w:ascii="Garamond" w:hAnsi="Garamond"/>
            <w:lang w:val="en-AU"/>
          </w:rPr>
          <w:t>https://www.nice.org.uk/advice/ktt19</w:t>
        </w:r>
      </w:hyperlink>
    </w:p>
    <w:p w:rsidR="00D067EB" w:rsidRP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KTT20 </w:t>
      </w:r>
      <w:r w:rsidRPr="00D067EB">
        <w:rPr>
          <w:rFonts w:ascii="Garamond" w:hAnsi="Garamond"/>
          <w:i/>
          <w:lang w:val="en-AU"/>
        </w:rPr>
        <w:t xml:space="preserve">Safer </w:t>
      </w:r>
      <w:r w:rsidRPr="00D067EB">
        <w:rPr>
          <w:rFonts w:ascii="Garamond" w:hAnsi="Garamond"/>
          <w:b/>
          <w:i/>
          <w:lang w:val="en-AU"/>
        </w:rPr>
        <w:t>insulin</w:t>
      </w:r>
      <w:r w:rsidRPr="00D067EB">
        <w:rPr>
          <w:rFonts w:ascii="Garamond" w:hAnsi="Garamond"/>
          <w:i/>
          <w:lang w:val="en-AU"/>
        </w:rPr>
        <w:t xml:space="preserve"> prescribing</w:t>
      </w:r>
      <w:r>
        <w:rPr>
          <w:rFonts w:ascii="Garamond" w:hAnsi="Garamond"/>
          <w:lang w:val="en-AU"/>
        </w:rPr>
        <w:t xml:space="preserve"> </w:t>
      </w:r>
      <w:hyperlink r:id="rId58" w:history="1">
        <w:r w:rsidRPr="00E432DE">
          <w:rPr>
            <w:rStyle w:val="Hyperlink"/>
            <w:rFonts w:ascii="Garamond" w:hAnsi="Garamond"/>
            <w:lang w:val="en-AU"/>
          </w:rPr>
          <w:t>https://www.nice.org.uk/advice/ktt20</w:t>
        </w:r>
      </w:hyperlink>
    </w:p>
    <w:p w:rsidR="00D067EB" w:rsidRP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KTT21 </w:t>
      </w:r>
      <w:r w:rsidRPr="00D067EB">
        <w:rPr>
          <w:rFonts w:ascii="Garamond" w:hAnsi="Garamond"/>
          <w:i/>
          <w:lang w:val="en-AU"/>
        </w:rPr>
        <w:t xml:space="preserve">Medicines optimisation in </w:t>
      </w:r>
      <w:r w:rsidRPr="00D067EB">
        <w:rPr>
          <w:rFonts w:ascii="Garamond" w:hAnsi="Garamond"/>
          <w:b/>
          <w:i/>
          <w:lang w:val="en-AU"/>
        </w:rPr>
        <w:t>chronic pain</w:t>
      </w:r>
      <w:r>
        <w:rPr>
          <w:rFonts w:ascii="Garamond" w:hAnsi="Garamond"/>
          <w:lang w:val="en-AU"/>
        </w:rPr>
        <w:t xml:space="preserve"> </w:t>
      </w:r>
      <w:hyperlink r:id="rId59" w:history="1">
        <w:r w:rsidRPr="00E432DE">
          <w:rPr>
            <w:rStyle w:val="Hyperlink"/>
            <w:rFonts w:ascii="Garamond" w:hAnsi="Garamond"/>
            <w:lang w:val="en-AU"/>
          </w:rPr>
          <w:t>https://www.nice.org.uk/advice/ktt21</w:t>
        </w:r>
      </w:hyperlink>
    </w:p>
    <w:p w:rsidR="00D067EB" w:rsidRP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KTT22 </w:t>
      </w:r>
      <w:r w:rsidRPr="00D067EB">
        <w:rPr>
          <w:rFonts w:ascii="Garamond" w:hAnsi="Garamond"/>
          <w:b/>
          <w:i/>
          <w:lang w:val="en-AU"/>
        </w:rPr>
        <w:t>Chemotherapy</w:t>
      </w:r>
      <w:r w:rsidRPr="00D067EB">
        <w:rPr>
          <w:rFonts w:ascii="Garamond" w:hAnsi="Garamond"/>
          <w:i/>
          <w:lang w:val="en-AU"/>
        </w:rPr>
        <w:t xml:space="preserve"> dose standardisation</w:t>
      </w:r>
      <w:r>
        <w:rPr>
          <w:rFonts w:ascii="Garamond" w:hAnsi="Garamond"/>
          <w:lang w:val="en-AU"/>
        </w:rPr>
        <w:t xml:space="preserve"> </w:t>
      </w:r>
      <w:hyperlink r:id="rId60" w:history="1">
        <w:r w:rsidRPr="00E432DE">
          <w:rPr>
            <w:rStyle w:val="Hyperlink"/>
            <w:rFonts w:ascii="Garamond" w:hAnsi="Garamond"/>
            <w:lang w:val="en-AU"/>
          </w:rPr>
          <w:t>https://www.nice.org.uk/advice/ktt22</w:t>
        </w:r>
      </w:hyperlink>
    </w:p>
    <w:p w:rsidR="00D067EB" w:rsidRP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KTT23 </w:t>
      </w:r>
      <w:r w:rsidRPr="00D067EB">
        <w:rPr>
          <w:rFonts w:ascii="Garamond" w:hAnsi="Garamond"/>
          <w:b/>
          <w:i/>
          <w:lang w:val="en-AU"/>
        </w:rPr>
        <w:t>Shared decision making</w:t>
      </w:r>
      <w:r>
        <w:rPr>
          <w:rFonts w:ascii="Garamond" w:hAnsi="Garamond"/>
          <w:lang w:val="en-AU"/>
        </w:rPr>
        <w:t xml:space="preserve"> </w:t>
      </w:r>
      <w:hyperlink r:id="rId61" w:history="1">
        <w:r w:rsidRPr="00E432DE">
          <w:rPr>
            <w:rStyle w:val="Hyperlink"/>
            <w:rFonts w:ascii="Garamond" w:hAnsi="Garamond"/>
            <w:lang w:val="en-AU"/>
          </w:rPr>
          <w:t>https://www.nice.org.uk/advice/ktt23</w:t>
        </w:r>
      </w:hyperlink>
    </w:p>
    <w:p w:rsidR="00D067EB" w:rsidRPr="00D067EB" w:rsidRDefault="00D067EB" w:rsidP="00CD7577">
      <w:pPr>
        <w:pStyle w:val="ListParagraph"/>
        <w:keepLines/>
        <w:numPr>
          <w:ilvl w:val="0"/>
          <w:numId w:val="19"/>
        </w:numPr>
        <w:rPr>
          <w:rFonts w:ascii="Garamond" w:hAnsi="Garamond"/>
          <w:lang w:val="en-AU"/>
        </w:rPr>
      </w:pPr>
      <w:r>
        <w:rPr>
          <w:rFonts w:ascii="Garamond" w:hAnsi="Garamond"/>
          <w:lang w:val="en-AU"/>
        </w:rPr>
        <w:t xml:space="preserve">KTT24 </w:t>
      </w:r>
      <w:r w:rsidRPr="00D067EB">
        <w:rPr>
          <w:rFonts w:ascii="Garamond" w:hAnsi="Garamond"/>
          <w:b/>
          <w:i/>
          <w:lang w:val="en-AU"/>
        </w:rPr>
        <w:t>Suicide prevention</w:t>
      </w:r>
      <w:r w:rsidRPr="00D067EB">
        <w:rPr>
          <w:rFonts w:ascii="Garamond" w:hAnsi="Garamond"/>
          <w:i/>
          <w:lang w:val="en-AU"/>
        </w:rPr>
        <w:t>: optimising medicines and reducing access to medicines as a means of suicide</w:t>
      </w:r>
      <w:r>
        <w:rPr>
          <w:rFonts w:ascii="Garamond" w:hAnsi="Garamond"/>
          <w:lang w:val="en-AU"/>
        </w:rPr>
        <w:t xml:space="preserve"> </w:t>
      </w:r>
      <w:hyperlink r:id="rId62" w:history="1">
        <w:r w:rsidRPr="00E432DE">
          <w:rPr>
            <w:rStyle w:val="Hyperlink"/>
            <w:rFonts w:ascii="Garamond" w:hAnsi="Garamond"/>
            <w:lang w:val="en-AU"/>
          </w:rPr>
          <w:t>https://www.nice.org.uk/advice/ktt24</w:t>
        </w:r>
      </w:hyperlink>
    </w:p>
    <w:bookmarkEnd w:id="1"/>
    <w:p w:rsidR="00D067EB" w:rsidRDefault="00D067EB"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3"/>
      <w:footerReference w:type="default" r:id="rId6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C66" w:rsidRDefault="00FB3C66">
      <w:r>
        <w:separator/>
      </w:r>
    </w:p>
  </w:endnote>
  <w:endnote w:type="continuationSeparator" w:id="0">
    <w:p w:rsidR="00FB3C66" w:rsidRDefault="00FB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66" w:rsidRDefault="00FB3C6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65019">
      <w:rPr>
        <w:rStyle w:val="PageNumber"/>
        <w:noProof/>
      </w:rPr>
      <w:t>10</w:t>
    </w:r>
    <w:r>
      <w:rPr>
        <w:rStyle w:val="PageNumber"/>
      </w:rPr>
      <w:fldChar w:fldCharType="end"/>
    </w:r>
  </w:p>
  <w:p w:rsidR="00FB3C66" w:rsidRPr="001E78F0" w:rsidRDefault="00FB3C6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435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66" w:rsidRPr="001E78F0" w:rsidRDefault="00FB3C6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65019">
      <w:rPr>
        <w:rStyle w:val="PageNumber"/>
        <w:rFonts w:ascii="Garamond" w:hAnsi="Garamond"/>
        <w:noProof/>
      </w:rPr>
      <w:t>11</w:t>
    </w:r>
    <w:r w:rsidRPr="001E78F0">
      <w:rPr>
        <w:rStyle w:val="PageNumber"/>
        <w:rFonts w:ascii="Garamond" w:hAnsi="Garamond"/>
      </w:rPr>
      <w:fldChar w:fldCharType="end"/>
    </w:r>
  </w:p>
  <w:p w:rsidR="00FB3C66" w:rsidRPr="001E78F0" w:rsidRDefault="00FB3C6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C66" w:rsidRDefault="00FB3C66">
      <w:r>
        <w:separator/>
      </w:r>
    </w:p>
  </w:footnote>
  <w:footnote w:type="continuationSeparator" w:id="0">
    <w:p w:rsidR="00FB3C66" w:rsidRDefault="00FB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65BB7"/>
    <w:multiLevelType w:val="hybridMultilevel"/>
    <w:tmpl w:val="7226A5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E065BB"/>
    <w:multiLevelType w:val="hybridMultilevel"/>
    <w:tmpl w:val="F3909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F9266D"/>
    <w:multiLevelType w:val="hybridMultilevel"/>
    <w:tmpl w:val="C846D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C12EA3"/>
    <w:multiLevelType w:val="hybridMultilevel"/>
    <w:tmpl w:val="E346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33317B"/>
    <w:multiLevelType w:val="hybridMultilevel"/>
    <w:tmpl w:val="CC883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593B77"/>
    <w:multiLevelType w:val="hybridMultilevel"/>
    <w:tmpl w:val="264E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FA6F39"/>
    <w:multiLevelType w:val="hybridMultilevel"/>
    <w:tmpl w:val="6CFA4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0C0B03"/>
    <w:multiLevelType w:val="hybridMultilevel"/>
    <w:tmpl w:val="42308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9285F"/>
    <w:multiLevelType w:val="hybridMultilevel"/>
    <w:tmpl w:val="124C5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12"/>
  </w:num>
  <w:num w:numId="16">
    <w:abstractNumId w:val="15"/>
  </w:num>
  <w:num w:numId="17">
    <w:abstractNumId w:val="14"/>
  </w:num>
  <w:num w:numId="18">
    <w:abstractNumId w:val="18"/>
  </w:num>
  <w:num w:numId="19">
    <w:abstractNumId w:val="23"/>
  </w:num>
  <w:num w:numId="20">
    <w:abstractNumId w:val="19"/>
  </w:num>
  <w:num w:numId="21">
    <w:abstractNumId w:val="21"/>
  </w:num>
  <w:num w:numId="22">
    <w:abstractNumId w:val="10"/>
  </w:num>
  <w:num w:numId="23">
    <w:abstractNumId w:val="11"/>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EF"/>
    <w:rsid w:val="00052CC4"/>
    <w:rsid w:val="00053393"/>
    <w:rsid w:val="000535B1"/>
    <w:rsid w:val="000539E6"/>
    <w:rsid w:val="00053A16"/>
    <w:rsid w:val="00053D98"/>
    <w:rsid w:val="00053DA5"/>
    <w:rsid w:val="00053E77"/>
    <w:rsid w:val="00053F66"/>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CDF"/>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97E"/>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83D"/>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EE2"/>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157"/>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5CE8"/>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844"/>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2"/>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B17"/>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17EDB"/>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4FB4"/>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019"/>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A80"/>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A0F"/>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577"/>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67EB"/>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BCB"/>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21"/>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BB0"/>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C66"/>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7965887C"/>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3286169">
      <w:bodyDiv w:val="1"/>
      <w:marLeft w:val="0"/>
      <w:marRight w:val="0"/>
      <w:marTop w:val="0"/>
      <w:marBottom w:val="0"/>
      <w:divBdr>
        <w:top w:val="none" w:sz="0" w:space="0" w:color="auto"/>
        <w:left w:val="none" w:sz="0" w:space="0" w:color="auto"/>
        <w:bottom w:val="none" w:sz="0" w:space="0" w:color="auto"/>
        <w:right w:val="none" w:sz="0" w:space="0" w:color="auto"/>
      </w:divBdr>
      <w:divsChild>
        <w:div w:id="1827084935">
          <w:marLeft w:val="0"/>
          <w:marRight w:val="0"/>
          <w:marTop w:val="15"/>
          <w:marBottom w:val="0"/>
          <w:divBdr>
            <w:top w:val="none" w:sz="0" w:space="0" w:color="auto"/>
            <w:left w:val="none" w:sz="0" w:space="0" w:color="auto"/>
            <w:bottom w:val="none" w:sz="0" w:space="0" w:color="auto"/>
            <w:right w:val="none" w:sz="0" w:space="0" w:color="auto"/>
          </w:divBdr>
          <w:divsChild>
            <w:div w:id="306282111">
              <w:marLeft w:val="0"/>
              <w:marRight w:val="0"/>
              <w:marTop w:val="0"/>
              <w:marBottom w:val="0"/>
              <w:divBdr>
                <w:top w:val="none" w:sz="0" w:space="0" w:color="auto"/>
                <w:left w:val="none" w:sz="0" w:space="0" w:color="auto"/>
                <w:bottom w:val="none" w:sz="0" w:space="0" w:color="auto"/>
                <w:right w:val="none" w:sz="0" w:space="0" w:color="auto"/>
              </w:divBdr>
              <w:divsChild>
                <w:div w:id="1149056957">
                  <w:marLeft w:val="0"/>
                  <w:marRight w:val="0"/>
                  <w:marTop w:val="0"/>
                  <w:marBottom w:val="0"/>
                  <w:divBdr>
                    <w:top w:val="none" w:sz="0" w:space="0" w:color="auto"/>
                    <w:left w:val="none" w:sz="0" w:space="0" w:color="auto"/>
                    <w:bottom w:val="none" w:sz="0" w:space="0" w:color="auto"/>
                    <w:right w:val="none" w:sz="0" w:space="0" w:color="auto"/>
                  </w:divBdr>
                </w:div>
                <w:div w:id="2006858322">
                  <w:marLeft w:val="0"/>
                  <w:marRight w:val="0"/>
                  <w:marTop w:val="0"/>
                  <w:marBottom w:val="0"/>
                  <w:divBdr>
                    <w:top w:val="none" w:sz="0" w:space="0" w:color="auto"/>
                    <w:left w:val="none" w:sz="0" w:space="0" w:color="auto"/>
                    <w:bottom w:val="none" w:sz="0" w:space="0" w:color="auto"/>
                    <w:right w:val="none" w:sz="0" w:space="0" w:color="auto"/>
                  </w:divBdr>
                </w:div>
                <w:div w:id="1910798943">
                  <w:marLeft w:val="0"/>
                  <w:marRight w:val="0"/>
                  <w:marTop w:val="0"/>
                  <w:marBottom w:val="0"/>
                  <w:divBdr>
                    <w:top w:val="none" w:sz="0" w:space="0" w:color="auto"/>
                    <w:left w:val="none" w:sz="0" w:space="0" w:color="auto"/>
                    <w:bottom w:val="none" w:sz="0" w:space="0" w:color="auto"/>
                    <w:right w:val="none" w:sz="0" w:space="0" w:color="auto"/>
                  </w:divBdr>
                </w:div>
                <w:div w:id="968904013">
                  <w:marLeft w:val="0"/>
                  <w:marRight w:val="0"/>
                  <w:marTop w:val="0"/>
                  <w:marBottom w:val="0"/>
                  <w:divBdr>
                    <w:top w:val="none" w:sz="0" w:space="0" w:color="auto"/>
                    <w:left w:val="none" w:sz="0" w:space="0" w:color="auto"/>
                    <w:bottom w:val="none" w:sz="0" w:space="0" w:color="auto"/>
                    <w:right w:val="none" w:sz="0" w:space="0" w:color="auto"/>
                  </w:divBdr>
                </w:div>
                <w:div w:id="562639748">
                  <w:marLeft w:val="0"/>
                  <w:marRight w:val="0"/>
                  <w:marTop w:val="0"/>
                  <w:marBottom w:val="0"/>
                  <w:divBdr>
                    <w:top w:val="none" w:sz="0" w:space="0" w:color="auto"/>
                    <w:left w:val="none" w:sz="0" w:space="0" w:color="auto"/>
                    <w:bottom w:val="none" w:sz="0" w:space="0" w:color="auto"/>
                    <w:right w:val="none" w:sz="0" w:space="0" w:color="auto"/>
                  </w:divBdr>
                </w:div>
                <w:div w:id="1573737444">
                  <w:marLeft w:val="0"/>
                  <w:marRight w:val="0"/>
                  <w:marTop w:val="0"/>
                  <w:marBottom w:val="0"/>
                  <w:divBdr>
                    <w:top w:val="none" w:sz="0" w:space="0" w:color="auto"/>
                    <w:left w:val="none" w:sz="0" w:space="0" w:color="auto"/>
                    <w:bottom w:val="none" w:sz="0" w:space="0" w:color="auto"/>
                    <w:right w:val="none" w:sz="0" w:space="0" w:color="auto"/>
                  </w:divBdr>
                </w:div>
                <w:div w:id="4947444">
                  <w:marLeft w:val="0"/>
                  <w:marRight w:val="0"/>
                  <w:marTop w:val="0"/>
                  <w:marBottom w:val="0"/>
                  <w:divBdr>
                    <w:top w:val="none" w:sz="0" w:space="0" w:color="auto"/>
                    <w:left w:val="none" w:sz="0" w:space="0" w:color="auto"/>
                    <w:bottom w:val="none" w:sz="0" w:space="0" w:color="auto"/>
                    <w:right w:val="none" w:sz="0" w:space="0" w:color="auto"/>
                  </w:divBdr>
                </w:div>
                <w:div w:id="892156246">
                  <w:marLeft w:val="0"/>
                  <w:marRight w:val="0"/>
                  <w:marTop w:val="0"/>
                  <w:marBottom w:val="0"/>
                  <w:divBdr>
                    <w:top w:val="none" w:sz="0" w:space="0" w:color="auto"/>
                    <w:left w:val="none" w:sz="0" w:space="0" w:color="auto"/>
                    <w:bottom w:val="none" w:sz="0" w:space="0" w:color="auto"/>
                    <w:right w:val="none" w:sz="0" w:space="0" w:color="auto"/>
                  </w:divBdr>
                </w:div>
                <w:div w:id="715784628">
                  <w:marLeft w:val="0"/>
                  <w:marRight w:val="0"/>
                  <w:marTop w:val="0"/>
                  <w:marBottom w:val="0"/>
                  <w:divBdr>
                    <w:top w:val="none" w:sz="0" w:space="0" w:color="auto"/>
                    <w:left w:val="none" w:sz="0" w:space="0" w:color="auto"/>
                    <w:bottom w:val="none" w:sz="0" w:space="0" w:color="auto"/>
                    <w:right w:val="none" w:sz="0" w:space="0" w:color="auto"/>
                  </w:divBdr>
                </w:div>
                <w:div w:id="1280064613">
                  <w:marLeft w:val="0"/>
                  <w:marRight w:val="0"/>
                  <w:marTop w:val="0"/>
                  <w:marBottom w:val="0"/>
                  <w:divBdr>
                    <w:top w:val="none" w:sz="0" w:space="0" w:color="auto"/>
                    <w:left w:val="none" w:sz="0" w:space="0" w:color="auto"/>
                    <w:bottom w:val="none" w:sz="0" w:space="0" w:color="auto"/>
                    <w:right w:val="none" w:sz="0" w:space="0" w:color="auto"/>
                  </w:divBdr>
                </w:div>
                <w:div w:id="137457915">
                  <w:marLeft w:val="0"/>
                  <w:marRight w:val="0"/>
                  <w:marTop w:val="0"/>
                  <w:marBottom w:val="0"/>
                  <w:divBdr>
                    <w:top w:val="none" w:sz="0" w:space="0" w:color="auto"/>
                    <w:left w:val="none" w:sz="0" w:space="0" w:color="auto"/>
                    <w:bottom w:val="none" w:sz="0" w:space="0" w:color="auto"/>
                    <w:right w:val="none" w:sz="0" w:space="0" w:color="auto"/>
                  </w:divBdr>
                </w:div>
                <w:div w:id="2126727254">
                  <w:marLeft w:val="0"/>
                  <w:marRight w:val="0"/>
                  <w:marTop w:val="0"/>
                  <w:marBottom w:val="0"/>
                  <w:divBdr>
                    <w:top w:val="none" w:sz="0" w:space="0" w:color="auto"/>
                    <w:left w:val="none" w:sz="0" w:space="0" w:color="auto"/>
                    <w:bottom w:val="none" w:sz="0" w:space="0" w:color="auto"/>
                    <w:right w:val="none" w:sz="0" w:space="0" w:color="auto"/>
                  </w:divBdr>
                </w:div>
                <w:div w:id="776606919">
                  <w:marLeft w:val="0"/>
                  <w:marRight w:val="0"/>
                  <w:marTop w:val="0"/>
                  <w:marBottom w:val="0"/>
                  <w:divBdr>
                    <w:top w:val="none" w:sz="0" w:space="0" w:color="auto"/>
                    <w:left w:val="none" w:sz="0" w:space="0" w:color="auto"/>
                    <w:bottom w:val="none" w:sz="0" w:space="0" w:color="auto"/>
                    <w:right w:val="none" w:sz="0" w:space="0" w:color="auto"/>
                  </w:divBdr>
                </w:div>
                <w:div w:id="816805907">
                  <w:marLeft w:val="0"/>
                  <w:marRight w:val="0"/>
                  <w:marTop w:val="0"/>
                  <w:marBottom w:val="0"/>
                  <w:divBdr>
                    <w:top w:val="none" w:sz="0" w:space="0" w:color="auto"/>
                    <w:left w:val="none" w:sz="0" w:space="0" w:color="auto"/>
                    <w:bottom w:val="none" w:sz="0" w:space="0" w:color="auto"/>
                    <w:right w:val="none" w:sz="0" w:space="0" w:color="auto"/>
                  </w:divBdr>
                </w:div>
                <w:div w:id="355816236">
                  <w:marLeft w:val="0"/>
                  <w:marRight w:val="0"/>
                  <w:marTop w:val="0"/>
                  <w:marBottom w:val="0"/>
                  <w:divBdr>
                    <w:top w:val="none" w:sz="0" w:space="0" w:color="auto"/>
                    <w:left w:val="none" w:sz="0" w:space="0" w:color="auto"/>
                    <w:bottom w:val="none" w:sz="0" w:space="0" w:color="auto"/>
                    <w:right w:val="none" w:sz="0" w:space="0" w:color="auto"/>
                  </w:divBdr>
                </w:div>
                <w:div w:id="1527598447">
                  <w:marLeft w:val="0"/>
                  <w:marRight w:val="0"/>
                  <w:marTop w:val="0"/>
                  <w:marBottom w:val="0"/>
                  <w:divBdr>
                    <w:top w:val="none" w:sz="0" w:space="0" w:color="auto"/>
                    <w:left w:val="none" w:sz="0" w:space="0" w:color="auto"/>
                    <w:bottom w:val="none" w:sz="0" w:space="0" w:color="auto"/>
                    <w:right w:val="none" w:sz="0" w:space="0" w:color="auto"/>
                  </w:divBdr>
                </w:div>
                <w:div w:id="777019742">
                  <w:marLeft w:val="0"/>
                  <w:marRight w:val="0"/>
                  <w:marTop w:val="0"/>
                  <w:marBottom w:val="0"/>
                  <w:divBdr>
                    <w:top w:val="none" w:sz="0" w:space="0" w:color="auto"/>
                    <w:left w:val="none" w:sz="0" w:space="0" w:color="auto"/>
                    <w:bottom w:val="none" w:sz="0" w:space="0" w:color="auto"/>
                    <w:right w:val="none" w:sz="0" w:space="0" w:color="auto"/>
                  </w:divBdr>
                </w:div>
                <w:div w:id="1897661066">
                  <w:marLeft w:val="0"/>
                  <w:marRight w:val="0"/>
                  <w:marTop w:val="0"/>
                  <w:marBottom w:val="0"/>
                  <w:divBdr>
                    <w:top w:val="none" w:sz="0" w:space="0" w:color="auto"/>
                    <w:left w:val="none" w:sz="0" w:space="0" w:color="auto"/>
                    <w:bottom w:val="none" w:sz="0" w:space="0" w:color="auto"/>
                    <w:right w:val="none" w:sz="0" w:space="0" w:color="auto"/>
                  </w:divBdr>
                </w:div>
                <w:div w:id="1916084639">
                  <w:marLeft w:val="0"/>
                  <w:marRight w:val="0"/>
                  <w:marTop w:val="0"/>
                  <w:marBottom w:val="0"/>
                  <w:divBdr>
                    <w:top w:val="none" w:sz="0" w:space="0" w:color="auto"/>
                    <w:left w:val="none" w:sz="0" w:space="0" w:color="auto"/>
                    <w:bottom w:val="none" w:sz="0" w:space="0" w:color="auto"/>
                    <w:right w:val="none" w:sz="0" w:space="0" w:color="auto"/>
                  </w:divBdr>
                </w:div>
                <w:div w:id="1866409559">
                  <w:marLeft w:val="0"/>
                  <w:marRight w:val="0"/>
                  <w:marTop w:val="0"/>
                  <w:marBottom w:val="0"/>
                  <w:divBdr>
                    <w:top w:val="none" w:sz="0" w:space="0" w:color="auto"/>
                    <w:left w:val="none" w:sz="0" w:space="0" w:color="auto"/>
                    <w:bottom w:val="none" w:sz="0" w:space="0" w:color="auto"/>
                    <w:right w:val="none" w:sz="0" w:space="0" w:color="auto"/>
                  </w:divBdr>
                </w:div>
                <w:div w:id="1762993899">
                  <w:marLeft w:val="0"/>
                  <w:marRight w:val="0"/>
                  <w:marTop w:val="0"/>
                  <w:marBottom w:val="0"/>
                  <w:divBdr>
                    <w:top w:val="none" w:sz="0" w:space="0" w:color="auto"/>
                    <w:left w:val="none" w:sz="0" w:space="0" w:color="auto"/>
                    <w:bottom w:val="none" w:sz="0" w:space="0" w:color="auto"/>
                    <w:right w:val="none" w:sz="0" w:space="0" w:color="auto"/>
                  </w:divBdr>
                </w:div>
                <w:div w:id="603273286">
                  <w:marLeft w:val="0"/>
                  <w:marRight w:val="0"/>
                  <w:marTop w:val="0"/>
                  <w:marBottom w:val="0"/>
                  <w:divBdr>
                    <w:top w:val="none" w:sz="0" w:space="0" w:color="auto"/>
                    <w:left w:val="none" w:sz="0" w:space="0" w:color="auto"/>
                    <w:bottom w:val="none" w:sz="0" w:space="0" w:color="auto"/>
                    <w:right w:val="none" w:sz="0" w:space="0" w:color="auto"/>
                  </w:divBdr>
                </w:div>
                <w:div w:id="2023898765">
                  <w:marLeft w:val="0"/>
                  <w:marRight w:val="0"/>
                  <w:marTop w:val="0"/>
                  <w:marBottom w:val="0"/>
                  <w:divBdr>
                    <w:top w:val="none" w:sz="0" w:space="0" w:color="auto"/>
                    <w:left w:val="none" w:sz="0" w:space="0" w:color="auto"/>
                    <w:bottom w:val="none" w:sz="0" w:space="0" w:color="auto"/>
                    <w:right w:val="none" w:sz="0" w:space="0" w:color="auto"/>
                  </w:divBdr>
                </w:div>
                <w:div w:id="1029531233">
                  <w:marLeft w:val="0"/>
                  <w:marRight w:val="0"/>
                  <w:marTop w:val="0"/>
                  <w:marBottom w:val="0"/>
                  <w:divBdr>
                    <w:top w:val="none" w:sz="0" w:space="0" w:color="auto"/>
                    <w:left w:val="none" w:sz="0" w:space="0" w:color="auto"/>
                    <w:bottom w:val="none" w:sz="0" w:space="0" w:color="auto"/>
                    <w:right w:val="none" w:sz="0" w:space="0" w:color="auto"/>
                  </w:divBdr>
                </w:div>
                <w:div w:id="789010084">
                  <w:marLeft w:val="0"/>
                  <w:marRight w:val="0"/>
                  <w:marTop w:val="0"/>
                  <w:marBottom w:val="0"/>
                  <w:divBdr>
                    <w:top w:val="none" w:sz="0" w:space="0" w:color="auto"/>
                    <w:left w:val="none" w:sz="0" w:space="0" w:color="auto"/>
                    <w:bottom w:val="none" w:sz="0" w:space="0" w:color="auto"/>
                    <w:right w:val="none" w:sz="0" w:space="0" w:color="auto"/>
                  </w:divBdr>
                </w:div>
                <w:div w:id="2020042743">
                  <w:marLeft w:val="0"/>
                  <w:marRight w:val="0"/>
                  <w:marTop w:val="0"/>
                  <w:marBottom w:val="0"/>
                  <w:divBdr>
                    <w:top w:val="none" w:sz="0" w:space="0" w:color="auto"/>
                    <w:left w:val="none" w:sz="0" w:space="0" w:color="auto"/>
                    <w:bottom w:val="none" w:sz="0" w:space="0" w:color="auto"/>
                    <w:right w:val="none" w:sz="0" w:space="0" w:color="auto"/>
                  </w:divBdr>
                </w:div>
                <w:div w:id="58720438">
                  <w:marLeft w:val="0"/>
                  <w:marRight w:val="0"/>
                  <w:marTop w:val="0"/>
                  <w:marBottom w:val="0"/>
                  <w:divBdr>
                    <w:top w:val="none" w:sz="0" w:space="0" w:color="auto"/>
                    <w:left w:val="none" w:sz="0" w:space="0" w:color="auto"/>
                    <w:bottom w:val="none" w:sz="0" w:space="0" w:color="auto"/>
                    <w:right w:val="none" w:sz="0" w:space="0" w:color="auto"/>
                  </w:divBdr>
                </w:div>
                <w:div w:id="1351177233">
                  <w:marLeft w:val="0"/>
                  <w:marRight w:val="0"/>
                  <w:marTop w:val="0"/>
                  <w:marBottom w:val="0"/>
                  <w:divBdr>
                    <w:top w:val="none" w:sz="0" w:space="0" w:color="auto"/>
                    <w:left w:val="none" w:sz="0" w:space="0" w:color="auto"/>
                    <w:bottom w:val="none" w:sz="0" w:space="0" w:color="auto"/>
                    <w:right w:val="none" w:sz="0" w:space="0" w:color="auto"/>
                  </w:divBdr>
                </w:div>
                <w:div w:id="825050575">
                  <w:marLeft w:val="0"/>
                  <w:marRight w:val="0"/>
                  <w:marTop w:val="0"/>
                  <w:marBottom w:val="0"/>
                  <w:divBdr>
                    <w:top w:val="none" w:sz="0" w:space="0" w:color="auto"/>
                    <w:left w:val="none" w:sz="0" w:space="0" w:color="auto"/>
                    <w:bottom w:val="none" w:sz="0" w:space="0" w:color="auto"/>
                    <w:right w:val="none" w:sz="0" w:space="0" w:color="auto"/>
                  </w:divBdr>
                </w:div>
                <w:div w:id="751507773">
                  <w:marLeft w:val="0"/>
                  <w:marRight w:val="0"/>
                  <w:marTop w:val="0"/>
                  <w:marBottom w:val="0"/>
                  <w:divBdr>
                    <w:top w:val="none" w:sz="0" w:space="0" w:color="auto"/>
                    <w:left w:val="none" w:sz="0" w:space="0" w:color="auto"/>
                    <w:bottom w:val="none" w:sz="0" w:space="0" w:color="auto"/>
                    <w:right w:val="none" w:sz="0" w:space="0" w:color="auto"/>
                  </w:divBdr>
                </w:div>
                <w:div w:id="1469973680">
                  <w:marLeft w:val="0"/>
                  <w:marRight w:val="0"/>
                  <w:marTop w:val="0"/>
                  <w:marBottom w:val="0"/>
                  <w:divBdr>
                    <w:top w:val="none" w:sz="0" w:space="0" w:color="auto"/>
                    <w:left w:val="none" w:sz="0" w:space="0" w:color="auto"/>
                    <w:bottom w:val="none" w:sz="0" w:space="0" w:color="auto"/>
                    <w:right w:val="none" w:sz="0" w:space="0" w:color="auto"/>
                  </w:divBdr>
                </w:div>
                <w:div w:id="1813477713">
                  <w:marLeft w:val="0"/>
                  <w:marRight w:val="0"/>
                  <w:marTop w:val="0"/>
                  <w:marBottom w:val="0"/>
                  <w:divBdr>
                    <w:top w:val="none" w:sz="0" w:space="0" w:color="auto"/>
                    <w:left w:val="none" w:sz="0" w:space="0" w:color="auto"/>
                    <w:bottom w:val="none" w:sz="0" w:space="0" w:color="auto"/>
                    <w:right w:val="none" w:sz="0" w:space="0" w:color="auto"/>
                  </w:divBdr>
                </w:div>
                <w:div w:id="1359694058">
                  <w:marLeft w:val="0"/>
                  <w:marRight w:val="0"/>
                  <w:marTop w:val="0"/>
                  <w:marBottom w:val="0"/>
                  <w:divBdr>
                    <w:top w:val="none" w:sz="0" w:space="0" w:color="auto"/>
                    <w:left w:val="none" w:sz="0" w:space="0" w:color="auto"/>
                    <w:bottom w:val="none" w:sz="0" w:space="0" w:color="auto"/>
                    <w:right w:val="none" w:sz="0" w:space="0" w:color="auto"/>
                  </w:divBdr>
                </w:div>
                <w:div w:id="1150169121">
                  <w:marLeft w:val="0"/>
                  <w:marRight w:val="0"/>
                  <w:marTop w:val="0"/>
                  <w:marBottom w:val="0"/>
                  <w:divBdr>
                    <w:top w:val="none" w:sz="0" w:space="0" w:color="auto"/>
                    <w:left w:val="none" w:sz="0" w:space="0" w:color="auto"/>
                    <w:bottom w:val="none" w:sz="0" w:space="0" w:color="auto"/>
                    <w:right w:val="none" w:sz="0" w:space="0" w:color="auto"/>
                  </w:divBdr>
                </w:div>
                <w:div w:id="153883575">
                  <w:marLeft w:val="0"/>
                  <w:marRight w:val="0"/>
                  <w:marTop w:val="0"/>
                  <w:marBottom w:val="0"/>
                  <w:divBdr>
                    <w:top w:val="none" w:sz="0" w:space="0" w:color="auto"/>
                    <w:left w:val="none" w:sz="0" w:space="0" w:color="auto"/>
                    <w:bottom w:val="none" w:sz="0" w:space="0" w:color="auto"/>
                    <w:right w:val="none" w:sz="0" w:space="0" w:color="auto"/>
                  </w:divBdr>
                </w:div>
                <w:div w:id="1565485598">
                  <w:marLeft w:val="0"/>
                  <w:marRight w:val="0"/>
                  <w:marTop w:val="0"/>
                  <w:marBottom w:val="0"/>
                  <w:divBdr>
                    <w:top w:val="none" w:sz="0" w:space="0" w:color="auto"/>
                    <w:left w:val="none" w:sz="0" w:space="0" w:color="auto"/>
                    <w:bottom w:val="none" w:sz="0" w:space="0" w:color="auto"/>
                    <w:right w:val="none" w:sz="0" w:space="0" w:color="auto"/>
                  </w:divBdr>
                </w:div>
                <w:div w:id="642735016">
                  <w:marLeft w:val="0"/>
                  <w:marRight w:val="0"/>
                  <w:marTop w:val="0"/>
                  <w:marBottom w:val="0"/>
                  <w:divBdr>
                    <w:top w:val="none" w:sz="0" w:space="0" w:color="auto"/>
                    <w:left w:val="none" w:sz="0" w:space="0" w:color="auto"/>
                    <w:bottom w:val="none" w:sz="0" w:space="0" w:color="auto"/>
                    <w:right w:val="none" w:sz="0" w:space="0" w:color="auto"/>
                  </w:divBdr>
                </w:div>
                <w:div w:id="1874540251">
                  <w:marLeft w:val="0"/>
                  <w:marRight w:val="0"/>
                  <w:marTop w:val="0"/>
                  <w:marBottom w:val="0"/>
                  <w:divBdr>
                    <w:top w:val="none" w:sz="0" w:space="0" w:color="auto"/>
                    <w:left w:val="none" w:sz="0" w:space="0" w:color="auto"/>
                    <w:bottom w:val="none" w:sz="0" w:space="0" w:color="auto"/>
                    <w:right w:val="none" w:sz="0" w:space="0" w:color="auto"/>
                  </w:divBdr>
                </w:div>
                <w:div w:id="145055499">
                  <w:marLeft w:val="0"/>
                  <w:marRight w:val="0"/>
                  <w:marTop w:val="0"/>
                  <w:marBottom w:val="0"/>
                  <w:divBdr>
                    <w:top w:val="none" w:sz="0" w:space="0" w:color="auto"/>
                    <w:left w:val="none" w:sz="0" w:space="0" w:color="auto"/>
                    <w:bottom w:val="none" w:sz="0" w:space="0" w:color="auto"/>
                    <w:right w:val="none" w:sz="0" w:space="0" w:color="auto"/>
                  </w:divBdr>
                </w:div>
                <w:div w:id="1306665931">
                  <w:marLeft w:val="0"/>
                  <w:marRight w:val="0"/>
                  <w:marTop w:val="0"/>
                  <w:marBottom w:val="0"/>
                  <w:divBdr>
                    <w:top w:val="none" w:sz="0" w:space="0" w:color="auto"/>
                    <w:left w:val="none" w:sz="0" w:space="0" w:color="auto"/>
                    <w:bottom w:val="none" w:sz="0" w:space="0" w:color="auto"/>
                    <w:right w:val="none" w:sz="0" w:space="0" w:color="auto"/>
                  </w:divBdr>
                </w:div>
                <w:div w:id="1083914338">
                  <w:marLeft w:val="0"/>
                  <w:marRight w:val="0"/>
                  <w:marTop w:val="0"/>
                  <w:marBottom w:val="0"/>
                  <w:divBdr>
                    <w:top w:val="none" w:sz="0" w:space="0" w:color="auto"/>
                    <w:left w:val="none" w:sz="0" w:space="0" w:color="auto"/>
                    <w:bottom w:val="none" w:sz="0" w:space="0" w:color="auto"/>
                    <w:right w:val="none" w:sz="0" w:space="0" w:color="auto"/>
                  </w:divBdr>
                </w:div>
                <w:div w:id="289551739">
                  <w:marLeft w:val="0"/>
                  <w:marRight w:val="0"/>
                  <w:marTop w:val="0"/>
                  <w:marBottom w:val="0"/>
                  <w:divBdr>
                    <w:top w:val="none" w:sz="0" w:space="0" w:color="auto"/>
                    <w:left w:val="none" w:sz="0" w:space="0" w:color="auto"/>
                    <w:bottom w:val="none" w:sz="0" w:space="0" w:color="auto"/>
                    <w:right w:val="none" w:sz="0" w:space="0" w:color="auto"/>
                  </w:divBdr>
                </w:div>
                <w:div w:id="1443453796">
                  <w:marLeft w:val="0"/>
                  <w:marRight w:val="0"/>
                  <w:marTop w:val="0"/>
                  <w:marBottom w:val="0"/>
                  <w:divBdr>
                    <w:top w:val="none" w:sz="0" w:space="0" w:color="auto"/>
                    <w:left w:val="none" w:sz="0" w:space="0" w:color="auto"/>
                    <w:bottom w:val="none" w:sz="0" w:space="0" w:color="auto"/>
                    <w:right w:val="none" w:sz="0" w:space="0" w:color="auto"/>
                  </w:divBdr>
                </w:div>
                <w:div w:id="940264448">
                  <w:marLeft w:val="0"/>
                  <w:marRight w:val="0"/>
                  <w:marTop w:val="0"/>
                  <w:marBottom w:val="0"/>
                  <w:divBdr>
                    <w:top w:val="none" w:sz="0" w:space="0" w:color="auto"/>
                    <w:left w:val="none" w:sz="0" w:space="0" w:color="auto"/>
                    <w:bottom w:val="none" w:sz="0" w:space="0" w:color="auto"/>
                    <w:right w:val="none" w:sz="0" w:space="0" w:color="auto"/>
                  </w:divBdr>
                </w:div>
                <w:div w:id="1000544701">
                  <w:marLeft w:val="0"/>
                  <w:marRight w:val="0"/>
                  <w:marTop w:val="0"/>
                  <w:marBottom w:val="0"/>
                  <w:divBdr>
                    <w:top w:val="none" w:sz="0" w:space="0" w:color="auto"/>
                    <w:left w:val="none" w:sz="0" w:space="0" w:color="auto"/>
                    <w:bottom w:val="none" w:sz="0" w:space="0" w:color="auto"/>
                    <w:right w:val="none" w:sz="0" w:space="0" w:color="auto"/>
                  </w:divBdr>
                </w:div>
                <w:div w:id="1706055558">
                  <w:marLeft w:val="0"/>
                  <w:marRight w:val="0"/>
                  <w:marTop w:val="0"/>
                  <w:marBottom w:val="0"/>
                  <w:divBdr>
                    <w:top w:val="none" w:sz="0" w:space="0" w:color="auto"/>
                    <w:left w:val="none" w:sz="0" w:space="0" w:color="auto"/>
                    <w:bottom w:val="none" w:sz="0" w:space="0" w:color="auto"/>
                    <w:right w:val="none" w:sz="0" w:space="0" w:color="auto"/>
                  </w:divBdr>
                </w:div>
                <w:div w:id="1285503044">
                  <w:marLeft w:val="0"/>
                  <w:marRight w:val="0"/>
                  <w:marTop w:val="0"/>
                  <w:marBottom w:val="0"/>
                  <w:divBdr>
                    <w:top w:val="none" w:sz="0" w:space="0" w:color="auto"/>
                    <w:left w:val="none" w:sz="0" w:space="0" w:color="auto"/>
                    <w:bottom w:val="none" w:sz="0" w:space="0" w:color="auto"/>
                    <w:right w:val="none" w:sz="0" w:space="0" w:color="auto"/>
                  </w:divBdr>
                </w:div>
                <w:div w:id="719599427">
                  <w:marLeft w:val="0"/>
                  <w:marRight w:val="0"/>
                  <w:marTop w:val="0"/>
                  <w:marBottom w:val="0"/>
                  <w:divBdr>
                    <w:top w:val="none" w:sz="0" w:space="0" w:color="auto"/>
                    <w:left w:val="none" w:sz="0" w:space="0" w:color="auto"/>
                    <w:bottom w:val="none" w:sz="0" w:space="0" w:color="auto"/>
                    <w:right w:val="none" w:sz="0" w:space="0" w:color="auto"/>
                  </w:divBdr>
                </w:div>
                <w:div w:id="438916657">
                  <w:marLeft w:val="0"/>
                  <w:marRight w:val="0"/>
                  <w:marTop w:val="0"/>
                  <w:marBottom w:val="0"/>
                  <w:divBdr>
                    <w:top w:val="none" w:sz="0" w:space="0" w:color="auto"/>
                    <w:left w:val="none" w:sz="0" w:space="0" w:color="auto"/>
                    <w:bottom w:val="none" w:sz="0" w:space="0" w:color="auto"/>
                    <w:right w:val="none" w:sz="0" w:space="0" w:color="auto"/>
                  </w:divBdr>
                </w:div>
                <w:div w:id="1105661435">
                  <w:marLeft w:val="0"/>
                  <w:marRight w:val="0"/>
                  <w:marTop w:val="0"/>
                  <w:marBottom w:val="0"/>
                  <w:divBdr>
                    <w:top w:val="none" w:sz="0" w:space="0" w:color="auto"/>
                    <w:left w:val="none" w:sz="0" w:space="0" w:color="auto"/>
                    <w:bottom w:val="none" w:sz="0" w:space="0" w:color="auto"/>
                    <w:right w:val="none" w:sz="0" w:space="0" w:color="auto"/>
                  </w:divBdr>
                </w:div>
                <w:div w:id="1496384067">
                  <w:marLeft w:val="0"/>
                  <w:marRight w:val="0"/>
                  <w:marTop w:val="0"/>
                  <w:marBottom w:val="0"/>
                  <w:divBdr>
                    <w:top w:val="none" w:sz="0" w:space="0" w:color="auto"/>
                    <w:left w:val="none" w:sz="0" w:space="0" w:color="auto"/>
                    <w:bottom w:val="none" w:sz="0" w:space="0" w:color="auto"/>
                    <w:right w:val="none" w:sz="0" w:space="0" w:color="auto"/>
                  </w:divBdr>
                </w:div>
                <w:div w:id="1269660009">
                  <w:marLeft w:val="0"/>
                  <w:marRight w:val="0"/>
                  <w:marTop w:val="0"/>
                  <w:marBottom w:val="0"/>
                  <w:divBdr>
                    <w:top w:val="none" w:sz="0" w:space="0" w:color="auto"/>
                    <w:left w:val="none" w:sz="0" w:space="0" w:color="auto"/>
                    <w:bottom w:val="none" w:sz="0" w:space="0" w:color="auto"/>
                    <w:right w:val="none" w:sz="0" w:space="0" w:color="auto"/>
                  </w:divBdr>
                </w:div>
                <w:div w:id="1399742667">
                  <w:marLeft w:val="0"/>
                  <w:marRight w:val="0"/>
                  <w:marTop w:val="0"/>
                  <w:marBottom w:val="0"/>
                  <w:divBdr>
                    <w:top w:val="none" w:sz="0" w:space="0" w:color="auto"/>
                    <w:left w:val="none" w:sz="0" w:space="0" w:color="auto"/>
                    <w:bottom w:val="none" w:sz="0" w:space="0" w:color="auto"/>
                    <w:right w:val="none" w:sz="0" w:space="0" w:color="auto"/>
                  </w:divBdr>
                </w:div>
                <w:div w:id="2130197400">
                  <w:marLeft w:val="0"/>
                  <w:marRight w:val="0"/>
                  <w:marTop w:val="0"/>
                  <w:marBottom w:val="0"/>
                  <w:divBdr>
                    <w:top w:val="none" w:sz="0" w:space="0" w:color="auto"/>
                    <w:left w:val="none" w:sz="0" w:space="0" w:color="auto"/>
                    <w:bottom w:val="none" w:sz="0" w:space="0" w:color="auto"/>
                    <w:right w:val="none" w:sz="0" w:space="0" w:color="auto"/>
                  </w:divBdr>
                </w:div>
                <w:div w:id="1105491816">
                  <w:marLeft w:val="0"/>
                  <w:marRight w:val="0"/>
                  <w:marTop w:val="0"/>
                  <w:marBottom w:val="0"/>
                  <w:divBdr>
                    <w:top w:val="none" w:sz="0" w:space="0" w:color="auto"/>
                    <w:left w:val="none" w:sz="0" w:space="0" w:color="auto"/>
                    <w:bottom w:val="none" w:sz="0" w:space="0" w:color="auto"/>
                    <w:right w:val="none" w:sz="0" w:space="0" w:color="auto"/>
                  </w:divBdr>
                </w:div>
                <w:div w:id="1926761587">
                  <w:marLeft w:val="0"/>
                  <w:marRight w:val="0"/>
                  <w:marTop w:val="0"/>
                  <w:marBottom w:val="0"/>
                  <w:divBdr>
                    <w:top w:val="none" w:sz="0" w:space="0" w:color="auto"/>
                    <w:left w:val="none" w:sz="0" w:space="0" w:color="auto"/>
                    <w:bottom w:val="none" w:sz="0" w:space="0" w:color="auto"/>
                    <w:right w:val="none" w:sz="0" w:space="0" w:color="auto"/>
                  </w:divBdr>
                </w:div>
                <w:div w:id="601840646">
                  <w:marLeft w:val="0"/>
                  <w:marRight w:val="0"/>
                  <w:marTop w:val="0"/>
                  <w:marBottom w:val="0"/>
                  <w:divBdr>
                    <w:top w:val="none" w:sz="0" w:space="0" w:color="auto"/>
                    <w:left w:val="none" w:sz="0" w:space="0" w:color="auto"/>
                    <w:bottom w:val="none" w:sz="0" w:space="0" w:color="auto"/>
                    <w:right w:val="none" w:sz="0" w:space="0" w:color="auto"/>
                  </w:divBdr>
                </w:div>
                <w:div w:id="1868592011">
                  <w:marLeft w:val="0"/>
                  <w:marRight w:val="0"/>
                  <w:marTop w:val="0"/>
                  <w:marBottom w:val="0"/>
                  <w:divBdr>
                    <w:top w:val="none" w:sz="0" w:space="0" w:color="auto"/>
                    <w:left w:val="none" w:sz="0" w:space="0" w:color="auto"/>
                    <w:bottom w:val="none" w:sz="0" w:space="0" w:color="auto"/>
                    <w:right w:val="none" w:sz="0" w:space="0" w:color="auto"/>
                  </w:divBdr>
                </w:div>
                <w:div w:id="1065683861">
                  <w:marLeft w:val="0"/>
                  <w:marRight w:val="0"/>
                  <w:marTop w:val="0"/>
                  <w:marBottom w:val="0"/>
                  <w:divBdr>
                    <w:top w:val="none" w:sz="0" w:space="0" w:color="auto"/>
                    <w:left w:val="none" w:sz="0" w:space="0" w:color="auto"/>
                    <w:bottom w:val="none" w:sz="0" w:space="0" w:color="auto"/>
                    <w:right w:val="none" w:sz="0" w:space="0" w:color="auto"/>
                  </w:divBdr>
                </w:div>
                <w:div w:id="1267731153">
                  <w:marLeft w:val="0"/>
                  <w:marRight w:val="0"/>
                  <w:marTop w:val="0"/>
                  <w:marBottom w:val="0"/>
                  <w:divBdr>
                    <w:top w:val="none" w:sz="0" w:space="0" w:color="auto"/>
                    <w:left w:val="none" w:sz="0" w:space="0" w:color="auto"/>
                    <w:bottom w:val="none" w:sz="0" w:space="0" w:color="auto"/>
                    <w:right w:val="none" w:sz="0" w:space="0" w:color="auto"/>
                  </w:divBdr>
                </w:div>
                <w:div w:id="76368495">
                  <w:marLeft w:val="0"/>
                  <w:marRight w:val="0"/>
                  <w:marTop w:val="0"/>
                  <w:marBottom w:val="0"/>
                  <w:divBdr>
                    <w:top w:val="none" w:sz="0" w:space="0" w:color="auto"/>
                    <w:left w:val="none" w:sz="0" w:space="0" w:color="auto"/>
                    <w:bottom w:val="none" w:sz="0" w:space="0" w:color="auto"/>
                    <w:right w:val="none" w:sz="0" w:space="0" w:color="auto"/>
                  </w:divBdr>
                </w:div>
                <w:div w:id="843209176">
                  <w:marLeft w:val="0"/>
                  <w:marRight w:val="0"/>
                  <w:marTop w:val="0"/>
                  <w:marBottom w:val="0"/>
                  <w:divBdr>
                    <w:top w:val="none" w:sz="0" w:space="0" w:color="auto"/>
                    <w:left w:val="none" w:sz="0" w:space="0" w:color="auto"/>
                    <w:bottom w:val="none" w:sz="0" w:space="0" w:color="auto"/>
                    <w:right w:val="none" w:sz="0" w:space="0" w:color="auto"/>
                  </w:divBdr>
                </w:div>
                <w:div w:id="1368945698">
                  <w:marLeft w:val="0"/>
                  <w:marRight w:val="0"/>
                  <w:marTop w:val="0"/>
                  <w:marBottom w:val="0"/>
                  <w:divBdr>
                    <w:top w:val="none" w:sz="0" w:space="0" w:color="auto"/>
                    <w:left w:val="none" w:sz="0" w:space="0" w:color="auto"/>
                    <w:bottom w:val="none" w:sz="0" w:space="0" w:color="auto"/>
                    <w:right w:val="none" w:sz="0" w:space="0" w:color="auto"/>
                  </w:divBdr>
                </w:div>
                <w:div w:id="17694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image" Target="media/image2.jpeg"/><Relationship Id="rId26" Type="http://schemas.openxmlformats.org/officeDocument/2006/relationships/hyperlink" Target="https://doi.org/10.1177/2374373519869153" TargetMode="External"/><Relationship Id="rId39" Type="http://schemas.openxmlformats.org/officeDocument/2006/relationships/hyperlink" Target="https://patientsafetyj.com/index.php/patientsaf/issue/view/September-2019" TargetMode="External"/><Relationship Id="rId21" Type="http://schemas.openxmlformats.org/officeDocument/2006/relationships/hyperlink" Target="https://doi.org/10.1136/bmj.l4944" TargetMode="External"/><Relationship Id="rId34" Type="http://schemas.openxmlformats.org/officeDocument/2006/relationships/hyperlink" Target="https://www.safetyandquality.gov.au/our-work/medication-safety" TargetMode="External"/><Relationship Id="rId42" Type="http://schemas.openxmlformats.org/officeDocument/2006/relationships/hyperlink" Target="https://www.nice.org.uk/guidance/ng87" TargetMode="External"/><Relationship Id="rId47" Type="http://schemas.openxmlformats.org/officeDocument/2006/relationships/hyperlink" Target="https://www.nice.org.uk/advice/ktt3" TargetMode="External"/><Relationship Id="rId50" Type="http://schemas.openxmlformats.org/officeDocument/2006/relationships/hyperlink" Target="https://www.nice.org.uk/advice/ktt7" TargetMode="External"/><Relationship Id="rId55" Type="http://schemas.openxmlformats.org/officeDocument/2006/relationships/hyperlink" Target="https://www.nice.org.uk/advice/ktt17"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our-work/partnering-consumers/person-centred-care" TargetMode="External"/><Relationship Id="rId20" Type="http://schemas.openxmlformats.org/officeDocument/2006/relationships/hyperlink" Target="https://doi.org/10.1016/S0140-6736(19)32080-X" TargetMode="External"/><Relationship Id="rId29" Type="http://schemas.openxmlformats.org/officeDocument/2006/relationships/hyperlink" Target="https://www.safetyandquality.gov.au/our-work/end-life-care" TargetMode="External"/><Relationship Id="rId41" Type="http://schemas.openxmlformats.org/officeDocument/2006/relationships/hyperlink" Target="https://www.nice.org.uk/guidance" TargetMode="External"/><Relationship Id="rId54" Type="http://schemas.openxmlformats.org/officeDocument/2006/relationships/hyperlink" Target="https://www.nice.org.uk/advice/ktt16" TargetMode="External"/><Relationship Id="rId62" Type="http://schemas.openxmlformats.org/officeDocument/2006/relationships/hyperlink" Target="https://www.nice.org.uk/advice/ktt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cognitive-impairment" TargetMode="External"/><Relationship Id="rId32" Type="http://schemas.openxmlformats.org/officeDocument/2006/relationships/image" Target="media/image6.jpeg"/><Relationship Id="rId37" Type="http://schemas.openxmlformats.org/officeDocument/2006/relationships/image" Target="media/image7.jpeg"/><Relationship Id="rId40" Type="http://schemas.openxmlformats.org/officeDocument/2006/relationships/hyperlink" Target="https://qualitysafety.bmj.com/content/early/recent" TargetMode="External"/><Relationship Id="rId45" Type="http://schemas.openxmlformats.org/officeDocument/2006/relationships/hyperlink" Target="https://www.nice.org.uk/guidance/qs17" TargetMode="External"/><Relationship Id="rId53" Type="http://schemas.openxmlformats.org/officeDocument/2006/relationships/hyperlink" Target="https://www.nice.org.uk/advice/ktt14" TargetMode="External"/><Relationship Id="rId58" Type="http://schemas.openxmlformats.org/officeDocument/2006/relationships/hyperlink" Target="https://www.nice.org.uk/advice/ktt2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berylinstitute.org/general/custom.asp?page=PXBENCHMARKING" TargetMode="External"/><Relationship Id="rId23" Type="http://schemas.openxmlformats.org/officeDocument/2006/relationships/hyperlink" Target="https://doi.org/10.1111/ajag.12712" TargetMode="External"/><Relationship Id="rId28" Type="http://schemas.openxmlformats.org/officeDocument/2006/relationships/hyperlink" Target="https://www.safetyandquality.gov.au/our-work/partnering-consumers/shared-decision-making" TargetMode="External"/><Relationship Id="rId36" Type="http://schemas.openxmlformats.org/officeDocument/2006/relationships/hyperlink" Target="https://doi.org/10.1177/0141076819848114" TargetMode="External"/><Relationship Id="rId49" Type="http://schemas.openxmlformats.org/officeDocument/2006/relationships/hyperlink" Target="https://www.nice.org.uk/advice/ktt6" TargetMode="External"/><Relationship Id="rId57" Type="http://schemas.openxmlformats.org/officeDocument/2006/relationships/hyperlink" Target="https://www.nice.org.uk/advice/ktt19" TargetMode="External"/><Relationship Id="rId61" Type="http://schemas.openxmlformats.org/officeDocument/2006/relationships/hyperlink" Target="https://www.nice.org.uk/advice/ktt23"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16/S0140-6736(19)32134-8" TargetMode="External"/><Relationship Id="rId31" Type="http://schemas.openxmlformats.org/officeDocument/2006/relationships/image" Target="media/image5.jpeg"/><Relationship Id="rId44" Type="http://schemas.openxmlformats.org/officeDocument/2006/relationships/hyperlink" Target="https://www.nice.org.uk/guidance/ng139" TargetMode="External"/><Relationship Id="rId52" Type="http://schemas.openxmlformats.org/officeDocument/2006/relationships/hyperlink" Target="https://www.nice.org.uk/advice/ktt12" TargetMode="External"/><Relationship Id="rId60" Type="http://schemas.openxmlformats.org/officeDocument/2006/relationships/hyperlink" Target="https://www.nice.org.uk/advice/ktt22"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image" Target="media/image3.jpeg"/><Relationship Id="rId27" Type="http://schemas.openxmlformats.org/officeDocument/2006/relationships/image" Target="media/image4.gif"/><Relationship Id="rId30" Type="http://schemas.openxmlformats.org/officeDocument/2006/relationships/hyperlink" Target="https://doi.org/10.1177/2374373518793411" TargetMode="External"/><Relationship Id="rId35" Type="http://schemas.openxmlformats.org/officeDocument/2006/relationships/hyperlink" Target="http://doi.org/10.7759/cureus.4877" TargetMode="External"/><Relationship Id="rId43" Type="http://schemas.openxmlformats.org/officeDocument/2006/relationships/hyperlink" Target="https://www.nice.org.uk/guidance/ng138" TargetMode="External"/><Relationship Id="rId48" Type="http://schemas.openxmlformats.org/officeDocument/2006/relationships/hyperlink" Target="https://www.nice.org.uk/advice/ktt5" TargetMode="External"/><Relationship Id="rId56" Type="http://schemas.openxmlformats.org/officeDocument/2006/relationships/hyperlink" Target="https://www.nice.org.uk/advice/ktt18" TargetMode="External"/><Relationship Id="rId64"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nice.org.uk/advice/ktt9"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gov.uk/government/publications/phe-strategy-2020-to-2025" TargetMode="External"/><Relationship Id="rId25" Type="http://schemas.openxmlformats.org/officeDocument/2006/relationships/hyperlink" Target="https://www.safetyandquality.gov.au/our-work/medication-safety" TargetMode="External"/><Relationship Id="rId33" Type="http://schemas.openxmlformats.org/officeDocument/2006/relationships/hyperlink" Target="http://dx.doi.org/10.1136/bmjqs-2019-010018" TargetMode="External"/><Relationship Id="rId38" Type="http://schemas.openxmlformats.org/officeDocument/2006/relationships/hyperlink" Target="https://qualitysafety.bmj.com/content/28/10" TargetMode="External"/><Relationship Id="rId46" Type="http://schemas.openxmlformats.org/officeDocument/2006/relationships/hyperlink" Target="https://www.nice.org.uk/guidance/cg176" TargetMode="External"/><Relationship Id="rId59" Type="http://schemas.openxmlformats.org/officeDocument/2006/relationships/hyperlink" Target="https://www.nice.org.uk/advice/ktt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8C151-1741-468E-B129-162F0DAA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11</Pages>
  <Words>3917</Words>
  <Characters>22332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On the Radar Issue 435</vt:lpstr>
    </vt:vector>
  </TitlesOfParts>
  <Company>ACSQHC</Company>
  <LinksUpToDate>false</LinksUpToDate>
  <CharactersWithSpaces>26197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435</dc:title>
  <dc:subject/>
  <dc:creator>Dr Niall Johnson</dc:creator>
  <cp:keywords/>
  <dc:description/>
  <cp:lastModifiedBy>Johnson, Niall</cp:lastModifiedBy>
  <cp:revision>17</cp:revision>
  <cp:lastPrinted>2018-03-02T02:34:00Z</cp:lastPrinted>
  <dcterms:created xsi:type="dcterms:W3CDTF">2019-09-15T21:34:00Z</dcterms:created>
  <dcterms:modified xsi:type="dcterms:W3CDTF">2019-09-20T00:55:00Z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