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652094">
        <w:rPr>
          <w:rFonts w:ascii="Garamond" w:hAnsi="Garamond"/>
          <w:lang w:val="en-AU"/>
        </w:rPr>
        <w:t>36</w:t>
      </w:r>
    </w:p>
    <w:p w:rsidR="00755242" w:rsidRDefault="006771D4" w:rsidP="00F738B5">
      <w:pPr>
        <w:rPr>
          <w:rFonts w:ascii="Garamond" w:hAnsi="Garamond"/>
          <w:lang w:val="en-AU"/>
        </w:rPr>
      </w:pPr>
      <w:r>
        <w:rPr>
          <w:rFonts w:ascii="Garamond" w:hAnsi="Garamond"/>
          <w:lang w:val="en-AU"/>
        </w:rPr>
        <w:t>3</w:t>
      </w:r>
      <w:r w:rsidR="00652094">
        <w:rPr>
          <w:rFonts w:ascii="Garamond" w:hAnsi="Garamond"/>
          <w:lang w:val="en-AU"/>
        </w:rPr>
        <w:t>0</w:t>
      </w:r>
      <w:r w:rsidR="0004028D">
        <w:rPr>
          <w:rFonts w:ascii="Garamond" w:hAnsi="Garamond"/>
          <w:lang w:val="en-AU"/>
        </w:rPr>
        <w:t xml:space="preserve"> September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5445F" w:rsidRDefault="0055445F">
      <w:pPr>
        <w:rPr>
          <w:rFonts w:ascii="Garamond" w:hAnsi="Garamond"/>
          <w:b/>
          <w:lang w:val="en-AU"/>
        </w:rPr>
      </w:pPr>
    </w:p>
    <w:p w:rsidR="00D83013" w:rsidRDefault="00D83013">
      <w:pPr>
        <w:rPr>
          <w:rFonts w:ascii="Garamond" w:hAnsi="Garamond"/>
          <w:b/>
          <w:lang w:val="en-AU"/>
        </w:rPr>
      </w:pPr>
    </w:p>
    <w:p w:rsidR="00317CA5" w:rsidRDefault="00317CA5" w:rsidP="00C17C82">
      <w:pPr>
        <w:keepNext/>
        <w:ind w:left="720" w:hanging="720"/>
        <w:rPr>
          <w:rFonts w:ascii="Garamond" w:hAnsi="Garamond"/>
          <w:b/>
          <w:lang w:val="en-AU"/>
        </w:rPr>
      </w:pPr>
      <w:r>
        <w:rPr>
          <w:rFonts w:ascii="Garamond" w:hAnsi="Garamond"/>
          <w:b/>
          <w:lang w:val="en-AU"/>
        </w:rPr>
        <w:t>Books</w:t>
      </w:r>
    </w:p>
    <w:p w:rsidR="00317CA5" w:rsidRDefault="00317CA5" w:rsidP="00317CA5">
      <w:pPr>
        <w:keepNext/>
        <w:keepLines/>
        <w:autoSpaceDE w:val="0"/>
        <w:autoSpaceDN w:val="0"/>
        <w:adjustRightInd w:val="0"/>
        <w:rPr>
          <w:rFonts w:ascii="Garamond" w:hAnsi="Garamond"/>
          <w:lang w:val="en-AU"/>
        </w:rPr>
      </w:pPr>
    </w:p>
    <w:p w:rsidR="00B81C8E" w:rsidRPr="00BA7E0A" w:rsidRDefault="00BA7E0A" w:rsidP="00317CA5">
      <w:pPr>
        <w:keepNext/>
        <w:keepLines/>
        <w:autoSpaceDE w:val="0"/>
        <w:autoSpaceDN w:val="0"/>
        <w:adjustRightInd w:val="0"/>
        <w:rPr>
          <w:rFonts w:ascii="Garamond" w:hAnsi="Garamond"/>
          <w:i/>
          <w:lang w:val="en-AU"/>
        </w:rPr>
      </w:pPr>
      <w:r w:rsidRPr="00BA7E0A">
        <w:rPr>
          <w:rFonts w:ascii="Garamond" w:hAnsi="Garamond"/>
          <w:i/>
          <w:lang w:val="en-AU"/>
        </w:rPr>
        <w:t>Improving healthcare quality in Europe: Characteristics, effectiveness and implementation of different strategies</w:t>
      </w:r>
    </w:p>
    <w:p w:rsidR="00D83013" w:rsidRDefault="00FD0761" w:rsidP="00317CA5">
      <w:pPr>
        <w:keepNext/>
        <w:keepLines/>
        <w:autoSpaceDE w:val="0"/>
        <w:autoSpaceDN w:val="0"/>
        <w:adjustRightInd w:val="0"/>
        <w:rPr>
          <w:rFonts w:ascii="Garamond" w:hAnsi="Garamond"/>
          <w:lang w:val="en-AU"/>
        </w:rPr>
      </w:pPr>
      <w:r w:rsidRPr="00FD0761">
        <w:rPr>
          <w:rFonts w:ascii="Garamond" w:hAnsi="Garamond"/>
          <w:lang w:val="en-AU"/>
        </w:rPr>
        <w:t>Busse R, Klazinga N, Panteli D, Quentin W, editors.</w:t>
      </w:r>
    </w:p>
    <w:p w:rsidR="00BA7E0A" w:rsidRDefault="00FD0761" w:rsidP="00317CA5">
      <w:pPr>
        <w:keepNext/>
        <w:keepLines/>
        <w:autoSpaceDE w:val="0"/>
        <w:autoSpaceDN w:val="0"/>
        <w:adjustRightInd w:val="0"/>
        <w:rPr>
          <w:rFonts w:ascii="Garamond" w:hAnsi="Garamond"/>
          <w:lang w:val="en-AU"/>
        </w:rPr>
      </w:pPr>
      <w:r w:rsidRPr="00FD0761">
        <w:rPr>
          <w:rFonts w:ascii="Garamond" w:hAnsi="Garamond"/>
          <w:lang w:val="en-AU"/>
        </w:rPr>
        <w:t>Copenhagen: European Observatory on Health Systems and Policies; 2019.</w:t>
      </w:r>
    </w:p>
    <w:tbl>
      <w:tblPr>
        <w:tblStyle w:val="TableGrid"/>
        <w:tblW w:w="0" w:type="auto"/>
        <w:tblInd w:w="288" w:type="dxa"/>
        <w:tblLayout w:type="fixed"/>
        <w:tblLook w:val="01E0" w:firstRow="1" w:lastRow="1" w:firstColumn="1" w:lastColumn="1" w:noHBand="0" w:noVBand="0"/>
      </w:tblPr>
      <w:tblGrid>
        <w:gridCol w:w="1080"/>
        <w:gridCol w:w="8280"/>
      </w:tblGrid>
      <w:tr w:rsidR="00317CA5" w:rsidRPr="000170DA" w:rsidTr="00430060">
        <w:tc>
          <w:tcPr>
            <w:tcW w:w="1080" w:type="dxa"/>
            <w:tcBorders>
              <w:top w:val="single" w:sz="4" w:space="0" w:color="auto"/>
              <w:left w:val="single" w:sz="4" w:space="0" w:color="auto"/>
              <w:bottom w:val="single" w:sz="4" w:space="0" w:color="auto"/>
              <w:right w:val="single" w:sz="4" w:space="0" w:color="auto"/>
            </w:tcBorders>
            <w:vAlign w:val="center"/>
          </w:tcPr>
          <w:p w:rsidR="00317CA5" w:rsidRPr="000170DA" w:rsidRDefault="00BA7E0A" w:rsidP="0043006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81C8E" w:rsidRPr="000170DA" w:rsidRDefault="00DB40AF" w:rsidP="00BA7E0A">
            <w:pPr>
              <w:rPr>
                <w:rStyle w:val="Hyperlink"/>
                <w:rFonts w:ascii="Garamond" w:hAnsi="Garamond"/>
                <w:color w:val="auto"/>
                <w:u w:val="none"/>
                <w:lang w:val="en-AU"/>
              </w:rPr>
            </w:pPr>
            <w:hyperlink r:id="rId15" w:history="1">
              <w:r w:rsidR="00BA7E0A" w:rsidRPr="00DA1D8C">
                <w:rPr>
                  <w:rStyle w:val="Hyperlink"/>
                  <w:rFonts w:ascii="Garamond" w:hAnsi="Garamond"/>
                  <w:lang w:val="en-AU"/>
                </w:rPr>
                <w:t>http://www.euro.who.int/en/about-us/partners/observatory/publications/studies/improving-healthcare-quality-in-europe-characteristics,-effectiveness-and-implementation-of-different-strategies-2019</w:t>
              </w:r>
            </w:hyperlink>
          </w:p>
        </w:tc>
      </w:tr>
      <w:tr w:rsidR="00317CA5" w:rsidRPr="000170DA" w:rsidTr="00430060">
        <w:tc>
          <w:tcPr>
            <w:tcW w:w="1080" w:type="dxa"/>
            <w:tcBorders>
              <w:top w:val="single" w:sz="4" w:space="0" w:color="auto"/>
              <w:left w:val="single" w:sz="4" w:space="0" w:color="auto"/>
              <w:bottom w:val="single" w:sz="4" w:space="0" w:color="auto"/>
              <w:right w:val="single" w:sz="4" w:space="0" w:color="auto"/>
            </w:tcBorders>
            <w:vAlign w:val="center"/>
          </w:tcPr>
          <w:p w:rsidR="00317CA5" w:rsidRPr="000170DA" w:rsidRDefault="00317CA5" w:rsidP="0043006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B3163" w:rsidRDefault="00D83013" w:rsidP="00B81C8E">
            <w:pPr>
              <w:rPr>
                <w:rFonts w:ascii="Garamond" w:hAnsi="Garamond"/>
                <w:lang w:val="en-AU"/>
              </w:rPr>
            </w:pPr>
            <w:r>
              <w:rPr>
                <w:rFonts w:ascii="Garamond" w:hAnsi="Garamond"/>
                <w:lang w:val="en-AU"/>
              </w:rPr>
              <w:t xml:space="preserve">The WHO’s </w:t>
            </w:r>
            <w:r w:rsidRPr="00D83013">
              <w:rPr>
                <w:rFonts w:ascii="Garamond" w:hAnsi="Garamond"/>
                <w:lang w:val="en-AU"/>
              </w:rPr>
              <w:t>European Observatory on Health Systems and Policies</w:t>
            </w:r>
            <w:r>
              <w:rPr>
                <w:rFonts w:ascii="Garamond" w:hAnsi="Garamond"/>
                <w:lang w:val="en-AU"/>
              </w:rPr>
              <w:t xml:space="preserve"> and the OECD have published this substantial piece (400+ pages) that summarises much of the evidence on quality improvement in health care. While focusing on the situation in and across Europe this has much wider relevance. Many of the topics covered will be familiar to those active in safety and quality efforts. </w:t>
            </w:r>
          </w:p>
          <w:p w:rsidR="000B3163" w:rsidRPr="000B3163" w:rsidRDefault="000B3163" w:rsidP="000B3163">
            <w:pPr>
              <w:rPr>
                <w:rFonts w:ascii="Garamond" w:hAnsi="Garamond"/>
                <w:lang w:val="en-AU"/>
              </w:rPr>
            </w:pPr>
            <w:r>
              <w:rPr>
                <w:rFonts w:ascii="Garamond" w:hAnsi="Garamond"/>
                <w:lang w:val="en-AU"/>
              </w:rPr>
              <w:t xml:space="preserve">The reports seeks to </w:t>
            </w:r>
            <w:r w:rsidRPr="000B3163">
              <w:rPr>
                <w:rFonts w:ascii="Garamond" w:hAnsi="Garamond"/>
                <w:lang w:val="en-AU"/>
              </w:rPr>
              <w:t xml:space="preserve">provide an overall conceptual framework for understanding and applying strategies aimed at improving quality of care. </w:t>
            </w:r>
            <w:r>
              <w:rPr>
                <w:rFonts w:ascii="Garamond" w:hAnsi="Garamond"/>
                <w:lang w:val="en-AU"/>
              </w:rPr>
              <w:t>It summaris</w:t>
            </w:r>
            <w:r w:rsidRPr="000B3163">
              <w:rPr>
                <w:rFonts w:ascii="Garamond" w:hAnsi="Garamond"/>
                <w:lang w:val="en-AU"/>
              </w:rPr>
              <w:t>es evidence on different quality strategies and provides recommendations for their implementation. This book is intended to help policy-makers to understand concepts of quality and to support them to evaluate single strategies and combinations of strategies.</w:t>
            </w:r>
          </w:p>
          <w:p w:rsidR="000B3163" w:rsidRDefault="000B3163" w:rsidP="000B3163">
            <w:pPr>
              <w:rPr>
                <w:rFonts w:ascii="Garamond" w:hAnsi="Garamond"/>
                <w:lang w:val="en-AU"/>
              </w:rPr>
            </w:pPr>
            <w:r w:rsidRPr="000B3163">
              <w:rPr>
                <w:rFonts w:ascii="Garamond" w:hAnsi="Garamond"/>
                <w:lang w:val="en-AU"/>
              </w:rPr>
              <w:lastRenderedPageBreak/>
              <w:t xml:space="preserve">This </w:t>
            </w:r>
            <w:r>
              <w:rPr>
                <w:rFonts w:ascii="Garamond" w:hAnsi="Garamond"/>
                <w:lang w:val="en-AU"/>
              </w:rPr>
              <w:t xml:space="preserve">book </w:t>
            </w:r>
            <w:r w:rsidRPr="000B3163">
              <w:rPr>
                <w:rFonts w:ascii="Garamond" w:hAnsi="Garamond"/>
                <w:lang w:val="en-AU"/>
              </w:rPr>
              <w:t xml:space="preserve">elucidates the concepts behind multiple elements of quality in healthcare policy (including definitions of quality, its dimensions, related activities, and targets), quality measurement and governance and situates it all in the wider context of health systems research. </w:t>
            </w:r>
            <w:r>
              <w:rPr>
                <w:rFonts w:ascii="Garamond" w:hAnsi="Garamond"/>
                <w:lang w:val="en-AU"/>
              </w:rPr>
              <w:t xml:space="preserve">It </w:t>
            </w:r>
            <w:r w:rsidRPr="000B3163">
              <w:rPr>
                <w:rFonts w:ascii="Garamond" w:hAnsi="Garamond"/>
                <w:lang w:val="en-AU"/>
              </w:rPr>
              <w:t>is designed to help policy-makers prioritize and align different quality initiatives and to achieve a comprehensive approach to quality improvement.</w:t>
            </w:r>
          </w:p>
          <w:p w:rsidR="00D83013" w:rsidRDefault="00D83013" w:rsidP="00B81C8E">
            <w:pPr>
              <w:rPr>
                <w:rFonts w:ascii="Garamond" w:hAnsi="Garamond"/>
                <w:lang w:val="en-AU"/>
              </w:rPr>
            </w:pPr>
            <w:r>
              <w:rPr>
                <w:rFonts w:ascii="Garamond" w:hAnsi="Garamond"/>
                <w:lang w:val="en-AU"/>
              </w:rPr>
              <w:t>The volume includes the following chapters:</w:t>
            </w:r>
          </w:p>
          <w:p w:rsidR="00D83013" w:rsidRDefault="00D83013" w:rsidP="00D83013">
            <w:pPr>
              <w:pStyle w:val="ListParagraph"/>
              <w:numPr>
                <w:ilvl w:val="0"/>
                <w:numId w:val="49"/>
              </w:numPr>
              <w:rPr>
                <w:rFonts w:ascii="Garamond" w:hAnsi="Garamond"/>
                <w:lang w:val="en-AU"/>
              </w:rPr>
            </w:pPr>
            <w:r w:rsidRPr="00D83013">
              <w:rPr>
                <w:rFonts w:ascii="Garamond" w:hAnsi="Garamond"/>
                <w:lang w:val="en-AU"/>
              </w:rPr>
              <w:t xml:space="preserve">An </w:t>
            </w:r>
            <w:r w:rsidRPr="000B3163">
              <w:rPr>
                <w:rFonts w:ascii="Garamond" w:hAnsi="Garamond"/>
                <w:b/>
                <w:lang w:val="en-AU"/>
              </w:rPr>
              <w:t>introduction to healthcare quality</w:t>
            </w:r>
            <w:r w:rsidRPr="00D83013">
              <w:rPr>
                <w:rFonts w:ascii="Garamond" w:hAnsi="Garamond"/>
                <w:lang w:val="en-AU"/>
              </w:rPr>
              <w:t>: defining and explaining its role in health systems</w:t>
            </w:r>
          </w:p>
          <w:p w:rsidR="00D83013" w:rsidRPr="00D83013" w:rsidRDefault="00D83013" w:rsidP="00D83013">
            <w:pPr>
              <w:pStyle w:val="ListParagraph"/>
              <w:numPr>
                <w:ilvl w:val="0"/>
                <w:numId w:val="49"/>
              </w:numPr>
              <w:rPr>
                <w:rFonts w:ascii="Garamond" w:hAnsi="Garamond"/>
                <w:lang w:val="en-AU"/>
              </w:rPr>
            </w:pPr>
            <w:r w:rsidRPr="00D83013">
              <w:rPr>
                <w:rFonts w:ascii="Garamond" w:hAnsi="Garamond"/>
                <w:lang w:val="en-AU"/>
              </w:rPr>
              <w:t xml:space="preserve">Understanding </w:t>
            </w:r>
            <w:r w:rsidRPr="000B3163">
              <w:rPr>
                <w:rFonts w:ascii="Garamond" w:hAnsi="Garamond"/>
                <w:b/>
                <w:lang w:val="en-AU"/>
              </w:rPr>
              <w:t>healthcare quality strategies</w:t>
            </w:r>
            <w:r w:rsidRPr="00D83013">
              <w:rPr>
                <w:rFonts w:ascii="Garamond" w:hAnsi="Garamond"/>
                <w:lang w:val="en-AU"/>
              </w:rPr>
              <w:t>: a five-lens framework</w:t>
            </w:r>
          </w:p>
          <w:p w:rsidR="00D83013" w:rsidRPr="000B3163" w:rsidRDefault="00D83013" w:rsidP="00D83013">
            <w:pPr>
              <w:pStyle w:val="ListParagraph"/>
              <w:numPr>
                <w:ilvl w:val="0"/>
                <w:numId w:val="49"/>
              </w:numPr>
              <w:rPr>
                <w:rFonts w:ascii="Garamond" w:hAnsi="Garamond"/>
                <w:b/>
                <w:lang w:val="en-AU"/>
              </w:rPr>
            </w:pPr>
            <w:r w:rsidRPr="000B3163">
              <w:rPr>
                <w:rFonts w:ascii="Garamond" w:hAnsi="Garamond"/>
                <w:b/>
                <w:lang w:val="en-AU"/>
              </w:rPr>
              <w:t>Measuring healthcare</w:t>
            </w:r>
          </w:p>
          <w:p w:rsidR="00D83013" w:rsidRPr="00D83013" w:rsidRDefault="00D83013" w:rsidP="00D83013">
            <w:pPr>
              <w:pStyle w:val="ListParagraph"/>
              <w:numPr>
                <w:ilvl w:val="0"/>
                <w:numId w:val="49"/>
              </w:numPr>
              <w:rPr>
                <w:rFonts w:ascii="Garamond" w:hAnsi="Garamond"/>
                <w:lang w:val="en-AU"/>
              </w:rPr>
            </w:pPr>
            <w:r w:rsidRPr="00D83013">
              <w:rPr>
                <w:rFonts w:ascii="Garamond" w:hAnsi="Garamond"/>
                <w:lang w:val="en-AU"/>
              </w:rPr>
              <w:t xml:space="preserve">International and EU </w:t>
            </w:r>
            <w:r w:rsidRPr="000B3163">
              <w:rPr>
                <w:rFonts w:ascii="Garamond" w:hAnsi="Garamond"/>
                <w:b/>
                <w:lang w:val="en-AU"/>
              </w:rPr>
              <w:t xml:space="preserve">governance and guidance </w:t>
            </w:r>
            <w:r w:rsidRPr="00D83013">
              <w:rPr>
                <w:rFonts w:ascii="Garamond" w:hAnsi="Garamond"/>
                <w:lang w:val="en-AU"/>
              </w:rPr>
              <w:t>for national healthcare quality</w:t>
            </w:r>
          </w:p>
          <w:p w:rsidR="00D83013" w:rsidRPr="00D83013" w:rsidRDefault="00D83013" w:rsidP="00D83013">
            <w:pPr>
              <w:pStyle w:val="ListParagraph"/>
              <w:numPr>
                <w:ilvl w:val="0"/>
                <w:numId w:val="49"/>
              </w:numPr>
              <w:rPr>
                <w:rFonts w:ascii="Garamond" w:hAnsi="Garamond"/>
                <w:lang w:val="en-AU"/>
              </w:rPr>
            </w:pPr>
            <w:r w:rsidRPr="00D83013">
              <w:rPr>
                <w:rFonts w:ascii="Garamond" w:hAnsi="Garamond"/>
                <w:lang w:val="en-AU"/>
              </w:rPr>
              <w:t xml:space="preserve">Regulating the input: </w:t>
            </w:r>
            <w:r w:rsidRPr="000B3163">
              <w:rPr>
                <w:rFonts w:ascii="Garamond" w:hAnsi="Garamond"/>
                <w:b/>
                <w:lang w:val="en-AU"/>
              </w:rPr>
              <w:t>health professions</w:t>
            </w:r>
          </w:p>
          <w:p w:rsidR="00D83013" w:rsidRPr="00D83013" w:rsidRDefault="00D83013" w:rsidP="00D83013">
            <w:pPr>
              <w:pStyle w:val="ListParagraph"/>
              <w:numPr>
                <w:ilvl w:val="0"/>
                <w:numId w:val="49"/>
              </w:numPr>
              <w:rPr>
                <w:rFonts w:ascii="Garamond" w:hAnsi="Garamond"/>
                <w:lang w:val="en-AU"/>
              </w:rPr>
            </w:pPr>
            <w:r w:rsidRPr="00D83013">
              <w:rPr>
                <w:rFonts w:ascii="Garamond" w:hAnsi="Garamond"/>
                <w:lang w:val="en-AU"/>
              </w:rPr>
              <w:t>Regulatin</w:t>
            </w:r>
            <w:r w:rsidR="000B3163">
              <w:rPr>
                <w:rFonts w:ascii="Garamond" w:hAnsi="Garamond"/>
                <w:lang w:val="en-AU"/>
              </w:rPr>
              <w:t xml:space="preserve">g the input – </w:t>
            </w:r>
            <w:r w:rsidR="000B3163" w:rsidRPr="000B3163">
              <w:rPr>
                <w:rFonts w:ascii="Garamond" w:hAnsi="Garamond"/>
                <w:b/>
                <w:lang w:val="en-AU"/>
              </w:rPr>
              <w:t>Health Technology</w:t>
            </w:r>
          </w:p>
          <w:p w:rsidR="00D83013" w:rsidRPr="00D83013" w:rsidRDefault="00D83013" w:rsidP="00D83013">
            <w:pPr>
              <w:pStyle w:val="ListParagraph"/>
              <w:numPr>
                <w:ilvl w:val="0"/>
                <w:numId w:val="49"/>
              </w:numPr>
              <w:rPr>
                <w:rFonts w:ascii="Garamond" w:hAnsi="Garamond"/>
                <w:lang w:val="en-AU"/>
              </w:rPr>
            </w:pPr>
            <w:r w:rsidRPr="00D83013">
              <w:rPr>
                <w:rFonts w:ascii="Garamond" w:hAnsi="Garamond"/>
                <w:lang w:val="en-AU"/>
              </w:rPr>
              <w:t xml:space="preserve">Regulating the input – </w:t>
            </w:r>
            <w:r w:rsidRPr="000B3163">
              <w:rPr>
                <w:rFonts w:ascii="Garamond" w:hAnsi="Garamond"/>
                <w:b/>
                <w:lang w:val="en-AU"/>
              </w:rPr>
              <w:t>healthcare facilities</w:t>
            </w:r>
          </w:p>
          <w:p w:rsidR="00D83013" w:rsidRPr="00D83013" w:rsidRDefault="00D83013" w:rsidP="00D83013">
            <w:pPr>
              <w:pStyle w:val="ListParagraph"/>
              <w:numPr>
                <w:ilvl w:val="0"/>
                <w:numId w:val="49"/>
              </w:numPr>
              <w:rPr>
                <w:rFonts w:ascii="Garamond" w:hAnsi="Garamond"/>
                <w:lang w:val="en-AU"/>
              </w:rPr>
            </w:pPr>
            <w:r w:rsidRPr="00D83013">
              <w:rPr>
                <w:rFonts w:ascii="Garamond" w:hAnsi="Garamond"/>
                <w:lang w:val="en-AU"/>
              </w:rPr>
              <w:t xml:space="preserve">External institutional strategies: </w:t>
            </w:r>
            <w:r w:rsidRPr="000B3163">
              <w:rPr>
                <w:rFonts w:ascii="Garamond" w:hAnsi="Garamond"/>
                <w:b/>
                <w:lang w:val="en-AU"/>
              </w:rPr>
              <w:t>accreditation, certification, supervision</w:t>
            </w:r>
          </w:p>
          <w:p w:rsidR="00D83013" w:rsidRPr="00D83013" w:rsidRDefault="00D83013" w:rsidP="00D83013">
            <w:pPr>
              <w:pStyle w:val="ListParagraph"/>
              <w:numPr>
                <w:ilvl w:val="0"/>
                <w:numId w:val="49"/>
              </w:numPr>
              <w:rPr>
                <w:rFonts w:ascii="Garamond" w:hAnsi="Garamond"/>
                <w:lang w:val="en-AU"/>
              </w:rPr>
            </w:pPr>
            <w:r w:rsidRPr="000B3163">
              <w:rPr>
                <w:rFonts w:ascii="Garamond" w:hAnsi="Garamond"/>
                <w:b/>
                <w:lang w:val="en-AU"/>
              </w:rPr>
              <w:t>Clinical practice guidelines</w:t>
            </w:r>
            <w:r w:rsidRPr="00D83013">
              <w:rPr>
                <w:rFonts w:ascii="Garamond" w:hAnsi="Garamond"/>
                <w:lang w:val="en-AU"/>
              </w:rPr>
              <w:t xml:space="preserve"> as a quality strategy </w:t>
            </w:r>
          </w:p>
          <w:p w:rsidR="00D83013" w:rsidRPr="00D83013" w:rsidRDefault="00D83013" w:rsidP="00D83013">
            <w:pPr>
              <w:pStyle w:val="ListParagraph"/>
              <w:numPr>
                <w:ilvl w:val="0"/>
                <w:numId w:val="49"/>
              </w:numPr>
              <w:rPr>
                <w:rFonts w:ascii="Garamond" w:hAnsi="Garamond"/>
                <w:lang w:val="en-AU"/>
              </w:rPr>
            </w:pPr>
            <w:r w:rsidRPr="000B3163">
              <w:rPr>
                <w:rFonts w:ascii="Garamond" w:hAnsi="Garamond"/>
                <w:b/>
                <w:lang w:val="en-AU"/>
              </w:rPr>
              <w:t>Audit and feedback</w:t>
            </w:r>
            <w:r w:rsidRPr="00D83013">
              <w:rPr>
                <w:rFonts w:ascii="Garamond" w:hAnsi="Garamond"/>
                <w:lang w:val="en-AU"/>
              </w:rPr>
              <w:t xml:space="preserve"> as a quality strategy</w:t>
            </w:r>
          </w:p>
          <w:p w:rsidR="00D83013" w:rsidRPr="00D83013" w:rsidRDefault="00D83013" w:rsidP="00D83013">
            <w:pPr>
              <w:pStyle w:val="ListParagraph"/>
              <w:numPr>
                <w:ilvl w:val="0"/>
                <w:numId w:val="49"/>
              </w:numPr>
              <w:rPr>
                <w:rFonts w:ascii="Garamond" w:hAnsi="Garamond"/>
                <w:lang w:val="en-AU"/>
              </w:rPr>
            </w:pPr>
            <w:r w:rsidRPr="000B3163">
              <w:rPr>
                <w:rFonts w:ascii="Garamond" w:hAnsi="Garamond"/>
                <w:b/>
                <w:lang w:val="en-AU"/>
              </w:rPr>
              <w:t>Patient safety culture</w:t>
            </w:r>
            <w:r w:rsidRPr="00D83013">
              <w:rPr>
                <w:rFonts w:ascii="Garamond" w:hAnsi="Garamond"/>
                <w:lang w:val="en-AU"/>
              </w:rPr>
              <w:t xml:space="preserve"> as a quality strategy</w:t>
            </w:r>
          </w:p>
          <w:p w:rsidR="00D83013" w:rsidRPr="00D83013" w:rsidRDefault="00D83013" w:rsidP="00D83013">
            <w:pPr>
              <w:pStyle w:val="ListParagraph"/>
              <w:numPr>
                <w:ilvl w:val="0"/>
                <w:numId w:val="49"/>
              </w:numPr>
              <w:rPr>
                <w:rFonts w:ascii="Garamond" w:hAnsi="Garamond"/>
                <w:lang w:val="en-AU"/>
              </w:rPr>
            </w:pPr>
            <w:r w:rsidRPr="000B3163">
              <w:rPr>
                <w:rFonts w:ascii="Garamond" w:hAnsi="Garamond"/>
                <w:b/>
                <w:lang w:val="en-AU"/>
              </w:rPr>
              <w:t>Clinical pathways</w:t>
            </w:r>
            <w:r w:rsidRPr="00D83013">
              <w:rPr>
                <w:rFonts w:ascii="Garamond" w:hAnsi="Garamond"/>
                <w:lang w:val="en-AU"/>
              </w:rPr>
              <w:t xml:space="preserve"> as a quality strategy</w:t>
            </w:r>
          </w:p>
          <w:p w:rsidR="00D83013" w:rsidRPr="00D83013" w:rsidRDefault="00D83013" w:rsidP="00D83013">
            <w:pPr>
              <w:pStyle w:val="ListParagraph"/>
              <w:numPr>
                <w:ilvl w:val="0"/>
                <w:numId w:val="49"/>
              </w:numPr>
              <w:rPr>
                <w:rFonts w:ascii="Garamond" w:hAnsi="Garamond"/>
                <w:lang w:val="en-AU"/>
              </w:rPr>
            </w:pPr>
            <w:r w:rsidRPr="000B3163">
              <w:rPr>
                <w:rFonts w:ascii="Garamond" w:hAnsi="Garamond"/>
                <w:b/>
                <w:lang w:val="en-AU"/>
              </w:rPr>
              <w:t>Public reporting</w:t>
            </w:r>
            <w:r w:rsidRPr="00D83013">
              <w:rPr>
                <w:rFonts w:ascii="Garamond" w:hAnsi="Garamond"/>
                <w:lang w:val="en-AU"/>
              </w:rPr>
              <w:t xml:space="preserve"> as a quality strategy</w:t>
            </w:r>
          </w:p>
          <w:p w:rsidR="00D83013" w:rsidRPr="00D83013" w:rsidRDefault="00D83013" w:rsidP="00D83013">
            <w:pPr>
              <w:pStyle w:val="ListParagraph"/>
              <w:numPr>
                <w:ilvl w:val="0"/>
                <w:numId w:val="49"/>
              </w:numPr>
              <w:rPr>
                <w:rFonts w:ascii="Garamond" w:hAnsi="Garamond"/>
                <w:lang w:val="en-AU"/>
              </w:rPr>
            </w:pPr>
            <w:r w:rsidRPr="00D83013">
              <w:rPr>
                <w:rFonts w:ascii="Garamond" w:hAnsi="Garamond"/>
                <w:lang w:val="en-AU"/>
              </w:rPr>
              <w:t xml:space="preserve">Pay for Quality: using </w:t>
            </w:r>
            <w:r w:rsidRPr="000B3163">
              <w:rPr>
                <w:rFonts w:ascii="Garamond" w:hAnsi="Garamond"/>
                <w:b/>
                <w:lang w:val="en-AU"/>
              </w:rPr>
              <w:t>financial incentives to improve quality of care</w:t>
            </w:r>
          </w:p>
          <w:p w:rsidR="00D83013" w:rsidRPr="00D83013" w:rsidRDefault="00D83013" w:rsidP="00D83013">
            <w:pPr>
              <w:pStyle w:val="ListParagraph"/>
              <w:numPr>
                <w:ilvl w:val="0"/>
                <w:numId w:val="49"/>
              </w:numPr>
              <w:rPr>
                <w:rFonts w:ascii="Garamond" w:hAnsi="Garamond"/>
                <w:lang w:val="en-AU"/>
              </w:rPr>
            </w:pPr>
            <w:r w:rsidRPr="000B3163">
              <w:rPr>
                <w:rFonts w:ascii="Garamond" w:hAnsi="Garamond"/>
                <w:b/>
                <w:lang w:val="en-AU"/>
              </w:rPr>
              <w:t>Assuring and improving quality of care</w:t>
            </w:r>
            <w:r w:rsidRPr="00D83013">
              <w:rPr>
                <w:rFonts w:ascii="Garamond" w:hAnsi="Garamond"/>
                <w:lang w:val="en-AU"/>
              </w:rPr>
              <w:t xml:space="preserve"> in Europe: conclusions and recommendations.</w:t>
            </w:r>
          </w:p>
        </w:tc>
      </w:tr>
    </w:tbl>
    <w:p w:rsidR="00346A83" w:rsidRPr="00346A83" w:rsidRDefault="00346A83" w:rsidP="00C17C82">
      <w:pPr>
        <w:keepNext/>
        <w:ind w:left="720" w:hanging="720"/>
        <w:rPr>
          <w:rFonts w:ascii="Garamond" w:hAnsi="Garamond"/>
          <w:lang w:val="en-AU"/>
        </w:rPr>
      </w:pPr>
    </w:p>
    <w:p w:rsidR="00346A83" w:rsidRPr="00346A83" w:rsidRDefault="00346A83" w:rsidP="00C17C82">
      <w:pPr>
        <w:keepNext/>
        <w:ind w:left="720" w:hanging="720"/>
        <w:rPr>
          <w:rFonts w:ascii="Garamond" w:hAnsi="Garamond"/>
          <w:lang w:val="en-AU"/>
        </w:rPr>
      </w:pPr>
    </w:p>
    <w:p w:rsidR="00317CA5" w:rsidRDefault="00317CA5" w:rsidP="00C17C82">
      <w:pPr>
        <w:keepNext/>
        <w:ind w:left="720" w:hanging="720"/>
        <w:rPr>
          <w:rFonts w:ascii="Garamond" w:hAnsi="Garamond"/>
          <w:b/>
          <w:lang w:val="en-AU"/>
        </w:rPr>
      </w:pPr>
      <w:r>
        <w:rPr>
          <w:rFonts w:ascii="Garamond" w:hAnsi="Garamond"/>
          <w:b/>
          <w:lang w:val="en-AU"/>
        </w:rPr>
        <w:t>Reports</w:t>
      </w:r>
    </w:p>
    <w:p w:rsidR="00042AC4" w:rsidRDefault="00042AC4" w:rsidP="00754494">
      <w:pPr>
        <w:keepNext/>
        <w:keepLines/>
        <w:autoSpaceDE w:val="0"/>
        <w:autoSpaceDN w:val="0"/>
        <w:adjustRightInd w:val="0"/>
        <w:rPr>
          <w:rFonts w:ascii="Garamond" w:hAnsi="Garamond"/>
          <w:lang w:val="en-AU"/>
        </w:rPr>
      </w:pPr>
    </w:p>
    <w:p w:rsidR="00AE6FED" w:rsidRPr="00AE6FED" w:rsidRDefault="00AE6FED" w:rsidP="00AE6FED">
      <w:pPr>
        <w:keepNext/>
        <w:keepLines/>
        <w:autoSpaceDE w:val="0"/>
        <w:autoSpaceDN w:val="0"/>
        <w:adjustRightInd w:val="0"/>
        <w:rPr>
          <w:rFonts w:ascii="Garamond" w:hAnsi="Garamond"/>
          <w:i/>
          <w:lang w:val="en-AU"/>
        </w:rPr>
      </w:pPr>
      <w:r w:rsidRPr="00AE6FED">
        <w:rPr>
          <w:rFonts w:ascii="Garamond" w:hAnsi="Garamond"/>
          <w:i/>
          <w:lang w:val="en-AU"/>
        </w:rPr>
        <w:t>An Aboriginal Cultural Safety and Security Framework: Improving Aboriginal health outcomes through culturally safe and secure mainstream healthcare governance and practice</w:t>
      </w:r>
    </w:p>
    <w:p w:rsidR="00AE6FED" w:rsidRDefault="00AE6FED" w:rsidP="00AE6FED">
      <w:pPr>
        <w:keepNext/>
        <w:keepLines/>
        <w:autoSpaceDE w:val="0"/>
        <w:autoSpaceDN w:val="0"/>
        <w:adjustRightInd w:val="0"/>
        <w:rPr>
          <w:rFonts w:ascii="Garamond" w:hAnsi="Garamond"/>
          <w:lang w:val="en-AU"/>
        </w:rPr>
      </w:pPr>
      <w:r w:rsidRPr="00AE6FED">
        <w:rPr>
          <w:rFonts w:ascii="Garamond" w:hAnsi="Garamond"/>
          <w:lang w:val="en-AU"/>
        </w:rPr>
        <w:t>Lock MJ, Hartz D, Martin R, Ryan A, Curry R, Hart S, editors</w:t>
      </w:r>
    </w:p>
    <w:p w:rsidR="00AE6FED" w:rsidRDefault="00AE6FED" w:rsidP="00AE6FED">
      <w:pPr>
        <w:keepNext/>
        <w:keepLines/>
        <w:autoSpaceDE w:val="0"/>
        <w:autoSpaceDN w:val="0"/>
        <w:adjustRightInd w:val="0"/>
        <w:rPr>
          <w:rFonts w:ascii="Garamond" w:hAnsi="Garamond"/>
          <w:lang w:val="en-AU"/>
        </w:rPr>
      </w:pPr>
      <w:r w:rsidRPr="00AE6FED">
        <w:rPr>
          <w:rFonts w:ascii="Garamond" w:hAnsi="Garamond"/>
          <w:lang w:val="en-AU"/>
        </w:rPr>
        <w:t>Port Macquarie: Mid North Coast Local Health District</w:t>
      </w:r>
      <w:r>
        <w:rPr>
          <w:rFonts w:ascii="Garamond" w:hAnsi="Garamond"/>
          <w:lang w:val="en-AU"/>
        </w:rPr>
        <w:t xml:space="preserve"> and </w:t>
      </w:r>
      <w:r w:rsidRPr="00AE6FED">
        <w:rPr>
          <w:rFonts w:ascii="Garamond" w:hAnsi="Garamond"/>
          <w:lang w:val="en-AU"/>
        </w:rPr>
        <w:t>Mid North Coast Aboriginal Health Authority; 2019.</w:t>
      </w:r>
    </w:p>
    <w:tbl>
      <w:tblPr>
        <w:tblStyle w:val="TableGrid"/>
        <w:tblW w:w="9360" w:type="dxa"/>
        <w:tblInd w:w="288" w:type="dxa"/>
        <w:tblLayout w:type="fixed"/>
        <w:tblLook w:val="01E0" w:firstRow="1" w:lastRow="1" w:firstColumn="1" w:lastColumn="1" w:noHBand="0" w:noVBand="0"/>
      </w:tblPr>
      <w:tblGrid>
        <w:gridCol w:w="1080"/>
        <w:gridCol w:w="8280"/>
      </w:tblGrid>
      <w:tr w:rsidR="002069DE" w:rsidRPr="000170DA" w:rsidTr="00652094">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4F7B7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B356F" w:rsidRPr="000170DA" w:rsidRDefault="00DB40AF" w:rsidP="00AE6FED">
            <w:pPr>
              <w:rPr>
                <w:rStyle w:val="Hyperlink"/>
                <w:rFonts w:ascii="Garamond" w:hAnsi="Garamond"/>
                <w:color w:val="auto"/>
                <w:u w:val="none"/>
                <w:lang w:val="en-AU"/>
              </w:rPr>
            </w:pPr>
            <w:hyperlink r:id="rId16" w:history="1">
              <w:r w:rsidR="00AE6FED" w:rsidRPr="003844DE">
                <w:rPr>
                  <w:rStyle w:val="Hyperlink"/>
                  <w:rFonts w:ascii="Garamond" w:hAnsi="Garamond"/>
                  <w:lang w:val="en-AU"/>
                </w:rPr>
                <w:t>https://committix.com/projects/an-aboriginal-cultural-safety-security-framework/</w:t>
              </w:r>
            </w:hyperlink>
          </w:p>
        </w:tc>
      </w:tr>
      <w:tr w:rsidR="002069DE" w:rsidRPr="000170DA" w:rsidTr="00652094">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4F7B7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42AC4" w:rsidRPr="00652094" w:rsidRDefault="00701EFE" w:rsidP="00701EFE">
            <w:pPr>
              <w:rPr>
                <w:rFonts w:ascii="Garamond" w:hAnsi="Garamond"/>
                <w:lang w:val="en-AU"/>
              </w:rPr>
            </w:pPr>
            <w:r>
              <w:rPr>
                <w:rFonts w:ascii="Garamond" w:hAnsi="Garamond"/>
                <w:lang w:val="en-AU"/>
              </w:rPr>
              <w:t>R</w:t>
            </w:r>
            <w:r w:rsidR="003627CB" w:rsidRPr="003627CB">
              <w:rPr>
                <w:rFonts w:ascii="Garamond" w:hAnsi="Garamond"/>
                <w:lang w:val="en-AU"/>
              </w:rPr>
              <w:t xml:space="preserve">eport </w:t>
            </w:r>
            <w:r>
              <w:rPr>
                <w:rFonts w:ascii="Garamond" w:hAnsi="Garamond"/>
                <w:lang w:val="en-AU"/>
              </w:rPr>
              <w:t xml:space="preserve">describing </w:t>
            </w:r>
            <w:r w:rsidR="003627CB" w:rsidRPr="003627CB">
              <w:rPr>
                <w:rFonts w:ascii="Garamond" w:hAnsi="Garamond"/>
                <w:lang w:val="en-AU"/>
              </w:rPr>
              <w:t xml:space="preserve">the research project </w:t>
            </w:r>
            <w:r>
              <w:rPr>
                <w:rFonts w:ascii="Garamond" w:hAnsi="Garamond"/>
                <w:lang w:val="en-AU"/>
              </w:rPr>
              <w:t xml:space="preserve">that </w:t>
            </w:r>
            <w:r w:rsidR="003627CB" w:rsidRPr="003627CB">
              <w:rPr>
                <w:rFonts w:ascii="Garamond" w:hAnsi="Garamond"/>
                <w:lang w:val="en-AU"/>
              </w:rPr>
              <w:t>investigate</w:t>
            </w:r>
            <w:r>
              <w:rPr>
                <w:rFonts w:ascii="Garamond" w:hAnsi="Garamond"/>
                <w:lang w:val="en-AU"/>
              </w:rPr>
              <w:t>d</w:t>
            </w:r>
            <w:r w:rsidR="003627CB" w:rsidRPr="003627CB">
              <w:rPr>
                <w:rFonts w:ascii="Garamond" w:hAnsi="Garamond"/>
                <w:lang w:val="en-AU"/>
              </w:rPr>
              <w:t xml:space="preserve"> </w:t>
            </w:r>
            <w:r w:rsidR="003627CB" w:rsidRPr="00637CFC">
              <w:rPr>
                <w:rFonts w:ascii="Garamond" w:hAnsi="Garamond"/>
                <w:b/>
                <w:lang w:val="en-AU"/>
              </w:rPr>
              <w:t xml:space="preserve">how mainstream healthcare organisational contexts </w:t>
            </w:r>
            <w:r w:rsidRPr="00637CFC">
              <w:rPr>
                <w:rFonts w:ascii="Garamond" w:hAnsi="Garamond"/>
                <w:b/>
                <w:lang w:val="en-AU"/>
              </w:rPr>
              <w:t>may</w:t>
            </w:r>
            <w:r w:rsidR="003627CB" w:rsidRPr="00637CFC">
              <w:rPr>
                <w:rFonts w:ascii="Garamond" w:hAnsi="Garamond"/>
                <w:b/>
                <w:lang w:val="en-AU"/>
              </w:rPr>
              <w:t xml:space="preserve"> become culturally safe and secure</w:t>
            </w:r>
            <w:r w:rsidR="003627CB" w:rsidRPr="003627CB">
              <w:rPr>
                <w:rFonts w:ascii="Garamond" w:hAnsi="Garamond"/>
                <w:lang w:val="en-AU"/>
              </w:rPr>
              <w:t xml:space="preserve"> and thereby </w:t>
            </w:r>
            <w:r w:rsidR="003627CB" w:rsidRPr="00637CFC">
              <w:rPr>
                <w:rFonts w:ascii="Garamond" w:hAnsi="Garamond"/>
                <w:b/>
                <w:lang w:val="en-AU"/>
              </w:rPr>
              <w:t>lead to improved health outcomes of Aboriginal people</w:t>
            </w:r>
            <w:r w:rsidR="003627CB" w:rsidRPr="003627CB">
              <w:rPr>
                <w:rFonts w:ascii="Garamond" w:hAnsi="Garamond"/>
                <w:lang w:val="en-AU"/>
              </w:rPr>
              <w:t xml:space="preserve"> on the Mid North Coast of New South Wales.</w:t>
            </w:r>
            <w:r>
              <w:rPr>
                <w:rFonts w:ascii="Garamond" w:hAnsi="Garamond"/>
                <w:lang w:val="en-AU"/>
              </w:rPr>
              <w:t xml:space="preserve"> It is intended that the </w:t>
            </w:r>
            <w:r w:rsidRPr="00701EFE">
              <w:rPr>
                <w:rFonts w:ascii="Garamond" w:hAnsi="Garamond"/>
                <w:lang w:val="en-AU"/>
              </w:rPr>
              <w:t>Aboriginal cultural safety and security framework provides a governance map for mainstream health organisations on the journey towards Closing the Gap in Aboriginal health outcomes.</w:t>
            </w:r>
          </w:p>
        </w:tc>
      </w:tr>
    </w:tbl>
    <w:p w:rsidR="002069DE" w:rsidRDefault="002069DE" w:rsidP="002069DE">
      <w:pPr>
        <w:keepNext/>
        <w:ind w:left="720" w:hanging="720"/>
        <w:rPr>
          <w:rFonts w:ascii="Garamond" w:hAnsi="Garamond"/>
          <w:b/>
          <w:lang w:val="en-AU"/>
        </w:rPr>
      </w:pPr>
    </w:p>
    <w:p w:rsidR="00637CFC" w:rsidRPr="00BA7E0A" w:rsidRDefault="00637CFC" w:rsidP="00637CFC">
      <w:pPr>
        <w:keepNext/>
        <w:keepLines/>
        <w:autoSpaceDE w:val="0"/>
        <w:autoSpaceDN w:val="0"/>
        <w:adjustRightInd w:val="0"/>
        <w:rPr>
          <w:rFonts w:ascii="Garamond" w:hAnsi="Garamond"/>
          <w:i/>
          <w:lang w:val="en-AU"/>
        </w:rPr>
      </w:pPr>
      <w:r w:rsidRPr="00BA7E0A">
        <w:rPr>
          <w:rFonts w:ascii="Garamond" w:hAnsi="Garamond"/>
          <w:i/>
          <w:lang w:val="en-AU"/>
        </w:rPr>
        <w:t>Course Corrections: How Health Care Innovators Learn from Setbacks to Achieve Success</w:t>
      </w:r>
    </w:p>
    <w:p w:rsidR="00637CFC" w:rsidRDefault="00637CFC" w:rsidP="00637CFC">
      <w:pPr>
        <w:keepNext/>
        <w:keepLines/>
        <w:autoSpaceDE w:val="0"/>
        <w:autoSpaceDN w:val="0"/>
        <w:adjustRightInd w:val="0"/>
        <w:rPr>
          <w:rFonts w:ascii="Garamond" w:hAnsi="Garamond"/>
          <w:lang w:val="en-AU"/>
        </w:rPr>
      </w:pPr>
      <w:r w:rsidRPr="00637CFC">
        <w:rPr>
          <w:rFonts w:ascii="Garamond" w:hAnsi="Garamond"/>
          <w:lang w:val="en-AU"/>
        </w:rPr>
        <w:t>Klein S, Hostetter M, McCarthy D</w:t>
      </w:r>
    </w:p>
    <w:p w:rsidR="00637CFC" w:rsidRDefault="00637CFC" w:rsidP="00637CFC">
      <w:pPr>
        <w:keepNext/>
        <w:keepLines/>
        <w:autoSpaceDE w:val="0"/>
        <w:autoSpaceDN w:val="0"/>
        <w:adjustRightInd w:val="0"/>
        <w:rPr>
          <w:rFonts w:ascii="Garamond" w:hAnsi="Garamond"/>
          <w:lang w:val="en-AU"/>
        </w:rPr>
      </w:pPr>
      <w:r w:rsidRPr="00637CFC">
        <w:rPr>
          <w:rFonts w:ascii="Garamond" w:hAnsi="Garamond"/>
          <w:lang w:val="en-AU"/>
        </w:rPr>
        <w:t>New York: The Commonwealth Fund; 2019. p. 11.</w:t>
      </w:r>
    </w:p>
    <w:tbl>
      <w:tblPr>
        <w:tblStyle w:val="TableGrid"/>
        <w:tblW w:w="0" w:type="auto"/>
        <w:tblInd w:w="288" w:type="dxa"/>
        <w:tblLayout w:type="fixed"/>
        <w:tblLook w:val="01E0" w:firstRow="1" w:lastRow="1" w:firstColumn="1" w:lastColumn="1" w:noHBand="0" w:noVBand="0"/>
      </w:tblPr>
      <w:tblGrid>
        <w:gridCol w:w="1080"/>
        <w:gridCol w:w="8280"/>
      </w:tblGrid>
      <w:tr w:rsidR="00637CFC" w:rsidRPr="000170DA" w:rsidTr="009B5C63">
        <w:tc>
          <w:tcPr>
            <w:tcW w:w="1080" w:type="dxa"/>
            <w:tcBorders>
              <w:top w:val="single" w:sz="4" w:space="0" w:color="auto"/>
              <w:left w:val="single" w:sz="4" w:space="0" w:color="auto"/>
              <w:bottom w:val="single" w:sz="4" w:space="0" w:color="auto"/>
              <w:right w:val="single" w:sz="4" w:space="0" w:color="auto"/>
            </w:tcBorders>
            <w:vAlign w:val="center"/>
          </w:tcPr>
          <w:p w:rsidR="00637CFC" w:rsidRPr="000170DA" w:rsidRDefault="00637CFC" w:rsidP="009B5C6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37CFC" w:rsidRPr="000170DA" w:rsidRDefault="00DB40AF" w:rsidP="009B5C63">
            <w:pPr>
              <w:rPr>
                <w:rStyle w:val="Hyperlink"/>
                <w:rFonts w:ascii="Garamond" w:hAnsi="Garamond"/>
                <w:color w:val="auto"/>
                <w:u w:val="none"/>
                <w:lang w:val="en-AU"/>
              </w:rPr>
            </w:pPr>
            <w:hyperlink r:id="rId17" w:history="1">
              <w:r w:rsidR="00637CFC" w:rsidRPr="00DA1D8C">
                <w:rPr>
                  <w:rStyle w:val="Hyperlink"/>
                  <w:rFonts w:ascii="Garamond" w:hAnsi="Garamond"/>
                  <w:lang w:val="en-AU"/>
                </w:rPr>
                <w:t>https://www.commonwealthfund.org/publications/fund-reports/2019/sep/course-corrections-how-health-care-innovators-learn-from-setbacks</w:t>
              </w:r>
            </w:hyperlink>
          </w:p>
        </w:tc>
      </w:tr>
      <w:tr w:rsidR="00637CFC" w:rsidRPr="000170DA" w:rsidTr="009B5C63">
        <w:tc>
          <w:tcPr>
            <w:tcW w:w="1080" w:type="dxa"/>
            <w:tcBorders>
              <w:top w:val="single" w:sz="4" w:space="0" w:color="auto"/>
              <w:left w:val="single" w:sz="4" w:space="0" w:color="auto"/>
              <w:bottom w:val="single" w:sz="4" w:space="0" w:color="auto"/>
              <w:right w:val="single" w:sz="4" w:space="0" w:color="auto"/>
            </w:tcBorders>
            <w:vAlign w:val="center"/>
          </w:tcPr>
          <w:p w:rsidR="00637CFC" w:rsidRPr="000170DA" w:rsidRDefault="00637CFC" w:rsidP="009B5C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37CFC" w:rsidRPr="00346A83" w:rsidRDefault="00637CFC" w:rsidP="009B5C63">
            <w:pPr>
              <w:rPr>
                <w:rFonts w:ascii="Garamond" w:hAnsi="Garamond"/>
                <w:lang w:val="en-AU"/>
              </w:rPr>
            </w:pPr>
            <w:r>
              <w:rPr>
                <w:rFonts w:ascii="Garamond" w:hAnsi="Garamond"/>
                <w:lang w:val="en-AU"/>
              </w:rPr>
              <w:t xml:space="preserve">Designing and implement innovations can be difficult. Innovations can fail to take for a wide range of causes. This report from the Commonwealth Fund in the USA may not quite extol the “fail fast, fail often” mantra, but it does observe that setbacks can be important opportunities for learning, reflection and ‘course correction’ that can lead to successful implementation of innovations. In this instance, the authors are looking at the development of </w:t>
            </w:r>
            <w:r w:rsidRPr="00637CFC">
              <w:rPr>
                <w:rFonts w:ascii="Garamond" w:hAnsi="Garamond"/>
                <w:b/>
                <w:lang w:val="en-AU"/>
              </w:rPr>
              <w:t>new care models</w:t>
            </w:r>
            <w:r>
              <w:rPr>
                <w:rFonts w:ascii="Garamond" w:hAnsi="Garamond"/>
                <w:lang w:val="en-AU"/>
              </w:rPr>
              <w:t>.</w:t>
            </w:r>
          </w:p>
        </w:tc>
      </w:tr>
    </w:tbl>
    <w:p w:rsidR="002F7EE4" w:rsidRPr="00BA7E0A" w:rsidRDefault="00BA7E0A" w:rsidP="00BA7E0A">
      <w:pPr>
        <w:keepNext/>
        <w:keepLines/>
        <w:autoSpaceDE w:val="0"/>
        <w:autoSpaceDN w:val="0"/>
        <w:adjustRightInd w:val="0"/>
        <w:rPr>
          <w:rFonts w:ascii="Garamond" w:hAnsi="Garamond"/>
          <w:i/>
          <w:lang w:val="en-AU"/>
        </w:rPr>
      </w:pPr>
      <w:r w:rsidRPr="00BA7E0A">
        <w:rPr>
          <w:rFonts w:ascii="Garamond" w:hAnsi="Garamond"/>
          <w:i/>
          <w:lang w:val="en-AU"/>
        </w:rPr>
        <w:lastRenderedPageBreak/>
        <w:t>What does the next 25 years hold for global health?</w:t>
      </w:r>
    </w:p>
    <w:p w:rsidR="00637CFC" w:rsidRDefault="00637CFC" w:rsidP="00BA7E0A">
      <w:pPr>
        <w:keepNext/>
        <w:keepLines/>
        <w:autoSpaceDE w:val="0"/>
        <w:autoSpaceDN w:val="0"/>
        <w:adjustRightInd w:val="0"/>
        <w:rPr>
          <w:rFonts w:ascii="Garamond" w:hAnsi="Garamond"/>
          <w:lang w:val="en-AU"/>
        </w:rPr>
      </w:pPr>
      <w:r w:rsidRPr="00637CFC">
        <w:rPr>
          <w:rFonts w:ascii="Garamond" w:hAnsi="Garamond"/>
          <w:lang w:val="en-AU"/>
        </w:rPr>
        <w:t>Marzouk S, Choi H, and the 11th European Congress on Tropical Medicine and International Health Communications Committee</w:t>
      </w:r>
    </w:p>
    <w:p w:rsidR="00BA7E0A" w:rsidRDefault="00637CFC" w:rsidP="00BA7E0A">
      <w:pPr>
        <w:keepNext/>
        <w:keepLines/>
        <w:autoSpaceDE w:val="0"/>
        <w:autoSpaceDN w:val="0"/>
        <w:adjustRightInd w:val="0"/>
        <w:rPr>
          <w:rFonts w:ascii="Garamond" w:hAnsi="Garamond"/>
          <w:lang w:val="en-AU"/>
        </w:rPr>
      </w:pPr>
      <w:r w:rsidRPr="00637CFC">
        <w:rPr>
          <w:rFonts w:ascii="Garamond" w:hAnsi="Garamond"/>
          <w:lang w:val="en-AU"/>
        </w:rPr>
        <w:t>London: Royal Society of Tropical Medicine and Hygiene; 2019. p. 30.</w:t>
      </w:r>
    </w:p>
    <w:tbl>
      <w:tblPr>
        <w:tblStyle w:val="TableGrid"/>
        <w:tblW w:w="0" w:type="auto"/>
        <w:tblInd w:w="288" w:type="dxa"/>
        <w:tblLayout w:type="fixed"/>
        <w:tblLook w:val="01E0" w:firstRow="1" w:lastRow="1" w:firstColumn="1" w:lastColumn="1" w:noHBand="0" w:noVBand="0"/>
      </w:tblPr>
      <w:tblGrid>
        <w:gridCol w:w="1080"/>
        <w:gridCol w:w="8280"/>
      </w:tblGrid>
      <w:tr w:rsidR="00754494" w:rsidRPr="000170DA" w:rsidTr="00503CAD">
        <w:tc>
          <w:tcPr>
            <w:tcW w:w="1080" w:type="dxa"/>
            <w:tcBorders>
              <w:top w:val="single" w:sz="4" w:space="0" w:color="auto"/>
              <w:left w:val="single" w:sz="4" w:space="0" w:color="auto"/>
              <w:bottom w:val="single" w:sz="4" w:space="0" w:color="auto"/>
              <w:right w:val="single" w:sz="4" w:space="0" w:color="auto"/>
            </w:tcBorders>
            <w:vAlign w:val="center"/>
          </w:tcPr>
          <w:p w:rsidR="00754494" w:rsidRPr="000170DA" w:rsidRDefault="00754494" w:rsidP="00503CA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37CFC" w:rsidRPr="000170DA" w:rsidRDefault="00DB40AF" w:rsidP="00503CAD">
            <w:pPr>
              <w:rPr>
                <w:rStyle w:val="Hyperlink"/>
                <w:rFonts w:ascii="Garamond" w:hAnsi="Garamond"/>
                <w:color w:val="auto"/>
                <w:u w:val="none"/>
                <w:lang w:val="en-AU"/>
              </w:rPr>
            </w:pPr>
            <w:hyperlink r:id="rId18" w:history="1">
              <w:r w:rsidR="00637CFC" w:rsidRPr="00DA1D8C">
                <w:rPr>
                  <w:rStyle w:val="Hyperlink"/>
                  <w:rFonts w:ascii="Garamond" w:hAnsi="Garamond"/>
                  <w:lang w:val="en-AU"/>
                </w:rPr>
                <w:t>https://rstmh.org/sites/default/files/files/GlobalHealthReport.pdf</w:t>
              </w:r>
            </w:hyperlink>
            <w:r w:rsidR="00637CFC">
              <w:rPr>
                <w:rStyle w:val="Hyperlink"/>
                <w:rFonts w:ascii="Garamond" w:hAnsi="Garamond"/>
                <w:color w:val="auto"/>
                <w:u w:val="none"/>
                <w:lang w:val="en-AU"/>
              </w:rPr>
              <w:t xml:space="preserve"> </w:t>
            </w:r>
          </w:p>
        </w:tc>
      </w:tr>
      <w:tr w:rsidR="00754494" w:rsidRPr="000170DA" w:rsidTr="00503CAD">
        <w:tc>
          <w:tcPr>
            <w:tcW w:w="1080" w:type="dxa"/>
            <w:tcBorders>
              <w:top w:val="single" w:sz="4" w:space="0" w:color="auto"/>
              <w:left w:val="single" w:sz="4" w:space="0" w:color="auto"/>
              <w:bottom w:val="single" w:sz="4" w:space="0" w:color="auto"/>
              <w:right w:val="single" w:sz="4" w:space="0" w:color="auto"/>
            </w:tcBorders>
            <w:vAlign w:val="center"/>
          </w:tcPr>
          <w:p w:rsidR="00754494" w:rsidRPr="000170DA" w:rsidRDefault="00754494" w:rsidP="00503CA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4494" w:rsidRDefault="000B3163" w:rsidP="00637CFC">
            <w:pPr>
              <w:rPr>
                <w:rFonts w:ascii="Garamond" w:hAnsi="Garamond"/>
                <w:lang w:val="en-AU"/>
              </w:rPr>
            </w:pPr>
            <w:r>
              <w:rPr>
                <w:rFonts w:ascii="Garamond" w:hAnsi="Garamond"/>
                <w:lang w:val="en-AU"/>
              </w:rPr>
              <w:t xml:space="preserve">This report from the </w:t>
            </w:r>
            <w:r w:rsidR="00BA7E0A" w:rsidRPr="00BA7E0A">
              <w:rPr>
                <w:rFonts w:ascii="Garamond" w:hAnsi="Garamond"/>
                <w:lang w:val="en-AU"/>
              </w:rPr>
              <w:t xml:space="preserve">Royal Society of Tropical Medicine and Hygiene </w:t>
            </w:r>
            <w:r>
              <w:rPr>
                <w:rFonts w:ascii="Garamond" w:hAnsi="Garamond"/>
                <w:lang w:val="en-AU"/>
              </w:rPr>
              <w:t xml:space="preserve">in the UK documents the results of </w:t>
            </w:r>
            <w:r w:rsidR="00BA7E0A" w:rsidRPr="00BA7E0A">
              <w:rPr>
                <w:rFonts w:ascii="Garamond" w:hAnsi="Garamond"/>
                <w:lang w:val="en-AU"/>
              </w:rPr>
              <w:t>a survey of medical professionals from 79 countries</w:t>
            </w:r>
            <w:r>
              <w:rPr>
                <w:rFonts w:ascii="Garamond" w:hAnsi="Garamond"/>
                <w:lang w:val="en-AU"/>
              </w:rPr>
              <w:t xml:space="preserve">. The survey respondents </w:t>
            </w:r>
            <w:r w:rsidR="00BA7E0A" w:rsidRPr="00BA7E0A">
              <w:rPr>
                <w:rFonts w:ascii="Garamond" w:hAnsi="Garamond"/>
                <w:lang w:val="en-AU"/>
              </w:rPr>
              <w:t xml:space="preserve">identified </w:t>
            </w:r>
            <w:r w:rsidR="00BA7E0A" w:rsidRPr="000B3163">
              <w:rPr>
                <w:rFonts w:ascii="Garamond" w:hAnsi="Garamond"/>
                <w:b/>
                <w:lang w:val="en-AU"/>
              </w:rPr>
              <w:t>climate change</w:t>
            </w:r>
            <w:r>
              <w:rPr>
                <w:rFonts w:ascii="Garamond" w:hAnsi="Garamond"/>
                <w:lang w:val="en-AU"/>
              </w:rPr>
              <w:t xml:space="preserve">, </w:t>
            </w:r>
            <w:r w:rsidRPr="000B3163">
              <w:rPr>
                <w:rFonts w:ascii="Garamond" w:hAnsi="Garamond"/>
                <w:b/>
                <w:lang w:val="en-AU"/>
              </w:rPr>
              <w:t>antimicrobial resistance</w:t>
            </w:r>
            <w:r>
              <w:rPr>
                <w:rFonts w:ascii="Garamond" w:hAnsi="Garamond"/>
                <w:lang w:val="en-AU"/>
              </w:rPr>
              <w:t xml:space="preserve"> and </w:t>
            </w:r>
            <w:r w:rsidRPr="000B3163">
              <w:rPr>
                <w:rFonts w:ascii="Garamond" w:hAnsi="Garamond"/>
                <w:b/>
                <w:lang w:val="en-AU"/>
              </w:rPr>
              <w:t>emerging epidemics</w:t>
            </w:r>
            <w:r>
              <w:rPr>
                <w:rFonts w:ascii="Garamond" w:hAnsi="Garamond"/>
                <w:lang w:val="en-AU"/>
              </w:rPr>
              <w:t xml:space="preserve"> </w:t>
            </w:r>
            <w:r w:rsidR="00BA7E0A" w:rsidRPr="00BA7E0A">
              <w:rPr>
                <w:rFonts w:ascii="Garamond" w:hAnsi="Garamond"/>
                <w:lang w:val="en-AU"/>
              </w:rPr>
              <w:t>as the top global health challenges for the next 25 years.</w:t>
            </w:r>
            <w:r w:rsidR="00637CFC">
              <w:rPr>
                <w:rFonts w:ascii="Garamond" w:hAnsi="Garamond"/>
                <w:lang w:val="en-AU"/>
              </w:rPr>
              <w:t xml:space="preserve"> Other key findings include:</w:t>
            </w:r>
          </w:p>
          <w:p w:rsidR="00637CFC" w:rsidRPr="00637CFC" w:rsidRDefault="00637CFC" w:rsidP="00637CFC">
            <w:pPr>
              <w:pStyle w:val="ListParagraph"/>
              <w:numPr>
                <w:ilvl w:val="0"/>
                <w:numId w:val="50"/>
              </w:numPr>
              <w:rPr>
                <w:rFonts w:ascii="Garamond" w:hAnsi="Garamond"/>
                <w:lang w:val="en-AU"/>
              </w:rPr>
            </w:pPr>
            <w:r w:rsidRPr="00637CFC">
              <w:rPr>
                <w:rFonts w:ascii="Garamond" w:hAnsi="Garamond"/>
                <w:lang w:val="en-AU"/>
              </w:rPr>
              <w:t>92% believe governments and health bodies are not doing enough to prepare for the impact of the climate crisis on health and 87% said governments are not investing enough to tackle the big health challenges over the next 25 years</w:t>
            </w:r>
          </w:p>
          <w:p w:rsidR="00637CFC" w:rsidRPr="00637CFC" w:rsidRDefault="00637CFC" w:rsidP="00637CFC">
            <w:pPr>
              <w:pStyle w:val="ListParagraph"/>
              <w:numPr>
                <w:ilvl w:val="0"/>
                <w:numId w:val="50"/>
              </w:numPr>
              <w:rPr>
                <w:rFonts w:ascii="Garamond" w:hAnsi="Garamond"/>
                <w:lang w:val="en-AU"/>
              </w:rPr>
            </w:pPr>
            <w:r w:rsidRPr="00637CFC">
              <w:rPr>
                <w:rFonts w:ascii="Garamond" w:hAnsi="Garamond"/>
                <w:lang w:val="en-AU"/>
              </w:rPr>
              <w:t>90% said the focus on healthcare systems should be improving the quality of life, over extending life</w:t>
            </w:r>
          </w:p>
          <w:p w:rsidR="00637CFC" w:rsidRPr="00637CFC" w:rsidRDefault="00637CFC" w:rsidP="00637CFC">
            <w:pPr>
              <w:pStyle w:val="ListParagraph"/>
              <w:numPr>
                <w:ilvl w:val="0"/>
                <w:numId w:val="50"/>
              </w:numPr>
              <w:rPr>
                <w:rFonts w:ascii="Garamond" w:hAnsi="Garamond"/>
                <w:lang w:val="en-AU"/>
              </w:rPr>
            </w:pPr>
            <w:r w:rsidRPr="00637CFC">
              <w:rPr>
                <w:rFonts w:ascii="Garamond" w:hAnsi="Garamond"/>
                <w:lang w:val="en-AU"/>
              </w:rPr>
              <w:t>92% agree that misinformation and anti-science pose a dangerous threat to the future of healthcare</w:t>
            </w:r>
          </w:p>
          <w:p w:rsidR="00637CFC" w:rsidRPr="00637CFC" w:rsidRDefault="00637CFC" w:rsidP="00637CFC">
            <w:pPr>
              <w:pStyle w:val="ListParagraph"/>
              <w:numPr>
                <w:ilvl w:val="0"/>
                <w:numId w:val="50"/>
              </w:numPr>
              <w:rPr>
                <w:rFonts w:ascii="Garamond" w:hAnsi="Garamond"/>
                <w:lang w:val="en-AU"/>
              </w:rPr>
            </w:pPr>
            <w:r w:rsidRPr="00637CFC">
              <w:rPr>
                <w:rFonts w:ascii="Garamond" w:hAnsi="Garamond"/>
                <w:lang w:val="en-AU"/>
              </w:rPr>
              <w:t>Despite these issues and others, more than half (53%) are optimistic about the future of global healthcare</w:t>
            </w:r>
          </w:p>
          <w:p w:rsidR="00637CFC" w:rsidRDefault="00637CFC" w:rsidP="00637CFC">
            <w:pPr>
              <w:pStyle w:val="ListParagraph"/>
              <w:numPr>
                <w:ilvl w:val="0"/>
                <w:numId w:val="50"/>
              </w:numPr>
              <w:rPr>
                <w:rFonts w:ascii="Garamond" w:hAnsi="Garamond"/>
                <w:lang w:val="en-AU"/>
              </w:rPr>
            </w:pPr>
            <w:r w:rsidRPr="00637CFC">
              <w:rPr>
                <w:rFonts w:ascii="Garamond" w:hAnsi="Garamond"/>
                <w:lang w:val="en-AU"/>
              </w:rPr>
              <w:t>92% said technology has improved healthcare systems over the last 25 years and two thirds (65%) think it likely that a company, like Amazon, will emerge and disrupt how we deliver healthcare</w:t>
            </w:r>
            <w:r>
              <w:rPr>
                <w:rFonts w:ascii="Garamond" w:hAnsi="Garamond"/>
                <w:lang w:val="en-AU"/>
              </w:rPr>
              <w:t>.</w:t>
            </w:r>
          </w:p>
          <w:p w:rsidR="00637CFC" w:rsidRPr="00637CFC" w:rsidRDefault="00637CFC" w:rsidP="00637CFC">
            <w:pPr>
              <w:rPr>
                <w:rFonts w:ascii="Garamond" w:hAnsi="Garamond"/>
                <w:lang w:val="en-AU"/>
              </w:rPr>
            </w:pPr>
            <w:r>
              <w:rPr>
                <w:rFonts w:ascii="Garamond" w:hAnsi="Garamond"/>
                <w:noProof/>
                <w:lang w:val="en-AU" w:eastAsia="en-AU"/>
              </w:rPr>
              <w:drawing>
                <wp:inline distT="0" distB="0" distL="0" distR="0">
                  <wp:extent cx="5125085" cy="2776855"/>
                  <wp:effectExtent l="0" t="0" r="0" b="4445"/>
                  <wp:docPr id="1" name="Picture 1" descr="Climate crisis, Drug resistance, Emerging epidemics, Conflict, Urbanisation, Ageing population, Globalisation, Appropriate use of data and technology" title="The biggest challenges to global health over the next 25 year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halleng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5085" cy="2776855"/>
                          </a:xfrm>
                          <a:prstGeom prst="rect">
                            <a:avLst/>
                          </a:prstGeom>
                          <a:noFill/>
                          <a:ln>
                            <a:noFill/>
                          </a:ln>
                        </pic:spPr>
                      </pic:pic>
                    </a:graphicData>
                  </a:graphic>
                </wp:inline>
              </w:drawing>
            </w:r>
          </w:p>
        </w:tc>
      </w:tr>
    </w:tbl>
    <w:p w:rsidR="004A388F" w:rsidRDefault="004A388F">
      <w:pPr>
        <w:rPr>
          <w:rFonts w:ascii="Garamond" w:hAnsi="Garamond"/>
          <w:b/>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AC272C" w:rsidRDefault="00AC272C" w:rsidP="00AC272C">
      <w:pPr>
        <w:keepNext/>
        <w:keepLines/>
        <w:autoSpaceDE w:val="0"/>
        <w:autoSpaceDN w:val="0"/>
        <w:adjustRightInd w:val="0"/>
        <w:rPr>
          <w:rFonts w:ascii="Garamond" w:hAnsi="Garamond"/>
          <w:lang w:val="en-AU"/>
        </w:rPr>
      </w:pPr>
    </w:p>
    <w:p w:rsidR="006F1231" w:rsidRPr="00BA7E0A" w:rsidRDefault="00BA7E0A" w:rsidP="00BA7E0A">
      <w:pPr>
        <w:keepNext/>
        <w:keepLines/>
        <w:autoSpaceDE w:val="0"/>
        <w:autoSpaceDN w:val="0"/>
        <w:adjustRightInd w:val="0"/>
        <w:rPr>
          <w:rFonts w:ascii="Garamond" w:hAnsi="Garamond"/>
          <w:i/>
          <w:lang w:val="en-AU"/>
        </w:rPr>
      </w:pPr>
      <w:r w:rsidRPr="00BA7E0A">
        <w:rPr>
          <w:rFonts w:ascii="Garamond" w:hAnsi="Garamond"/>
          <w:i/>
          <w:lang w:val="en-AU"/>
        </w:rPr>
        <w:t>Short-notice (48 hours) ACCREDITATION trial in Australia: stakeholder perception of assessment thoroughness, resource requirements and workforce engagement</w:t>
      </w:r>
    </w:p>
    <w:p w:rsidR="00060E22" w:rsidRDefault="00064126" w:rsidP="00C32984">
      <w:pPr>
        <w:keepNext/>
        <w:keepLines/>
        <w:autoSpaceDE w:val="0"/>
        <w:autoSpaceDN w:val="0"/>
        <w:adjustRightInd w:val="0"/>
        <w:rPr>
          <w:rFonts w:ascii="Garamond" w:hAnsi="Garamond"/>
          <w:lang w:val="en-AU"/>
        </w:rPr>
      </w:pPr>
      <w:r w:rsidRPr="00064126">
        <w:rPr>
          <w:rFonts w:ascii="Garamond" w:hAnsi="Garamond"/>
          <w:lang w:val="en-AU"/>
        </w:rPr>
        <w:t>Uren H, Vidakovic B, Daly M, Sosnowski K, Matus V</w:t>
      </w:r>
    </w:p>
    <w:p w:rsidR="00BA7E0A" w:rsidRDefault="00064126" w:rsidP="00C32984">
      <w:pPr>
        <w:keepNext/>
        <w:keepLines/>
        <w:autoSpaceDE w:val="0"/>
        <w:autoSpaceDN w:val="0"/>
        <w:adjustRightInd w:val="0"/>
        <w:rPr>
          <w:rFonts w:ascii="Garamond" w:hAnsi="Garamond"/>
          <w:lang w:val="en-AU"/>
        </w:rPr>
      </w:pPr>
      <w:r w:rsidRPr="00064126">
        <w:rPr>
          <w:rFonts w:ascii="Garamond" w:hAnsi="Garamond"/>
          <w:lang w:val="en-AU"/>
        </w:rPr>
        <w:t>BMJ Open Quality. 2019;8(3):e000713.</w:t>
      </w:r>
    </w:p>
    <w:tbl>
      <w:tblPr>
        <w:tblStyle w:val="TableGrid"/>
        <w:tblW w:w="0" w:type="auto"/>
        <w:tblInd w:w="288" w:type="dxa"/>
        <w:tblLayout w:type="fixed"/>
        <w:tblLook w:val="01E0" w:firstRow="1" w:lastRow="1" w:firstColumn="1" w:lastColumn="1" w:noHBand="0" w:noVBand="0"/>
      </w:tblPr>
      <w:tblGrid>
        <w:gridCol w:w="1080"/>
        <w:gridCol w:w="8280"/>
      </w:tblGrid>
      <w:tr w:rsidR="00C32984" w:rsidRPr="000170DA" w:rsidTr="002D76A6">
        <w:tc>
          <w:tcPr>
            <w:tcW w:w="1080" w:type="dxa"/>
            <w:tcBorders>
              <w:top w:val="single" w:sz="4" w:space="0" w:color="auto"/>
              <w:left w:val="single" w:sz="4" w:space="0" w:color="auto"/>
              <w:bottom w:val="single" w:sz="4" w:space="0" w:color="auto"/>
              <w:right w:val="single" w:sz="4" w:space="0" w:color="auto"/>
            </w:tcBorders>
            <w:vAlign w:val="center"/>
          </w:tcPr>
          <w:p w:rsidR="00C32984" w:rsidRPr="000170DA" w:rsidRDefault="00C32984" w:rsidP="002D76A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F1231" w:rsidRPr="000170DA" w:rsidRDefault="00DB40AF" w:rsidP="006F1231">
            <w:pPr>
              <w:rPr>
                <w:rStyle w:val="Hyperlink"/>
                <w:rFonts w:ascii="Garamond" w:hAnsi="Garamond"/>
                <w:color w:val="auto"/>
                <w:u w:val="none"/>
                <w:lang w:val="en-AU"/>
              </w:rPr>
            </w:pPr>
            <w:hyperlink r:id="rId20" w:history="1">
              <w:r w:rsidR="00064126" w:rsidRPr="00DA1D8C">
                <w:rPr>
                  <w:rStyle w:val="Hyperlink"/>
                  <w:rFonts w:ascii="Garamond" w:hAnsi="Garamond"/>
                  <w:lang w:val="en-AU"/>
                </w:rPr>
                <w:t>https://doi.org/10.1136/bmjoq-2019-000713</w:t>
              </w:r>
            </w:hyperlink>
          </w:p>
        </w:tc>
      </w:tr>
      <w:tr w:rsidR="00C32984" w:rsidRPr="000170DA" w:rsidTr="002D76A6">
        <w:tc>
          <w:tcPr>
            <w:tcW w:w="1080" w:type="dxa"/>
            <w:tcBorders>
              <w:top w:val="single" w:sz="4" w:space="0" w:color="auto"/>
              <w:left w:val="single" w:sz="4" w:space="0" w:color="auto"/>
              <w:bottom w:val="single" w:sz="4" w:space="0" w:color="auto"/>
              <w:right w:val="single" w:sz="4" w:space="0" w:color="auto"/>
            </w:tcBorders>
            <w:vAlign w:val="center"/>
          </w:tcPr>
          <w:p w:rsidR="00C32984" w:rsidRPr="000170DA" w:rsidRDefault="00C32984" w:rsidP="002D76A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A388F" w:rsidRDefault="005F6BE6" w:rsidP="00064126">
            <w:pPr>
              <w:rPr>
                <w:rFonts w:ascii="Garamond" w:hAnsi="Garamond"/>
                <w:lang w:val="en-AU"/>
              </w:rPr>
            </w:pPr>
            <w:r>
              <w:rPr>
                <w:rFonts w:ascii="Garamond" w:hAnsi="Garamond"/>
                <w:lang w:val="en-AU"/>
              </w:rPr>
              <w:t xml:space="preserve">Accreditation is sometimes seen a long, trying process. This article reports on the </w:t>
            </w:r>
            <w:r w:rsidR="00064126">
              <w:rPr>
                <w:rFonts w:ascii="Garamond" w:hAnsi="Garamond"/>
                <w:lang w:val="en-AU"/>
              </w:rPr>
              <w:t xml:space="preserve">perceptions and </w:t>
            </w:r>
            <w:r>
              <w:rPr>
                <w:rFonts w:ascii="Garamond" w:hAnsi="Garamond"/>
                <w:lang w:val="en-AU"/>
              </w:rPr>
              <w:t xml:space="preserve">experiences of </w:t>
            </w:r>
            <w:r w:rsidR="00064126" w:rsidRPr="00064126">
              <w:rPr>
                <w:rFonts w:ascii="Garamond" w:hAnsi="Garamond"/>
                <w:lang w:val="en-AU"/>
              </w:rPr>
              <w:t>stakeholde</w:t>
            </w:r>
            <w:r w:rsidR="00064126">
              <w:rPr>
                <w:rFonts w:ascii="Garamond" w:hAnsi="Garamond"/>
                <w:lang w:val="en-AU"/>
              </w:rPr>
              <w:t xml:space="preserve">rs on </w:t>
            </w:r>
            <w:r w:rsidR="00064126" w:rsidRPr="00064126">
              <w:rPr>
                <w:rFonts w:ascii="Garamond" w:hAnsi="Garamond"/>
                <w:lang w:val="en-AU"/>
              </w:rPr>
              <w:t xml:space="preserve">assessment thoroughness, staff resource requirements and workforce engagement changes </w:t>
            </w:r>
            <w:r w:rsidR="00064126">
              <w:rPr>
                <w:rFonts w:ascii="Garamond" w:hAnsi="Garamond"/>
                <w:lang w:val="en-AU"/>
              </w:rPr>
              <w:t>with</w:t>
            </w:r>
            <w:r w:rsidR="00064126" w:rsidRPr="00064126">
              <w:rPr>
                <w:rFonts w:ascii="Garamond" w:hAnsi="Garamond"/>
                <w:lang w:val="en-AU"/>
              </w:rPr>
              <w:t xml:space="preserve"> only 48</w:t>
            </w:r>
            <w:r w:rsidR="00064126" w:rsidRPr="00064126">
              <w:rPr>
                <w:lang w:val="en-AU"/>
              </w:rPr>
              <w:t> </w:t>
            </w:r>
            <w:r w:rsidR="00064126" w:rsidRPr="00064126">
              <w:rPr>
                <w:rFonts w:ascii="Garamond" w:hAnsi="Garamond"/>
                <w:lang w:val="en-AU"/>
              </w:rPr>
              <w:t>hours</w:t>
            </w:r>
            <w:r w:rsidR="00064126" w:rsidRPr="00064126">
              <w:rPr>
                <w:rFonts w:ascii="Garamond" w:hAnsi="Garamond" w:cs="Garamond"/>
                <w:lang w:val="en-AU"/>
              </w:rPr>
              <w:t>’</w:t>
            </w:r>
            <w:r w:rsidR="00064126" w:rsidRPr="00064126">
              <w:rPr>
                <w:rFonts w:ascii="Garamond" w:hAnsi="Garamond"/>
                <w:lang w:val="en-AU"/>
              </w:rPr>
              <w:t xml:space="preserve"> notice given to an organisation prior to an accreditation assessment, compared with the standard-notice accreditation process.</w:t>
            </w:r>
            <w:r w:rsidR="00064126">
              <w:rPr>
                <w:rFonts w:ascii="Garamond" w:hAnsi="Garamond"/>
                <w:lang w:val="en-AU"/>
              </w:rPr>
              <w:t xml:space="preserve"> </w:t>
            </w:r>
          </w:p>
          <w:p w:rsidR="006F1231" w:rsidRPr="00652094" w:rsidRDefault="00064126" w:rsidP="00064126">
            <w:pPr>
              <w:rPr>
                <w:rFonts w:ascii="Garamond" w:hAnsi="Garamond"/>
                <w:lang w:val="en-AU"/>
              </w:rPr>
            </w:pPr>
            <w:r>
              <w:rPr>
                <w:rFonts w:ascii="Garamond" w:hAnsi="Garamond"/>
                <w:lang w:val="en-AU"/>
              </w:rPr>
              <w:lastRenderedPageBreak/>
              <w:t xml:space="preserve">Two hospitals in Queensland </w:t>
            </w:r>
            <w:r w:rsidRPr="00064126">
              <w:rPr>
                <w:rFonts w:ascii="Garamond" w:hAnsi="Garamond"/>
                <w:lang w:val="en-AU"/>
              </w:rPr>
              <w:t xml:space="preserve">trialled the ‘Short-Notice Survey Accreditation Assessment Process’ (SNAAP) </w:t>
            </w:r>
            <w:r>
              <w:rPr>
                <w:rFonts w:ascii="Garamond" w:hAnsi="Garamond"/>
                <w:lang w:val="en-AU"/>
              </w:rPr>
              <w:t xml:space="preserve">with each </w:t>
            </w:r>
            <w:r w:rsidRPr="00064126">
              <w:rPr>
                <w:rFonts w:ascii="Garamond" w:hAnsi="Garamond"/>
                <w:lang w:val="en-AU"/>
              </w:rPr>
              <w:t>organisation given just 48</w:t>
            </w:r>
            <w:r w:rsidRPr="00064126">
              <w:rPr>
                <w:lang w:val="en-AU"/>
              </w:rPr>
              <w:t> </w:t>
            </w:r>
            <w:r w:rsidRPr="00064126">
              <w:rPr>
                <w:rFonts w:ascii="Garamond" w:hAnsi="Garamond"/>
                <w:lang w:val="en-AU"/>
              </w:rPr>
              <w:t>hours</w:t>
            </w:r>
            <w:r w:rsidRPr="00064126">
              <w:rPr>
                <w:rFonts w:ascii="Garamond" w:hAnsi="Garamond" w:cs="Garamond"/>
                <w:lang w:val="en-AU"/>
              </w:rPr>
              <w:t>’</w:t>
            </w:r>
            <w:r w:rsidRPr="00064126">
              <w:rPr>
                <w:rFonts w:ascii="Garamond" w:hAnsi="Garamond"/>
                <w:lang w:val="en-AU"/>
              </w:rPr>
              <w:t xml:space="preserve"> notice prior to an accreditation assessment.</w:t>
            </w:r>
            <w:r>
              <w:rPr>
                <w:rFonts w:ascii="Garamond" w:hAnsi="Garamond"/>
                <w:lang w:val="en-AU"/>
              </w:rPr>
              <w:t xml:space="preserve"> Staff were surveyed on their views on</w:t>
            </w:r>
            <w:r w:rsidRPr="00064126">
              <w:rPr>
                <w:rFonts w:ascii="Garamond" w:hAnsi="Garamond"/>
                <w:lang w:val="en-AU"/>
              </w:rPr>
              <w:t xml:space="preserve"> the standard-notice accreditation process and short-notice process</w:t>
            </w:r>
            <w:r>
              <w:rPr>
                <w:rFonts w:ascii="Garamond" w:hAnsi="Garamond"/>
                <w:lang w:val="en-AU"/>
              </w:rPr>
              <w:t>. The results led the authors to suggest that w</w:t>
            </w:r>
            <w:r w:rsidRPr="00064126">
              <w:rPr>
                <w:rFonts w:ascii="Garamond" w:hAnsi="Garamond"/>
                <w:lang w:val="en-AU"/>
              </w:rPr>
              <w:t xml:space="preserve">ith sufficient cultural and operational preparation to move to </w:t>
            </w:r>
            <w:r>
              <w:rPr>
                <w:rFonts w:ascii="Garamond" w:hAnsi="Garamond"/>
                <w:lang w:val="en-AU"/>
              </w:rPr>
              <w:t>the short-notice process</w:t>
            </w:r>
            <w:r w:rsidRPr="00064126">
              <w:rPr>
                <w:rFonts w:ascii="Garamond" w:hAnsi="Garamond"/>
                <w:lang w:val="en-AU"/>
              </w:rPr>
              <w:t xml:space="preserve">, hospitals can potentially use </w:t>
            </w:r>
            <w:r>
              <w:rPr>
                <w:rFonts w:ascii="Garamond" w:hAnsi="Garamond"/>
                <w:lang w:val="en-AU"/>
              </w:rPr>
              <w:t xml:space="preserve">that process </w:t>
            </w:r>
            <w:r w:rsidRPr="00064126">
              <w:rPr>
                <w:rFonts w:ascii="Garamond" w:hAnsi="Garamond"/>
                <w:lang w:val="en-AU"/>
              </w:rPr>
              <w:t xml:space="preserve">as a truer validation of </w:t>
            </w:r>
            <w:r>
              <w:rPr>
                <w:rFonts w:ascii="Garamond" w:hAnsi="Garamond"/>
                <w:lang w:val="en-AU"/>
              </w:rPr>
              <w:t xml:space="preserve">quality and safety </w:t>
            </w:r>
            <w:r w:rsidRPr="00064126">
              <w:rPr>
                <w:rFonts w:ascii="Garamond" w:hAnsi="Garamond"/>
                <w:lang w:val="en-AU"/>
              </w:rPr>
              <w:t>standards, require less staffing resources to prepare for accreditation assessments and improve staff engagement in assurance and improvement.</w:t>
            </w:r>
          </w:p>
        </w:tc>
      </w:tr>
    </w:tbl>
    <w:p w:rsidR="00C32984" w:rsidRDefault="00C32984" w:rsidP="00C32984">
      <w:pPr>
        <w:keepNext/>
        <w:ind w:left="720" w:hanging="720"/>
        <w:rPr>
          <w:rFonts w:ascii="Garamond" w:hAnsi="Garamond"/>
          <w:b/>
          <w:lang w:val="en-AU"/>
        </w:rPr>
      </w:pPr>
    </w:p>
    <w:p w:rsidR="00064126" w:rsidRDefault="00064126" w:rsidP="00064126">
      <w:pPr>
        <w:keepLines/>
        <w:autoSpaceDE w:val="0"/>
        <w:autoSpaceDN w:val="0"/>
        <w:adjustRightInd w:val="0"/>
        <w:rPr>
          <w:rFonts w:ascii="Garamond" w:hAnsi="Garamond"/>
          <w:lang w:val="en-AU"/>
        </w:rPr>
      </w:pPr>
      <w:r w:rsidRPr="006C5462">
        <w:rPr>
          <w:rFonts w:ascii="Garamond" w:hAnsi="Garamond"/>
          <w:lang w:val="en-AU"/>
        </w:rPr>
        <w:t xml:space="preserve">For information on the Commission’s </w:t>
      </w:r>
      <w:r w:rsidRPr="00E22F9B">
        <w:rPr>
          <w:rFonts w:ascii="Garamond" w:hAnsi="Garamond"/>
          <w:lang w:val="en-AU"/>
        </w:rPr>
        <w:t>National Safety and Quality Health Service (NSQHS) Standards,</w:t>
      </w:r>
      <w:r>
        <w:rPr>
          <w:rFonts w:ascii="Garamond" w:hAnsi="Garamond"/>
          <w:lang w:val="en-AU"/>
        </w:rPr>
        <w:t xml:space="preserve"> </w:t>
      </w:r>
      <w:r w:rsidRPr="006C5462">
        <w:rPr>
          <w:rFonts w:ascii="Garamond" w:hAnsi="Garamond"/>
          <w:lang w:val="en-AU"/>
        </w:rPr>
        <w:t>see</w:t>
      </w:r>
      <w:r>
        <w:rPr>
          <w:rFonts w:ascii="Garamond" w:hAnsi="Garamond"/>
          <w:lang w:val="en-AU"/>
        </w:rPr>
        <w:t xml:space="preserve"> </w:t>
      </w:r>
      <w:hyperlink r:id="rId21" w:history="1">
        <w:r w:rsidRPr="0090119B">
          <w:rPr>
            <w:rStyle w:val="Hyperlink"/>
            <w:rFonts w:ascii="Garamond" w:hAnsi="Garamond"/>
            <w:lang w:val="en-AU"/>
          </w:rPr>
          <w:t>https://www.safetyandquality.gov.au/standards/nsqhs-standards</w:t>
        </w:r>
      </w:hyperlink>
    </w:p>
    <w:p w:rsidR="004A388F" w:rsidRDefault="004A388F" w:rsidP="006771D4">
      <w:pPr>
        <w:keepNext/>
        <w:rPr>
          <w:rFonts w:ascii="Garamond" w:hAnsi="Garamond"/>
          <w:i/>
          <w:lang w:val="en-AU"/>
        </w:rPr>
      </w:pPr>
    </w:p>
    <w:p w:rsidR="006771D4" w:rsidRDefault="00612D3D" w:rsidP="006771D4">
      <w:pPr>
        <w:keepNext/>
        <w:rPr>
          <w:rFonts w:ascii="Garamond" w:hAnsi="Garamond"/>
          <w:i/>
          <w:lang w:val="en-AU"/>
        </w:rPr>
      </w:pPr>
      <w:r w:rsidRPr="00612D3D">
        <w:rPr>
          <w:rFonts w:ascii="Garamond" w:hAnsi="Garamond"/>
          <w:i/>
          <w:lang w:val="en-AU"/>
        </w:rPr>
        <w:t>Public Health Research &amp; Practice</w:t>
      </w:r>
    </w:p>
    <w:p w:rsidR="00612D3D" w:rsidRPr="00612D3D" w:rsidRDefault="00612D3D" w:rsidP="006771D4">
      <w:pPr>
        <w:keepNext/>
        <w:rPr>
          <w:rFonts w:ascii="Garamond" w:hAnsi="Garamond"/>
          <w:lang w:val="en-AU"/>
        </w:rPr>
      </w:pPr>
      <w:r w:rsidRPr="00612D3D">
        <w:rPr>
          <w:rFonts w:ascii="Garamond" w:hAnsi="Garamond"/>
          <w:lang w:val="en-AU"/>
        </w:rPr>
        <w:t>September 2019, Volume 29, Issue 3</w:t>
      </w:r>
    </w:p>
    <w:tbl>
      <w:tblPr>
        <w:tblStyle w:val="TableGrid"/>
        <w:tblW w:w="9360" w:type="dxa"/>
        <w:tblInd w:w="288" w:type="dxa"/>
        <w:tblLayout w:type="fixed"/>
        <w:tblLook w:val="01E0" w:firstRow="1" w:lastRow="1" w:firstColumn="1" w:lastColumn="1" w:noHBand="0" w:noVBand="0"/>
      </w:tblPr>
      <w:tblGrid>
        <w:gridCol w:w="1080"/>
        <w:gridCol w:w="8280"/>
      </w:tblGrid>
      <w:tr w:rsidR="006771D4" w:rsidRPr="000170DA" w:rsidTr="000C587E">
        <w:tc>
          <w:tcPr>
            <w:tcW w:w="1080" w:type="dxa"/>
            <w:tcBorders>
              <w:top w:val="single" w:sz="4" w:space="0" w:color="auto"/>
              <w:left w:val="single" w:sz="4" w:space="0" w:color="auto"/>
              <w:bottom w:val="single" w:sz="4" w:space="0" w:color="auto"/>
              <w:right w:val="single" w:sz="4" w:space="0" w:color="auto"/>
            </w:tcBorders>
            <w:vAlign w:val="center"/>
          </w:tcPr>
          <w:p w:rsidR="006771D4" w:rsidRPr="000170DA" w:rsidRDefault="006771D4" w:rsidP="000C587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771D4" w:rsidRPr="000170DA" w:rsidRDefault="00DB40AF" w:rsidP="00612D3D">
            <w:pPr>
              <w:rPr>
                <w:rStyle w:val="Hyperlink"/>
                <w:rFonts w:ascii="Garamond" w:hAnsi="Garamond"/>
                <w:color w:val="auto"/>
                <w:u w:val="none"/>
                <w:lang w:val="en-AU"/>
              </w:rPr>
            </w:pPr>
            <w:hyperlink r:id="rId22" w:history="1">
              <w:r w:rsidR="00612D3D" w:rsidRPr="00DA1D8C">
                <w:rPr>
                  <w:rStyle w:val="Hyperlink"/>
                  <w:rFonts w:ascii="Garamond" w:hAnsi="Garamond"/>
                  <w:lang w:val="en-AU"/>
                </w:rPr>
                <w:t>http://www.phrp.com.au/issues/september-2019-volume-29-issue-3/</w:t>
              </w:r>
            </w:hyperlink>
          </w:p>
        </w:tc>
      </w:tr>
      <w:tr w:rsidR="006771D4" w:rsidRPr="000170DA" w:rsidTr="000C587E">
        <w:tc>
          <w:tcPr>
            <w:tcW w:w="1080" w:type="dxa"/>
            <w:tcBorders>
              <w:top w:val="single" w:sz="4" w:space="0" w:color="auto"/>
              <w:left w:val="single" w:sz="4" w:space="0" w:color="auto"/>
              <w:bottom w:val="single" w:sz="4" w:space="0" w:color="auto"/>
              <w:right w:val="single" w:sz="4" w:space="0" w:color="auto"/>
            </w:tcBorders>
            <w:vAlign w:val="center"/>
          </w:tcPr>
          <w:p w:rsidR="006771D4" w:rsidRPr="000170DA" w:rsidRDefault="006771D4" w:rsidP="000C587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771D4" w:rsidRPr="007C3778" w:rsidRDefault="006771D4" w:rsidP="000C587E">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612D3D" w:rsidRPr="00612D3D">
              <w:rPr>
                <w:rFonts w:ascii="Garamond" w:hAnsi="Garamond"/>
                <w:i/>
                <w:lang w:val="en-AU"/>
              </w:rPr>
              <w:t>Public Health Research &amp; Practice</w:t>
            </w:r>
            <w:r w:rsidR="00612D3D" w:rsidRPr="00B440ED">
              <w:rPr>
                <w:rFonts w:ascii="Garamond" w:hAnsi="Garamond"/>
                <w:lang w:val="en-AU"/>
              </w:rPr>
              <w:t xml:space="preserve"> </w:t>
            </w:r>
            <w:r w:rsidRPr="00B440ED">
              <w:rPr>
                <w:rFonts w:ascii="Garamond" w:hAnsi="Garamond"/>
                <w:lang w:val="en-AU"/>
              </w:rPr>
              <w:t>has been published</w:t>
            </w:r>
            <w:r w:rsidR="004749F1">
              <w:rPr>
                <w:rFonts w:ascii="Garamond" w:hAnsi="Garamond"/>
                <w:lang w:val="en-AU"/>
              </w:rPr>
              <w:t>, with something of a focus on “</w:t>
            </w:r>
            <w:r w:rsidR="004749F1" w:rsidRPr="004749F1">
              <w:rPr>
                <w:rFonts w:ascii="Garamond" w:hAnsi="Garamond"/>
                <w:lang w:val="en-AU"/>
              </w:rPr>
              <w:t>commercial determinants of health</w:t>
            </w:r>
            <w:r w:rsidR="004749F1">
              <w:rPr>
                <w:rFonts w:ascii="Garamond" w:hAnsi="Garamond"/>
                <w:lang w:val="en-AU"/>
              </w:rPr>
              <w:t>”</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00612D3D" w:rsidRPr="00612D3D">
              <w:rPr>
                <w:rFonts w:ascii="Garamond" w:hAnsi="Garamond"/>
                <w:i/>
                <w:lang w:val="en-AU"/>
              </w:rPr>
              <w:t>Public Health Research &amp; Practice</w:t>
            </w:r>
            <w:r w:rsidR="00612D3D" w:rsidRPr="00B440ED">
              <w:rPr>
                <w:rFonts w:ascii="Garamond" w:hAnsi="Garamond"/>
                <w:lang w:val="en-AU"/>
              </w:rPr>
              <w:t xml:space="preserve"> </w:t>
            </w:r>
            <w:r w:rsidRPr="00B440ED">
              <w:rPr>
                <w:rFonts w:ascii="Garamond" w:hAnsi="Garamond"/>
                <w:lang w:val="en-AU"/>
              </w:rPr>
              <w:t>include:</w:t>
            </w:r>
          </w:p>
          <w:p w:rsidR="00612D3D" w:rsidRPr="00612D3D" w:rsidRDefault="00612D3D" w:rsidP="00376498">
            <w:pPr>
              <w:pStyle w:val="ListParagraph"/>
              <w:numPr>
                <w:ilvl w:val="0"/>
                <w:numId w:val="15"/>
              </w:numPr>
              <w:rPr>
                <w:rFonts w:ascii="Garamond" w:hAnsi="Garamond"/>
                <w:lang w:val="en-AU"/>
              </w:rPr>
            </w:pPr>
            <w:r w:rsidRPr="00612D3D">
              <w:rPr>
                <w:rFonts w:ascii="Garamond" w:hAnsi="Garamond"/>
                <w:lang w:val="en-AU"/>
              </w:rPr>
              <w:t xml:space="preserve">Editorial: Countering the </w:t>
            </w:r>
            <w:r w:rsidRPr="00612D3D">
              <w:rPr>
                <w:rFonts w:ascii="Garamond" w:hAnsi="Garamond"/>
                <w:b/>
                <w:lang w:val="en-AU"/>
              </w:rPr>
              <w:t>commercial determinants of health</w:t>
            </w:r>
            <w:r w:rsidRPr="00612D3D">
              <w:rPr>
                <w:rFonts w:ascii="Garamond" w:hAnsi="Garamond"/>
                <w:lang w:val="en-AU"/>
              </w:rPr>
              <w:t>: strategic challenges for public health (Becky Freeman, Colin Sindall</w:t>
            </w:r>
            <w:r>
              <w:rPr>
                <w:rFonts w:ascii="Garamond" w:hAnsi="Garamond"/>
                <w:lang w:val="en-AU"/>
              </w:rPr>
              <w:t>)</w:t>
            </w:r>
          </w:p>
          <w:p w:rsidR="00612D3D" w:rsidRPr="00612D3D" w:rsidRDefault="00612D3D" w:rsidP="006B73FC">
            <w:pPr>
              <w:pStyle w:val="ListParagraph"/>
              <w:numPr>
                <w:ilvl w:val="0"/>
                <w:numId w:val="15"/>
              </w:numPr>
              <w:rPr>
                <w:rFonts w:ascii="Garamond" w:hAnsi="Garamond"/>
                <w:lang w:val="en-AU"/>
              </w:rPr>
            </w:pPr>
            <w:r w:rsidRPr="00612D3D">
              <w:rPr>
                <w:rFonts w:ascii="Garamond" w:hAnsi="Garamond"/>
                <w:lang w:val="en-AU"/>
              </w:rPr>
              <w:t xml:space="preserve">Interview with Verity Firth: </w:t>
            </w:r>
            <w:r w:rsidRPr="00612D3D">
              <w:rPr>
                <w:rFonts w:ascii="Garamond" w:hAnsi="Garamond"/>
                <w:b/>
                <w:lang w:val="en-AU"/>
              </w:rPr>
              <w:t>commercial interests and public health policy</w:t>
            </w:r>
            <w:r w:rsidRPr="00612D3D">
              <w:rPr>
                <w:rFonts w:ascii="Garamond" w:hAnsi="Garamond"/>
                <w:lang w:val="en-AU"/>
              </w:rPr>
              <w:t xml:space="preserve"> (Verity Firth, Becky Freeman</w:t>
            </w:r>
            <w:r>
              <w:rPr>
                <w:rFonts w:ascii="Garamond" w:hAnsi="Garamond"/>
                <w:lang w:val="en-AU"/>
              </w:rPr>
              <w:t>)</w:t>
            </w:r>
          </w:p>
          <w:p w:rsidR="00612D3D" w:rsidRPr="00612D3D" w:rsidRDefault="00612D3D" w:rsidP="0018739E">
            <w:pPr>
              <w:pStyle w:val="ListParagraph"/>
              <w:numPr>
                <w:ilvl w:val="0"/>
                <w:numId w:val="15"/>
              </w:numPr>
              <w:rPr>
                <w:rFonts w:ascii="Garamond" w:hAnsi="Garamond"/>
                <w:lang w:val="en-AU"/>
              </w:rPr>
            </w:pPr>
            <w:r w:rsidRPr="00612D3D">
              <w:rPr>
                <w:rFonts w:ascii="Garamond" w:hAnsi="Garamond"/>
                <w:b/>
                <w:lang w:val="en-AU"/>
              </w:rPr>
              <w:t>Public health over private wealth</w:t>
            </w:r>
            <w:r w:rsidRPr="00612D3D">
              <w:rPr>
                <w:rFonts w:ascii="Garamond" w:hAnsi="Garamond"/>
                <w:lang w:val="en-AU"/>
              </w:rPr>
              <w:t>: rebalancing public and private interests in international trade and investment agreements (Ashley Schram, Belinda Townsend, Jeremy Youde, Sharon Friel</w:t>
            </w:r>
            <w:r>
              <w:rPr>
                <w:rFonts w:ascii="Garamond" w:hAnsi="Garamond"/>
                <w:lang w:val="en-AU"/>
              </w:rPr>
              <w:t>)</w:t>
            </w:r>
          </w:p>
          <w:p w:rsidR="00612D3D" w:rsidRPr="00612D3D" w:rsidRDefault="00612D3D" w:rsidP="006C5903">
            <w:pPr>
              <w:pStyle w:val="ListParagraph"/>
              <w:numPr>
                <w:ilvl w:val="0"/>
                <w:numId w:val="15"/>
              </w:numPr>
              <w:rPr>
                <w:rFonts w:ascii="Garamond" w:hAnsi="Garamond"/>
                <w:lang w:val="en-AU"/>
              </w:rPr>
            </w:pPr>
            <w:r w:rsidRPr="00612D3D">
              <w:rPr>
                <w:rFonts w:ascii="Garamond" w:hAnsi="Garamond"/>
                <w:b/>
                <w:lang w:val="en-AU"/>
              </w:rPr>
              <w:t>Learning healthcare systems</w:t>
            </w:r>
            <w:r w:rsidRPr="00612D3D">
              <w:rPr>
                <w:rFonts w:ascii="Garamond" w:hAnsi="Garamond"/>
                <w:lang w:val="en-AU"/>
              </w:rPr>
              <w:t>: a perspective from the US (A B Bindman</w:t>
            </w:r>
            <w:r>
              <w:rPr>
                <w:rFonts w:ascii="Garamond" w:hAnsi="Garamond"/>
                <w:lang w:val="en-AU"/>
              </w:rPr>
              <w:t>)</w:t>
            </w:r>
          </w:p>
          <w:p w:rsidR="00612D3D" w:rsidRPr="00612D3D" w:rsidRDefault="00612D3D" w:rsidP="00470078">
            <w:pPr>
              <w:pStyle w:val="ListParagraph"/>
              <w:numPr>
                <w:ilvl w:val="0"/>
                <w:numId w:val="15"/>
              </w:numPr>
              <w:rPr>
                <w:rFonts w:ascii="Garamond" w:hAnsi="Garamond"/>
                <w:lang w:val="en-AU"/>
              </w:rPr>
            </w:pPr>
            <w:r w:rsidRPr="00612D3D">
              <w:rPr>
                <w:rFonts w:ascii="Garamond" w:hAnsi="Garamond"/>
                <w:lang w:val="en-AU"/>
              </w:rPr>
              <w:t xml:space="preserve">The revolving door between </w:t>
            </w:r>
            <w:r w:rsidRPr="00612D3D">
              <w:rPr>
                <w:rFonts w:ascii="Garamond" w:hAnsi="Garamond"/>
                <w:b/>
                <w:lang w:val="en-AU"/>
              </w:rPr>
              <w:t>government and the alcohol, food and gambling industries</w:t>
            </w:r>
            <w:r w:rsidRPr="00612D3D">
              <w:rPr>
                <w:rFonts w:ascii="Garamond" w:hAnsi="Garamond"/>
                <w:lang w:val="en-AU"/>
              </w:rPr>
              <w:t xml:space="preserve"> in Australia (Narelle M Robertson, G Sacks, P G Miller</w:t>
            </w:r>
            <w:r>
              <w:rPr>
                <w:rFonts w:ascii="Garamond" w:hAnsi="Garamond"/>
                <w:lang w:val="en-AU"/>
              </w:rPr>
              <w:t>)</w:t>
            </w:r>
          </w:p>
          <w:p w:rsidR="00612D3D" w:rsidRPr="00612D3D" w:rsidRDefault="00612D3D" w:rsidP="00117A91">
            <w:pPr>
              <w:pStyle w:val="ListParagraph"/>
              <w:numPr>
                <w:ilvl w:val="0"/>
                <w:numId w:val="15"/>
              </w:numPr>
              <w:rPr>
                <w:rFonts w:ascii="Garamond" w:hAnsi="Garamond"/>
                <w:lang w:val="en-AU"/>
              </w:rPr>
            </w:pPr>
            <w:r w:rsidRPr="00612D3D">
              <w:rPr>
                <w:rFonts w:ascii="Garamond" w:hAnsi="Garamond"/>
                <w:lang w:val="en-AU"/>
              </w:rPr>
              <w:t xml:space="preserve">Talking about a nanny nation: investigating the </w:t>
            </w:r>
            <w:r w:rsidRPr="00612D3D">
              <w:rPr>
                <w:rFonts w:ascii="Garamond" w:hAnsi="Garamond"/>
                <w:b/>
                <w:lang w:val="en-AU"/>
              </w:rPr>
              <w:t>rhetoric framing public health debates</w:t>
            </w:r>
            <w:r w:rsidRPr="00612D3D">
              <w:rPr>
                <w:rFonts w:ascii="Garamond" w:hAnsi="Garamond"/>
                <w:lang w:val="en-AU"/>
              </w:rPr>
              <w:t xml:space="preserve"> in Australian news media (Josephine Y Chau, James Kite, Rimante Ronto, Alexandra Bhatti, Catriona Bonfiglioli</w:t>
            </w:r>
            <w:r>
              <w:rPr>
                <w:rFonts w:ascii="Garamond" w:hAnsi="Garamond"/>
                <w:lang w:val="en-AU"/>
              </w:rPr>
              <w:t>)</w:t>
            </w:r>
          </w:p>
          <w:p w:rsidR="00612D3D" w:rsidRDefault="00612D3D" w:rsidP="00702159">
            <w:pPr>
              <w:pStyle w:val="ListParagraph"/>
              <w:numPr>
                <w:ilvl w:val="0"/>
                <w:numId w:val="15"/>
              </w:numPr>
              <w:rPr>
                <w:rFonts w:ascii="Garamond" w:hAnsi="Garamond"/>
                <w:lang w:val="en-AU"/>
              </w:rPr>
            </w:pPr>
            <w:r w:rsidRPr="00612D3D">
              <w:rPr>
                <w:rFonts w:ascii="Garamond" w:hAnsi="Garamond"/>
                <w:lang w:val="en-AU"/>
              </w:rPr>
              <w:t xml:space="preserve">Innovation in school-level dental risk assessment: an evidence based </w:t>
            </w:r>
            <w:r w:rsidRPr="00612D3D">
              <w:rPr>
                <w:rFonts w:ascii="Garamond" w:hAnsi="Garamond"/>
                <w:b/>
                <w:lang w:val="en-AU"/>
              </w:rPr>
              <w:t>Index of Dental Risk</w:t>
            </w:r>
            <w:r w:rsidRPr="00612D3D">
              <w:rPr>
                <w:rFonts w:ascii="Garamond" w:hAnsi="Garamond"/>
                <w:lang w:val="en-AU"/>
              </w:rPr>
              <w:t xml:space="preserve"> (Esther Charkey, Estie Kruger, Kate Dyson, Marc Tennant</w:t>
            </w:r>
            <w:r>
              <w:rPr>
                <w:rFonts w:ascii="Garamond" w:hAnsi="Garamond"/>
                <w:lang w:val="en-AU"/>
              </w:rPr>
              <w:t>)</w:t>
            </w:r>
          </w:p>
          <w:p w:rsidR="00612D3D" w:rsidRPr="00612D3D" w:rsidRDefault="00612D3D" w:rsidP="00F85776">
            <w:pPr>
              <w:pStyle w:val="ListParagraph"/>
              <w:numPr>
                <w:ilvl w:val="0"/>
                <w:numId w:val="15"/>
              </w:numPr>
              <w:rPr>
                <w:rFonts w:ascii="Garamond" w:hAnsi="Garamond"/>
                <w:lang w:val="en-AU"/>
              </w:rPr>
            </w:pPr>
            <w:r w:rsidRPr="00612D3D">
              <w:rPr>
                <w:rFonts w:ascii="Garamond" w:hAnsi="Garamond"/>
                <w:lang w:val="en-AU"/>
              </w:rPr>
              <w:t xml:space="preserve">Countering commercial interests: building </w:t>
            </w:r>
            <w:r w:rsidRPr="00612D3D">
              <w:rPr>
                <w:rFonts w:ascii="Garamond" w:hAnsi="Garamond"/>
                <w:b/>
                <w:lang w:val="en-AU"/>
              </w:rPr>
              <w:t>advocacy campaigns to protect children</w:t>
            </w:r>
            <w:r w:rsidRPr="00612D3D">
              <w:rPr>
                <w:rFonts w:ascii="Garamond" w:hAnsi="Garamond"/>
                <w:lang w:val="en-AU"/>
              </w:rPr>
              <w:t xml:space="preserve"> from food marketing (Wendy L Watson, Jane Martin</w:t>
            </w:r>
            <w:r>
              <w:rPr>
                <w:rFonts w:ascii="Garamond" w:hAnsi="Garamond"/>
                <w:lang w:val="en-AU"/>
              </w:rPr>
              <w:t>)</w:t>
            </w:r>
          </w:p>
          <w:p w:rsidR="00612D3D" w:rsidRPr="00612D3D" w:rsidRDefault="00612D3D" w:rsidP="00F96348">
            <w:pPr>
              <w:pStyle w:val="ListParagraph"/>
              <w:numPr>
                <w:ilvl w:val="0"/>
                <w:numId w:val="15"/>
              </w:numPr>
              <w:rPr>
                <w:rFonts w:ascii="Garamond" w:hAnsi="Garamond"/>
                <w:lang w:val="en-AU"/>
              </w:rPr>
            </w:pPr>
            <w:r w:rsidRPr="00612D3D">
              <w:rPr>
                <w:rFonts w:ascii="Garamond" w:hAnsi="Garamond"/>
                <w:lang w:val="en-AU"/>
              </w:rPr>
              <w:t xml:space="preserve">Proliferation of </w:t>
            </w:r>
            <w:r w:rsidRPr="00612D3D">
              <w:rPr>
                <w:rFonts w:ascii="Garamond" w:hAnsi="Garamond"/>
                <w:b/>
                <w:lang w:val="en-AU"/>
              </w:rPr>
              <w:t>‘healthy’ alcohol products</w:t>
            </w:r>
            <w:r w:rsidRPr="00612D3D">
              <w:rPr>
                <w:rFonts w:ascii="Garamond" w:hAnsi="Garamond"/>
                <w:lang w:val="en-AU"/>
              </w:rPr>
              <w:t xml:space="preserve"> in Australia: implications for policy (Danica Keric, Julia Stafford</w:t>
            </w:r>
            <w:r>
              <w:rPr>
                <w:rFonts w:ascii="Garamond" w:hAnsi="Garamond"/>
                <w:lang w:val="en-AU"/>
              </w:rPr>
              <w:t>)</w:t>
            </w:r>
          </w:p>
          <w:p w:rsidR="006771D4" w:rsidRPr="007C3778" w:rsidRDefault="00612D3D" w:rsidP="00612D3D">
            <w:pPr>
              <w:pStyle w:val="ListParagraph"/>
              <w:numPr>
                <w:ilvl w:val="0"/>
                <w:numId w:val="15"/>
              </w:numPr>
              <w:rPr>
                <w:rFonts w:ascii="Garamond" w:hAnsi="Garamond"/>
                <w:lang w:val="en-AU"/>
              </w:rPr>
            </w:pPr>
            <w:r w:rsidRPr="00612D3D">
              <w:rPr>
                <w:rFonts w:ascii="Garamond" w:hAnsi="Garamond"/>
                <w:lang w:val="en-AU"/>
              </w:rPr>
              <w:t xml:space="preserve">Philip Morris International’s use of Facebook to undermine </w:t>
            </w:r>
            <w:r w:rsidRPr="00612D3D">
              <w:rPr>
                <w:rFonts w:ascii="Garamond" w:hAnsi="Garamond"/>
                <w:b/>
                <w:lang w:val="en-AU"/>
              </w:rPr>
              <w:t>Australian tobacco control laws</w:t>
            </w:r>
            <w:r w:rsidRPr="00612D3D">
              <w:rPr>
                <w:rFonts w:ascii="Garamond" w:hAnsi="Garamond"/>
                <w:lang w:val="en-AU"/>
              </w:rPr>
              <w:t xml:space="preserve"> (Becky Freeman, Marita Hefler, Daniel Hunt</w:t>
            </w:r>
            <w:r>
              <w:rPr>
                <w:rFonts w:ascii="Garamond" w:hAnsi="Garamond"/>
                <w:lang w:val="en-AU"/>
              </w:rPr>
              <w:t>)</w:t>
            </w:r>
          </w:p>
        </w:tc>
      </w:tr>
    </w:tbl>
    <w:p w:rsidR="006771D4" w:rsidRDefault="006771D4" w:rsidP="006771D4">
      <w:pPr>
        <w:keepNext/>
        <w:rPr>
          <w:rFonts w:ascii="Garamond" w:hAnsi="Garamond"/>
          <w:i/>
          <w:lang w:val="en-AU"/>
        </w:rPr>
      </w:pPr>
    </w:p>
    <w:p w:rsidR="00FD0761" w:rsidRDefault="00FD0761" w:rsidP="00FD0761">
      <w:pPr>
        <w:keepNext/>
        <w:rPr>
          <w:rFonts w:ascii="Garamond" w:hAnsi="Garamond"/>
          <w:i/>
          <w:lang w:val="en-AU"/>
        </w:rPr>
      </w:pPr>
      <w:r>
        <w:rPr>
          <w:rFonts w:ascii="Garamond" w:hAnsi="Garamond"/>
          <w:i/>
          <w:lang w:val="en-AU"/>
        </w:rPr>
        <w:t>Healthcare Quarterly</w:t>
      </w:r>
    </w:p>
    <w:p w:rsidR="00FD0761" w:rsidRPr="00BA7E0A" w:rsidRDefault="00FD0761" w:rsidP="00FD0761">
      <w:pPr>
        <w:keepNext/>
        <w:rPr>
          <w:rFonts w:ascii="Garamond" w:hAnsi="Garamond"/>
          <w:lang w:val="en-AU"/>
        </w:rPr>
      </w:pPr>
      <w:r>
        <w:rPr>
          <w:rFonts w:ascii="Garamond" w:hAnsi="Garamond"/>
          <w:lang w:val="en-AU"/>
        </w:rPr>
        <w:t>Vol. 22 No. 2, 2019</w:t>
      </w:r>
    </w:p>
    <w:tbl>
      <w:tblPr>
        <w:tblStyle w:val="TableGrid"/>
        <w:tblW w:w="9360" w:type="dxa"/>
        <w:tblInd w:w="288" w:type="dxa"/>
        <w:tblLayout w:type="fixed"/>
        <w:tblLook w:val="01E0" w:firstRow="1" w:lastRow="1" w:firstColumn="1" w:lastColumn="1" w:noHBand="0" w:noVBand="0"/>
      </w:tblPr>
      <w:tblGrid>
        <w:gridCol w:w="1080"/>
        <w:gridCol w:w="8280"/>
      </w:tblGrid>
      <w:tr w:rsidR="00FD0761" w:rsidRPr="000170DA" w:rsidTr="009B5C63">
        <w:tc>
          <w:tcPr>
            <w:tcW w:w="1080" w:type="dxa"/>
            <w:tcBorders>
              <w:top w:val="single" w:sz="4" w:space="0" w:color="auto"/>
              <w:left w:val="single" w:sz="4" w:space="0" w:color="auto"/>
              <w:bottom w:val="single" w:sz="4" w:space="0" w:color="auto"/>
              <w:right w:val="single" w:sz="4" w:space="0" w:color="auto"/>
            </w:tcBorders>
            <w:vAlign w:val="center"/>
          </w:tcPr>
          <w:p w:rsidR="00FD0761" w:rsidRPr="000170DA" w:rsidRDefault="00FD0761" w:rsidP="009B5C6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D0761" w:rsidRPr="000170DA" w:rsidRDefault="00DB40AF" w:rsidP="009B5C63">
            <w:pPr>
              <w:rPr>
                <w:rStyle w:val="Hyperlink"/>
                <w:rFonts w:ascii="Garamond" w:hAnsi="Garamond"/>
                <w:color w:val="auto"/>
                <w:u w:val="none"/>
                <w:lang w:val="en-AU"/>
              </w:rPr>
            </w:pPr>
            <w:hyperlink r:id="rId23" w:history="1">
              <w:r w:rsidR="00FD0761" w:rsidRPr="00DA1D8C">
                <w:rPr>
                  <w:rStyle w:val="Hyperlink"/>
                  <w:rFonts w:ascii="Garamond" w:hAnsi="Garamond"/>
                  <w:lang w:val="en-AU"/>
                </w:rPr>
                <w:t>https://www.longwoods.com/publications/healthcare-quarterly/25900</w:t>
              </w:r>
            </w:hyperlink>
          </w:p>
        </w:tc>
      </w:tr>
      <w:tr w:rsidR="00FD0761" w:rsidRPr="000170DA" w:rsidTr="009B5C63">
        <w:tc>
          <w:tcPr>
            <w:tcW w:w="1080" w:type="dxa"/>
            <w:tcBorders>
              <w:top w:val="single" w:sz="4" w:space="0" w:color="auto"/>
              <w:left w:val="single" w:sz="4" w:space="0" w:color="auto"/>
              <w:bottom w:val="single" w:sz="4" w:space="0" w:color="auto"/>
              <w:right w:val="single" w:sz="4" w:space="0" w:color="auto"/>
            </w:tcBorders>
            <w:vAlign w:val="center"/>
          </w:tcPr>
          <w:p w:rsidR="00FD0761" w:rsidRPr="000170DA" w:rsidRDefault="00FD0761" w:rsidP="009B5C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D0761" w:rsidRPr="007C3778" w:rsidRDefault="00FD0761" w:rsidP="009B5C63">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i/>
                <w:lang w:val="en-AU"/>
              </w:rPr>
              <w:t>Healthcare Quarterly</w:t>
            </w:r>
            <w:r w:rsidRPr="00B440ED">
              <w:rPr>
                <w:rFonts w:ascii="Garamond" w:hAnsi="Garamond"/>
                <w:lang w:val="en-AU"/>
              </w:rPr>
              <w:t xml:space="preserve"> 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Healthcare Quarterly</w:t>
            </w:r>
            <w:r w:rsidRPr="00B440ED">
              <w:rPr>
                <w:rFonts w:ascii="Garamond" w:hAnsi="Garamond"/>
                <w:lang w:val="en-AU"/>
              </w:rPr>
              <w:t xml:space="preserve"> include:</w:t>
            </w:r>
          </w:p>
          <w:p w:rsidR="00FD0761" w:rsidRPr="004749F1" w:rsidRDefault="00FD0761" w:rsidP="009B5C63">
            <w:pPr>
              <w:pStyle w:val="ListParagraph"/>
              <w:numPr>
                <w:ilvl w:val="0"/>
                <w:numId w:val="15"/>
              </w:numPr>
              <w:rPr>
                <w:rFonts w:ascii="Garamond" w:hAnsi="Garamond"/>
                <w:lang w:val="en-AU"/>
              </w:rPr>
            </w:pPr>
            <w:r w:rsidRPr="004749F1">
              <w:rPr>
                <w:rFonts w:ascii="Garamond" w:hAnsi="Garamond"/>
                <w:lang w:val="en-AU"/>
              </w:rPr>
              <w:t xml:space="preserve">Rural and Urban Differences in the </w:t>
            </w:r>
            <w:r w:rsidRPr="004749F1">
              <w:rPr>
                <w:rFonts w:ascii="Garamond" w:hAnsi="Garamond"/>
                <w:b/>
                <w:lang w:val="en-AU"/>
              </w:rPr>
              <w:t>Risk of Inflammatory Bowel Disease</w:t>
            </w:r>
            <w:r w:rsidRPr="004749F1">
              <w:rPr>
                <w:rFonts w:ascii="Garamond" w:hAnsi="Garamond"/>
                <w:lang w:val="en-AU"/>
              </w:rPr>
              <w:t xml:space="preserve"> and Subsequent Health Services Utilization in Ontario (M. Ellen Kuenzig, Geoffrey C. Nguyen and Eric I. Benchimol</w:t>
            </w:r>
            <w:r>
              <w:rPr>
                <w:rFonts w:ascii="Garamond" w:hAnsi="Garamond"/>
                <w:lang w:val="en-AU"/>
              </w:rPr>
              <w:t>)</w:t>
            </w:r>
          </w:p>
          <w:p w:rsidR="00FD0761" w:rsidRPr="004749F1" w:rsidRDefault="00FD0761" w:rsidP="009B5C63">
            <w:pPr>
              <w:pStyle w:val="ListParagraph"/>
              <w:numPr>
                <w:ilvl w:val="0"/>
                <w:numId w:val="15"/>
              </w:numPr>
              <w:rPr>
                <w:rFonts w:ascii="Garamond" w:hAnsi="Garamond"/>
                <w:lang w:val="en-AU"/>
              </w:rPr>
            </w:pPr>
            <w:r w:rsidRPr="004749F1">
              <w:rPr>
                <w:rFonts w:ascii="Garamond" w:hAnsi="Garamond"/>
                <w:lang w:val="en-AU"/>
              </w:rPr>
              <w:t xml:space="preserve">Types of </w:t>
            </w:r>
            <w:r w:rsidRPr="004749F1">
              <w:rPr>
                <w:rFonts w:ascii="Garamond" w:hAnsi="Garamond"/>
                <w:b/>
                <w:lang w:val="en-AU"/>
              </w:rPr>
              <w:t>Opioid Harms in Canadian Hospitals</w:t>
            </w:r>
            <w:r w:rsidRPr="004749F1">
              <w:rPr>
                <w:rFonts w:ascii="Garamond" w:hAnsi="Garamond"/>
                <w:lang w:val="en-AU"/>
              </w:rPr>
              <w:t>: Comparing Canada and Australia (Jennifer Frood and Geoff Paltser</w:t>
            </w:r>
            <w:r>
              <w:rPr>
                <w:rFonts w:ascii="Garamond" w:hAnsi="Garamond"/>
                <w:lang w:val="en-AU"/>
              </w:rPr>
              <w:t>)</w:t>
            </w:r>
          </w:p>
          <w:p w:rsidR="00FD0761" w:rsidRPr="004749F1" w:rsidRDefault="00FD0761" w:rsidP="009B5C63">
            <w:pPr>
              <w:pStyle w:val="ListParagraph"/>
              <w:numPr>
                <w:ilvl w:val="0"/>
                <w:numId w:val="15"/>
              </w:numPr>
              <w:rPr>
                <w:rFonts w:ascii="Garamond" w:hAnsi="Garamond"/>
                <w:lang w:val="en-AU"/>
              </w:rPr>
            </w:pPr>
            <w:r w:rsidRPr="004749F1">
              <w:rPr>
                <w:rFonts w:ascii="Garamond" w:hAnsi="Garamond"/>
                <w:lang w:val="en-AU"/>
              </w:rPr>
              <w:lastRenderedPageBreak/>
              <w:t>Cutting Through the Ice … (P. G. Forest</w:t>
            </w:r>
            <w:r>
              <w:rPr>
                <w:rFonts w:ascii="Garamond" w:hAnsi="Garamond"/>
                <w:lang w:val="en-AU"/>
              </w:rPr>
              <w:t>)</w:t>
            </w:r>
          </w:p>
          <w:p w:rsidR="00FD0761" w:rsidRPr="004749F1" w:rsidRDefault="00FD0761" w:rsidP="009B5C63">
            <w:pPr>
              <w:pStyle w:val="ListParagraph"/>
              <w:numPr>
                <w:ilvl w:val="0"/>
                <w:numId w:val="15"/>
              </w:numPr>
              <w:rPr>
                <w:rFonts w:ascii="Garamond" w:hAnsi="Garamond"/>
                <w:lang w:val="en-AU"/>
              </w:rPr>
            </w:pPr>
            <w:r w:rsidRPr="004749F1">
              <w:rPr>
                <w:rFonts w:ascii="Garamond" w:hAnsi="Garamond"/>
                <w:lang w:val="en-AU"/>
              </w:rPr>
              <w:t xml:space="preserve">Medicare’s Evolution: </w:t>
            </w:r>
            <w:r w:rsidRPr="004749F1">
              <w:rPr>
                <w:rFonts w:ascii="Garamond" w:hAnsi="Garamond"/>
                <w:b/>
                <w:lang w:val="en-AU"/>
              </w:rPr>
              <w:t>National Pharmacare and Shared Leadership</w:t>
            </w:r>
            <w:r w:rsidRPr="004749F1">
              <w:rPr>
                <w:rFonts w:ascii="Garamond" w:hAnsi="Garamond"/>
                <w:lang w:val="en-AU"/>
              </w:rPr>
              <w:t xml:space="preserve"> (Joanna Nemis-White, Emily Torr, John Aylen, Amédé Gogovor, Lesli Martin, Jonathan Mitchell, Nicole</w:t>
            </w:r>
            <w:r>
              <w:rPr>
                <w:rFonts w:ascii="Garamond" w:hAnsi="Garamond"/>
                <w:lang w:val="en-AU"/>
              </w:rPr>
              <w:t xml:space="preserve"> </w:t>
            </w:r>
            <w:r w:rsidRPr="004749F1">
              <w:rPr>
                <w:rFonts w:ascii="Garamond" w:hAnsi="Garamond"/>
                <w:lang w:val="en-AU"/>
              </w:rPr>
              <w:t>MacPherson and Terrence Montague</w:t>
            </w:r>
            <w:r>
              <w:rPr>
                <w:rFonts w:ascii="Garamond" w:hAnsi="Garamond"/>
                <w:lang w:val="en-AU"/>
              </w:rPr>
              <w:t>)</w:t>
            </w:r>
          </w:p>
          <w:p w:rsidR="00FD0761" w:rsidRDefault="00FD0761" w:rsidP="009B5C63">
            <w:pPr>
              <w:pStyle w:val="ListParagraph"/>
              <w:numPr>
                <w:ilvl w:val="0"/>
                <w:numId w:val="15"/>
              </w:numPr>
              <w:rPr>
                <w:rFonts w:ascii="Garamond" w:hAnsi="Garamond"/>
                <w:lang w:val="en-AU"/>
              </w:rPr>
            </w:pPr>
            <w:r w:rsidRPr="004749F1">
              <w:rPr>
                <w:rFonts w:ascii="Garamond" w:hAnsi="Garamond"/>
                <w:b/>
                <w:lang w:val="en-AU"/>
              </w:rPr>
              <w:t>Non-Adherence to Prescribed Therapies</w:t>
            </w:r>
            <w:r w:rsidRPr="004749F1">
              <w:rPr>
                <w:rFonts w:ascii="Garamond" w:hAnsi="Garamond"/>
                <w:lang w:val="en-AU"/>
              </w:rPr>
              <w:t>: Pharmacare’s Existential Challenge (Amédé Gogovor, Joanna Nemis-White, Emily Torr, Nicole MacPherson, Lesli Martin, John Aylen, Lori-Jean Manness and T Montague</w:t>
            </w:r>
            <w:r>
              <w:rPr>
                <w:rFonts w:ascii="Garamond" w:hAnsi="Garamond"/>
                <w:lang w:val="en-AU"/>
              </w:rPr>
              <w:t>)</w:t>
            </w:r>
          </w:p>
          <w:p w:rsidR="00FD0761" w:rsidRPr="004749F1" w:rsidRDefault="00FD0761" w:rsidP="009B5C63">
            <w:pPr>
              <w:pStyle w:val="ListParagraph"/>
              <w:numPr>
                <w:ilvl w:val="0"/>
                <w:numId w:val="15"/>
              </w:numPr>
              <w:rPr>
                <w:rFonts w:ascii="Garamond" w:hAnsi="Garamond"/>
                <w:lang w:val="en-AU"/>
              </w:rPr>
            </w:pPr>
            <w:r w:rsidRPr="004749F1">
              <w:rPr>
                <w:rFonts w:ascii="Garamond" w:hAnsi="Garamond"/>
                <w:lang w:val="en-AU"/>
              </w:rPr>
              <w:t xml:space="preserve">Canada’s Evolving Medicare: </w:t>
            </w:r>
            <w:r w:rsidRPr="004749F1">
              <w:rPr>
                <w:rFonts w:ascii="Garamond" w:hAnsi="Garamond"/>
                <w:b/>
                <w:lang w:val="en-AU"/>
              </w:rPr>
              <w:t>Patient-Centred Care</w:t>
            </w:r>
            <w:r w:rsidRPr="004749F1">
              <w:rPr>
                <w:rFonts w:ascii="Garamond" w:hAnsi="Garamond"/>
                <w:lang w:val="en-AU"/>
              </w:rPr>
              <w:t xml:space="preserve"> (Terrence Montague, Joanna Nemis-White, John Aylen, Emily Torr, Lesli Martin and A Gogovor</w:t>
            </w:r>
          </w:p>
          <w:p w:rsidR="00FD0761" w:rsidRDefault="00FD0761" w:rsidP="009B5C63">
            <w:pPr>
              <w:pStyle w:val="ListParagraph"/>
              <w:numPr>
                <w:ilvl w:val="0"/>
                <w:numId w:val="15"/>
              </w:numPr>
              <w:rPr>
                <w:rFonts w:ascii="Garamond" w:hAnsi="Garamond"/>
                <w:lang w:val="en-AU"/>
              </w:rPr>
            </w:pPr>
            <w:r w:rsidRPr="004749F1">
              <w:rPr>
                <w:rFonts w:ascii="Garamond" w:hAnsi="Garamond"/>
                <w:lang w:val="en-AU"/>
              </w:rPr>
              <w:t xml:space="preserve">Informing Primary Care Changes in Alberta: </w:t>
            </w:r>
            <w:r w:rsidRPr="004749F1">
              <w:rPr>
                <w:rFonts w:ascii="Garamond" w:hAnsi="Garamond"/>
                <w:b/>
                <w:lang w:val="en-AU"/>
              </w:rPr>
              <w:t>Continuity and Potential Impacts on Acute Care</w:t>
            </w:r>
            <w:r w:rsidRPr="004749F1">
              <w:rPr>
                <w:rFonts w:ascii="Garamond" w:hAnsi="Garamond"/>
                <w:lang w:val="en-AU"/>
              </w:rPr>
              <w:t xml:space="preserve"> (Shelly Vik, Colin Weaver, Ceara Cunningham, Robin Walker, Richard Lewanczuk, Brad Bahler, Rob Skrypnek, Michelle Smekel, Linda Winfield and Judy Seidel</w:t>
            </w:r>
            <w:r>
              <w:rPr>
                <w:rFonts w:ascii="Garamond" w:hAnsi="Garamond"/>
                <w:lang w:val="en-AU"/>
              </w:rPr>
              <w:t>)</w:t>
            </w:r>
          </w:p>
          <w:p w:rsidR="00FD0761" w:rsidRDefault="00FD0761" w:rsidP="009B5C63">
            <w:pPr>
              <w:pStyle w:val="ListParagraph"/>
              <w:numPr>
                <w:ilvl w:val="0"/>
                <w:numId w:val="15"/>
              </w:numPr>
              <w:rPr>
                <w:rFonts w:ascii="Garamond" w:hAnsi="Garamond"/>
                <w:lang w:val="en-AU"/>
              </w:rPr>
            </w:pPr>
            <w:r w:rsidRPr="004749F1">
              <w:rPr>
                <w:rFonts w:ascii="Garamond" w:hAnsi="Garamond"/>
                <w:b/>
                <w:lang w:val="en-AU"/>
              </w:rPr>
              <w:t>Keeping Long-Term Care Patients Out of Hospital</w:t>
            </w:r>
            <w:r w:rsidRPr="004749F1">
              <w:rPr>
                <w:rFonts w:ascii="Garamond" w:hAnsi="Garamond"/>
                <w:lang w:val="en-AU"/>
              </w:rPr>
              <w:t xml:space="preserve"> During Acute Medical Illness: Proposal for Common Elements of an Integrated Healthcare Delivery System for Long-Term Care (Michelle N. Grinman, Tracey Human, Mary Jane Shankel, Aynsley Young, Joe Pedulla, Anita Roopani and</w:t>
            </w:r>
            <w:r>
              <w:rPr>
                <w:rFonts w:ascii="Garamond" w:hAnsi="Garamond"/>
                <w:lang w:val="en-AU"/>
              </w:rPr>
              <w:t xml:space="preserve"> </w:t>
            </w:r>
            <w:r w:rsidRPr="004749F1">
              <w:rPr>
                <w:rFonts w:ascii="Garamond" w:hAnsi="Garamond"/>
                <w:lang w:val="en-AU"/>
              </w:rPr>
              <w:t>Vivian Ewa</w:t>
            </w:r>
            <w:r>
              <w:rPr>
                <w:rFonts w:ascii="Garamond" w:hAnsi="Garamond"/>
                <w:lang w:val="en-AU"/>
              </w:rPr>
              <w:t>)</w:t>
            </w:r>
          </w:p>
          <w:p w:rsidR="00FD0761" w:rsidRPr="004749F1" w:rsidRDefault="00FD0761" w:rsidP="009B5C63">
            <w:pPr>
              <w:pStyle w:val="ListParagraph"/>
              <w:numPr>
                <w:ilvl w:val="0"/>
                <w:numId w:val="15"/>
              </w:numPr>
              <w:rPr>
                <w:rFonts w:ascii="Garamond" w:hAnsi="Garamond"/>
                <w:lang w:val="en-AU"/>
              </w:rPr>
            </w:pPr>
            <w:r w:rsidRPr="004749F1">
              <w:rPr>
                <w:rFonts w:ascii="Garamond" w:hAnsi="Garamond"/>
                <w:lang w:val="en-AU"/>
              </w:rPr>
              <w:t xml:space="preserve">Establishing Effective </w:t>
            </w:r>
            <w:r w:rsidRPr="004749F1">
              <w:rPr>
                <w:rFonts w:ascii="Garamond" w:hAnsi="Garamond"/>
                <w:b/>
                <w:lang w:val="en-AU"/>
              </w:rPr>
              <w:t>Resident and Family Councils</w:t>
            </w:r>
            <w:r w:rsidRPr="004749F1">
              <w:rPr>
                <w:rFonts w:ascii="Garamond" w:hAnsi="Garamond"/>
                <w:lang w:val="en-AU"/>
              </w:rPr>
              <w:t>: A Pilot Project to Increase Family and Resident Engagement in Alberta’s Continuing Care Sites (Jasneet Parmar, J-A Babiuk, K Classen, J Hurst, A Haq and L-A R Sacrey</w:t>
            </w:r>
            <w:r>
              <w:rPr>
                <w:rFonts w:ascii="Garamond" w:hAnsi="Garamond"/>
                <w:lang w:val="en-AU"/>
              </w:rPr>
              <w:t>)</w:t>
            </w:r>
          </w:p>
          <w:p w:rsidR="00FD0761" w:rsidRPr="004749F1" w:rsidRDefault="00FD0761" w:rsidP="009B5C63">
            <w:pPr>
              <w:pStyle w:val="ListParagraph"/>
              <w:numPr>
                <w:ilvl w:val="0"/>
                <w:numId w:val="15"/>
              </w:numPr>
              <w:rPr>
                <w:rFonts w:ascii="Garamond" w:hAnsi="Garamond"/>
                <w:lang w:val="en-AU"/>
              </w:rPr>
            </w:pPr>
            <w:r w:rsidRPr="004749F1">
              <w:rPr>
                <w:rFonts w:ascii="Garamond" w:hAnsi="Garamond"/>
                <w:lang w:val="en-AU"/>
              </w:rPr>
              <w:t>Commentary: Identifying the Underpinnings of “</w:t>
            </w:r>
            <w:r w:rsidRPr="004749F1">
              <w:rPr>
                <w:rFonts w:ascii="Garamond" w:hAnsi="Garamond"/>
                <w:b/>
                <w:lang w:val="en-AU"/>
              </w:rPr>
              <w:t>Care That Honours Seniors</w:t>
            </w:r>
            <w:r w:rsidRPr="004749F1">
              <w:rPr>
                <w:rFonts w:ascii="Garamond" w:hAnsi="Garamond"/>
                <w:lang w:val="en-AU"/>
              </w:rPr>
              <w:t>” in Alberta (Jasneet Parmar, K Classen, J-A Babiuk and L-A R Sacrey</w:t>
            </w:r>
            <w:r>
              <w:rPr>
                <w:rFonts w:ascii="Garamond" w:hAnsi="Garamond"/>
                <w:lang w:val="en-AU"/>
              </w:rPr>
              <w:t>)</w:t>
            </w:r>
          </w:p>
          <w:p w:rsidR="00FD0761" w:rsidRPr="004749F1" w:rsidRDefault="00FD0761" w:rsidP="009B5C63">
            <w:pPr>
              <w:pStyle w:val="ListParagraph"/>
              <w:numPr>
                <w:ilvl w:val="0"/>
                <w:numId w:val="15"/>
              </w:numPr>
              <w:rPr>
                <w:rFonts w:ascii="Garamond" w:hAnsi="Garamond"/>
                <w:lang w:val="en-AU"/>
              </w:rPr>
            </w:pPr>
            <w:r w:rsidRPr="004749F1">
              <w:rPr>
                <w:rFonts w:ascii="Garamond" w:hAnsi="Garamond"/>
                <w:lang w:val="en-AU"/>
              </w:rPr>
              <w:t xml:space="preserve">Overall </w:t>
            </w:r>
            <w:r w:rsidRPr="004749F1">
              <w:rPr>
                <w:rFonts w:ascii="Garamond" w:hAnsi="Garamond"/>
                <w:b/>
                <w:lang w:val="en-AU"/>
              </w:rPr>
              <w:t>Quality Performance of Long-Term Care Homes</w:t>
            </w:r>
            <w:r w:rsidRPr="004749F1">
              <w:rPr>
                <w:rFonts w:ascii="Garamond" w:hAnsi="Garamond"/>
                <w:lang w:val="en-AU"/>
              </w:rPr>
              <w:t xml:space="preserve"> in Ontario (Andrea Wilkinson, Vinita Haroun, Tommy Wong, N Cooper and M Chignell</w:t>
            </w:r>
            <w:r>
              <w:rPr>
                <w:rFonts w:ascii="Garamond" w:hAnsi="Garamond"/>
                <w:lang w:val="en-AU"/>
              </w:rPr>
              <w:t>)</w:t>
            </w:r>
          </w:p>
          <w:p w:rsidR="00FD0761" w:rsidRDefault="00FD0761" w:rsidP="009B5C63">
            <w:pPr>
              <w:pStyle w:val="ListParagraph"/>
              <w:numPr>
                <w:ilvl w:val="0"/>
                <w:numId w:val="15"/>
              </w:numPr>
              <w:rPr>
                <w:rFonts w:ascii="Garamond" w:hAnsi="Garamond"/>
                <w:lang w:val="en-AU"/>
              </w:rPr>
            </w:pPr>
            <w:r w:rsidRPr="004749F1">
              <w:rPr>
                <w:rFonts w:ascii="Garamond" w:hAnsi="Garamond"/>
                <w:b/>
                <w:lang w:val="en-AU"/>
              </w:rPr>
              <w:t>myHip&amp;Knee: Improving Patient Engagement and Self-Management</w:t>
            </w:r>
            <w:r w:rsidRPr="004749F1">
              <w:rPr>
                <w:rFonts w:ascii="Garamond" w:hAnsi="Garamond"/>
                <w:lang w:val="en-AU"/>
              </w:rPr>
              <w:t xml:space="preserve"> through Mobile Technology (Jeffery D. Gollish, Lucy Pereira, Anne Marie MacLeod, Amy Wainwright, D Kennedy, S Robarts, P Dickson and S Clark</w:t>
            </w:r>
            <w:r>
              <w:rPr>
                <w:rFonts w:ascii="Garamond" w:hAnsi="Garamond"/>
                <w:lang w:val="en-AU"/>
              </w:rPr>
              <w:t>)</w:t>
            </w:r>
          </w:p>
          <w:p w:rsidR="00FD0761" w:rsidRPr="007C3778" w:rsidRDefault="00FD0761" w:rsidP="009B5C63">
            <w:pPr>
              <w:pStyle w:val="ListParagraph"/>
              <w:numPr>
                <w:ilvl w:val="0"/>
                <w:numId w:val="15"/>
              </w:numPr>
              <w:rPr>
                <w:rFonts w:ascii="Garamond" w:hAnsi="Garamond"/>
                <w:lang w:val="en-AU"/>
              </w:rPr>
            </w:pPr>
            <w:r w:rsidRPr="004749F1">
              <w:rPr>
                <w:rFonts w:ascii="Garamond" w:hAnsi="Garamond"/>
                <w:lang w:val="en-AU"/>
              </w:rPr>
              <w:t xml:space="preserve">Spontaneous, Grassroots Initiative Brings Niagara Health’s new </w:t>
            </w:r>
            <w:r w:rsidRPr="00FD0761">
              <w:rPr>
                <w:rFonts w:ascii="Garamond" w:hAnsi="Garamond"/>
                <w:b/>
                <w:lang w:val="en-AU"/>
              </w:rPr>
              <w:t>Purpose, Vision and Values</w:t>
            </w:r>
            <w:r w:rsidRPr="004749F1">
              <w:rPr>
                <w:rFonts w:ascii="Garamond" w:hAnsi="Garamond"/>
                <w:lang w:val="en-AU"/>
              </w:rPr>
              <w:t xml:space="preserve"> to Life</w:t>
            </w:r>
            <w:r>
              <w:rPr>
                <w:rFonts w:ascii="Garamond" w:hAnsi="Garamond"/>
                <w:lang w:val="en-AU"/>
              </w:rPr>
              <w:t xml:space="preserve"> (</w:t>
            </w:r>
            <w:r w:rsidRPr="004749F1">
              <w:rPr>
                <w:rFonts w:ascii="Garamond" w:hAnsi="Garamond"/>
                <w:lang w:val="en-AU"/>
              </w:rPr>
              <w:t>Daniel Rolim, Caroline Bourque Wiley, Sarah Kerrigan, Shelby MacDonald, S Traynor, F Paladino</w:t>
            </w:r>
            <w:r w:rsidRPr="00FD0761">
              <w:rPr>
                <w:rFonts w:ascii="Garamond" w:hAnsi="Garamond"/>
                <w:lang w:val="en-AU"/>
              </w:rPr>
              <w:t>, S Johnston and J Viljoen</w:t>
            </w:r>
            <w:r>
              <w:rPr>
                <w:rFonts w:ascii="Garamond" w:hAnsi="Garamond"/>
                <w:lang w:val="en-AU"/>
              </w:rPr>
              <w:t>)</w:t>
            </w:r>
          </w:p>
        </w:tc>
      </w:tr>
    </w:tbl>
    <w:p w:rsidR="00FD0761" w:rsidRDefault="00FD0761" w:rsidP="00FD0761">
      <w:pPr>
        <w:keepNext/>
        <w:rPr>
          <w:rFonts w:ascii="Garamond" w:hAnsi="Garamond"/>
          <w:i/>
          <w:lang w:val="en-AU"/>
        </w:rPr>
      </w:pP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1022EB">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1022EB">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DB40AF" w:rsidP="001022EB">
            <w:pPr>
              <w:keepNext/>
              <w:rPr>
                <w:rFonts w:ascii="Garamond" w:hAnsi="Garamond"/>
                <w:lang w:val="en-AU"/>
              </w:rPr>
            </w:pPr>
            <w:hyperlink r:id="rId24" w:history="1">
              <w:r w:rsidR="005A00FB" w:rsidRPr="00467B47">
                <w:rPr>
                  <w:rStyle w:val="Hyperlink"/>
                  <w:rFonts w:ascii="Garamond" w:hAnsi="Garamond"/>
                  <w:lang w:val="en-AU"/>
                </w:rPr>
                <w:t>https://qualitysafety.bmj.com/content/early/recent</w:t>
              </w:r>
            </w:hyperlink>
          </w:p>
        </w:tc>
      </w:tr>
      <w:tr w:rsidR="005A00FB" w:rsidRPr="00467B47" w:rsidTr="001022EB">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1022EB">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5A00FB" w:rsidRPr="00467B47" w:rsidRDefault="005A00FB" w:rsidP="001022EB">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1A14DA" w:rsidRDefault="00544B95" w:rsidP="00544B95">
            <w:pPr>
              <w:pStyle w:val="ListParagraph"/>
              <w:numPr>
                <w:ilvl w:val="0"/>
                <w:numId w:val="14"/>
              </w:numPr>
              <w:rPr>
                <w:rFonts w:ascii="Garamond" w:hAnsi="Garamond"/>
                <w:lang w:val="en-AU"/>
              </w:rPr>
            </w:pPr>
            <w:r w:rsidRPr="00544B95">
              <w:rPr>
                <w:rFonts w:ascii="Garamond" w:hAnsi="Garamond"/>
                <w:lang w:val="en-AU"/>
              </w:rPr>
              <w:t xml:space="preserve">Community level socioeconomic status association with </w:t>
            </w:r>
            <w:r w:rsidRPr="00544B95">
              <w:rPr>
                <w:rFonts w:ascii="Garamond" w:hAnsi="Garamond"/>
                <w:b/>
                <w:lang w:val="en-AU"/>
              </w:rPr>
              <w:t>surgical outcomes</w:t>
            </w:r>
            <w:r w:rsidRPr="00544B95">
              <w:rPr>
                <w:rFonts w:ascii="Garamond" w:hAnsi="Garamond"/>
                <w:lang w:val="en-AU"/>
              </w:rPr>
              <w:t xml:space="preserve"> and resource utilisation in a regional cohort: a prospective registry analysis</w:t>
            </w:r>
            <w:r>
              <w:rPr>
                <w:rFonts w:ascii="Garamond" w:hAnsi="Garamond"/>
                <w:lang w:val="en-AU"/>
              </w:rPr>
              <w:t xml:space="preserve"> (</w:t>
            </w:r>
            <w:r w:rsidRPr="00544B95">
              <w:rPr>
                <w:rFonts w:ascii="Garamond" w:hAnsi="Garamond"/>
                <w:lang w:val="en-AU"/>
              </w:rPr>
              <w:t>J Hunter Mehaffey, Robert B Hawkins, Eric J Charles, Florence E Turrentine, Brian Kaplan, Sandy Fogel, Charles Harris, David Reines, Jorge Posadas, Gorav Ailawadi, John B Hanks, Peter T Hallowell, R Scott Jones</w:t>
            </w:r>
            <w:r>
              <w:rPr>
                <w:rFonts w:ascii="Garamond" w:hAnsi="Garamond"/>
                <w:lang w:val="en-AU"/>
              </w:rPr>
              <w:t>)</w:t>
            </w:r>
          </w:p>
          <w:p w:rsidR="008E48EA" w:rsidRPr="00D84575" w:rsidRDefault="008E48EA" w:rsidP="008E48EA">
            <w:pPr>
              <w:pStyle w:val="ListParagraph"/>
              <w:numPr>
                <w:ilvl w:val="0"/>
                <w:numId w:val="14"/>
              </w:numPr>
              <w:rPr>
                <w:rFonts w:ascii="Garamond" w:hAnsi="Garamond"/>
                <w:lang w:val="en-AU"/>
              </w:rPr>
            </w:pPr>
            <w:r w:rsidRPr="008E48EA">
              <w:rPr>
                <w:rFonts w:ascii="Garamond" w:hAnsi="Garamond"/>
                <w:lang w:val="en-AU"/>
              </w:rPr>
              <w:t xml:space="preserve">Use and reporting of </w:t>
            </w:r>
            <w:r w:rsidRPr="008E48EA">
              <w:rPr>
                <w:rFonts w:ascii="Garamond" w:hAnsi="Garamond"/>
                <w:b/>
                <w:lang w:val="en-AU"/>
              </w:rPr>
              <w:t>experience-based codesign</w:t>
            </w:r>
            <w:r w:rsidRPr="008E48EA">
              <w:rPr>
                <w:rFonts w:ascii="Garamond" w:hAnsi="Garamond"/>
                <w:lang w:val="en-AU"/>
              </w:rPr>
              <w:t xml:space="preserve"> studies in the healthcare setting: a systematic review</w:t>
            </w:r>
            <w:r>
              <w:rPr>
                <w:rFonts w:ascii="Garamond" w:hAnsi="Garamond"/>
                <w:lang w:val="en-AU"/>
              </w:rPr>
              <w:t xml:space="preserve"> (</w:t>
            </w:r>
            <w:r w:rsidRPr="008E48EA">
              <w:rPr>
                <w:rFonts w:ascii="Garamond" w:hAnsi="Garamond"/>
                <w:lang w:val="en-AU"/>
              </w:rPr>
              <w:t>Theresa Green, Ann Bonner, Laisa Teleni, Natalie Bradford, Louise Purtell, Clint Douglas, Patsy Yates, Margaret MacAndrew, Hai Yen Dao, Raymond Javan Chan</w:t>
            </w:r>
            <w:r>
              <w:rPr>
                <w:rFonts w:ascii="Garamond" w:hAnsi="Garamond"/>
                <w:lang w:val="en-AU"/>
              </w:rPr>
              <w:t>)</w:t>
            </w:r>
          </w:p>
        </w:tc>
      </w:tr>
    </w:tbl>
    <w:p w:rsidR="005A00FB" w:rsidRDefault="005A00FB" w:rsidP="005A00FB">
      <w:pPr>
        <w:keepNext/>
        <w:rPr>
          <w:rFonts w:ascii="Garamond" w:hAnsi="Garamond"/>
          <w:i/>
          <w:lang w:val="en-AU"/>
        </w:rPr>
      </w:pPr>
    </w:p>
    <w:p w:rsidR="00A32932" w:rsidRDefault="00A32932" w:rsidP="005A00FB">
      <w:pPr>
        <w:keepNext/>
        <w:rPr>
          <w:rFonts w:ascii="Garamond" w:hAnsi="Garamond"/>
          <w:i/>
          <w:lang w:val="en-AU"/>
        </w:rPr>
      </w:pPr>
    </w:p>
    <w:p w:rsidR="00964A4F" w:rsidRDefault="00964A4F">
      <w:pPr>
        <w:rPr>
          <w:rFonts w:ascii="Garamond" w:hAnsi="Garamond"/>
          <w:i/>
          <w:lang w:val="en-AU"/>
        </w:rPr>
      </w:pPr>
    </w:p>
    <w:p w:rsidR="004A388F" w:rsidRDefault="004A388F">
      <w:pPr>
        <w:rPr>
          <w:rFonts w:ascii="Garamond" w:hAnsi="Garamond"/>
          <w:b/>
          <w:lang w:val="en-AU"/>
        </w:rPr>
      </w:pPr>
      <w:r>
        <w:rPr>
          <w:rFonts w:ascii="Garamond" w:hAnsi="Garamond"/>
          <w:b/>
          <w:lang w:val="en-AU"/>
        </w:rPr>
        <w:br w:type="page"/>
      </w:r>
    </w:p>
    <w:p w:rsidR="005A00FB" w:rsidRPr="001C0CF1" w:rsidRDefault="005A00FB" w:rsidP="007B7116">
      <w:pPr>
        <w:keepNext/>
        <w:rPr>
          <w:rFonts w:ascii="Garamond" w:hAnsi="Garamond"/>
          <w:b/>
          <w:lang w:val="en-AU"/>
        </w:rPr>
      </w:pPr>
      <w:r w:rsidRPr="001C0CF1">
        <w:rPr>
          <w:rFonts w:ascii="Garamond" w:hAnsi="Garamond"/>
          <w:b/>
          <w:lang w:val="en-AU"/>
        </w:rPr>
        <w:lastRenderedPageBreak/>
        <w:t>Online resources</w:t>
      </w:r>
    </w:p>
    <w:p w:rsidR="00754494" w:rsidRDefault="00754494" w:rsidP="002F7EE4">
      <w:pPr>
        <w:rPr>
          <w:rFonts w:ascii="Garamond" w:hAnsi="Garamond"/>
          <w:lang w:val="en-AU"/>
        </w:rPr>
      </w:pPr>
    </w:p>
    <w:p w:rsidR="005A00FB" w:rsidRPr="000170DA" w:rsidRDefault="005A00FB" w:rsidP="005A00FB">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5A00FB" w:rsidRDefault="00DB40AF" w:rsidP="005A00FB">
      <w:pPr>
        <w:keepNext/>
        <w:keepLines/>
        <w:rPr>
          <w:rFonts w:ascii="Garamond" w:hAnsi="Garamond"/>
          <w:u w:val="single"/>
          <w:lang w:val="en-AU"/>
        </w:rPr>
      </w:pPr>
      <w:hyperlink r:id="rId25" w:history="1">
        <w:r w:rsidR="005A00FB" w:rsidRPr="00131E90">
          <w:rPr>
            <w:rStyle w:val="Hyperlink"/>
            <w:rFonts w:ascii="Garamond" w:hAnsi="Garamond"/>
            <w:lang w:val="en-AU"/>
          </w:rPr>
          <w:t>https://www.nice.org.uk/guidance</w:t>
        </w:r>
      </w:hyperlink>
    </w:p>
    <w:p w:rsidR="005A00FB" w:rsidRPr="000170DA" w:rsidRDefault="005A00FB" w:rsidP="005A00F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652094" w:rsidRDefault="009C1382" w:rsidP="00612D3D">
      <w:pPr>
        <w:pStyle w:val="ListParagraph"/>
        <w:keepNext/>
        <w:keepLines/>
        <w:numPr>
          <w:ilvl w:val="0"/>
          <w:numId w:val="14"/>
        </w:numPr>
        <w:rPr>
          <w:rFonts w:ascii="Garamond" w:hAnsi="Garamond"/>
          <w:lang w:val="en-AU"/>
        </w:rPr>
      </w:pPr>
      <w:r w:rsidRPr="00652094">
        <w:rPr>
          <w:rFonts w:ascii="Garamond" w:hAnsi="Garamond"/>
          <w:lang w:val="en-AU"/>
        </w:rPr>
        <w:t xml:space="preserve">NICE Guideline </w:t>
      </w:r>
      <w:bookmarkStart w:id="1" w:name="_GoBack"/>
      <w:r w:rsidRPr="00652094">
        <w:rPr>
          <w:rFonts w:ascii="Garamond" w:hAnsi="Garamond"/>
          <w:lang w:val="en-AU"/>
        </w:rPr>
        <w:t>NG</w:t>
      </w:r>
      <w:r w:rsidR="00612D3D">
        <w:rPr>
          <w:rFonts w:ascii="Garamond" w:hAnsi="Garamond"/>
          <w:lang w:val="en-AU"/>
        </w:rPr>
        <w:t xml:space="preserve">140 </w:t>
      </w:r>
      <w:r w:rsidR="00612D3D" w:rsidRPr="00612D3D">
        <w:rPr>
          <w:rFonts w:ascii="Garamond" w:hAnsi="Garamond"/>
          <w:b/>
          <w:i/>
          <w:lang w:val="en-AU"/>
        </w:rPr>
        <w:t>Abortion</w:t>
      </w:r>
      <w:r w:rsidR="00612D3D" w:rsidRPr="00612D3D">
        <w:rPr>
          <w:rFonts w:ascii="Garamond" w:hAnsi="Garamond"/>
          <w:i/>
          <w:lang w:val="en-AU"/>
        </w:rPr>
        <w:t xml:space="preserve"> care</w:t>
      </w:r>
      <w:r w:rsidR="00612D3D">
        <w:rPr>
          <w:rFonts w:ascii="Garamond" w:hAnsi="Garamond"/>
          <w:lang w:val="en-AU"/>
        </w:rPr>
        <w:t xml:space="preserve"> </w:t>
      </w:r>
      <w:hyperlink r:id="rId26" w:history="1">
        <w:r w:rsidR="00612D3D" w:rsidRPr="00DA1D8C">
          <w:rPr>
            <w:rStyle w:val="Hyperlink"/>
            <w:rFonts w:ascii="Garamond" w:hAnsi="Garamond"/>
            <w:lang w:val="en-AU"/>
          </w:rPr>
          <w:t>https://www.nice.org.uk/guidance/ng140</w:t>
        </w:r>
      </w:hyperlink>
    </w:p>
    <w:p w:rsidR="00F466E2" w:rsidRDefault="00F466E2" w:rsidP="00612D3D">
      <w:pPr>
        <w:pStyle w:val="ListParagraph"/>
        <w:keepNext/>
        <w:keepLines/>
        <w:numPr>
          <w:ilvl w:val="0"/>
          <w:numId w:val="14"/>
        </w:numPr>
        <w:rPr>
          <w:rFonts w:ascii="Garamond" w:hAnsi="Garamond"/>
          <w:lang w:val="en-AU"/>
        </w:rPr>
      </w:pPr>
      <w:r>
        <w:rPr>
          <w:rFonts w:ascii="Garamond" w:hAnsi="Garamond"/>
          <w:lang w:val="en-AU"/>
        </w:rPr>
        <w:t>Clinical Guideline CG</w:t>
      </w:r>
      <w:r w:rsidR="00612D3D">
        <w:rPr>
          <w:rFonts w:ascii="Garamond" w:hAnsi="Garamond"/>
          <w:lang w:val="en-AU"/>
        </w:rPr>
        <w:t>191</w:t>
      </w:r>
      <w:r w:rsidR="00652094">
        <w:rPr>
          <w:rFonts w:ascii="Garamond" w:hAnsi="Garamond"/>
          <w:lang w:val="en-AU"/>
        </w:rPr>
        <w:t xml:space="preserve"> </w:t>
      </w:r>
      <w:r w:rsidR="00612D3D" w:rsidRPr="00612D3D">
        <w:rPr>
          <w:rFonts w:ascii="Garamond" w:hAnsi="Garamond"/>
          <w:b/>
          <w:i/>
          <w:lang w:val="en-AU"/>
        </w:rPr>
        <w:t>Pneumonia</w:t>
      </w:r>
      <w:r w:rsidR="00612D3D" w:rsidRPr="00612D3D">
        <w:rPr>
          <w:rFonts w:ascii="Garamond" w:hAnsi="Garamond"/>
          <w:i/>
          <w:lang w:val="en-AU"/>
        </w:rPr>
        <w:t xml:space="preserve"> in adults: diagnosis and management</w:t>
      </w:r>
      <w:r w:rsidR="00612D3D">
        <w:rPr>
          <w:rFonts w:ascii="Garamond" w:hAnsi="Garamond"/>
          <w:lang w:val="en-AU"/>
        </w:rPr>
        <w:t xml:space="preserve"> </w:t>
      </w:r>
      <w:hyperlink r:id="rId27" w:history="1">
        <w:r w:rsidR="00612D3D" w:rsidRPr="00DA1D8C">
          <w:rPr>
            <w:rStyle w:val="Hyperlink"/>
            <w:rFonts w:ascii="Garamond" w:hAnsi="Garamond"/>
            <w:lang w:val="en-AU"/>
          </w:rPr>
          <w:t>https://www.nice.org.uk/guidance/cg191</w:t>
        </w:r>
      </w:hyperlink>
    </w:p>
    <w:bookmarkEnd w:id="1"/>
    <w:p w:rsidR="00AF4D9D" w:rsidRDefault="00AF4D9D" w:rsidP="00FA11D5">
      <w:pPr>
        <w:keepLines/>
        <w:jc w:val="both"/>
        <w:rPr>
          <w:rFonts w:ascii="Garamond" w:hAnsi="Garamond"/>
          <w:lang w:val="en-AU"/>
        </w:rPr>
      </w:pPr>
    </w:p>
    <w:p w:rsidR="00A32932" w:rsidRDefault="00A32932"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28"/>
      <w:footerReference w:type="default" r:id="rId2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96" w:rsidRDefault="00F97E96">
      <w:r>
        <w:separator/>
      </w:r>
    </w:p>
  </w:endnote>
  <w:endnote w:type="continuationSeparator" w:id="0">
    <w:p w:rsidR="00F97E96" w:rsidRDefault="00F9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96" w:rsidRDefault="00F97E9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B40AF">
      <w:rPr>
        <w:rStyle w:val="PageNumber"/>
        <w:noProof/>
      </w:rPr>
      <w:t>6</w:t>
    </w:r>
    <w:r>
      <w:rPr>
        <w:rStyle w:val="PageNumber"/>
      </w:rPr>
      <w:fldChar w:fldCharType="end"/>
    </w:r>
  </w:p>
  <w:p w:rsidR="00F97E96" w:rsidRPr="001E78F0" w:rsidRDefault="00F97E9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652094">
      <w:rPr>
        <w:rFonts w:ascii="Garamond" w:hAnsi="Garamond"/>
      </w:rPr>
      <w:t xml:space="preserve"> Issue 436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96" w:rsidRPr="001E78F0" w:rsidRDefault="00F97E9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DB40AF">
      <w:rPr>
        <w:rStyle w:val="PageNumber"/>
        <w:rFonts w:ascii="Garamond" w:hAnsi="Garamond"/>
        <w:noProof/>
      </w:rPr>
      <w:t>5</w:t>
    </w:r>
    <w:r w:rsidRPr="001E78F0">
      <w:rPr>
        <w:rStyle w:val="PageNumber"/>
        <w:rFonts w:ascii="Garamond" w:hAnsi="Garamond"/>
      </w:rPr>
      <w:fldChar w:fldCharType="end"/>
    </w:r>
  </w:p>
  <w:p w:rsidR="00F97E96" w:rsidRPr="001E78F0" w:rsidRDefault="00F97E9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04028D">
      <w:rPr>
        <w:rFonts w:ascii="Garamond" w:hAnsi="Garamond"/>
      </w:rPr>
      <w:t xml:space="preserve"> Issue 43</w:t>
    </w:r>
    <w:r w:rsidR="00652094">
      <w:rPr>
        <w:rFonts w:ascii="Garamond" w:hAnsi="Garamond"/>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96" w:rsidRDefault="00F97E96">
      <w:r>
        <w:separator/>
      </w:r>
    </w:p>
  </w:footnote>
  <w:footnote w:type="continuationSeparator" w:id="0">
    <w:p w:rsidR="00F97E96" w:rsidRDefault="00F9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0647F"/>
    <w:multiLevelType w:val="hybridMultilevel"/>
    <w:tmpl w:val="396A2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01664F"/>
    <w:multiLevelType w:val="hybridMultilevel"/>
    <w:tmpl w:val="57667D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0E5CAD"/>
    <w:multiLevelType w:val="hybridMultilevel"/>
    <w:tmpl w:val="26B42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77078E"/>
    <w:multiLevelType w:val="hybridMultilevel"/>
    <w:tmpl w:val="EE9C6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110DE"/>
    <w:multiLevelType w:val="hybridMultilevel"/>
    <w:tmpl w:val="788AA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E33663"/>
    <w:multiLevelType w:val="hybridMultilevel"/>
    <w:tmpl w:val="422CF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A962EE"/>
    <w:multiLevelType w:val="hybridMultilevel"/>
    <w:tmpl w:val="209A1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674E3B"/>
    <w:multiLevelType w:val="hybridMultilevel"/>
    <w:tmpl w:val="3E2806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74790"/>
    <w:multiLevelType w:val="hybridMultilevel"/>
    <w:tmpl w:val="D898BE7C"/>
    <w:lvl w:ilvl="0" w:tplc="90BC1E1E">
      <w:start w:val="1"/>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C12EA3"/>
    <w:multiLevelType w:val="hybridMultilevel"/>
    <w:tmpl w:val="E34673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016274"/>
    <w:multiLevelType w:val="hybridMultilevel"/>
    <w:tmpl w:val="6A8E44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E1699F"/>
    <w:multiLevelType w:val="hybridMultilevel"/>
    <w:tmpl w:val="82546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107EA6"/>
    <w:multiLevelType w:val="hybridMultilevel"/>
    <w:tmpl w:val="EBBAD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33317B"/>
    <w:multiLevelType w:val="hybridMultilevel"/>
    <w:tmpl w:val="CC883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372F0D"/>
    <w:multiLevelType w:val="hybridMultilevel"/>
    <w:tmpl w:val="9A94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B20925"/>
    <w:multiLevelType w:val="hybridMultilevel"/>
    <w:tmpl w:val="E160A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EA20169"/>
    <w:multiLevelType w:val="hybridMultilevel"/>
    <w:tmpl w:val="9462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07303A"/>
    <w:multiLevelType w:val="hybridMultilevel"/>
    <w:tmpl w:val="B366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593B77"/>
    <w:multiLevelType w:val="hybridMultilevel"/>
    <w:tmpl w:val="264E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132C03"/>
    <w:multiLevelType w:val="hybridMultilevel"/>
    <w:tmpl w:val="17402FB4"/>
    <w:lvl w:ilvl="0" w:tplc="996AF77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9C0117D"/>
    <w:multiLevelType w:val="hybridMultilevel"/>
    <w:tmpl w:val="DA9AEC36"/>
    <w:lvl w:ilvl="0" w:tplc="0A42CDDA">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4E5B50"/>
    <w:multiLevelType w:val="hybridMultilevel"/>
    <w:tmpl w:val="C9905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5C40A3F"/>
    <w:multiLevelType w:val="hybridMultilevel"/>
    <w:tmpl w:val="70EC80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BDF42A6"/>
    <w:multiLevelType w:val="hybridMultilevel"/>
    <w:tmpl w:val="1774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7D53B4"/>
    <w:multiLevelType w:val="hybridMultilevel"/>
    <w:tmpl w:val="DBF83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8D2B58"/>
    <w:multiLevelType w:val="hybridMultilevel"/>
    <w:tmpl w:val="B43CEBD2"/>
    <w:lvl w:ilvl="0" w:tplc="88189A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60B79D7"/>
    <w:multiLevelType w:val="hybridMultilevel"/>
    <w:tmpl w:val="80A499AA"/>
    <w:lvl w:ilvl="0" w:tplc="991E8E3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68C59EB"/>
    <w:multiLevelType w:val="hybridMultilevel"/>
    <w:tmpl w:val="941A1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5C24D3"/>
    <w:multiLevelType w:val="hybridMultilevel"/>
    <w:tmpl w:val="F7C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CA1257"/>
    <w:multiLevelType w:val="hybridMultilevel"/>
    <w:tmpl w:val="8C2A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833DFC"/>
    <w:multiLevelType w:val="hybridMultilevel"/>
    <w:tmpl w:val="38E2A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1612AB"/>
    <w:multiLevelType w:val="hybridMultilevel"/>
    <w:tmpl w:val="9E4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835911"/>
    <w:multiLevelType w:val="hybridMultilevel"/>
    <w:tmpl w:val="419C61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1A7A48"/>
    <w:multiLevelType w:val="hybridMultilevel"/>
    <w:tmpl w:val="EDC0A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4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7"/>
  </w:num>
  <w:num w:numId="14">
    <w:abstractNumId w:val="30"/>
  </w:num>
  <w:num w:numId="15">
    <w:abstractNumId w:val="18"/>
  </w:num>
  <w:num w:numId="16">
    <w:abstractNumId w:val="11"/>
  </w:num>
  <w:num w:numId="17">
    <w:abstractNumId w:val="38"/>
  </w:num>
  <w:num w:numId="18">
    <w:abstractNumId w:val="26"/>
  </w:num>
  <w:num w:numId="19">
    <w:abstractNumId w:val="23"/>
  </w:num>
  <w:num w:numId="20">
    <w:abstractNumId w:val="19"/>
  </w:num>
  <w:num w:numId="21">
    <w:abstractNumId w:val="47"/>
  </w:num>
  <w:num w:numId="22">
    <w:abstractNumId w:val="43"/>
  </w:num>
  <w:num w:numId="23">
    <w:abstractNumId w:val="27"/>
  </w:num>
  <w:num w:numId="24">
    <w:abstractNumId w:val="35"/>
  </w:num>
  <w:num w:numId="25">
    <w:abstractNumId w:val="22"/>
  </w:num>
  <w:num w:numId="26">
    <w:abstractNumId w:val="44"/>
  </w:num>
  <w:num w:numId="27">
    <w:abstractNumId w:val="34"/>
  </w:num>
  <w:num w:numId="28">
    <w:abstractNumId w:val="48"/>
  </w:num>
  <w:num w:numId="29">
    <w:abstractNumId w:val="36"/>
  </w:num>
  <w:num w:numId="30">
    <w:abstractNumId w:val="24"/>
  </w:num>
  <w:num w:numId="31">
    <w:abstractNumId w:val="49"/>
  </w:num>
  <w:num w:numId="32">
    <w:abstractNumId w:val="42"/>
  </w:num>
  <w:num w:numId="33">
    <w:abstractNumId w:val="46"/>
  </w:num>
  <w:num w:numId="34">
    <w:abstractNumId w:val="16"/>
  </w:num>
  <w:num w:numId="35">
    <w:abstractNumId w:val="15"/>
  </w:num>
  <w:num w:numId="36">
    <w:abstractNumId w:val="31"/>
  </w:num>
  <w:num w:numId="37">
    <w:abstractNumId w:val="13"/>
  </w:num>
  <w:num w:numId="38">
    <w:abstractNumId w:val="39"/>
  </w:num>
  <w:num w:numId="39">
    <w:abstractNumId w:val="17"/>
  </w:num>
  <w:num w:numId="40">
    <w:abstractNumId w:val="40"/>
  </w:num>
  <w:num w:numId="41">
    <w:abstractNumId w:val="20"/>
  </w:num>
  <w:num w:numId="42">
    <w:abstractNumId w:val="33"/>
  </w:num>
  <w:num w:numId="43">
    <w:abstractNumId w:val="41"/>
  </w:num>
  <w:num w:numId="44">
    <w:abstractNumId w:val="14"/>
  </w:num>
  <w:num w:numId="45">
    <w:abstractNumId w:val="10"/>
  </w:num>
  <w:num w:numId="46">
    <w:abstractNumId w:val="25"/>
  </w:num>
  <w:num w:numId="47">
    <w:abstractNumId w:val="21"/>
  </w:num>
  <w:num w:numId="48">
    <w:abstractNumId w:val="32"/>
  </w:num>
  <w:num w:numId="49">
    <w:abstractNumId w:val="12"/>
  </w:num>
  <w:num w:numId="50">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0E22"/>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126"/>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16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5D2"/>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08"/>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844"/>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9F1"/>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88F"/>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BE6"/>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D3D"/>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A0D"/>
    <w:rsid w:val="00637CFC"/>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86B"/>
    <w:rsid w:val="008D3935"/>
    <w:rsid w:val="008D3A30"/>
    <w:rsid w:val="008D3D83"/>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AFE"/>
    <w:rsid w:val="00B23C20"/>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0A"/>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013"/>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0AF"/>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946"/>
    <w:rsid w:val="00E239D3"/>
    <w:rsid w:val="00E244CA"/>
    <w:rsid w:val="00E244DB"/>
    <w:rsid w:val="00E2451D"/>
    <w:rsid w:val="00E245C8"/>
    <w:rsid w:val="00E24843"/>
    <w:rsid w:val="00E24AED"/>
    <w:rsid w:val="00E24E76"/>
    <w:rsid w:val="00E24EDB"/>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2B"/>
    <w:rsid w:val="00E60836"/>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4C"/>
    <w:rsid w:val="00F9691C"/>
    <w:rsid w:val="00F96D1C"/>
    <w:rsid w:val="00F96EFD"/>
    <w:rsid w:val="00F97183"/>
    <w:rsid w:val="00F97235"/>
    <w:rsid w:val="00F976AD"/>
    <w:rsid w:val="00F97C5F"/>
    <w:rsid w:val="00F97D61"/>
    <w:rsid w:val="00F97D70"/>
    <w:rsid w:val="00F97E9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76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rstmh.org/sites/default/files/files/GlobalHealthReport.pdf" TargetMode="External"/><Relationship Id="rId26" Type="http://schemas.openxmlformats.org/officeDocument/2006/relationships/hyperlink" Target="https://www.nice.org.uk/guidance/ng140" TargetMode="External"/><Relationship Id="rId3" Type="http://schemas.openxmlformats.org/officeDocument/2006/relationships/styles" Target="styles.xml"/><Relationship Id="rId21" Type="http://schemas.openxmlformats.org/officeDocument/2006/relationships/hyperlink" Target="https://www.safetyandquality.gov.au/standards/nsqhs-standards"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commonwealthfund.org/publications/fund-reports/2019/sep/course-corrections-how-health-care-innovators-learn-from-setbacks" TargetMode="External"/><Relationship Id="rId25" Type="http://schemas.openxmlformats.org/officeDocument/2006/relationships/hyperlink" Target="https://www.nice.org.uk/guidance" TargetMode="External"/><Relationship Id="rId2" Type="http://schemas.openxmlformats.org/officeDocument/2006/relationships/numbering" Target="numbering.xml"/><Relationship Id="rId16" Type="http://schemas.openxmlformats.org/officeDocument/2006/relationships/hyperlink" Target="https://committix.com/projects/an-aboriginal-cultural-safety-security-framework/" TargetMode="External"/><Relationship Id="rId20" Type="http://schemas.openxmlformats.org/officeDocument/2006/relationships/hyperlink" Target="https://doi.org/10.1136/bmjoq-2019-00071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qualitysafety.bmj.com/content/early/recent" TargetMode="External"/><Relationship Id="rId5" Type="http://schemas.openxmlformats.org/officeDocument/2006/relationships/webSettings" Target="webSettings.xml"/><Relationship Id="rId15" Type="http://schemas.openxmlformats.org/officeDocument/2006/relationships/hyperlink" Target="http://www.euro.who.int/en/about-us/partners/observatory/publications/studies/improving-healthcare-quality-in-europe-characteristics,-effectiveness-and-implementation-of-different-strategies-2019" TargetMode="External"/><Relationship Id="rId23" Type="http://schemas.openxmlformats.org/officeDocument/2006/relationships/hyperlink" Target="https://www.longwoods.com/publications/healthcare-quarterly/25900" TargetMode="External"/><Relationship Id="rId28" Type="http://schemas.openxmlformats.org/officeDocument/2006/relationships/footer" Target="footer1.xml"/><Relationship Id="rId10" Type="http://schemas.openxmlformats.org/officeDocument/2006/relationships/hyperlink" Target="https://www.safetyandquality.gov.au/publications-and-resources/newsletters"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www.phrp.com.au/issues/september-2019-volume-29-issue-3/" TargetMode="External"/><Relationship Id="rId27" Type="http://schemas.openxmlformats.org/officeDocument/2006/relationships/hyperlink" Target="https://www.nice.org.uk/guidance/cg19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AFD7-64C0-4F86-8995-D93A38E7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6</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On the Radar Issue 435</vt:lpstr>
    </vt:vector>
  </TitlesOfParts>
  <Company>ACSQHC</Company>
  <LinksUpToDate>false</LinksUpToDate>
  <CharactersWithSpaces>15935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435</dc:title>
  <dc:subject/>
  <dc:creator>Dr Niall Johnson</dc:creator>
  <cp:keywords/>
  <dc:description/>
  <cp:lastModifiedBy>Johnson, Niall</cp:lastModifiedBy>
  <cp:revision>7</cp:revision>
  <cp:lastPrinted>2018-03-02T02:34:00Z</cp:lastPrinted>
  <dcterms:created xsi:type="dcterms:W3CDTF">2019-09-22T21:10:00Z</dcterms:created>
  <dcterms:modified xsi:type="dcterms:W3CDTF">2019-09-27T02:16:00Z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