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D15940">
        <w:rPr>
          <w:rFonts w:ascii="Garamond" w:hAnsi="Garamond"/>
          <w:lang w:val="en-AU"/>
        </w:rPr>
        <w:t>38</w:t>
      </w:r>
    </w:p>
    <w:p w:rsidR="00755242" w:rsidRDefault="004604C4" w:rsidP="00F738B5">
      <w:pPr>
        <w:rPr>
          <w:rFonts w:ascii="Garamond" w:hAnsi="Garamond"/>
          <w:lang w:val="en-AU"/>
        </w:rPr>
      </w:pPr>
      <w:r>
        <w:rPr>
          <w:rFonts w:ascii="Garamond" w:hAnsi="Garamond"/>
          <w:lang w:val="en-AU"/>
        </w:rPr>
        <w:t>2</w:t>
      </w:r>
      <w:r w:rsidR="00D15940">
        <w:rPr>
          <w:rFonts w:ascii="Garamond" w:hAnsi="Garamond"/>
          <w:lang w:val="en-AU"/>
        </w:rPr>
        <w:t>8</w:t>
      </w:r>
      <w:r w:rsidR="0004028D">
        <w:rPr>
          <w:rFonts w:ascii="Garamond" w:hAnsi="Garamond"/>
          <w:lang w:val="en-AU"/>
        </w:rPr>
        <w:t xml:space="preserve"> </w:t>
      </w:r>
      <w:r>
        <w:rPr>
          <w:rFonts w:ascii="Garamond" w:hAnsi="Garamond"/>
          <w:lang w:val="en-AU"/>
        </w:rPr>
        <w:t>Oc</w:t>
      </w:r>
      <w:r w:rsidR="0004028D">
        <w:rPr>
          <w:rFonts w:ascii="Garamond" w:hAnsi="Garamond"/>
          <w:lang w:val="en-AU"/>
        </w:rPr>
        <w:t>t</w:t>
      </w:r>
      <w:r>
        <w:rPr>
          <w:rFonts w:ascii="Garamond" w:hAnsi="Garamond"/>
          <w:lang w:val="en-AU"/>
        </w:rPr>
        <w:t>o</w:t>
      </w:r>
      <w:r w:rsidR="0004028D">
        <w:rPr>
          <w:rFonts w:ascii="Garamond" w:hAnsi="Garamond"/>
          <w:lang w:val="en-AU"/>
        </w:rPr>
        <w:t xml:space="preserve">ber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1933D2">
        <w:rPr>
          <w:rFonts w:ascii="Garamond" w:hAnsi="Garamond"/>
          <w:bCs/>
          <w:lang w:val="en-AU"/>
        </w:rPr>
        <w:t>, Kim Stewart</w:t>
      </w:r>
      <w:r w:rsidR="00FC244D">
        <w:rPr>
          <w:rFonts w:ascii="Garamond" w:hAnsi="Garamond"/>
          <w:bCs/>
          <w:lang w:val="en-AU"/>
        </w:rPr>
        <w:t>, Helen Dowling</w:t>
      </w:r>
    </w:p>
    <w:p w:rsidR="0055445F" w:rsidRDefault="0055445F">
      <w:pPr>
        <w:rPr>
          <w:rFonts w:ascii="Garamond" w:hAnsi="Garamond"/>
          <w:b/>
          <w:lang w:val="en-AU"/>
        </w:rPr>
      </w:pPr>
    </w:p>
    <w:p w:rsidR="001933D2" w:rsidRDefault="001933D2">
      <w:pPr>
        <w:rPr>
          <w:rFonts w:ascii="Garamond" w:hAnsi="Garamond"/>
          <w:b/>
          <w:lang w:val="en-AU"/>
        </w:rPr>
      </w:pPr>
    </w:p>
    <w:p w:rsidR="001933D2" w:rsidRPr="001933D2" w:rsidRDefault="001933D2" w:rsidP="001933D2">
      <w:pPr>
        <w:keepNext/>
        <w:rPr>
          <w:rFonts w:ascii="Garamond" w:hAnsi="Garamond"/>
          <w:b/>
          <w:i/>
          <w:lang w:val="en-AU"/>
        </w:rPr>
      </w:pPr>
      <w:r w:rsidRPr="001933D2">
        <w:rPr>
          <w:rFonts w:ascii="Garamond" w:hAnsi="Garamond"/>
          <w:b/>
          <w:i/>
          <w:lang w:val="en-AU"/>
        </w:rPr>
        <w:t>Antimicrobial Prescribing and Infections in Australian Aged Care Homes: Results of the 2018 Aged Care National Antimicrobial Prescribing Survey</w:t>
      </w:r>
    </w:p>
    <w:p w:rsidR="001933D2" w:rsidRDefault="001933D2" w:rsidP="001933D2">
      <w:pPr>
        <w:keepNext/>
        <w:rPr>
          <w:rFonts w:ascii="Garamond" w:hAnsi="Garamond"/>
          <w:lang w:val="en-AU"/>
        </w:rPr>
      </w:pPr>
      <w:r w:rsidRPr="001933D2">
        <w:rPr>
          <w:rFonts w:ascii="Garamond" w:hAnsi="Garamond"/>
          <w:lang w:val="en-AU"/>
        </w:rPr>
        <w:t>National Centre for Antimicrobial Stewardship</w:t>
      </w:r>
      <w:r>
        <w:rPr>
          <w:rFonts w:ascii="Garamond" w:hAnsi="Garamond"/>
          <w:lang w:val="en-AU"/>
        </w:rPr>
        <w:t xml:space="preserve"> and</w:t>
      </w:r>
      <w:r w:rsidRPr="001933D2">
        <w:rPr>
          <w:rFonts w:ascii="Garamond" w:hAnsi="Garamond"/>
          <w:lang w:val="en-AU"/>
        </w:rPr>
        <w:t xml:space="preserve"> Australian Commission on Safety and Quality in Health Care</w:t>
      </w:r>
    </w:p>
    <w:p w:rsidR="001933D2" w:rsidRPr="001933D2" w:rsidRDefault="001933D2" w:rsidP="001933D2">
      <w:pPr>
        <w:keepNext/>
        <w:rPr>
          <w:rFonts w:ascii="Garamond" w:hAnsi="Garamond"/>
          <w:lang w:val="en-AU"/>
        </w:rPr>
      </w:pPr>
      <w:r w:rsidRPr="001933D2">
        <w:rPr>
          <w:rFonts w:ascii="Garamond" w:hAnsi="Garamond"/>
          <w:lang w:val="en-AU"/>
        </w:rPr>
        <w:t>Sydney: ACSQHC; 2019. p. 45.</w:t>
      </w:r>
    </w:p>
    <w:p w:rsidR="001933D2" w:rsidRDefault="00533C2E" w:rsidP="001933D2">
      <w:pPr>
        <w:keepNext/>
        <w:rPr>
          <w:rFonts w:ascii="Garamond" w:hAnsi="Garamond"/>
          <w:lang w:val="en-AU"/>
        </w:rPr>
      </w:pPr>
      <w:hyperlink r:id="rId15" w:history="1">
        <w:r w:rsidRPr="00841DB4">
          <w:rPr>
            <w:rStyle w:val="Hyperlink"/>
            <w:rFonts w:ascii="Garamond" w:hAnsi="Garamond"/>
            <w:lang w:val="en-AU"/>
          </w:rPr>
          <w:t>https://www.safetyandquality.gov.au/publications-and-resources/resource-library/2018-aged-care-national-antimicrobial-prescribing-survey-report</w:t>
        </w:r>
      </w:hyperlink>
      <w:r>
        <w:rPr>
          <w:rFonts w:ascii="Garamond" w:hAnsi="Garamond"/>
          <w:lang w:val="en-AU"/>
        </w:rPr>
        <w:t xml:space="preserve"> </w:t>
      </w:r>
    </w:p>
    <w:p w:rsidR="00533C2E" w:rsidRPr="001933D2" w:rsidRDefault="00533C2E" w:rsidP="001933D2">
      <w:pPr>
        <w:keepNext/>
        <w:rPr>
          <w:rFonts w:ascii="Garamond" w:hAnsi="Garamond"/>
          <w:lang w:val="en-AU"/>
        </w:rPr>
      </w:pPr>
    </w:p>
    <w:p w:rsidR="001933D2" w:rsidRPr="001933D2" w:rsidRDefault="001933D2" w:rsidP="001933D2">
      <w:pPr>
        <w:ind w:hanging="11"/>
        <w:rPr>
          <w:rFonts w:ascii="Garamond" w:hAnsi="Garamond"/>
          <w:lang w:val="en-AU"/>
        </w:rPr>
      </w:pPr>
      <w:r w:rsidRPr="001933D2">
        <w:rPr>
          <w:rFonts w:ascii="Garamond" w:hAnsi="Garamond"/>
          <w:lang w:val="en-AU"/>
        </w:rPr>
        <w:t>The report of the 2018 Aged Care National Antimicrobial Prescribing Survey (AC NAPS) identifies ongoing issues that place the safety of care provided to residents of aged care facilities at risk. These include concerning high levels of inappropriate prescribing of antimicrobials in participating aged care homes and multi-purpose services. For example, prolonged duration of prescriptions, inadequate documentation of indication and review and start dates, use of antimicrobials for unspecified infections and very high levels of use of topical antimicrobials. In 2018, for the first time, data were also collected on prn (as needed) prescriptions; these accounted for 19% of prescriptions, largely for topical agents. Analyses of trends for facilities that participated each year from 2016 to 2018, did not find improvement in any quality indicators except documentation of indication, which suggests the data may not be used for improvement action by these facilities.</w:t>
      </w:r>
    </w:p>
    <w:p w:rsidR="001933D2" w:rsidRPr="001933D2" w:rsidRDefault="001933D2" w:rsidP="001933D2">
      <w:pPr>
        <w:keepNext/>
        <w:ind w:hanging="11"/>
        <w:rPr>
          <w:rFonts w:ascii="Garamond" w:hAnsi="Garamond"/>
          <w:lang w:val="en-AU"/>
        </w:rPr>
      </w:pPr>
      <w:r w:rsidRPr="001933D2">
        <w:rPr>
          <w:rFonts w:ascii="Garamond" w:hAnsi="Garamond"/>
          <w:lang w:val="en-AU"/>
        </w:rPr>
        <w:lastRenderedPageBreak/>
        <w:t>To address these findings, and improve the safety of care provided to residents</w:t>
      </w:r>
      <w:r w:rsidR="003D7055">
        <w:rPr>
          <w:rFonts w:ascii="Garamond" w:hAnsi="Garamond"/>
          <w:lang w:val="en-AU"/>
        </w:rPr>
        <w:t>, the Commission is promoting:</w:t>
      </w:r>
    </w:p>
    <w:p w:rsidR="001933D2" w:rsidRPr="001933D2" w:rsidRDefault="001933D2" w:rsidP="001933D2">
      <w:pPr>
        <w:pStyle w:val="ListParagraph"/>
        <w:keepNext/>
        <w:numPr>
          <w:ilvl w:val="0"/>
          <w:numId w:val="20"/>
        </w:numPr>
        <w:rPr>
          <w:rFonts w:ascii="Garamond" w:hAnsi="Garamond"/>
          <w:lang w:val="en-AU"/>
        </w:rPr>
      </w:pPr>
      <w:r w:rsidRPr="001933D2">
        <w:rPr>
          <w:rFonts w:ascii="Garamond" w:hAnsi="Garamond"/>
          <w:lang w:val="en-AU"/>
        </w:rPr>
        <w:t xml:space="preserve">Use of evidence-based infection assessment tools, such as those included in </w:t>
      </w:r>
      <w:r w:rsidRPr="001933D2">
        <w:rPr>
          <w:rFonts w:ascii="Garamond" w:hAnsi="Garamond"/>
          <w:i/>
          <w:lang w:val="en-AU"/>
        </w:rPr>
        <w:t>Therapeutic Guidelines: Antibiotic</w:t>
      </w:r>
      <w:r>
        <w:rPr>
          <w:rFonts w:ascii="Garamond" w:hAnsi="Garamond"/>
          <w:i/>
          <w:lang w:val="en-AU"/>
        </w:rPr>
        <w:t xml:space="preserve"> </w:t>
      </w:r>
      <w:hyperlink r:id="rId16" w:history="1">
        <w:r w:rsidRPr="001933D2">
          <w:rPr>
            <w:rStyle w:val="Hyperlink"/>
            <w:rFonts w:ascii="Garamond" w:hAnsi="Garamond"/>
            <w:lang w:val="en-AU"/>
          </w:rPr>
          <w:t>https://tgldcdp.tg.org.au/topicTeaser?guidelinePage=Antibiotic&amp;etgAccess=true</w:t>
        </w:r>
      </w:hyperlink>
      <w:r w:rsidRPr="001933D2">
        <w:rPr>
          <w:rFonts w:ascii="Garamond" w:hAnsi="Garamond"/>
          <w:lang w:val="en-AU"/>
        </w:rPr>
        <w:t xml:space="preserve"> </w:t>
      </w:r>
    </w:p>
    <w:p w:rsidR="001933D2" w:rsidRPr="001933D2" w:rsidRDefault="001933D2" w:rsidP="001933D2">
      <w:pPr>
        <w:pStyle w:val="ListParagraph"/>
        <w:keepNext/>
        <w:numPr>
          <w:ilvl w:val="0"/>
          <w:numId w:val="20"/>
        </w:numPr>
        <w:rPr>
          <w:rFonts w:ascii="Garamond" w:hAnsi="Garamond"/>
          <w:lang w:val="en-AU"/>
        </w:rPr>
      </w:pPr>
      <w:r w:rsidRPr="001933D2">
        <w:rPr>
          <w:rFonts w:ascii="Garamond" w:hAnsi="Garamond"/>
          <w:lang w:val="en-AU"/>
        </w:rPr>
        <w:t xml:space="preserve">Implementation of infection prevention and control practices consistent with the </w:t>
      </w:r>
      <w:r w:rsidRPr="001933D2">
        <w:rPr>
          <w:rFonts w:ascii="Garamond" w:hAnsi="Garamond"/>
          <w:i/>
          <w:lang w:val="en-AU"/>
        </w:rPr>
        <w:t>Australian Guidelines for the Prevention and Control of Infection in Health Care</w:t>
      </w:r>
      <w:r w:rsidRPr="001933D2">
        <w:rPr>
          <w:rFonts w:ascii="Garamond" w:hAnsi="Garamond"/>
          <w:lang w:val="en-AU"/>
        </w:rPr>
        <w:t xml:space="preserve"> </w:t>
      </w:r>
      <w:r>
        <w:rPr>
          <w:rFonts w:ascii="Garamond" w:hAnsi="Garamond"/>
          <w:lang w:val="en-AU"/>
        </w:rPr>
        <w:t>(</w:t>
      </w:r>
      <w:hyperlink r:id="rId17" w:history="1">
        <w:r w:rsidRPr="00841DB4">
          <w:rPr>
            <w:rStyle w:val="Hyperlink"/>
            <w:rFonts w:ascii="Garamond" w:hAnsi="Garamond"/>
            <w:lang w:val="en-AU"/>
          </w:rPr>
          <w:t>https://www.nhmrc.gov.au/health-advice/public-health/preventing-infection</w:t>
        </w:r>
      </w:hyperlink>
      <w:r>
        <w:rPr>
          <w:rFonts w:ascii="Garamond" w:hAnsi="Garamond"/>
          <w:lang w:val="en-AU"/>
        </w:rPr>
        <w:t xml:space="preserve">) </w:t>
      </w:r>
      <w:r w:rsidRPr="001933D2">
        <w:rPr>
          <w:rFonts w:ascii="Garamond" w:hAnsi="Garamond"/>
          <w:lang w:val="en-AU"/>
        </w:rPr>
        <w:t>to reduce the risk of residents acquiring a preventable infection and support appropriate managem</w:t>
      </w:r>
      <w:r w:rsidR="003D7055">
        <w:rPr>
          <w:rFonts w:ascii="Garamond" w:hAnsi="Garamond"/>
          <w:lang w:val="en-AU"/>
        </w:rPr>
        <w:t>ent of infections if they occur</w:t>
      </w:r>
    </w:p>
    <w:p w:rsidR="001933D2" w:rsidRPr="001933D2" w:rsidRDefault="001933D2" w:rsidP="001933D2">
      <w:pPr>
        <w:pStyle w:val="ListParagraph"/>
        <w:keepNext/>
        <w:numPr>
          <w:ilvl w:val="0"/>
          <w:numId w:val="20"/>
        </w:numPr>
        <w:rPr>
          <w:rFonts w:ascii="Garamond" w:hAnsi="Garamond"/>
          <w:lang w:val="en-AU"/>
        </w:rPr>
      </w:pPr>
      <w:r w:rsidRPr="001933D2">
        <w:rPr>
          <w:rFonts w:ascii="Garamond" w:hAnsi="Garamond"/>
          <w:lang w:val="en-AU"/>
        </w:rPr>
        <w:t>Use of microbiological testing to confirm infections and inform</w:t>
      </w:r>
      <w:r w:rsidR="003D7055">
        <w:rPr>
          <w:rFonts w:ascii="Garamond" w:hAnsi="Garamond"/>
          <w:lang w:val="en-AU"/>
        </w:rPr>
        <w:t xml:space="preserve"> antimicrobial treatment choices</w:t>
      </w:r>
    </w:p>
    <w:p w:rsidR="001933D2" w:rsidRPr="001933D2" w:rsidRDefault="001933D2" w:rsidP="001933D2">
      <w:pPr>
        <w:pStyle w:val="ListParagraph"/>
        <w:keepNext/>
        <w:numPr>
          <w:ilvl w:val="0"/>
          <w:numId w:val="20"/>
        </w:numPr>
        <w:rPr>
          <w:rFonts w:ascii="Garamond" w:hAnsi="Garamond"/>
          <w:lang w:val="en-AU"/>
        </w:rPr>
      </w:pPr>
      <w:r w:rsidRPr="001933D2">
        <w:rPr>
          <w:rFonts w:ascii="Garamond" w:hAnsi="Garamond"/>
          <w:lang w:val="en-AU"/>
        </w:rPr>
        <w:t>Access to and use of evidence-based guidelines for prescribing antimicrobial treatment to improve appropriateness in relation to choice of agent, duration of use and the volume of topical antimicrobial use</w:t>
      </w:r>
    </w:p>
    <w:p w:rsidR="001933D2" w:rsidRPr="001933D2" w:rsidRDefault="001933D2" w:rsidP="001933D2">
      <w:pPr>
        <w:pStyle w:val="ListParagraph"/>
        <w:keepNext/>
        <w:numPr>
          <w:ilvl w:val="0"/>
          <w:numId w:val="20"/>
        </w:numPr>
        <w:rPr>
          <w:rFonts w:ascii="Garamond" w:hAnsi="Garamond"/>
          <w:lang w:val="en-AU"/>
        </w:rPr>
      </w:pPr>
      <w:r w:rsidRPr="001933D2">
        <w:rPr>
          <w:rFonts w:ascii="Garamond" w:hAnsi="Garamond"/>
          <w:lang w:val="en-AU"/>
        </w:rPr>
        <w:t xml:space="preserve">Use of medication charts that are consistent with the Commission’s </w:t>
      </w:r>
      <w:r w:rsidRPr="001933D2">
        <w:rPr>
          <w:rFonts w:ascii="Garamond" w:hAnsi="Garamond"/>
          <w:i/>
          <w:lang w:val="en-AU"/>
        </w:rPr>
        <w:t>National Residential Medication Chart</w:t>
      </w:r>
      <w:r>
        <w:rPr>
          <w:rFonts w:ascii="Garamond" w:hAnsi="Garamond"/>
          <w:i/>
          <w:lang w:val="en-AU"/>
        </w:rPr>
        <w:t xml:space="preserve"> </w:t>
      </w:r>
      <w:r>
        <w:rPr>
          <w:rFonts w:ascii="Garamond" w:hAnsi="Garamond"/>
          <w:lang w:val="en-AU"/>
        </w:rPr>
        <w:t>(</w:t>
      </w:r>
      <w:hyperlink r:id="rId18" w:history="1">
        <w:r w:rsidRPr="00841DB4">
          <w:rPr>
            <w:rStyle w:val="Hyperlink"/>
            <w:rFonts w:ascii="Garamond" w:hAnsi="Garamond"/>
            <w:lang w:val="en-AU"/>
          </w:rPr>
          <w:t>https://www.safetyandquality.gov.au/our-work/medication-safety/national-residential-medication-chart</w:t>
        </w:r>
      </w:hyperlink>
      <w:r>
        <w:rPr>
          <w:rFonts w:ascii="Garamond" w:hAnsi="Garamond"/>
          <w:lang w:val="en-AU"/>
        </w:rPr>
        <w:t>)</w:t>
      </w:r>
      <w:r w:rsidR="003D7055">
        <w:rPr>
          <w:rFonts w:ascii="Garamond" w:hAnsi="Garamond"/>
          <w:lang w:val="en-AU"/>
        </w:rPr>
        <w:t xml:space="preserve"> </w:t>
      </w:r>
      <w:r w:rsidRPr="001933D2">
        <w:rPr>
          <w:rFonts w:ascii="Garamond" w:hAnsi="Garamond"/>
          <w:lang w:val="en-AU"/>
        </w:rPr>
        <w:t xml:space="preserve">to improve </w:t>
      </w:r>
      <w:r w:rsidR="003D7055">
        <w:rPr>
          <w:rFonts w:ascii="Garamond" w:hAnsi="Garamond"/>
          <w:lang w:val="en-AU"/>
        </w:rPr>
        <w:t xml:space="preserve">the </w:t>
      </w:r>
      <w:r w:rsidRPr="001933D2">
        <w:rPr>
          <w:rFonts w:ascii="Garamond" w:hAnsi="Garamond"/>
          <w:lang w:val="en-AU"/>
        </w:rPr>
        <w:t xml:space="preserve">documentation </w:t>
      </w:r>
      <w:r w:rsidR="003D7055">
        <w:rPr>
          <w:rFonts w:ascii="Garamond" w:hAnsi="Garamond"/>
          <w:lang w:val="en-AU"/>
        </w:rPr>
        <w:t>for antimicrobial prescriptions</w:t>
      </w:r>
    </w:p>
    <w:p w:rsidR="0074505C" w:rsidRPr="001933D2" w:rsidRDefault="001933D2" w:rsidP="001933D2">
      <w:pPr>
        <w:pStyle w:val="ListParagraph"/>
        <w:keepNext/>
        <w:numPr>
          <w:ilvl w:val="0"/>
          <w:numId w:val="20"/>
        </w:numPr>
        <w:rPr>
          <w:rFonts w:ascii="Garamond" w:hAnsi="Garamond"/>
          <w:lang w:val="en-AU"/>
        </w:rPr>
      </w:pPr>
      <w:r w:rsidRPr="001933D2">
        <w:rPr>
          <w:rFonts w:ascii="Garamond" w:hAnsi="Garamond"/>
          <w:lang w:val="en-AU"/>
        </w:rPr>
        <w:t>Routine antimicrobial therapy review, including prescriptions for prophylaxis, prn administration and topical antimicrobial use.</w:t>
      </w:r>
    </w:p>
    <w:p w:rsidR="001933D2" w:rsidRDefault="001933D2" w:rsidP="00C17C82">
      <w:pPr>
        <w:keepNext/>
        <w:ind w:left="720" w:hanging="720"/>
        <w:rPr>
          <w:rFonts w:ascii="Garamond" w:hAnsi="Garamond"/>
          <w:b/>
          <w:lang w:val="en-AU"/>
        </w:rPr>
      </w:pPr>
    </w:p>
    <w:p w:rsidR="003D7055" w:rsidRDefault="003D7055" w:rsidP="00C17C82">
      <w:pPr>
        <w:keepNext/>
        <w:ind w:left="720" w:hanging="720"/>
        <w:rPr>
          <w:rFonts w:ascii="Garamond" w:hAnsi="Garamond"/>
          <w:b/>
          <w:lang w:val="en-AU"/>
        </w:rPr>
      </w:pPr>
    </w:p>
    <w:p w:rsidR="00317CA5" w:rsidRDefault="00317CA5" w:rsidP="00C17C82">
      <w:pPr>
        <w:keepNext/>
        <w:ind w:left="720" w:hanging="720"/>
        <w:rPr>
          <w:rFonts w:ascii="Garamond" w:hAnsi="Garamond"/>
          <w:b/>
          <w:lang w:val="en-AU"/>
        </w:rPr>
      </w:pPr>
      <w:r>
        <w:rPr>
          <w:rFonts w:ascii="Garamond" w:hAnsi="Garamond"/>
          <w:b/>
          <w:lang w:val="en-AU"/>
        </w:rPr>
        <w:t>Books</w:t>
      </w:r>
    </w:p>
    <w:p w:rsidR="00C918DE" w:rsidRPr="00C918DE" w:rsidRDefault="00C918DE" w:rsidP="00C918DE">
      <w:pPr>
        <w:keepNext/>
        <w:keepLines/>
        <w:autoSpaceDE w:val="0"/>
        <w:autoSpaceDN w:val="0"/>
        <w:adjustRightInd w:val="0"/>
        <w:rPr>
          <w:rFonts w:ascii="Garamond" w:hAnsi="Garamond"/>
          <w:lang w:val="en-AU"/>
        </w:rPr>
      </w:pPr>
    </w:p>
    <w:p w:rsidR="001B2BB9" w:rsidRDefault="001B2BB9" w:rsidP="00C918DE">
      <w:pPr>
        <w:keepNext/>
        <w:keepLines/>
        <w:autoSpaceDE w:val="0"/>
        <w:autoSpaceDN w:val="0"/>
        <w:adjustRightInd w:val="0"/>
        <w:rPr>
          <w:rFonts w:ascii="Garamond" w:hAnsi="Garamond"/>
          <w:i/>
          <w:lang w:val="en-AU"/>
        </w:rPr>
      </w:pPr>
      <w:r w:rsidRPr="001B2BB9">
        <w:rPr>
          <w:rFonts w:ascii="Garamond" w:hAnsi="Garamond"/>
          <w:i/>
          <w:lang w:val="en-AU"/>
        </w:rPr>
        <w:t>Taking Action Against Clinician Burnout: A Systems Approach to Professional Well-Being</w:t>
      </w:r>
    </w:p>
    <w:p w:rsidR="001B2BB9" w:rsidRDefault="001B2BB9" w:rsidP="00C918DE">
      <w:pPr>
        <w:keepNext/>
        <w:keepLines/>
        <w:autoSpaceDE w:val="0"/>
        <w:autoSpaceDN w:val="0"/>
        <w:adjustRightInd w:val="0"/>
        <w:rPr>
          <w:rFonts w:ascii="Garamond" w:hAnsi="Garamond"/>
          <w:lang w:val="en-AU"/>
        </w:rPr>
      </w:pPr>
      <w:r w:rsidRPr="001B2BB9">
        <w:rPr>
          <w:rFonts w:ascii="Garamond" w:hAnsi="Garamond"/>
          <w:lang w:val="en-AU"/>
        </w:rPr>
        <w:t>National Academy of M</w:t>
      </w:r>
      <w:r>
        <w:rPr>
          <w:rFonts w:ascii="Garamond" w:hAnsi="Garamond"/>
          <w:lang w:val="en-AU"/>
        </w:rPr>
        <w:t>edicine;</w:t>
      </w:r>
      <w:r w:rsidRPr="001B2BB9">
        <w:rPr>
          <w:rFonts w:ascii="Garamond" w:hAnsi="Garamond"/>
          <w:lang w:val="en-AU"/>
        </w:rPr>
        <w:t xml:space="preserve"> National Academies of Sciences, Engineering, and Medicine.</w:t>
      </w:r>
    </w:p>
    <w:p w:rsidR="001B2BB9" w:rsidRDefault="001B2BB9" w:rsidP="00C918DE">
      <w:pPr>
        <w:keepNext/>
        <w:keepLines/>
        <w:autoSpaceDE w:val="0"/>
        <w:autoSpaceDN w:val="0"/>
        <w:adjustRightInd w:val="0"/>
        <w:rPr>
          <w:rFonts w:ascii="Garamond" w:hAnsi="Garamond"/>
          <w:lang w:val="en-AU"/>
        </w:rPr>
      </w:pPr>
      <w:r w:rsidRPr="001B2BB9">
        <w:rPr>
          <w:rFonts w:ascii="Garamond" w:hAnsi="Garamond"/>
          <w:lang w:val="en-AU"/>
        </w:rPr>
        <w:t>Washington, DC: The National Academies Press; 2019.</w:t>
      </w:r>
    </w:p>
    <w:tbl>
      <w:tblPr>
        <w:tblStyle w:val="TableGrid"/>
        <w:tblW w:w="0" w:type="auto"/>
        <w:tblInd w:w="288" w:type="dxa"/>
        <w:tblLayout w:type="fixed"/>
        <w:tblLook w:val="01E0" w:firstRow="1" w:lastRow="1" w:firstColumn="1" w:lastColumn="1" w:noHBand="0" w:noVBand="0"/>
      </w:tblPr>
      <w:tblGrid>
        <w:gridCol w:w="1080"/>
        <w:gridCol w:w="8280"/>
      </w:tblGrid>
      <w:tr w:rsidR="00317CA5"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B81C8E" w:rsidP="007A474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B2BB9" w:rsidRPr="000170DA" w:rsidRDefault="00165452" w:rsidP="00B81C8E">
            <w:pPr>
              <w:rPr>
                <w:rStyle w:val="Hyperlink"/>
                <w:rFonts w:ascii="Garamond" w:hAnsi="Garamond"/>
                <w:color w:val="auto"/>
                <w:u w:val="none"/>
                <w:lang w:val="en-AU"/>
              </w:rPr>
            </w:pPr>
            <w:hyperlink r:id="rId19" w:history="1">
              <w:r w:rsidR="001B2BB9" w:rsidRPr="00841DB4">
                <w:rPr>
                  <w:rStyle w:val="Hyperlink"/>
                  <w:rFonts w:ascii="Garamond" w:hAnsi="Garamond"/>
                  <w:lang w:val="en-AU"/>
                </w:rPr>
                <w:t>https://doi.org/10.17226/25521</w:t>
              </w:r>
            </w:hyperlink>
          </w:p>
        </w:tc>
      </w:tr>
      <w:tr w:rsidR="00317CA5"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317CA5"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B2BB9" w:rsidRPr="001B2BB9" w:rsidRDefault="001B2BB9" w:rsidP="001B2BB9">
            <w:pPr>
              <w:rPr>
                <w:rFonts w:ascii="Garamond" w:hAnsi="Garamond"/>
                <w:lang w:val="en-AU"/>
              </w:rPr>
            </w:pPr>
            <w:r>
              <w:rPr>
                <w:rFonts w:ascii="Garamond" w:hAnsi="Garamond"/>
                <w:lang w:val="en-AU"/>
              </w:rPr>
              <w:t xml:space="preserve">Burnout of healthcare workers has been recognised as a significant issue, with safety and quality implications. This report from </w:t>
            </w:r>
            <w:r w:rsidRPr="001B2BB9">
              <w:rPr>
                <w:rFonts w:ascii="Garamond" w:hAnsi="Garamond"/>
                <w:lang w:val="en-AU"/>
              </w:rPr>
              <w:t xml:space="preserve">an ad hoc committee under the auspices of the </w:t>
            </w:r>
            <w:r>
              <w:rPr>
                <w:rFonts w:ascii="Garamond" w:hAnsi="Garamond"/>
                <w:lang w:val="en-AU"/>
              </w:rPr>
              <w:t xml:space="preserve">USA’s </w:t>
            </w:r>
            <w:r w:rsidRPr="001B2BB9">
              <w:rPr>
                <w:rFonts w:ascii="Garamond" w:hAnsi="Garamond"/>
                <w:lang w:val="en-AU"/>
              </w:rPr>
              <w:t>National</w:t>
            </w:r>
            <w:r>
              <w:rPr>
                <w:rFonts w:ascii="Garamond" w:hAnsi="Garamond"/>
                <w:lang w:val="en-AU"/>
              </w:rPr>
              <w:t xml:space="preserve"> </w:t>
            </w:r>
            <w:r w:rsidRPr="001B2BB9">
              <w:rPr>
                <w:rFonts w:ascii="Garamond" w:hAnsi="Garamond"/>
                <w:lang w:val="en-AU"/>
              </w:rPr>
              <w:t>Academies of Sciences, Engineering, and Medicine examined the scientific evidence regarding the causes</w:t>
            </w:r>
            <w:r>
              <w:rPr>
                <w:rFonts w:ascii="Garamond" w:hAnsi="Garamond"/>
                <w:lang w:val="en-AU"/>
              </w:rPr>
              <w:t xml:space="preserve"> </w:t>
            </w:r>
            <w:r w:rsidRPr="001B2BB9">
              <w:rPr>
                <w:rFonts w:ascii="Garamond" w:hAnsi="Garamond"/>
                <w:lang w:val="en-AU"/>
              </w:rPr>
              <w:t>of clinician burnout as well as the consequences for both clinicians and patients, and interventions to</w:t>
            </w:r>
            <w:r>
              <w:rPr>
                <w:rFonts w:ascii="Garamond" w:hAnsi="Garamond"/>
                <w:lang w:val="en-AU"/>
              </w:rPr>
              <w:t xml:space="preserve"> </w:t>
            </w:r>
            <w:r w:rsidRPr="001B2BB9">
              <w:rPr>
                <w:rFonts w:ascii="Garamond" w:hAnsi="Garamond"/>
                <w:lang w:val="en-AU"/>
              </w:rPr>
              <w:t>support clinician well-being and resilience</w:t>
            </w:r>
            <w:r>
              <w:rPr>
                <w:rFonts w:ascii="Garamond" w:hAnsi="Garamond"/>
                <w:lang w:val="en-AU"/>
              </w:rPr>
              <w:t xml:space="preserve">. </w:t>
            </w:r>
            <w:r w:rsidRPr="001B2BB9">
              <w:rPr>
                <w:rFonts w:ascii="Garamond" w:hAnsi="Garamond"/>
                <w:lang w:val="en-AU"/>
              </w:rPr>
              <w:t>The committee recommended guidelines for</w:t>
            </w:r>
            <w:r>
              <w:rPr>
                <w:rFonts w:ascii="Garamond" w:hAnsi="Garamond"/>
                <w:lang w:val="en-AU"/>
              </w:rPr>
              <w:t xml:space="preserve"> </w:t>
            </w:r>
            <w:r w:rsidRPr="001B2BB9">
              <w:rPr>
                <w:rFonts w:ascii="Garamond" w:hAnsi="Garamond"/>
                <w:lang w:val="en-AU"/>
              </w:rPr>
              <w:t>designing and implementing work system changes</w:t>
            </w:r>
            <w:r>
              <w:rPr>
                <w:rFonts w:ascii="Garamond" w:hAnsi="Garamond"/>
                <w:lang w:val="en-AU"/>
              </w:rPr>
              <w:t xml:space="preserve"> </w:t>
            </w:r>
            <w:r w:rsidRPr="001B2BB9">
              <w:rPr>
                <w:rFonts w:ascii="Garamond" w:hAnsi="Garamond"/>
                <w:lang w:val="en-AU"/>
              </w:rPr>
              <w:t>that foster and sustain professional well-being</w:t>
            </w:r>
            <w:r>
              <w:rPr>
                <w:rFonts w:ascii="Garamond" w:hAnsi="Garamond"/>
                <w:lang w:val="en-AU"/>
              </w:rPr>
              <w:t xml:space="preserve"> </w:t>
            </w:r>
            <w:r w:rsidRPr="001B2BB9">
              <w:rPr>
                <w:rFonts w:ascii="Garamond" w:hAnsi="Garamond"/>
                <w:lang w:val="en-AU"/>
              </w:rPr>
              <w:t>among clinicians and learners reflect evidence</w:t>
            </w:r>
            <w:r>
              <w:rPr>
                <w:rFonts w:ascii="Garamond" w:hAnsi="Garamond"/>
                <w:lang w:val="en-AU"/>
              </w:rPr>
              <w:t>-</w:t>
            </w:r>
            <w:r w:rsidRPr="001B2BB9">
              <w:rPr>
                <w:rFonts w:ascii="Garamond" w:hAnsi="Garamond"/>
                <w:lang w:val="en-AU"/>
              </w:rPr>
              <w:t>based principles for creating high-functioning</w:t>
            </w:r>
            <w:r>
              <w:rPr>
                <w:rFonts w:ascii="Garamond" w:hAnsi="Garamond"/>
                <w:lang w:val="en-AU"/>
              </w:rPr>
              <w:t xml:space="preserve"> </w:t>
            </w:r>
            <w:r w:rsidRPr="001B2BB9">
              <w:rPr>
                <w:rFonts w:ascii="Garamond" w:hAnsi="Garamond"/>
                <w:lang w:val="en-AU"/>
              </w:rPr>
              <w:t>systems and healthy work environments.</w:t>
            </w:r>
            <w:r>
              <w:rPr>
                <w:rFonts w:ascii="Garamond" w:hAnsi="Garamond"/>
                <w:lang w:val="en-AU"/>
              </w:rPr>
              <w:t xml:space="preserve"> </w:t>
            </w:r>
            <w:r w:rsidRPr="001B2BB9">
              <w:rPr>
                <w:rFonts w:ascii="Garamond" w:hAnsi="Garamond"/>
                <w:lang w:val="en-AU"/>
              </w:rPr>
              <w:t>The committee proposed six goals and</w:t>
            </w:r>
            <w:r>
              <w:rPr>
                <w:rFonts w:ascii="Garamond" w:hAnsi="Garamond"/>
                <w:lang w:val="en-AU"/>
              </w:rPr>
              <w:t xml:space="preserve"> </w:t>
            </w:r>
            <w:r w:rsidRPr="001B2BB9">
              <w:rPr>
                <w:rFonts w:ascii="Garamond" w:hAnsi="Garamond"/>
                <w:lang w:val="en-AU"/>
              </w:rPr>
              <w:t>recommended system-wide actions to accelerate</w:t>
            </w:r>
            <w:r>
              <w:rPr>
                <w:rFonts w:ascii="Garamond" w:hAnsi="Garamond"/>
                <w:lang w:val="en-AU"/>
              </w:rPr>
              <w:t xml:space="preserve"> </w:t>
            </w:r>
            <w:r w:rsidRPr="001B2BB9">
              <w:rPr>
                <w:rFonts w:ascii="Garamond" w:hAnsi="Garamond"/>
                <w:lang w:val="en-AU"/>
              </w:rPr>
              <w:t>progress toward burnout prevention and reduction</w:t>
            </w:r>
            <w:r>
              <w:rPr>
                <w:rFonts w:ascii="Garamond" w:hAnsi="Garamond"/>
                <w:lang w:val="en-AU"/>
              </w:rPr>
              <w:t xml:space="preserve"> </w:t>
            </w:r>
            <w:r w:rsidRPr="001B2BB9">
              <w:rPr>
                <w:rFonts w:ascii="Garamond" w:hAnsi="Garamond"/>
                <w:lang w:val="en-AU"/>
              </w:rPr>
              <w:t>for clinicians and learners.</w:t>
            </w:r>
          </w:p>
          <w:p w:rsidR="001B2BB9" w:rsidRPr="001B2BB9" w:rsidRDefault="001B2BB9" w:rsidP="001B2BB9">
            <w:pPr>
              <w:pStyle w:val="ListParagraph"/>
              <w:numPr>
                <w:ilvl w:val="0"/>
                <w:numId w:val="22"/>
              </w:numPr>
              <w:rPr>
                <w:rFonts w:ascii="Garamond" w:hAnsi="Garamond"/>
                <w:lang w:val="en-AU"/>
              </w:rPr>
            </w:pPr>
            <w:r w:rsidRPr="001B2BB9">
              <w:rPr>
                <w:rFonts w:ascii="Garamond" w:hAnsi="Garamond"/>
                <w:b/>
                <w:lang w:val="en-AU"/>
              </w:rPr>
              <w:t>Create Positive Work Environments</w:t>
            </w:r>
            <w:r w:rsidRPr="001B2BB9">
              <w:rPr>
                <w:rFonts w:ascii="Garamond" w:hAnsi="Garamond"/>
                <w:lang w:val="en-AU"/>
              </w:rPr>
              <w:t>: Transform health care work systems by creating positive work environments that prevent and reduce burnout, foster professional well-being, and support quality care.</w:t>
            </w:r>
          </w:p>
          <w:p w:rsidR="001B2BB9" w:rsidRPr="001B2BB9" w:rsidRDefault="001B2BB9" w:rsidP="001B2BB9">
            <w:pPr>
              <w:pStyle w:val="ListParagraph"/>
              <w:numPr>
                <w:ilvl w:val="0"/>
                <w:numId w:val="22"/>
              </w:numPr>
              <w:rPr>
                <w:rFonts w:ascii="Garamond" w:hAnsi="Garamond"/>
                <w:lang w:val="en-AU"/>
              </w:rPr>
            </w:pPr>
            <w:r w:rsidRPr="001B2BB9">
              <w:rPr>
                <w:rFonts w:ascii="Garamond" w:hAnsi="Garamond"/>
                <w:b/>
                <w:lang w:val="en-AU"/>
              </w:rPr>
              <w:t>Create Positive Learning Environments</w:t>
            </w:r>
            <w:r w:rsidRPr="001B2BB9">
              <w:rPr>
                <w:rFonts w:ascii="Garamond" w:hAnsi="Garamond"/>
                <w:lang w:val="en-AU"/>
              </w:rPr>
              <w:t>: Transform health professions education and training to optimize learning environments that prevent and reduce burnout and foster professional well-being.</w:t>
            </w:r>
          </w:p>
          <w:p w:rsidR="001B2BB9" w:rsidRPr="001B2BB9" w:rsidRDefault="001B2BB9" w:rsidP="001B2BB9">
            <w:pPr>
              <w:pStyle w:val="ListParagraph"/>
              <w:numPr>
                <w:ilvl w:val="0"/>
                <w:numId w:val="22"/>
              </w:numPr>
              <w:rPr>
                <w:rFonts w:ascii="Garamond" w:hAnsi="Garamond"/>
                <w:lang w:val="en-AU"/>
              </w:rPr>
            </w:pPr>
            <w:r w:rsidRPr="001B2BB9">
              <w:rPr>
                <w:rFonts w:ascii="Garamond" w:hAnsi="Garamond"/>
                <w:b/>
                <w:lang w:val="en-AU"/>
              </w:rPr>
              <w:t>Reduce Administrative Burden</w:t>
            </w:r>
            <w:r w:rsidRPr="001B2BB9">
              <w:rPr>
                <w:rFonts w:ascii="Garamond" w:hAnsi="Garamond"/>
                <w:lang w:val="en-AU"/>
              </w:rPr>
              <w:t>: Prevent and reduce the negative consequences on clinicians’ professional well-being that result from laws, regulations, policies, and standards promulgated by health care policy, regulatory, and standards-setting entities, including government agencies (federal, state, and local), professional organizations, and accreditors.</w:t>
            </w:r>
          </w:p>
          <w:p w:rsidR="001B2BB9" w:rsidRPr="001B2BB9" w:rsidRDefault="001B2BB9" w:rsidP="001B2BB9">
            <w:pPr>
              <w:pStyle w:val="ListParagraph"/>
              <w:numPr>
                <w:ilvl w:val="0"/>
                <w:numId w:val="22"/>
              </w:numPr>
              <w:rPr>
                <w:rFonts w:ascii="Garamond" w:hAnsi="Garamond"/>
                <w:lang w:val="en-AU"/>
              </w:rPr>
            </w:pPr>
            <w:r w:rsidRPr="001B2BB9">
              <w:rPr>
                <w:rFonts w:ascii="Garamond" w:hAnsi="Garamond"/>
                <w:b/>
                <w:lang w:val="en-AU"/>
              </w:rPr>
              <w:t>Enable Technology Solutions</w:t>
            </w:r>
            <w:r w:rsidRPr="001B2BB9">
              <w:rPr>
                <w:rFonts w:ascii="Garamond" w:hAnsi="Garamond"/>
                <w:lang w:val="en-AU"/>
              </w:rPr>
              <w:t>: Optimize the use of health information technologies to support clinicians in providing high-quality patient care.</w:t>
            </w:r>
          </w:p>
          <w:p w:rsidR="001B2BB9" w:rsidRDefault="001B2BB9" w:rsidP="001B2BB9">
            <w:pPr>
              <w:pStyle w:val="ListParagraph"/>
              <w:numPr>
                <w:ilvl w:val="0"/>
                <w:numId w:val="22"/>
              </w:numPr>
              <w:rPr>
                <w:rFonts w:ascii="Garamond" w:hAnsi="Garamond"/>
                <w:lang w:val="en-AU"/>
              </w:rPr>
            </w:pPr>
            <w:r w:rsidRPr="001B2BB9">
              <w:rPr>
                <w:rFonts w:ascii="Garamond" w:hAnsi="Garamond"/>
                <w:b/>
                <w:lang w:val="en-AU"/>
              </w:rPr>
              <w:t>Provide Support to Clinicians and Learners</w:t>
            </w:r>
            <w:r w:rsidRPr="001B2BB9">
              <w:rPr>
                <w:rFonts w:ascii="Garamond" w:hAnsi="Garamond"/>
                <w:lang w:val="en-AU"/>
              </w:rPr>
              <w:t>: Reduce the stigma and eliminate the barriers associated with obtaining the support and services needed to prevent and alleviate burnout symptoms, facilitate recovery from burnout, and foster professional well-being among learners and practicing clinicians.</w:t>
            </w:r>
          </w:p>
          <w:p w:rsidR="009E44DB" w:rsidRPr="001B2BB9" w:rsidRDefault="001B2BB9" w:rsidP="001B2BB9">
            <w:pPr>
              <w:pStyle w:val="ListParagraph"/>
              <w:numPr>
                <w:ilvl w:val="0"/>
                <w:numId w:val="22"/>
              </w:numPr>
              <w:rPr>
                <w:rFonts w:ascii="Garamond" w:hAnsi="Garamond"/>
                <w:lang w:val="en-AU"/>
              </w:rPr>
            </w:pPr>
            <w:r w:rsidRPr="001B2BB9">
              <w:rPr>
                <w:rFonts w:ascii="Garamond" w:hAnsi="Garamond"/>
                <w:b/>
                <w:lang w:val="en-AU"/>
              </w:rPr>
              <w:t>Invest in Research</w:t>
            </w:r>
            <w:r w:rsidRPr="001B2BB9">
              <w:rPr>
                <w:rFonts w:ascii="Garamond" w:hAnsi="Garamond"/>
                <w:lang w:val="en-AU"/>
              </w:rPr>
              <w:t>: Provide dedicated funding for research on clinician professional well-being.</w:t>
            </w:r>
          </w:p>
        </w:tc>
      </w:tr>
    </w:tbl>
    <w:p w:rsidR="00346A83" w:rsidRDefault="00346A83" w:rsidP="00C17C82">
      <w:pPr>
        <w:keepNext/>
        <w:ind w:left="720" w:hanging="720"/>
        <w:rPr>
          <w:rFonts w:ascii="Garamond" w:hAnsi="Garamond"/>
          <w:lang w:val="en-AU"/>
        </w:rPr>
      </w:pPr>
    </w:p>
    <w:p w:rsidR="00317CA5" w:rsidRDefault="00317CA5" w:rsidP="00C17C82">
      <w:pPr>
        <w:keepNext/>
        <w:ind w:left="720" w:hanging="720"/>
        <w:rPr>
          <w:rFonts w:ascii="Garamond" w:hAnsi="Garamond"/>
          <w:b/>
          <w:lang w:val="en-AU"/>
        </w:rPr>
      </w:pPr>
      <w:r>
        <w:rPr>
          <w:rFonts w:ascii="Garamond" w:hAnsi="Garamond"/>
          <w:b/>
          <w:lang w:val="en-AU"/>
        </w:rPr>
        <w:t>Reports</w:t>
      </w:r>
    </w:p>
    <w:p w:rsidR="00042AC4" w:rsidRDefault="00042AC4" w:rsidP="00754494">
      <w:pPr>
        <w:keepNext/>
        <w:keepLines/>
        <w:autoSpaceDE w:val="0"/>
        <w:autoSpaceDN w:val="0"/>
        <w:adjustRightInd w:val="0"/>
        <w:rPr>
          <w:rFonts w:ascii="Garamond" w:hAnsi="Garamond"/>
          <w:lang w:val="en-AU"/>
        </w:rPr>
      </w:pPr>
    </w:p>
    <w:p w:rsidR="00C07653" w:rsidRPr="00853F74" w:rsidRDefault="00853F74" w:rsidP="00C07653">
      <w:pPr>
        <w:keepNext/>
        <w:keepLines/>
        <w:autoSpaceDE w:val="0"/>
        <w:autoSpaceDN w:val="0"/>
        <w:adjustRightInd w:val="0"/>
        <w:rPr>
          <w:rFonts w:ascii="Garamond" w:hAnsi="Garamond"/>
          <w:i/>
          <w:lang w:val="en-AU"/>
        </w:rPr>
      </w:pPr>
      <w:r w:rsidRPr="00853F74">
        <w:rPr>
          <w:rFonts w:ascii="Garamond" w:hAnsi="Garamond"/>
          <w:i/>
          <w:lang w:val="en-AU"/>
        </w:rPr>
        <w:t>Investigation into electronic prescribing and medicines administration systems and safe discharge</w:t>
      </w:r>
    </w:p>
    <w:p w:rsidR="00C37C29" w:rsidRDefault="00C37C29" w:rsidP="00C07653">
      <w:pPr>
        <w:keepNext/>
        <w:keepLines/>
        <w:autoSpaceDE w:val="0"/>
        <w:autoSpaceDN w:val="0"/>
        <w:adjustRightInd w:val="0"/>
        <w:rPr>
          <w:rFonts w:ascii="Garamond" w:hAnsi="Garamond"/>
          <w:lang w:val="en-AU"/>
        </w:rPr>
      </w:pPr>
      <w:r w:rsidRPr="00C37C29">
        <w:rPr>
          <w:rFonts w:ascii="Garamond" w:hAnsi="Garamond"/>
          <w:lang w:val="en-AU"/>
        </w:rPr>
        <w:t>Healthcare Safety Investigation I2018/018</w:t>
      </w:r>
    </w:p>
    <w:p w:rsidR="00C37C29" w:rsidRDefault="00C37C29" w:rsidP="00C37C29">
      <w:pPr>
        <w:keepNext/>
        <w:keepLines/>
        <w:autoSpaceDE w:val="0"/>
        <w:autoSpaceDN w:val="0"/>
        <w:adjustRightInd w:val="0"/>
        <w:rPr>
          <w:rFonts w:ascii="Garamond" w:hAnsi="Garamond"/>
          <w:lang w:val="en-AU"/>
        </w:rPr>
      </w:pPr>
      <w:r w:rsidRPr="00C37C29">
        <w:rPr>
          <w:rFonts w:ascii="Garamond" w:hAnsi="Garamond"/>
          <w:lang w:val="en-AU"/>
        </w:rPr>
        <w:t>Healthcare Safety Investigation Branch</w:t>
      </w:r>
    </w:p>
    <w:p w:rsidR="00853F74" w:rsidRDefault="00C37C29" w:rsidP="00C07653">
      <w:pPr>
        <w:keepNext/>
        <w:keepLines/>
        <w:autoSpaceDE w:val="0"/>
        <w:autoSpaceDN w:val="0"/>
        <w:adjustRightInd w:val="0"/>
        <w:rPr>
          <w:rFonts w:ascii="Garamond" w:hAnsi="Garamond"/>
          <w:lang w:val="en-AU"/>
        </w:rPr>
      </w:pPr>
      <w:r w:rsidRPr="00C37C29">
        <w:rPr>
          <w:rFonts w:ascii="Garamond" w:hAnsi="Garamond"/>
          <w:lang w:val="en-AU"/>
        </w:rPr>
        <w:t>Farnborough: HSIB; 2019. p. 72.</w:t>
      </w:r>
    </w:p>
    <w:tbl>
      <w:tblPr>
        <w:tblStyle w:val="TableGrid"/>
        <w:tblW w:w="9360" w:type="dxa"/>
        <w:tblInd w:w="288" w:type="dxa"/>
        <w:tblLayout w:type="fixed"/>
        <w:tblLook w:val="01E0" w:firstRow="1" w:lastRow="1" w:firstColumn="1" w:lastColumn="1" w:noHBand="0" w:noVBand="0"/>
      </w:tblPr>
      <w:tblGrid>
        <w:gridCol w:w="1080"/>
        <w:gridCol w:w="8280"/>
      </w:tblGrid>
      <w:tr w:rsidR="002069DE" w:rsidRPr="000170DA" w:rsidTr="00652094">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7A474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356F" w:rsidRPr="000170DA" w:rsidRDefault="00165452" w:rsidP="00AE6FED">
            <w:pPr>
              <w:rPr>
                <w:rStyle w:val="Hyperlink"/>
                <w:rFonts w:ascii="Garamond" w:hAnsi="Garamond"/>
                <w:color w:val="auto"/>
                <w:u w:val="none"/>
                <w:lang w:val="en-AU"/>
              </w:rPr>
            </w:pPr>
            <w:hyperlink r:id="rId20" w:history="1">
              <w:r w:rsidR="00853F74" w:rsidRPr="00841DB4">
                <w:rPr>
                  <w:rStyle w:val="Hyperlink"/>
                  <w:rFonts w:ascii="Garamond" w:hAnsi="Garamond"/>
                  <w:lang w:val="en-AU"/>
                </w:rPr>
                <w:t>https://www.hsib.org.uk/investigations-cases/epma-systems-and-safe-discharge/final-report/</w:t>
              </w:r>
            </w:hyperlink>
            <w:r w:rsidR="00853F74">
              <w:rPr>
                <w:rStyle w:val="Hyperlink"/>
                <w:rFonts w:ascii="Garamond" w:hAnsi="Garamond"/>
                <w:color w:val="auto"/>
                <w:u w:val="none"/>
                <w:lang w:val="en-AU"/>
              </w:rPr>
              <w:t xml:space="preserve"> </w:t>
            </w:r>
          </w:p>
        </w:tc>
      </w:tr>
      <w:tr w:rsidR="002069DE" w:rsidRPr="000170DA" w:rsidTr="00652094">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07653" w:rsidRDefault="00853F74" w:rsidP="00C37C29">
            <w:pPr>
              <w:rPr>
                <w:rFonts w:ascii="Garamond" w:hAnsi="Garamond"/>
                <w:lang w:val="en-AU"/>
              </w:rPr>
            </w:pPr>
            <w:r>
              <w:rPr>
                <w:rFonts w:ascii="Garamond" w:hAnsi="Garamond"/>
                <w:lang w:val="en-AU"/>
              </w:rPr>
              <w:t xml:space="preserve">The UK’s Healthcare Safety Investigation Branch (HSIB) has just released </w:t>
            </w:r>
            <w:r w:rsidR="00C37C29">
              <w:rPr>
                <w:rFonts w:ascii="Garamond" w:hAnsi="Garamond"/>
                <w:lang w:val="en-AU"/>
              </w:rPr>
              <w:t xml:space="preserve">its final </w:t>
            </w:r>
            <w:r>
              <w:rPr>
                <w:rFonts w:ascii="Garamond" w:hAnsi="Garamond"/>
                <w:lang w:val="en-AU"/>
              </w:rPr>
              <w:t xml:space="preserve">report </w:t>
            </w:r>
            <w:r w:rsidR="00855E5A">
              <w:rPr>
                <w:rFonts w:ascii="Garamond" w:hAnsi="Garamond"/>
                <w:lang w:val="en-AU"/>
              </w:rPr>
              <w:t xml:space="preserve">(and summary report) </w:t>
            </w:r>
            <w:r w:rsidR="00C37C29">
              <w:rPr>
                <w:rFonts w:ascii="Garamond" w:hAnsi="Garamond"/>
                <w:lang w:val="en-AU"/>
              </w:rPr>
              <w:t xml:space="preserve">of an investigation into the impact of </w:t>
            </w:r>
            <w:r w:rsidR="00C37C29" w:rsidRPr="00C37C29">
              <w:rPr>
                <w:rFonts w:ascii="Garamond" w:hAnsi="Garamond"/>
                <w:lang w:val="en-AU"/>
              </w:rPr>
              <w:t>electronic prescribing and medicines administration</w:t>
            </w:r>
            <w:r w:rsidR="00C37C29">
              <w:rPr>
                <w:rFonts w:ascii="Garamond" w:hAnsi="Garamond"/>
                <w:lang w:val="en-AU"/>
              </w:rPr>
              <w:t xml:space="preserve"> </w:t>
            </w:r>
            <w:r w:rsidR="00C37C29" w:rsidRPr="00C37C29">
              <w:rPr>
                <w:rFonts w:ascii="Garamond" w:hAnsi="Garamond"/>
                <w:lang w:val="en-AU"/>
              </w:rPr>
              <w:t>(ePMA) systems</w:t>
            </w:r>
            <w:r w:rsidR="00C37C29">
              <w:rPr>
                <w:rFonts w:ascii="Garamond" w:hAnsi="Garamond"/>
                <w:lang w:val="en-AU"/>
              </w:rPr>
              <w:t xml:space="preserve"> </w:t>
            </w:r>
            <w:r w:rsidR="00C37C29" w:rsidRPr="00C37C29">
              <w:rPr>
                <w:rFonts w:ascii="Garamond" w:hAnsi="Garamond"/>
                <w:lang w:val="en-AU"/>
              </w:rPr>
              <w:t>on the safe discharge</w:t>
            </w:r>
            <w:r w:rsidR="00C37C29">
              <w:rPr>
                <w:rFonts w:ascii="Garamond" w:hAnsi="Garamond"/>
                <w:lang w:val="en-AU"/>
              </w:rPr>
              <w:t xml:space="preserve"> </w:t>
            </w:r>
            <w:r w:rsidR="00C37C29" w:rsidRPr="00C37C29">
              <w:rPr>
                <w:rFonts w:ascii="Garamond" w:hAnsi="Garamond"/>
                <w:lang w:val="en-AU"/>
              </w:rPr>
              <w:t>of patients</w:t>
            </w:r>
            <w:r w:rsidR="00C37C29">
              <w:rPr>
                <w:rFonts w:ascii="Garamond" w:hAnsi="Garamond"/>
                <w:lang w:val="en-AU"/>
              </w:rPr>
              <w:t xml:space="preserve"> and the </w:t>
            </w:r>
            <w:r w:rsidR="00C37C29" w:rsidRPr="00C37C29">
              <w:rPr>
                <w:rFonts w:ascii="Garamond" w:hAnsi="Garamond"/>
                <w:lang w:val="en-AU"/>
              </w:rPr>
              <w:t>influence of weekend working on patient safety</w:t>
            </w:r>
            <w:r w:rsidR="00C37C29">
              <w:rPr>
                <w:rFonts w:ascii="Garamond" w:hAnsi="Garamond"/>
                <w:lang w:val="en-AU"/>
              </w:rPr>
              <w:t xml:space="preserve"> </w:t>
            </w:r>
            <w:r w:rsidR="00C37C29" w:rsidRPr="00C37C29">
              <w:rPr>
                <w:rFonts w:ascii="Garamond" w:hAnsi="Garamond"/>
                <w:lang w:val="en-AU"/>
              </w:rPr>
              <w:t>in the context of the availability of support services</w:t>
            </w:r>
            <w:r w:rsidR="00C37C29">
              <w:rPr>
                <w:rFonts w:ascii="Garamond" w:hAnsi="Garamond"/>
                <w:lang w:val="en-AU"/>
              </w:rPr>
              <w:t xml:space="preserve"> </w:t>
            </w:r>
            <w:r w:rsidR="00C37C29" w:rsidRPr="00C37C29">
              <w:rPr>
                <w:rFonts w:ascii="Garamond" w:hAnsi="Garamond"/>
                <w:lang w:val="en-AU"/>
              </w:rPr>
              <w:t>and specialist input.</w:t>
            </w:r>
            <w:r w:rsidR="00C37C29">
              <w:rPr>
                <w:rFonts w:ascii="Garamond" w:hAnsi="Garamond"/>
                <w:lang w:val="en-AU"/>
              </w:rPr>
              <w:t xml:space="preserve"> The HSIB made a number of recommendations and observations</w:t>
            </w:r>
            <w:r w:rsidR="00855E5A">
              <w:rPr>
                <w:rFonts w:ascii="Garamond" w:hAnsi="Garamond"/>
                <w:lang w:val="en-AU"/>
              </w:rPr>
              <w:t xml:space="preserve"> that may have application beyond the UK context</w:t>
            </w:r>
            <w:r w:rsidR="00C37C29">
              <w:rPr>
                <w:rFonts w:ascii="Garamond" w:hAnsi="Garamond"/>
                <w:lang w:val="en-AU"/>
              </w:rPr>
              <w:t>. The recommendations include:</w:t>
            </w:r>
          </w:p>
          <w:p w:rsidR="00C37C29" w:rsidRPr="00C37C29" w:rsidRDefault="00C37C29" w:rsidP="00855E5A">
            <w:pPr>
              <w:pStyle w:val="ListParagraph"/>
              <w:numPr>
                <w:ilvl w:val="0"/>
                <w:numId w:val="23"/>
              </w:numPr>
              <w:rPr>
                <w:rFonts w:ascii="Garamond" w:hAnsi="Garamond"/>
                <w:lang w:val="en-AU"/>
              </w:rPr>
            </w:pPr>
            <w:r w:rsidRPr="00C37C29">
              <w:rPr>
                <w:rFonts w:ascii="Garamond" w:hAnsi="Garamond"/>
                <w:lang w:val="en-AU"/>
              </w:rPr>
              <w:t>NHSX develops a process to recognise and act on digital issues reported from the</w:t>
            </w:r>
            <w:r>
              <w:rPr>
                <w:rFonts w:ascii="Garamond" w:hAnsi="Garamond"/>
                <w:lang w:val="en-AU"/>
              </w:rPr>
              <w:t xml:space="preserve"> </w:t>
            </w:r>
            <w:r w:rsidRPr="00C37C29">
              <w:rPr>
                <w:rFonts w:ascii="Garamond" w:hAnsi="Garamond"/>
                <w:lang w:val="en-AU"/>
              </w:rPr>
              <w:t>Patient Safety Incident Management System.</w:t>
            </w:r>
          </w:p>
          <w:p w:rsidR="00C37C29" w:rsidRPr="00C37C29" w:rsidRDefault="00C37C29" w:rsidP="00855E5A">
            <w:pPr>
              <w:pStyle w:val="ListParagraph"/>
              <w:numPr>
                <w:ilvl w:val="0"/>
                <w:numId w:val="23"/>
              </w:numPr>
              <w:rPr>
                <w:rFonts w:ascii="Garamond" w:hAnsi="Garamond"/>
                <w:lang w:val="en-AU"/>
              </w:rPr>
            </w:pPr>
            <w:r w:rsidRPr="00C37C29">
              <w:rPr>
                <w:rFonts w:ascii="Garamond" w:hAnsi="Garamond"/>
                <w:lang w:val="en-AU"/>
              </w:rPr>
              <w:t xml:space="preserve">NHSX supports the development of </w:t>
            </w:r>
            <w:r w:rsidRPr="00855E5A">
              <w:rPr>
                <w:rFonts w:ascii="Garamond" w:hAnsi="Garamond"/>
                <w:b/>
                <w:lang w:val="en-AU"/>
              </w:rPr>
              <w:t>interoperability standards for medication messaging</w:t>
            </w:r>
            <w:r w:rsidRPr="00C37C29">
              <w:rPr>
                <w:rFonts w:ascii="Garamond" w:hAnsi="Garamond"/>
                <w:lang w:val="en-AU"/>
              </w:rPr>
              <w:t>.</w:t>
            </w:r>
          </w:p>
          <w:p w:rsidR="00C37C29" w:rsidRPr="00C37C29" w:rsidRDefault="00C37C29" w:rsidP="00855E5A">
            <w:pPr>
              <w:pStyle w:val="ListParagraph"/>
              <w:numPr>
                <w:ilvl w:val="0"/>
                <w:numId w:val="23"/>
              </w:numPr>
              <w:rPr>
                <w:rFonts w:ascii="Garamond" w:hAnsi="Garamond"/>
                <w:lang w:val="en-AU"/>
              </w:rPr>
            </w:pPr>
            <w:r w:rsidRPr="00C37C29">
              <w:rPr>
                <w:rFonts w:ascii="Garamond" w:hAnsi="Garamond"/>
                <w:lang w:val="en-AU"/>
              </w:rPr>
              <w:t>NHSX continues its assessment of the ePRaSE pilot and considers making ePRaSE a mandatory annual reporting requirement for the assessment and assurance of electronic prescribing and medicines administration safety.</w:t>
            </w:r>
          </w:p>
          <w:p w:rsidR="00C37C29" w:rsidRPr="00C37C29" w:rsidRDefault="00C37C29" w:rsidP="00855E5A">
            <w:pPr>
              <w:pStyle w:val="ListParagraph"/>
              <w:numPr>
                <w:ilvl w:val="0"/>
                <w:numId w:val="23"/>
              </w:numPr>
              <w:rPr>
                <w:rFonts w:ascii="Garamond" w:hAnsi="Garamond"/>
                <w:lang w:val="en-AU"/>
              </w:rPr>
            </w:pPr>
            <w:r w:rsidRPr="00C37C29">
              <w:rPr>
                <w:rFonts w:ascii="Garamond" w:hAnsi="Garamond"/>
                <w:lang w:val="en-AU"/>
              </w:rPr>
              <w:t xml:space="preserve">Department of Health and Social Care should consider how to prioritise the commissioning of research on </w:t>
            </w:r>
            <w:r w:rsidRPr="00855E5A">
              <w:rPr>
                <w:rFonts w:ascii="Garamond" w:hAnsi="Garamond"/>
                <w:b/>
                <w:lang w:val="en-AU"/>
              </w:rPr>
              <w:t>human factors and clinical decision support systems</w:t>
            </w:r>
            <w:r w:rsidRPr="00C37C29">
              <w:rPr>
                <w:rFonts w:ascii="Garamond" w:hAnsi="Garamond"/>
                <w:lang w:val="en-AU"/>
              </w:rPr>
              <w:t>; particularly in relation to the configuration of software system alerting and alert fatigue, to establish how best to maximise</w:t>
            </w:r>
            <w:r>
              <w:rPr>
                <w:rFonts w:ascii="Garamond" w:hAnsi="Garamond"/>
                <w:lang w:val="en-AU"/>
              </w:rPr>
              <w:t xml:space="preserve"> </w:t>
            </w:r>
            <w:r w:rsidRPr="00C37C29">
              <w:rPr>
                <w:rFonts w:ascii="Garamond" w:hAnsi="Garamond"/>
                <w:lang w:val="en-AU"/>
              </w:rPr>
              <w:t>clinician response to high risk medication alerts.</w:t>
            </w:r>
          </w:p>
          <w:p w:rsidR="00C37C29" w:rsidRPr="00C37C29" w:rsidRDefault="00C37C29" w:rsidP="00855E5A">
            <w:pPr>
              <w:pStyle w:val="ListParagraph"/>
              <w:numPr>
                <w:ilvl w:val="0"/>
                <w:numId w:val="23"/>
              </w:numPr>
              <w:rPr>
                <w:rFonts w:ascii="Garamond" w:hAnsi="Garamond"/>
                <w:lang w:val="en-AU"/>
              </w:rPr>
            </w:pPr>
            <w:r w:rsidRPr="00C37C29">
              <w:rPr>
                <w:rFonts w:ascii="Garamond" w:hAnsi="Garamond"/>
                <w:lang w:val="en-AU"/>
              </w:rPr>
              <w:t xml:space="preserve">NHS England and NHS Improvement include in the Medication Safety Programme </w:t>
            </w:r>
            <w:r w:rsidRPr="00855E5A">
              <w:rPr>
                <w:rFonts w:ascii="Garamond" w:hAnsi="Garamond"/>
                <w:b/>
                <w:lang w:val="en-AU"/>
              </w:rPr>
              <w:t>shared decision making</w:t>
            </w:r>
            <w:r w:rsidRPr="00C37C29">
              <w:rPr>
                <w:rFonts w:ascii="Garamond" w:hAnsi="Garamond"/>
                <w:lang w:val="en-AU"/>
              </w:rPr>
              <w:t xml:space="preserve"> and improved </w:t>
            </w:r>
            <w:r w:rsidRPr="00855E5A">
              <w:rPr>
                <w:rFonts w:ascii="Garamond" w:hAnsi="Garamond"/>
                <w:b/>
                <w:lang w:val="en-AU"/>
              </w:rPr>
              <w:t>patient access to medication information</w:t>
            </w:r>
            <w:r w:rsidRPr="00C37C29">
              <w:rPr>
                <w:rFonts w:ascii="Garamond" w:hAnsi="Garamond"/>
                <w:lang w:val="en-AU"/>
              </w:rPr>
              <w:t xml:space="preserve"> across all sectors of care, to ensure a </w:t>
            </w:r>
            <w:r w:rsidRPr="00855E5A">
              <w:rPr>
                <w:rFonts w:ascii="Garamond" w:hAnsi="Garamond"/>
                <w:b/>
                <w:lang w:val="en-AU"/>
              </w:rPr>
              <w:t>person-centred approach to safe and effective medicines use</w:t>
            </w:r>
            <w:r w:rsidRPr="00C37C29">
              <w:rPr>
                <w:rFonts w:ascii="Garamond" w:hAnsi="Garamond"/>
                <w:lang w:val="en-AU"/>
              </w:rPr>
              <w:t>.</w:t>
            </w:r>
          </w:p>
          <w:p w:rsidR="00C37C29" w:rsidRPr="00C37C29" w:rsidRDefault="00C37C29" w:rsidP="00855E5A">
            <w:pPr>
              <w:pStyle w:val="ListParagraph"/>
              <w:numPr>
                <w:ilvl w:val="0"/>
                <w:numId w:val="23"/>
              </w:numPr>
              <w:rPr>
                <w:rFonts w:ascii="Garamond" w:hAnsi="Garamond"/>
                <w:lang w:val="en-AU"/>
              </w:rPr>
            </w:pPr>
            <w:r w:rsidRPr="00C37C29">
              <w:rPr>
                <w:rFonts w:ascii="Garamond" w:hAnsi="Garamond"/>
                <w:lang w:val="en-AU"/>
              </w:rPr>
              <w:t>NHSX produces guidance for configuring the electronic discharge process, and how electronic prescribing and medicines administration systems</w:t>
            </w:r>
          </w:p>
          <w:p w:rsidR="00C37C29" w:rsidRDefault="00C37C29" w:rsidP="00C37C29">
            <w:pPr>
              <w:rPr>
                <w:rFonts w:ascii="Garamond" w:hAnsi="Garamond"/>
                <w:lang w:val="en-AU"/>
              </w:rPr>
            </w:pPr>
            <w:r>
              <w:rPr>
                <w:rFonts w:ascii="Garamond" w:hAnsi="Garamond"/>
                <w:lang w:val="en-AU"/>
              </w:rPr>
              <w:t>The observations include:</w:t>
            </w:r>
          </w:p>
          <w:p w:rsidR="00855E5A" w:rsidRPr="00855E5A" w:rsidRDefault="00855E5A" w:rsidP="00855E5A">
            <w:pPr>
              <w:pStyle w:val="ListParagraph"/>
              <w:numPr>
                <w:ilvl w:val="0"/>
                <w:numId w:val="23"/>
              </w:numPr>
              <w:rPr>
                <w:rFonts w:ascii="Garamond" w:hAnsi="Garamond"/>
                <w:lang w:val="en-AU"/>
              </w:rPr>
            </w:pPr>
            <w:r w:rsidRPr="00855E5A">
              <w:rPr>
                <w:rFonts w:ascii="Garamond" w:hAnsi="Garamond"/>
                <w:lang w:val="en-AU"/>
              </w:rPr>
              <w:t xml:space="preserve">The </w:t>
            </w:r>
            <w:r w:rsidRPr="00855E5A">
              <w:rPr>
                <w:rFonts w:ascii="Garamond" w:hAnsi="Garamond"/>
                <w:b/>
                <w:lang w:val="en-AU"/>
              </w:rPr>
              <w:t>use of paper and electronic systems in parallel should be minimised</w:t>
            </w:r>
            <w:r w:rsidRPr="00855E5A">
              <w:rPr>
                <w:rFonts w:ascii="Garamond" w:hAnsi="Garamond"/>
                <w:lang w:val="en-AU"/>
              </w:rPr>
              <w:t xml:space="preserve"> to reduce the risk of error</w:t>
            </w:r>
            <w:r>
              <w:rPr>
                <w:rFonts w:ascii="Garamond" w:hAnsi="Garamond"/>
                <w:lang w:val="en-AU"/>
              </w:rPr>
              <w:t xml:space="preserve"> </w:t>
            </w:r>
            <w:r w:rsidRPr="00855E5A">
              <w:rPr>
                <w:rFonts w:ascii="Garamond" w:hAnsi="Garamond"/>
                <w:lang w:val="en-AU"/>
              </w:rPr>
              <w:t>caused by multiple data entry/retrieval sources.</w:t>
            </w:r>
          </w:p>
          <w:p w:rsidR="00855E5A" w:rsidRPr="00855E5A" w:rsidRDefault="00855E5A" w:rsidP="00855E5A">
            <w:pPr>
              <w:pStyle w:val="ListParagraph"/>
              <w:numPr>
                <w:ilvl w:val="0"/>
                <w:numId w:val="23"/>
              </w:numPr>
              <w:rPr>
                <w:rFonts w:ascii="Garamond" w:hAnsi="Garamond"/>
                <w:lang w:val="en-AU"/>
              </w:rPr>
            </w:pPr>
            <w:r w:rsidRPr="00855E5A">
              <w:rPr>
                <w:rFonts w:ascii="Garamond" w:hAnsi="Garamond"/>
                <w:lang w:val="en-AU"/>
              </w:rPr>
              <w:t xml:space="preserve">The practice of documenting only newly </w:t>
            </w:r>
            <w:r w:rsidRPr="00855E5A">
              <w:rPr>
                <w:rFonts w:ascii="Garamond" w:hAnsi="Garamond"/>
                <w:b/>
                <w:lang w:val="en-AU"/>
              </w:rPr>
              <w:t>prescribed medication on discharge summaries</w:t>
            </w:r>
            <w:r w:rsidRPr="00855E5A">
              <w:rPr>
                <w:rFonts w:ascii="Garamond" w:hAnsi="Garamond"/>
                <w:lang w:val="en-AU"/>
              </w:rPr>
              <w:t xml:space="preserve"> should be reviewed from a patient safety and medicines</w:t>
            </w:r>
            <w:r>
              <w:rPr>
                <w:rFonts w:ascii="Garamond" w:hAnsi="Garamond"/>
                <w:lang w:val="en-AU"/>
              </w:rPr>
              <w:t xml:space="preserve"> </w:t>
            </w:r>
            <w:r w:rsidRPr="00855E5A">
              <w:rPr>
                <w:rFonts w:ascii="Garamond" w:hAnsi="Garamond"/>
                <w:lang w:val="en-AU"/>
              </w:rPr>
              <w:t>management perspective.</w:t>
            </w:r>
          </w:p>
          <w:p w:rsidR="00855E5A" w:rsidRPr="00855E5A" w:rsidRDefault="00855E5A" w:rsidP="00855E5A">
            <w:pPr>
              <w:pStyle w:val="ListParagraph"/>
              <w:numPr>
                <w:ilvl w:val="0"/>
                <w:numId w:val="23"/>
              </w:numPr>
              <w:rPr>
                <w:rFonts w:ascii="Garamond" w:hAnsi="Garamond"/>
                <w:lang w:val="en-AU"/>
              </w:rPr>
            </w:pPr>
            <w:r w:rsidRPr="00855E5A">
              <w:rPr>
                <w:rFonts w:ascii="Garamond" w:hAnsi="Garamond"/>
                <w:lang w:val="en-AU"/>
              </w:rPr>
              <w:t xml:space="preserve">Counselling of patients newly commenced on a </w:t>
            </w:r>
            <w:r w:rsidRPr="00855E5A">
              <w:rPr>
                <w:rFonts w:ascii="Garamond" w:hAnsi="Garamond"/>
                <w:b/>
                <w:lang w:val="en-AU"/>
              </w:rPr>
              <w:t>direct oral anticoagulant</w:t>
            </w:r>
            <w:r w:rsidRPr="00855E5A">
              <w:rPr>
                <w:rFonts w:ascii="Garamond" w:hAnsi="Garamond"/>
                <w:lang w:val="en-AU"/>
              </w:rPr>
              <w:t xml:space="preserve"> is critical to the safe use of these medicines. It would be helpful if NHS trusts reviewed this practice paying particular consideration to the communication of changes in</w:t>
            </w:r>
            <w:r>
              <w:rPr>
                <w:rFonts w:ascii="Garamond" w:hAnsi="Garamond"/>
                <w:lang w:val="en-AU"/>
              </w:rPr>
              <w:t xml:space="preserve"> </w:t>
            </w:r>
            <w:r w:rsidRPr="00855E5A">
              <w:rPr>
                <w:rFonts w:ascii="Garamond" w:hAnsi="Garamond"/>
                <w:lang w:val="en-AU"/>
              </w:rPr>
              <w:t>medication and the initiation of new medication</w:t>
            </w:r>
          </w:p>
          <w:p w:rsidR="00855E5A" w:rsidRPr="00855E5A" w:rsidRDefault="00855E5A" w:rsidP="00855E5A">
            <w:pPr>
              <w:pStyle w:val="ListParagraph"/>
              <w:numPr>
                <w:ilvl w:val="0"/>
                <w:numId w:val="23"/>
              </w:numPr>
              <w:rPr>
                <w:rFonts w:ascii="Garamond" w:hAnsi="Garamond"/>
                <w:lang w:val="en-AU"/>
              </w:rPr>
            </w:pPr>
            <w:r w:rsidRPr="00855E5A">
              <w:rPr>
                <w:rFonts w:ascii="Garamond" w:hAnsi="Garamond"/>
                <w:lang w:val="en-AU"/>
              </w:rPr>
              <w:t xml:space="preserve">There may be benefit for healthcare professionals to receive training in </w:t>
            </w:r>
            <w:r w:rsidRPr="00855E5A">
              <w:rPr>
                <w:rFonts w:ascii="Garamond" w:hAnsi="Garamond"/>
                <w:b/>
                <w:lang w:val="en-AU"/>
              </w:rPr>
              <w:t>handover communications</w:t>
            </w:r>
            <w:r w:rsidRPr="00855E5A">
              <w:rPr>
                <w:rFonts w:ascii="Garamond" w:hAnsi="Garamond"/>
                <w:lang w:val="en-AU"/>
              </w:rPr>
              <w:t xml:space="preserve"> which should include integrating clinical information with full medicines information, and to share this information</w:t>
            </w:r>
            <w:r>
              <w:rPr>
                <w:rFonts w:ascii="Garamond" w:hAnsi="Garamond"/>
                <w:lang w:val="en-AU"/>
              </w:rPr>
              <w:t xml:space="preserve"> </w:t>
            </w:r>
            <w:r w:rsidRPr="00855E5A">
              <w:rPr>
                <w:rFonts w:ascii="Garamond" w:hAnsi="Garamond"/>
                <w:lang w:val="en-AU"/>
              </w:rPr>
              <w:t>with patients and carers in writing and verbally.</w:t>
            </w:r>
          </w:p>
          <w:p w:rsidR="00855E5A" w:rsidRPr="00855E5A" w:rsidRDefault="00855E5A" w:rsidP="00855E5A">
            <w:pPr>
              <w:pStyle w:val="ListParagraph"/>
              <w:numPr>
                <w:ilvl w:val="0"/>
                <w:numId w:val="23"/>
              </w:numPr>
              <w:rPr>
                <w:rFonts w:ascii="Garamond" w:hAnsi="Garamond"/>
                <w:lang w:val="en-AU"/>
              </w:rPr>
            </w:pPr>
            <w:r w:rsidRPr="00855E5A">
              <w:rPr>
                <w:rFonts w:ascii="Garamond" w:hAnsi="Garamond"/>
                <w:lang w:val="en-AU"/>
              </w:rPr>
              <w:t xml:space="preserve">During the </w:t>
            </w:r>
            <w:r w:rsidRPr="00855E5A">
              <w:rPr>
                <w:rFonts w:ascii="Garamond" w:hAnsi="Garamond"/>
                <w:b/>
                <w:lang w:val="en-AU"/>
              </w:rPr>
              <w:t>implementation of any new digital system</w:t>
            </w:r>
            <w:r w:rsidRPr="00855E5A">
              <w:rPr>
                <w:rFonts w:ascii="Garamond" w:hAnsi="Garamond"/>
                <w:lang w:val="en-AU"/>
              </w:rPr>
              <w:t xml:space="preserve">, benefits may be realised by redesigning work practices to ensure the new system is </w:t>
            </w:r>
            <w:r w:rsidRPr="00855E5A">
              <w:rPr>
                <w:rFonts w:ascii="Garamond" w:hAnsi="Garamond"/>
                <w:b/>
                <w:lang w:val="en-AU"/>
              </w:rPr>
              <w:t>fully embedded</w:t>
            </w:r>
            <w:r w:rsidRPr="00855E5A">
              <w:rPr>
                <w:rFonts w:ascii="Garamond" w:hAnsi="Garamond"/>
                <w:lang w:val="en-AU"/>
              </w:rPr>
              <w:t>, with staff training/engagement to</w:t>
            </w:r>
            <w:r>
              <w:rPr>
                <w:rFonts w:ascii="Garamond" w:hAnsi="Garamond"/>
                <w:lang w:val="en-AU"/>
              </w:rPr>
              <w:t xml:space="preserve"> </w:t>
            </w:r>
            <w:r w:rsidRPr="00855E5A">
              <w:rPr>
                <w:rFonts w:ascii="Garamond" w:hAnsi="Garamond"/>
                <w:lang w:val="en-AU"/>
              </w:rPr>
              <w:t>support this.</w:t>
            </w:r>
          </w:p>
          <w:p w:rsidR="00C37C29" w:rsidRDefault="00855E5A" w:rsidP="00855E5A">
            <w:pPr>
              <w:pStyle w:val="ListParagraph"/>
              <w:numPr>
                <w:ilvl w:val="0"/>
                <w:numId w:val="23"/>
              </w:numPr>
              <w:rPr>
                <w:rFonts w:ascii="Garamond" w:hAnsi="Garamond"/>
                <w:lang w:val="en-AU"/>
              </w:rPr>
            </w:pPr>
            <w:r w:rsidRPr="00855E5A">
              <w:rPr>
                <w:rFonts w:ascii="Garamond" w:hAnsi="Garamond"/>
                <w:lang w:val="en-AU"/>
              </w:rPr>
              <w:t xml:space="preserve">It would be beneficial to the users of electronic prescribing and medicines administration systems if the </w:t>
            </w:r>
            <w:r w:rsidRPr="00855E5A">
              <w:rPr>
                <w:rFonts w:ascii="Garamond" w:hAnsi="Garamond"/>
                <w:b/>
                <w:lang w:val="en-AU"/>
              </w:rPr>
              <w:t>system vendors raised awareness of the safety limitations</w:t>
            </w:r>
            <w:r w:rsidRPr="00855E5A">
              <w:rPr>
                <w:rFonts w:ascii="Garamond" w:hAnsi="Garamond"/>
                <w:lang w:val="en-AU"/>
              </w:rPr>
              <w:t xml:space="preserve"> of their products and had a system for collating </w:t>
            </w:r>
            <w:r w:rsidRPr="00855E5A">
              <w:rPr>
                <w:rFonts w:ascii="Garamond" w:hAnsi="Garamond"/>
                <w:b/>
                <w:lang w:val="en-AU"/>
              </w:rPr>
              <w:t>safety feedback</w:t>
            </w:r>
            <w:r w:rsidRPr="00855E5A">
              <w:rPr>
                <w:rFonts w:ascii="Garamond" w:hAnsi="Garamond"/>
                <w:lang w:val="en-AU"/>
              </w:rPr>
              <w:t xml:space="preserve"> to inform future</w:t>
            </w:r>
            <w:r>
              <w:rPr>
                <w:rFonts w:ascii="Garamond" w:hAnsi="Garamond"/>
                <w:lang w:val="en-AU"/>
              </w:rPr>
              <w:t xml:space="preserve"> </w:t>
            </w:r>
            <w:r w:rsidRPr="00855E5A">
              <w:rPr>
                <w:rFonts w:ascii="Garamond" w:hAnsi="Garamond"/>
                <w:lang w:val="en-AU"/>
              </w:rPr>
              <w:t xml:space="preserve">development and a mechanism for </w:t>
            </w:r>
            <w:r w:rsidRPr="00855E5A">
              <w:rPr>
                <w:rFonts w:ascii="Garamond" w:hAnsi="Garamond"/>
                <w:b/>
                <w:lang w:val="en-AU"/>
              </w:rPr>
              <w:t>sharing feedback</w:t>
            </w:r>
            <w:r>
              <w:rPr>
                <w:rFonts w:ascii="Garamond" w:hAnsi="Garamond"/>
                <w:lang w:val="en-AU"/>
              </w:rPr>
              <w:t xml:space="preserve"> </w:t>
            </w:r>
            <w:r w:rsidRPr="00855E5A">
              <w:rPr>
                <w:rFonts w:ascii="Garamond" w:hAnsi="Garamond"/>
                <w:lang w:val="en-AU"/>
              </w:rPr>
              <w:t>with other users.</w:t>
            </w:r>
          </w:p>
          <w:p w:rsidR="00855E5A" w:rsidRPr="00855E5A" w:rsidRDefault="00855E5A" w:rsidP="00855E5A">
            <w:pPr>
              <w:pStyle w:val="ListParagraph"/>
              <w:numPr>
                <w:ilvl w:val="0"/>
                <w:numId w:val="23"/>
              </w:numPr>
              <w:rPr>
                <w:rFonts w:ascii="Garamond" w:hAnsi="Garamond"/>
                <w:lang w:val="en-AU"/>
              </w:rPr>
            </w:pPr>
            <w:r w:rsidRPr="00855E5A">
              <w:rPr>
                <w:rFonts w:ascii="Garamond" w:hAnsi="Garamond"/>
                <w:lang w:val="en-AU"/>
              </w:rPr>
              <w:t xml:space="preserve">The processes for </w:t>
            </w:r>
            <w:r w:rsidRPr="00855E5A">
              <w:rPr>
                <w:rFonts w:ascii="Garamond" w:hAnsi="Garamond"/>
                <w:b/>
                <w:lang w:val="en-AU"/>
              </w:rPr>
              <w:t>medicines reconciliation</w:t>
            </w:r>
            <w:r w:rsidRPr="00855E5A">
              <w:rPr>
                <w:rFonts w:ascii="Garamond" w:hAnsi="Garamond"/>
                <w:lang w:val="en-AU"/>
              </w:rPr>
              <w:t xml:space="preserve"> in the community would benefit from being reviewed, taking into account the intent for practice-based pharmacists outlined in NHS England’s Long Term</w:t>
            </w:r>
            <w:r>
              <w:rPr>
                <w:rFonts w:ascii="Garamond" w:hAnsi="Garamond"/>
                <w:lang w:val="en-AU"/>
              </w:rPr>
              <w:t xml:space="preserve"> </w:t>
            </w:r>
            <w:r w:rsidRPr="00855E5A">
              <w:rPr>
                <w:rFonts w:ascii="Garamond" w:hAnsi="Garamond"/>
                <w:lang w:val="en-AU"/>
              </w:rPr>
              <w:t>Plan (NHS England, 2019).</w:t>
            </w:r>
          </w:p>
          <w:p w:rsidR="00855E5A" w:rsidRPr="00855E5A" w:rsidRDefault="00855E5A" w:rsidP="00855E5A">
            <w:pPr>
              <w:pStyle w:val="ListParagraph"/>
              <w:numPr>
                <w:ilvl w:val="0"/>
                <w:numId w:val="23"/>
              </w:numPr>
              <w:rPr>
                <w:rFonts w:ascii="Garamond" w:hAnsi="Garamond"/>
                <w:lang w:val="en-AU"/>
              </w:rPr>
            </w:pPr>
            <w:r w:rsidRPr="00855E5A">
              <w:rPr>
                <w:rFonts w:ascii="Garamond" w:hAnsi="Garamond"/>
                <w:lang w:val="en-AU"/>
              </w:rPr>
              <w:t xml:space="preserve">National, peer-reviewed, standardised lists of </w:t>
            </w:r>
            <w:r w:rsidRPr="00855E5A">
              <w:rPr>
                <w:rFonts w:ascii="Garamond" w:hAnsi="Garamond"/>
                <w:b/>
                <w:lang w:val="en-AU"/>
              </w:rPr>
              <w:t>alerts for clinical decision support systems</w:t>
            </w:r>
            <w:r w:rsidRPr="00855E5A">
              <w:rPr>
                <w:rFonts w:ascii="Garamond" w:hAnsi="Garamond"/>
                <w:lang w:val="en-AU"/>
              </w:rPr>
              <w:t xml:space="preserve"> should be the gold standard, to enable consistency of approach and to promote evidence-based safety</w:t>
            </w:r>
            <w:r>
              <w:rPr>
                <w:rFonts w:ascii="Garamond" w:hAnsi="Garamond"/>
                <w:lang w:val="en-AU"/>
              </w:rPr>
              <w:t xml:space="preserve"> </w:t>
            </w:r>
            <w:r w:rsidRPr="00855E5A">
              <w:rPr>
                <w:rFonts w:ascii="Garamond" w:hAnsi="Garamond"/>
                <w:lang w:val="en-AU"/>
              </w:rPr>
              <w:t>improvements.</w:t>
            </w:r>
          </w:p>
          <w:p w:rsidR="00855E5A" w:rsidRPr="00C37C29" w:rsidRDefault="00855E5A" w:rsidP="00855E5A">
            <w:pPr>
              <w:pStyle w:val="ListParagraph"/>
              <w:numPr>
                <w:ilvl w:val="0"/>
                <w:numId w:val="23"/>
              </w:numPr>
              <w:rPr>
                <w:rFonts w:ascii="Garamond" w:hAnsi="Garamond"/>
                <w:lang w:val="en-AU"/>
              </w:rPr>
            </w:pPr>
            <w:r w:rsidRPr="00855E5A">
              <w:rPr>
                <w:rFonts w:ascii="Garamond" w:hAnsi="Garamond"/>
                <w:lang w:val="en-AU"/>
              </w:rPr>
              <w:t xml:space="preserve">In acute trusts where digital systems are in place, the </w:t>
            </w:r>
            <w:r w:rsidRPr="00855E5A">
              <w:rPr>
                <w:rFonts w:ascii="Garamond" w:hAnsi="Garamond"/>
                <w:b/>
                <w:lang w:val="en-AU"/>
              </w:rPr>
              <w:t>prioritisation of medicines reconciliation and medication reviews</w:t>
            </w:r>
            <w:r w:rsidRPr="00855E5A">
              <w:rPr>
                <w:rFonts w:ascii="Garamond" w:hAnsi="Garamond"/>
                <w:lang w:val="en-AU"/>
              </w:rPr>
              <w:t xml:space="preserve"> supports the consistent delivery</w:t>
            </w:r>
            <w:r>
              <w:rPr>
                <w:rFonts w:ascii="Garamond" w:hAnsi="Garamond"/>
                <w:lang w:val="en-AU"/>
              </w:rPr>
              <w:t xml:space="preserve"> </w:t>
            </w:r>
            <w:r w:rsidRPr="00855E5A">
              <w:rPr>
                <w:rFonts w:ascii="Garamond" w:hAnsi="Garamond"/>
                <w:lang w:val="en-AU"/>
              </w:rPr>
              <w:t>of these core functions, across seven-day services.</w:t>
            </w:r>
          </w:p>
        </w:tc>
      </w:tr>
    </w:tbl>
    <w:p w:rsidR="00D15940" w:rsidRDefault="00D15940" w:rsidP="00DC3630">
      <w:pPr>
        <w:keepNext/>
        <w:rPr>
          <w:rFonts w:ascii="Garamond" w:hAnsi="Garamond"/>
          <w:lang w:val="en-AU"/>
        </w:rPr>
      </w:pPr>
    </w:p>
    <w:p w:rsidR="00853F74" w:rsidRDefault="00853F74" w:rsidP="00853F74">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medication safety, </w:t>
      </w:r>
      <w:r w:rsidRPr="006C5462">
        <w:rPr>
          <w:rFonts w:ascii="Garamond" w:hAnsi="Garamond"/>
          <w:lang w:val="en-AU"/>
        </w:rPr>
        <w:t>see</w:t>
      </w:r>
      <w:r>
        <w:rPr>
          <w:rFonts w:ascii="Garamond" w:hAnsi="Garamond"/>
          <w:lang w:val="en-AU"/>
        </w:rPr>
        <w:t xml:space="preserve"> </w:t>
      </w:r>
      <w:hyperlink r:id="rId21" w:history="1">
        <w:r w:rsidRPr="003844DE">
          <w:rPr>
            <w:rStyle w:val="Hyperlink"/>
            <w:rFonts w:ascii="Garamond" w:hAnsi="Garamond"/>
            <w:lang w:val="en-AU"/>
          </w:rPr>
          <w:t>https://www.safetyandquality.gov.au/medication-safety</w:t>
        </w:r>
      </w:hyperlink>
    </w:p>
    <w:p w:rsidR="00853F74" w:rsidRDefault="00853F74" w:rsidP="00DC3630">
      <w:pPr>
        <w:keepNext/>
        <w:rPr>
          <w:rFonts w:ascii="Garamond" w:hAnsi="Garamond"/>
          <w:lang w:val="en-AU"/>
        </w:rPr>
      </w:pPr>
    </w:p>
    <w:p w:rsidR="00B62F11" w:rsidRDefault="00B62F11" w:rsidP="00B62F11">
      <w:pPr>
        <w:keepLines/>
        <w:autoSpaceDE w:val="0"/>
        <w:autoSpaceDN w:val="0"/>
        <w:adjustRightInd w:val="0"/>
        <w:rPr>
          <w:rFonts w:ascii="Garamond" w:hAnsi="Garamond"/>
          <w:i/>
          <w:lang w:val="en-AU"/>
        </w:rPr>
      </w:pPr>
      <w:r w:rsidRPr="00B62F11">
        <w:rPr>
          <w:rFonts w:ascii="Garamond" w:hAnsi="Garamond"/>
          <w:i/>
          <w:lang w:val="en-AU"/>
        </w:rPr>
        <w:t>Reforming for Value: Opportunities for Outcome Focused National Health Policy</w:t>
      </w:r>
    </w:p>
    <w:p w:rsidR="00B62F11" w:rsidRDefault="00B62F11" w:rsidP="00B62F11">
      <w:pPr>
        <w:keepLines/>
        <w:autoSpaceDE w:val="0"/>
        <w:autoSpaceDN w:val="0"/>
        <w:adjustRightInd w:val="0"/>
        <w:rPr>
          <w:rFonts w:ascii="Garamond" w:hAnsi="Garamond"/>
          <w:lang w:val="en-AU"/>
        </w:rPr>
      </w:pPr>
      <w:r w:rsidRPr="00BE2B44">
        <w:rPr>
          <w:rFonts w:ascii="Garamond" w:hAnsi="Garamond"/>
          <w:lang w:val="en-AU"/>
        </w:rPr>
        <w:t>Deeb</w:t>
      </w:r>
      <w:r>
        <w:rPr>
          <w:rFonts w:ascii="Garamond" w:hAnsi="Garamond"/>
          <w:lang w:val="en-AU"/>
        </w:rPr>
        <w:t>le Institute Issues Brief No. 33</w:t>
      </w:r>
    </w:p>
    <w:p w:rsidR="00B62F11" w:rsidRDefault="00B62F11" w:rsidP="00B62F11">
      <w:pPr>
        <w:keepLines/>
        <w:autoSpaceDE w:val="0"/>
        <w:autoSpaceDN w:val="0"/>
        <w:adjustRightInd w:val="0"/>
        <w:rPr>
          <w:rFonts w:ascii="Garamond" w:hAnsi="Garamond"/>
          <w:lang w:val="en-AU"/>
        </w:rPr>
      </w:pPr>
      <w:r>
        <w:rPr>
          <w:rFonts w:ascii="Garamond" w:hAnsi="Garamond"/>
          <w:lang w:val="en-AU"/>
        </w:rPr>
        <w:t>Raymond, K</w:t>
      </w:r>
    </w:p>
    <w:p w:rsidR="00B62F11" w:rsidRDefault="00B62F11" w:rsidP="00B62F11">
      <w:pPr>
        <w:keepLines/>
        <w:autoSpaceDE w:val="0"/>
        <w:autoSpaceDN w:val="0"/>
        <w:adjustRightInd w:val="0"/>
        <w:rPr>
          <w:rFonts w:ascii="Garamond" w:hAnsi="Garamond"/>
          <w:lang w:val="en-AU"/>
        </w:rPr>
      </w:pPr>
      <w:r w:rsidRPr="00BE2B44">
        <w:rPr>
          <w:rFonts w:ascii="Garamond" w:hAnsi="Garamond"/>
          <w:lang w:val="en-AU"/>
        </w:rPr>
        <w:t xml:space="preserve">Canberra: Australian Healthcare and Hospitals Association; 2019. p. </w:t>
      </w:r>
      <w:r>
        <w:rPr>
          <w:rFonts w:ascii="Garamond" w:hAnsi="Garamond"/>
          <w:lang w:val="en-AU"/>
        </w:rPr>
        <w:t>30</w:t>
      </w:r>
      <w:r w:rsidRPr="00BE2B44">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62F11" w:rsidRPr="000170DA" w:rsidTr="00A11EEB">
        <w:tc>
          <w:tcPr>
            <w:tcW w:w="1080" w:type="dxa"/>
            <w:tcBorders>
              <w:top w:val="single" w:sz="4" w:space="0" w:color="auto"/>
              <w:left w:val="single" w:sz="4" w:space="0" w:color="auto"/>
              <w:bottom w:val="single" w:sz="4" w:space="0" w:color="auto"/>
              <w:right w:val="single" w:sz="4" w:space="0" w:color="auto"/>
            </w:tcBorders>
            <w:vAlign w:val="center"/>
          </w:tcPr>
          <w:p w:rsidR="00B62F11" w:rsidRPr="000170DA" w:rsidRDefault="00B62F11" w:rsidP="00A11EE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62F11" w:rsidRPr="00B62F11" w:rsidRDefault="00165452" w:rsidP="00A11EEB">
            <w:pPr>
              <w:rPr>
                <w:rStyle w:val="Hyperlink"/>
                <w:rFonts w:ascii="Garamond" w:hAnsi="Garamond"/>
                <w:color w:val="auto"/>
                <w:u w:val="none"/>
                <w:lang w:val="en-AU"/>
              </w:rPr>
            </w:pPr>
            <w:hyperlink r:id="rId22" w:history="1">
              <w:r w:rsidR="00B62F11" w:rsidRPr="00B62F11">
                <w:rPr>
                  <w:rStyle w:val="Hyperlink"/>
                  <w:rFonts w:ascii="Garamond" w:hAnsi="Garamond"/>
                </w:rPr>
                <w:t>https://ahha.asn.au/publication/health-policy-issue-briefs/deeble-issues-brief-no-33-reforming-value-opportunities</w:t>
              </w:r>
            </w:hyperlink>
            <w:r w:rsidR="00B62F11" w:rsidRPr="00B62F11">
              <w:rPr>
                <w:rFonts w:ascii="Garamond" w:hAnsi="Garamond"/>
              </w:rPr>
              <w:t xml:space="preserve"> </w:t>
            </w:r>
          </w:p>
        </w:tc>
      </w:tr>
      <w:tr w:rsidR="00B62F11" w:rsidRPr="00B62F11" w:rsidTr="00A11EEB">
        <w:tc>
          <w:tcPr>
            <w:tcW w:w="1080" w:type="dxa"/>
            <w:tcBorders>
              <w:top w:val="single" w:sz="4" w:space="0" w:color="auto"/>
              <w:left w:val="single" w:sz="4" w:space="0" w:color="auto"/>
              <w:bottom w:val="single" w:sz="4" w:space="0" w:color="auto"/>
              <w:right w:val="single" w:sz="4" w:space="0" w:color="auto"/>
            </w:tcBorders>
            <w:vAlign w:val="center"/>
          </w:tcPr>
          <w:p w:rsidR="00B62F11" w:rsidRPr="00B62F11" w:rsidRDefault="00B62F11" w:rsidP="00A11EEB">
            <w:pPr>
              <w:rPr>
                <w:rFonts w:ascii="Garamond" w:hAnsi="Garamond"/>
                <w:lang w:val="en-AU" w:eastAsia="en-AU"/>
              </w:rPr>
            </w:pPr>
            <w:r w:rsidRPr="00B62F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62F11" w:rsidRPr="00B62F11" w:rsidRDefault="00B62F11" w:rsidP="00A11EEB">
            <w:pPr>
              <w:pStyle w:val="Caption"/>
              <w:rPr>
                <w:rFonts w:ascii="Garamond" w:hAnsi="Garamond"/>
                <w:b w:val="0"/>
                <w:sz w:val="24"/>
                <w:szCs w:val="24"/>
                <w:lang w:val="en-AU"/>
              </w:rPr>
            </w:pPr>
            <w:r w:rsidRPr="00B62F11">
              <w:rPr>
                <w:rFonts w:ascii="Garamond" w:hAnsi="Garamond"/>
                <w:b w:val="0"/>
                <w:sz w:val="24"/>
                <w:szCs w:val="24"/>
                <w:lang w:val="en-AU"/>
              </w:rPr>
              <w:t>The Deeble Institute has published this Issues Brief (and summary) that suggests a move away from focusing on volume to outcomes and value. The Brief includes recommendations that:</w:t>
            </w:r>
          </w:p>
          <w:p w:rsidR="00B62F11" w:rsidRPr="00B62F11" w:rsidRDefault="00B62F11" w:rsidP="00E25681">
            <w:pPr>
              <w:pStyle w:val="Caption"/>
              <w:numPr>
                <w:ilvl w:val="0"/>
                <w:numId w:val="25"/>
              </w:numPr>
              <w:rPr>
                <w:rFonts w:ascii="Garamond" w:hAnsi="Garamond"/>
                <w:b w:val="0"/>
                <w:sz w:val="24"/>
                <w:szCs w:val="24"/>
                <w:lang w:val="en-AU"/>
              </w:rPr>
            </w:pPr>
            <w:r w:rsidRPr="00B62F11">
              <w:rPr>
                <w:rFonts w:ascii="Garamond" w:hAnsi="Garamond"/>
                <w:b w:val="0"/>
                <w:sz w:val="24"/>
                <w:szCs w:val="24"/>
                <w:lang w:val="en-AU"/>
              </w:rPr>
              <w:t>The National Health Agreement and related National Partnership Agreements must establish</w:t>
            </w:r>
            <w:r>
              <w:rPr>
                <w:rFonts w:ascii="Garamond" w:hAnsi="Garamond"/>
                <w:b w:val="0"/>
                <w:sz w:val="24"/>
                <w:szCs w:val="24"/>
                <w:lang w:val="en-AU"/>
              </w:rPr>
              <w:t xml:space="preserve"> </w:t>
            </w:r>
            <w:r w:rsidRPr="00B62F11">
              <w:rPr>
                <w:rFonts w:ascii="Garamond" w:hAnsi="Garamond"/>
                <w:b w:val="0"/>
                <w:sz w:val="24"/>
                <w:szCs w:val="24"/>
                <w:lang w:val="en-AU"/>
              </w:rPr>
              <w:t>mechanisms to develop and report on health outcome indicators.</w:t>
            </w:r>
          </w:p>
          <w:p w:rsidR="00B62F11" w:rsidRPr="00B62F11" w:rsidRDefault="00B62F11" w:rsidP="00C25BF7">
            <w:pPr>
              <w:pStyle w:val="Caption"/>
              <w:numPr>
                <w:ilvl w:val="0"/>
                <w:numId w:val="25"/>
              </w:numPr>
              <w:rPr>
                <w:rFonts w:ascii="Garamond" w:hAnsi="Garamond"/>
                <w:b w:val="0"/>
                <w:sz w:val="24"/>
                <w:szCs w:val="24"/>
                <w:lang w:val="en-AU"/>
              </w:rPr>
            </w:pPr>
            <w:r w:rsidRPr="00B62F11">
              <w:rPr>
                <w:rFonts w:ascii="Garamond" w:hAnsi="Garamond"/>
                <w:b w:val="0"/>
                <w:sz w:val="24"/>
                <w:szCs w:val="24"/>
                <w:lang w:val="en-AU"/>
              </w:rPr>
              <w:t>A national framework for outcome-commissioning accompanied by an Implementation Plan to progressively shift toward an outcome-focused health system should form part of a</w:t>
            </w:r>
            <w:r>
              <w:rPr>
                <w:rFonts w:ascii="Garamond" w:hAnsi="Garamond"/>
                <w:b w:val="0"/>
                <w:sz w:val="24"/>
                <w:szCs w:val="24"/>
                <w:lang w:val="en-AU"/>
              </w:rPr>
              <w:t xml:space="preserve"> </w:t>
            </w:r>
            <w:r w:rsidRPr="00B62F11">
              <w:rPr>
                <w:rFonts w:ascii="Garamond" w:hAnsi="Garamond"/>
                <w:b w:val="0"/>
                <w:sz w:val="24"/>
                <w:szCs w:val="24"/>
                <w:lang w:val="en-AU"/>
              </w:rPr>
              <w:t>reformed National Health Agreement.</w:t>
            </w:r>
          </w:p>
          <w:p w:rsidR="00B62F11" w:rsidRPr="00B62F11" w:rsidRDefault="00B62F11" w:rsidP="00744A9F">
            <w:pPr>
              <w:pStyle w:val="Caption"/>
              <w:numPr>
                <w:ilvl w:val="0"/>
                <w:numId w:val="25"/>
              </w:numPr>
              <w:rPr>
                <w:rFonts w:ascii="Garamond" w:hAnsi="Garamond"/>
                <w:b w:val="0"/>
                <w:sz w:val="24"/>
                <w:szCs w:val="24"/>
                <w:lang w:val="en-AU"/>
              </w:rPr>
            </w:pPr>
            <w:r w:rsidRPr="00B62F11">
              <w:rPr>
                <w:rFonts w:ascii="Garamond" w:hAnsi="Garamond"/>
                <w:b w:val="0"/>
                <w:sz w:val="24"/>
                <w:szCs w:val="24"/>
                <w:lang w:val="en-AU"/>
              </w:rPr>
              <w:t>Mandatory development and linkage of health outcome data should be embedded in all national partnership reporting requirements, to be held in a national health outcome data</w:t>
            </w:r>
            <w:r>
              <w:rPr>
                <w:rFonts w:ascii="Garamond" w:hAnsi="Garamond"/>
                <w:b w:val="0"/>
                <w:sz w:val="24"/>
                <w:szCs w:val="24"/>
                <w:lang w:val="en-AU"/>
              </w:rPr>
              <w:t xml:space="preserve"> </w:t>
            </w:r>
            <w:r w:rsidRPr="00B62F11">
              <w:rPr>
                <w:rFonts w:ascii="Garamond" w:hAnsi="Garamond"/>
                <w:b w:val="0"/>
                <w:sz w:val="24"/>
                <w:szCs w:val="24"/>
                <w:lang w:val="en-AU"/>
              </w:rPr>
              <w:t>repository under centralised custodianship.</w:t>
            </w:r>
          </w:p>
          <w:p w:rsidR="00B62F11" w:rsidRPr="00B62F11" w:rsidRDefault="00B62F11" w:rsidP="00011F81">
            <w:pPr>
              <w:pStyle w:val="Caption"/>
              <w:numPr>
                <w:ilvl w:val="0"/>
                <w:numId w:val="25"/>
              </w:numPr>
              <w:rPr>
                <w:rFonts w:ascii="Garamond" w:hAnsi="Garamond"/>
                <w:b w:val="0"/>
                <w:sz w:val="24"/>
                <w:szCs w:val="24"/>
                <w:lang w:val="en-AU"/>
              </w:rPr>
            </w:pPr>
            <w:r w:rsidRPr="00B62F11">
              <w:rPr>
                <w:rFonts w:ascii="Garamond" w:hAnsi="Garamond"/>
                <w:b w:val="0"/>
                <w:sz w:val="24"/>
                <w:szCs w:val="24"/>
                <w:lang w:val="en-AU"/>
              </w:rPr>
              <w:t xml:space="preserve">The Australian Commission on Safety and Quality in Health Care (ACSQHC) of validated patient-reported health and experience outcomes directory </w:t>
            </w:r>
            <w:proofErr w:type="gramStart"/>
            <w:r w:rsidRPr="00B62F11">
              <w:rPr>
                <w:rFonts w:ascii="Garamond" w:hAnsi="Garamond"/>
                <w:b w:val="0"/>
                <w:sz w:val="24"/>
                <w:szCs w:val="24"/>
                <w:lang w:val="en-AU"/>
              </w:rPr>
              <w:t>should be supported</w:t>
            </w:r>
            <w:proofErr w:type="gramEnd"/>
            <w:r w:rsidRPr="00B62F11">
              <w:rPr>
                <w:rFonts w:ascii="Garamond" w:hAnsi="Garamond"/>
                <w:b w:val="0"/>
                <w:sz w:val="24"/>
                <w:szCs w:val="24"/>
                <w:lang w:val="en-AU"/>
              </w:rPr>
              <w:t xml:space="preserve"> for initial</w:t>
            </w:r>
            <w:r>
              <w:rPr>
                <w:rFonts w:ascii="Garamond" w:hAnsi="Garamond"/>
                <w:b w:val="0"/>
                <w:sz w:val="24"/>
                <w:szCs w:val="24"/>
                <w:lang w:val="en-AU"/>
              </w:rPr>
              <w:t xml:space="preserve"> </w:t>
            </w:r>
            <w:r w:rsidRPr="00B62F11">
              <w:rPr>
                <w:rFonts w:ascii="Garamond" w:hAnsi="Garamond"/>
                <w:b w:val="0"/>
                <w:sz w:val="24"/>
                <w:szCs w:val="24"/>
                <w:lang w:val="en-AU"/>
              </w:rPr>
              <w:t>work and ongoing development.</w:t>
            </w:r>
          </w:p>
          <w:p w:rsidR="00B62F11" w:rsidRPr="00B62F11" w:rsidRDefault="00B62F11" w:rsidP="00421F0A">
            <w:pPr>
              <w:pStyle w:val="Caption"/>
              <w:numPr>
                <w:ilvl w:val="0"/>
                <w:numId w:val="25"/>
              </w:numPr>
              <w:rPr>
                <w:rFonts w:ascii="Garamond" w:hAnsi="Garamond"/>
                <w:b w:val="0"/>
                <w:sz w:val="24"/>
                <w:szCs w:val="24"/>
                <w:lang w:val="en-AU"/>
              </w:rPr>
            </w:pPr>
            <w:r w:rsidRPr="00B62F11">
              <w:rPr>
                <w:rFonts w:ascii="Garamond" w:hAnsi="Garamond"/>
                <w:b w:val="0"/>
                <w:sz w:val="24"/>
                <w:szCs w:val="24"/>
                <w:lang w:val="en-AU"/>
              </w:rPr>
              <w:t>National metadata architecture should be used across all national health data collections to</w:t>
            </w:r>
            <w:r>
              <w:rPr>
                <w:rFonts w:ascii="Garamond" w:hAnsi="Garamond"/>
                <w:b w:val="0"/>
                <w:sz w:val="24"/>
                <w:szCs w:val="24"/>
                <w:lang w:val="en-AU"/>
              </w:rPr>
              <w:t xml:space="preserve"> </w:t>
            </w:r>
            <w:r w:rsidRPr="00B62F11">
              <w:rPr>
                <w:rFonts w:ascii="Garamond" w:hAnsi="Garamond"/>
                <w:b w:val="0"/>
                <w:sz w:val="24"/>
                <w:szCs w:val="24"/>
                <w:lang w:val="en-AU"/>
              </w:rPr>
              <w:t>facilitate linkage and modelling.</w:t>
            </w:r>
          </w:p>
          <w:p w:rsidR="00B62F11" w:rsidRPr="00B62F11" w:rsidRDefault="00B62F11" w:rsidP="007F5BC5">
            <w:pPr>
              <w:pStyle w:val="Caption"/>
              <w:numPr>
                <w:ilvl w:val="0"/>
                <w:numId w:val="25"/>
              </w:numPr>
              <w:rPr>
                <w:rFonts w:ascii="Garamond" w:hAnsi="Garamond"/>
                <w:b w:val="0"/>
                <w:sz w:val="24"/>
                <w:szCs w:val="24"/>
                <w:lang w:val="en-AU"/>
              </w:rPr>
            </w:pPr>
            <w:r w:rsidRPr="00B62F11">
              <w:rPr>
                <w:rFonts w:ascii="Garamond" w:hAnsi="Garamond"/>
                <w:b w:val="0"/>
                <w:sz w:val="24"/>
                <w:szCs w:val="24"/>
                <w:lang w:val="en-AU"/>
              </w:rPr>
              <w:t>Modelling of unwarranted variation in healthcare and differential costs of care should be mandated for all bilateral and multilateral funding agreements, commencing with existing data collections from activity-based National Partnership Agreements on healthcare currently</w:t>
            </w:r>
            <w:r>
              <w:rPr>
                <w:rFonts w:ascii="Garamond" w:hAnsi="Garamond"/>
                <w:b w:val="0"/>
                <w:sz w:val="24"/>
                <w:szCs w:val="24"/>
                <w:lang w:val="en-AU"/>
              </w:rPr>
              <w:t xml:space="preserve"> </w:t>
            </w:r>
            <w:r w:rsidRPr="00B62F11">
              <w:rPr>
                <w:rFonts w:ascii="Garamond" w:hAnsi="Garamond"/>
                <w:b w:val="0"/>
                <w:sz w:val="24"/>
                <w:szCs w:val="24"/>
                <w:lang w:val="en-AU"/>
              </w:rPr>
              <w:t>in the Commonwealth’s possession.</w:t>
            </w:r>
          </w:p>
          <w:p w:rsidR="00B62F11" w:rsidRPr="00B62F11" w:rsidRDefault="00B62F11" w:rsidP="00B62F11">
            <w:pPr>
              <w:pStyle w:val="Caption"/>
              <w:numPr>
                <w:ilvl w:val="0"/>
                <w:numId w:val="25"/>
              </w:numPr>
              <w:rPr>
                <w:rFonts w:ascii="Garamond" w:hAnsi="Garamond"/>
                <w:sz w:val="24"/>
                <w:szCs w:val="24"/>
                <w:lang w:val="en-AU"/>
              </w:rPr>
            </w:pPr>
            <w:r w:rsidRPr="00B62F11">
              <w:rPr>
                <w:rFonts w:ascii="Garamond" w:hAnsi="Garamond"/>
                <w:b w:val="0"/>
                <w:sz w:val="24"/>
                <w:szCs w:val="24"/>
                <w:lang w:val="en-AU"/>
              </w:rPr>
              <w:t>Governing agreements for national healthcare funding should be revised to mandate</w:t>
            </w:r>
            <w:r>
              <w:rPr>
                <w:rFonts w:ascii="Garamond" w:hAnsi="Garamond"/>
                <w:b w:val="0"/>
                <w:sz w:val="24"/>
                <w:szCs w:val="24"/>
                <w:lang w:val="en-AU"/>
              </w:rPr>
              <w:t xml:space="preserve"> </w:t>
            </w:r>
            <w:r w:rsidRPr="00B62F11">
              <w:rPr>
                <w:rFonts w:ascii="Garamond" w:hAnsi="Garamond"/>
                <w:b w:val="0"/>
                <w:sz w:val="24"/>
                <w:szCs w:val="24"/>
                <w:lang w:val="en-AU"/>
              </w:rPr>
              <w:t>independent cost modelling for all bilateral or multilateral health agreements and should</w:t>
            </w:r>
            <w:r>
              <w:rPr>
                <w:rFonts w:ascii="Garamond" w:hAnsi="Garamond"/>
                <w:b w:val="0"/>
                <w:sz w:val="24"/>
                <w:szCs w:val="24"/>
                <w:lang w:val="en-AU"/>
              </w:rPr>
              <w:t xml:space="preserve"> </w:t>
            </w:r>
            <w:r w:rsidRPr="00B62F11">
              <w:rPr>
                <w:rFonts w:ascii="Garamond" w:hAnsi="Garamond"/>
                <w:b w:val="0"/>
                <w:sz w:val="24"/>
                <w:szCs w:val="24"/>
                <w:lang w:val="en-AU"/>
              </w:rPr>
              <w:t>mandate efficiencies through population-based prevention and mitigation of disease.</w:t>
            </w:r>
          </w:p>
        </w:tc>
      </w:tr>
    </w:tbl>
    <w:p w:rsidR="00B62F11" w:rsidRPr="00B62F11" w:rsidRDefault="00B62F11" w:rsidP="00B62F11">
      <w:pPr>
        <w:keepLines/>
        <w:autoSpaceDE w:val="0"/>
        <w:autoSpaceDN w:val="0"/>
        <w:adjustRightInd w:val="0"/>
        <w:rPr>
          <w:rFonts w:ascii="Garamond" w:hAnsi="Garamond"/>
          <w:i/>
          <w:lang w:val="en-AU"/>
        </w:rPr>
      </w:pPr>
    </w:p>
    <w:p w:rsidR="00DC3630" w:rsidRPr="00B62F11" w:rsidRDefault="00DC3630" w:rsidP="00754494">
      <w:pPr>
        <w:keepNext/>
        <w:ind w:left="720" w:hanging="720"/>
        <w:rPr>
          <w:rFonts w:ascii="Garamond" w:hAnsi="Garamond"/>
          <w:b/>
          <w:lang w:val="en-AU"/>
        </w:rPr>
      </w:pPr>
    </w:p>
    <w:p w:rsidR="00B62F11" w:rsidRPr="00B62F11" w:rsidRDefault="00B62F11" w:rsidP="00754494">
      <w:pPr>
        <w:keepNext/>
        <w:ind w:left="720" w:hanging="720"/>
        <w:rPr>
          <w:rFonts w:ascii="Garamond" w:hAnsi="Garamond"/>
          <w:b/>
          <w:lang w:val="en-AU"/>
        </w:rPr>
      </w:pPr>
    </w:p>
    <w:p w:rsidR="00282D29" w:rsidRPr="00B62F11" w:rsidRDefault="00282D29" w:rsidP="00C17C82">
      <w:pPr>
        <w:keepNext/>
        <w:ind w:left="720" w:hanging="720"/>
        <w:rPr>
          <w:rFonts w:ascii="Garamond" w:hAnsi="Garamond"/>
          <w:b/>
          <w:lang w:val="en-AU"/>
        </w:rPr>
      </w:pPr>
      <w:r w:rsidRPr="00B62F11">
        <w:rPr>
          <w:rFonts w:ascii="Garamond" w:hAnsi="Garamond"/>
          <w:b/>
          <w:lang w:val="en-AU"/>
        </w:rPr>
        <w:t>Journal articles</w:t>
      </w:r>
    </w:p>
    <w:p w:rsidR="00AC272C" w:rsidRPr="00B62F11" w:rsidRDefault="00AC272C" w:rsidP="00AC272C">
      <w:pPr>
        <w:keepNext/>
        <w:keepLines/>
        <w:autoSpaceDE w:val="0"/>
        <w:autoSpaceDN w:val="0"/>
        <w:adjustRightInd w:val="0"/>
        <w:rPr>
          <w:rFonts w:ascii="Garamond" w:hAnsi="Garamond"/>
          <w:lang w:val="en-AU"/>
        </w:rPr>
      </w:pPr>
    </w:p>
    <w:p w:rsidR="00BC4A08" w:rsidRPr="00B62F11" w:rsidRDefault="00BC4A08" w:rsidP="00BC4A08">
      <w:pPr>
        <w:keepNext/>
        <w:keepLines/>
        <w:autoSpaceDE w:val="0"/>
        <w:autoSpaceDN w:val="0"/>
        <w:adjustRightInd w:val="0"/>
        <w:rPr>
          <w:rFonts w:ascii="Garamond" w:hAnsi="Garamond"/>
          <w:i/>
          <w:lang w:val="en-AU"/>
        </w:rPr>
      </w:pPr>
      <w:r w:rsidRPr="00B62F11">
        <w:rPr>
          <w:rFonts w:ascii="Garamond" w:hAnsi="Garamond"/>
          <w:i/>
          <w:lang w:val="en-AU"/>
        </w:rPr>
        <w:t>Influence of Burnout on Patient Safety: Systematic Review and Meta-Analysis</w:t>
      </w:r>
    </w:p>
    <w:p w:rsidR="00A56993" w:rsidRPr="00B62F11" w:rsidRDefault="00D27670" w:rsidP="00BC4A08">
      <w:pPr>
        <w:keepNext/>
        <w:keepLines/>
        <w:autoSpaceDE w:val="0"/>
        <w:autoSpaceDN w:val="0"/>
        <w:adjustRightInd w:val="0"/>
        <w:rPr>
          <w:rFonts w:ascii="Garamond" w:hAnsi="Garamond"/>
          <w:lang w:val="en-AU"/>
        </w:rPr>
      </w:pPr>
      <w:r w:rsidRPr="00B62F11">
        <w:rPr>
          <w:rFonts w:ascii="Garamond" w:hAnsi="Garamond"/>
          <w:lang w:val="en-AU"/>
        </w:rPr>
        <w:t>Garcia</w:t>
      </w:r>
      <w:r w:rsidR="00A56993" w:rsidRPr="00B62F11">
        <w:rPr>
          <w:rFonts w:ascii="Garamond" w:hAnsi="Garamond"/>
          <w:lang w:val="en-AU"/>
        </w:rPr>
        <w:t xml:space="preserve"> CdLG, de Abreu LC, Ramos JLS, de Castro CFD, Smiderle FRN, dos Santos JA, et al</w:t>
      </w:r>
    </w:p>
    <w:p w:rsidR="00BC4A08" w:rsidRPr="00B62F11" w:rsidRDefault="00A56993" w:rsidP="00BC4A08">
      <w:pPr>
        <w:keepNext/>
        <w:keepLines/>
        <w:autoSpaceDE w:val="0"/>
        <w:autoSpaceDN w:val="0"/>
        <w:adjustRightInd w:val="0"/>
        <w:rPr>
          <w:rFonts w:ascii="Garamond" w:hAnsi="Garamond"/>
          <w:lang w:val="en-AU"/>
        </w:rPr>
      </w:pPr>
      <w:r w:rsidRPr="00B62F11">
        <w:rPr>
          <w:rFonts w:ascii="Garamond" w:hAnsi="Garamond"/>
          <w:lang w:val="en-AU"/>
        </w:rPr>
        <w:t>Medicina. 2019</w:t>
      </w:r>
      <w:proofErr w:type="gramStart"/>
      <w:r w:rsidRPr="00B62F11">
        <w:rPr>
          <w:rFonts w:ascii="Garamond" w:hAnsi="Garamond"/>
          <w:lang w:val="en-AU"/>
        </w:rPr>
        <w:t>;55</w:t>
      </w:r>
      <w:proofErr w:type="gramEnd"/>
      <w:r w:rsidRPr="00B62F11">
        <w:rPr>
          <w:rFonts w:ascii="Garamond" w:hAnsi="Garamond"/>
          <w:lang w:val="en-AU"/>
        </w:rPr>
        <w:t>(9):553.</w:t>
      </w:r>
    </w:p>
    <w:tbl>
      <w:tblPr>
        <w:tblStyle w:val="TableGrid"/>
        <w:tblW w:w="0" w:type="auto"/>
        <w:tblInd w:w="288" w:type="dxa"/>
        <w:tblLayout w:type="fixed"/>
        <w:tblLook w:val="01E0" w:firstRow="1" w:lastRow="1" w:firstColumn="1" w:lastColumn="1" w:noHBand="0" w:noVBand="0"/>
      </w:tblPr>
      <w:tblGrid>
        <w:gridCol w:w="1080"/>
        <w:gridCol w:w="8280"/>
      </w:tblGrid>
      <w:tr w:rsidR="00BC4A08" w:rsidRPr="00B62F11" w:rsidTr="00855E5A">
        <w:tc>
          <w:tcPr>
            <w:tcW w:w="1080" w:type="dxa"/>
            <w:tcBorders>
              <w:top w:val="single" w:sz="4" w:space="0" w:color="auto"/>
              <w:left w:val="single" w:sz="4" w:space="0" w:color="auto"/>
              <w:bottom w:val="single" w:sz="4" w:space="0" w:color="auto"/>
              <w:right w:val="single" w:sz="4" w:space="0" w:color="auto"/>
            </w:tcBorders>
            <w:vAlign w:val="center"/>
          </w:tcPr>
          <w:p w:rsidR="00BC4A08" w:rsidRPr="00B62F11" w:rsidRDefault="00BC4A08" w:rsidP="00855E5A">
            <w:pPr>
              <w:rPr>
                <w:rStyle w:val="Hyperlink"/>
                <w:rFonts w:ascii="Garamond" w:hAnsi="Garamond"/>
                <w:lang w:val="en-AU"/>
              </w:rPr>
            </w:pPr>
            <w:r w:rsidRPr="00B62F11">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C4A08" w:rsidRPr="00B62F11" w:rsidRDefault="00165452" w:rsidP="00855E5A">
            <w:pPr>
              <w:rPr>
                <w:rStyle w:val="Hyperlink"/>
                <w:rFonts w:ascii="Garamond" w:hAnsi="Garamond"/>
                <w:color w:val="auto"/>
                <w:u w:val="none"/>
                <w:lang w:val="en-AU"/>
              </w:rPr>
            </w:pPr>
            <w:hyperlink r:id="rId23" w:history="1">
              <w:r w:rsidR="00381DF7" w:rsidRPr="00B62F11">
                <w:rPr>
                  <w:rStyle w:val="Hyperlink"/>
                  <w:rFonts w:ascii="Garamond" w:hAnsi="Garamond"/>
                  <w:lang w:val="en-AU"/>
                </w:rPr>
                <w:t>https://doi.org/10.3390/medicina55090553</w:t>
              </w:r>
            </w:hyperlink>
          </w:p>
        </w:tc>
      </w:tr>
      <w:tr w:rsidR="00BC4A08" w:rsidRPr="00B62F11" w:rsidTr="00855E5A">
        <w:tc>
          <w:tcPr>
            <w:tcW w:w="1080" w:type="dxa"/>
            <w:tcBorders>
              <w:top w:val="single" w:sz="4" w:space="0" w:color="auto"/>
              <w:left w:val="single" w:sz="4" w:space="0" w:color="auto"/>
              <w:bottom w:val="single" w:sz="4" w:space="0" w:color="auto"/>
              <w:right w:val="single" w:sz="4" w:space="0" w:color="auto"/>
            </w:tcBorders>
            <w:vAlign w:val="center"/>
          </w:tcPr>
          <w:p w:rsidR="00BC4A08" w:rsidRPr="00B62F11" w:rsidRDefault="00BC4A08" w:rsidP="00855E5A">
            <w:pPr>
              <w:rPr>
                <w:rFonts w:ascii="Garamond" w:hAnsi="Garamond"/>
                <w:lang w:val="en-AU" w:eastAsia="en-AU"/>
              </w:rPr>
            </w:pPr>
            <w:r w:rsidRPr="00B62F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C4A08" w:rsidRPr="00B62F11" w:rsidRDefault="00381DF7" w:rsidP="00381DF7">
            <w:pPr>
              <w:rPr>
                <w:rFonts w:ascii="Garamond" w:hAnsi="Garamond"/>
                <w:lang w:val="en-AU"/>
              </w:rPr>
            </w:pPr>
            <w:r w:rsidRPr="00B62F11">
              <w:rPr>
                <w:rFonts w:ascii="Garamond" w:hAnsi="Garamond"/>
                <w:lang w:val="en-AU"/>
              </w:rPr>
              <w:t xml:space="preserve">This systematic review and meta-analysis sought to assess the literature on the relationship between burnout and patient safety. Based on 21 studies, the authors conclude that </w:t>
            </w:r>
            <w:r w:rsidRPr="00B62F11">
              <w:rPr>
                <w:rFonts w:ascii="Garamond" w:hAnsi="Garamond"/>
                <w:b/>
                <w:lang w:val="en-AU"/>
              </w:rPr>
              <w:t>there is a relationship between high levels of burnout and worsening patient safety</w:t>
            </w:r>
            <w:r w:rsidRPr="00B62F11">
              <w:rPr>
                <w:rFonts w:ascii="Garamond" w:hAnsi="Garamond"/>
                <w:lang w:val="en-AU"/>
              </w:rPr>
              <w:t xml:space="preserve">. The authors observe ‘High levels of burnout is more common among physicians and nurses, and it is associated with external factors such </w:t>
            </w:r>
            <w:proofErr w:type="gramStart"/>
            <w:r w:rsidRPr="00B62F11">
              <w:rPr>
                <w:rFonts w:ascii="Garamond" w:hAnsi="Garamond"/>
                <w:lang w:val="en-AU"/>
              </w:rPr>
              <w:t>as:</w:t>
            </w:r>
            <w:proofErr w:type="gramEnd"/>
            <w:r w:rsidRPr="00B62F11">
              <w:rPr>
                <w:rFonts w:ascii="Garamond" w:hAnsi="Garamond"/>
                <w:lang w:val="en-AU"/>
              </w:rPr>
              <w:t xml:space="preserve"> high workload, long journeys, and ineffective interpersonal relationships. Good patient safety practices are influenced by organized workflows that generate autonomy for health professionals.’</w:t>
            </w:r>
          </w:p>
        </w:tc>
      </w:tr>
    </w:tbl>
    <w:p w:rsidR="00BC4A08" w:rsidRPr="00B62F11" w:rsidRDefault="00BC4A08" w:rsidP="00AC272C">
      <w:pPr>
        <w:keepNext/>
        <w:keepLines/>
        <w:autoSpaceDE w:val="0"/>
        <w:autoSpaceDN w:val="0"/>
        <w:adjustRightInd w:val="0"/>
        <w:rPr>
          <w:rFonts w:ascii="Garamond" w:hAnsi="Garamond"/>
          <w:lang w:val="en-AU"/>
        </w:rPr>
      </w:pPr>
    </w:p>
    <w:p w:rsidR="00381DF7" w:rsidRPr="00B62F11" w:rsidRDefault="00381DF7" w:rsidP="00381DF7">
      <w:pPr>
        <w:keepNext/>
        <w:keepLines/>
        <w:autoSpaceDE w:val="0"/>
        <w:autoSpaceDN w:val="0"/>
        <w:adjustRightInd w:val="0"/>
        <w:rPr>
          <w:rFonts w:ascii="Garamond" w:hAnsi="Garamond"/>
          <w:i/>
          <w:lang w:val="en-AU"/>
        </w:rPr>
      </w:pPr>
      <w:r w:rsidRPr="00B62F11">
        <w:rPr>
          <w:rFonts w:ascii="Garamond" w:hAnsi="Garamond"/>
          <w:i/>
          <w:lang w:val="en-AU"/>
        </w:rPr>
        <w:t>Multi</w:t>
      </w:r>
      <w:r w:rsidRPr="00B62F11">
        <w:rPr>
          <w:i/>
          <w:lang w:val="en-AU"/>
        </w:rPr>
        <w:t>‐</w:t>
      </w:r>
      <w:r w:rsidRPr="00B62F11">
        <w:rPr>
          <w:rFonts w:ascii="Garamond" w:hAnsi="Garamond"/>
          <w:i/>
          <w:lang w:val="en-AU"/>
        </w:rPr>
        <w:t>site Evaluation of Partnered Pharmacist Medication Charting and in</w:t>
      </w:r>
      <w:r w:rsidRPr="00B62F11">
        <w:rPr>
          <w:i/>
          <w:lang w:val="en-AU"/>
        </w:rPr>
        <w:t>‐</w:t>
      </w:r>
      <w:r w:rsidRPr="00B62F11">
        <w:rPr>
          <w:rFonts w:ascii="Garamond" w:hAnsi="Garamond"/>
          <w:i/>
          <w:lang w:val="en-AU"/>
        </w:rPr>
        <w:t>hospital Length of Stay</w:t>
      </w:r>
    </w:p>
    <w:p w:rsidR="00381DF7" w:rsidRPr="00B62F11" w:rsidRDefault="00381DF7" w:rsidP="00381DF7">
      <w:pPr>
        <w:keepNext/>
        <w:keepLines/>
        <w:autoSpaceDE w:val="0"/>
        <w:autoSpaceDN w:val="0"/>
        <w:adjustRightInd w:val="0"/>
        <w:rPr>
          <w:rFonts w:ascii="Garamond" w:hAnsi="Garamond"/>
          <w:lang w:val="en-AU"/>
        </w:rPr>
      </w:pPr>
      <w:r w:rsidRPr="00B62F11">
        <w:rPr>
          <w:rFonts w:ascii="Garamond" w:hAnsi="Garamond"/>
          <w:lang w:val="en-AU"/>
        </w:rPr>
        <w:t>Tong EY, Mitra B, Yip G, Galbraith K, Roman C, Smit DV, et al</w:t>
      </w:r>
    </w:p>
    <w:p w:rsidR="00381DF7" w:rsidRPr="00B62F11" w:rsidRDefault="00381DF7" w:rsidP="00381DF7">
      <w:pPr>
        <w:keepNext/>
        <w:keepLines/>
        <w:autoSpaceDE w:val="0"/>
        <w:autoSpaceDN w:val="0"/>
        <w:adjustRightInd w:val="0"/>
        <w:rPr>
          <w:rFonts w:ascii="Garamond" w:hAnsi="Garamond"/>
          <w:lang w:val="en-AU"/>
        </w:rPr>
      </w:pPr>
      <w:r w:rsidRPr="00B62F11">
        <w:rPr>
          <w:rFonts w:ascii="Garamond" w:hAnsi="Garamond"/>
          <w:lang w:val="en-AU"/>
        </w:rPr>
        <w:t xml:space="preserve">British Journal of Clinical Pharmacology. </w:t>
      </w:r>
      <w:proofErr w:type="gramStart"/>
      <w:r w:rsidRPr="00B62F11">
        <w:rPr>
          <w:rFonts w:ascii="Garamond" w:hAnsi="Garamond"/>
          <w:lang w:val="en-AU"/>
        </w:rPr>
        <w:t>2019</w:t>
      </w:r>
      <w:proofErr w:type="gramEnd"/>
      <w:r w:rsidRPr="00B62F11">
        <w:rPr>
          <w:rFonts w:ascii="Garamond" w:hAnsi="Garamond"/>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381DF7" w:rsidRPr="00B62F11" w:rsidTr="00A11EEB">
        <w:tc>
          <w:tcPr>
            <w:tcW w:w="1080" w:type="dxa"/>
            <w:tcBorders>
              <w:top w:val="single" w:sz="4" w:space="0" w:color="auto"/>
              <w:left w:val="single" w:sz="4" w:space="0" w:color="auto"/>
              <w:bottom w:val="single" w:sz="4" w:space="0" w:color="auto"/>
              <w:right w:val="single" w:sz="4" w:space="0" w:color="auto"/>
            </w:tcBorders>
            <w:vAlign w:val="center"/>
          </w:tcPr>
          <w:p w:rsidR="00381DF7" w:rsidRPr="00B62F11" w:rsidRDefault="00381DF7" w:rsidP="00A11EEB">
            <w:pPr>
              <w:rPr>
                <w:rStyle w:val="Hyperlink"/>
                <w:rFonts w:ascii="Garamond" w:hAnsi="Garamond"/>
                <w:lang w:val="en-AU"/>
              </w:rPr>
            </w:pPr>
            <w:r w:rsidRPr="00B62F11">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81DF7" w:rsidRPr="00B62F11" w:rsidRDefault="00165452" w:rsidP="00A11EEB">
            <w:pPr>
              <w:rPr>
                <w:rStyle w:val="Hyperlink"/>
                <w:rFonts w:ascii="Garamond" w:hAnsi="Garamond"/>
                <w:color w:val="auto"/>
                <w:u w:val="none"/>
                <w:lang w:val="en-AU"/>
              </w:rPr>
            </w:pPr>
            <w:hyperlink r:id="rId24" w:history="1">
              <w:r w:rsidR="00381DF7" w:rsidRPr="00B62F11">
                <w:rPr>
                  <w:rStyle w:val="Hyperlink"/>
                  <w:rFonts w:ascii="Garamond" w:hAnsi="Garamond"/>
                  <w:lang w:val="en-AU"/>
                </w:rPr>
                <w:t>https://doi.org/10.1111/bcp.14128</w:t>
              </w:r>
            </w:hyperlink>
          </w:p>
        </w:tc>
      </w:tr>
      <w:tr w:rsidR="00381DF7" w:rsidRPr="00B62F11" w:rsidTr="00A11EEB">
        <w:tc>
          <w:tcPr>
            <w:tcW w:w="1080" w:type="dxa"/>
            <w:tcBorders>
              <w:top w:val="single" w:sz="4" w:space="0" w:color="auto"/>
              <w:left w:val="single" w:sz="4" w:space="0" w:color="auto"/>
              <w:bottom w:val="single" w:sz="4" w:space="0" w:color="auto"/>
              <w:right w:val="single" w:sz="4" w:space="0" w:color="auto"/>
            </w:tcBorders>
            <w:vAlign w:val="center"/>
          </w:tcPr>
          <w:p w:rsidR="00381DF7" w:rsidRPr="00B62F11" w:rsidRDefault="00381DF7" w:rsidP="00A11EEB">
            <w:pPr>
              <w:rPr>
                <w:rFonts w:ascii="Garamond" w:hAnsi="Garamond"/>
                <w:lang w:val="en-AU" w:eastAsia="en-AU"/>
              </w:rPr>
            </w:pPr>
            <w:r w:rsidRPr="00B62F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1DF7" w:rsidRPr="00B62F11" w:rsidRDefault="00381DF7" w:rsidP="00A11EEB">
            <w:pPr>
              <w:rPr>
                <w:rFonts w:ascii="Garamond" w:hAnsi="Garamond"/>
                <w:lang w:val="en-AU"/>
              </w:rPr>
            </w:pPr>
            <w:r w:rsidRPr="00B62F11">
              <w:rPr>
                <w:rFonts w:ascii="Garamond" w:hAnsi="Garamond"/>
                <w:lang w:val="en-AU"/>
              </w:rPr>
              <w:t xml:space="preserve">The study, led by Monash University and Alfred Health researchers evaluating a collaborative model to reduce medication errors and length of hospital stay, is the largest study of its kind conducted across multiple hospitals in Victoria. </w:t>
            </w:r>
            <w:r w:rsidRPr="00B62F11">
              <w:rPr>
                <w:rFonts w:ascii="Garamond" w:hAnsi="Garamond"/>
                <w:b/>
                <w:lang w:val="en-AU"/>
              </w:rPr>
              <w:t>Medication errors often occur at hospital admission</w:t>
            </w:r>
            <w:r w:rsidRPr="00B62F11">
              <w:rPr>
                <w:rFonts w:ascii="Garamond" w:hAnsi="Garamond"/>
                <w:lang w:val="en-AU"/>
              </w:rPr>
              <w:t>, the study of 8,648 patients across seven hospitals found. It examined the outcomes of an intervention involving medication charting by pharmacists using a partnered pharmacist model compared to traditional medication charting. The authors indicated that the primary outcome variable was the length of inpatient hospital stay, and that secondary outcome measures were medication errors detected within 24 hours of the patients’ admission. The authors report that the patients who had the intervention (Partnered Pharmacist Model of Care or PPMC) had ‘</w:t>
            </w:r>
            <w:r w:rsidRPr="00B62F11">
              <w:rPr>
                <w:rFonts w:ascii="Garamond" w:hAnsi="Garamond"/>
                <w:b/>
                <w:lang w:val="en-AU"/>
              </w:rPr>
              <w:t>reduced median length of inpatient hospital stay</w:t>
            </w:r>
            <w:r w:rsidRPr="00B62F11">
              <w:rPr>
                <w:rFonts w:ascii="Garamond" w:hAnsi="Garamond"/>
                <w:lang w:val="en-AU"/>
              </w:rPr>
              <w:t xml:space="preserve"> from 4.7 (IQR 2.8</w:t>
            </w:r>
            <w:r w:rsidRPr="00B62F11">
              <w:rPr>
                <w:lang w:val="en-AU"/>
              </w:rPr>
              <w:t>‐</w:t>
            </w:r>
            <w:r w:rsidRPr="00B62F11">
              <w:rPr>
                <w:rFonts w:ascii="Garamond" w:hAnsi="Garamond"/>
                <w:lang w:val="en-AU"/>
              </w:rPr>
              <w:t>8.2) days to 4.2 (IQR 2.3</w:t>
            </w:r>
            <w:r w:rsidRPr="00B62F11">
              <w:rPr>
                <w:lang w:val="en-AU"/>
              </w:rPr>
              <w:t>‐</w:t>
            </w:r>
            <w:r w:rsidRPr="00B62F11">
              <w:rPr>
                <w:rFonts w:ascii="Garamond" w:hAnsi="Garamond"/>
                <w:lang w:val="en-AU"/>
              </w:rPr>
              <w:t xml:space="preserve">7.5) days (p&lt;0.001). PPMC was associated with a </w:t>
            </w:r>
            <w:r w:rsidRPr="00B62F11">
              <w:rPr>
                <w:rFonts w:ascii="Garamond" w:hAnsi="Garamond"/>
                <w:b/>
                <w:lang w:val="en-AU"/>
              </w:rPr>
              <w:t>reduction in the proportion of patients with at least one medication error</w:t>
            </w:r>
            <w:r w:rsidRPr="00B62F11">
              <w:rPr>
                <w:rFonts w:ascii="Garamond" w:hAnsi="Garamond"/>
                <w:lang w:val="en-AU"/>
              </w:rPr>
              <w:t xml:space="preserve"> from 66% to 3.6% with a NNT [number needed to treat] to prevent one error of 1.6 (95% CI: 1.57</w:t>
            </w:r>
            <w:r w:rsidRPr="00B62F11">
              <w:rPr>
                <w:lang w:val="en-AU"/>
              </w:rPr>
              <w:t>‐</w:t>
            </w:r>
            <w:r w:rsidRPr="00B62F11">
              <w:rPr>
                <w:rFonts w:ascii="Garamond" w:hAnsi="Garamond"/>
                <w:lang w:val="en-AU"/>
              </w:rPr>
              <w:t>1.64).’</w:t>
            </w:r>
          </w:p>
        </w:tc>
      </w:tr>
    </w:tbl>
    <w:p w:rsidR="00381DF7" w:rsidRDefault="00381DF7" w:rsidP="00381DF7">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medication safety, </w:t>
      </w:r>
      <w:r w:rsidRPr="006C5462">
        <w:rPr>
          <w:rFonts w:ascii="Garamond" w:hAnsi="Garamond"/>
          <w:lang w:val="en-AU"/>
        </w:rPr>
        <w:t>see</w:t>
      </w:r>
      <w:r>
        <w:rPr>
          <w:rFonts w:ascii="Garamond" w:hAnsi="Garamond"/>
          <w:lang w:val="en-AU"/>
        </w:rPr>
        <w:t xml:space="preserve"> </w:t>
      </w:r>
      <w:hyperlink r:id="rId25" w:history="1">
        <w:r w:rsidRPr="003844DE">
          <w:rPr>
            <w:rStyle w:val="Hyperlink"/>
            <w:rFonts w:ascii="Garamond" w:hAnsi="Garamond"/>
            <w:lang w:val="en-AU"/>
          </w:rPr>
          <w:t>https://www.safetyandquality.gov.au/medication-safety</w:t>
        </w:r>
      </w:hyperlink>
    </w:p>
    <w:p w:rsidR="00381DF7" w:rsidRDefault="00381DF7" w:rsidP="00381DF7">
      <w:pPr>
        <w:keepNext/>
        <w:ind w:left="720" w:hanging="720"/>
        <w:rPr>
          <w:rFonts w:ascii="Garamond" w:hAnsi="Garamond"/>
          <w:b/>
          <w:lang w:val="en-AU"/>
        </w:rPr>
      </w:pPr>
    </w:p>
    <w:p w:rsidR="00381DF7" w:rsidRPr="00686B84" w:rsidRDefault="00381DF7" w:rsidP="00381DF7">
      <w:pPr>
        <w:keepNext/>
        <w:keepLines/>
        <w:autoSpaceDE w:val="0"/>
        <w:autoSpaceDN w:val="0"/>
        <w:adjustRightInd w:val="0"/>
        <w:rPr>
          <w:rFonts w:ascii="Garamond" w:hAnsi="Garamond"/>
          <w:i/>
          <w:lang w:val="en-AU"/>
        </w:rPr>
      </w:pPr>
      <w:r w:rsidRPr="00686B84">
        <w:rPr>
          <w:rFonts w:ascii="Garamond" w:hAnsi="Garamond"/>
          <w:i/>
          <w:lang w:val="en-AU"/>
        </w:rPr>
        <w:t>Drug Regulation in the Era of Individualized Therapies</w:t>
      </w:r>
    </w:p>
    <w:p w:rsidR="00381DF7" w:rsidRDefault="00381DF7" w:rsidP="00381DF7">
      <w:pPr>
        <w:keepNext/>
        <w:keepLines/>
        <w:autoSpaceDE w:val="0"/>
        <w:autoSpaceDN w:val="0"/>
        <w:adjustRightInd w:val="0"/>
        <w:rPr>
          <w:rFonts w:ascii="Garamond" w:hAnsi="Garamond"/>
          <w:lang w:val="en-AU"/>
        </w:rPr>
      </w:pPr>
      <w:r w:rsidRPr="00BC4A08">
        <w:rPr>
          <w:rFonts w:ascii="Garamond" w:hAnsi="Garamond"/>
          <w:lang w:val="en-AU"/>
        </w:rPr>
        <w:t>Woodcock J, Marks P</w:t>
      </w:r>
    </w:p>
    <w:p w:rsidR="00381DF7" w:rsidRDefault="00381DF7" w:rsidP="00381DF7">
      <w:pPr>
        <w:keepNext/>
        <w:keepLines/>
        <w:autoSpaceDE w:val="0"/>
        <w:autoSpaceDN w:val="0"/>
        <w:adjustRightInd w:val="0"/>
        <w:rPr>
          <w:rFonts w:ascii="Garamond" w:hAnsi="Garamond"/>
          <w:lang w:val="en-AU"/>
        </w:rPr>
      </w:pPr>
      <w:r w:rsidRPr="00BC4A08">
        <w:rPr>
          <w:rFonts w:ascii="Garamond" w:hAnsi="Garamond"/>
          <w:lang w:val="en-AU"/>
        </w:rPr>
        <w:t>New England Journal of Medicine. 2019;381(17):1678-1680.</w:t>
      </w:r>
    </w:p>
    <w:tbl>
      <w:tblPr>
        <w:tblStyle w:val="TableGrid"/>
        <w:tblW w:w="0" w:type="auto"/>
        <w:tblInd w:w="288" w:type="dxa"/>
        <w:tblLayout w:type="fixed"/>
        <w:tblLook w:val="01E0" w:firstRow="1" w:lastRow="1" w:firstColumn="1" w:lastColumn="1" w:noHBand="0" w:noVBand="0"/>
      </w:tblPr>
      <w:tblGrid>
        <w:gridCol w:w="1080"/>
        <w:gridCol w:w="8280"/>
      </w:tblGrid>
      <w:tr w:rsidR="00381DF7" w:rsidRPr="000170DA" w:rsidTr="00A11EEB">
        <w:tc>
          <w:tcPr>
            <w:tcW w:w="1080" w:type="dxa"/>
            <w:tcBorders>
              <w:top w:val="single" w:sz="4" w:space="0" w:color="auto"/>
              <w:left w:val="single" w:sz="4" w:space="0" w:color="auto"/>
              <w:bottom w:val="single" w:sz="4" w:space="0" w:color="auto"/>
              <w:right w:val="single" w:sz="4" w:space="0" w:color="auto"/>
            </w:tcBorders>
            <w:vAlign w:val="center"/>
          </w:tcPr>
          <w:p w:rsidR="00381DF7" w:rsidRPr="000170DA" w:rsidRDefault="00381DF7" w:rsidP="00A11EE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81DF7" w:rsidRPr="000170DA" w:rsidRDefault="00165452" w:rsidP="00A11EEB">
            <w:pPr>
              <w:rPr>
                <w:rStyle w:val="Hyperlink"/>
                <w:rFonts w:ascii="Garamond" w:hAnsi="Garamond"/>
                <w:color w:val="auto"/>
                <w:u w:val="none"/>
                <w:lang w:val="en-AU"/>
              </w:rPr>
            </w:pPr>
            <w:hyperlink r:id="rId26" w:history="1">
              <w:r w:rsidR="00381DF7" w:rsidRPr="00841DB4">
                <w:rPr>
                  <w:rStyle w:val="Hyperlink"/>
                  <w:rFonts w:ascii="Garamond" w:hAnsi="Garamond"/>
                  <w:lang w:val="en-AU"/>
                </w:rPr>
                <w:t>https://doi.org/10.1056/NEJMe1911295</w:t>
              </w:r>
            </w:hyperlink>
          </w:p>
        </w:tc>
      </w:tr>
      <w:tr w:rsidR="00381DF7" w:rsidRPr="000170DA" w:rsidTr="00A11EEB">
        <w:tc>
          <w:tcPr>
            <w:tcW w:w="1080" w:type="dxa"/>
            <w:tcBorders>
              <w:top w:val="single" w:sz="4" w:space="0" w:color="auto"/>
              <w:left w:val="single" w:sz="4" w:space="0" w:color="auto"/>
              <w:bottom w:val="single" w:sz="4" w:space="0" w:color="auto"/>
              <w:right w:val="single" w:sz="4" w:space="0" w:color="auto"/>
            </w:tcBorders>
            <w:vAlign w:val="center"/>
          </w:tcPr>
          <w:p w:rsidR="00381DF7" w:rsidRPr="000170DA" w:rsidRDefault="00381DF7" w:rsidP="00A11EE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1DF7" w:rsidRPr="00652094" w:rsidRDefault="00381DF7" w:rsidP="00A11EEB">
            <w:pPr>
              <w:rPr>
                <w:rFonts w:ascii="Garamond" w:hAnsi="Garamond"/>
                <w:lang w:val="en-AU"/>
              </w:rPr>
            </w:pPr>
            <w:r>
              <w:rPr>
                <w:rFonts w:ascii="Garamond" w:hAnsi="Garamond"/>
                <w:lang w:val="en-AU"/>
              </w:rPr>
              <w:t xml:space="preserve">Editorial in the </w:t>
            </w:r>
            <w:r w:rsidRPr="00FC244D">
              <w:rPr>
                <w:rFonts w:ascii="Garamond" w:hAnsi="Garamond"/>
                <w:i/>
                <w:lang w:val="en-AU"/>
              </w:rPr>
              <w:t>New England Journal of Medicine</w:t>
            </w:r>
            <w:r>
              <w:rPr>
                <w:rFonts w:ascii="Garamond" w:hAnsi="Garamond"/>
                <w:lang w:val="en-AU"/>
              </w:rPr>
              <w:t xml:space="preserve"> speculating on the implications for regulation (and safety monitoring) of highly targeted drug development. As the author states, ‘T</w:t>
            </w:r>
            <w:r w:rsidRPr="00BC4A08">
              <w:rPr>
                <w:rFonts w:ascii="Garamond" w:hAnsi="Garamond"/>
                <w:lang w:val="en-AU"/>
              </w:rPr>
              <w:t>his new drug-discovery paradigm also raises many ethical and societal issues.</w:t>
            </w:r>
            <w:r>
              <w:rPr>
                <w:rFonts w:ascii="Garamond" w:hAnsi="Garamond"/>
                <w:lang w:val="en-AU"/>
              </w:rPr>
              <w:t>’ These include how ‘</w:t>
            </w:r>
            <w:r w:rsidRPr="00BC4A08">
              <w:rPr>
                <w:rFonts w:ascii="Garamond" w:hAnsi="Garamond"/>
                <w:lang w:val="en-AU"/>
              </w:rPr>
              <w:t>Patients and their families, of necessity, function more like project collaborators than traditional trial participants</w:t>
            </w:r>
            <w:r>
              <w:rPr>
                <w:rFonts w:ascii="Garamond" w:hAnsi="Garamond"/>
                <w:lang w:val="en-AU"/>
              </w:rPr>
              <w:t>’, but also extend to considerations of the types of evidence, especially in very small studies, for determining safety, efficacy, dosing, regimen, adverse event detection, etc. and to issues of funding, sustainability and equity.</w:t>
            </w:r>
          </w:p>
        </w:tc>
      </w:tr>
    </w:tbl>
    <w:p w:rsidR="00381DF7" w:rsidRDefault="00381DF7" w:rsidP="00381DF7">
      <w:pPr>
        <w:keepNext/>
        <w:ind w:left="720" w:hanging="720"/>
        <w:rPr>
          <w:rFonts w:ascii="Garamond" w:hAnsi="Garamond"/>
          <w:b/>
          <w:lang w:val="en-AU"/>
        </w:rPr>
      </w:pPr>
    </w:p>
    <w:p w:rsidR="00A45DC0" w:rsidRPr="00B62F11" w:rsidRDefault="00A45DC0" w:rsidP="00A45DC0">
      <w:pPr>
        <w:keepNext/>
        <w:keepLines/>
        <w:autoSpaceDE w:val="0"/>
        <w:autoSpaceDN w:val="0"/>
        <w:adjustRightInd w:val="0"/>
        <w:rPr>
          <w:rFonts w:ascii="Garamond" w:hAnsi="Garamond"/>
          <w:i/>
          <w:lang w:val="en-AU"/>
        </w:rPr>
      </w:pPr>
      <w:r w:rsidRPr="00B62F11">
        <w:rPr>
          <w:rFonts w:ascii="Garamond" w:hAnsi="Garamond"/>
          <w:i/>
          <w:lang w:val="en-AU"/>
        </w:rPr>
        <w:t>Are we there yet? Exploring the journey to quality stroke care for Aboriginal and Torres Strait Islander peoples in rural and remote Queensland</w:t>
      </w:r>
    </w:p>
    <w:p w:rsidR="00A45DC0" w:rsidRPr="00B62F11" w:rsidRDefault="00A45DC0" w:rsidP="00A45DC0">
      <w:pPr>
        <w:keepNext/>
        <w:keepLines/>
        <w:autoSpaceDE w:val="0"/>
        <w:autoSpaceDN w:val="0"/>
        <w:adjustRightInd w:val="0"/>
        <w:rPr>
          <w:rFonts w:ascii="Garamond" w:hAnsi="Garamond"/>
          <w:lang w:val="en-AU"/>
        </w:rPr>
      </w:pPr>
      <w:r w:rsidRPr="00B62F11">
        <w:rPr>
          <w:rFonts w:ascii="Garamond" w:hAnsi="Garamond"/>
          <w:lang w:val="en-AU"/>
        </w:rPr>
        <w:t>Quigley R, Mann J, Robertson J, Bonython-Ericson S</w:t>
      </w:r>
    </w:p>
    <w:p w:rsidR="00A45DC0" w:rsidRPr="00B62F11" w:rsidRDefault="00A45DC0" w:rsidP="00A45DC0">
      <w:pPr>
        <w:keepNext/>
        <w:keepLines/>
        <w:autoSpaceDE w:val="0"/>
        <w:autoSpaceDN w:val="0"/>
        <w:adjustRightInd w:val="0"/>
        <w:rPr>
          <w:rFonts w:ascii="Garamond" w:hAnsi="Garamond"/>
          <w:lang w:val="en-AU"/>
        </w:rPr>
      </w:pPr>
      <w:r w:rsidRPr="00B62F11">
        <w:rPr>
          <w:rFonts w:ascii="Garamond" w:hAnsi="Garamond"/>
          <w:lang w:val="en-AU"/>
        </w:rPr>
        <w:t>Rural and Remote Health. 2019</w:t>
      </w:r>
      <w:proofErr w:type="gramStart"/>
      <w:r w:rsidRPr="00B62F11">
        <w:rPr>
          <w:rFonts w:ascii="Garamond" w:hAnsi="Garamond"/>
          <w:lang w:val="en-AU"/>
        </w:rPr>
        <w:t>;19</w:t>
      </w:r>
      <w:proofErr w:type="gramEnd"/>
      <w:r w:rsidRPr="00B62F11">
        <w:rPr>
          <w:rFonts w:ascii="Garamond" w:hAnsi="Garamond"/>
          <w:lang w:val="en-AU"/>
        </w:rPr>
        <w:t>(3).</w:t>
      </w:r>
    </w:p>
    <w:tbl>
      <w:tblPr>
        <w:tblStyle w:val="TableGrid"/>
        <w:tblW w:w="0" w:type="auto"/>
        <w:tblInd w:w="288" w:type="dxa"/>
        <w:tblLayout w:type="fixed"/>
        <w:tblLook w:val="01E0" w:firstRow="1" w:lastRow="1" w:firstColumn="1" w:lastColumn="1" w:noHBand="0" w:noVBand="0"/>
      </w:tblPr>
      <w:tblGrid>
        <w:gridCol w:w="1080"/>
        <w:gridCol w:w="8280"/>
      </w:tblGrid>
      <w:tr w:rsidR="00A45DC0" w:rsidRPr="00B62F11" w:rsidTr="00A11EEB">
        <w:tc>
          <w:tcPr>
            <w:tcW w:w="1080" w:type="dxa"/>
            <w:tcBorders>
              <w:top w:val="single" w:sz="4" w:space="0" w:color="auto"/>
              <w:left w:val="single" w:sz="4" w:space="0" w:color="auto"/>
              <w:bottom w:val="single" w:sz="4" w:space="0" w:color="auto"/>
              <w:right w:val="single" w:sz="4" w:space="0" w:color="auto"/>
            </w:tcBorders>
            <w:vAlign w:val="center"/>
          </w:tcPr>
          <w:p w:rsidR="00A45DC0" w:rsidRPr="00B62F11" w:rsidRDefault="00A45DC0" w:rsidP="00A11EEB">
            <w:pPr>
              <w:rPr>
                <w:rStyle w:val="Hyperlink"/>
                <w:rFonts w:ascii="Garamond" w:hAnsi="Garamond"/>
                <w:lang w:val="en-AU"/>
              </w:rPr>
            </w:pPr>
            <w:r w:rsidRPr="00B62F11">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5DC0" w:rsidRPr="00B62F11" w:rsidRDefault="00165452" w:rsidP="00A11EEB">
            <w:pPr>
              <w:rPr>
                <w:rStyle w:val="Hyperlink"/>
                <w:rFonts w:ascii="Garamond" w:hAnsi="Garamond"/>
                <w:color w:val="auto"/>
                <w:u w:val="none"/>
                <w:lang w:val="en-AU"/>
              </w:rPr>
            </w:pPr>
            <w:hyperlink r:id="rId27" w:history="1">
              <w:r w:rsidR="00A45DC0" w:rsidRPr="00B62F11">
                <w:rPr>
                  <w:rStyle w:val="Hyperlink"/>
                  <w:rFonts w:ascii="Garamond" w:hAnsi="Garamond"/>
                  <w:lang w:val="en-AU"/>
                </w:rPr>
                <w:t>https://doi.org/10.22605/RRH4850</w:t>
              </w:r>
            </w:hyperlink>
          </w:p>
        </w:tc>
      </w:tr>
      <w:tr w:rsidR="00A45DC0" w:rsidRPr="00B62F11" w:rsidTr="00A11EEB">
        <w:tc>
          <w:tcPr>
            <w:tcW w:w="1080" w:type="dxa"/>
            <w:tcBorders>
              <w:top w:val="single" w:sz="4" w:space="0" w:color="auto"/>
              <w:left w:val="single" w:sz="4" w:space="0" w:color="auto"/>
              <w:bottom w:val="single" w:sz="4" w:space="0" w:color="auto"/>
              <w:right w:val="single" w:sz="4" w:space="0" w:color="auto"/>
            </w:tcBorders>
            <w:vAlign w:val="center"/>
          </w:tcPr>
          <w:p w:rsidR="00A45DC0" w:rsidRPr="00B62F11" w:rsidRDefault="00A45DC0" w:rsidP="00A11EEB">
            <w:pPr>
              <w:rPr>
                <w:rFonts w:ascii="Garamond" w:hAnsi="Garamond"/>
                <w:lang w:val="en-AU" w:eastAsia="en-AU"/>
              </w:rPr>
            </w:pPr>
            <w:r w:rsidRPr="00B62F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5DC0" w:rsidRPr="00B62F11" w:rsidRDefault="00A45DC0" w:rsidP="00A11EEB">
            <w:pPr>
              <w:rPr>
                <w:rFonts w:ascii="Garamond" w:hAnsi="Garamond"/>
                <w:lang w:val="en-AU"/>
              </w:rPr>
            </w:pPr>
            <w:r w:rsidRPr="00B62F11">
              <w:rPr>
                <w:rFonts w:ascii="Garamond" w:hAnsi="Garamond"/>
                <w:lang w:val="en-AU"/>
              </w:rPr>
              <w:t>Paper reporting on a project that used interviews with patients, carers and other stakeholders to inform the development of an integrated patient centred model of care that spans the care continuum and places value on an extended role for the Aboriginal and Torres Strait Islander health worker workforce.</w:t>
            </w:r>
          </w:p>
        </w:tc>
      </w:tr>
    </w:tbl>
    <w:p w:rsidR="00A45DC0" w:rsidRDefault="00A45DC0" w:rsidP="00A45DC0">
      <w:pPr>
        <w:keepNext/>
        <w:rPr>
          <w:rFonts w:ascii="Garamond" w:hAnsi="Garamond"/>
          <w:lang w:val="en-AU"/>
        </w:rPr>
      </w:pPr>
    </w:p>
    <w:p w:rsidR="00A45DC0" w:rsidRPr="00B62F11" w:rsidRDefault="00A45DC0" w:rsidP="00A45DC0">
      <w:pPr>
        <w:keepNext/>
        <w:rPr>
          <w:rFonts w:ascii="Garamond" w:hAnsi="Garamond"/>
          <w:lang w:val="en-AU"/>
        </w:rPr>
      </w:pPr>
      <w:r w:rsidRPr="00B62F11">
        <w:rPr>
          <w:rFonts w:ascii="Garamond" w:hAnsi="Garamond"/>
          <w:lang w:val="en-AU"/>
        </w:rPr>
        <w:t xml:space="preserve">For information on the Commission’s work on person-centred care, see </w:t>
      </w:r>
      <w:hyperlink r:id="rId28" w:history="1">
        <w:r w:rsidRPr="00B62F11">
          <w:rPr>
            <w:rStyle w:val="Hyperlink"/>
            <w:rFonts w:ascii="Garamond" w:hAnsi="Garamond"/>
            <w:lang w:val="en-AU"/>
          </w:rPr>
          <w:t>https://www.safetyandquality.gov.au/our-work/partnering-consumers/person-centred-care</w:t>
        </w:r>
      </w:hyperlink>
    </w:p>
    <w:p w:rsidR="00A45DC0" w:rsidRPr="00B62F11" w:rsidRDefault="00A45DC0" w:rsidP="00A45DC0">
      <w:pPr>
        <w:keepNext/>
        <w:rPr>
          <w:rFonts w:ascii="Garamond" w:hAnsi="Garamond"/>
          <w:lang w:val="en-AU"/>
        </w:rPr>
      </w:pPr>
    </w:p>
    <w:p w:rsidR="00D465AC" w:rsidRPr="00D465AC" w:rsidRDefault="00D465AC" w:rsidP="00D465AC">
      <w:pPr>
        <w:keepNext/>
        <w:rPr>
          <w:rFonts w:ascii="Garamond" w:hAnsi="Garamond"/>
          <w:i/>
          <w:lang w:val="en-AU"/>
        </w:rPr>
      </w:pPr>
      <w:r w:rsidRPr="00D465AC">
        <w:rPr>
          <w:rFonts w:ascii="Garamond" w:hAnsi="Garamond"/>
          <w:i/>
          <w:lang w:val="en-AU"/>
        </w:rPr>
        <w:t xml:space="preserve">Diagnostic errors reported in primary healthcare and emergency </w:t>
      </w:r>
      <w:proofErr w:type="gramStart"/>
      <w:r w:rsidRPr="00D465AC">
        <w:rPr>
          <w:rFonts w:ascii="Garamond" w:hAnsi="Garamond"/>
          <w:i/>
          <w:lang w:val="en-AU"/>
        </w:rPr>
        <w:t>departments:</w:t>
      </w:r>
      <w:proofErr w:type="gramEnd"/>
      <w:r w:rsidRPr="00D465AC">
        <w:rPr>
          <w:rFonts w:ascii="Garamond" w:hAnsi="Garamond"/>
          <w:i/>
          <w:lang w:val="en-AU"/>
        </w:rPr>
        <w:t xml:space="preserve"> A retrospective and descriptive cohort study of 4830 reported cases of preventable harm in Sweden</w:t>
      </w:r>
    </w:p>
    <w:p w:rsidR="003F6510" w:rsidRDefault="003F6510" w:rsidP="00652094">
      <w:pPr>
        <w:keepNext/>
        <w:keepLines/>
        <w:autoSpaceDE w:val="0"/>
        <w:autoSpaceDN w:val="0"/>
        <w:adjustRightInd w:val="0"/>
        <w:rPr>
          <w:rFonts w:ascii="Garamond" w:hAnsi="Garamond"/>
          <w:lang w:val="en-AU"/>
        </w:rPr>
      </w:pPr>
      <w:r w:rsidRPr="003F6510">
        <w:rPr>
          <w:rFonts w:ascii="Garamond" w:hAnsi="Garamond"/>
          <w:lang w:val="en-AU"/>
        </w:rPr>
        <w:t>Fernholm R, Pukk Härenstam K, Wachtler C, Nilsson GH, Holzmann MJ, Carlsson AC</w:t>
      </w:r>
    </w:p>
    <w:p w:rsidR="00652094" w:rsidRPr="00D465AC" w:rsidRDefault="003F6510" w:rsidP="00652094">
      <w:pPr>
        <w:keepNext/>
        <w:keepLines/>
        <w:autoSpaceDE w:val="0"/>
        <w:autoSpaceDN w:val="0"/>
        <w:adjustRightInd w:val="0"/>
        <w:rPr>
          <w:rFonts w:ascii="Garamond" w:hAnsi="Garamond"/>
          <w:lang w:val="en-AU"/>
        </w:rPr>
      </w:pPr>
      <w:r w:rsidRPr="003F6510">
        <w:rPr>
          <w:rFonts w:ascii="Garamond" w:hAnsi="Garamond"/>
          <w:lang w:val="en-AU"/>
        </w:rPr>
        <w:t>European Journal of General Practice. 2019;25(3):128-135.</w:t>
      </w:r>
    </w:p>
    <w:tbl>
      <w:tblPr>
        <w:tblStyle w:val="TableGrid"/>
        <w:tblW w:w="9360" w:type="dxa"/>
        <w:tblInd w:w="288" w:type="dxa"/>
        <w:tblLayout w:type="fixed"/>
        <w:tblLook w:val="01E0" w:firstRow="1" w:lastRow="1" w:firstColumn="1" w:lastColumn="1" w:noHBand="0" w:noVBand="0"/>
      </w:tblPr>
      <w:tblGrid>
        <w:gridCol w:w="1080"/>
        <w:gridCol w:w="8280"/>
      </w:tblGrid>
      <w:tr w:rsidR="00652094" w:rsidRPr="000170DA" w:rsidTr="00A45DC0">
        <w:tc>
          <w:tcPr>
            <w:tcW w:w="1080" w:type="dxa"/>
            <w:tcBorders>
              <w:top w:val="single" w:sz="4" w:space="0" w:color="auto"/>
              <w:left w:val="single" w:sz="4" w:space="0" w:color="auto"/>
              <w:bottom w:val="single" w:sz="4" w:space="0" w:color="auto"/>
              <w:right w:val="single" w:sz="4" w:space="0" w:color="auto"/>
            </w:tcBorders>
            <w:vAlign w:val="center"/>
          </w:tcPr>
          <w:p w:rsidR="00652094" w:rsidRPr="000170DA" w:rsidRDefault="00652094" w:rsidP="007A474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52094" w:rsidRPr="000170DA" w:rsidRDefault="00165452" w:rsidP="007A474A">
            <w:pPr>
              <w:rPr>
                <w:rStyle w:val="Hyperlink"/>
                <w:rFonts w:ascii="Garamond" w:hAnsi="Garamond"/>
                <w:color w:val="auto"/>
                <w:u w:val="none"/>
                <w:lang w:val="en-AU"/>
              </w:rPr>
            </w:pPr>
            <w:hyperlink r:id="rId29" w:history="1">
              <w:r w:rsidR="00D465AC" w:rsidRPr="00EE7E2F">
                <w:rPr>
                  <w:rStyle w:val="Hyperlink"/>
                  <w:rFonts w:ascii="Garamond" w:hAnsi="Garamond"/>
                  <w:lang w:val="en-AU"/>
                </w:rPr>
                <w:t>https://doi.org/10.1080/13814788.2019.1625886</w:t>
              </w:r>
            </w:hyperlink>
          </w:p>
        </w:tc>
      </w:tr>
      <w:tr w:rsidR="00652094" w:rsidRPr="000170DA" w:rsidTr="00A45DC0">
        <w:tc>
          <w:tcPr>
            <w:tcW w:w="1080" w:type="dxa"/>
            <w:tcBorders>
              <w:top w:val="single" w:sz="4" w:space="0" w:color="auto"/>
              <w:left w:val="single" w:sz="4" w:space="0" w:color="auto"/>
              <w:bottom w:val="single" w:sz="4" w:space="0" w:color="auto"/>
              <w:right w:val="single" w:sz="4" w:space="0" w:color="auto"/>
            </w:tcBorders>
            <w:vAlign w:val="center"/>
          </w:tcPr>
          <w:p w:rsidR="00652094" w:rsidRPr="000170DA" w:rsidRDefault="00652094"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6510" w:rsidRPr="00652094" w:rsidRDefault="00D465AC" w:rsidP="00A56993">
            <w:pPr>
              <w:rPr>
                <w:rFonts w:ascii="Garamond" w:hAnsi="Garamond"/>
                <w:lang w:val="en-AU"/>
              </w:rPr>
            </w:pPr>
            <w:r>
              <w:rPr>
                <w:rFonts w:ascii="Garamond" w:hAnsi="Garamond"/>
                <w:lang w:val="en-AU"/>
              </w:rPr>
              <w:t xml:space="preserve">Paper reporting on a study that sought to understand diagnostic errors in primary care and emergency care. This was a </w:t>
            </w:r>
            <w:r w:rsidRPr="00D465AC">
              <w:rPr>
                <w:rFonts w:ascii="Garamond" w:hAnsi="Garamond"/>
                <w:lang w:val="en-AU"/>
              </w:rPr>
              <w:t xml:space="preserve">retrospective and descriptive cohort study </w:t>
            </w:r>
            <w:r>
              <w:rPr>
                <w:rFonts w:ascii="Garamond" w:hAnsi="Garamond"/>
                <w:lang w:val="en-AU"/>
              </w:rPr>
              <w:t>that used a</w:t>
            </w:r>
            <w:r w:rsidRPr="00D465AC">
              <w:rPr>
                <w:rFonts w:ascii="Garamond" w:hAnsi="Garamond"/>
                <w:lang w:val="en-AU"/>
              </w:rPr>
              <w:t xml:space="preserve"> nationwide cohort collected from two </w:t>
            </w:r>
            <w:r>
              <w:rPr>
                <w:rFonts w:ascii="Garamond" w:hAnsi="Garamond"/>
                <w:lang w:val="en-AU"/>
              </w:rPr>
              <w:t xml:space="preserve">Swedish </w:t>
            </w:r>
            <w:r w:rsidRPr="00D465AC">
              <w:rPr>
                <w:rFonts w:ascii="Garamond" w:hAnsi="Garamond"/>
                <w:lang w:val="en-AU"/>
              </w:rPr>
              <w:t>databases</w:t>
            </w:r>
            <w:r w:rsidR="003F6510">
              <w:rPr>
                <w:rFonts w:ascii="Garamond" w:hAnsi="Garamond"/>
                <w:lang w:val="en-AU"/>
              </w:rPr>
              <w:t xml:space="preserve"> over a five-year period</w:t>
            </w:r>
            <w:r>
              <w:rPr>
                <w:rFonts w:ascii="Garamond" w:hAnsi="Garamond"/>
                <w:lang w:val="en-AU"/>
              </w:rPr>
              <w:t xml:space="preserve">. The study identified 4830 cases of preventable harm with 2208 (46%) attributed to diagnostic errors. </w:t>
            </w:r>
            <w:r w:rsidR="003F6510">
              <w:rPr>
                <w:rFonts w:ascii="Garamond" w:hAnsi="Garamond"/>
                <w:lang w:val="en-AU"/>
              </w:rPr>
              <w:t>The authors report that ‘</w:t>
            </w:r>
            <w:r w:rsidR="003F6510" w:rsidRPr="003F6510">
              <w:rPr>
                <w:rFonts w:ascii="Garamond" w:hAnsi="Garamond"/>
                <w:b/>
                <w:lang w:val="en-AU"/>
              </w:rPr>
              <w:t>Diagnoses affected in primary care</w:t>
            </w:r>
            <w:r w:rsidR="003F6510" w:rsidRPr="003F6510">
              <w:rPr>
                <w:rFonts w:ascii="Garamond" w:hAnsi="Garamond"/>
                <w:lang w:val="en-AU"/>
              </w:rPr>
              <w:t xml:space="preserve"> were </w:t>
            </w:r>
            <w:r w:rsidR="003F6510" w:rsidRPr="003F6510">
              <w:rPr>
                <w:rFonts w:ascii="Garamond" w:hAnsi="Garamond"/>
                <w:b/>
                <w:lang w:val="en-AU"/>
              </w:rPr>
              <w:t>cancer</w:t>
            </w:r>
            <w:r w:rsidR="003F6510" w:rsidRPr="003F6510">
              <w:rPr>
                <w:rFonts w:ascii="Garamond" w:hAnsi="Garamond"/>
                <w:lang w:val="en-AU"/>
              </w:rPr>
              <w:t xml:space="preserve"> (37% and 23%, respectively, in the two databases; mostly colon and skin), </w:t>
            </w:r>
            <w:r w:rsidR="003F6510" w:rsidRPr="003F6510">
              <w:rPr>
                <w:rFonts w:ascii="Garamond" w:hAnsi="Garamond"/>
                <w:b/>
                <w:lang w:val="en-AU"/>
              </w:rPr>
              <w:t>fractures</w:t>
            </w:r>
            <w:r w:rsidR="003F6510" w:rsidRPr="003F6510">
              <w:rPr>
                <w:rFonts w:ascii="Garamond" w:hAnsi="Garamond"/>
                <w:lang w:val="en-AU"/>
              </w:rPr>
              <w:t xml:space="preserve"> (mostly hand), heart disease (mostly </w:t>
            </w:r>
            <w:r w:rsidR="003F6510" w:rsidRPr="003F6510">
              <w:rPr>
                <w:rFonts w:ascii="Garamond" w:hAnsi="Garamond"/>
                <w:b/>
                <w:lang w:val="en-AU"/>
              </w:rPr>
              <w:t>myocardial infarction</w:t>
            </w:r>
            <w:r w:rsidR="003F6510" w:rsidRPr="003F6510">
              <w:rPr>
                <w:rFonts w:ascii="Garamond" w:hAnsi="Garamond"/>
                <w:lang w:val="en-AU"/>
              </w:rPr>
              <w:t xml:space="preserve">), and </w:t>
            </w:r>
            <w:r w:rsidR="003F6510" w:rsidRPr="003F6510">
              <w:rPr>
                <w:rFonts w:ascii="Garamond" w:hAnsi="Garamond"/>
                <w:b/>
                <w:lang w:val="en-AU"/>
              </w:rPr>
              <w:t>rupture of tendons</w:t>
            </w:r>
            <w:r w:rsidR="003F6510" w:rsidRPr="003F6510">
              <w:rPr>
                <w:rFonts w:ascii="Garamond" w:hAnsi="Garamond"/>
                <w:lang w:val="en-AU"/>
              </w:rPr>
              <w:t xml:space="preserve"> (mostly Achilles). </w:t>
            </w:r>
            <w:r w:rsidR="003F6510">
              <w:rPr>
                <w:rFonts w:ascii="Garamond" w:hAnsi="Garamond"/>
                <w:lang w:val="en-AU"/>
              </w:rPr>
              <w:br/>
            </w:r>
            <w:r w:rsidR="003F6510" w:rsidRPr="003F6510">
              <w:rPr>
                <w:rFonts w:ascii="Garamond" w:hAnsi="Garamond"/>
                <w:lang w:val="en-AU"/>
              </w:rPr>
              <w:t xml:space="preserve">Of the diagnostic errors in the </w:t>
            </w:r>
            <w:r w:rsidR="003F6510" w:rsidRPr="003F6510">
              <w:rPr>
                <w:rFonts w:ascii="Garamond" w:hAnsi="Garamond"/>
                <w:b/>
                <w:lang w:val="en-AU"/>
              </w:rPr>
              <w:t>emergency department</w:t>
            </w:r>
            <w:r w:rsidR="003F6510" w:rsidRPr="003F6510">
              <w:rPr>
                <w:rFonts w:ascii="Garamond" w:hAnsi="Garamond"/>
                <w:lang w:val="en-AU"/>
              </w:rPr>
              <w:t xml:space="preserve">, </w:t>
            </w:r>
            <w:r w:rsidR="003F6510" w:rsidRPr="003F6510">
              <w:rPr>
                <w:rFonts w:ascii="Garamond" w:hAnsi="Garamond"/>
                <w:b/>
                <w:lang w:val="en-AU"/>
              </w:rPr>
              <w:t>fractures</w:t>
            </w:r>
            <w:r w:rsidR="003F6510" w:rsidRPr="003F6510">
              <w:rPr>
                <w:rFonts w:ascii="Garamond" w:hAnsi="Garamond"/>
                <w:lang w:val="en-AU"/>
              </w:rPr>
              <w:t xml:space="preserve"> constituted 24% (mostly hand and wrist, 29%). Rupture/injury of </w:t>
            </w:r>
            <w:r w:rsidR="003F6510" w:rsidRPr="003F6510">
              <w:rPr>
                <w:rFonts w:ascii="Garamond" w:hAnsi="Garamond"/>
                <w:b/>
                <w:lang w:val="en-AU"/>
              </w:rPr>
              <w:t>muscle/tendon</w:t>
            </w:r>
            <w:r w:rsidR="003F6510" w:rsidRPr="003F6510">
              <w:rPr>
                <w:rFonts w:ascii="Garamond" w:hAnsi="Garamond"/>
                <w:lang w:val="en-AU"/>
              </w:rPr>
              <w:t xml:space="preserve"> constituted 19% (mostly finger tendons, rotator cuff tendons, and Achilles tendon).</w:t>
            </w:r>
            <w:r w:rsidR="003F6510">
              <w:rPr>
                <w:rFonts w:ascii="Garamond" w:hAnsi="Garamond"/>
                <w:lang w:val="en-AU"/>
              </w:rPr>
              <w:t>’</w:t>
            </w:r>
          </w:p>
        </w:tc>
      </w:tr>
    </w:tbl>
    <w:p w:rsidR="00A45DC0" w:rsidRDefault="00A45DC0">
      <w:pPr>
        <w:rPr>
          <w:rFonts w:ascii="Garamond" w:hAnsi="Garamond"/>
          <w:i/>
          <w:lang w:val="en-AU"/>
        </w:rPr>
      </w:pPr>
      <w:r>
        <w:rPr>
          <w:rFonts w:ascii="Garamond" w:hAnsi="Garamond"/>
          <w:i/>
          <w:lang w:val="en-AU"/>
        </w:rPr>
        <w:br w:type="page"/>
      </w:r>
    </w:p>
    <w:p w:rsidR="00A45DC0" w:rsidRPr="008314D8" w:rsidRDefault="00A45DC0" w:rsidP="00A45DC0">
      <w:pPr>
        <w:keepNext/>
        <w:keepLines/>
        <w:autoSpaceDE w:val="0"/>
        <w:autoSpaceDN w:val="0"/>
        <w:adjustRightInd w:val="0"/>
        <w:rPr>
          <w:rFonts w:ascii="Garamond" w:hAnsi="Garamond"/>
          <w:i/>
          <w:lang w:val="en-AU"/>
        </w:rPr>
      </w:pPr>
      <w:r w:rsidRPr="008314D8">
        <w:rPr>
          <w:rFonts w:ascii="Garamond" w:hAnsi="Garamond"/>
          <w:i/>
          <w:lang w:val="en-AU"/>
        </w:rPr>
        <w:t>Building an organization culture of patient safety</w:t>
      </w:r>
    </w:p>
    <w:p w:rsidR="00A45DC0" w:rsidRDefault="00A45DC0" w:rsidP="00A45DC0">
      <w:pPr>
        <w:keepNext/>
        <w:keepLines/>
        <w:autoSpaceDE w:val="0"/>
        <w:autoSpaceDN w:val="0"/>
        <w:adjustRightInd w:val="0"/>
        <w:rPr>
          <w:rFonts w:ascii="Garamond" w:hAnsi="Garamond"/>
          <w:lang w:val="en-AU"/>
        </w:rPr>
      </w:pPr>
      <w:r w:rsidRPr="00FC7282">
        <w:rPr>
          <w:rFonts w:ascii="Garamond" w:hAnsi="Garamond"/>
          <w:lang w:val="en-AU"/>
        </w:rPr>
        <w:t xml:space="preserve">Tan KH, Pang NL, </w:t>
      </w:r>
      <w:proofErr w:type="spellStart"/>
      <w:r w:rsidRPr="00FC7282">
        <w:rPr>
          <w:rFonts w:ascii="Garamond" w:hAnsi="Garamond"/>
          <w:lang w:val="en-AU"/>
        </w:rPr>
        <w:t>Siau</w:t>
      </w:r>
      <w:proofErr w:type="spellEnd"/>
      <w:r w:rsidRPr="00FC7282">
        <w:rPr>
          <w:rFonts w:ascii="Garamond" w:hAnsi="Garamond"/>
          <w:lang w:val="en-AU"/>
        </w:rPr>
        <w:t xml:space="preserve"> C, Foo Z, Fong KY</w:t>
      </w:r>
    </w:p>
    <w:p w:rsidR="00A45DC0" w:rsidRDefault="00A45DC0" w:rsidP="00A45DC0">
      <w:pPr>
        <w:keepNext/>
        <w:keepLines/>
        <w:autoSpaceDE w:val="0"/>
        <w:autoSpaceDN w:val="0"/>
        <w:adjustRightInd w:val="0"/>
        <w:rPr>
          <w:rFonts w:ascii="Garamond" w:hAnsi="Garamond"/>
          <w:lang w:val="en-AU"/>
        </w:rPr>
      </w:pPr>
      <w:r w:rsidRPr="00FC7282">
        <w:rPr>
          <w:rFonts w:ascii="Garamond" w:hAnsi="Garamond"/>
          <w:lang w:val="en-AU"/>
        </w:rPr>
        <w:t xml:space="preserve">Journal of Patient Safety and Risk Management. </w:t>
      </w:r>
      <w:proofErr w:type="gramStart"/>
      <w:r w:rsidRPr="00FC7282">
        <w:rPr>
          <w:rFonts w:ascii="Garamond" w:hAnsi="Garamond"/>
          <w:lang w:val="en-AU"/>
        </w:rPr>
        <w:t>2019</w:t>
      </w:r>
      <w:proofErr w:type="gramEnd"/>
      <w:r>
        <w:rPr>
          <w:rFonts w:ascii="Garamond" w:hAnsi="Garamond"/>
          <w:lang w:val="en-AU"/>
        </w:rPr>
        <w:t xml:space="preserve"> [epub]</w:t>
      </w:r>
      <w:r w:rsidRPr="00FC7282">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45DC0" w:rsidRPr="000170DA" w:rsidTr="00A11EEB">
        <w:tc>
          <w:tcPr>
            <w:tcW w:w="1080" w:type="dxa"/>
            <w:tcBorders>
              <w:top w:val="single" w:sz="4" w:space="0" w:color="auto"/>
              <w:left w:val="single" w:sz="4" w:space="0" w:color="auto"/>
              <w:bottom w:val="single" w:sz="4" w:space="0" w:color="auto"/>
              <w:right w:val="single" w:sz="4" w:space="0" w:color="auto"/>
            </w:tcBorders>
            <w:vAlign w:val="center"/>
          </w:tcPr>
          <w:p w:rsidR="00A45DC0" w:rsidRPr="000170DA" w:rsidRDefault="00A45DC0" w:rsidP="00A11EE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5DC0" w:rsidRPr="000170DA" w:rsidRDefault="00165452" w:rsidP="00A11EEB">
            <w:pPr>
              <w:rPr>
                <w:rStyle w:val="Hyperlink"/>
                <w:rFonts w:ascii="Garamond" w:hAnsi="Garamond"/>
                <w:color w:val="auto"/>
                <w:u w:val="none"/>
                <w:lang w:val="en-AU"/>
              </w:rPr>
            </w:pPr>
            <w:hyperlink r:id="rId30" w:history="1">
              <w:r w:rsidR="00A45DC0" w:rsidRPr="00431F6B">
                <w:rPr>
                  <w:rStyle w:val="Hyperlink"/>
                  <w:rFonts w:ascii="Garamond" w:hAnsi="Garamond"/>
                  <w:lang w:val="en-AU"/>
                </w:rPr>
                <w:t>https://doi.org/10.1177/2516043519878979</w:t>
              </w:r>
            </w:hyperlink>
          </w:p>
        </w:tc>
      </w:tr>
      <w:tr w:rsidR="00A45DC0" w:rsidRPr="000170DA" w:rsidTr="00A11EEB">
        <w:tc>
          <w:tcPr>
            <w:tcW w:w="1080" w:type="dxa"/>
            <w:tcBorders>
              <w:top w:val="single" w:sz="4" w:space="0" w:color="auto"/>
              <w:left w:val="single" w:sz="4" w:space="0" w:color="auto"/>
              <w:bottom w:val="single" w:sz="4" w:space="0" w:color="auto"/>
              <w:right w:val="single" w:sz="4" w:space="0" w:color="auto"/>
            </w:tcBorders>
            <w:vAlign w:val="center"/>
          </w:tcPr>
          <w:p w:rsidR="00A45DC0" w:rsidRPr="000170DA" w:rsidRDefault="00A45DC0" w:rsidP="00A11EE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5DC0" w:rsidRPr="00652094" w:rsidRDefault="00A45DC0" w:rsidP="00A11EEB">
            <w:pPr>
              <w:rPr>
                <w:rFonts w:ascii="Garamond" w:hAnsi="Garamond"/>
                <w:lang w:val="en-AU"/>
              </w:rPr>
            </w:pPr>
            <w:r>
              <w:rPr>
                <w:rFonts w:ascii="Garamond" w:hAnsi="Garamond"/>
                <w:lang w:val="en-AU"/>
              </w:rPr>
              <w:t xml:space="preserve">Culture </w:t>
            </w:r>
            <w:proofErr w:type="gramStart"/>
            <w:r>
              <w:rPr>
                <w:rFonts w:ascii="Garamond" w:hAnsi="Garamond"/>
                <w:lang w:val="en-AU"/>
              </w:rPr>
              <w:t>is seen</w:t>
            </w:r>
            <w:proofErr w:type="gramEnd"/>
            <w:r>
              <w:rPr>
                <w:rFonts w:ascii="Garamond" w:hAnsi="Garamond"/>
                <w:lang w:val="en-AU"/>
              </w:rPr>
              <w:t xml:space="preserve"> as the predisposing feature to the safety and quality ethos of a health service or facility. A positive and supportive culture </w:t>
            </w:r>
            <w:proofErr w:type="gramStart"/>
            <w:r>
              <w:rPr>
                <w:rFonts w:ascii="Garamond" w:hAnsi="Garamond"/>
                <w:lang w:val="en-AU"/>
              </w:rPr>
              <w:t>is seen</w:t>
            </w:r>
            <w:proofErr w:type="gramEnd"/>
            <w:r>
              <w:rPr>
                <w:rFonts w:ascii="Garamond" w:hAnsi="Garamond"/>
                <w:lang w:val="en-AU"/>
              </w:rPr>
              <w:t xml:space="preserve"> as a necessary precondition for an environment that fosters open, transparent consideration of safety and quality issues. This article describes how one health service, </w:t>
            </w:r>
            <w:r w:rsidRPr="001E3909">
              <w:rPr>
                <w:rFonts w:ascii="Garamond" w:hAnsi="Garamond"/>
                <w:lang w:val="en-AU"/>
              </w:rPr>
              <w:t>SingHealth Duke-NUS Academic Medical Centre</w:t>
            </w:r>
            <w:r>
              <w:rPr>
                <w:rFonts w:ascii="Garamond" w:hAnsi="Garamond"/>
                <w:lang w:val="en-AU"/>
              </w:rPr>
              <w:t xml:space="preserve"> in Singapore, sought to develop a positive safety culture. These efforts included launching </w:t>
            </w:r>
            <w:r w:rsidRPr="001E3909">
              <w:rPr>
                <w:rFonts w:ascii="Garamond" w:hAnsi="Garamond"/>
                <w:lang w:val="en-AU"/>
              </w:rPr>
              <w:t>the SingHealth Duke-NUS Institute for Patient Safety &amp; Quality</w:t>
            </w:r>
            <w:r>
              <w:rPr>
                <w:rFonts w:ascii="Garamond" w:hAnsi="Garamond"/>
                <w:lang w:val="en-AU"/>
              </w:rPr>
              <w:t>.</w:t>
            </w:r>
          </w:p>
        </w:tc>
      </w:tr>
    </w:tbl>
    <w:p w:rsidR="00A45DC0" w:rsidRDefault="00A45DC0" w:rsidP="00A45DC0">
      <w:pPr>
        <w:keepNext/>
        <w:rPr>
          <w:rFonts w:ascii="Garamond" w:hAnsi="Garamond"/>
          <w:i/>
          <w:lang w:val="en-AU"/>
        </w:rPr>
      </w:pPr>
    </w:p>
    <w:p w:rsidR="00652094" w:rsidRPr="00686B84" w:rsidRDefault="00686B84" w:rsidP="00652094">
      <w:pPr>
        <w:keepNext/>
        <w:keepLines/>
        <w:autoSpaceDE w:val="0"/>
        <w:autoSpaceDN w:val="0"/>
        <w:adjustRightInd w:val="0"/>
        <w:rPr>
          <w:rFonts w:ascii="Garamond" w:hAnsi="Garamond"/>
          <w:i/>
          <w:lang w:val="en-AU"/>
        </w:rPr>
      </w:pPr>
      <w:r w:rsidRPr="00686B84">
        <w:rPr>
          <w:rFonts w:ascii="Garamond" w:hAnsi="Garamond"/>
          <w:i/>
          <w:lang w:val="en-AU"/>
        </w:rPr>
        <w:t>A governance framework for development and assessment of national action plans on antimicrobial resistance</w:t>
      </w:r>
    </w:p>
    <w:p w:rsidR="007A09B0" w:rsidRDefault="007A09B0" w:rsidP="00652094">
      <w:pPr>
        <w:keepNext/>
        <w:keepLines/>
        <w:autoSpaceDE w:val="0"/>
        <w:autoSpaceDN w:val="0"/>
        <w:adjustRightInd w:val="0"/>
        <w:rPr>
          <w:rFonts w:ascii="Garamond" w:hAnsi="Garamond"/>
          <w:lang w:val="en-AU"/>
        </w:rPr>
      </w:pPr>
      <w:r w:rsidRPr="007A09B0">
        <w:rPr>
          <w:rFonts w:ascii="Garamond" w:hAnsi="Garamond"/>
          <w:lang w:val="en-AU"/>
        </w:rPr>
        <w:t>Anderson M, Schulze K, Cassini A, Plachouras D, Mossialos E</w:t>
      </w:r>
    </w:p>
    <w:p w:rsidR="00686B84" w:rsidRDefault="007A09B0" w:rsidP="00652094">
      <w:pPr>
        <w:keepNext/>
        <w:keepLines/>
        <w:autoSpaceDE w:val="0"/>
        <w:autoSpaceDN w:val="0"/>
        <w:adjustRightInd w:val="0"/>
        <w:rPr>
          <w:rFonts w:ascii="Garamond" w:hAnsi="Garamond"/>
          <w:lang w:val="en-AU"/>
        </w:rPr>
      </w:pPr>
      <w:r w:rsidRPr="007A09B0">
        <w:rPr>
          <w:rFonts w:ascii="Garamond" w:hAnsi="Garamond"/>
          <w:lang w:val="en-AU"/>
        </w:rPr>
        <w:t>The Lancet Infectious Diseases. 2019;19(11):e371-e384.</w:t>
      </w:r>
    </w:p>
    <w:p w:rsidR="007A09B0" w:rsidRDefault="007A09B0" w:rsidP="00652094">
      <w:pPr>
        <w:keepNext/>
        <w:keepLines/>
        <w:autoSpaceDE w:val="0"/>
        <w:autoSpaceDN w:val="0"/>
        <w:adjustRightInd w:val="0"/>
        <w:rPr>
          <w:rFonts w:ascii="Garamond" w:hAnsi="Garamond"/>
          <w:lang w:val="en-AU"/>
        </w:rPr>
      </w:pPr>
    </w:p>
    <w:p w:rsidR="00686B84" w:rsidRPr="00686B84" w:rsidRDefault="00686B84" w:rsidP="00652094">
      <w:pPr>
        <w:keepNext/>
        <w:keepLines/>
        <w:autoSpaceDE w:val="0"/>
        <w:autoSpaceDN w:val="0"/>
        <w:adjustRightInd w:val="0"/>
        <w:rPr>
          <w:rFonts w:ascii="Garamond" w:hAnsi="Garamond"/>
          <w:i/>
          <w:lang w:val="en-AU"/>
        </w:rPr>
      </w:pPr>
      <w:r w:rsidRPr="00686B84">
        <w:rPr>
          <w:rFonts w:ascii="Garamond" w:hAnsi="Garamond"/>
          <w:i/>
          <w:lang w:val="en-AU"/>
        </w:rPr>
        <w:t>Health workers’ education and training on antimicrobial resistance: curricula guide</w:t>
      </w:r>
    </w:p>
    <w:p w:rsidR="007A09B0" w:rsidRDefault="007A09B0" w:rsidP="00652094">
      <w:pPr>
        <w:keepNext/>
        <w:keepLines/>
        <w:autoSpaceDE w:val="0"/>
        <w:autoSpaceDN w:val="0"/>
        <w:adjustRightInd w:val="0"/>
        <w:rPr>
          <w:rFonts w:ascii="Garamond" w:hAnsi="Garamond"/>
          <w:lang w:val="en-AU"/>
        </w:rPr>
      </w:pPr>
      <w:r w:rsidRPr="007A09B0">
        <w:rPr>
          <w:rFonts w:ascii="Garamond" w:hAnsi="Garamond"/>
          <w:lang w:val="en-AU"/>
        </w:rPr>
        <w:t>World Health Organization, Public Health England</w:t>
      </w:r>
    </w:p>
    <w:p w:rsidR="00686B84" w:rsidRDefault="007A09B0" w:rsidP="00652094">
      <w:pPr>
        <w:keepNext/>
        <w:keepLines/>
        <w:autoSpaceDE w:val="0"/>
        <w:autoSpaceDN w:val="0"/>
        <w:adjustRightInd w:val="0"/>
        <w:rPr>
          <w:rFonts w:ascii="Garamond" w:hAnsi="Garamond"/>
          <w:lang w:val="en-AU"/>
        </w:rPr>
      </w:pPr>
      <w:r w:rsidRPr="007A09B0">
        <w:rPr>
          <w:rFonts w:ascii="Garamond" w:hAnsi="Garamond"/>
          <w:lang w:val="en-AU"/>
        </w:rPr>
        <w:t>Geneva: World Health Organization; 2019. p. 96.</w:t>
      </w:r>
    </w:p>
    <w:tbl>
      <w:tblPr>
        <w:tblStyle w:val="TableGrid"/>
        <w:tblW w:w="0" w:type="auto"/>
        <w:tblInd w:w="288" w:type="dxa"/>
        <w:tblLayout w:type="fixed"/>
        <w:tblLook w:val="01E0" w:firstRow="1" w:lastRow="1" w:firstColumn="1" w:lastColumn="1" w:noHBand="0" w:noVBand="0"/>
      </w:tblPr>
      <w:tblGrid>
        <w:gridCol w:w="1080"/>
        <w:gridCol w:w="8280"/>
      </w:tblGrid>
      <w:tr w:rsidR="00652094"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652094" w:rsidRPr="000170DA" w:rsidRDefault="00652094" w:rsidP="007A474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52094" w:rsidRDefault="00686B84" w:rsidP="007A474A">
            <w:pPr>
              <w:rPr>
                <w:rStyle w:val="Hyperlink"/>
                <w:rFonts w:ascii="Garamond" w:hAnsi="Garamond"/>
                <w:color w:val="auto"/>
                <w:u w:val="none"/>
                <w:lang w:val="en-AU"/>
              </w:rPr>
            </w:pPr>
            <w:r>
              <w:rPr>
                <w:rStyle w:val="Hyperlink"/>
                <w:rFonts w:ascii="Garamond" w:hAnsi="Garamond"/>
                <w:color w:val="auto"/>
                <w:u w:val="none"/>
                <w:lang w:val="en-AU"/>
              </w:rPr>
              <w:t xml:space="preserve">Anderson et al </w:t>
            </w:r>
            <w:hyperlink r:id="rId31" w:history="1">
              <w:r w:rsidRPr="00841DB4">
                <w:rPr>
                  <w:rStyle w:val="Hyperlink"/>
                  <w:rFonts w:ascii="Garamond" w:hAnsi="Garamond"/>
                  <w:lang w:val="en-AU"/>
                </w:rPr>
                <w:t>https://doi.org/10.1016/S1473-3099(19)30415-3</w:t>
              </w:r>
            </w:hyperlink>
            <w:r>
              <w:rPr>
                <w:rStyle w:val="Hyperlink"/>
                <w:rFonts w:ascii="Garamond" w:hAnsi="Garamond"/>
                <w:color w:val="auto"/>
                <w:u w:val="none"/>
                <w:lang w:val="en-AU"/>
              </w:rPr>
              <w:t xml:space="preserve"> </w:t>
            </w:r>
          </w:p>
          <w:p w:rsidR="00686B84" w:rsidRPr="000170DA" w:rsidRDefault="00686B84" w:rsidP="007A474A">
            <w:pPr>
              <w:rPr>
                <w:rStyle w:val="Hyperlink"/>
                <w:rFonts w:ascii="Garamond" w:hAnsi="Garamond"/>
                <w:color w:val="auto"/>
                <w:u w:val="none"/>
                <w:lang w:val="en-AU"/>
              </w:rPr>
            </w:pPr>
            <w:r>
              <w:rPr>
                <w:rStyle w:val="Hyperlink"/>
                <w:rFonts w:ascii="Garamond" w:hAnsi="Garamond"/>
                <w:color w:val="auto"/>
                <w:u w:val="none"/>
                <w:lang w:val="en-AU"/>
              </w:rPr>
              <w:t xml:space="preserve">WHO and Public Health England </w:t>
            </w:r>
            <w:hyperlink r:id="rId32" w:history="1">
              <w:r w:rsidRPr="00841DB4">
                <w:rPr>
                  <w:rStyle w:val="Hyperlink"/>
                  <w:rFonts w:ascii="Garamond" w:hAnsi="Garamond"/>
                  <w:lang w:val="en-AU"/>
                </w:rPr>
                <w:t>https://apps.who.int/iris/bitstream/handle/10665/329380/9789241516358-eng.pdf</w:t>
              </w:r>
            </w:hyperlink>
            <w:r>
              <w:rPr>
                <w:rStyle w:val="Hyperlink"/>
                <w:rFonts w:ascii="Garamond" w:hAnsi="Garamond"/>
                <w:color w:val="auto"/>
                <w:u w:val="none"/>
                <w:lang w:val="en-AU"/>
              </w:rPr>
              <w:t xml:space="preserve"> </w:t>
            </w:r>
          </w:p>
        </w:tc>
      </w:tr>
      <w:tr w:rsidR="00652094"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652094" w:rsidRPr="000170DA" w:rsidRDefault="00652094"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2094" w:rsidRDefault="007A09B0" w:rsidP="007A474A">
            <w:pPr>
              <w:rPr>
                <w:rFonts w:ascii="Garamond" w:hAnsi="Garamond"/>
                <w:lang w:val="en-AU"/>
              </w:rPr>
            </w:pPr>
            <w:r>
              <w:rPr>
                <w:rFonts w:ascii="Garamond" w:hAnsi="Garamond"/>
                <w:lang w:val="en-AU"/>
              </w:rPr>
              <w:t xml:space="preserve">Article in </w:t>
            </w:r>
            <w:r w:rsidRPr="007A09B0">
              <w:rPr>
                <w:rFonts w:ascii="Garamond" w:hAnsi="Garamond"/>
                <w:i/>
                <w:lang w:val="en-AU"/>
              </w:rPr>
              <w:t>The Lancet Infectious Diseases</w:t>
            </w:r>
            <w:r>
              <w:rPr>
                <w:rFonts w:ascii="Garamond" w:hAnsi="Garamond"/>
                <w:lang w:val="en-AU"/>
              </w:rPr>
              <w:t xml:space="preserve"> describing a </w:t>
            </w:r>
            <w:r w:rsidRPr="007A09B0">
              <w:rPr>
                <w:rFonts w:ascii="Garamond" w:hAnsi="Garamond"/>
                <w:lang w:val="en-AU"/>
              </w:rPr>
              <w:t xml:space="preserve">governance framework to offer guidance for both the development and assessment of national action plans on </w:t>
            </w:r>
            <w:r>
              <w:rPr>
                <w:rFonts w:ascii="Garamond" w:hAnsi="Garamond"/>
                <w:lang w:val="en-AU"/>
              </w:rPr>
              <w:t>antimicrobial resistance (</w:t>
            </w:r>
            <w:r w:rsidRPr="007A09B0">
              <w:rPr>
                <w:rFonts w:ascii="Garamond" w:hAnsi="Garamond"/>
                <w:lang w:val="en-AU"/>
              </w:rPr>
              <w:t>AMR</w:t>
            </w:r>
            <w:r>
              <w:rPr>
                <w:rFonts w:ascii="Garamond" w:hAnsi="Garamond"/>
                <w:lang w:val="en-AU"/>
              </w:rPr>
              <w:t xml:space="preserve">). The proposed framework </w:t>
            </w:r>
            <w:r w:rsidRPr="007A09B0">
              <w:rPr>
                <w:rFonts w:ascii="Garamond" w:hAnsi="Garamond"/>
                <w:lang w:val="en-AU"/>
              </w:rPr>
              <w:t>consists of 18 domains with 52 indicators that are contained within three governance areas: policy design, implementation tools, and monitoring and evaluation. To consider the dynamic nature of AMR, the framework is conceptualised as a cyclical process, which is responsive to the context and allows for continuous improvement and adaptation of national action plans on AMR.</w:t>
            </w:r>
          </w:p>
          <w:p w:rsidR="00686B84" w:rsidRPr="00652094" w:rsidRDefault="00686B84" w:rsidP="00686B84">
            <w:pPr>
              <w:rPr>
                <w:rFonts w:ascii="Garamond" w:hAnsi="Garamond"/>
                <w:lang w:val="en-AU"/>
              </w:rPr>
            </w:pPr>
            <w:r w:rsidRPr="00686B84">
              <w:rPr>
                <w:rFonts w:ascii="Garamond" w:hAnsi="Garamond"/>
                <w:lang w:val="en-AU"/>
              </w:rPr>
              <w:t xml:space="preserve">The World Health Organization and Public Health England </w:t>
            </w:r>
            <w:r>
              <w:rPr>
                <w:rFonts w:ascii="Garamond" w:hAnsi="Garamond"/>
                <w:lang w:val="en-AU"/>
              </w:rPr>
              <w:t xml:space="preserve">have developed </w:t>
            </w:r>
            <w:r w:rsidRPr="00686B84">
              <w:rPr>
                <w:rFonts w:ascii="Garamond" w:hAnsi="Garamond"/>
                <w:lang w:val="en-AU"/>
              </w:rPr>
              <w:t xml:space="preserve">the </w:t>
            </w:r>
            <w:r w:rsidRPr="00686B84">
              <w:rPr>
                <w:rFonts w:ascii="Garamond" w:hAnsi="Garamond"/>
                <w:i/>
                <w:lang w:val="en-AU"/>
              </w:rPr>
              <w:t>Health workers' education and training on AMR: curricula guide</w:t>
            </w:r>
            <w:r>
              <w:rPr>
                <w:rFonts w:ascii="Garamond" w:hAnsi="Garamond"/>
                <w:lang w:val="en-AU"/>
              </w:rPr>
              <w:t xml:space="preserve"> setting</w:t>
            </w:r>
            <w:r w:rsidRPr="00686B84">
              <w:rPr>
                <w:rFonts w:ascii="Garamond" w:hAnsi="Garamond"/>
                <w:lang w:val="en-AU"/>
              </w:rPr>
              <w:t xml:space="preserve"> out learning objectives and outcomes </w:t>
            </w:r>
            <w:r>
              <w:rPr>
                <w:rFonts w:ascii="Garamond" w:hAnsi="Garamond"/>
                <w:lang w:val="en-AU"/>
              </w:rPr>
              <w:t xml:space="preserve">for </w:t>
            </w:r>
            <w:r w:rsidRPr="00686B84">
              <w:rPr>
                <w:rFonts w:ascii="Garamond" w:hAnsi="Garamond"/>
                <w:lang w:val="en-AU"/>
              </w:rPr>
              <w:t>health worker groups involved in antimicrobial stewardship</w:t>
            </w:r>
            <w:r>
              <w:rPr>
                <w:rFonts w:ascii="Garamond" w:hAnsi="Garamond"/>
                <w:lang w:val="en-AU"/>
              </w:rPr>
              <w:t>.</w:t>
            </w:r>
          </w:p>
        </w:tc>
      </w:tr>
    </w:tbl>
    <w:p w:rsidR="00DC3630" w:rsidRDefault="00DC3630" w:rsidP="004604C4">
      <w:pPr>
        <w:keepNext/>
        <w:rPr>
          <w:rFonts w:ascii="Garamond" w:hAnsi="Garamond"/>
          <w:lang w:val="en-AU"/>
        </w:rPr>
      </w:pPr>
    </w:p>
    <w:p w:rsidR="00FC244D" w:rsidRDefault="00FC244D" w:rsidP="00FC244D">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antimicrobial stewardship, </w:t>
      </w:r>
      <w:r w:rsidRPr="006C5462">
        <w:rPr>
          <w:rFonts w:ascii="Garamond" w:hAnsi="Garamond"/>
          <w:lang w:val="en-AU"/>
        </w:rPr>
        <w:t>see</w:t>
      </w:r>
      <w:r>
        <w:rPr>
          <w:rFonts w:ascii="Garamond" w:hAnsi="Garamond"/>
          <w:lang w:val="en-AU"/>
        </w:rPr>
        <w:t xml:space="preserve"> </w:t>
      </w:r>
      <w:hyperlink r:id="rId33" w:history="1">
        <w:r w:rsidRPr="00D91045">
          <w:rPr>
            <w:rStyle w:val="Hyperlink"/>
            <w:rFonts w:ascii="Garamond" w:hAnsi="Garamond"/>
            <w:lang w:val="en-AU"/>
          </w:rPr>
          <w:t>https://www.safetyandquality.gov.au/our-work/antimicrobial-stewardship</w:t>
        </w:r>
      </w:hyperlink>
    </w:p>
    <w:p w:rsidR="007A09B0" w:rsidRDefault="007A09B0">
      <w:pPr>
        <w:rPr>
          <w:rFonts w:ascii="Garamond" w:hAnsi="Garamond"/>
          <w:i/>
          <w:lang w:val="en-AU"/>
        </w:rPr>
      </w:pPr>
      <w:r>
        <w:rPr>
          <w:rFonts w:ascii="Garamond" w:hAnsi="Garamond"/>
          <w:i/>
          <w:lang w:val="en-AU"/>
        </w:rPr>
        <w:br w:type="page"/>
      </w:r>
    </w:p>
    <w:p w:rsidR="000008C6" w:rsidRPr="00C57211" w:rsidRDefault="000008C6" w:rsidP="000008C6">
      <w:pPr>
        <w:rPr>
          <w:rFonts w:ascii="Garamond" w:hAnsi="Garamond"/>
          <w:i/>
          <w:lang w:val="en-AU"/>
        </w:rPr>
      </w:pPr>
      <w:r w:rsidRPr="00C57211">
        <w:rPr>
          <w:rFonts w:ascii="Garamond" w:hAnsi="Garamond"/>
          <w:i/>
          <w:lang w:val="en-AU"/>
        </w:rPr>
        <w:t>BMJ Quality &amp; Safety</w:t>
      </w:r>
    </w:p>
    <w:p w:rsidR="000008C6" w:rsidRPr="00D65371" w:rsidRDefault="000008C6" w:rsidP="000008C6">
      <w:pPr>
        <w:rPr>
          <w:rFonts w:ascii="Garamond" w:hAnsi="Garamond"/>
          <w:lang w:val="en-AU"/>
        </w:rPr>
      </w:pPr>
      <w:r>
        <w:rPr>
          <w:rFonts w:ascii="Garamond" w:hAnsi="Garamond"/>
          <w:lang w:val="en-AU"/>
        </w:rPr>
        <w:t>November 2019 - Volume 28 - 11</w:t>
      </w:r>
    </w:p>
    <w:tbl>
      <w:tblPr>
        <w:tblStyle w:val="TableGrid"/>
        <w:tblW w:w="0" w:type="auto"/>
        <w:tblInd w:w="288" w:type="dxa"/>
        <w:tblLayout w:type="fixed"/>
        <w:tblLook w:val="01E0" w:firstRow="1" w:lastRow="1" w:firstColumn="1" w:lastColumn="1" w:noHBand="0" w:noVBand="0"/>
      </w:tblPr>
      <w:tblGrid>
        <w:gridCol w:w="1080"/>
        <w:gridCol w:w="8280"/>
      </w:tblGrid>
      <w:tr w:rsidR="000008C6" w:rsidRPr="000170DA" w:rsidTr="00855E5A">
        <w:tc>
          <w:tcPr>
            <w:tcW w:w="1080" w:type="dxa"/>
            <w:tcBorders>
              <w:top w:val="single" w:sz="4" w:space="0" w:color="auto"/>
              <w:left w:val="single" w:sz="4" w:space="0" w:color="auto"/>
              <w:bottom w:val="single" w:sz="4" w:space="0" w:color="auto"/>
              <w:right w:val="single" w:sz="4" w:space="0" w:color="auto"/>
            </w:tcBorders>
            <w:vAlign w:val="center"/>
          </w:tcPr>
          <w:p w:rsidR="000008C6" w:rsidRPr="000170DA" w:rsidRDefault="000008C6" w:rsidP="00855E5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008C6" w:rsidRPr="000170DA" w:rsidRDefault="00165452" w:rsidP="000008C6">
            <w:pPr>
              <w:rPr>
                <w:rStyle w:val="Hyperlink"/>
                <w:rFonts w:ascii="Garamond" w:hAnsi="Garamond"/>
                <w:color w:val="auto"/>
                <w:u w:val="none"/>
                <w:lang w:val="en-AU"/>
              </w:rPr>
            </w:pPr>
            <w:hyperlink r:id="rId34" w:history="1">
              <w:r w:rsidR="000008C6" w:rsidRPr="00431F6B">
                <w:rPr>
                  <w:rStyle w:val="Hyperlink"/>
                  <w:rFonts w:ascii="Garamond" w:hAnsi="Garamond"/>
                  <w:lang w:val="en-AU"/>
                </w:rPr>
                <w:t>https://qualitysafety.bmj.com/content/28/11</w:t>
              </w:r>
            </w:hyperlink>
          </w:p>
        </w:tc>
      </w:tr>
      <w:tr w:rsidR="000008C6" w:rsidRPr="000170DA" w:rsidTr="00855E5A">
        <w:tc>
          <w:tcPr>
            <w:tcW w:w="1080" w:type="dxa"/>
            <w:tcBorders>
              <w:top w:val="single" w:sz="4" w:space="0" w:color="auto"/>
              <w:left w:val="single" w:sz="4" w:space="0" w:color="auto"/>
              <w:bottom w:val="single" w:sz="4" w:space="0" w:color="auto"/>
              <w:right w:val="single" w:sz="4" w:space="0" w:color="auto"/>
            </w:tcBorders>
            <w:vAlign w:val="center"/>
          </w:tcPr>
          <w:p w:rsidR="000008C6" w:rsidRPr="000170DA" w:rsidRDefault="000008C6" w:rsidP="00855E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08C6" w:rsidRPr="007C3778" w:rsidRDefault="000008C6" w:rsidP="00855E5A">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lang w:val="en-AU"/>
              </w:rPr>
              <w:t xml:space="preserve">Editorial: </w:t>
            </w:r>
            <w:r w:rsidRPr="005557E8">
              <w:rPr>
                <w:rFonts w:ascii="Garamond" w:hAnsi="Garamond"/>
                <w:b/>
                <w:lang w:val="en-AU"/>
              </w:rPr>
              <w:t>Language, culture and preventable readmissions</w:t>
            </w:r>
            <w:r w:rsidRPr="005557E8">
              <w:rPr>
                <w:rFonts w:ascii="Garamond" w:hAnsi="Garamond"/>
                <w:lang w:val="en-AU"/>
              </w:rPr>
              <w:t>: pragmatic, intervention studies needed (Elaine C Khoong, Alicia Fernandez</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lang w:val="en-AU"/>
              </w:rPr>
              <w:t xml:space="preserve">Editorial: Connecting </w:t>
            </w:r>
            <w:r w:rsidRPr="005557E8">
              <w:rPr>
                <w:rFonts w:ascii="Garamond" w:hAnsi="Garamond"/>
                <w:b/>
                <w:lang w:val="en-AU"/>
              </w:rPr>
              <w:t>simulation and quality improvement</w:t>
            </w:r>
            <w:r w:rsidRPr="005557E8">
              <w:rPr>
                <w:rFonts w:ascii="Garamond" w:hAnsi="Garamond"/>
                <w:lang w:val="en-AU"/>
              </w:rPr>
              <w:t>: how can healthcare simulation really improve patient care? (Victoria Brazil, Eve Isabelle Purdy, Komal Bajaj</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lang w:val="en-AU"/>
              </w:rPr>
              <w:t xml:space="preserve">Association between </w:t>
            </w:r>
            <w:r w:rsidRPr="005557E8">
              <w:rPr>
                <w:rFonts w:ascii="Garamond" w:hAnsi="Garamond"/>
                <w:b/>
                <w:lang w:val="en-AU"/>
              </w:rPr>
              <w:t>cultural factors and readmissions</w:t>
            </w:r>
            <w:r w:rsidRPr="005557E8">
              <w:rPr>
                <w:rFonts w:ascii="Garamond" w:hAnsi="Garamond"/>
                <w:lang w:val="en-AU"/>
              </w:rPr>
              <w:t>: the mediating effect of hospital discharge practices and care-transition preparedness (Nosaiba Rayan-Gharra, Ran D. Balicer, Boaz Tadmor, Efrat Shadmi</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lang w:val="en-AU"/>
              </w:rPr>
              <w:t xml:space="preserve">Patients’ perspective on how to improve the care of people with </w:t>
            </w:r>
            <w:r w:rsidRPr="005557E8">
              <w:rPr>
                <w:rFonts w:ascii="Garamond" w:hAnsi="Garamond"/>
                <w:b/>
                <w:lang w:val="en-AU"/>
              </w:rPr>
              <w:t>chronic conditions</w:t>
            </w:r>
            <w:r w:rsidRPr="005557E8">
              <w:rPr>
                <w:rFonts w:ascii="Garamond" w:hAnsi="Garamond"/>
                <w:lang w:val="en-AU"/>
              </w:rPr>
              <w:t xml:space="preserve"> in France: a citizen science study within the ComPaRe e-cohort (Viet-Thi Tran, Carolina Riveros, Clarisse Péan, A Czarnobroda, P Ravaud</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lang w:val="en-AU"/>
              </w:rPr>
              <w:t xml:space="preserve">Can a patient-directed video improve </w:t>
            </w:r>
            <w:r w:rsidRPr="005557E8">
              <w:rPr>
                <w:rFonts w:ascii="Garamond" w:hAnsi="Garamond"/>
                <w:b/>
                <w:lang w:val="en-AU"/>
              </w:rPr>
              <w:t>inpatient advance care planning</w:t>
            </w:r>
            <w:r w:rsidRPr="005557E8">
              <w:rPr>
                <w:rFonts w:ascii="Garamond" w:hAnsi="Garamond"/>
                <w:lang w:val="en-AU"/>
              </w:rPr>
              <w:t>? A prospective pre-post cohort study (Rajesh Nair, Samuel Abuaf Kohen</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lang w:val="en-AU"/>
              </w:rPr>
              <w:t xml:space="preserve">Putting out fires: a qualitative study exploring the use of </w:t>
            </w:r>
            <w:r w:rsidRPr="005557E8">
              <w:rPr>
                <w:rFonts w:ascii="Garamond" w:hAnsi="Garamond"/>
                <w:b/>
                <w:lang w:val="en-AU"/>
              </w:rPr>
              <w:t>patient complaints to drive improvement</w:t>
            </w:r>
            <w:r w:rsidRPr="005557E8">
              <w:rPr>
                <w:rFonts w:ascii="Garamond" w:hAnsi="Garamond"/>
                <w:lang w:val="en-AU"/>
              </w:rPr>
              <w:t xml:space="preserve"> at three academic hospitals (Jessica J Liu, Leahora Rotteau, Chaim M Bell, Kaveh G Shojania</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b/>
                <w:lang w:val="en-AU"/>
              </w:rPr>
              <w:t>Home care nursing after elective vascular surgery</w:t>
            </w:r>
            <w:r w:rsidRPr="005557E8">
              <w:rPr>
                <w:rFonts w:ascii="Garamond" w:hAnsi="Garamond"/>
                <w:lang w:val="en-AU"/>
              </w:rPr>
              <w:t>: an opportunity to reduce emergency department visits and hospital readmission (Charles de Mestral, Ahmed Kayssi, Mohammed Al-Omran, Konrad Salata, Mohamad Anas Hussain, Graham Roche-Nagle</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b/>
                <w:lang w:val="en-AU"/>
              </w:rPr>
              <w:t>Automated detection of wrong-drug prescribing errors</w:t>
            </w:r>
            <w:r w:rsidRPr="005557E8">
              <w:rPr>
                <w:rFonts w:ascii="Garamond" w:hAnsi="Garamond"/>
                <w:lang w:val="en-AU"/>
              </w:rPr>
              <w:t xml:space="preserve"> (Bruce L Lambert, William Galanter, King Lup Liu, Suzanne Falck, Gordon Schiff, Christine Rash-Foanio, Kelly Schmidt, Neeha Shrestha, Allen J Vaida, Michael J Gaunt</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lang w:val="en-AU"/>
              </w:rPr>
              <w:t xml:space="preserve">Nursing roles for </w:t>
            </w:r>
            <w:r w:rsidRPr="005557E8">
              <w:rPr>
                <w:rFonts w:ascii="Garamond" w:hAnsi="Garamond"/>
                <w:b/>
                <w:lang w:val="en-AU"/>
              </w:rPr>
              <w:t>in-hospital cardiac arrest response</w:t>
            </w:r>
            <w:r w:rsidRPr="005557E8">
              <w:rPr>
                <w:rFonts w:ascii="Garamond" w:hAnsi="Garamond"/>
                <w:lang w:val="en-AU"/>
              </w:rPr>
              <w:t>: higher versus lower performing hospitals (Timothy C Guetterman, Joan E Kellenberg, Sarah L Krein, Molly Harrod, Jessica L Lehrich, Theodore J Iwashyna, Steven L Kronick, Saket Girotra, Paul S Chan, Brahmajee K Nallamothu</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lang w:val="en-AU"/>
              </w:rPr>
              <w:t xml:space="preserve">Validity evidence for </w:t>
            </w:r>
            <w:r w:rsidRPr="005557E8">
              <w:rPr>
                <w:rFonts w:ascii="Garamond" w:hAnsi="Garamond"/>
                <w:b/>
                <w:lang w:val="en-AU"/>
              </w:rPr>
              <w:t>Quality Improvement Knowledge Application Tool Revised (QIKAT-R)</w:t>
            </w:r>
            <w:r w:rsidRPr="005557E8">
              <w:rPr>
                <w:rFonts w:ascii="Garamond" w:hAnsi="Garamond"/>
                <w:lang w:val="en-AU"/>
              </w:rPr>
              <w:t xml:space="preserve"> scores: consequences of rater number and type using neurology cases (Charles Kassardjian, Yoon Soo Park, Sherri Braksick, Jeremy Cutsforth-Gregory, Carrie Robertson, Nathan Young, Andrea L Hunderfund</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b/>
                <w:lang w:val="en-AU"/>
              </w:rPr>
              <w:t>Patient safety superheroes</w:t>
            </w:r>
            <w:r w:rsidRPr="005557E8">
              <w:rPr>
                <w:rFonts w:ascii="Garamond" w:hAnsi="Garamond"/>
                <w:lang w:val="en-AU"/>
              </w:rPr>
              <w:t xml:space="preserve"> in training: using a comic book to teach patient safety to residents (Theresa Camille Maatman, Heather Prigmore, Joni Strom Williams, Kathlyn E Fletcher</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lang w:val="en-AU"/>
              </w:rPr>
              <w:t xml:space="preserve">Reducing </w:t>
            </w:r>
            <w:r w:rsidRPr="005557E8">
              <w:rPr>
                <w:rFonts w:ascii="Garamond" w:hAnsi="Garamond"/>
                <w:b/>
                <w:lang w:val="en-AU"/>
              </w:rPr>
              <w:t>door-to-needle times in stroke thrombolysis</w:t>
            </w:r>
            <w:r w:rsidRPr="005557E8">
              <w:rPr>
                <w:rFonts w:ascii="Garamond" w:hAnsi="Garamond"/>
                <w:lang w:val="en-AU"/>
              </w:rPr>
              <w:t xml:space="preserve"> to 13 min through protocol revision and simulation training: a quality improvement project in a Norwegian stroke centre (Soffien Chadli Ajmi, Rajiv Advani, Lars Fjetland, Kathinka Dehli Kurz, Thomas Lindner, Sigrunn Anna Qvindesland, Hege Ersdal, Mayank Goyal, Jan Terje Kvaløy, Martin Kurz</w:t>
            </w:r>
            <w:r w:rsidR="005557E8">
              <w:rPr>
                <w:rFonts w:ascii="Garamond" w:hAnsi="Garamond"/>
                <w:lang w:val="en-AU"/>
              </w:rPr>
              <w:t>)</w:t>
            </w:r>
          </w:p>
          <w:p w:rsidR="000008C6" w:rsidRPr="005557E8" w:rsidRDefault="000008C6" w:rsidP="00855E5A">
            <w:pPr>
              <w:pStyle w:val="ListParagraph"/>
              <w:numPr>
                <w:ilvl w:val="0"/>
                <w:numId w:val="15"/>
              </w:numPr>
              <w:rPr>
                <w:rFonts w:ascii="Garamond" w:hAnsi="Garamond"/>
                <w:lang w:val="en-AU"/>
              </w:rPr>
            </w:pPr>
            <w:r w:rsidRPr="005557E8">
              <w:rPr>
                <w:rFonts w:ascii="Garamond" w:hAnsi="Garamond"/>
                <w:b/>
                <w:lang w:val="en-AU"/>
              </w:rPr>
              <w:t>Quality and safety in the literature</w:t>
            </w:r>
            <w:r w:rsidRPr="005557E8">
              <w:rPr>
                <w:rFonts w:ascii="Garamond" w:hAnsi="Garamond"/>
                <w:lang w:val="en-AU"/>
              </w:rPr>
              <w:t>: November 2019 (Ashwin Gupta, Jennifer Meddings, Nathan Houchens</w:t>
            </w:r>
            <w:r w:rsidR="005557E8">
              <w:rPr>
                <w:rFonts w:ascii="Garamond" w:hAnsi="Garamond"/>
                <w:lang w:val="en-AU"/>
              </w:rPr>
              <w:t>)</w:t>
            </w:r>
          </w:p>
          <w:p w:rsidR="000008C6" w:rsidRPr="007C3778" w:rsidRDefault="000008C6" w:rsidP="005557E8">
            <w:pPr>
              <w:pStyle w:val="ListParagraph"/>
              <w:numPr>
                <w:ilvl w:val="0"/>
                <w:numId w:val="15"/>
              </w:numPr>
              <w:rPr>
                <w:rFonts w:ascii="Garamond" w:hAnsi="Garamond"/>
                <w:lang w:val="en-AU"/>
              </w:rPr>
            </w:pPr>
            <w:r w:rsidRPr="005557E8">
              <w:rPr>
                <w:rFonts w:ascii="Garamond" w:hAnsi="Garamond"/>
                <w:b/>
                <w:lang w:val="en-AU"/>
              </w:rPr>
              <w:t>Inter-hospital transfer and patient outcomes</w:t>
            </w:r>
            <w:r w:rsidRPr="000008C6">
              <w:rPr>
                <w:rFonts w:ascii="Garamond" w:hAnsi="Garamond"/>
                <w:lang w:val="en-AU"/>
              </w:rPr>
              <w:t>: a retrospective cohort study (Stephanie Mueller, Jie Zheng, Endel John Orav, Jeffrey L Schnipper</w:t>
            </w:r>
            <w:r w:rsidR="005557E8">
              <w:rPr>
                <w:rFonts w:ascii="Garamond" w:hAnsi="Garamond"/>
                <w:lang w:val="en-AU"/>
              </w:rPr>
              <w:t>)</w:t>
            </w:r>
          </w:p>
        </w:tc>
      </w:tr>
    </w:tbl>
    <w:p w:rsidR="00984D2D" w:rsidRPr="00984D2D" w:rsidRDefault="00984D2D" w:rsidP="00984D2D">
      <w:pPr>
        <w:keepNext/>
        <w:rPr>
          <w:rFonts w:ascii="Garamond" w:hAnsi="Garamond"/>
          <w:i/>
          <w:lang w:val="en-AU"/>
        </w:rPr>
      </w:pPr>
      <w:r w:rsidRPr="00984D2D">
        <w:rPr>
          <w:rFonts w:ascii="Garamond" w:hAnsi="Garamond"/>
          <w:i/>
          <w:lang w:val="en-AU"/>
        </w:rPr>
        <w:t>Pediatric Quality &amp; Safety</w:t>
      </w:r>
    </w:p>
    <w:p w:rsidR="004F1A19" w:rsidRPr="00984D2D" w:rsidRDefault="00984D2D" w:rsidP="00673D95">
      <w:pPr>
        <w:keepNext/>
        <w:rPr>
          <w:rFonts w:ascii="Garamond" w:hAnsi="Garamond"/>
          <w:lang w:val="en-AU"/>
        </w:rPr>
      </w:pPr>
      <w:r w:rsidRPr="00984D2D">
        <w:rPr>
          <w:rFonts w:ascii="Garamond" w:hAnsi="Garamond"/>
          <w:lang w:val="en-AU"/>
        </w:rPr>
        <w:t>Vol. 4, No. 5, September/October 2019</w:t>
      </w:r>
    </w:p>
    <w:tbl>
      <w:tblPr>
        <w:tblStyle w:val="TableGrid"/>
        <w:tblW w:w="9360" w:type="dxa"/>
        <w:tblInd w:w="288" w:type="dxa"/>
        <w:tblLayout w:type="fixed"/>
        <w:tblLook w:val="01E0" w:firstRow="1" w:lastRow="1" w:firstColumn="1" w:lastColumn="1" w:noHBand="0" w:noVBand="0"/>
      </w:tblPr>
      <w:tblGrid>
        <w:gridCol w:w="1080"/>
        <w:gridCol w:w="8280"/>
      </w:tblGrid>
      <w:tr w:rsidR="009E385C"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9E385C" w:rsidRPr="000170DA" w:rsidRDefault="009E385C" w:rsidP="007A474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E385C" w:rsidRPr="000170DA" w:rsidRDefault="00984D2D" w:rsidP="007A474A">
            <w:pPr>
              <w:rPr>
                <w:rStyle w:val="Hyperlink"/>
                <w:rFonts w:ascii="Garamond" w:hAnsi="Garamond"/>
                <w:color w:val="auto"/>
                <w:u w:val="none"/>
                <w:lang w:val="en-AU"/>
              </w:rPr>
            </w:pPr>
            <w:r w:rsidRPr="00984D2D">
              <w:rPr>
                <w:rStyle w:val="Hyperlink"/>
                <w:rFonts w:ascii="Garamond" w:hAnsi="Garamond"/>
                <w:color w:val="auto"/>
                <w:u w:val="none"/>
                <w:lang w:val="en-AU"/>
              </w:rPr>
              <w:t>https://journals.lww.com/pqs/toc/2019/09000</w:t>
            </w:r>
          </w:p>
        </w:tc>
      </w:tr>
      <w:tr w:rsidR="009E385C"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9E385C" w:rsidRPr="000170DA" w:rsidRDefault="009E385C"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385C" w:rsidRPr="007C3778" w:rsidRDefault="009E385C" w:rsidP="007A474A">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984D2D" w:rsidRPr="00984D2D">
              <w:rPr>
                <w:rFonts w:ascii="Garamond" w:hAnsi="Garamond"/>
                <w:i/>
                <w:lang w:val="en-AU"/>
              </w:rPr>
              <w:t>Pediatric Quality &amp; Safety</w:t>
            </w:r>
            <w:r w:rsidR="00984D2D"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984D2D" w:rsidRPr="00984D2D">
              <w:rPr>
                <w:rFonts w:ascii="Garamond" w:hAnsi="Garamond"/>
                <w:i/>
                <w:lang w:val="en-AU"/>
              </w:rPr>
              <w:t>Pediatric Quality &amp; Safety</w:t>
            </w:r>
            <w:r w:rsidR="00984D2D">
              <w:rPr>
                <w:rFonts w:ascii="Garamond" w:hAnsi="Garamond"/>
                <w:i/>
                <w:lang w:val="en-AU"/>
              </w:rPr>
              <w:t xml:space="preserve"> </w:t>
            </w:r>
            <w:r w:rsidRPr="00B440ED">
              <w:rPr>
                <w:rFonts w:ascii="Garamond" w:hAnsi="Garamond"/>
                <w:lang w:val="en-AU"/>
              </w:rPr>
              <w:t>include:</w:t>
            </w:r>
          </w:p>
          <w:p w:rsidR="00984D2D" w:rsidRPr="00984D2D" w:rsidRDefault="00984D2D" w:rsidP="00984D2D">
            <w:pPr>
              <w:pStyle w:val="ListParagraph"/>
              <w:numPr>
                <w:ilvl w:val="0"/>
                <w:numId w:val="15"/>
              </w:numPr>
              <w:rPr>
                <w:rFonts w:ascii="Garamond" w:hAnsi="Garamond"/>
                <w:lang w:val="en-AU"/>
              </w:rPr>
            </w:pPr>
            <w:r w:rsidRPr="00984D2D">
              <w:rPr>
                <w:rFonts w:ascii="Garamond" w:hAnsi="Garamond"/>
                <w:lang w:val="en-AU"/>
              </w:rPr>
              <w:t xml:space="preserve">Creating a Defined Process to Improve the </w:t>
            </w:r>
            <w:r w:rsidRPr="00984D2D">
              <w:rPr>
                <w:rFonts w:ascii="Garamond" w:hAnsi="Garamond"/>
                <w:b/>
                <w:lang w:val="en-AU"/>
              </w:rPr>
              <w:t>Timeliness of Serious Safety Event Determination and Root Cause Analysis</w:t>
            </w:r>
            <w:r w:rsidRPr="00984D2D">
              <w:rPr>
                <w:rFonts w:ascii="Garamond" w:hAnsi="Garamond"/>
                <w:lang w:val="en-AU"/>
              </w:rPr>
              <w:t xml:space="preserve"> (Donnelly, Lane F.; Palangyo, Tua; Bargmann-Losche, Jessey; Rogers, K</w:t>
            </w:r>
            <w:r w:rsidR="005B61CF">
              <w:rPr>
                <w:rFonts w:ascii="Garamond" w:hAnsi="Garamond"/>
                <w:lang w:val="en-AU"/>
              </w:rPr>
              <w:t>.</w:t>
            </w:r>
            <w:r w:rsidRPr="00984D2D">
              <w:rPr>
                <w:rFonts w:ascii="Garamond" w:hAnsi="Garamond"/>
                <w:lang w:val="en-AU"/>
              </w:rPr>
              <w:t>; Wood, M</w:t>
            </w:r>
            <w:r w:rsidR="005B61CF">
              <w:rPr>
                <w:rFonts w:ascii="Garamond" w:hAnsi="Garamond"/>
                <w:lang w:val="en-AU"/>
              </w:rPr>
              <w:t>.</w:t>
            </w:r>
            <w:r w:rsidRPr="00984D2D">
              <w:rPr>
                <w:rFonts w:ascii="Garamond" w:hAnsi="Garamond"/>
                <w:lang w:val="en-AU"/>
              </w:rPr>
              <w:t>; Shin, A</w:t>
            </w:r>
            <w:r w:rsidR="005B61CF">
              <w:rPr>
                <w:rFonts w:ascii="Garamond" w:hAnsi="Garamond"/>
                <w:lang w:val="en-AU"/>
              </w:rPr>
              <w:t>.</w:t>
            </w:r>
            <w:r w:rsidRPr="00984D2D">
              <w:rPr>
                <w:rFonts w:ascii="Garamond" w:hAnsi="Garamond"/>
                <w:lang w:val="en-AU"/>
              </w:rPr>
              <w:t>Y.</w:t>
            </w:r>
            <w:r>
              <w:rPr>
                <w:rFonts w:ascii="Garamond" w:hAnsi="Garamond"/>
                <w:lang w:val="en-AU"/>
              </w:rPr>
              <w:t>)</w:t>
            </w:r>
          </w:p>
          <w:p w:rsidR="00984D2D" w:rsidRP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Improving Recognition and Reporting of </w:t>
            </w:r>
            <w:r w:rsidRPr="00984D2D">
              <w:rPr>
                <w:rFonts w:ascii="Garamond" w:hAnsi="Garamond"/>
                <w:b/>
                <w:lang w:val="en-AU"/>
              </w:rPr>
              <w:t>Adverse Drug Reactions in the NICU</w:t>
            </w:r>
            <w:r w:rsidRPr="00984D2D">
              <w:rPr>
                <w:rFonts w:ascii="Garamond" w:hAnsi="Garamond"/>
                <w:lang w:val="en-AU"/>
              </w:rPr>
              <w:t>: A Quality Improvement Project (Cammack, Betsy; Oschman, Alexandra; Lewis, Tamorah</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A Quality Improvement Project to Increase </w:t>
            </w:r>
            <w:r w:rsidRPr="00984D2D">
              <w:rPr>
                <w:rFonts w:ascii="Garamond" w:hAnsi="Garamond"/>
                <w:b/>
                <w:lang w:val="en-AU"/>
              </w:rPr>
              <w:t>Mother’s Milk Use</w:t>
            </w:r>
            <w:r w:rsidRPr="00984D2D">
              <w:rPr>
                <w:rFonts w:ascii="Garamond" w:hAnsi="Garamond"/>
                <w:lang w:val="en-AU"/>
              </w:rPr>
              <w:t xml:space="preserve"> in an Inner-City </w:t>
            </w:r>
            <w:r w:rsidRPr="00984D2D">
              <w:rPr>
                <w:rFonts w:ascii="Garamond" w:hAnsi="Garamond"/>
                <w:b/>
                <w:lang w:val="en-AU"/>
              </w:rPr>
              <w:t>NICU</w:t>
            </w:r>
            <w:r w:rsidRPr="00984D2D">
              <w:rPr>
                <w:rFonts w:ascii="Garamond" w:hAnsi="Garamond"/>
                <w:lang w:val="en-AU"/>
              </w:rPr>
              <w:t xml:space="preserve"> (Kalluri, Nikita S.; Burnham, Laura A.; Lopera, Adriana M.; Stickney, D</w:t>
            </w:r>
            <w:r w:rsidR="005B61CF">
              <w:rPr>
                <w:rFonts w:ascii="Garamond" w:hAnsi="Garamond"/>
                <w:lang w:val="en-AU"/>
              </w:rPr>
              <w:t>.</w:t>
            </w:r>
            <w:r w:rsidRPr="00984D2D">
              <w:rPr>
                <w:rFonts w:ascii="Garamond" w:hAnsi="Garamond"/>
                <w:lang w:val="en-AU"/>
              </w:rPr>
              <w:t>M.; Combs, G</w:t>
            </w:r>
            <w:r w:rsidR="005B61CF">
              <w:rPr>
                <w:rFonts w:ascii="Garamond" w:hAnsi="Garamond"/>
                <w:lang w:val="en-AU"/>
              </w:rPr>
              <w:t>.</w:t>
            </w:r>
            <w:r w:rsidRPr="00984D2D">
              <w:rPr>
                <w:rFonts w:ascii="Garamond" w:hAnsi="Garamond"/>
                <w:lang w:val="en-AU"/>
              </w:rPr>
              <w:t>L.; Levesque, B</w:t>
            </w:r>
            <w:r w:rsidR="005B61CF">
              <w:rPr>
                <w:rFonts w:ascii="Garamond" w:hAnsi="Garamond"/>
                <w:lang w:val="en-AU"/>
              </w:rPr>
              <w:t>.</w:t>
            </w:r>
            <w:r w:rsidRPr="00984D2D">
              <w:rPr>
                <w:rFonts w:ascii="Garamond" w:hAnsi="Garamond"/>
                <w:lang w:val="en-AU"/>
              </w:rPr>
              <w:t>M.; Philipp, B</w:t>
            </w:r>
            <w:r w:rsidR="005B61CF">
              <w:rPr>
                <w:rFonts w:ascii="Garamond" w:hAnsi="Garamond"/>
                <w:lang w:val="en-AU"/>
              </w:rPr>
              <w:t>.</w:t>
            </w:r>
            <w:r w:rsidRPr="00984D2D">
              <w:rPr>
                <w:rFonts w:ascii="Garamond" w:hAnsi="Garamond"/>
                <w:lang w:val="en-AU"/>
              </w:rPr>
              <w:t>L.; Parker, M</w:t>
            </w:r>
            <w:r w:rsidR="005B61CF">
              <w:rPr>
                <w:rFonts w:ascii="Garamond" w:hAnsi="Garamond"/>
                <w:lang w:val="en-AU"/>
              </w:rPr>
              <w:t>.</w:t>
            </w:r>
            <w:r w:rsidRPr="00984D2D">
              <w:rPr>
                <w:rFonts w:ascii="Garamond" w:hAnsi="Garamond"/>
                <w:lang w:val="en-AU"/>
              </w:rPr>
              <w:t>G.</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Development and Implementation of a </w:t>
            </w:r>
            <w:r w:rsidRPr="00984D2D">
              <w:rPr>
                <w:rFonts w:ascii="Garamond" w:hAnsi="Garamond"/>
                <w:b/>
                <w:lang w:val="en-AU"/>
              </w:rPr>
              <w:t>Surgical Quality Improvement Pathway for Pediatric Intussusception Patients</w:t>
            </w:r>
            <w:r w:rsidRPr="00984D2D">
              <w:rPr>
                <w:rFonts w:ascii="Garamond" w:hAnsi="Garamond"/>
                <w:lang w:val="en-AU"/>
              </w:rPr>
              <w:t xml:space="preserve"> (Chalphin, Alexander V.; Serres, Stephanie K.; Micalizzi, Rosella A.; Dawson, M</w:t>
            </w:r>
            <w:r w:rsidR="007A09B0">
              <w:rPr>
                <w:rFonts w:ascii="Garamond" w:hAnsi="Garamond"/>
                <w:lang w:val="en-AU"/>
              </w:rPr>
              <w:t>.</w:t>
            </w:r>
            <w:r w:rsidRPr="00984D2D">
              <w:rPr>
                <w:rFonts w:ascii="Garamond" w:hAnsi="Garamond"/>
                <w:lang w:val="en-AU"/>
              </w:rPr>
              <w:t>; Phinney, C</w:t>
            </w:r>
            <w:r w:rsidR="007A09B0">
              <w:rPr>
                <w:rFonts w:ascii="Garamond" w:hAnsi="Garamond"/>
                <w:lang w:val="en-AU"/>
              </w:rPr>
              <w:t>.</w:t>
            </w:r>
            <w:r w:rsidRPr="00984D2D">
              <w:rPr>
                <w:rFonts w:ascii="Garamond" w:hAnsi="Garamond"/>
                <w:lang w:val="en-AU"/>
              </w:rPr>
              <w:t>; Hrycko, A</w:t>
            </w:r>
            <w:r w:rsidR="007A09B0">
              <w:rPr>
                <w:rFonts w:ascii="Garamond" w:hAnsi="Garamond"/>
                <w:lang w:val="en-AU"/>
              </w:rPr>
              <w:t>.</w:t>
            </w:r>
            <w:r w:rsidRPr="00984D2D">
              <w:rPr>
                <w:rFonts w:ascii="Garamond" w:hAnsi="Garamond"/>
                <w:lang w:val="en-AU"/>
              </w:rPr>
              <w:t>; Martin-Quashie, A</w:t>
            </w:r>
            <w:r w:rsidR="007A09B0">
              <w:rPr>
                <w:rFonts w:ascii="Garamond" w:hAnsi="Garamond"/>
                <w:lang w:val="en-AU"/>
              </w:rPr>
              <w:t>.</w:t>
            </w:r>
            <w:r w:rsidRPr="00984D2D">
              <w:rPr>
                <w:rFonts w:ascii="Garamond" w:hAnsi="Garamond"/>
                <w:lang w:val="en-AU"/>
              </w:rPr>
              <w:t>; Pepin, M</w:t>
            </w:r>
            <w:r w:rsidR="007A09B0">
              <w:rPr>
                <w:rFonts w:ascii="Garamond" w:hAnsi="Garamond"/>
                <w:lang w:val="en-AU"/>
              </w:rPr>
              <w:t>.</w:t>
            </w:r>
            <w:r w:rsidRPr="00984D2D">
              <w:rPr>
                <w:rFonts w:ascii="Garamond" w:hAnsi="Garamond"/>
                <w:lang w:val="en-AU"/>
              </w:rPr>
              <w:t>J.; Smithers, C</w:t>
            </w:r>
            <w:r w:rsidR="007A09B0">
              <w:rPr>
                <w:rFonts w:ascii="Garamond" w:hAnsi="Garamond"/>
                <w:lang w:val="en-AU"/>
              </w:rPr>
              <w:t>.</w:t>
            </w:r>
            <w:r w:rsidRPr="00984D2D">
              <w:rPr>
                <w:rFonts w:ascii="Garamond" w:hAnsi="Garamond"/>
                <w:lang w:val="en-AU"/>
              </w:rPr>
              <w:t>J.; Rangel, S</w:t>
            </w:r>
            <w:r w:rsidR="007A09B0">
              <w:rPr>
                <w:rFonts w:ascii="Garamond" w:hAnsi="Garamond"/>
                <w:lang w:val="en-AU"/>
              </w:rPr>
              <w:t>.</w:t>
            </w:r>
            <w:r w:rsidRPr="00984D2D">
              <w:rPr>
                <w:rFonts w:ascii="Garamond" w:hAnsi="Garamond"/>
                <w:lang w:val="en-AU"/>
              </w:rPr>
              <w:t>J.; Chen, C</w:t>
            </w:r>
            <w:r w:rsidR="007A09B0">
              <w:rPr>
                <w:rFonts w:ascii="Garamond" w:hAnsi="Garamond"/>
                <w:lang w:val="en-AU"/>
              </w:rPr>
              <w:t>.</w:t>
            </w:r>
            <w:r>
              <w:rPr>
                <w:rFonts w:ascii="Garamond" w:hAnsi="Garamond"/>
                <w:lang w:val="en-AU"/>
              </w:rPr>
              <w:t>)</w:t>
            </w:r>
          </w:p>
          <w:p w:rsidR="00984D2D" w:rsidRDefault="00984D2D" w:rsidP="00984D2D">
            <w:pPr>
              <w:pStyle w:val="ListParagraph"/>
              <w:numPr>
                <w:ilvl w:val="0"/>
                <w:numId w:val="15"/>
              </w:numPr>
              <w:rPr>
                <w:rFonts w:ascii="Garamond" w:hAnsi="Garamond"/>
                <w:lang w:val="en-AU"/>
              </w:rPr>
            </w:pPr>
            <w:r w:rsidRPr="00984D2D">
              <w:rPr>
                <w:rFonts w:ascii="Garamond" w:hAnsi="Garamond"/>
                <w:lang w:val="en-AU"/>
              </w:rPr>
              <w:t xml:space="preserve">Impact of Positive Feedback on </w:t>
            </w:r>
            <w:r w:rsidRPr="00984D2D">
              <w:rPr>
                <w:rFonts w:ascii="Garamond" w:hAnsi="Garamond"/>
                <w:b/>
                <w:lang w:val="en-AU"/>
              </w:rPr>
              <w:t>Antimicrobial Stewardship in a Pediatric Intensive Care Unit</w:t>
            </w:r>
            <w:r w:rsidRPr="00984D2D">
              <w:rPr>
                <w:rFonts w:ascii="Garamond" w:hAnsi="Garamond"/>
                <w:lang w:val="en-AU"/>
              </w:rPr>
              <w:t>: A Quality Improvement Project (Jones, Alison S.; Isaac, Rhian E.; Price, Katie L.; Plunkett, Adrian C.</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Experience with </w:t>
            </w:r>
            <w:r w:rsidRPr="00984D2D">
              <w:rPr>
                <w:rFonts w:ascii="Garamond" w:hAnsi="Garamond"/>
                <w:b/>
                <w:lang w:val="en-AU"/>
              </w:rPr>
              <w:t>Combining Pediatric Procedures into a Single Anesthetic</w:t>
            </w:r>
            <w:r w:rsidRPr="00984D2D">
              <w:rPr>
                <w:rFonts w:ascii="Garamond" w:hAnsi="Garamond"/>
                <w:lang w:val="en-AU"/>
              </w:rPr>
              <w:t xml:space="preserve"> (Miketic, R</w:t>
            </w:r>
            <w:r w:rsidR="00155BAD">
              <w:rPr>
                <w:rFonts w:ascii="Garamond" w:hAnsi="Garamond"/>
                <w:lang w:val="en-AU"/>
              </w:rPr>
              <w:t>.</w:t>
            </w:r>
            <w:r w:rsidRPr="00984D2D">
              <w:rPr>
                <w:rFonts w:ascii="Garamond" w:hAnsi="Garamond"/>
                <w:lang w:val="en-AU"/>
              </w:rPr>
              <w:t>M.; Uffman, J</w:t>
            </w:r>
            <w:r w:rsidR="00155BAD">
              <w:rPr>
                <w:rFonts w:ascii="Garamond" w:hAnsi="Garamond"/>
                <w:lang w:val="en-AU"/>
              </w:rPr>
              <w:t>.</w:t>
            </w:r>
            <w:r w:rsidRPr="00984D2D">
              <w:rPr>
                <w:rFonts w:ascii="Garamond" w:hAnsi="Garamond"/>
                <w:lang w:val="en-AU"/>
              </w:rPr>
              <w:t>; Tumin, D</w:t>
            </w:r>
            <w:r w:rsidR="00155BAD">
              <w:rPr>
                <w:rFonts w:ascii="Garamond" w:hAnsi="Garamond"/>
                <w:lang w:val="en-AU"/>
              </w:rPr>
              <w:t>.</w:t>
            </w:r>
            <w:r w:rsidRPr="00984D2D">
              <w:rPr>
                <w:rFonts w:ascii="Garamond" w:hAnsi="Garamond"/>
                <w:lang w:val="en-AU"/>
              </w:rPr>
              <w:t>; Tobias, J</w:t>
            </w:r>
            <w:r w:rsidR="007A09B0">
              <w:rPr>
                <w:rFonts w:ascii="Garamond" w:hAnsi="Garamond"/>
                <w:lang w:val="en-AU"/>
              </w:rPr>
              <w:t>.</w:t>
            </w:r>
            <w:r w:rsidRPr="00984D2D">
              <w:rPr>
                <w:rFonts w:ascii="Garamond" w:hAnsi="Garamond"/>
                <w:lang w:val="en-AU"/>
              </w:rPr>
              <w:t>D.; Raman, V</w:t>
            </w:r>
            <w:r w:rsidR="007A09B0">
              <w:rPr>
                <w:rFonts w:ascii="Garamond" w:hAnsi="Garamond"/>
                <w:lang w:val="en-AU"/>
              </w:rPr>
              <w:t>.</w:t>
            </w:r>
            <w:r w:rsidRPr="00984D2D">
              <w:rPr>
                <w:rFonts w:ascii="Garamond" w:hAnsi="Garamond"/>
                <w:lang w:val="en-AU"/>
              </w:rPr>
              <w:t>T.</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b/>
                <w:lang w:val="en-AU"/>
              </w:rPr>
              <w:t>Pediatric Inpatient Antimicrobial Stewardship</w:t>
            </w:r>
            <w:r w:rsidRPr="00984D2D">
              <w:rPr>
                <w:rFonts w:ascii="Garamond" w:hAnsi="Garamond"/>
                <w:lang w:val="en-AU"/>
              </w:rPr>
              <w:t xml:space="preserve"> Program Safely Reduces Antibiotic Use in Patients with Bronchiolitis Caused by Respiratory Syncytial Virus: A Retrospective Chart Review (Kalil, Jennifer; Bowes, Jennifer; Reddy, Deepti; Barrowman, Nick; Le Saux, Nicole</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Reducing Healthcare Costs in the Management of </w:t>
            </w:r>
            <w:r w:rsidRPr="005B61CF">
              <w:rPr>
                <w:rFonts w:ascii="Garamond" w:hAnsi="Garamond"/>
                <w:b/>
                <w:lang w:val="en-AU"/>
              </w:rPr>
              <w:t>Pediatric Metacarpal Neck Fractures</w:t>
            </w:r>
            <w:r w:rsidRPr="00984D2D">
              <w:rPr>
                <w:rFonts w:ascii="Garamond" w:hAnsi="Garamond"/>
                <w:lang w:val="en-AU"/>
              </w:rPr>
              <w:t xml:space="preserve"> (Beals, Corey; Lin, James; Holstine, Jessica B.; Samora, J</w:t>
            </w:r>
            <w:r w:rsidR="006B441A">
              <w:rPr>
                <w:rFonts w:ascii="Garamond" w:hAnsi="Garamond"/>
                <w:lang w:val="en-AU"/>
              </w:rPr>
              <w:t>.</w:t>
            </w:r>
            <w:r w:rsidRPr="00984D2D">
              <w:rPr>
                <w:rFonts w:ascii="Garamond" w:hAnsi="Garamond"/>
                <w:lang w:val="en-AU"/>
              </w:rPr>
              <w:t>B</w:t>
            </w:r>
            <w:r w:rsidR="006B441A">
              <w:rPr>
                <w:rFonts w:ascii="Garamond" w:hAnsi="Garamond"/>
                <w:lang w:val="en-AU"/>
              </w:rPr>
              <w:t>.</w:t>
            </w:r>
            <w:r>
              <w:rPr>
                <w:rFonts w:ascii="Garamond" w:hAnsi="Garamond"/>
                <w:lang w:val="en-AU"/>
              </w:rPr>
              <w:t>)</w:t>
            </w:r>
          </w:p>
          <w:p w:rsidR="00984D2D" w:rsidRDefault="00984D2D" w:rsidP="00984D2D">
            <w:pPr>
              <w:pStyle w:val="ListParagraph"/>
              <w:numPr>
                <w:ilvl w:val="0"/>
                <w:numId w:val="15"/>
              </w:numPr>
              <w:rPr>
                <w:rFonts w:ascii="Garamond" w:hAnsi="Garamond"/>
                <w:lang w:val="en-AU"/>
              </w:rPr>
            </w:pPr>
            <w:r w:rsidRPr="00984D2D">
              <w:rPr>
                <w:rFonts w:ascii="Garamond" w:hAnsi="Garamond"/>
                <w:lang w:val="en-AU"/>
              </w:rPr>
              <w:t xml:space="preserve">A Quality Improvement Intervention to Reduce </w:t>
            </w:r>
            <w:r w:rsidRPr="006B441A">
              <w:rPr>
                <w:rFonts w:ascii="Garamond" w:hAnsi="Garamond"/>
                <w:b/>
                <w:lang w:val="en-AU"/>
              </w:rPr>
              <w:t>Necrotizing Enterocolitis</w:t>
            </w:r>
            <w:r w:rsidRPr="00984D2D">
              <w:rPr>
                <w:rFonts w:ascii="Garamond" w:hAnsi="Garamond"/>
                <w:lang w:val="en-AU"/>
              </w:rPr>
              <w:t xml:space="preserve"> in premature infants with Probiotic Supplementation (Rolnitsky, Asaph; Ng, Eugene; Asztalos, Elizabeth; Shama, Yasmin; Karol, Dalia; Findlater, Carla; Garsch, Maren; Dunn, Michae</w:t>
            </w:r>
            <w:r>
              <w:rPr>
                <w:rFonts w:ascii="Garamond" w:hAnsi="Garamond"/>
                <w:lang w:val="en-AU"/>
              </w:rPr>
              <w:t>l)</w:t>
            </w:r>
          </w:p>
          <w:p w:rsidR="00984D2D" w:rsidRPr="00984D2D" w:rsidRDefault="00984D2D" w:rsidP="00855E5A">
            <w:pPr>
              <w:pStyle w:val="ListParagraph"/>
              <w:numPr>
                <w:ilvl w:val="0"/>
                <w:numId w:val="15"/>
              </w:numPr>
              <w:rPr>
                <w:rFonts w:ascii="Garamond" w:hAnsi="Garamond"/>
                <w:lang w:val="en-AU"/>
              </w:rPr>
            </w:pPr>
            <w:r w:rsidRPr="006B441A">
              <w:rPr>
                <w:rFonts w:ascii="Garamond" w:hAnsi="Garamond"/>
                <w:b/>
                <w:lang w:val="en-AU"/>
              </w:rPr>
              <w:t>Becoming Trauma Informed</w:t>
            </w:r>
            <w:r w:rsidRPr="00984D2D">
              <w:rPr>
                <w:rFonts w:ascii="Garamond" w:hAnsi="Garamond"/>
                <w:lang w:val="en-AU"/>
              </w:rPr>
              <w:t>: Validating a Tool to Assess Health Professional’s Knowledge, Attitude, and Practice (King, Simmy; Chen, Kuan-Lung Daniel; Chokshi, Binny</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Quality Improvement Project to Evaluate </w:t>
            </w:r>
            <w:r w:rsidRPr="006B441A">
              <w:rPr>
                <w:rFonts w:ascii="Garamond" w:hAnsi="Garamond"/>
                <w:b/>
                <w:lang w:val="en-AU"/>
              </w:rPr>
              <w:t xml:space="preserve">Discharge Prescriptions in Children </w:t>
            </w:r>
            <w:r w:rsidRPr="0079381D">
              <w:rPr>
                <w:rFonts w:ascii="Garamond" w:hAnsi="Garamond"/>
                <w:b/>
                <w:lang w:val="en-AU"/>
              </w:rPr>
              <w:t>With Cystic Fibrosis</w:t>
            </w:r>
            <w:r w:rsidRPr="00984D2D">
              <w:rPr>
                <w:rFonts w:ascii="Garamond" w:hAnsi="Garamond"/>
                <w:lang w:val="en-AU"/>
              </w:rPr>
              <w:t xml:space="preserve"> (Merino Sanjuán, Matilde; Chorro-Mari, Veronica; Nwokoro, Chinedu; Christiansen, Nanna; Pao, Caroline; Gomez-Pastrana Duran, David; Climente Marti, Monica</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6B441A">
              <w:rPr>
                <w:rFonts w:ascii="Garamond" w:hAnsi="Garamond"/>
                <w:b/>
                <w:lang w:val="en-AU"/>
              </w:rPr>
              <w:t>Lung Transplant Index</w:t>
            </w:r>
            <w:r w:rsidRPr="00984D2D">
              <w:rPr>
                <w:rFonts w:ascii="Garamond" w:hAnsi="Garamond"/>
                <w:lang w:val="en-AU"/>
              </w:rPr>
              <w:t>: A Quality Improvement Initiative (Hayes, Don Jr; Feeney, Bob; O’Connor, Donna J.; Nicholson, Kerri L.; Nance, Ashley E.; Sakellaris, Kelly K.; Dempster, Nicole R.; Groh, Jaclyn D.; Kirkby, Stephen E.</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Addressing Challenges of </w:t>
            </w:r>
            <w:r w:rsidRPr="006B441A">
              <w:rPr>
                <w:rFonts w:ascii="Garamond" w:hAnsi="Garamond"/>
                <w:b/>
                <w:lang w:val="en-AU"/>
              </w:rPr>
              <w:t>Baseline Variability in the Clinical Setting</w:t>
            </w:r>
            <w:r w:rsidRPr="00984D2D">
              <w:rPr>
                <w:rFonts w:ascii="Garamond" w:hAnsi="Garamond"/>
                <w:lang w:val="en-AU"/>
              </w:rPr>
              <w:t>: Lessons from an Emergency Department (Berkowitz, Deena; Chamberlain, James; Provost, Lloyd P.</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Using a Second Stakeholder-Driven Variance Reporting System Improves </w:t>
            </w:r>
            <w:r w:rsidRPr="006B441A">
              <w:rPr>
                <w:rFonts w:ascii="Garamond" w:hAnsi="Garamond"/>
                <w:b/>
                <w:lang w:val="en-AU"/>
              </w:rPr>
              <w:t>Pediatric Perioperative Safety</w:t>
            </w:r>
            <w:r w:rsidRPr="00984D2D">
              <w:rPr>
                <w:rFonts w:ascii="Garamond" w:hAnsi="Garamond"/>
                <w:lang w:val="en-AU"/>
              </w:rPr>
              <w:t xml:space="preserve"> (Kawaguchi, Akemi L.; Jain, Ranu; Hebballi, Nutan B.; Pham, Dean H.; Putnam, Luke R.; Kao, Lillian S.; Lally, Kevin P.; Tsao, Kuojen</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Quality Improvement Interventions to Improve </w:t>
            </w:r>
            <w:r w:rsidRPr="006B441A">
              <w:rPr>
                <w:rFonts w:ascii="Garamond" w:hAnsi="Garamond"/>
                <w:b/>
                <w:lang w:val="en-AU"/>
              </w:rPr>
              <w:t>Critical Congenital Heart Disease Screening</w:t>
            </w:r>
            <w:r w:rsidRPr="00984D2D">
              <w:rPr>
                <w:rFonts w:ascii="Garamond" w:hAnsi="Garamond"/>
                <w:lang w:val="en-AU"/>
              </w:rPr>
              <w:t xml:space="preserve"> (Hom, Lisa A.; Chan Salcedo, Clarissa; Revenis, Mary; Martin, Gerard R.</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Utilization of a </w:t>
            </w:r>
            <w:r w:rsidRPr="006B441A">
              <w:rPr>
                <w:rFonts w:ascii="Garamond" w:hAnsi="Garamond"/>
                <w:b/>
                <w:lang w:val="en-AU"/>
              </w:rPr>
              <w:t>Neonatal Early-Onset Sepsis</w:t>
            </w:r>
            <w:r w:rsidRPr="00984D2D">
              <w:rPr>
                <w:rFonts w:ascii="Garamond" w:hAnsi="Garamond"/>
                <w:lang w:val="en-AU"/>
              </w:rPr>
              <w:t xml:space="preserve"> Calculator to Guide Initial Newborn Management (Leonardi, Bianca M.; Binder, Margaret; Griswold, Katherine J.; Yalcinkaya, Gulgun F.; Walsh, Michele C.</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Impact of a Quality Improvement Initiative to Optimize the </w:t>
            </w:r>
            <w:r w:rsidRPr="006B441A">
              <w:rPr>
                <w:rFonts w:ascii="Garamond" w:hAnsi="Garamond"/>
                <w:b/>
                <w:lang w:val="en-AU"/>
              </w:rPr>
              <w:t>Discharge Process of Pediatric Gastroenterology Patients</w:t>
            </w:r>
            <w:r w:rsidRPr="00984D2D">
              <w:rPr>
                <w:rFonts w:ascii="Garamond" w:hAnsi="Garamond"/>
                <w:lang w:val="en-AU"/>
              </w:rPr>
              <w:t xml:space="preserve"> at an Academic Children’s Hospital (Moo-Young, Joseph A.; Sylvester, Francisco A.; Dancel, Ria D.; Galin, Sheryl; Troxler, Heidi; Bradford, Kathleen K.</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Cluster Randomized Trial Reducing Missed </w:t>
            </w:r>
            <w:r w:rsidRPr="0079381D">
              <w:rPr>
                <w:rFonts w:ascii="Garamond" w:hAnsi="Garamond"/>
                <w:b/>
                <w:lang w:val="en-AU"/>
              </w:rPr>
              <w:t>Elevated Blood Pressure in Pediatric Primary Care</w:t>
            </w:r>
            <w:r w:rsidRPr="00984D2D">
              <w:rPr>
                <w:rFonts w:ascii="Garamond" w:hAnsi="Garamond"/>
                <w:lang w:val="en-AU"/>
              </w:rPr>
              <w:t>: Project RedDE (Rinke, Michael L.; Singh, Hardeep; Brady, Tammy M.; Heo, Moonseong; Kairys, Steven W.; Orringer, Kelly; Dadlez, Nina M.; Bundy, David G.</w:t>
            </w:r>
            <w:r>
              <w:rPr>
                <w:rFonts w:ascii="Garamond" w:hAnsi="Garamond"/>
                <w:lang w:val="en-AU"/>
              </w:rPr>
              <w:t>)</w:t>
            </w:r>
          </w:p>
          <w:p w:rsidR="00984D2D" w:rsidRDefault="00984D2D" w:rsidP="00855E5A">
            <w:pPr>
              <w:pStyle w:val="ListParagraph"/>
              <w:numPr>
                <w:ilvl w:val="0"/>
                <w:numId w:val="15"/>
              </w:numPr>
              <w:rPr>
                <w:rFonts w:ascii="Garamond" w:hAnsi="Garamond"/>
                <w:lang w:val="en-AU"/>
              </w:rPr>
            </w:pPr>
            <w:r w:rsidRPr="00984D2D">
              <w:rPr>
                <w:rFonts w:ascii="Garamond" w:hAnsi="Garamond"/>
                <w:lang w:val="en-AU"/>
              </w:rPr>
              <w:t xml:space="preserve">Increasing Recognition and Diagnosis of </w:t>
            </w:r>
            <w:r w:rsidRPr="006B441A">
              <w:rPr>
                <w:rFonts w:ascii="Garamond" w:hAnsi="Garamond"/>
                <w:b/>
                <w:lang w:val="en-AU"/>
              </w:rPr>
              <w:t>Adolescent Depression</w:t>
            </w:r>
            <w:r w:rsidRPr="00984D2D">
              <w:rPr>
                <w:rFonts w:ascii="Garamond" w:hAnsi="Garamond"/>
                <w:lang w:val="en-AU"/>
              </w:rPr>
              <w:t>: Project RedDE: A Cluster Randomized Trial (Rinke, Michael L.; Bundy, David G.; Stein, Ruth E.K.; O’Donnell, Heather C.; Heo, Moonseong; Sangvai, Shilpa; Lilienfeld, Harris; Singh, Hardeep</w:t>
            </w:r>
            <w:r>
              <w:rPr>
                <w:rFonts w:ascii="Garamond" w:hAnsi="Garamond"/>
                <w:lang w:val="en-AU"/>
              </w:rPr>
              <w:t>)</w:t>
            </w:r>
          </w:p>
          <w:p w:rsidR="009E385C" w:rsidRDefault="00984D2D" w:rsidP="00984D2D">
            <w:pPr>
              <w:pStyle w:val="ListParagraph"/>
              <w:numPr>
                <w:ilvl w:val="0"/>
                <w:numId w:val="15"/>
              </w:numPr>
              <w:rPr>
                <w:rFonts w:ascii="Garamond" w:hAnsi="Garamond"/>
                <w:lang w:val="en-AU"/>
              </w:rPr>
            </w:pPr>
            <w:r w:rsidRPr="00984D2D">
              <w:rPr>
                <w:rFonts w:ascii="Garamond" w:hAnsi="Garamond"/>
                <w:lang w:val="en-AU"/>
              </w:rPr>
              <w:t xml:space="preserve">Project RedDE: Cluster Randomized Trial to Reduce </w:t>
            </w:r>
            <w:r w:rsidRPr="006B441A">
              <w:rPr>
                <w:rFonts w:ascii="Garamond" w:hAnsi="Garamond"/>
                <w:b/>
                <w:lang w:val="en-AU"/>
              </w:rPr>
              <w:t>Missed or Delayed Abnormal Laboratory Value Actions</w:t>
            </w:r>
            <w:r>
              <w:rPr>
                <w:rFonts w:ascii="Garamond" w:hAnsi="Garamond"/>
                <w:lang w:val="en-AU"/>
              </w:rPr>
              <w:t xml:space="preserve"> (</w:t>
            </w:r>
            <w:r w:rsidRPr="00984D2D">
              <w:rPr>
                <w:rFonts w:ascii="Garamond" w:hAnsi="Garamond"/>
                <w:lang w:val="en-AU"/>
              </w:rPr>
              <w:t>Rinke, Michael L.; Bundy, David G.; Lehmann, Christoph U.; Heo, Moonseong; Adelman, Jason S.; Norton, Amanda; Singh, Hardeep</w:t>
            </w:r>
            <w:r>
              <w:rPr>
                <w:rFonts w:ascii="Garamond" w:hAnsi="Garamond"/>
                <w:lang w:val="en-AU"/>
              </w:rPr>
              <w:t>)</w:t>
            </w:r>
          </w:p>
          <w:p w:rsidR="008314D8" w:rsidRPr="008314D8" w:rsidRDefault="008314D8" w:rsidP="00855E5A">
            <w:pPr>
              <w:pStyle w:val="ListParagraph"/>
              <w:numPr>
                <w:ilvl w:val="0"/>
                <w:numId w:val="15"/>
              </w:numPr>
              <w:rPr>
                <w:rFonts w:ascii="Garamond" w:hAnsi="Garamond"/>
                <w:lang w:val="en-AU"/>
              </w:rPr>
            </w:pPr>
            <w:r w:rsidRPr="008314D8">
              <w:rPr>
                <w:rFonts w:ascii="Garamond" w:hAnsi="Garamond"/>
                <w:lang w:val="en-AU"/>
              </w:rPr>
              <w:t xml:space="preserve">Improving </w:t>
            </w:r>
            <w:r w:rsidRPr="008314D8">
              <w:rPr>
                <w:rFonts w:ascii="Garamond" w:hAnsi="Garamond"/>
                <w:b/>
                <w:lang w:val="en-AU"/>
              </w:rPr>
              <w:t>Diagnostic Performance in Pediatrics</w:t>
            </w:r>
            <w:r w:rsidRPr="008314D8">
              <w:rPr>
                <w:rFonts w:ascii="Garamond" w:hAnsi="Garamond"/>
                <w:lang w:val="en-AU"/>
              </w:rPr>
              <w:t>: Three Steps Ahead (Olson, Andrew P.J.</w:t>
            </w:r>
            <w:r>
              <w:rPr>
                <w:rFonts w:ascii="Garamond" w:hAnsi="Garamond"/>
                <w:lang w:val="en-AU"/>
              </w:rPr>
              <w:t>)</w:t>
            </w:r>
          </w:p>
          <w:p w:rsidR="008314D8" w:rsidRPr="007C3778" w:rsidRDefault="008314D8" w:rsidP="008314D8">
            <w:pPr>
              <w:pStyle w:val="ListParagraph"/>
              <w:numPr>
                <w:ilvl w:val="0"/>
                <w:numId w:val="15"/>
              </w:numPr>
              <w:rPr>
                <w:rFonts w:ascii="Garamond" w:hAnsi="Garamond"/>
                <w:lang w:val="en-AU"/>
              </w:rPr>
            </w:pPr>
            <w:r w:rsidRPr="008314D8">
              <w:rPr>
                <w:rFonts w:ascii="Garamond" w:hAnsi="Garamond"/>
                <w:lang w:val="en-AU"/>
              </w:rPr>
              <w:t xml:space="preserve">Learning From Experience: Avoiding </w:t>
            </w:r>
            <w:r w:rsidRPr="008314D8">
              <w:rPr>
                <w:rFonts w:ascii="Garamond" w:hAnsi="Garamond"/>
                <w:b/>
                <w:lang w:val="en-AU"/>
              </w:rPr>
              <w:t>Common Pitfalls in Multicenter Quality Improvement Collaboratives</w:t>
            </w:r>
            <w:r>
              <w:rPr>
                <w:rFonts w:ascii="Garamond" w:hAnsi="Garamond"/>
                <w:lang w:val="en-AU"/>
              </w:rPr>
              <w:t xml:space="preserve"> (</w:t>
            </w:r>
            <w:r w:rsidRPr="008314D8">
              <w:rPr>
                <w:rFonts w:ascii="Garamond" w:hAnsi="Garamond"/>
                <w:lang w:val="en-AU"/>
              </w:rPr>
              <w:t>Thackeray, Jonathan D.; Baker, Carrie A.; Berger, Rachel P.</w:t>
            </w:r>
            <w:r>
              <w:rPr>
                <w:rFonts w:ascii="Garamond" w:hAnsi="Garamond"/>
                <w:lang w:val="en-AU"/>
              </w:rPr>
              <w:t>)</w:t>
            </w:r>
          </w:p>
        </w:tc>
      </w:tr>
    </w:tbl>
    <w:p w:rsidR="009E385C" w:rsidRDefault="009E385C" w:rsidP="009E385C">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165452" w:rsidP="007A474A">
            <w:pPr>
              <w:keepNext/>
              <w:rPr>
                <w:rFonts w:ascii="Garamond" w:hAnsi="Garamond"/>
                <w:lang w:val="en-AU"/>
              </w:rPr>
            </w:pPr>
            <w:hyperlink r:id="rId35"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8E48EA" w:rsidRDefault="00E250AD" w:rsidP="00E250AD">
            <w:pPr>
              <w:pStyle w:val="ListParagraph"/>
              <w:numPr>
                <w:ilvl w:val="0"/>
                <w:numId w:val="14"/>
              </w:numPr>
              <w:rPr>
                <w:rFonts w:ascii="Garamond" w:hAnsi="Garamond"/>
                <w:lang w:val="en-AU"/>
              </w:rPr>
            </w:pPr>
            <w:r w:rsidRPr="00E250AD">
              <w:rPr>
                <w:rFonts w:ascii="Garamond" w:hAnsi="Garamond"/>
                <w:lang w:val="en-AU"/>
              </w:rPr>
              <w:t xml:space="preserve">Passing the acid test? Evaluating the impact of national education initiatives to reduce </w:t>
            </w:r>
            <w:r w:rsidRPr="00E250AD">
              <w:rPr>
                <w:rFonts w:ascii="Garamond" w:hAnsi="Garamond"/>
                <w:b/>
                <w:lang w:val="en-AU"/>
              </w:rPr>
              <w:t>proton pump inhibitor use</w:t>
            </w:r>
            <w:r w:rsidRPr="00E250AD">
              <w:rPr>
                <w:rFonts w:ascii="Garamond" w:hAnsi="Garamond"/>
                <w:lang w:val="en-AU"/>
              </w:rPr>
              <w:t xml:space="preserve"> in Australia </w:t>
            </w:r>
            <w:r>
              <w:rPr>
                <w:rFonts w:ascii="Garamond" w:hAnsi="Garamond"/>
                <w:lang w:val="en-AU"/>
              </w:rPr>
              <w:t>(</w:t>
            </w:r>
            <w:r w:rsidRPr="00E250AD">
              <w:rPr>
                <w:rFonts w:ascii="Garamond" w:hAnsi="Garamond"/>
                <w:lang w:val="en-AU"/>
              </w:rPr>
              <w:t>Claudia Bruno, Benjamin Daniels, Sallie-Anne Pearson, Nicholas A Buckley, Andrea Schaffer, H Zoega</w:t>
            </w:r>
            <w:r>
              <w:rPr>
                <w:rFonts w:ascii="Garamond" w:hAnsi="Garamond"/>
                <w:lang w:val="en-AU"/>
              </w:rPr>
              <w:t>)</w:t>
            </w:r>
          </w:p>
          <w:p w:rsidR="003D7055" w:rsidRPr="003D7055" w:rsidRDefault="003D7055" w:rsidP="00855E5A">
            <w:pPr>
              <w:pStyle w:val="ListParagraph"/>
              <w:numPr>
                <w:ilvl w:val="0"/>
                <w:numId w:val="14"/>
              </w:numPr>
              <w:rPr>
                <w:rFonts w:ascii="Garamond" w:hAnsi="Garamond"/>
                <w:lang w:val="en-AU"/>
              </w:rPr>
            </w:pPr>
            <w:r w:rsidRPr="003D7055">
              <w:rPr>
                <w:rFonts w:ascii="Garamond" w:hAnsi="Garamond"/>
                <w:b/>
                <w:lang w:val="en-AU"/>
              </w:rPr>
              <w:t>Measuring low-value care</w:t>
            </w:r>
            <w:r w:rsidRPr="003D7055">
              <w:rPr>
                <w:rFonts w:ascii="Garamond" w:hAnsi="Garamond"/>
                <w:lang w:val="en-AU"/>
              </w:rPr>
              <w:t>: learning from the US experience measuring quality (Leah M Marcotte, Linnaea Schuttner, Joshua M Liao</w:t>
            </w:r>
            <w:r>
              <w:rPr>
                <w:rFonts w:ascii="Garamond" w:hAnsi="Garamond"/>
                <w:lang w:val="en-AU"/>
              </w:rPr>
              <w:t>)</w:t>
            </w:r>
          </w:p>
          <w:p w:rsidR="003D7055" w:rsidRPr="003D7055" w:rsidRDefault="003D7055" w:rsidP="00855E5A">
            <w:pPr>
              <w:pStyle w:val="ListParagraph"/>
              <w:numPr>
                <w:ilvl w:val="0"/>
                <w:numId w:val="14"/>
              </w:numPr>
              <w:rPr>
                <w:rFonts w:ascii="Garamond" w:hAnsi="Garamond"/>
                <w:lang w:val="en-AU"/>
              </w:rPr>
            </w:pPr>
            <w:r w:rsidRPr="003D7055">
              <w:rPr>
                <w:rFonts w:ascii="Garamond" w:hAnsi="Garamond"/>
                <w:lang w:val="en-AU"/>
              </w:rPr>
              <w:t xml:space="preserve">Comparative effectiveness of risk mitigation strategies to prevent </w:t>
            </w:r>
            <w:r w:rsidRPr="003D7055">
              <w:rPr>
                <w:rFonts w:ascii="Garamond" w:hAnsi="Garamond"/>
                <w:b/>
                <w:lang w:val="en-AU"/>
              </w:rPr>
              <w:t>fetal exposure to mycophenolate</w:t>
            </w:r>
            <w:r w:rsidRPr="003D7055">
              <w:rPr>
                <w:rFonts w:ascii="Garamond" w:hAnsi="Garamond"/>
                <w:lang w:val="en-AU"/>
              </w:rPr>
              <w:t xml:space="preserve"> (Amir Sarayani, Yasser Albogami, Mohannad Elkhider, Juan M Hincapie-Castillo, Babette A Brumback, Almut G Winterstein</w:t>
            </w:r>
            <w:r>
              <w:rPr>
                <w:rFonts w:ascii="Garamond" w:hAnsi="Garamond"/>
                <w:lang w:val="en-AU"/>
              </w:rPr>
              <w:t>)</w:t>
            </w:r>
          </w:p>
          <w:p w:rsidR="003D7055" w:rsidRPr="00D84575" w:rsidRDefault="003D7055" w:rsidP="003D7055">
            <w:pPr>
              <w:pStyle w:val="ListParagraph"/>
              <w:numPr>
                <w:ilvl w:val="0"/>
                <w:numId w:val="14"/>
              </w:numPr>
              <w:rPr>
                <w:rFonts w:ascii="Garamond" w:hAnsi="Garamond"/>
                <w:lang w:val="en-AU"/>
              </w:rPr>
            </w:pPr>
            <w:r w:rsidRPr="003D7055">
              <w:rPr>
                <w:rFonts w:ascii="Garamond" w:hAnsi="Garamond"/>
                <w:lang w:val="en-AU"/>
              </w:rPr>
              <w:t xml:space="preserve">Reflections on implementing a hospital-wide provider-based </w:t>
            </w:r>
            <w:r w:rsidRPr="003D7055">
              <w:rPr>
                <w:rFonts w:ascii="Garamond" w:hAnsi="Garamond"/>
                <w:b/>
                <w:lang w:val="en-AU"/>
              </w:rPr>
              <w:t>electronic inpatient mortality review system</w:t>
            </w:r>
            <w:r w:rsidRPr="003D7055">
              <w:rPr>
                <w:rFonts w:ascii="Garamond" w:hAnsi="Garamond"/>
                <w:lang w:val="en-AU"/>
              </w:rPr>
              <w:t>: lessons learnt</w:t>
            </w:r>
            <w:r>
              <w:rPr>
                <w:rFonts w:ascii="Garamond" w:hAnsi="Garamond"/>
                <w:lang w:val="en-AU"/>
              </w:rPr>
              <w:t xml:space="preserve"> (</w:t>
            </w:r>
            <w:r w:rsidRPr="003D7055">
              <w:rPr>
                <w:rFonts w:ascii="Garamond" w:hAnsi="Garamond"/>
                <w:lang w:val="en-AU"/>
              </w:rPr>
              <w:t>Mallika L Mendu, Yi Lu, Alec Petersen, Melinda Gomez Tellez, Jennifer Beloff, Karen Fiumara, Allen Kachalia</w:t>
            </w:r>
            <w:r>
              <w:rPr>
                <w:rFonts w:ascii="Garamond" w:hAnsi="Garamond"/>
                <w:lang w:val="en-AU"/>
              </w:rPr>
              <w:t>)</w:t>
            </w:r>
          </w:p>
        </w:tc>
      </w:tr>
    </w:tbl>
    <w:p w:rsidR="007A09B0" w:rsidRDefault="007A09B0" w:rsidP="007A09B0">
      <w:pPr>
        <w:rPr>
          <w:lang w:val="en-AU"/>
        </w:rPr>
      </w:pPr>
      <w:r>
        <w:rPr>
          <w:lang w:val="en-AU"/>
        </w:rPr>
        <w:br w:type="page"/>
      </w: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754494" w:rsidRDefault="00754494" w:rsidP="002F7EE4">
      <w:pPr>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165452" w:rsidP="005A00FB">
      <w:pPr>
        <w:keepNext/>
        <w:keepLines/>
        <w:rPr>
          <w:rFonts w:ascii="Garamond" w:hAnsi="Garamond"/>
          <w:u w:val="single"/>
          <w:lang w:val="en-AU"/>
        </w:rPr>
      </w:pPr>
      <w:hyperlink r:id="rId36"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D15940" w:rsidRDefault="00172EA1" w:rsidP="00172EA1">
      <w:pPr>
        <w:pStyle w:val="ListParagraph"/>
        <w:keepNext/>
        <w:keepLines/>
        <w:numPr>
          <w:ilvl w:val="0"/>
          <w:numId w:val="14"/>
        </w:numPr>
        <w:rPr>
          <w:rFonts w:ascii="Garamond" w:hAnsi="Garamond"/>
          <w:lang w:val="en-AU"/>
        </w:rPr>
      </w:pPr>
      <w:bookmarkStart w:id="1" w:name="_GoBack"/>
      <w:r>
        <w:rPr>
          <w:rFonts w:ascii="Garamond" w:hAnsi="Garamond"/>
          <w:lang w:val="en-AU"/>
        </w:rPr>
        <w:t xml:space="preserve">Clinical Guideline CG184 </w:t>
      </w:r>
      <w:r w:rsidRPr="00172EA1">
        <w:rPr>
          <w:rFonts w:ascii="Garamond" w:hAnsi="Garamond"/>
          <w:b/>
          <w:i/>
          <w:lang w:val="en-AU"/>
        </w:rPr>
        <w:t>Gastro-oesophageal reflux disease</w:t>
      </w:r>
      <w:r w:rsidRPr="00172EA1">
        <w:rPr>
          <w:rFonts w:ascii="Garamond" w:hAnsi="Garamond"/>
          <w:i/>
          <w:lang w:val="en-AU"/>
        </w:rPr>
        <w:t xml:space="preserve"> and </w:t>
      </w:r>
      <w:r w:rsidRPr="00172EA1">
        <w:rPr>
          <w:rFonts w:ascii="Garamond" w:hAnsi="Garamond"/>
          <w:b/>
          <w:i/>
          <w:lang w:val="en-AU"/>
        </w:rPr>
        <w:t>dyspepsia</w:t>
      </w:r>
      <w:r w:rsidRPr="00172EA1">
        <w:rPr>
          <w:rFonts w:ascii="Garamond" w:hAnsi="Garamond"/>
          <w:i/>
          <w:lang w:val="en-AU"/>
        </w:rPr>
        <w:t xml:space="preserve"> in adults: investigation and management</w:t>
      </w:r>
      <w:r>
        <w:rPr>
          <w:rFonts w:ascii="Garamond" w:hAnsi="Garamond"/>
          <w:lang w:val="en-AU"/>
        </w:rPr>
        <w:t xml:space="preserve"> </w:t>
      </w:r>
      <w:hyperlink r:id="rId37" w:history="1">
        <w:r w:rsidRPr="00431F6B">
          <w:rPr>
            <w:rStyle w:val="Hyperlink"/>
            <w:rFonts w:ascii="Garamond" w:hAnsi="Garamond"/>
            <w:lang w:val="en-AU"/>
          </w:rPr>
          <w:t>https://www.nice.org.uk/guidance/cg184</w:t>
        </w:r>
      </w:hyperlink>
    </w:p>
    <w:p w:rsidR="00172EA1" w:rsidRPr="00172EA1" w:rsidRDefault="00172EA1" w:rsidP="00855E5A">
      <w:pPr>
        <w:pStyle w:val="ListParagraph"/>
        <w:keepNext/>
        <w:keepLines/>
        <w:numPr>
          <w:ilvl w:val="0"/>
          <w:numId w:val="14"/>
        </w:numPr>
        <w:rPr>
          <w:rFonts w:ascii="Garamond" w:hAnsi="Garamond"/>
          <w:lang w:val="en-AU"/>
        </w:rPr>
      </w:pPr>
      <w:r w:rsidRPr="00172EA1">
        <w:rPr>
          <w:rFonts w:ascii="Garamond" w:hAnsi="Garamond"/>
          <w:lang w:val="en-AU"/>
        </w:rPr>
        <w:t xml:space="preserve">NICE Guideline NG142 </w:t>
      </w:r>
      <w:r w:rsidRPr="00172EA1">
        <w:rPr>
          <w:rFonts w:ascii="Garamond" w:hAnsi="Garamond"/>
          <w:b/>
          <w:i/>
          <w:lang w:val="en-AU"/>
        </w:rPr>
        <w:t>End of life care</w:t>
      </w:r>
      <w:r w:rsidRPr="00172EA1">
        <w:rPr>
          <w:rFonts w:ascii="Garamond" w:hAnsi="Garamond"/>
          <w:i/>
          <w:lang w:val="en-AU"/>
        </w:rPr>
        <w:t xml:space="preserve"> for adults: service delivery </w:t>
      </w:r>
      <w:hyperlink r:id="rId38" w:history="1">
        <w:r w:rsidRPr="00431F6B">
          <w:rPr>
            <w:rStyle w:val="Hyperlink"/>
            <w:rFonts w:ascii="Garamond" w:hAnsi="Garamond"/>
            <w:lang w:val="en-AU"/>
          </w:rPr>
          <w:t>https://www.nice.org.uk/guidance/ng142</w:t>
        </w:r>
      </w:hyperlink>
    </w:p>
    <w:bookmarkEnd w:id="1"/>
    <w:p w:rsidR="00A32932" w:rsidRDefault="00A32932" w:rsidP="00FA11D5">
      <w:pPr>
        <w:keepLines/>
        <w:jc w:val="both"/>
        <w:rPr>
          <w:rFonts w:ascii="Garamond" w:hAnsi="Garamond"/>
          <w:lang w:val="en-AU"/>
        </w:rPr>
      </w:pPr>
    </w:p>
    <w:p w:rsidR="00C5077F" w:rsidRDefault="00C5077F" w:rsidP="00FA11D5">
      <w:pPr>
        <w:keepLines/>
        <w:jc w:val="both"/>
        <w:rPr>
          <w:rFonts w:ascii="Garamond" w:hAnsi="Garamond"/>
          <w:lang w:val="en-AU"/>
        </w:rPr>
      </w:pPr>
    </w:p>
    <w:p w:rsidR="00C5077F" w:rsidRDefault="00C5077F"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headerReference w:type="even" r:id="rId39"/>
      <w:headerReference w:type="default" r:id="rId40"/>
      <w:footerReference w:type="even" r:id="rId41"/>
      <w:footerReference w:type="default" r:id="rId42"/>
      <w:headerReference w:type="first" r:id="rId43"/>
      <w:footerReference w:type="firs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E5A" w:rsidRDefault="00855E5A">
      <w:r>
        <w:separator/>
      </w:r>
    </w:p>
  </w:endnote>
  <w:endnote w:type="continuationSeparator" w:id="0">
    <w:p w:rsidR="00855E5A" w:rsidRDefault="0085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5A" w:rsidRDefault="00855E5A"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65452">
      <w:rPr>
        <w:rStyle w:val="PageNumber"/>
        <w:noProof/>
      </w:rPr>
      <w:t>8</w:t>
    </w:r>
    <w:r>
      <w:rPr>
        <w:rStyle w:val="PageNumber"/>
      </w:rPr>
      <w:fldChar w:fldCharType="end"/>
    </w:r>
  </w:p>
  <w:p w:rsidR="00855E5A" w:rsidRPr="001E78F0" w:rsidRDefault="00855E5A"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438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5A" w:rsidRPr="001E78F0" w:rsidRDefault="00855E5A"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65452">
      <w:rPr>
        <w:rStyle w:val="PageNumber"/>
        <w:rFonts w:ascii="Garamond" w:hAnsi="Garamond"/>
        <w:noProof/>
      </w:rPr>
      <w:t>7</w:t>
    </w:r>
    <w:r w:rsidRPr="001E78F0">
      <w:rPr>
        <w:rStyle w:val="PageNumber"/>
        <w:rFonts w:ascii="Garamond" w:hAnsi="Garamond"/>
      </w:rPr>
      <w:fldChar w:fldCharType="end"/>
    </w:r>
  </w:p>
  <w:p w:rsidR="00855E5A" w:rsidRPr="001E78F0" w:rsidRDefault="00855E5A"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438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5A" w:rsidRDefault="00855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E5A" w:rsidRDefault="00855E5A">
      <w:r>
        <w:separator/>
      </w:r>
    </w:p>
  </w:footnote>
  <w:footnote w:type="continuationSeparator" w:id="0">
    <w:p w:rsidR="00855E5A" w:rsidRDefault="0085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5A" w:rsidRDefault="00855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5A" w:rsidRDefault="00855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5A" w:rsidRDefault="00855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F43A5"/>
    <w:multiLevelType w:val="hybridMultilevel"/>
    <w:tmpl w:val="871A79F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1"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1E0BA9"/>
    <w:multiLevelType w:val="hybridMultilevel"/>
    <w:tmpl w:val="25FCC0E6"/>
    <w:lvl w:ilvl="0" w:tplc="860AABDE">
      <w:start w:val="1"/>
      <w:numFmt w:val="decimal"/>
      <w:lvlText w:val="%1."/>
      <w:lvlJc w:val="left"/>
      <w:pPr>
        <w:ind w:left="724"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C00099"/>
    <w:multiLevelType w:val="hybridMultilevel"/>
    <w:tmpl w:val="5120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695413"/>
    <w:multiLevelType w:val="hybridMultilevel"/>
    <w:tmpl w:val="DF429202"/>
    <w:lvl w:ilvl="0" w:tplc="860AABDE">
      <w:start w:val="1"/>
      <w:numFmt w:val="decimal"/>
      <w:lvlText w:val="%1."/>
      <w:lvlJc w:val="left"/>
      <w:pPr>
        <w:ind w:left="724" w:hanging="735"/>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21" w15:restartNumberingAfterBreak="0">
    <w:nsid w:val="66FC1E17"/>
    <w:multiLevelType w:val="hybridMultilevel"/>
    <w:tmpl w:val="2A5C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F2003B"/>
    <w:multiLevelType w:val="hybridMultilevel"/>
    <w:tmpl w:val="4FFCDA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24F45"/>
    <w:multiLevelType w:val="hybridMultilevel"/>
    <w:tmpl w:val="A9A48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6"/>
  </w:num>
  <w:num w:numId="15">
    <w:abstractNumId w:val="13"/>
  </w:num>
  <w:num w:numId="16">
    <w:abstractNumId w:val="14"/>
  </w:num>
  <w:num w:numId="17">
    <w:abstractNumId w:val="11"/>
  </w:num>
  <w:num w:numId="18">
    <w:abstractNumId w:val="17"/>
  </w:num>
  <w:num w:numId="19">
    <w:abstractNumId w:val="20"/>
  </w:num>
  <w:num w:numId="20">
    <w:abstractNumId w:val="10"/>
  </w:num>
  <w:num w:numId="21">
    <w:abstractNumId w:val="12"/>
  </w:num>
  <w:num w:numId="22">
    <w:abstractNumId w:val="22"/>
  </w:num>
  <w:num w:numId="23">
    <w:abstractNumId w:val="21"/>
  </w:num>
  <w:num w:numId="24">
    <w:abstractNumId w:val="18"/>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5BAD"/>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452"/>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BB9"/>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DF7"/>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055"/>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2E"/>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0E97"/>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0A"/>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4"/>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05C"/>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81D"/>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9B0"/>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4D8"/>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3F74"/>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5A"/>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DC0"/>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93"/>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2F11"/>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A08"/>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9"/>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670"/>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A7C"/>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4D"/>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7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7D848759"/>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medication-safety/national-residential-medication-chart" TargetMode="External"/><Relationship Id="rId26" Type="http://schemas.openxmlformats.org/officeDocument/2006/relationships/hyperlink" Target="https://doi.org/10.1056/NEJMe191129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afetyandquality.gov.au/medication-safety" TargetMode="External"/><Relationship Id="rId34" Type="http://schemas.openxmlformats.org/officeDocument/2006/relationships/hyperlink" Target="https://qualitysafety.bmj.com/content/28/11"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nhmrc.gov.au/health-advice/public-health/preventing-infection" TargetMode="External"/><Relationship Id="rId25" Type="http://schemas.openxmlformats.org/officeDocument/2006/relationships/hyperlink" Target="https://www.safetyandquality.gov.au/medication-safety" TargetMode="External"/><Relationship Id="rId33" Type="http://schemas.openxmlformats.org/officeDocument/2006/relationships/hyperlink" Target="https://www.safetyandquality.gov.au/our-work/antimicrobial-stewardship" TargetMode="External"/><Relationship Id="rId38" Type="http://schemas.openxmlformats.org/officeDocument/2006/relationships/hyperlink" Target="https://www.nice.org.uk/guidance/ng14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gldcdp.tg.org.au/topicTeaser?guidelinePage=Antibiotic&amp;etgAccess=true" TargetMode="External"/><Relationship Id="rId20" Type="http://schemas.openxmlformats.org/officeDocument/2006/relationships/hyperlink" Target="https://www.hsib.org.uk/investigations-cases/epma-systems-and-safe-discharge/final-report/" TargetMode="External"/><Relationship Id="rId29" Type="http://schemas.openxmlformats.org/officeDocument/2006/relationships/hyperlink" Target="https://doi.org/10.1080/13814788.2019.1625886"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11/bcp.14128" TargetMode="External"/><Relationship Id="rId32" Type="http://schemas.openxmlformats.org/officeDocument/2006/relationships/hyperlink" Target="https://apps.who.int/iris/bitstream/handle/10665/329380/9789241516358-eng.pdf" TargetMode="External"/><Relationship Id="rId37" Type="http://schemas.openxmlformats.org/officeDocument/2006/relationships/hyperlink" Target="https://www.nice.org.uk/guidance/cg184"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2018-aged-care-national-antimicrobial-prescribing-survey-report" TargetMode="External"/><Relationship Id="rId23" Type="http://schemas.openxmlformats.org/officeDocument/2006/relationships/hyperlink" Target="https://doi.org/10.3390/medicina55090553" TargetMode="External"/><Relationship Id="rId28" Type="http://schemas.openxmlformats.org/officeDocument/2006/relationships/hyperlink" Target="https://www.safetyandquality.gov.au/our-work/partnering-consumers/person-centred-care" TargetMode="External"/><Relationship Id="rId36" Type="http://schemas.openxmlformats.org/officeDocument/2006/relationships/hyperlink" Target="https://www.nice.org.uk/guidance"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7226/25521" TargetMode="External"/><Relationship Id="rId31" Type="http://schemas.openxmlformats.org/officeDocument/2006/relationships/hyperlink" Target="https://doi.org/10.1016/S1473-3099(19)30415-3"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ahha.asn.au/publication/health-policy-issue-briefs/deeble-issues-brief-no-33-reforming-value-opportunities" TargetMode="External"/><Relationship Id="rId27" Type="http://schemas.openxmlformats.org/officeDocument/2006/relationships/hyperlink" Target="https://doi.org/10.22605/RRH4850" TargetMode="External"/><Relationship Id="rId30" Type="http://schemas.openxmlformats.org/officeDocument/2006/relationships/hyperlink" Target="https://doi.org/10.1177/2516043519878979" TargetMode="External"/><Relationship Id="rId35" Type="http://schemas.openxmlformats.org/officeDocument/2006/relationships/hyperlink" Target="https://qualitysafety.bmj.com/content/early/recent"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3DE8-D0C2-4ED4-A4ED-1CBA34C4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11</Pages>
  <Words>4837</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On the Radar Issue 437</vt:lpstr>
    </vt:vector>
  </TitlesOfParts>
  <Company>ACSQHC</Company>
  <LinksUpToDate>false</LinksUpToDate>
  <CharactersWithSpaces>32344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437</dc:title>
  <dc:subject/>
  <dc:creator>Dr Niall Johnson</dc:creator>
  <cp:keywords/>
  <dc:description/>
  <cp:lastModifiedBy>Johnson, Niall</cp:lastModifiedBy>
  <cp:revision>13</cp:revision>
  <cp:lastPrinted>2018-03-02T02:34:00Z</cp:lastPrinted>
  <dcterms:created xsi:type="dcterms:W3CDTF">2019-10-20T20:41:00Z</dcterms:created>
  <dcterms:modified xsi:type="dcterms:W3CDTF">2019-10-25T00:54:00Z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