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C15431">
        <w:rPr>
          <w:rFonts w:ascii="Garamond" w:hAnsi="Garamond"/>
          <w:lang w:val="en-AU"/>
        </w:rPr>
        <w:t>47</w:t>
      </w:r>
    </w:p>
    <w:p w:rsidR="00755242" w:rsidRDefault="00C15431" w:rsidP="00F738B5">
      <w:pPr>
        <w:rPr>
          <w:rFonts w:ascii="Garamond" w:hAnsi="Garamond"/>
          <w:lang w:val="en-AU"/>
        </w:rPr>
      </w:pPr>
      <w:r>
        <w:rPr>
          <w:rFonts w:ascii="Garamond" w:hAnsi="Garamond"/>
          <w:lang w:val="en-AU"/>
        </w:rPr>
        <w:t>20</w:t>
      </w:r>
      <w:r w:rsidR="007B2166">
        <w:rPr>
          <w:rFonts w:ascii="Garamond" w:hAnsi="Garamond"/>
          <w:lang w:val="en-AU"/>
        </w:rPr>
        <w:t xml:space="preserve"> January 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71636C">
        <w:rPr>
          <w:rFonts w:ascii="Garamond" w:hAnsi="Garamond"/>
          <w:bCs/>
          <w:lang w:val="en-AU"/>
        </w:rPr>
        <w:t>, Helen Dowling</w:t>
      </w:r>
    </w:p>
    <w:p w:rsidR="008D2809" w:rsidRDefault="008D2809">
      <w:pPr>
        <w:rPr>
          <w:rFonts w:ascii="Garamond" w:hAnsi="Garamond"/>
          <w:b/>
          <w:lang w:val="en-AU"/>
        </w:rPr>
      </w:pPr>
    </w:p>
    <w:p w:rsidR="00FF6B72" w:rsidRDefault="00FF6B72">
      <w:pPr>
        <w:rPr>
          <w:rFonts w:ascii="Garamond" w:hAnsi="Garamond"/>
          <w:b/>
          <w:lang w:val="en-AU"/>
        </w:rPr>
      </w:pPr>
    </w:p>
    <w:p w:rsidR="00BC0023" w:rsidRDefault="00BC0023">
      <w:pPr>
        <w:rPr>
          <w:rFonts w:ascii="Garamond" w:hAnsi="Garamond"/>
          <w:b/>
          <w:lang w:val="en-AU"/>
        </w:rPr>
      </w:pPr>
    </w:p>
    <w:p w:rsidR="00004C39" w:rsidRPr="00004C39" w:rsidRDefault="00004C39" w:rsidP="00004C39">
      <w:pPr>
        <w:rPr>
          <w:rFonts w:ascii="Garamond" w:hAnsi="Garamond"/>
          <w:b/>
          <w:lang w:val="en-AU"/>
        </w:rPr>
      </w:pPr>
      <w:r w:rsidRPr="00004C39">
        <w:rPr>
          <w:rFonts w:ascii="Garamond" w:hAnsi="Garamond"/>
          <w:b/>
          <w:lang w:val="en-AU"/>
        </w:rPr>
        <w:t>Infection Prevention and Control e-learning modules and Workbook</w:t>
      </w:r>
    </w:p>
    <w:p w:rsidR="00004C39" w:rsidRDefault="005D13E1" w:rsidP="00004C39">
      <w:pPr>
        <w:rPr>
          <w:rFonts w:ascii="Garamond" w:hAnsi="Garamond"/>
          <w:lang w:val="en-AU"/>
        </w:rPr>
      </w:pPr>
      <w:hyperlink r:id="rId15" w:history="1">
        <w:r w:rsidR="00004C39" w:rsidRPr="00504B37">
          <w:rPr>
            <w:rStyle w:val="Hyperlink"/>
            <w:rFonts w:ascii="Garamond" w:hAnsi="Garamond"/>
            <w:lang w:val="en-AU"/>
          </w:rPr>
          <w:t>https://www.safetyandquality.gov.au/publications-and-resources/resource-library/infection-prevention-and-control-workbook-2019</w:t>
        </w:r>
      </w:hyperlink>
    </w:p>
    <w:p w:rsidR="00004C39" w:rsidRPr="00004C39" w:rsidRDefault="00004C39" w:rsidP="00004C39">
      <w:pPr>
        <w:rPr>
          <w:rFonts w:ascii="Garamond" w:hAnsi="Garamond"/>
          <w:lang w:val="en-AU"/>
        </w:rPr>
      </w:pPr>
      <w:r>
        <w:rPr>
          <w:rFonts w:ascii="Garamond" w:hAnsi="Garamond"/>
          <w:lang w:val="en-AU"/>
        </w:rPr>
        <w:t xml:space="preserve">The Australian Commission on Safety &amp; Quality in Health Care has updated </w:t>
      </w:r>
      <w:r w:rsidRPr="00004C39">
        <w:rPr>
          <w:rFonts w:ascii="Garamond" w:hAnsi="Garamond"/>
          <w:lang w:val="en-AU"/>
        </w:rPr>
        <w:t>the Infection Prevention and Control e-learning modules and Workbook</w:t>
      </w:r>
      <w:r>
        <w:rPr>
          <w:rFonts w:ascii="Garamond" w:hAnsi="Garamond"/>
          <w:lang w:val="en-AU"/>
        </w:rPr>
        <w:t>.</w:t>
      </w:r>
    </w:p>
    <w:p w:rsidR="00004C39" w:rsidRDefault="00004C39" w:rsidP="00004C39">
      <w:pPr>
        <w:rPr>
          <w:rFonts w:ascii="Garamond" w:hAnsi="Garamond"/>
          <w:lang w:val="en-AU"/>
        </w:rPr>
      </w:pPr>
      <w:r w:rsidRPr="00004C39">
        <w:rPr>
          <w:rFonts w:ascii="Garamond" w:hAnsi="Garamond"/>
          <w:lang w:val="en-AU"/>
        </w:rPr>
        <w:t xml:space="preserve">The modules can be accessed via </w:t>
      </w:r>
      <w:hyperlink r:id="rId16" w:history="1">
        <w:r w:rsidRPr="00504B37">
          <w:rPr>
            <w:rStyle w:val="Hyperlink"/>
            <w:rFonts w:ascii="Garamond" w:hAnsi="Garamond"/>
            <w:lang w:val="en-AU"/>
          </w:rPr>
          <w:t>https://nhhi.southrock.com</w:t>
        </w:r>
      </w:hyperlink>
    </w:p>
    <w:p w:rsidR="00FF6B72" w:rsidRDefault="00004C39" w:rsidP="00004C39">
      <w:pPr>
        <w:rPr>
          <w:rFonts w:ascii="Garamond" w:hAnsi="Garamond"/>
          <w:lang w:val="en-AU"/>
        </w:rPr>
      </w:pPr>
      <w:r w:rsidRPr="00004C39">
        <w:rPr>
          <w:rFonts w:ascii="Garamond" w:hAnsi="Garamond"/>
          <w:lang w:val="en-AU"/>
        </w:rPr>
        <w:t xml:space="preserve">This is a new platform for users of these modules and users will need to register before they can access the modules. </w:t>
      </w:r>
      <w:r>
        <w:rPr>
          <w:rFonts w:ascii="Garamond" w:hAnsi="Garamond"/>
          <w:lang w:val="en-AU"/>
        </w:rPr>
        <w:t xml:space="preserve">There is </w:t>
      </w:r>
      <w:r w:rsidRPr="00004C39">
        <w:rPr>
          <w:rFonts w:ascii="Garamond" w:hAnsi="Garamond"/>
          <w:lang w:val="en-AU"/>
        </w:rPr>
        <w:t xml:space="preserve">also a companion workbook for the modules which is </w:t>
      </w:r>
      <w:r>
        <w:rPr>
          <w:rFonts w:ascii="Garamond" w:hAnsi="Garamond"/>
          <w:lang w:val="en-AU"/>
        </w:rPr>
        <w:t xml:space="preserve">available from </w:t>
      </w:r>
      <w:hyperlink r:id="rId17" w:history="1">
        <w:r w:rsidRPr="00504B37">
          <w:rPr>
            <w:rStyle w:val="Hyperlink"/>
            <w:rFonts w:ascii="Garamond" w:hAnsi="Garamond"/>
            <w:lang w:val="en-AU"/>
          </w:rPr>
          <w:t>https://www.safetyandquality.gov.au/publications-and-resources/resource-library/infection-prevention-and-control-workbook-2019</w:t>
        </w:r>
      </w:hyperlink>
    </w:p>
    <w:p w:rsidR="00004C39" w:rsidRPr="00004C39" w:rsidRDefault="00004C39" w:rsidP="00004C39">
      <w:pPr>
        <w:rPr>
          <w:rFonts w:ascii="Garamond" w:hAnsi="Garamond"/>
          <w:lang w:val="en-AU"/>
        </w:rPr>
      </w:pPr>
    </w:p>
    <w:p w:rsidR="00004C39" w:rsidRDefault="001857E7">
      <w:pPr>
        <w:rPr>
          <w:rFonts w:ascii="Garamond" w:hAnsi="Garamond"/>
          <w:b/>
          <w:lang w:val="en-AU"/>
        </w:rPr>
      </w:pPr>
      <w:r>
        <w:rPr>
          <w:rFonts w:ascii="Garamond" w:hAnsi="Garamond"/>
          <w:noProof/>
          <w:lang w:val="en-AU" w:eastAsia="en-AU"/>
        </w:rPr>
        <w:lastRenderedPageBreak/>
        <w:drawing>
          <wp:anchor distT="0" distB="0" distL="114300" distR="114300" simplePos="0" relativeHeight="251660288" behindDoc="0" locked="0" layoutInCell="1" allowOverlap="1">
            <wp:simplePos x="0" y="0"/>
            <wp:positionH relativeFrom="column">
              <wp:posOffset>4105975</wp:posOffset>
            </wp:positionH>
            <wp:positionV relativeFrom="paragraph">
              <wp:posOffset>2582673</wp:posOffset>
            </wp:positionV>
            <wp:extent cx="2141220" cy="3030855"/>
            <wp:effectExtent l="457200" t="285750" r="430530" b="302895"/>
            <wp:wrapNone/>
            <wp:docPr id="4" name="Picture 4" descr="\\central.health\DfsUserEnv\Users\User_07\JOHNNI\Downloads\Infection Prevention and Control Workbook 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Infection Prevention and Control Workbook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115751">
                      <a:off x="0" y="0"/>
                      <a:ext cx="2141220" cy="30308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val="en-AU" w:eastAsia="en-AU"/>
        </w:rPr>
        <w:drawing>
          <wp:inline distT="0" distB="0" distL="0" distR="0" wp14:anchorId="212B0A2A" wp14:editId="39AEF8CE">
            <wp:extent cx="6120130" cy="5615940"/>
            <wp:effectExtent l="0" t="0" r="0" b="3810"/>
            <wp:docPr id="2" name="Picture 2" descr="Image showing the login screen for the Infection Prevention and Control e-learning modules and the companion Workbook"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5615940"/>
                    </a:xfrm>
                    <a:prstGeom prst="rect">
                      <a:avLst/>
                    </a:prstGeom>
                  </pic:spPr>
                </pic:pic>
              </a:graphicData>
            </a:graphic>
          </wp:inline>
        </w:drawing>
      </w:r>
    </w:p>
    <w:p w:rsidR="001857E7" w:rsidRDefault="001857E7">
      <w:pPr>
        <w:rPr>
          <w:rFonts w:ascii="Garamond" w:hAnsi="Garamond"/>
          <w:b/>
          <w:lang w:val="en-AU"/>
        </w:rPr>
      </w:pPr>
    </w:p>
    <w:p w:rsidR="007B2166" w:rsidRDefault="007B2166">
      <w:pPr>
        <w:rPr>
          <w:rFonts w:ascii="Garamond" w:hAnsi="Garamond"/>
          <w:b/>
          <w:lang w:val="en-AU"/>
        </w:rPr>
      </w:pPr>
      <w:r>
        <w:rPr>
          <w:rFonts w:ascii="Garamond" w:hAnsi="Garamond"/>
          <w:b/>
          <w:lang w:val="en-AU"/>
        </w:rPr>
        <w:t>Reports</w:t>
      </w:r>
    </w:p>
    <w:p w:rsidR="007B2166" w:rsidRDefault="007B2166" w:rsidP="007B2166">
      <w:pPr>
        <w:keepNext/>
        <w:keepLines/>
        <w:autoSpaceDE w:val="0"/>
        <w:autoSpaceDN w:val="0"/>
        <w:adjustRightInd w:val="0"/>
        <w:rPr>
          <w:rFonts w:ascii="Garamond" w:hAnsi="Garamond"/>
          <w:lang w:val="en-AU"/>
        </w:rPr>
      </w:pPr>
    </w:p>
    <w:p w:rsidR="00941EFA" w:rsidRPr="007365AC" w:rsidRDefault="007365AC" w:rsidP="007365AC">
      <w:pPr>
        <w:keepNext/>
        <w:keepLines/>
        <w:autoSpaceDE w:val="0"/>
        <w:autoSpaceDN w:val="0"/>
        <w:adjustRightInd w:val="0"/>
        <w:rPr>
          <w:rFonts w:ascii="Garamond" w:hAnsi="Garamond"/>
          <w:i/>
          <w:lang w:val="en-AU"/>
        </w:rPr>
      </w:pPr>
      <w:r w:rsidRPr="007365AC">
        <w:rPr>
          <w:rFonts w:ascii="Garamond" w:hAnsi="Garamond"/>
          <w:i/>
          <w:lang w:val="en-AU"/>
        </w:rPr>
        <w:t>Over-diagnosis and over-treatment in the frail elderly</w:t>
      </w:r>
    </w:p>
    <w:p w:rsidR="00E549D0" w:rsidRDefault="00E549D0" w:rsidP="007365AC">
      <w:pPr>
        <w:keepNext/>
        <w:keepLines/>
        <w:autoSpaceDE w:val="0"/>
        <w:autoSpaceDN w:val="0"/>
        <w:adjustRightInd w:val="0"/>
        <w:rPr>
          <w:rFonts w:ascii="Garamond" w:hAnsi="Garamond"/>
          <w:lang w:val="en-AU"/>
        </w:rPr>
      </w:pPr>
      <w:r w:rsidRPr="00E549D0">
        <w:rPr>
          <w:rFonts w:ascii="Garamond" w:hAnsi="Garamond"/>
          <w:lang w:val="en-AU"/>
        </w:rPr>
        <w:t>Agency for Clinical Innovation</w:t>
      </w:r>
    </w:p>
    <w:p w:rsidR="007365AC" w:rsidRDefault="00E549D0" w:rsidP="007365AC">
      <w:pPr>
        <w:keepNext/>
        <w:keepLines/>
        <w:autoSpaceDE w:val="0"/>
        <w:autoSpaceDN w:val="0"/>
        <w:adjustRightInd w:val="0"/>
        <w:rPr>
          <w:rFonts w:ascii="Garamond" w:hAnsi="Garamond"/>
          <w:lang w:val="en-AU"/>
        </w:rPr>
      </w:pPr>
      <w:r w:rsidRPr="00E549D0">
        <w:rPr>
          <w:rFonts w:ascii="Garamond" w:hAnsi="Garamond"/>
          <w:lang w:val="en-AU"/>
        </w:rPr>
        <w:t>Sydney: ACI; 2019. p. 36.</w:t>
      </w:r>
    </w:p>
    <w:tbl>
      <w:tblPr>
        <w:tblStyle w:val="TableGrid"/>
        <w:tblW w:w="0" w:type="auto"/>
        <w:tblInd w:w="288" w:type="dxa"/>
        <w:tblLayout w:type="fixed"/>
        <w:tblLook w:val="01E0" w:firstRow="1" w:lastRow="1" w:firstColumn="1" w:lastColumn="1" w:noHBand="0" w:noVBand="0"/>
      </w:tblPr>
      <w:tblGrid>
        <w:gridCol w:w="1080"/>
        <w:gridCol w:w="8280"/>
      </w:tblGrid>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41EFA" w:rsidRPr="000170DA" w:rsidRDefault="005D13E1" w:rsidP="00941EFA">
            <w:pPr>
              <w:rPr>
                <w:rStyle w:val="Hyperlink"/>
                <w:rFonts w:ascii="Garamond" w:hAnsi="Garamond"/>
                <w:color w:val="auto"/>
                <w:u w:val="none"/>
                <w:lang w:val="en-AU"/>
              </w:rPr>
            </w:pPr>
            <w:hyperlink r:id="rId20" w:history="1">
              <w:r w:rsidR="007365AC" w:rsidRPr="00504B37">
                <w:rPr>
                  <w:rStyle w:val="Hyperlink"/>
                  <w:rFonts w:ascii="Garamond" w:hAnsi="Garamond"/>
                  <w:lang w:val="en-AU"/>
                </w:rPr>
                <w:t>https://www.aci.health.nsw.gov.au/resources/aged-health/other/over-diagnosis-and-over-treatment-in-the-frail-elderly</w:t>
              </w:r>
            </w:hyperlink>
          </w:p>
        </w:tc>
      </w:tr>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D10BA" w:rsidRDefault="007365AC" w:rsidP="00ED10BA">
            <w:pPr>
              <w:rPr>
                <w:rFonts w:ascii="Garamond" w:hAnsi="Garamond"/>
                <w:lang w:val="en-AU"/>
              </w:rPr>
            </w:pPr>
            <w:r>
              <w:rPr>
                <w:rFonts w:ascii="Garamond" w:hAnsi="Garamond"/>
                <w:lang w:val="en-AU"/>
              </w:rPr>
              <w:t xml:space="preserve">The NSW Agency for Clinical Innovation </w:t>
            </w:r>
            <w:r w:rsidR="007A2510">
              <w:rPr>
                <w:rFonts w:ascii="Garamond" w:hAnsi="Garamond"/>
                <w:lang w:val="en-AU"/>
              </w:rPr>
              <w:t xml:space="preserve">has produced this report looking at the issues of over-diagnosis and over-treatment in frail elderly patients. </w:t>
            </w:r>
            <w:r w:rsidR="009164AF">
              <w:rPr>
                <w:rFonts w:ascii="Garamond" w:hAnsi="Garamond"/>
                <w:lang w:val="en-AU"/>
              </w:rPr>
              <w:t xml:space="preserve">The report includes sections on Identifying frailty, What is appropriate care for frail elderly patients?, What drives over-diagnosis and over-treatment?, and Leveraging change. </w:t>
            </w:r>
            <w:r w:rsidR="007A2510">
              <w:rPr>
                <w:rFonts w:ascii="Garamond" w:hAnsi="Garamond"/>
                <w:lang w:val="en-AU"/>
              </w:rPr>
              <w:t>The report observes that</w:t>
            </w:r>
          </w:p>
          <w:p w:rsidR="007A2510" w:rsidRPr="007A2510" w:rsidRDefault="007A2510" w:rsidP="007A2510">
            <w:pPr>
              <w:pStyle w:val="ListParagraph"/>
              <w:numPr>
                <w:ilvl w:val="0"/>
                <w:numId w:val="33"/>
              </w:numPr>
              <w:rPr>
                <w:rFonts w:ascii="Garamond" w:hAnsi="Garamond"/>
                <w:lang w:val="en-AU"/>
              </w:rPr>
            </w:pPr>
            <w:r w:rsidRPr="007A2510">
              <w:rPr>
                <w:rFonts w:ascii="Garamond" w:hAnsi="Garamond"/>
                <w:lang w:val="en-AU"/>
              </w:rPr>
              <w:t>Providing appropriate care for frail elderly people is a challenge for healthcare systems.</w:t>
            </w:r>
          </w:p>
          <w:p w:rsidR="007A2510" w:rsidRPr="007A2510" w:rsidRDefault="007A2510" w:rsidP="007A2510">
            <w:pPr>
              <w:pStyle w:val="ListParagraph"/>
              <w:numPr>
                <w:ilvl w:val="0"/>
                <w:numId w:val="33"/>
              </w:numPr>
              <w:rPr>
                <w:rFonts w:ascii="Garamond" w:hAnsi="Garamond"/>
                <w:lang w:val="en-AU"/>
              </w:rPr>
            </w:pPr>
            <w:r w:rsidRPr="007A2510">
              <w:rPr>
                <w:rFonts w:ascii="Garamond" w:hAnsi="Garamond"/>
                <w:lang w:val="en-AU"/>
              </w:rPr>
              <w:t>Frailty is complex and multifaceted and varies in onset, progression and recovery.</w:t>
            </w:r>
          </w:p>
          <w:p w:rsidR="007A2510" w:rsidRDefault="007A2510" w:rsidP="007A2510">
            <w:pPr>
              <w:pStyle w:val="ListParagraph"/>
              <w:numPr>
                <w:ilvl w:val="0"/>
                <w:numId w:val="33"/>
              </w:numPr>
              <w:rPr>
                <w:rFonts w:ascii="Garamond" w:hAnsi="Garamond"/>
                <w:lang w:val="en-AU"/>
              </w:rPr>
            </w:pPr>
            <w:r w:rsidRPr="007A2510">
              <w:rPr>
                <w:rFonts w:ascii="Garamond" w:hAnsi="Garamond"/>
                <w:lang w:val="en-AU"/>
              </w:rPr>
              <w:t>Good care requires responsive, patient-centred, evidence-based approaches that distinguish care likely to be beneficial from care with high risk of harm.</w:t>
            </w:r>
          </w:p>
          <w:p w:rsidR="007A2510" w:rsidRPr="007A2510" w:rsidRDefault="007A2510" w:rsidP="00BC0023">
            <w:pPr>
              <w:jc w:val="center"/>
              <w:rPr>
                <w:rFonts w:ascii="Garamond" w:hAnsi="Garamond"/>
                <w:lang w:val="en-AU"/>
              </w:rPr>
            </w:pPr>
            <w:r>
              <w:rPr>
                <w:rFonts w:ascii="Garamond" w:hAnsi="Garamond"/>
                <w:noProof/>
                <w:lang w:val="en-AU" w:eastAsia="en-AU"/>
              </w:rPr>
              <w:drawing>
                <wp:inline distT="0" distB="0" distL="0" distR="0">
                  <wp:extent cx="4807146" cy="3217762"/>
                  <wp:effectExtent l="0" t="0" r="0" b="1905"/>
                  <wp:docPr id="1" name="Picture 1" descr="Matrix of treatment/non-treatment versus benef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Frailt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3800" cy="3228910"/>
                          </a:xfrm>
                          <a:prstGeom prst="rect">
                            <a:avLst/>
                          </a:prstGeom>
                          <a:noFill/>
                          <a:ln>
                            <a:noFill/>
                          </a:ln>
                        </pic:spPr>
                      </pic:pic>
                    </a:graphicData>
                  </a:graphic>
                </wp:inline>
              </w:drawing>
            </w:r>
          </w:p>
        </w:tc>
      </w:tr>
    </w:tbl>
    <w:p w:rsidR="00941EFA" w:rsidRDefault="00941EFA" w:rsidP="00941EFA">
      <w:pPr>
        <w:rPr>
          <w:rFonts w:ascii="Garamond" w:hAnsi="Garamond"/>
          <w:lang w:val="en-AU"/>
        </w:rPr>
      </w:pPr>
    </w:p>
    <w:p w:rsidR="000B5668" w:rsidRPr="000B5668" w:rsidRDefault="000B5668" w:rsidP="000B5668">
      <w:pPr>
        <w:keepLines/>
        <w:autoSpaceDE w:val="0"/>
        <w:autoSpaceDN w:val="0"/>
        <w:adjustRightInd w:val="0"/>
        <w:rPr>
          <w:rFonts w:ascii="Garamond" w:hAnsi="Garamond"/>
          <w:i/>
          <w:lang w:val="en-AU"/>
        </w:rPr>
      </w:pPr>
      <w:r w:rsidRPr="000B5668">
        <w:rPr>
          <w:rFonts w:ascii="Garamond" w:hAnsi="Garamond"/>
          <w:i/>
          <w:lang w:val="en-AU"/>
        </w:rPr>
        <w:t>Improving care by using patient feedback</w:t>
      </w:r>
    </w:p>
    <w:p w:rsidR="000B5668" w:rsidRDefault="000B5668" w:rsidP="000B5668">
      <w:pPr>
        <w:keepLines/>
        <w:autoSpaceDE w:val="0"/>
        <w:autoSpaceDN w:val="0"/>
        <w:adjustRightInd w:val="0"/>
        <w:rPr>
          <w:rFonts w:ascii="Garamond" w:hAnsi="Garamond"/>
          <w:lang w:val="en-AU"/>
        </w:rPr>
      </w:pPr>
      <w:r w:rsidRPr="000B5668">
        <w:rPr>
          <w:rFonts w:ascii="Garamond" w:hAnsi="Garamond"/>
          <w:lang w:val="en-AU"/>
        </w:rPr>
        <w:t>Themed review</w:t>
      </w:r>
    </w:p>
    <w:p w:rsidR="000B5668" w:rsidRDefault="000B5668" w:rsidP="000B5668">
      <w:pPr>
        <w:keepLines/>
        <w:autoSpaceDE w:val="0"/>
        <w:autoSpaceDN w:val="0"/>
        <w:adjustRightInd w:val="0"/>
        <w:rPr>
          <w:rFonts w:ascii="Garamond" w:hAnsi="Garamond"/>
          <w:lang w:val="en-AU"/>
        </w:rPr>
      </w:pPr>
      <w:r w:rsidRPr="000B5668">
        <w:rPr>
          <w:rFonts w:ascii="Garamond" w:hAnsi="Garamond"/>
          <w:lang w:val="en-AU"/>
        </w:rPr>
        <w:t>National Institute for Health Research</w:t>
      </w:r>
    </w:p>
    <w:p w:rsidR="000B5668" w:rsidRDefault="000B5668" w:rsidP="000B5668">
      <w:pPr>
        <w:keepLines/>
        <w:autoSpaceDE w:val="0"/>
        <w:autoSpaceDN w:val="0"/>
        <w:adjustRightInd w:val="0"/>
        <w:rPr>
          <w:rFonts w:ascii="Garamond" w:hAnsi="Garamond"/>
          <w:lang w:val="en-AU"/>
        </w:rPr>
      </w:pPr>
      <w:r w:rsidRPr="000B5668">
        <w:rPr>
          <w:rFonts w:ascii="Garamond" w:hAnsi="Garamond"/>
          <w:lang w:val="en-AU"/>
        </w:rPr>
        <w:t xml:space="preserve">London: NHS NIHR; 2019. p. </w:t>
      </w:r>
      <w:r w:rsidR="00012841">
        <w:rPr>
          <w:rFonts w:ascii="Garamond" w:hAnsi="Garamond"/>
          <w:lang w:val="en-AU"/>
        </w:rPr>
        <w:t>34</w:t>
      </w:r>
      <w:r w:rsidRPr="000B566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B5668" w:rsidRPr="000170DA" w:rsidTr="00F04A6D">
        <w:tc>
          <w:tcPr>
            <w:tcW w:w="1080" w:type="dxa"/>
            <w:tcBorders>
              <w:top w:val="single" w:sz="4" w:space="0" w:color="auto"/>
              <w:left w:val="single" w:sz="4" w:space="0" w:color="auto"/>
              <w:bottom w:val="single" w:sz="4" w:space="0" w:color="auto"/>
              <w:right w:val="single" w:sz="4" w:space="0" w:color="auto"/>
            </w:tcBorders>
            <w:vAlign w:val="center"/>
          </w:tcPr>
          <w:p w:rsidR="000B5668" w:rsidRPr="000170DA" w:rsidRDefault="000B5668" w:rsidP="00F04A6D">
            <w:pPr>
              <w:rPr>
                <w:rStyle w:val="Hyperlink"/>
                <w:rFonts w:ascii="Garamond" w:hAnsi="Garamond"/>
                <w:lang w:val="en-AU"/>
              </w:rPr>
            </w:pPr>
            <w:r>
              <w:rPr>
                <w:rFonts w:ascii="Garamond" w:hAnsi="Garamond"/>
                <w:lang w:val="en-AU"/>
              </w:rPr>
              <w:t>URL / DOI</w:t>
            </w:r>
          </w:p>
        </w:tc>
        <w:tc>
          <w:tcPr>
            <w:tcW w:w="8280" w:type="dxa"/>
            <w:tcBorders>
              <w:top w:val="single" w:sz="4" w:space="0" w:color="auto"/>
              <w:left w:val="single" w:sz="4" w:space="0" w:color="auto"/>
              <w:bottom w:val="single" w:sz="4" w:space="0" w:color="auto"/>
              <w:right w:val="single" w:sz="4" w:space="0" w:color="auto"/>
            </w:tcBorders>
            <w:vAlign w:val="center"/>
          </w:tcPr>
          <w:p w:rsidR="000B5668" w:rsidRDefault="005D13E1" w:rsidP="00F04A6D">
            <w:pPr>
              <w:rPr>
                <w:rStyle w:val="Hyperlink"/>
                <w:rFonts w:ascii="Garamond" w:hAnsi="Garamond"/>
                <w:color w:val="auto"/>
                <w:u w:val="none"/>
                <w:lang w:val="en-AU"/>
              </w:rPr>
            </w:pPr>
            <w:hyperlink r:id="rId22" w:history="1">
              <w:r w:rsidR="000B5668" w:rsidRPr="00504B37">
                <w:rPr>
                  <w:rStyle w:val="Hyperlink"/>
                  <w:rFonts w:ascii="Garamond" w:hAnsi="Garamond"/>
                  <w:lang w:val="en-AU"/>
                </w:rPr>
                <w:t>https://discover.dc.nihr.ac.uk/content/themedreview-04237/improving-care-by-using-patient-feedback</w:t>
              </w:r>
            </w:hyperlink>
          </w:p>
          <w:p w:rsidR="000B5668" w:rsidRPr="00A533BC" w:rsidRDefault="005D13E1" w:rsidP="000B5668">
            <w:pPr>
              <w:rPr>
                <w:rStyle w:val="Hyperlink"/>
                <w:rFonts w:ascii="Garamond" w:hAnsi="Garamond"/>
                <w:color w:val="auto"/>
                <w:u w:val="none"/>
                <w:lang w:val="en-AU"/>
              </w:rPr>
            </w:pPr>
            <w:hyperlink r:id="rId23" w:history="1">
              <w:r w:rsidR="000B5668" w:rsidRPr="00504B37">
                <w:rPr>
                  <w:rStyle w:val="Hyperlink"/>
                  <w:rFonts w:ascii="Garamond" w:hAnsi="Garamond"/>
                  <w:lang w:val="en-AU"/>
                </w:rPr>
                <w:t>https://doi.org/10.3310/themedreview-04237</w:t>
              </w:r>
            </w:hyperlink>
          </w:p>
        </w:tc>
      </w:tr>
      <w:tr w:rsidR="000B5668" w:rsidRPr="00B77E8A" w:rsidTr="00F04A6D">
        <w:tc>
          <w:tcPr>
            <w:tcW w:w="1080" w:type="dxa"/>
            <w:tcBorders>
              <w:top w:val="single" w:sz="4" w:space="0" w:color="auto"/>
              <w:left w:val="single" w:sz="4" w:space="0" w:color="auto"/>
              <w:bottom w:val="single" w:sz="4" w:space="0" w:color="auto"/>
              <w:right w:val="single" w:sz="4" w:space="0" w:color="auto"/>
            </w:tcBorders>
            <w:vAlign w:val="center"/>
          </w:tcPr>
          <w:p w:rsidR="000B5668" w:rsidRPr="00B77E8A" w:rsidRDefault="000B5668" w:rsidP="00F04A6D">
            <w:pPr>
              <w:pStyle w:val="Caption"/>
              <w:rPr>
                <w:rFonts w:ascii="Garamond" w:hAnsi="Garamond"/>
                <w:b w:val="0"/>
                <w:sz w:val="24"/>
                <w:szCs w:val="24"/>
                <w:lang w:val="en-AU"/>
              </w:rPr>
            </w:pPr>
            <w:r w:rsidRPr="00B77E8A">
              <w:rPr>
                <w:rFonts w:ascii="Garamond" w:hAnsi="Garamond"/>
                <w:b w:val="0"/>
                <w:sz w:val="24"/>
                <w:szCs w:val="24"/>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21C92" w:rsidRDefault="000B5668" w:rsidP="00421C92">
            <w:pPr>
              <w:pStyle w:val="Caption"/>
              <w:rPr>
                <w:rFonts w:ascii="Garamond" w:hAnsi="Garamond"/>
                <w:b w:val="0"/>
                <w:sz w:val="24"/>
                <w:szCs w:val="24"/>
                <w:lang w:val="en-AU"/>
              </w:rPr>
            </w:pPr>
            <w:r w:rsidRPr="00A533BC">
              <w:rPr>
                <w:rFonts w:ascii="Garamond" w:hAnsi="Garamond"/>
                <w:b w:val="0"/>
                <w:sz w:val="24"/>
                <w:szCs w:val="24"/>
                <w:lang w:val="en-AU"/>
              </w:rPr>
              <w:t xml:space="preserve">The UK’s National Institute for Health Research (NIHR) has produced this themed review of the evidence from the NIHR and others on the issue of </w:t>
            </w:r>
            <w:r>
              <w:rPr>
                <w:rFonts w:ascii="Garamond" w:hAnsi="Garamond"/>
                <w:b w:val="0"/>
                <w:sz w:val="24"/>
                <w:szCs w:val="24"/>
                <w:lang w:val="en-AU"/>
              </w:rPr>
              <w:t>using patient feedback/complaints to improve care</w:t>
            </w:r>
            <w:r w:rsidRPr="00A533BC">
              <w:rPr>
                <w:rFonts w:ascii="Garamond" w:hAnsi="Garamond"/>
                <w:b w:val="0"/>
                <w:sz w:val="24"/>
                <w:szCs w:val="24"/>
                <w:lang w:val="en-AU"/>
              </w:rPr>
              <w:t>.</w:t>
            </w:r>
            <w:r>
              <w:rPr>
                <w:rFonts w:ascii="Garamond" w:hAnsi="Garamond"/>
                <w:b w:val="0"/>
                <w:sz w:val="24"/>
                <w:szCs w:val="24"/>
                <w:lang w:val="en-AU"/>
              </w:rPr>
              <w:t xml:space="preserve"> This review </w:t>
            </w:r>
            <w:r w:rsidRPr="000B5668">
              <w:rPr>
                <w:rFonts w:ascii="Garamond" w:hAnsi="Garamond"/>
                <w:b w:val="0"/>
                <w:sz w:val="24"/>
                <w:szCs w:val="24"/>
                <w:lang w:val="en-AU"/>
              </w:rPr>
              <w:t>brings together nine recent studies looking at how NHS organisations use patient feedback to make improvements to services. The evidence in this review ranges from online ratings to real-time feedback in different settings, from hospital wards to general practice and mental health.</w:t>
            </w:r>
            <w:r>
              <w:rPr>
                <w:rFonts w:ascii="Garamond" w:hAnsi="Garamond"/>
                <w:b w:val="0"/>
                <w:sz w:val="24"/>
                <w:szCs w:val="24"/>
                <w:lang w:val="en-AU"/>
              </w:rPr>
              <w:t xml:space="preserve"> </w:t>
            </w:r>
            <w:r w:rsidRPr="000B5668">
              <w:rPr>
                <w:rFonts w:ascii="Garamond" w:hAnsi="Garamond"/>
                <w:b w:val="0"/>
                <w:sz w:val="24"/>
                <w:szCs w:val="24"/>
                <w:lang w:val="en-AU"/>
              </w:rPr>
              <w:t xml:space="preserve">This research </w:t>
            </w:r>
            <w:r>
              <w:rPr>
                <w:rFonts w:ascii="Garamond" w:hAnsi="Garamond"/>
                <w:b w:val="0"/>
                <w:sz w:val="24"/>
                <w:szCs w:val="24"/>
                <w:lang w:val="en-AU"/>
              </w:rPr>
              <w:t xml:space="preserve">may aid </w:t>
            </w:r>
            <w:r w:rsidRPr="000B5668">
              <w:rPr>
                <w:rFonts w:ascii="Garamond" w:hAnsi="Garamond"/>
                <w:b w:val="0"/>
                <w:sz w:val="24"/>
                <w:szCs w:val="24"/>
                <w:lang w:val="en-AU"/>
              </w:rPr>
              <w:t>health providers to make best use of patient surveys and other data from</w:t>
            </w:r>
            <w:r>
              <w:rPr>
                <w:rFonts w:ascii="Garamond" w:hAnsi="Garamond"/>
                <w:b w:val="0"/>
                <w:sz w:val="24"/>
                <w:szCs w:val="24"/>
                <w:lang w:val="en-AU"/>
              </w:rPr>
              <w:t xml:space="preserve"> patients.</w:t>
            </w:r>
          </w:p>
          <w:p w:rsidR="00421C92" w:rsidRPr="00421C92" w:rsidRDefault="00421C92" w:rsidP="00421C92">
            <w:pPr>
              <w:rPr>
                <w:lang w:val="en-AU"/>
              </w:rPr>
            </w:pPr>
          </w:p>
          <w:p w:rsidR="001D322E" w:rsidRPr="001D322E" w:rsidRDefault="00421C92" w:rsidP="00BC0023">
            <w:pPr>
              <w:pStyle w:val="Caption"/>
              <w:jc w:val="center"/>
              <w:rPr>
                <w:lang w:val="en-AU"/>
              </w:rPr>
            </w:pPr>
            <w:r>
              <w:rPr>
                <w:noProof/>
                <w:lang w:val="en-AU" w:eastAsia="en-AU"/>
              </w:rPr>
              <w:drawing>
                <wp:inline distT="0" distB="0" distL="0" distR="0">
                  <wp:extent cx="5116195" cy="2534920"/>
                  <wp:effectExtent l="0" t="0" r="8255" b="0"/>
                  <wp:docPr id="5" name="Picture 5" title="Different purposes of patient experience feedback data for healthcare organisations or practitioner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Downloads\Feedback.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16195" cy="2534920"/>
                          </a:xfrm>
                          <a:prstGeom prst="rect">
                            <a:avLst/>
                          </a:prstGeom>
                          <a:noFill/>
                          <a:ln>
                            <a:noFill/>
                          </a:ln>
                        </pic:spPr>
                      </pic:pic>
                    </a:graphicData>
                  </a:graphic>
                </wp:inline>
              </w:drawing>
            </w:r>
          </w:p>
        </w:tc>
      </w:tr>
    </w:tbl>
    <w:p w:rsidR="00282D29" w:rsidRDefault="00282D29" w:rsidP="00C17C82">
      <w:pPr>
        <w:keepNext/>
        <w:ind w:left="720" w:hanging="720"/>
        <w:rPr>
          <w:rFonts w:ascii="Garamond" w:hAnsi="Garamond"/>
          <w:b/>
          <w:lang w:val="en-AU"/>
        </w:rPr>
      </w:pPr>
      <w:r>
        <w:rPr>
          <w:rFonts w:ascii="Garamond" w:hAnsi="Garamond"/>
          <w:b/>
          <w:lang w:val="en-AU"/>
        </w:rPr>
        <w:t>Journal articles</w:t>
      </w:r>
    </w:p>
    <w:p w:rsidR="008D314F" w:rsidRDefault="008D314F" w:rsidP="008D314F">
      <w:pPr>
        <w:rPr>
          <w:rFonts w:ascii="Garamond" w:hAnsi="Garamond"/>
          <w:lang w:val="en-AU"/>
        </w:rPr>
      </w:pPr>
    </w:p>
    <w:p w:rsidR="00BC0023" w:rsidRPr="00BC0023" w:rsidRDefault="00BC0023" w:rsidP="00BC0023">
      <w:pPr>
        <w:keepNext/>
        <w:keepLines/>
        <w:autoSpaceDE w:val="0"/>
        <w:autoSpaceDN w:val="0"/>
        <w:adjustRightInd w:val="0"/>
        <w:rPr>
          <w:rFonts w:ascii="Garamond" w:hAnsi="Garamond"/>
          <w:i/>
          <w:lang w:val="en-AU"/>
        </w:rPr>
      </w:pPr>
      <w:r w:rsidRPr="00BC0023">
        <w:rPr>
          <w:rFonts w:ascii="Garamond" w:hAnsi="Garamond"/>
          <w:i/>
          <w:lang w:val="en-AU"/>
        </w:rPr>
        <w:t>Rising to the challenge of multimorbidity</w:t>
      </w:r>
    </w:p>
    <w:p w:rsidR="00BC0023" w:rsidRDefault="00BC0023" w:rsidP="00BC0023">
      <w:pPr>
        <w:keepNext/>
        <w:keepLines/>
        <w:autoSpaceDE w:val="0"/>
        <w:autoSpaceDN w:val="0"/>
        <w:adjustRightInd w:val="0"/>
        <w:rPr>
          <w:rFonts w:ascii="Garamond" w:hAnsi="Garamond"/>
          <w:lang w:val="en-AU"/>
        </w:rPr>
      </w:pPr>
      <w:r w:rsidRPr="00BC0023">
        <w:rPr>
          <w:rFonts w:ascii="Garamond" w:hAnsi="Garamond"/>
          <w:lang w:val="en-AU"/>
        </w:rPr>
        <w:t>Whitty CJM, MacEwen C, Goddard A, Alderson D, Marshall M, Calderwood C, et al.</w:t>
      </w:r>
    </w:p>
    <w:p w:rsidR="00BC0023" w:rsidRDefault="00BC0023" w:rsidP="00BC0023">
      <w:pPr>
        <w:keepNext/>
        <w:keepLines/>
        <w:autoSpaceDE w:val="0"/>
        <w:autoSpaceDN w:val="0"/>
        <w:adjustRightInd w:val="0"/>
        <w:rPr>
          <w:rFonts w:ascii="Garamond" w:hAnsi="Garamond"/>
          <w:lang w:val="en-AU"/>
        </w:rPr>
      </w:pPr>
      <w:r w:rsidRPr="00BC0023">
        <w:rPr>
          <w:rFonts w:ascii="Garamond" w:hAnsi="Garamond"/>
          <w:lang w:val="en-AU"/>
        </w:rPr>
        <w:t>BMJ. 2020;368:l6964.</w:t>
      </w:r>
    </w:p>
    <w:tbl>
      <w:tblPr>
        <w:tblStyle w:val="TableGrid"/>
        <w:tblW w:w="0" w:type="auto"/>
        <w:tblInd w:w="288" w:type="dxa"/>
        <w:tblLayout w:type="fixed"/>
        <w:tblLook w:val="01E0" w:firstRow="1" w:lastRow="1" w:firstColumn="1" w:lastColumn="1" w:noHBand="0" w:noVBand="0"/>
      </w:tblPr>
      <w:tblGrid>
        <w:gridCol w:w="1080"/>
        <w:gridCol w:w="8280"/>
      </w:tblGrid>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0170DA" w:rsidRDefault="005D13E1" w:rsidP="005336E7">
            <w:pPr>
              <w:rPr>
                <w:rStyle w:val="Hyperlink"/>
                <w:rFonts w:ascii="Garamond" w:hAnsi="Garamond"/>
                <w:color w:val="auto"/>
                <w:u w:val="none"/>
                <w:lang w:val="en-AU"/>
              </w:rPr>
            </w:pPr>
            <w:hyperlink r:id="rId25" w:history="1">
              <w:r w:rsidR="00BC0023" w:rsidRPr="00555209">
                <w:rPr>
                  <w:rStyle w:val="Hyperlink"/>
                  <w:rFonts w:ascii="Garamond" w:hAnsi="Garamond"/>
                  <w:lang w:val="en-AU"/>
                </w:rPr>
                <w:t>https://doi.org/10.1136/bmj.l6964</w:t>
              </w:r>
            </w:hyperlink>
          </w:p>
        </w:tc>
      </w:tr>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652094" w:rsidRDefault="00BC0023" w:rsidP="005336E7">
            <w:pPr>
              <w:rPr>
                <w:rFonts w:ascii="Garamond" w:hAnsi="Garamond"/>
                <w:lang w:val="en-AU"/>
              </w:rPr>
            </w:pPr>
            <w:r>
              <w:rPr>
                <w:rFonts w:ascii="Garamond" w:hAnsi="Garamond"/>
                <w:lang w:val="en-AU"/>
              </w:rPr>
              <w:t xml:space="preserve">In recent years the extent and significance of multimorbidity – having two or more medical conditions (usually chronic conditions) simultaneously has been gaining recognition. This editorial in the </w:t>
            </w:r>
            <w:r w:rsidRPr="0025154E">
              <w:rPr>
                <w:rFonts w:ascii="Garamond" w:hAnsi="Garamond"/>
                <w:i/>
                <w:lang w:val="en-AU"/>
              </w:rPr>
              <w:t>BMJ</w:t>
            </w:r>
            <w:r>
              <w:rPr>
                <w:rFonts w:ascii="Garamond" w:hAnsi="Garamond"/>
                <w:lang w:val="en-AU"/>
              </w:rPr>
              <w:t xml:space="preserve"> is a brief recapitulation of the issue by senior leaders in the British health system. The authors observe that multimorbidity ‘presents </w:t>
            </w:r>
            <w:r w:rsidRPr="00BC0023">
              <w:rPr>
                <w:rFonts w:ascii="Garamond" w:hAnsi="Garamond"/>
                <w:lang w:val="en-AU"/>
              </w:rPr>
              <w:t>challenges to the entire medical profession, from general practice and community care to acute and long term hospital settings. Greater specialisation, especially for hospital based doctors, has improved our ability to treat single diseases, but unless we react to the increase in multimorbidity it will disadvantage the increasing proportion of patients with multiple seemingly unrelated diseases.</w:t>
            </w:r>
            <w:r>
              <w:rPr>
                <w:rFonts w:ascii="Garamond" w:hAnsi="Garamond"/>
                <w:lang w:val="en-AU"/>
              </w:rPr>
              <w:t>’ They see a need to address ‘clusters of disease’. This will require more nuanced guidance/guidelines, integration and coordination of care and work by many parties, as ‘</w:t>
            </w:r>
            <w:r w:rsidRPr="00BC0023">
              <w:rPr>
                <w:rFonts w:ascii="Garamond" w:hAnsi="Garamond"/>
                <w:lang w:val="en-AU"/>
              </w:rPr>
              <w:t>Medical schools, the royal colleges, guideline groups, the General Medical Council, and the governments of the UK need to work together with the whole profession to tackle this.</w:t>
            </w:r>
            <w:r>
              <w:rPr>
                <w:rFonts w:ascii="Garamond" w:hAnsi="Garamond"/>
                <w:lang w:val="en-AU"/>
              </w:rPr>
              <w:t>’</w:t>
            </w:r>
          </w:p>
        </w:tc>
      </w:tr>
    </w:tbl>
    <w:p w:rsidR="00BC0023" w:rsidRDefault="00BC0023" w:rsidP="00BC0023">
      <w:pPr>
        <w:rPr>
          <w:rFonts w:ascii="Garamond" w:hAnsi="Garamond"/>
          <w:lang w:val="en-AU"/>
        </w:rPr>
      </w:pPr>
    </w:p>
    <w:p w:rsidR="008D314F" w:rsidRPr="008D314F" w:rsidRDefault="008D314F" w:rsidP="008D314F">
      <w:pPr>
        <w:keepNext/>
        <w:keepLines/>
        <w:autoSpaceDE w:val="0"/>
        <w:autoSpaceDN w:val="0"/>
        <w:adjustRightInd w:val="0"/>
        <w:rPr>
          <w:rFonts w:ascii="Garamond" w:hAnsi="Garamond"/>
          <w:i/>
          <w:lang w:val="en-AU"/>
        </w:rPr>
      </w:pPr>
      <w:r w:rsidRPr="008D314F">
        <w:rPr>
          <w:rFonts w:ascii="Garamond" w:hAnsi="Garamond"/>
          <w:i/>
          <w:lang w:val="en-AU"/>
        </w:rPr>
        <w:t>Achieving greater clinician engagement and impact in health care improvement: a neglected imperative</w:t>
      </w:r>
    </w:p>
    <w:p w:rsidR="008D314F" w:rsidRDefault="008D314F" w:rsidP="008D314F">
      <w:pPr>
        <w:keepNext/>
        <w:keepLines/>
        <w:autoSpaceDE w:val="0"/>
        <w:autoSpaceDN w:val="0"/>
        <w:adjustRightInd w:val="0"/>
        <w:rPr>
          <w:rFonts w:ascii="Garamond" w:hAnsi="Garamond"/>
          <w:lang w:val="en-AU"/>
        </w:rPr>
      </w:pPr>
      <w:r w:rsidRPr="008D314F">
        <w:rPr>
          <w:rFonts w:ascii="Garamond" w:hAnsi="Garamond"/>
          <w:lang w:val="en-AU"/>
        </w:rPr>
        <w:t>Scott IA, Kallie J, Gavrilidis A</w:t>
      </w:r>
    </w:p>
    <w:p w:rsidR="008D314F" w:rsidRDefault="008D314F" w:rsidP="008D314F">
      <w:pPr>
        <w:keepNext/>
        <w:keepLines/>
        <w:autoSpaceDE w:val="0"/>
        <w:autoSpaceDN w:val="0"/>
        <w:adjustRightInd w:val="0"/>
        <w:rPr>
          <w:rFonts w:ascii="Garamond" w:hAnsi="Garamond"/>
          <w:lang w:val="en-AU"/>
        </w:rPr>
      </w:pPr>
      <w:r w:rsidRPr="008D314F">
        <w:rPr>
          <w:rFonts w:ascii="Garamond" w:hAnsi="Garamond"/>
          <w:lang w:val="en-AU"/>
        </w:rPr>
        <w:t>Medical Journal of Australia. 2020;212(1):5-7.e1.</w:t>
      </w:r>
    </w:p>
    <w:tbl>
      <w:tblPr>
        <w:tblStyle w:val="TableGrid"/>
        <w:tblW w:w="0" w:type="auto"/>
        <w:tblInd w:w="288" w:type="dxa"/>
        <w:tblLayout w:type="fixed"/>
        <w:tblLook w:val="01E0" w:firstRow="1" w:lastRow="1" w:firstColumn="1" w:lastColumn="1" w:noHBand="0" w:noVBand="0"/>
      </w:tblPr>
      <w:tblGrid>
        <w:gridCol w:w="1080"/>
        <w:gridCol w:w="8280"/>
      </w:tblGrid>
      <w:tr w:rsidR="008D314F" w:rsidRPr="000170DA" w:rsidTr="00F04A6D">
        <w:tc>
          <w:tcPr>
            <w:tcW w:w="1080" w:type="dxa"/>
            <w:tcBorders>
              <w:top w:val="single" w:sz="4" w:space="0" w:color="auto"/>
              <w:left w:val="single" w:sz="4" w:space="0" w:color="auto"/>
              <w:bottom w:val="single" w:sz="4" w:space="0" w:color="auto"/>
              <w:right w:val="single" w:sz="4" w:space="0" w:color="auto"/>
            </w:tcBorders>
            <w:vAlign w:val="center"/>
          </w:tcPr>
          <w:p w:rsidR="008D314F" w:rsidRPr="000170DA" w:rsidRDefault="008D314F" w:rsidP="00F04A6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D314F" w:rsidRPr="000170DA" w:rsidRDefault="005D13E1" w:rsidP="00F04A6D">
            <w:pPr>
              <w:rPr>
                <w:rStyle w:val="Hyperlink"/>
                <w:rFonts w:ascii="Garamond" w:hAnsi="Garamond"/>
                <w:color w:val="auto"/>
                <w:u w:val="none"/>
                <w:lang w:val="en-AU"/>
              </w:rPr>
            </w:pPr>
            <w:hyperlink r:id="rId26" w:history="1">
              <w:r w:rsidR="008D314F" w:rsidRPr="00504B37">
                <w:rPr>
                  <w:rStyle w:val="Hyperlink"/>
                  <w:rFonts w:ascii="Garamond" w:hAnsi="Garamond"/>
                  <w:lang w:val="en-AU"/>
                </w:rPr>
                <w:t>https://doi.org/10.5694/mja2.50438</w:t>
              </w:r>
            </w:hyperlink>
          </w:p>
        </w:tc>
      </w:tr>
      <w:tr w:rsidR="008D314F" w:rsidRPr="000170DA" w:rsidTr="00F04A6D">
        <w:tc>
          <w:tcPr>
            <w:tcW w:w="1080" w:type="dxa"/>
            <w:tcBorders>
              <w:top w:val="single" w:sz="4" w:space="0" w:color="auto"/>
              <w:left w:val="single" w:sz="4" w:space="0" w:color="auto"/>
              <w:bottom w:val="single" w:sz="4" w:space="0" w:color="auto"/>
              <w:right w:val="single" w:sz="4" w:space="0" w:color="auto"/>
            </w:tcBorders>
            <w:vAlign w:val="center"/>
          </w:tcPr>
          <w:p w:rsidR="008D314F" w:rsidRPr="000170DA" w:rsidRDefault="008D314F" w:rsidP="00F04A6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314F" w:rsidRDefault="00E549D0" w:rsidP="00E549D0">
            <w:pPr>
              <w:rPr>
                <w:rFonts w:ascii="Garamond" w:hAnsi="Garamond"/>
                <w:lang w:val="en-AU"/>
              </w:rPr>
            </w:pPr>
            <w:r>
              <w:rPr>
                <w:rFonts w:ascii="Garamond" w:hAnsi="Garamond"/>
                <w:lang w:val="en-AU"/>
              </w:rPr>
              <w:t xml:space="preserve">This Perspectives piece in the Medical Journal of Australia rehearses the plea for greater quality and safety improvement (QSI) efforts, and particularly the importance of clinician engagement and leadership. The authors offer their ‘pragmatic, simplified quality and safety improvement framework’ </w:t>
            </w:r>
            <w:r w:rsidR="006D0A2E">
              <w:rPr>
                <w:rFonts w:ascii="Garamond" w:hAnsi="Garamond"/>
                <w:lang w:val="en-AU"/>
              </w:rPr>
              <w:t xml:space="preserve">(see below) </w:t>
            </w:r>
            <w:r>
              <w:rPr>
                <w:rFonts w:ascii="Garamond" w:hAnsi="Garamond"/>
                <w:lang w:val="en-AU"/>
              </w:rPr>
              <w:t>and ‘strategies for securing wider and more committed clinician engagement in quality and safety improvement’. They also suggest something of a shopping list of preconditions necessary for clinician engagement. Clinician engagement – and leadership – are undoubtedly essential to successful and sustained quality and safety improvements, but some readers may feel a sense of over-</w:t>
            </w:r>
            <w:r w:rsidR="006D0A2E">
              <w:rPr>
                <w:rFonts w:ascii="Garamond" w:hAnsi="Garamond"/>
                <w:lang w:val="en-AU"/>
              </w:rPr>
              <w:t>privileging</w:t>
            </w:r>
            <w:r>
              <w:rPr>
                <w:rFonts w:ascii="Garamond" w:hAnsi="Garamond"/>
                <w:lang w:val="en-AU"/>
              </w:rPr>
              <w:t xml:space="preserve"> of that perspective and wish for a co-design approach that engages all actors and perspectives.</w:t>
            </w:r>
          </w:p>
          <w:p w:rsidR="006D0A2E" w:rsidRDefault="006D0A2E" w:rsidP="00E549D0">
            <w:pPr>
              <w:rPr>
                <w:rFonts w:ascii="Garamond" w:hAnsi="Garamond"/>
                <w:lang w:val="en-AU"/>
              </w:rPr>
            </w:pPr>
          </w:p>
          <w:p w:rsidR="006D0A2E" w:rsidRDefault="006D0A2E" w:rsidP="006D0A2E">
            <w:pPr>
              <w:rPr>
                <w:rFonts w:ascii="Garamond" w:hAnsi="Garamond"/>
                <w:b/>
                <w:lang w:val="en-AU"/>
              </w:rPr>
            </w:pPr>
            <w:r w:rsidRPr="006D0A2E">
              <w:rPr>
                <w:rFonts w:ascii="Garamond" w:hAnsi="Garamond"/>
                <w:b/>
                <w:lang w:val="en-AU"/>
              </w:rPr>
              <w:t>A pragmatic, simplified quality and safety improvement framework</w:t>
            </w:r>
          </w:p>
          <w:p w:rsidR="00BC0023" w:rsidRPr="006D0A2E" w:rsidRDefault="00BC0023" w:rsidP="006D0A2E">
            <w:pPr>
              <w:rPr>
                <w:rFonts w:ascii="Garamond" w:hAnsi="Garamond"/>
                <w:b/>
                <w:lang w:val="en-AU"/>
              </w:rPr>
            </w:pPr>
          </w:p>
          <w:p w:rsidR="006D0A2E" w:rsidRPr="006D0A2E" w:rsidRDefault="006D0A2E" w:rsidP="006D0A2E">
            <w:pPr>
              <w:rPr>
                <w:rFonts w:ascii="Garamond" w:hAnsi="Garamond"/>
                <w:b/>
                <w:i/>
                <w:lang w:val="en-AU"/>
              </w:rPr>
            </w:pPr>
            <w:r w:rsidRPr="006D0A2E">
              <w:rPr>
                <w:rFonts w:ascii="Garamond" w:hAnsi="Garamond"/>
                <w:b/>
                <w:i/>
                <w:lang w:val="en-AU"/>
              </w:rPr>
              <w:t>Preparing for change</w:t>
            </w:r>
          </w:p>
          <w:p w:rsidR="006D0A2E" w:rsidRPr="006D0A2E" w:rsidRDefault="006D0A2E" w:rsidP="006D0A2E">
            <w:pPr>
              <w:pStyle w:val="ListParagraph"/>
              <w:numPr>
                <w:ilvl w:val="0"/>
                <w:numId w:val="35"/>
              </w:numPr>
              <w:rPr>
                <w:rFonts w:ascii="Garamond" w:hAnsi="Garamond"/>
                <w:lang w:val="en-AU"/>
              </w:rPr>
            </w:pPr>
            <w:r w:rsidRPr="006D0A2E">
              <w:rPr>
                <w:rFonts w:ascii="Garamond" w:hAnsi="Garamond"/>
                <w:lang w:val="en-AU"/>
              </w:rPr>
              <w:t xml:space="preserve">What is the quality and safety issue </w:t>
            </w:r>
            <w:r w:rsidR="00D97117" w:rsidRPr="006D0A2E">
              <w:rPr>
                <w:rFonts w:ascii="Garamond" w:hAnsi="Garamond"/>
                <w:lang w:val="en-AU"/>
              </w:rPr>
              <w:t>we want</w:t>
            </w:r>
            <w:r w:rsidRPr="006D0A2E">
              <w:rPr>
                <w:rFonts w:ascii="Garamond" w:hAnsi="Garamond"/>
                <w:lang w:val="en-AU"/>
              </w:rPr>
              <w:t xml:space="preserve"> to address, and why?</w:t>
            </w:r>
          </w:p>
          <w:p w:rsidR="006D0A2E" w:rsidRPr="006D0A2E" w:rsidRDefault="006D0A2E" w:rsidP="006D0A2E">
            <w:pPr>
              <w:pStyle w:val="ListParagraph"/>
              <w:numPr>
                <w:ilvl w:val="0"/>
                <w:numId w:val="35"/>
              </w:numPr>
              <w:rPr>
                <w:rFonts w:ascii="Garamond" w:hAnsi="Garamond"/>
                <w:lang w:val="en-AU"/>
              </w:rPr>
            </w:pPr>
            <w:r w:rsidRPr="006D0A2E">
              <w:rPr>
                <w:rFonts w:ascii="Garamond" w:hAnsi="Garamond"/>
                <w:lang w:val="en-AU"/>
              </w:rPr>
              <w:t>What is our goal and by when are we hoping to achieve it?</w:t>
            </w:r>
          </w:p>
          <w:p w:rsidR="006D0A2E" w:rsidRPr="006D0A2E" w:rsidRDefault="006D0A2E" w:rsidP="006D0A2E">
            <w:pPr>
              <w:pStyle w:val="ListParagraph"/>
              <w:numPr>
                <w:ilvl w:val="0"/>
                <w:numId w:val="35"/>
              </w:numPr>
              <w:rPr>
                <w:rFonts w:ascii="Garamond" w:hAnsi="Garamond"/>
                <w:lang w:val="en-AU"/>
              </w:rPr>
            </w:pPr>
            <w:r w:rsidRPr="006D0A2E">
              <w:rPr>
                <w:rFonts w:ascii="Garamond" w:hAnsi="Garamond"/>
                <w:lang w:val="en-AU"/>
              </w:rPr>
              <w:t>Who are the key stakeholders, what do they do, what matters to them, and what drives their behaviour?</w:t>
            </w:r>
          </w:p>
          <w:p w:rsidR="006D0A2E" w:rsidRPr="006D0A2E" w:rsidRDefault="006D0A2E" w:rsidP="006D0A2E">
            <w:pPr>
              <w:pStyle w:val="ListParagraph"/>
              <w:numPr>
                <w:ilvl w:val="0"/>
                <w:numId w:val="35"/>
              </w:numPr>
              <w:rPr>
                <w:rFonts w:ascii="Garamond" w:hAnsi="Garamond"/>
                <w:lang w:val="en-AU"/>
              </w:rPr>
            </w:pPr>
            <w:r w:rsidRPr="006D0A2E">
              <w:rPr>
                <w:rFonts w:ascii="Garamond" w:hAnsi="Garamond"/>
                <w:lang w:val="en-AU"/>
              </w:rPr>
              <w:t>What are the key behaviours and practices we may want to change?</w:t>
            </w:r>
          </w:p>
          <w:p w:rsidR="006D0A2E" w:rsidRPr="006D0A2E" w:rsidRDefault="006D0A2E" w:rsidP="006D0A2E">
            <w:pPr>
              <w:pStyle w:val="ListParagraph"/>
              <w:numPr>
                <w:ilvl w:val="0"/>
                <w:numId w:val="35"/>
              </w:numPr>
              <w:rPr>
                <w:rFonts w:ascii="Garamond" w:hAnsi="Garamond"/>
                <w:lang w:val="en-AU"/>
              </w:rPr>
            </w:pPr>
            <w:r w:rsidRPr="006D0A2E">
              <w:rPr>
                <w:rFonts w:ascii="Garamond" w:hAnsi="Garamond"/>
                <w:lang w:val="en-AU"/>
              </w:rPr>
              <w:t>Can we identify individuals who are predisposed to, and can help lead, change?</w:t>
            </w:r>
          </w:p>
          <w:p w:rsidR="006D0A2E" w:rsidRPr="006D0A2E" w:rsidRDefault="006D0A2E" w:rsidP="006D0A2E">
            <w:pPr>
              <w:pStyle w:val="ListParagraph"/>
              <w:numPr>
                <w:ilvl w:val="0"/>
                <w:numId w:val="35"/>
              </w:numPr>
              <w:rPr>
                <w:rFonts w:ascii="Garamond" w:hAnsi="Garamond"/>
                <w:lang w:val="en-AU"/>
              </w:rPr>
            </w:pPr>
            <w:r w:rsidRPr="006D0A2E">
              <w:rPr>
                <w:rFonts w:ascii="Garamond" w:hAnsi="Garamond"/>
                <w:lang w:val="en-AU"/>
              </w:rPr>
              <w:t>How can we provide a safe environment in which people can express their views about change openly and constructively, increase common understanding, come to own the rationale for change, and forge new relationships?</w:t>
            </w:r>
          </w:p>
          <w:p w:rsidR="006D0A2E" w:rsidRPr="006D0A2E" w:rsidRDefault="006D0A2E" w:rsidP="006D0A2E">
            <w:pPr>
              <w:pStyle w:val="ListParagraph"/>
              <w:numPr>
                <w:ilvl w:val="0"/>
                <w:numId w:val="35"/>
              </w:numPr>
              <w:rPr>
                <w:rFonts w:ascii="Garamond" w:hAnsi="Garamond"/>
                <w:lang w:val="en-AU"/>
              </w:rPr>
            </w:pPr>
            <w:r w:rsidRPr="006D0A2E">
              <w:rPr>
                <w:rFonts w:ascii="Garamond" w:hAnsi="Garamond"/>
                <w:lang w:val="en-AU"/>
              </w:rPr>
              <w:t>How will we determine whether we are achieving change with the desired effect? What will be our process and outcome measures, and how will we collect and analyse such data?</w:t>
            </w:r>
          </w:p>
          <w:p w:rsidR="006D0A2E" w:rsidRPr="006D0A2E" w:rsidRDefault="006D0A2E" w:rsidP="006D0A2E">
            <w:pPr>
              <w:rPr>
                <w:rFonts w:ascii="Garamond" w:hAnsi="Garamond"/>
                <w:b/>
                <w:i/>
                <w:lang w:val="en-AU"/>
              </w:rPr>
            </w:pPr>
            <w:r w:rsidRPr="006D0A2E">
              <w:rPr>
                <w:rFonts w:ascii="Garamond" w:hAnsi="Garamond"/>
                <w:b/>
                <w:i/>
                <w:lang w:val="en-AU"/>
              </w:rPr>
              <w:t>Operationalising the change</w:t>
            </w:r>
          </w:p>
          <w:p w:rsidR="006D0A2E" w:rsidRPr="006D0A2E" w:rsidRDefault="006D0A2E" w:rsidP="006D0A2E">
            <w:pPr>
              <w:pStyle w:val="ListParagraph"/>
              <w:numPr>
                <w:ilvl w:val="0"/>
                <w:numId w:val="34"/>
              </w:numPr>
              <w:rPr>
                <w:rFonts w:ascii="Garamond" w:hAnsi="Garamond"/>
                <w:lang w:val="en-AU"/>
              </w:rPr>
            </w:pPr>
            <w:r w:rsidRPr="006D0A2E">
              <w:rPr>
                <w:rFonts w:ascii="Garamond" w:hAnsi="Garamond"/>
                <w:lang w:val="en-AU"/>
              </w:rPr>
              <w:t>What might be possible strategies for c</w:t>
            </w:r>
            <w:r>
              <w:rPr>
                <w:rFonts w:ascii="Garamond" w:hAnsi="Garamond"/>
                <w:lang w:val="en-AU"/>
              </w:rPr>
              <w:t>hanging behaviour?</w:t>
            </w:r>
          </w:p>
          <w:p w:rsidR="006D0A2E" w:rsidRPr="006D0A2E" w:rsidRDefault="006D0A2E" w:rsidP="006D0A2E">
            <w:pPr>
              <w:pStyle w:val="ListParagraph"/>
              <w:numPr>
                <w:ilvl w:val="0"/>
                <w:numId w:val="34"/>
              </w:numPr>
              <w:rPr>
                <w:rFonts w:ascii="Garamond" w:hAnsi="Garamond"/>
                <w:lang w:val="en-AU"/>
              </w:rPr>
            </w:pPr>
            <w:r w:rsidRPr="006D0A2E">
              <w:rPr>
                <w:rFonts w:ascii="Garamond" w:hAnsi="Garamond"/>
                <w:lang w:val="en-AU"/>
              </w:rPr>
              <w:t>Can we adapt change interventions that have proved successful elsewhere and that better fit with local context?</w:t>
            </w:r>
          </w:p>
          <w:p w:rsidR="006D0A2E" w:rsidRPr="006D0A2E" w:rsidRDefault="006D0A2E" w:rsidP="006D0A2E">
            <w:pPr>
              <w:pStyle w:val="ListParagraph"/>
              <w:numPr>
                <w:ilvl w:val="0"/>
                <w:numId w:val="34"/>
              </w:numPr>
              <w:rPr>
                <w:rFonts w:ascii="Garamond" w:hAnsi="Garamond"/>
                <w:lang w:val="en-AU"/>
              </w:rPr>
            </w:pPr>
            <w:r w:rsidRPr="006D0A2E">
              <w:rPr>
                <w:rFonts w:ascii="Garamond" w:hAnsi="Garamond"/>
                <w:lang w:val="en-AU"/>
              </w:rPr>
              <w:t>Do we have candidate intervention(s) that everyone involved feels is (are) potentially feasible and acceptable to clinicians, and therefore worth progressing?</w:t>
            </w:r>
          </w:p>
          <w:p w:rsidR="006D0A2E" w:rsidRPr="006D0A2E" w:rsidRDefault="006D0A2E" w:rsidP="006D0A2E">
            <w:pPr>
              <w:pStyle w:val="ListParagraph"/>
              <w:numPr>
                <w:ilvl w:val="0"/>
                <w:numId w:val="34"/>
              </w:numPr>
              <w:rPr>
                <w:rFonts w:ascii="Garamond" w:hAnsi="Garamond"/>
                <w:lang w:val="en-AU"/>
              </w:rPr>
            </w:pPr>
            <w:r w:rsidRPr="006D0A2E">
              <w:rPr>
                <w:rFonts w:ascii="Garamond" w:hAnsi="Garamond"/>
                <w:lang w:val="en-AU"/>
              </w:rPr>
              <w:t>Does the intervention emphasise enablement (making it easier for people to do the right thing) rather than rules and forcing functions (which people may resist)?</w:t>
            </w:r>
          </w:p>
          <w:p w:rsidR="006D0A2E" w:rsidRPr="006D0A2E" w:rsidRDefault="006D0A2E" w:rsidP="006D0A2E">
            <w:pPr>
              <w:pStyle w:val="ListParagraph"/>
              <w:numPr>
                <w:ilvl w:val="0"/>
                <w:numId w:val="34"/>
              </w:numPr>
              <w:rPr>
                <w:rFonts w:ascii="Garamond" w:hAnsi="Garamond"/>
                <w:lang w:val="en-AU"/>
              </w:rPr>
            </w:pPr>
            <w:r w:rsidRPr="006D0A2E">
              <w:rPr>
                <w:rFonts w:ascii="Garamond" w:hAnsi="Garamond"/>
                <w:lang w:val="en-AU"/>
              </w:rPr>
              <w:t>What resources, support and incentives do we need to implement and test the intervention?</w:t>
            </w:r>
          </w:p>
          <w:p w:rsidR="006D0A2E" w:rsidRPr="006D0A2E" w:rsidRDefault="006D0A2E" w:rsidP="006D0A2E">
            <w:pPr>
              <w:pStyle w:val="ListParagraph"/>
              <w:numPr>
                <w:ilvl w:val="0"/>
                <w:numId w:val="34"/>
              </w:numPr>
              <w:rPr>
                <w:rFonts w:ascii="Garamond" w:hAnsi="Garamond"/>
                <w:lang w:val="en-AU"/>
              </w:rPr>
            </w:pPr>
            <w:r w:rsidRPr="006D0A2E">
              <w:rPr>
                <w:rFonts w:ascii="Garamond" w:hAnsi="Garamond"/>
                <w:lang w:val="en-AU"/>
              </w:rPr>
              <w:t>How do we evaluate and refine the intervention over time in a manner that ensures all involved remain informed, engaged and listened to?</w:t>
            </w:r>
          </w:p>
          <w:p w:rsidR="006D0A2E" w:rsidRPr="006D0A2E" w:rsidRDefault="006D0A2E" w:rsidP="006D0A2E">
            <w:pPr>
              <w:pStyle w:val="ListParagraph"/>
              <w:numPr>
                <w:ilvl w:val="0"/>
                <w:numId w:val="34"/>
              </w:numPr>
              <w:rPr>
                <w:rFonts w:ascii="Garamond" w:hAnsi="Garamond"/>
                <w:lang w:val="en-AU"/>
              </w:rPr>
            </w:pPr>
            <w:r w:rsidRPr="006D0A2E">
              <w:rPr>
                <w:rFonts w:ascii="Garamond" w:hAnsi="Garamond"/>
                <w:lang w:val="en-AU"/>
              </w:rPr>
              <w:t>How will we ensure that the intervention, if successful, becomes sustained as business as usual?</w:t>
            </w:r>
          </w:p>
        </w:tc>
      </w:tr>
    </w:tbl>
    <w:p w:rsidR="008D314F" w:rsidRDefault="008D314F" w:rsidP="008D314F">
      <w:pPr>
        <w:rPr>
          <w:rFonts w:ascii="Garamond" w:hAnsi="Garamond"/>
          <w:lang w:val="en-AU"/>
        </w:rPr>
      </w:pPr>
    </w:p>
    <w:p w:rsidR="00BC0023" w:rsidRPr="008D314F" w:rsidRDefault="00BC0023" w:rsidP="00BC0023">
      <w:pPr>
        <w:keepNext/>
        <w:keepLines/>
        <w:autoSpaceDE w:val="0"/>
        <w:autoSpaceDN w:val="0"/>
        <w:adjustRightInd w:val="0"/>
        <w:rPr>
          <w:rFonts w:ascii="Garamond" w:hAnsi="Garamond"/>
          <w:i/>
          <w:lang w:val="en-AU"/>
        </w:rPr>
      </w:pPr>
      <w:r w:rsidRPr="008D314F">
        <w:rPr>
          <w:rFonts w:ascii="Garamond" w:hAnsi="Garamond"/>
          <w:i/>
          <w:lang w:val="en-AU"/>
        </w:rPr>
        <w:t>Associations between work satisfaction, engagement and 7-day patient mortality: a cross-sectional survey</w:t>
      </w:r>
    </w:p>
    <w:p w:rsidR="00BC0023" w:rsidRDefault="00BC0023" w:rsidP="00BC0023">
      <w:pPr>
        <w:keepNext/>
        <w:keepLines/>
        <w:autoSpaceDE w:val="0"/>
        <w:autoSpaceDN w:val="0"/>
        <w:adjustRightInd w:val="0"/>
        <w:rPr>
          <w:rFonts w:ascii="Garamond" w:hAnsi="Garamond"/>
          <w:lang w:val="en-AU"/>
        </w:rPr>
      </w:pPr>
      <w:r w:rsidRPr="008D314F">
        <w:rPr>
          <w:rFonts w:ascii="Garamond" w:hAnsi="Garamond"/>
          <w:lang w:val="en-AU"/>
        </w:rPr>
        <w:t>Brubakk K, Svendsen MV, Hofoss D, Hansen TM, Barach P, Tjomsland O</w:t>
      </w:r>
    </w:p>
    <w:p w:rsidR="00BC0023" w:rsidRDefault="00BC0023" w:rsidP="00BC0023">
      <w:pPr>
        <w:keepNext/>
        <w:keepLines/>
        <w:autoSpaceDE w:val="0"/>
        <w:autoSpaceDN w:val="0"/>
        <w:adjustRightInd w:val="0"/>
        <w:rPr>
          <w:rFonts w:ascii="Garamond" w:hAnsi="Garamond"/>
          <w:lang w:val="en-AU"/>
        </w:rPr>
      </w:pPr>
      <w:r w:rsidRPr="008D314F">
        <w:rPr>
          <w:rFonts w:ascii="Garamond" w:hAnsi="Garamond"/>
          <w:lang w:val="en-AU"/>
        </w:rPr>
        <w:t>BMJ Open. 2019;9(12):e031704.</w:t>
      </w:r>
    </w:p>
    <w:tbl>
      <w:tblPr>
        <w:tblStyle w:val="TableGrid"/>
        <w:tblW w:w="9360" w:type="dxa"/>
        <w:tblInd w:w="288" w:type="dxa"/>
        <w:tblLayout w:type="fixed"/>
        <w:tblLook w:val="01E0" w:firstRow="1" w:lastRow="1" w:firstColumn="1" w:lastColumn="1" w:noHBand="0" w:noVBand="0"/>
      </w:tblPr>
      <w:tblGrid>
        <w:gridCol w:w="1080"/>
        <w:gridCol w:w="8280"/>
      </w:tblGrid>
      <w:tr w:rsidR="00BC0023" w:rsidRPr="000170DA" w:rsidTr="00BC0023">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0170DA" w:rsidRDefault="005D13E1" w:rsidP="005336E7">
            <w:pPr>
              <w:rPr>
                <w:rStyle w:val="Hyperlink"/>
                <w:rFonts w:ascii="Garamond" w:hAnsi="Garamond"/>
                <w:color w:val="auto"/>
                <w:u w:val="none"/>
                <w:lang w:val="en-AU"/>
              </w:rPr>
            </w:pPr>
            <w:hyperlink r:id="rId27" w:history="1">
              <w:r w:rsidR="00BC0023" w:rsidRPr="00504B37">
                <w:rPr>
                  <w:rStyle w:val="Hyperlink"/>
                  <w:rFonts w:ascii="Garamond" w:hAnsi="Garamond"/>
                  <w:lang w:val="en-AU"/>
                </w:rPr>
                <w:t>https://dx.doi.org/10.1136/bmjopen-2019-031704</w:t>
              </w:r>
            </w:hyperlink>
          </w:p>
        </w:tc>
      </w:tr>
      <w:tr w:rsidR="00BC0023" w:rsidRPr="000170DA" w:rsidTr="00BC0023">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652094" w:rsidRDefault="00BC0023" w:rsidP="005336E7">
            <w:pPr>
              <w:rPr>
                <w:rFonts w:ascii="Garamond" w:hAnsi="Garamond"/>
                <w:lang w:val="en-AU"/>
              </w:rPr>
            </w:pPr>
            <w:r>
              <w:rPr>
                <w:rFonts w:ascii="Garamond" w:hAnsi="Garamond"/>
                <w:lang w:val="en-AU"/>
              </w:rPr>
              <w:t>Paper reporting on a study that involved hospitals in a region comprising more than half of the Norwegian population. The study sought to examine the association between the hospital working environment, worker engagement and mortality. Covering a 3-year period the study included all patients (46 026) admitted with acute myocardial infarction (AMI), stroke and hip fracture in 56 patient wards at 20 hospitals and used data from 8800 survey responses from physicians, nurses and hospital managers. From their analyses, the authors report that ‘</w:t>
            </w:r>
            <w:r w:rsidRPr="001857E7">
              <w:rPr>
                <w:rFonts w:ascii="Garamond" w:hAnsi="Garamond"/>
                <w:lang w:val="en-AU"/>
              </w:rPr>
              <w:t xml:space="preserve">We observed a </w:t>
            </w:r>
            <w:r w:rsidRPr="001857E7">
              <w:rPr>
                <w:rFonts w:ascii="Garamond" w:hAnsi="Garamond"/>
                <w:b/>
                <w:lang w:val="en-AU"/>
              </w:rPr>
              <w:t>significant increase in patient mortality in hospital units where nurses reported excessive workload and middle managers reported a lack of professional and organisational engagement</w:t>
            </w:r>
            <w:r w:rsidRPr="001857E7">
              <w:rPr>
                <w:rFonts w:ascii="Garamond" w:hAnsi="Garamond"/>
                <w:lang w:val="en-AU"/>
              </w:rPr>
              <w:t>. No such associations were found between physician reported work environment and patient mortality.</w:t>
            </w:r>
            <w:r>
              <w:rPr>
                <w:rFonts w:ascii="Garamond" w:hAnsi="Garamond"/>
                <w:lang w:val="en-AU"/>
              </w:rPr>
              <w:t>’</w:t>
            </w:r>
          </w:p>
        </w:tc>
      </w:tr>
    </w:tbl>
    <w:p w:rsidR="00BC0023" w:rsidRDefault="00BC0023" w:rsidP="00BC0023">
      <w:pPr>
        <w:rPr>
          <w:rFonts w:ascii="Garamond" w:hAnsi="Garamond"/>
          <w:lang w:val="en-AU"/>
        </w:rPr>
      </w:pPr>
    </w:p>
    <w:p w:rsidR="00BC0023" w:rsidRPr="007532AF" w:rsidRDefault="00BC0023" w:rsidP="00BC0023">
      <w:pPr>
        <w:keepNext/>
        <w:keepLines/>
        <w:autoSpaceDE w:val="0"/>
        <w:autoSpaceDN w:val="0"/>
        <w:adjustRightInd w:val="0"/>
        <w:rPr>
          <w:rFonts w:ascii="Garamond" w:hAnsi="Garamond"/>
          <w:i/>
          <w:lang w:val="en-AU"/>
        </w:rPr>
      </w:pPr>
      <w:r w:rsidRPr="007532AF">
        <w:rPr>
          <w:rFonts w:ascii="Garamond" w:hAnsi="Garamond"/>
          <w:i/>
          <w:lang w:val="en-AU"/>
        </w:rPr>
        <w:t>Toward a Person-Centred Learning Health System: Understanding Value from the Perspectives of Patients and Caregivers</w:t>
      </w:r>
    </w:p>
    <w:p w:rsidR="00BC0023" w:rsidRDefault="00BC0023" w:rsidP="00BC0023">
      <w:pPr>
        <w:keepNext/>
        <w:keepLines/>
        <w:autoSpaceDE w:val="0"/>
        <w:autoSpaceDN w:val="0"/>
        <w:adjustRightInd w:val="0"/>
        <w:rPr>
          <w:rFonts w:ascii="Garamond" w:hAnsi="Garamond"/>
          <w:lang w:val="en-AU"/>
        </w:rPr>
      </w:pPr>
      <w:r w:rsidRPr="007532AF">
        <w:rPr>
          <w:rFonts w:ascii="Garamond" w:hAnsi="Garamond"/>
          <w:lang w:val="en-AU"/>
        </w:rPr>
        <w:t>Kuluski K, Guilcher SJT</w:t>
      </w:r>
    </w:p>
    <w:p w:rsidR="00BC0023" w:rsidRDefault="00BC0023" w:rsidP="00BC0023">
      <w:pPr>
        <w:keepNext/>
        <w:keepLines/>
        <w:autoSpaceDE w:val="0"/>
        <w:autoSpaceDN w:val="0"/>
        <w:adjustRightInd w:val="0"/>
        <w:rPr>
          <w:rFonts w:ascii="Garamond" w:hAnsi="Garamond"/>
          <w:lang w:val="en-AU"/>
        </w:rPr>
      </w:pPr>
      <w:r w:rsidRPr="007532AF">
        <w:rPr>
          <w:rFonts w:ascii="Garamond" w:hAnsi="Garamond"/>
          <w:lang w:val="en-AU"/>
        </w:rPr>
        <w:t>HealthcarePapers. 2019;18(4):36-46.</w:t>
      </w:r>
    </w:p>
    <w:tbl>
      <w:tblPr>
        <w:tblStyle w:val="TableGrid"/>
        <w:tblW w:w="0" w:type="auto"/>
        <w:tblInd w:w="288" w:type="dxa"/>
        <w:tblLayout w:type="fixed"/>
        <w:tblLook w:val="01E0" w:firstRow="1" w:lastRow="1" w:firstColumn="1" w:lastColumn="1" w:noHBand="0" w:noVBand="0"/>
      </w:tblPr>
      <w:tblGrid>
        <w:gridCol w:w="1080"/>
        <w:gridCol w:w="8280"/>
      </w:tblGrid>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0170DA" w:rsidRDefault="005D13E1" w:rsidP="005336E7">
            <w:pPr>
              <w:rPr>
                <w:rStyle w:val="Hyperlink"/>
                <w:rFonts w:ascii="Garamond" w:hAnsi="Garamond"/>
                <w:color w:val="auto"/>
                <w:u w:val="none"/>
                <w:lang w:val="en-AU"/>
              </w:rPr>
            </w:pPr>
            <w:hyperlink r:id="rId28" w:history="1">
              <w:r w:rsidR="00BC0023" w:rsidRPr="00504B37">
                <w:rPr>
                  <w:rStyle w:val="Hyperlink"/>
                  <w:rFonts w:ascii="Garamond" w:hAnsi="Garamond"/>
                  <w:lang w:val="en-AU"/>
                </w:rPr>
                <w:t>https://doi.org/10.12927/hcpap.2019.26030</w:t>
              </w:r>
            </w:hyperlink>
          </w:p>
        </w:tc>
      </w:tr>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652094" w:rsidRDefault="00BC0023" w:rsidP="00D97117">
            <w:pPr>
              <w:rPr>
                <w:rFonts w:ascii="Garamond" w:hAnsi="Garamond"/>
                <w:lang w:val="en-AU"/>
              </w:rPr>
            </w:pPr>
            <w:r>
              <w:rPr>
                <w:rFonts w:ascii="Garamond" w:hAnsi="Garamond"/>
                <w:lang w:val="en-AU"/>
              </w:rPr>
              <w:t xml:space="preserve">The authors of this paper observe that three current themes in health care – </w:t>
            </w:r>
            <w:r w:rsidRPr="0025154E">
              <w:rPr>
                <w:rFonts w:ascii="Garamond" w:hAnsi="Garamond"/>
                <w:b/>
                <w:lang w:val="en-AU"/>
              </w:rPr>
              <w:t>person-centred care</w:t>
            </w:r>
            <w:r>
              <w:rPr>
                <w:rFonts w:ascii="Garamond" w:hAnsi="Garamond"/>
                <w:lang w:val="en-AU"/>
              </w:rPr>
              <w:t xml:space="preserve">, </w:t>
            </w:r>
            <w:r w:rsidRPr="0025154E">
              <w:rPr>
                <w:rFonts w:ascii="Garamond" w:hAnsi="Garamond"/>
                <w:b/>
                <w:lang w:val="en-AU"/>
              </w:rPr>
              <w:t>value-based healthcare</w:t>
            </w:r>
            <w:r>
              <w:rPr>
                <w:rFonts w:ascii="Garamond" w:hAnsi="Garamond"/>
                <w:lang w:val="en-AU"/>
              </w:rPr>
              <w:t xml:space="preserve"> and </w:t>
            </w:r>
            <w:r w:rsidRPr="0025154E">
              <w:rPr>
                <w:rFonts w:ascii="Garamond" w:hAnsi="Garamond"/>
                <w:b/>
                <w:lang w:val="en-AU"/>
              </w:rPr>
              <w:t>learning health systems</w:t>
            </w:r>
            <w:r>
              <w:rPr>
                <w:rFonts w:ascii="Garamond" w:hAnsi="Garamond"/>
                <w:lang w:val="en-AU"/>
              </w:rPr>
              <w:t xml:space="preserve"> – could be drawn together in a mutually reinforcing union to create ‘</w:t>
            </w:r>
            <w:r w:rsidRPr="0025154E">
              <w:rPr>
                <w:rFonts w:ascii="Garamond" w:hAnsi="Garamond"/>
                <w:b/>
                <w:lang w:val="en-AU"/>
              </w:rPr>
              <w:t>person-centred learning health systems</w:t>
            </w:r>
            <w:r>
              <w:rPr>
                <w:rFonts w:ascii="Garamond" w:hAnsi="Garamond"/>
                <w:lang w:val="en-AU"/>
              </w:rPr>
              <w:t xml:space="preserve"> (PC-LHS’). Such a system would be more attuned to patient needs, perspectives, experiences and outcomes and uses them to tune their activity. This could deliver on value in its greater sense; not purely the efficiency, cost-effectiveness but also in line with what patients’ value. As the authors write ‘</w:t>
            </w:r>
            <w:r w:rsidRPr="0025154E">
              <w:rPr>
                <w:rFonts w:ascii="Garamond" w:hAnsi="Garamond"/>
                <w:lang w:val="en-AU"/>
              </w:rPr>
              <w:t>improving value for patients and caregivers, by capturing the things that matter most to them, within their life contexts, needs to be part of the continuous quality improvement cycle that lies at the heart of a learning health system.</w:t>
            </w:r>
            <w:r>
              <w:rPr>
                <w:rFonts w:ascii="Garamond" w:hAnsi="Garamond"/>
                <w:lang w:val="en-AU"/>
              </w:rPr>
              <w:t>’</w:t>
            </w:r>
          </w:p>
        </w:tc>
      </w:tr>
    </w:tbl>
    <w:p w:rsidR="00BC0023" w:rsidRDefault="00BC0023" w:rsidP="00BC0023">
      <w:pPr>
        <w:rPr>
          <w:rFonts w:ascii="Garamond" w:hAnsi="Garamond"/>
          <w:lang w:val="en-AU"/>
        </w:rPr>
      </w:pPr>
    </w:p>
    <w:p w:rsidR="0074338D" w:rsidRDefault="0074338D" w:rsidP="0074338D">
      <w:pPr>
        <w:keepNext/>
        <w:keepLines/>
        <w:tabs>
          <w:tab w:val="left" w:pos="7273"/>
        </w:tabs>
        <w:autoSpaceDE w:val="0"/>
        <w:autoSpaceDN w:val="0"/>
        <w:adjustRightInd w:val="0"/>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person-centred care</w:t>
      </w:r>
      <w:r w:rsidRPr="008F7CB1">
        <w:rPr>
          <w:rFonts w:ascii="Garamond" w:hAnsi="Garamond"/>
          <w:lang w:val="en-AU"/>
        </w:rPr>
        <w:t>, see</w:t>
      </w:r>
      <w:r>
        <w:rPr>
          <w:rFonts w:ascii="Garamond" w:hAnsi="Garamond"/>
          <w:lang w:val="en-AU"/>
        </w:rPr>
        <w:t xml:space="preserve"> </w:t>
      </w:r>
      <w:hyperlink r:id="rId29" w:history="1">
        <w:r w:rsidRPr="00555209">
          <w:rPr>
            <w:rStyle w:val="Hyperlink"/>
            <w:rFonts w:ascii="Garamond" w:hAnsi="Garamond"/>
            <w:lang w:val="en-AU"/>
          </w:rPr>
          <w:t>https://www.safetyandquality.gov.au/our-work/partnering-consumers/person-centred-care</w:t>
        </w:r>
      </w:hyperlink>
    </w:p>
    <w:p w:rsidR="0074338D" w:rsidRDefault="0074338D" w:rsidP="0074338D">
      <w:pPr>
        <w:keepNext/>
        <w:keepLines/>
        <w:autoSpaceDE w:val="0"/>
        <w:autoSpaceDN w:val="0"/>
        <w:adjustRightInd w:val="0"/>
        <w:rPr>
          <w:rFonts w:ascii="Garamond" w:hAnsi="Garamond"/>
          <w:lang w:val="en-AU"/>
        </w:rPr>
      </w:pPr>
    </w:p>
    <w:p w:rsidR="00BC0023" w:rsidRDefault="00BC0023" w:rsidP="00BC0023">
      <w:pPr>
        <w:keepNext/>
        <w:keepLines/>
        <w:autoSpaceDE w:val="0"/>
        <w:autoSpaceDN w:val="0"/>
        <w:adjustRightInd w:val="0"/>
        <w:rPr>
          <w:rFonts w:ascii="Garamond" w:hAnsi="Garamond"/>
          <w:i/>
          <w:lang w:val="en-AU"/>
        </w:rPr>
      </w:pPr>
      <w:r w:rsidRPr="006D0A2E">
        <w:rPr>
          <w:rFonts w:ascii="Garamond" w:hAnsi="Garamond"/>
          <w:i/>
          <w:lang w:val="en-AU"/>
        </w:rPr>
        <w:t>Can an Evidence-Based Approach Improve the Patient-Physician Relationship?</w:t>
      </w:r>
    </w:p>
    <w:p w:rsidR="00AA4F5A" w:rsidRDefault="00AA4F5A" w:rsidP="00BC0023">
      <w:pPr>
        <w:keepNext/>
        <w:keepLines/>
        <w:autoSpaceDE w:val="0"/>
        <w:autoSpaceDN w:val="0"/>
        <w:adjustRightInd w:val="0"/>
        <w:rPr>
          <w:rFonts w:ascii="Garamond" w:hAnsi="Garamond"/>
          <w:lang w:val="en-AU"/>
        </w:rPr>
      </w:pPr>
      <w:r w:rsidRPr="00AA4F5A">
        <w:rPr>
          <w:rFonts w:ascii="Garamond" w:hAnsi="Garamond"/>
          <w:lang w:val="en-AU"/>
        </w:rPr>
        <w:t>Cifu AS, Lembo A, Davis AM</w:t>
      </w:r>
    </w:p>
    <w:p w:rsidR="00BC0023" w:rsidRDefault="00AA4F5A" w:rsidP="00BC0023">
      <w:pPr>
        <w:keepNext/>
        <w:keepLines/>
        <w:autoSpaceDE w:val="0"/>
        <w:autoSpaceDN w:val="0"/>
        <w:adjustRightInd w:val="0"/>
        <w:rPr>
          <w:rFonts w:ascii="Garamond" w:hAnsi="Garamond"/>
          <w:lang w:val="en-AU"/>
        </w:rPr>
      </w:pPr>
      <w:r w:rsidRPr="00AA4F5A">
        <w:rPr>
          <w:rFonts w:ascii="Garamond" w:hAnsi="Garamond"/>
          <w:lang w:val="en-AU"/>
        </w:rPr>
        <w:t>Journal of the American Medical Association. 2020;323(1):31-32.</w:t>
      </w:r>
    </w:p>
    <w:tbl>
      <w:tblPr>
        <w:tblStyle w:val="TableGrid"/>
        <w:tblW w:w="0" w:type="auto"/>
        <w:tblInd w:w="288" w:type="dxa"/>
        <w:tblLayout w:type="fixed"/>
        <w:tblLook w:val="01E0" w:firstRow="1" w:lastRow="1" w:firstColumn="1" w:lastColumn="1" w:noHBand="0" w:noVBand="0"/>
      </w:tblPr>
      <w:tblGrid>
        <w:gridCol w:w="1080"/>
        <w:gridCol w:w="8280"/>
      </w:tblGrid>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0170DA" w:rsidRDefault="005D13E1" w:rsidP="005336E7">
            <w:pPr>
              <w:rPr>
                <w:rStyle w:val="Hyperlink"/>
                <w:rFonts w:ascii="Garamond" w:hAnsi="Garamond"/>
                <w:color w:val="auto"/>
                <w:u w:val="none"/>
                <w:lang w:val="en-AU"/>
              </w:rPr>
            </w:pPr>
            <w:hyperlink r:id="rId30" w:history="1">
              <w:r w:rsidR="00BC0023" w:rsidRPr="00504B37">
                <w:rPr>
                  <w:rStyle w:val="Hyperlink"/>
                  <w:rFonts w:ascii="Garamond" w:hAnsi="Garamond"/>
                  <w:lang w:val="en-AU"/>
                </w:rPr>
                <w:t>https://doi.org/10.1001/jama.2019.19427</w:t>
              </w:r>
            </w:hyperlink>
          </w:p>
        </w:tc>
      </w:tr>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A4F5A" w:rsidRDefault="00AA4F5A" w:rsidP="00AA4F5A">
            <w:pPr>
              <w:rPr>
                <w:rFonts w:ascii="Garamond" w:hAnsi="Garamond"/>
                <w:lang w:val="en-AU"/>
              </w:rPr>
            </w:pPr>
            <w:r>
              <w:rPr>
                <w:rFonts w:ascii="Garamond" w:hAnsi="Garamond"/>
                <w:lang w:val="en-AU"/>
              </w:rPr>
              <w:t xml:space="preserve">This editorial in </w:t>
            </w:r>
            <w:r w:rsidRPr="00AA4F5A">
              <w:rPr>
                <w:rFonts w:ascii="Garamond" w:hAnsi="Garamond"/>
                <w:i/>
                <w:lang w:val="en-AU"/>
              </w:rPr>
              <w:t>JAMA</w:t>
            </w:r>
            <w:r>
              <w:rPr>
                <w:rFonts w:ascii="Garamond" w:hAnsi="Garamond"/>
                <w:lang w:val="en-AU"/>
              </w:rPr>
              <w:t xml:space="preserve"> reflects upon the </w:t>
            </w:r>
            <w:r w:rsidRPr="00AA4F5A">
              <w:rPr>
                <w:rFonts w:ascii="Garamond" w:hAnsi="Garamond"/>
                <w:lang w:val="en-AU"/>
              </w:rPr>
              <w:t>patient-physician relationship</w:t>
            </w:r>
            <w:r>
              <w:rPr>
                <w:rFonts w:ascii="Garamond" w:hAnsi="Garamond"/>
                <w:lang w:val="en-AU"/>
              </w:rPr>
              <w:t xml:space="preserve">. Responding to a study in the same issue, the authors note that study proposed a number of </w:t>
            </w:r>
            <w:r w:rsidRPr="00AA4F5A">
              <w:rPr>
                <w:rFonts w:ascii="Garamond" w:hAnsi="Garamond"/>
                <w:lang w:val="en-AU"/>
              </w:rPr>
              <w:t>evidence-based practices that may lead to more meaningful connections between patients and physicians</w:t>
            </w:r>
            <w:r>
              <w:rPr>
                <w:rFonts w:ascii="Garamond" w:hAnsi="Garamond"/>
                <w:lang w:val="en-AU"/>
              </w:rPr>
              <w:t xml:space="preserve">. The </w:t>
            </w:r>
            <w:r w:rsidRPr="00AA4F5A">
              <w:rPr>
                <w:rFonts w:ascii="Garamond" w:hAnsi="Garamond"/>
                <w:lang w:val="en-AU"/>
              </w:rPr>
              <w:t xml:space="preserve">5 recommendations were </w:t>
            </w:r>
          </w:p>
          <w:p w:rsidR="00AA4F5A" w:rsidRPr="00AA4F5A" w:rsidRDefault="00AA4F5A" w:rsidP="00AA4F5A">
            <w:pPr>
              <w:pStyle w:val="ListParagraph"/>
              <w:numPr>
                <w:ilvl w:val="0"/>
                <w:numId w:val="36"/>
              </w:numPr>
              <w:rPr>
                <w:rFonts w:ascii="Garamond" w:hAnsi="Garamond"/>
                <w:lang w:val="en-AU"/>
              </w:rPr>
            </w:pPr>
            <w:r w:rsidRPr="00AA4F5A">
              <w:rPr>
                <w:rFonts w:ascii="Garamond" w:hAnsi="Garamond"/>
                <w:lang w:val="en-AU"/>
              </w:rPr>
              <w:t>prepare with intention</w:t>
            </w:r>
          </w:p>
          <w:p w:rsidR="00AA4F5A" w:rsidRPr="00AA4F5A" w:rsidRDefault="00AA4F5A" w:rsidP="00AA4F5A">
            <w:pPr>
              <w:pStyle w:val="ListParagraph"/>
              <w:numPr>
                <w:ilvl w:val="0"/>
                <w:numId w:val="36"/>
              </w:numPr>
              <w:rPr>
                <w:rFonts w:ascii="Garamond" w:hAnsi="Garamond"/>
                <w:lang w:val="en-AU"/>
              </w:rPr>
            </w:pPr>
            <w:r w:rsidRPr="00AA4F5A">
              <w:rPr>
                <w:rFonts w:ascii="Garamond" w:hAnsi="Garamond"/>
                <w:lang w:val="en-AU"/>
              </w:rPr>
              <w:t>listen intently and completely</w:t>
            </w:r>
          </w:p>
          <w:p w:rsidR="00AA4F5A" w:rsidRPr="00AA4F5A" w:rsidRDefault="00AA4F5A" w:rsidP="00AA4F5A">
            <w:pPr>
              <w:pStyle w:val="ListParagraph"/>
              <w:numPr>
                <w:ilvl w:val="0"/>
                <w:numId w:val="36"/>
              </w:numPr>
              <w:rPr>
                <w:rFonts w:ascii="Garamond" w:hAnsi="Garamond"/>
                <w:lang w:val="en-AU"/>
              </w:rPr>
            </w:pPr>
            <w:r w:rsidRPr="00AA4F5A">
              <w:rPr>
                <w:rFonts w:ascii="Garamond" w:hAnsi="Garamond"/>
                <w:lang w:val="en-AU"/>
              </w:rPr>
              <w:t>agree on what matters most</w:t>
            </w:r>
          </w:p>
          <w:p w:rsidR="00AA4F5A" w:rsidRPr="00AA4F5A" w:rsidRDefault="00AA4F5A" w:rsidP="00AA4F5A">
            <w:pPr>
              <w:pStyle w:val="ListParagraph"/>
              <w:numPr>
                <w:ilvl w:val="0"/>
                <w:numId w:val="36"/>
              </w:numPr>
              <w:rPr>
                <w:rFonts w:ascii="Garamond" w:hAnsi="Garamond"/>
                <w:lang w:val="en-AU"/>
              </w:rPr>
            </w:pPr>
            <w:r w:rsidRPr="00AA4F5A">
              <w:rPr>
                <w:rFonts w:ascii="Garamond" w:hAnsi="Garamond"/>
                <w:lang w:val="en-AU"/>
              </w:rPr>
              <w:t xml:space="preserve">connect with the patient’s story, and </w:t>
            </w:r>
          </w:p>
          <w:p w:rsidR="00AA4F5A" w:rsidRDefault="00AA4F5A" w:rsidP="00AA4F5A">
            <w:pPr>
              <w:pStyle w:val="ListParagraph"/>
              <w:numPr>
                <w:ilvl w:val="0"/>
                <w:numId w:val="36"/>
              </w:numPr>
              <w:rPr>
                <w:rFonts w:ascii="Garamond" w:hAnsi="Garamond"/>
                <w:lang w:val="en-AU"/>
              </w:rPr>
            </w:pPr>
            <w:r w:rsidRPr="00AA4F5A">
              <w:rPr>
                <w:rFonts w:ascii="Garamond" w:hAnsi="Garamond"/>
                <w:lang w:val="en-AU"/>
              </w:rPr>
              <w:t>explore emotional cues.</w:t>
            </w:r>
          </w:p>
          <w:p w:rsidR="00AA4F5A" w:rsidRPr="00AA4F5A" w:rsidRDefault="00AA4F5A" w:rsidP="00AA4F5A">
            <w:pPr>
              <w:rPr>
                <w:rFonts w:ascii="Garamond" w:hAnsi="Garamond"/>
                <w:lang w:val="en-AU"/>
              </w:rPr>
            </w:pPr>
            <w:r>
              <w:rPr>
                <w:rFonts w:ascii="Garamond" w:hAnsi="Garamond"/>
                <w:lang w:val="en-AU"/>
              </w:rPr>
              <w:t>The authors of this editorial argue that while these 5 practices ‘</w:t>
            </w:r>
            <w:r w:rsidRPr="00AA4F5A">
              <w:rPr>
                <w:rFonts w:ascii="Garamond" w:hAnsi="Garamond"/>
                <w:lang w:val="en-AU"/>
              </w:rPr>
              <w:t>focus on the valuable habit of presence</w:t>
            </w:r>
            <w:r>
              <w:rPr>
                <w:rFonts w:ascii="Garamond" w:hAnsi="Garamond"/>
                <w:lang w:val="en-AU"/>
              </w:rPr>
              <w:t>…</w:t>
            </w:r>
            <w:r w:rsidRPr="00AA4F5A">
              <w:rPr>
                <w:rFonts w:ascii="Garamond" w:hAnsi="Garamond"/>
                <w:lang w:val="en-AU"/>
              </w:rPr>
              <w:t>other habits and characteristics deserve similar exploration as physicians pursue providing care that is effective, efficient, and more satisfying for patients and themselves.</w:t>
            </w:r>
            <w:r>
              <w:rPr>
                <w:rFonts w:ascii="Garamond" w:hAnsi="Garamond"/>
                <w:lang w:val="en-AU"/>
              </w:rPr>
              <w:t>’</w:t>
            </w:r>
          </w:p>
        </w:tc>
      </w:tr>
    </w:tbl>
    <w:p w:rsidR="0074338D" w:rsidRDefault="0074338D" w:rsidP="009C7E60">
      <w:pPr>
        <w:keepNext/>
        <w:keepLines/>
        <w:autoSpaceDE w:val="0"/>
        <w:autoSpaceDN w:val="0"/>
        <w:adjustRightInd w:val="0"/>
        <w:rPr>
          <w:rFonts w:ascii="Garamond" w:hAnsi="Garamond"/>
          <w:i/>
          <w:lang w:val="en-AU"/>
        </w:rPr>
      </w:pPr>
    </w:p>
    <w:p w:rsidR="00341A6B" w:rsidRPr="00094FF7" w:rsidRDefault="00094FF7" w:rsidP="009C7E60">
      <w:pPr>
        <w:keepNext/>
        <w:keepLines/>
        <w:autoSpaceDE w:val="0"/>
        <w:autoSpaceDN w:val="0"/>
        <w:adjustRightInd w:val="0"/>
        <w:rPr>
          <w:rFonts w:ascii="Garamond" w:hAnsi="Garamond"/>
          <w:i/>
          <w:lang w:val="en-AU"/>
        </w:rPr>
      </w:pPr>
      <w:r w:rsidRPr="00094FF7">
        <w:rPr>
          <w:rFonts w:ascii="Garamond" w:hAnsi="Garamond"/>
          <w:i/>
          <w:lang w:val="en-AU"/>
        </w:rPr>
        <w:t>Pharmacist–Physician Collaboration to Improve the Accuracy of Medication Information in Electronic Medical Discharge Summaries: Effectiveness and Sustainability</w:t>
      </w:r>
    </w:p>
    <w:p w:rsidR="00094FF7" w:rsidRDefault="00094FF7" w:rsidP="009C7E60">
      <w:pPr>
        <w:keepNext/>
        <w:keepLines/>
        <w:autoSpaceDE w:val="0"/>
        <w:autoSpaceDN w:val="0"/>
        <w:adjustRightInd w:val="0"/>
        <w:rPr>
          <w:rFonts w:ascii="Garamond" w:hAnsi="Garamond"/>
          <w:lang w:val="en-AU"/>
        </w:rPr>
      </w:pPr>
      <w:r w:rsidRPr="00094FF7">
        <w:rPr>
          <w:rFonts w:ascii="Garamond" w:hAnsi="Garamond"/>
          <w:lang w:val="en-AU"/>
        </w:rPr>
        <w:t>Elliott RA, Tan Y, Chan V, Richardson B, Tanner F, Dorevitch MI</w:t>
      </w:r>
    </w:p>
    <w:p w:rsidR="00094FF7" w:rsidRDefault="00094FF7" w:rsidP="009C7E60">
      <w:pPr>
        <w:keepNext/>
        <w:keepLines/>
        <w:autoSpaceDE w:val="0"/>
        <w:autoSpaceDN w:val="0"/>
        <w:adjustRightInd w:val="0"/>
        <w:rPr>
          <w:rFonts w:ascii="Garamond" w:hAnsi="Garamond"/>
          <w:lang w:val="en-AU"/>
        </w:rPr>
      </w:pPr>
      <w:r w:rsidRPr="00094FF7">
        <w:rPr>
          <w:rFonts w:ascii="Garamond" w:hAnsi="Garamond"/>
          <w:lang w:val="en-AU"/>
        </w:rPr>
        <w:t>Pharmacy. 2020;8(1).</w:t>
      </w:r>
    </w:p>
    <w:tbl>
      <w:tblPr>
        <w:tblStyle w:val="TableGrid"/>
        <w:tblW w:w="0" w:type="auto"/>
        <w:tblInd w:w="288" w:type="dxa"/>
        <w:tblLayout w:type="fixed"/>
        <w:tblLook w:val="01E0" w:firstRow="1" w:lastRow="1" w:firstColumn="1" w:lastColumn="1" w:noHBand="0" w:noVBand="0"/>
      </w:tblPr>
      <w:tblGrid>
        <w:gridCol w:w="1080"/>
        <w:gridCol w:w="8280"/>
      </w:tblGrid>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41A6B" w:rsidRPr="000170DA" w:rsidRDefault="005D13E1" w:rsidP="00341A6B">
            <w:pPr>
              <w:rPr>
                <w:rStyle w:val="Hyperlink"/>
                <w:rFonts w:ascii="Garamond" w:hAnsi="Garamond"/>
                <w:color w:val="auto"/>
                <w:u w:val="none"/>
                <w:lang w:val="en-AU"/>
              </w:rPr>
            </w:pPr>
            <w:hyperlink r:id="rId31" w:history="1">
              <w:r w:rsidR="00094FF7" w:rsidRPr="004D4B6C">
                <w:rPr>
                  <w:rStyle w:val="Hyperlink"/>
                  <w:rFonts w:ascii="Garamond" w:hAnsi="Garamond"/>
                  <w:lang w:val="en-AU"/>
                </w:rPr>
                <w:t>https://doi.org/10.3390/pharmacy8010002</w:t>
              </w:r>
            </w:hyperlink>
          </w:p>
        </w:tc>
      </w:tr>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6BEA" w:rsidRPr="00652094" w:rsidRDefault="00094FF7" w:rsidP="00831A9A">
            <w:pPr>
              <w:rPr>
                <w:rFonts w:ascii="Garamond" w:hAnsi="Garamond"/>
                <w:lang w:val="en-AU"/>
              </w:rPr>
            </w:pPr>
            <w:r>
              <w:rPr>
                <w:rFonts w:ascii="Garamond" w:hAnsi="Garamond"/>
                <w:lang w:val="en-AU"/>
              </w:rPr>
              <w:t xml:space="preserve">This is one of a series of papers for a special issue of on </w:t>
            </w:r>
            <w:r w:rsidRPr="00831A9A">
              <w:rPr>
                <w:rFonts w:ascii="Garamond" w:hAnsi="Garamond"/>
                <w:b/>
                <w:lang w:val="en-AU"/>
              </w:rPr>
              <w:t>Medication Management in Care Transitions</w:t>
            </w:r>
            <w:r w:rsidR="00831A9A">
              <w:rPr>
                <w:rFonts w:ascii="Garamond" w:hAnsi="Garamond"/>
                <w:lang w:val="en-AU"/>
              </w:rPr>
              <w:t xml:space="preserve">. </w:t>
            </w:r>
            <w:r w:rsidR="001A3B40" w:rsidRPr="001A3B40">
              <w:rPr>
                <w:rFonts w:ascii="Garamond" w:hAnsi="Garamond"/>
                <w:lang w:val="en-AU"/>
              </w:rPr>
              <w:t>This study evaluates the effectiveness of a collaborative intervention in which ward-based pharmacists reviewed, contributed and verified medication information in patients’ Electronic Medical Discharge Summaries (EDSs) prior to sign-off by the physician. The intervention was implemented into a range of inpatient wards at a major public teaching hospital in Melbourne, Australia</w:t>
            </w:r>
            <w:r w:rsidR="001A3B40">
              <w:rPr>
                <w:rFonts w:ascii="Garamond" w:hAnsi="Garamond"/>
                <w:lang w:val="en-AU"/>
              </w:rPr>
              <w:t>. The paper</w:t>
            </w:r>
            <w:r w:rsidR="001A3B40" w:rsidRPr="001A3B40">
              <w:rPr>
                <w:rFonts w:ascii="Garamond" w:hAnsi="Garamond"/>
                <w:lang w:val="en-AU"/>
              </w:rPr>
              <w:t xml:space="preserve"> describes</w:t>
            </w:r>
            <w:r w:rsidR="001A3B40">
              <w:rPr>
                <w:rFonts w:ascii="Garamond" w:hAnsi="Garamond"/>
                <w:lang w:val="en-AU"/>
              </w:rPr>
              <w:t xml:space="preserve"> the</w:t>
            </w:r>
            <w:r w:rsidR="001A3B40" w:rsidRPr="001A3B40">
              <w:rPr>
                <w:rFonts w:ascii="Garamond" w:hAnsi="Garamond"/>
                <w:lang w:val="en-AU"/>
              </w:rPr>
              <w:t xml:space="preserve"> results of a pre- and post-intervention study that used retrospective medical record audits to assess the accuracy of EDSs for patients discharged from inpatient wards. As a result of the intervention</w:t>
            </w:r>
            <w:r w:rsidR="001A3B40">
              <w:rPr>
                <w:rFonts w:ascii="Garamond" w:hAnsi="Garamond"/>
                <w:lang w:val="en-AU"/>
              </w:rPr>
              <w:t>,</w:t>
            </w:r>
            <w:r w:rsidR="001A3B40" w:rsidRPr="001A3B40">
              <w:rPr>
                <w:rFonts w:ascii="Garamond" w:hAnsi="Garamond"/>
                <w:lang w:val="en-AU"/>
              </w:rPr>
              <w:t xml:space="preserve"> a significant reduction in medication list discrepancies along with a significant increase in the proportion and communication of clinically significant medication changes stated in the EDS was achieved in all study wards. A follow up audit after two years demonstrated that the improvements in care transition information about medications in the EDS were sustained, especially when incorporated into ‘usual care’.</w:t>
            </w:r>
          </w:p>
        </w:tc>
      </w:tr>
    </w:tbl>
    <w:p w:rsidR="009C7E60" w:rsidRDefault="009C7E60" w:rsidP="009C7E60">
      <w:pPr>
        <w:rPr>
          <w:rFonts w:ascii="Garamond" w:hAnsi="Garamond"/>
          <w:lang w:val="en-AU"/>
        </w:rPr>
      </w:pPr>
    </w:p>
    <w:p w:rsidR="001A3B40" w:rsidRDefault="001A3B40" w:rsidP="001A3B40">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medication safety</w:t>
      </w:r>
      <w:r w:rsidRPr="008F7CB1">
        <w:rPr>
          <w:rFonts w:ascii="Garamond" w:hAnsi="Garamond"/>
          <w:lang w:val="en-AU"/>
        </w:rPr>
        <w:t>, see</w:t>
      </w:r>
      <w:r>
        <w:rPr>
          <w:rFonts w:ascii="Garamond" w:hAnsi="Garamond"/>
          <w:lang w:val="en-AU"/>
        </w:rPr>
        <w:t xml:space="preserve"> </w:t>
      </w:r>
      <w:hyperlink r:id="rId32" w:history="1">
        <w:r w:rsidRPr="008E3E77">
          <w:rPr>
            <w:rStyle w:val="Hyperlink"/>
            <w:rFonts w:ascii="Garamond" w:hAnsi="Garamond"/>
            <w:lang w:val="en-AU"/>
          </w:rPr>
          <w:t>https://www.safetyandquality.gov.au/medication-safety</w:t>
        </w:r>
      </w:hyperlink>
    </w:p>
    <w:p w:rsidR="001A3B40" w:rsidRDefault="001A3B40" w:rsidP="001A3B40">
      <w:pPr>
        <w:rPr>
          <w:rFonts w:ascii="Garamond" w:hAnsi="Garamond"/>
          <w:lang w:val="en-AU"/>
        </w:rPr>
      </w:pPr>
    </w:p>
    <w:p w:rsidR="008D314F" w:rsidRPr="008D314F" w:rsidRDefault="008D314F" w:rsidP="00C15431">
      <w:pPr>
        <w:keepNext/>
        <w:keepLines/>
        <w:autoSpaceDE w:val="0"/>
        <w:autoSpaceDN w:val="0"/>
        <w:adjustRightInd w:val="0"/>
        <w:rPr>
          <w:rFonts w:ascii="Garamond" w:hAnsi="Garamond"/>
          <w:i/>
          <w:lang w:val="en-AU"/>
        </w:rPr>
      </w:pPr>
      <w:r w:rsidRPr="008D314F">
        <w:rPr>
          <w:rFonts w:ascii="Garamond" w:hAnsi="Garamond"/>
          <w:i/>
          <w:lang w:val="en-AU"/>
        </w:rPr>
        <w:t>Embedding best transfusion practice and blood management in neonatal intensive care</w:t>
      </w:r>
    </w:p>
    <w:p w:rsidR="008D314F" w:rsidRDefault="008D314F" w:rsidP="00C15431">
      <w:pPr>
        <w:keepNext/>
        <w:keepLines/>
        <w:autoSpaceDE w:val="0"/>
        <w:autoSpaceDN w:val="0"/>
        <w:adjustRightInd w:val="0"/>
        <w:rPr>
          <w:rFonts w:ascii="Garamond" w:hAnsi="Garamond"/>
          <w:lang w:val="en-AU"/>
        </w:rPr>
      </w:pPr>
      <w:r w:rsidRPr="008D314F">
        <w:rPr>
          <w:rFonts w:ascii="Garamond" w:hAnsi="Garamond"/>
          <w:lang w:val="en-AU"/>
        </w:rPr>
        <w:t>Flores CJ, Lakkundi A, McIntosh J, Freeman P, Thomson A, Saxon B, et al</w:t>
      </w:r>
    </w:p>
    <w:p w:rsidR="008D314F" w:rsidRDefault="008D314F" w:rsidP="00C15431">
      <w:pPr>
        <w:keepNext/>
        <w:keepLines/>
        <w:autoSpaceDE w:val="0"/>
        <w:autoSpaceDN w:val="0"/>
        <w:adjustRightInd w:val="0"/>
        <w:rPr>
          <w:rFonts w:ascii="Garamond" w:hAnsi="Garamond"/>
          <w:lang w:val="en-AU"/>
        </w:rPr>
      </w:pPr>
      <w:r w:rsidRPr="008D314F">
        <w:rPr>
          <w:rFonts w:ascii="Garamond" w:hAnsi="Garamond"/>
          <w:lang w:val="en-AU"/>
        </w:rPr>
        <w:t>BMJ Open Quality. 2020;9(1):e000694.</w:t>
      </w:r>
    </w:p>
    <w:tbl>
      <w:tblPr>
        <w:tblStyle w:val="TableGrid"/>
        <w:tblW w:w="0" w:type="auto"/>
        <w:tblInd w:w="288" w:type="dxa"/>
        <w:tblLayout w:type="fixed"/>
        <w:tblLook w:val="01E0" w:firstRow="1" w:lastRow="1" w:firstColumn="1" w:lastColumn="1" w:noHBand="0" w:noVBand="0"/>
      </w:tblPr>
      <w:tblGrid>
        <w:gridCol w:w="1080"/>
        <w:gridCol w:w="8280"/>
      </w:tblGrid>
      <w:tr w:rsidR="00C15431" w:rsidRPr="000170DA" w:rsidTr="0036365D">
        <w:tc>
          <w:tcPr>
            <w:tcW w:w="1080" w:type="dxa"/>
            <w:tcBorders>
              <w:top w:val="single" w:sz="4" w:space="0" w:color="auto"/>
              <w:left w:val="single" w:sz="4" w:space="0" w:color="auto"/>
              <w:bottom w:val="single" w:sz="4" w:space="0" w:color="auto"/>
              <w:right w:val="single" w:sz="4" w:space="0" w:color="auto"/>
            </w:tcBorders>
            <w:vAlign w:val="center"/>
          </w:tcPr>
          <w:p w:rsidR="00C15431" w:rsidRPr="000170DA" w:rsidRDefault="00C15431" w:rsidP="0036365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15431" w:rsidRPr="000170DA" w:rsidRDefault="005D13E1" w:rsidP="008D314F">
            <w:pPr>
              <w:rPr>
                <w:rStyle w:val="Hyperlink"/>
                <w:rFonts w:ascii="Garamond" w:hAnsi="Garamond"/>
                <w:color w:val="auto"/>
                <w:u w:val="none"/>
                <w:lang w:val="en-AU"/>
              </w:rPr>
            </w:pPr>
            <w:hyperlink r:id="rId33" w:history="1">
              <w:r w:rsidR="008D314F" w:rsidRPr="00504B37">
                <w:rPr>
                  <w:rStyle w:val="Hyperlink"/>
                  <w:rFonts w:ascii="Garamond" w:hAnsi="Garamond"/>
                  <w:lang w:val="en-AU"/>
                </w:rPr>
                <w:t>https://dx.doi.org/10.1136/bmjoq-2019-000694</w:t>
              </w:r>
            </w:hyperlink>
          </w:p>
        </w:tc>
      </w:tr>
      <w:tr w:rsidR="00C15431" w:rsidRPr="000170DA" w:rsidTr="0036365D">
        <w:tc>
          <w:tcPr>
            <w:tcW w:w="1080" w:type="dxa"/>
            <w:tcBorders>
              <w:top w:val="single" w:sz="4" w:space="0" w:color="auto"/>
              <w:left w:val="single" w:sz="4" w:space="0" w:color="auto"/>
              <w:bottom w:val="single" w:sz="4" w:space="0" w:color="auto"/>
              <w:right w:val="single" w:sz="4" w:space="0" w:color="auto"/>
            </w:tcBorders>
            <w:vAlign w:val="center"/>
          </w:tcPr>
          <w:p w:rsidR="00C15431" w:rsidRPr="000170DA" w:rsidRDefault="00C15431" w:rsidP="0036365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15431" w:rsidRPr="00652094" w:rsidRDefault="0074338D" w:rsidP="0074338D">
            <w:pPr>
              <w:rPr>
                <w:rFonts w:ascii="Garamond" w:hAnsi="Garamond"/>
                <w:lang w:val="en-AU"/>
              </w:rPr>
            </w:pPr>
            <w:r>
              <w:rPr>
                <w:rFonts w:ascii="Garamond" w:hAnsi="Garamond"/>
                <w:lang w:val="en-AU"/>
              </w:rPr>
              <w:t xml:space="preserve">This paper is a quality improvement report describing the embedding of </w:t>
            </w:r>
            <w:r w:rsidRPr="0074338D">
              <w:rPr>
                <w:rFonts w:ascii="Garamond" w:hAnsi="Garamond"/>
                <w:lang w:val="en-AU"/>
              </w:rPr>
              <w:t xml:space="preserve">blood management and best transfusion principles in </w:t>
            </w:r>
            <w:r>
              <w:rPr>
                <w:rFonts w:ascii="Garamond" w:hAnsi="Garamond"/>
                <w:lang w:val="en-AU"/>
              </w:rPr>
              <w:t xml:space="preserve">a </w:t>
            </w:r>
            <w:r w:rsidRPr="0074338D">
              <w:rPr>
                <w:rFonts w:ascii="Garamond" w:hAnsi="Garamond"/>
                <w:lang w:val="en-AU"/>
              </w:rPr>
              <w:t>neonatal intensive care unit (NICU)</w:t>
            </w:r>
            <w:r>
              <w:rPr>
                <w:rFonts w:ascii="Garamond" w:hAnsi="Garamond"/>
                <w:lang w:val="en-AU"/>
              </w:rPr>
              <w:t>.</w:t>
            </w:r>
          </w:p>
        </w:tc>
      </w:tr>
    </w:tbl>
    <w:p w:rsidR="00C15431" w:rsidRDefault="00C15431" w:rsidP="00C15431">
      <w:pPr>
        <w:rPr>
          <w:rFonts w:ascii="Garamond" w:hAnsi="Garamond"/>
          <w:lang w:val="en-AU"/>
        </w:rPr>
      </w:pPr>
    </w:p>
    <w:p w:rsidR="00831A9A" w:rsidRPr="00831A9A" w:rsidRDefault="00831A9A" w:rsidP="00831A9A">
      <w:pPr>
        <w:keepNext/>
        <w:rPr>
          <w:rFonts w:ascii="Garamond" w:hAnsi="Garamond"/>
          <w:i/>
          <w:lang w:val="en-AU"/>
        </w:rPr>
      </w:pPr>
      <w:r>
        <w:rPr>
          <w:rFonts w:ascii="Garamond" w:hAnsi="Garamond"/>
          <w:i/>
          <w:lang w:val="en-AU"/>
        </w:rPr>
        <w:t>Journal for Healthcare Quality</w:t>
      </w:r>
    </w:p>
    <w:p w:rsidR="00831A9A" w:rsidRPr="00612D3D" w:rsidRDefault="00831A9A" w:rsidP="00831A9A">
      <w:pPr>
        <w:keepNext/>
        <w:rPr>
          <w:rFonts w:ascii="Garamond" w:hAnsi="Garamond"/>
          <w:lang w:val="en-AU"/>
        </w:rPr>
      </w:pPr>
      <w:r w:rsidRPr="00831A9A">
        <w:rPr>
          <w:rFonts w:ascii="Garamond" w:hAnsi="Garamond"/>
          <w:lang w:val="en-AU"/>
        </w:rPr>
        <w:t>Vol. 42, No. 1, January/February 202</w:t>
      </w:r>
      <w:r>
        <w:rPr>
          <w:rFonts w:ascii="Garamond" w:hAnsi="Garamond"/>
          <w:lang w:val="en-AU"/>
        </w:rPr>
        <w:t>0</w:t>
      </w:r>
    </w:p>
    <w:tbl>
      <w:tblPr>
        <w:tblStyle w:val="TableGrid"/>
        <w:tblW w:w="9360" w:type="dxa"/>
        <w:tblInd w:w="288" w:type="dxa"/>
        <w:tblLayout w:type="fixed"/>
        <w:tblLook w:val="01E0" w:firstRow="1" w:lastRow="1" w:firstColumn="1" w:lastColumn="1" w:noHBand="0" w:noVBand="0"/>
      </w:tblPr>
      <w:tblGrid>
        <w:gridCol w:w="1080"/>
        <w:gridCol w:w="8280"/>
      </w:tblGrid>
      <w:tr w:rsidR="00831A9A" w:rsidRPr="000170DA" w:rsidTr="001F56FF">
        <w:tc>
          <w:tcPr>
            <w:tcW w:w="1080" w:type="dxa"/>
            <w:tcBorders>
              <w:top w:val="single" w:sz="4" w:space="0" w:color="auto"/>
              <w:left w:val="single" w:sz="4" w:space="0" w:color="auto"/>
              <w:bottom w:val="single" w:sz="4" w:space="0" w:color="auto"/>
              <w:right w:val="single" w:sz="4" w:space="0" w:color="auto"/>
            </w:tcBorders>
            <w:vAlign w:val="center"/>
          </w:tcPr>
          <w:p w:rsidR="00831A9A" w:rsidRPr="000170DA" w:rsidRDefault="00831A9A" w:rsidP="001F56F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1A9A" w:rsidRPr="000170DA" w:rsidRDefault="005D13E1" w:rsidP="001F56FF">
            <w:pPr>
              <w:rPr>
                <w:rStyle w:val="Hyperlink"/>
                <w:rFonts w:ascii="Garamond" w:hAnsi="Garamond"/>
                <w:color w:val="auto"/>
                <w:u w:val="none"/>
                <w:lang w:val="en-AU"/>
              </w:rPr>
            </w:pPr>
            <w:hyperlink r:id="rId34" w:history="1">
              <w:r w:rsidR="00831A9A" w:rsidRPr="004D4B6C">
                <w:rPr>
                  <w:rStyle w:val="Hyperlink"/>
                  <w:rFonts w:ascii="Garamond" w:hAnsi="Garamond"/>
                  <w:lang w:val="en-AU"/>
                </w:rPr>
                <w:t>https://journals.lww.com/jhqonline/Pages/currenttoc.aspx</w:t>
              </w:r>
            </w:hyperlink>
            <w:r w:rsidR="00831A9A">
              <w:rPr>
                <w:rStyle w:val="Hyperlink"/>
                <w:rFonts w:ascii="Garamond" w:hAnsi="Garamond"/>
                <w:color w:val="auto"/>
                <w:u w:val="none"/>
                <w:lang w:val="en-AU"/>
              </w:rPr>
              <w:t xml:space="preserve"> </w:t>
            </w:r>
          </w:p>
        </w:tc>
      </w:tr>
      <w:tr w:rsidR="00831A9A" w:rsidRPr="000170DA" w:rsidTr="001F56FF">
        <w:tc>
          <w:tcPr>
            <w:tcW w:w="1080" w:type="dxa"/>
            <w:tcBorders>
              <w:top w:val="single" w:sz="4" w:space="0" w:color="auto"/>
              <w:left w:val="single" w:sz="4" w:space="0" w:color="auto"/>
              <w:bottom w:val="single" w:sz="4" w:space="0" w:color="auto"/>
              <w:right w:val="single" w:sz="4" w:space="0" w:color="auto"/>
            </w:tcBorders>
            <w:vAlign w:val="center"/>
          </w:tcPr>
          <w:p w:rsidR="00831A9A" w:rsidRPr="000170DA" w:rsidRDefault="00831A9A" w:rsidP="001F56F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A9A" w:rsidRPr="007C3778" w:rsidRDefault="00831A9A" w:rsidP="001F56FF">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Pr>
                <w:rFonts w:ascii="Garamond" w:hAnsi="Garamond"/>
                <w:i/>
                <w:lang w:val="en-AU"/>
              </w:rPr>
              <w:t xml:space="preserve">Journal for Healthcare Quality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Pr>
                <w:rFonts w:ascii="Garamond" w:hAnsi="Garamond"/>
                <w:i/>
                <w:lang w:val="en-AU"/>
              </w:rPr>
              <w:t xml:space="preserve">Journal for Healthcare Quality </w:t>
            </w:r>
            <w:r w:rsidRPr="00B440ED">
              <w:rPr>
                <w:rFonts w:ascii="Garamond" w:hAnsi="Garamond"/>
                <w:lang w:val="en-AU"/>
              </w:rPr>
              <w:t>include:</w:t>
            </w:r>
          </w:p>
          <w:p w:rsidR="00831A9A" w:rsidRDefault="00831A9A" w:rsidP="005D64FE">
            <w:pPr>
              <w:pStyle w:val="ListParagraph"/>
              <w:numPr>
                <w:ilvl w:val="0"/>
                <w:numId w:val="15"/>
              </w:numPr>
              <w:rPr>
                <w:rFonts w:ascii="Garamond" w:hAnsi="Garamond"/>
                <w:lang w:val="en-AU"/>
              </w:rPr>
            </w:pPr>
            <w:r w:rsidRPr="00831A9A">
              <w:rPr>
                <w:rFonts w:ascii="Garamond" w:hAnsi="Garamond"/>
                <w:b/>
                <w:lang w:val="en-AU"/>
              </w:rPr>
              <w:t>Falls in Hospital</w:t>
            </w:r>
            <w:r w:rsidRPr="00831A9A">
              <w:rPr>
                <w:rFonts w:ascii="Garamond" w:hAnsi="Garamond"/>
                <w:lang w:val="en-AU"/>
              </w:rPr>
              <w:t xml:space="preserve"> Causing Injury (Trinh, Lieu Thi Thuy; Assareh, Hassan; Wood, Michael; Addison-Wilson, Cathleen; Sathiyaseelan, Yasoda</w:t>
            </w:r>
            <w:r>
              <w:rPr>
                <w:rFonts w:ascii="Garamond" w:hAnsi="Garamond"/>
                <w:lang w:val="en-AU"/>
              </w:rPr>
              <w:t>)</w:t>
            </w:r>
          </w:p>
          <w:p w:rsidR="00831A9A" w:rsidRDefault="00831A9A" w:rsidP="00902CB1">
            <w:pPr>
              <w:pStyle w:val="ListParagraph"/>
              <w:numPr>
                <w:ilvl w:val="0"/>
                <w:numId w:val="15"/>
              </w:numPr>
              <w:rPr>
                <w:rFonts w:ascii="Garamond" w:hAnsi="Garamond"/>
                <w:lang w:val="en-AU"/>
              </w:rPr>
            </w:pPr>
            <w:r w:rsidRPr="00831A9A">
              <w:rPr>
                <w:rFonts w:ascii="Garamond" w:hAnsi="Garamond"/>
                <w:lang w:val="en-AU"/>
              </w:rPr>
              <w:t xml:space="preserve">Alerting Wisely: Reducing </w:t>
            </w:r>
            <w:r w:rsidRPr="00831A9A">
              <w:rPr>
                <w:rFonts w:ascii="Garamond" w:hAnsi="Garamond"/>
                <w:b/>
                <w:lang w:val="en-AU"/>
              </w:rPr>
              <w:t>Inappropriate Blood Chemistry Panel Orders</w:t>
            </w:r>
            <w:r w:rsidRPr="00831A9A">
              <w:rPr>
                <w:rFonts w:ascii="Garamond" w:hAnsi="Garamond"/>
                <w:lang w:val="en-AU"/>
              </w:rPr>
              <w:t xml:space="preserve"> Using a Clinical Decision Support Tool (Anderson, Jonathan W; Greenwood, Mark R; Borsato, Gisele G; Kuttler, Kathryn G</w:t>
            </w:r>
            <w:r>
              <w:rPr>
                <w:rFonts w:ascii="Garamond" w:hAnsi="Garamond"/>
                <w:lang w:val="en-AU"/>
              </w:rPr>
              <w:t>)</w:t>
            </w:r>
          </w:p>
          <w:p w:rsidR="00831A9A" w:rsidRDefault="00831A9A" w:rsidP="008A0BA4">
            <w:pPr>
              <w:pStyle w:val="ListParagraph"/>
              <w:numPr>
                <w:ilvl w:val="0"/>
                <w:numId w:val="15"/>
              </w:numPr>
              <w:rPr>
                <w:rFonts w:ascii="Garamond" w:hAnsi="Garamond"/>
                <w:lang w:val="en-AU"/>
              </w:rPr>
            </w:pPr>
            <w:r w:rsidRPr="00831A9A">
              <w:rPr>
                <w:rFonts w:ascii="Garamond" w:hAnsi="Garamond"/>
                <w:lang w:val="en-AU"/>
              </w:rPr>
              <w:t xml:space="preserve">7 Is the New 8: Improving Adherence to Restrictive </w:t>
            </w:r>
            <w:r w:rsidRPr="00831A9A">
              <w:rPr>
                <w:rFonts w:ascii="Garamond" w:hAnsi="Garamond"/>
                <w:b/>
                <w:lang w:val="en-AU"/>
              </w:rPr>
              <w:t>PRBC Transfusions</w:t>
            </w:r>
            <w:r w:rsidRPr="00831A9A">
              <w:rPr>
                <w:rFonts w:ascii="Garamond" w:hAnsi="Garamond"/>
                <w:lang w:val="en-AU"/>
              </w:rPr>
              <w:t xml:space="preserve"> in the Pediatric ICU (Badke, Colleen M; Borrowman, Julie A; Haymond, Shannon; Rychlik, Karen; Malakooti, Marcelo R</w:t>
            </w:r>
            <w:r>
              <w:rPr>
                <w:rFonts w:ascii="Garamond" w:hAnsi="Garamond"/>
                <w:lang w:val="en-AU"/>
              </w:rPr>
              <w:t>)</w:t>
            </w:r>
          </w:p>
          <w:p w:rsidR="00831A9A" w:rsidRDefault="00831A9A" w:rsidP="00A312B5">
            <w:pPr>
              <w:pStyle w:val="ListParagraph"/>
              <w:numPr>
                <w:ilvl w:val="0"/>
                <w:numId w:val="15"/>
              </w:numPr>
              <w:rPr>
                <w:rFonts w:ascii="Garamond" w:hAnsi="Garamond"/>
                <w:lang w:val="en-AU"/>
              </w:rPr>
            </w:pPr>
            <w:r w:rsidRPr="00831A9A">
              <w:rPr>
                <w:rFonts w:ascii="Garamond" w:hAnsi="Garamond"/>
                <w:lang w:val="en-AU"/>
              </w:rPr>
              <w:t xml:space="preserve">Patient-Centered Care: Total Hip Arthroplasty for </w:t>
            </w:r>
            <w:r w:rsidRPr="00831A9A">
              <w:rPr>
                <w:rFonts w:ascii="Garamond" w:hAnsi="Garamond"/>
                <w:b/>
                <w:lang w:val="en-AU"/>
              </w:rPr>
              <w:t>Displaced Femoral Neck Fracture</w:t>
            </w:r>
            <w:r w:rsidRPr="00831A9A">
              <w:rPr>
                <w:rFonts w:ascii="Garamond" w:hAnsi="Garamond"/>
                <w:lang w:val="en-AU"/>
              </w:rPr>
              <w:t xml:space="preserve"> Does Not Increase Infection Risk (Campbell, Abigail; Lott, Ariana; Gonzalez, Leah; Kester, Benjamin; Egol, Kenneth A</w:t>
            </w:r>
            <w:r>
              <w:rPr>
                <w:rFonts w:ascii="Garamond" w:hAnsi="Garamond"/>
                <w:lang w:val="en-AU"/>
              </w:rPr>
              <w:t>)</w:t>
            </w:r>
          </w:p>
          <w:p w:rsidR="00831A9A" w:rsidRDefault="00831A9A" w:rsidP="00B32DDF">
            <w:pPr>
              <w:pStyle w:val="ListParagraph"/>
              <w:numPr>
                <w:ilvl w:val="0"/>
                <w:numId w:val="15"/>
              </w:numPr>
              <w:rPr>
                <w:rFonts w:ascii="Garamond" w:hAnsi="Garamond"/>
                <w:lang w:val="en-AU"/>
              </w:rPr>
            </w:pPr>
            <w:r w:rsidRPr="00831A9A">
              <w:rPr>
                <w:rFonts w:ascii="Garamond" w:hAnsi="Garamond"/>
                <w:lang w:val="en-AU"/>
              </w:rPr>
              <w:t xml:space="preserve">Common </w:t>
            </w:r>
            <w:r w:rsidRPr="00831A9A">
              <w:rPr>
                <w:rFonts w:ascii="Garamond" w:hAnsi="Garamond"/>
                <w:b/>
                <w:lang w:val="en-AU"/>
              </w:rPr>
              <w:t>Risk Stratification of Hospital and Ambulatory Patients</w:t>
            </w:r>
            <w:r w:rsidRPr="00831A9A">
              <w:rPr>
                <w:rFonts w:ascii="Garamond" w:hAnsi="Garamond"/>
                <w:lang w:val="en-AU"/>
              </w:rPr>
              <w:t xml:space="preserve"> (Cowen, Mark E; Walsh, Martha M; Posa, Patricia J; Leeman, Lauren R; Van Hoek, Elizabeth; Czerwinski, Jennifer L</w:t>
            </w:r>
            <w:r>
              <w:rPr>
                <w:rFonts w:ascii="Garamond" w:hAnsi="Garamond"/>
                <w:lang w:val="en-AU"/>
              </w:rPr>
              <w:t>)</w:t>
            </w:r>
          </w:p>
          <w:p w:rsidR="00831A9A" w:rsidRDefault="00831A9A" w:rsidP="00262CD0">
            <w:pPr>
              <w:pStyle w:val="ListParagraph"/>
              <w:numPr>
                <w:ilvl w:val="0"/>
                <w:numId w:val="15"/>
              </w:numPr>
              <w:rPr>
                <w:rFonts w:ascii="Garamond" w:hAnsi="Garamond"/>
                <w:lang w:val="en-AU"/>
              </w:rPr>
            </w:pPr>
            <w:r w:rsidRPr="00831A9A">
              <w:rPr>
                <w:rFonts w:ascii="Garamond" w:hAnsi="Garamond"/>
                <w:lang w:val="en-AU"/>
              </w:rPr>
              <w:t xml:space="preserve">Factors Associated With </w:t>
            </w:r>
            <w:r w:rsidRPr="00831A9A">
              <w:rPr>
                <w:rFonts w:ascii="Garamond" w:hAnsi="Garamond"/>
                <w:b/>
                <w:lang w:val="en-AU"/>
              </w:rPr>
              <w:t>Nurses' Acceptance of the Electronic Intensive Care Unit</w:t>
            </w:r>
            <w:r w:rsidRPr="00831A9A">
              <w:rPr>
                <w:rFonts w:ascii="Garamond" w:hAnsi="Garamond"/>
                <w:lang w:val="en-AU"/>
              </w:rPr>
              <w:t xml:space="preserve"> (Beasley, Brittany; Barone, Claudia P; Heo, Seongkum; Wright, Patricia B; Selig, James P; Rhoads, Sarah; Griebel, Jack</w:t>
            </w:r>
            <w:r>
              <w:rPr>
                <w:rFonts w:ascii="Garamond" w:hAnsi="Garamond"/>
                <w:lang w:val="en-AU"/>
              </w:rPr>
              <w:t>)</w:t>
            </w:r>
          </w:p>
          <w:p w:rsidR="00831A9A" w:rsidRDefault="00831A9A" w:rsidP="00A57A7E">
            <w:pPr>
              <w:pStyle w:val="ListParagraph"/>
              <w:numPr>
                <w:ilvl w:val="0"/>
                <w:numId w:val="15"/>
              </w:numPr>
              <w:rPr>
                <w:rFonts w:ascii="Garamond" w:hAnsi="Garamond"/>
                <w:lang w:val="en-AU"/>
              </w:rPr>
            </w:pPr>
            <w:r w:rsidRPr="00831A9A">
              <w:rPr>
                <w:rFonts w:ascii="Garamond" w:hAnsi="Garamond"/>
                <w:lang w:val="en-AU"/>
              </w:rPr>
              <w:t xml:space="preserve">Improving </w:t>
            </w:r>
            <w:r w:rsidRPr="00831A9A">
              <w:rPr>
                <w:rFonts w:ascii="Garamond" w:hAnsi="Garamond"/>
                <w:b/>
                <w:lang w:val="en-AU"/>
              </w:rPr>
              <w:t>Nonvocal Critical Care Patients' Ease of Communication</w:t>
            </w:r>
            <w:r w:rsidRPr="00831A9A">
              <w:rPr>
                <w:rFonts w:ascii="Garamond" w:hAnsi="Garamond"/>
                <w:lang w:val="en-AU"/>
              </w:rPr>
              <w:t xml:space="preserve"> Using a Modified SPEACS-2 Program (Trotta, Rebecca L; Hermann, Robin M; Polomano, Rosemary C; Happ, Mary Beth</w:t>
            </w:r>
            <w:r>
              <w:rPr>
                <w:rFonts w:ascii="Garamond" w:hAnsi="Garamond"/>
                <w:lang w:val="en-AU"/>
              </w:rPr>
              <w:t>)</w:t>
            </w:r>
          </w:p>
          <w:p w:rsidR="00831A9A" w:rsidRDefault="00831A9A" w:rsidP="006A7142">
            <w:pPr>
              <w:pStyle w:val="ListParagraph"/>
              <w:numPr>
                <w:ilvl w:val="0"/>
                <w:numId w:val="15"/>
              </w:numPr>
              <w:rPr>
                <w:rFonts w:ascii="Garamond" w:hAnsi="Garamond"/>
                <w:lang w:val="en-AU"/>
              </w:rPr>
            </w:pPr>
            <w:r w:rsidRPr="00831A9A">
              <w:rPr>
                <w:rFonts w:ascii="Garamond" w:hAnsi="Garamond"/>
                <w:b/>
                <w:lang w:val="en-AU"/>
              </w:rPr>
              <w:t>Hospital Readmissions</w:t>
            </w:r>
            <w:r w:rsidRPr="00831A9A">
              <w:rPr>
                <w:rFonts w:ascii="Garamond" w:hAnsi="Garamond"/>
                <w:lang w:val="en-AU"/>
              </w:rPr>
              <w:t xml:space="preserve"> to Nonindex Hospitals: Patterns and Determinants Following the Medicare Readmission Reduction Penalty Program (Hasan, Md. Mahmudul; Noor-E-Alam, Md.; Wang, Xiaoyi; Zepeda, E David; J Young, G</w:t>
            </w:r>
            <w:r>
              <w:rPr>
                <w:rFonts w:ascii="Garamond" w:hAnsi="Garamond"/>
                <w:lang w:val="en-AU"/>
              </w:rPr>
              <w:t>)</w:t>
            </w:r>
          </w:p>
          <w:p w:rsidR="00831A9A" w:rsidRPr="00C15431" w:rsidRDefault="00831A9A" w:rsidP="001A3B40">
            <w:pPr>
              <w:pStyle w:val="ListParagraph"/>
              <w:numPr>
                <w:ilvl w:val="0"/>
                <w:numId w:val="15"/>
              </w:numPr>
              <w:rPr>
                <w:rFonts w:ascii="Garamond" w:hAnsi="Garamond"/>
                <w:lang w:val="en-AU"/>
              </w:rPr>
            </w:pPr>
            <w:r w:rsidRPr="00831A9A">
              <w:rPr>
                <w:rFonts w:ascii="Garamond" w:hAnsi="Garamond"/>
                <w:lang w:val="en-AU"/>
              </w:rPr>
              <w:t xml:space="preserve">Using Simulation and Competency Assessment to Decrease </w:t>
            </w:r>
            <w:r w:rsidRPr="001A3B40">
              <w:rPr>
                <w:rFonts w:ascii="Garamond" w:hAnsi="Garamond"/>
                <w:b/>
                <w:lang w:val="en-AU"/>
              </w:rPr>
              <w:t>Inappropriate Referrals to a Comprehensive Vascular Access Team</w:t>
            </w:r>
            <w:r>
              <w:rPr>
                <w:rFonts w:ascii="Garamond" w:hAnsi="Garamond"/>
                <w:lang w:val="en-AU"/>
              </w:rPr>
              <w:t xml:space="preserve"> (</w:t>
            </w:r>
            <w:r w:rsidRPr="00831A9A">
              <w:rPr>
                <w:rFonts w:ascii="Garamond" w:hAnsi="Garamond"/>
                <w:lang w:val="en-AU"/>
              </w:rPr>
              <w:t>Nguyen, Somali; Jones, Allison; Polancich, Shea; Poe, Terri; Garrigan, April; Talley, Michele</w:t>
            </w:r>
            <w:r>
              <w:rPr>
                <w:rFonts w:ascii="Garamond" w:hAnsi="Garamond"/>
                <w:lang w:val="en-AU"/>
              </w:rPr>
              <w:t>)</w:t>
            </w:r>
          </w:p>
        </w:tc>
      </w:tr>
    </w:tbl>
    <w:p w:rsidR="00831A9A" w:rsidRDefault="00831A9A" w:rsidP="00831A9A">
      <w:pPr>
        <w:keepNext/>
        <w:rPr>
          <w:rFonts w:ascii="Garamond" w:hAnsi="Garamond"/>
          <w:i/>
          <w:lang w:val="en-AU"/>
        </w:rPr>
      </w:pPr>
    </w:p>
    <w:p w:rsidR="00C326DD" w:rsidRDefault="00C326DD" w:rsidP="00C326DD">
      <w:pPr>
        <w:keepNext/>
        <w:rPr>
          <w:rFonts w:ascii="Garamond" w:hAnsi="Garamond"/>
          <w:lang w:val="en-AU"/>
        </w:rPr>
      </w:pPr>
      <w:r w:rsidRPr="00C326DD">
        <w:rPr>
          <w:rFonts w:ascii="Garamond" w:hAnsi="Garamond"/>
          <w:i/>
          <w:lang w:val="en-AU"/>
        </w:rPr>
        <w:t>Journal of Health Services Research &amp; Policy</w:t>
      </w:r>
    </w:p>
    <w:p w:rsidR="00C326DD" w:rsidRPr="00612D3D" w:rsidRDefault="00C326DD" w:rsidP="00831A9A">
      <w:pPr>
        <w:keepNext/>
        <w:rPr>
          <w:rFonts w:ascii="Garamond" w:hAnsi="Garamond"/>
          <w:lang w:val="en-AU"/>
        </w:rPr>
      </w:pPr>
      <w:r w:rsidRPr="00C326DD">
        <w:rPr>
          <w:rFonts w:ascii="Garamond" w:hAnsi="Garamond"/>
          <w:lang w:val="en-AU"/>
        </w:rPr>
        <w:t>Volume: 25, Number: 1 (January 2020)</w:t>
      </w:r>
    </w:p>
    <w:tbl>
      <w:tblPr>
        <w:tblStyle w:val="TableGrid"/>
        <w:tblW w:w="9360" w:type="dxa"/>
        <w:tblInd w:w="288" w:type="dxa"/>
        <w:tblLayout w:type="fixed"/>
        <w:tblLook w:val="01E0" w:firstRow="1" w:lastRow="1" w:firstColumn="1" w:lastColumn="1" w:noHBand="0" w:noVBand="0"/>
      </w:tblPr>
      <w:tblGrid>
        <w:gridCol w:w="1080"/>
        <w:gridCol w:w="8280"/>
      </w:tblGrid>
      <w:tr w:rsidR="00831A9A" w:rsidRPr="000170DA" w:rsidTr="001F56FF">
        <w:tc>
          <w:tcPr>
            <w:tcW w:w="1080" w:type="dxa"/>
            <w:tcBorders>
              <w:top w:val="single" w:sz="4" w:space="0" w:color="auto"/>
              <w:left w:val="single" w:sz="4" w:space="0" w:color="auto"/>
              <w:bottom w:val="single" w:sz="4" w:space="0" w:color="auto"/>
              <w:right w:val="single" w:sz="4" w:space="0" w:color="auto"/>
            </w:tcBorders>
            <w:vAlign w:val="center"/>
          </w:tcPr>
          <w:p w:rsidR="00831A9A" w:rsidRPr="000170DA" w:rsidRDefault="00831A9A" w:rsidP="001F56F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1A9A" w:rsidRPr="000170DA" w:rsidRDefault="005D13E1" w:rsidP="00E00EB7">
            <w:pPr>
              <w:rPr>
                <w:rStyle w:val="Hyperlink"/>
                <w:rFonts w:ascii="Garamond" w:hAnsi="Garamond"/>
                <w:color w:val="auto"/>
                <w:u w:val="none"/>
                <w:lang w:val="en-AU"/>
              </w:rPr>
            </w:pPr>
            <w:hyperlink r:id="rId35" w:history="1">
              <w:r w:rsidR="00E00EB7" w:rsidRPr="00555209">
                <w:rPr>
                  <w:rStyle w:val="Hyperlink"/>
                  <w:rFonts w:ascii="Garamond" w:hAnsi="Garamond"/>
                  <w:lang w:val="en-AU"/>
                </w:rPr>
                <w:t>https://journals.sagepub.com/toc/hsrb/25/1</w:t>
              </w:r>
            </w:hyperlink>
          </w:p>
        </w:tc>
      </w:tr>
      <w:tr w:rsidR="00831A9A" w:rsidRPr="000170DA" w:rsidTr="001F56FF">
        <w:tc>
          <w:tcPr>
            <w:tcW w:w="1080" w:type="dxa"/>
            <w:tcBorders>
              <w:top w:val="single" w:sz="4" w:space="0" w:color="auto"/>
              <w:left w:val="single" w:sz="4" w:space="0" w:color="auto"/>
              <w:bottom w:val="single" w:sz="4" w:space="0" w:color="auto"/>
              <w:right w:val="single" w:sz="4" w:space="0" w:color="auto"/>
            </w:tcBorders>
            <w:vAlign w:val="center"/>
          </w:tcPr>
          <w:p w:rsidR="00831A9A" w:rsidRPr="000170DA" w:rsidRDefault="00831A9A" w:rsidP="001F56F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A9A" w:rsidRPr="007C3778" w:rsidRDefault="00831A9A" w:rsidP="001F56FF">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C326DD" w:rsidRPr="00C326DD">
              <w:rPr>
                <w:rFonts w:ascii="Garamond" w:hAnsi="Garamond"/>
                <w:i/>
                <w:lang w:val="en-AU"/>
              </w:rPr>
              <w:t>Journal of Health Services Research &amp; Policy</w:t>
            </w:r>
            <w:r w:rsidR="00C326DD"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C326DD" w:rsidRPr="00C326DD">
              <w:rPr>
                <w:rFonts w:ascii="Garamond" w:hAnsi="Garamond"/>
                <w:i/>
                <w:lang w:val="en-AU"/>
              </w:rPr>
              <w:t>Journal of Health Services Research &amp; Policy</w:t>
            </w:r>
            <w:r w:rsidR="00C326DD" w:rsidRPr="00B440ED">
              <w:rPr>
                <w:rFonts w:ascii="Garamond" w:hAnsi="Garamond"/>
                <w:lang w:val="en-AU"/>
              </w:rPr>
              <w:t xml:space="preserve"> </w:t>
            </w:r>
            <w:r w:rsidRPr="00B440ED">
              <w:rPr>
                <w:rFonts w:ascii="Garamond" w:hAnsi="Garamond"/>
                <w:lang w:val="en-AU"/>
              </w:rPr>
              <w:t>include:</w:t>
            </w:r>
          </w:p>
          <w:p w:rsidR="00C326DD" w:rsidRDefault="00C326DD" w:rsidP="00CB106F">
            <w:pPr>
              <w:pStyle w:val="ListParagraph"/>
              <w:numPr>
                <w:ilvl w:val="0"/>
                <w:numId w:val="15"/>
              </w:numPr>
              <w:rPr>
                <w:rFonts w:ascii="Garamond" w:hAnsi="Garamond"/>
                <w:lang w:val="en-AU"/>
              </w:rPr>
            </w:pPr>
            <w:r w:rsidRPr="00C326DD">
              <w:rPr>
                <w:rFonts w:ascii="Garamond" w:hAnsi="Garamond"/>
                <w:lang w:val="en-AU"/>
              </w:rPr>
              <w:t xml:space="preserve">Editorial: </w:t>
            </w:r>
            <w:r w:rsidRPr="00C326DD">
              <w:rPr>
                <w:rFonts w:ascii="Garamond" w:hAnsi="Garamond"/>
                <w:b/>
                <w:lang w:val="en-AU"/>
              </w:rPr>
              <w:t>Partnership and accountability in the era of integrated care</w:t>
            </w:r>
            <w:r w:rsidRPr="00C326DD">
              <w:rPr>
                <w:rFonts w:ascii="Garamond" w:hAnsi="Garamond"/>
                <w:lang w:val="en-AU"/>
              </w:rPr>
              <w:t xml:space="preserve">: a tale from England </w:t>
            </w:r>
            <w:r>
              <w:rPr>
                <w:rFonts w:ascii="Garamond" w:hAnsi="Garamond"/>
                <w:lang w:val="en-AU"/>
              </w:rPr>
              <w:t>(G</w:t>
            </w:r>
            <w:r w:rsidRPr="00C326DD">
              <w:rPr>
                <w:rFonts w:ascii="Garamond" w:hAnsi="Garamond"/>
                <w:lang w:val="en-AU"/>
              </w:rPr>
              <w:t>raham Martin</w:t>
            </w:r>
            <w:r>
              <w:rPr>
                <w:rFonts w:ascii="Garamond" w:hAnsi="Garamond"/>
                <w:lang w:val="en-AU"/>
              </w:rPr>
              <w:t>)</w:t>
            </w:r>
          </w:p>
          <w:p w:rsidR="00C326DD" w:rsidRDefault="00C326DD" w:rsidP="009A7CE9">
            <w:pPr>
              <w:pStyle w:val="ListParagraph"/>
              <w:numPr>
                <w:ilvl w:val="0"/>
                <w:numId w:val="15"/>
              </w:numPr>
              <w:rPr>
                <w:rFonts w:ascii="Garamond" w:hAnsi="Garamond"/>
                <w:lang w:val="en-AU"/>
              </w:rPr>
            </w:pPr>
            <w:r w:rsidRPr="00C326DD">
              <w:rPr>
                <w:rFonts w:ascii="Garamond" w:hAnsi="Garamond"/>
                <w:b/>
                <w:lang w:val="en-AU"/>
              </w:rPr>
              <w:t>Excellence in elective hip and knee surgery</w:t>
            </w:r>
            <w:r w:rsidRPr="00C326DD">
              <w:rPr>
                <w:rFonts w:ascii="Garamond" w:hAnsi="Garamond"/>
                <w:lang w:val="en-AU"/>
              </w:rPr>
              <w:t>: what does it look like? A positive deviance approach (Lesley Hughes, Laura Sheard, Lisa Pinkney, and Rebecca L Lawton)</w:t>
            </w:r>
          </w:p>
          <w:p w:rsidR="00C326DD" w:rsidRPr="00C326DD" w:rsidRDefault="00C326DD" w:rsidP="002A525D">
            <w:pPr>
              <w:pStyle w:val="ListParagraph"/>
              <w:numPr>
                <w:ilvl w:val="0"/>
                <w:numId w:val="15"/>
              </w:numPr>
              <w:rPr>
                <w:rFonts w:ascii="Garamond" w:hAnsi="Garamond"/>
                <w:lang w:val="en-AU"/>
              </w:rPr>
            </w:pPr>
            <w:r w:rsidRPr="00C326DD">
              <w:rPr>
                <w:rFonts w:ascii="Garamond" w:hAnsi="Garamond"/>
                <w:lang w:val="en-AU"/>
              </w:rPr>
              <w:t xml:space="preserve">What is the </w:t>
            </w:r>
            <w:r w:rsidRPr="00C326DD">
              <w:rPr>
                <w:rFonts w:ascii="Garamond" w:hAnsi="Garamond"/>
                <w:b/>
                <w:lang w:val="en-AU"/>
              </w:rPr>
              <w:t>relationship between mortality alerts and other indicators of quality of care</w:t>
            </w:r>
            <w:r w:rsidRPr="00C326DD">
              <w:rPr>
                <w:rFonts w:ascii="Garamond" w:hAnsi="Garamond"/>
                <w:lang w:val="en-AU"/>
              </w:rPr>
              <w:t>? A national cross-sectional study (Elizabeth Cecil, Alex Bottle, Aneez Esmail, Charles Vincent, and Paul Aylin)</w:t>
            </w:r>
          </w:p>
          <w:p w:rsidR="00C326DD" w:rsidRDefault="00C326DD" w:rsidP="009F1844">
            <w:pPr>
              <w:pStyle w:val="ListParagraph"/>
              <w:numPr>
                <w:ilvl w:val="0"/>
                <w:numId w:val="15"/>
              </w:numPr>
              <w:rPr>
                <w:rFonts w:ascii="Garamond" w:hAnsi="Garamond"/>
                <w:lang w:val="en-AU"/>
              </w:rPr>
            </w:pPr>
            <w:r w:rsidRPr="00C326DD">
              <w:rPr>
                <w:rFonts w:ascii="Garamond" w:hAnsi="Garamond"/>
                <w:lang w:val="en-AU"/>
              </w:rPr>
              <w:t xml:space="preserve">Moving towards </w:t>
            </w:r>
            <w:r w:rsidRPr="00C326DD">
              <w:rPr>
                <w:rFonts w:ascii="Garamond" w:hAnsi="Garamond"/>
                <w:b/>
                <w:lang w:val="en-AU"/>
              </w:rPr>
              <w:t>strategic commissioning</w:t>
            </w:r>
            <w:r w:rsidRPr="00C326DD">
              <w:rPr>
                <w:rFonts w:ascii="Garamond" w:hAnsi="Garamond"/>
                <w:lang w:val="en-AU"/>
              </w:rPr>
              <w:t>: impact on clinical commissioning groups as membership organizations (Lynsey Warwick-Giles, Imelda McDermott, Kath Checkland, and Valerie Moran</w:t>
            </w:r>
            <w:r>
              <w:rPr>
                <w:rFonts w:ascii="Garamond" w:hAnsi="Garamond"/>
                <w:lang w:val="en-AU"/>
              </w:rPr>
              <w:t>)</w:t>
            </w:r>
          </w:p>
          <w:p w:rsidR="00C326DD" w:rsidRDefault="00C326DD" w:rsidP="00A07B58">
            <w:pPr>
              <w:pStyle w:val="ListParagraph"/>
              <w:numPr>
                <w:ilvl w:val="0"/>
                <w:numId w:val="15"/>
              </w:numPr>
              <w:rPr>
                <w:rFonts w:ascii="Garamond" w:hAnsi="Garamond"/>
                <w:lang w:val="en-AU"/>
              </w:rPr>
            </w:pPr>
            <w:r w:rsidRPr="00C326DD">
              <w:rPr>
                <w:rFonts w:ascii="Garamond" w:hAnsi="Garamond"/>
                <w:lang w:val="en-AU"/>
              </w:rPr>
              <w:t xml:space="preserve">Reforming medical regulation: a qualitative study of the implementation of </w:t>
            </w:r>
            <w:r w:rsidRPr="00C326DD">
              <w:rPr>
                <w:rFonts w:ascii="Garamond" w:hAnsi="Garamond"/>
                <w:b/>
                <w:lang w:val="en-AU"/>
              </w:rPr>
              <w:t>medical revalidation</w:t>
            </w:r>
            <w:r w:rsidRPr="00C326DD">
              <w:rPr>
                <w:rFonts w:ascii="Garamond" w:hAnsi="Garamond"/>
                <w:lang w:val="en-AU"/>
              </w:rPr>
              <w:t xml:space="preserve"> in England, using Normalization Process Theory (Abigail Tazzyman, Jane Ferguson, Alan Boyd, Marie Bryce, John Tredinnick-Rowe, Tristan Price, and Kieran Walshe</w:t>
            </w:r>
            <w:r>
              <w:rPr>
                <w:rFonts w:ascii="Garamond" w:hAnsi="Garamond"/>
                <w:lang w:val="en-AU"/>
              </w:rPr>
              <w:t>)</w:t>
            </w:r>
          </w:p>
          <w:p w:rsidR="00C326DD" w:rsidRDefault="00C326DD" w:rsidP="003A3882">
            <w:pPr>
              <w:pStyle w:val="ListParagraph"/>
              <w:numPr>
                <w:ilvl w:val="0"/>
                <w:numId w:val="15"/>
              </w:numPr>
              <w:rPr>
                <w:rFonts w:ascii="Garamond" w:hAnsi="Garamond"/>
                <w:lang w:val="en-AU"/>
              </w:rPr>
            </w:pPr>
            <w:r w:rsidRPr="00C326DD">
              <w:rPr>
                <w:rFonts w:ascii="Garamond" w:hAnsi="Garamond"/>
                <w:lang w:val="en-AU"/>
              </w:rPr>
              <w:t xml:space="preserve">Partnership or insanity: why do </w:t>
            </w:r>
            <w:r w:rsidRPr="00C326DD">
              <w:rPr>
                <w:rFonts w:ascii="Garamond" w:hAnsi="Garamond"/>
                <w:b/>
                <w:lang w:val="en-AU"/>
              </w:rPr>
              <w:t>health partnerships</w:t>
            </w:r>
            <w:r w:rsidRPr="00C326DD">
              <w:rPr>
                <w:rFonts w:ascii="Garamond" w:hAnsi="Garamond"/>
                <w:lang w:val="en-AU"/>
              </w:rPr>
              <w:t xml:space="preserve"> do the same thing over and over again and expect a different result? (Neil Perkins, David J Hunter, Shelina Visram, Rachael Finn, Jennifer Gosling, Lee Adams, and A Forrest</w:t>
            </w:r>
            <w:r>
              <w:rPr>
                <w:rFonts w:ascii="Garamond" w:hAnsi="Garamond"/>
                <w:lang w:val="en-AU"/>
              </w:rPr>
              <w:t>)</w:t>
            </w:r>
          </w:p>
          <w:p w:rsidR="00C326DD" w:rsidRDefault="00C326DD" w:rsidP="00CE5570">
            <w:pPr>
              <w:pStyle w:val="ListParagraph"/>
              <w:numPr>
                <w:ilvl w:val="0"/>
                <w:numId w:val="15"/>
              </w:numPr>
              <w:rPr>
                <w:rFonts w:ascii="Garamond" w:hAnsi="Garamond"/>
                <w:lang w:val="en-AU"/>
              </w:rPr>
            </w:pPr>
            <w:r w:rsidRPr="00C326DD">
              <w:rPr>
                <w:rFonts w:ascii="Garamond" w:hAnsi="Garamond"/>
                <w:lang w:val="en-AU"/>
              </w:rPr>
              <w:t xml:space="preserve">The influence of health systems on </w:t>
            </w:r>
            <w:r w:rsidRPr="00C326DD">
              <w:rPr>
                <w:rFonts w:ascii="Garamond" w:hAnsi="Garamond"/>
                <w:b/>
                <w:lang w:val="en-AU"/>
              </w:rPr>
              <w:t>breast, cervical and colorectal cancer screening</w:t>
            </w:r>
            <w:r w:rsidRPr="00C326DD">
              <w:rPr>
                <w:rFonts w:ascii="Garamond" w:hAnsi="Garamond"/>
                <w:lang w:val="en-AU"/>
              </w:rPr>
              <w:t>: an overview of systematic reviews using health systems and implementation research frameworks (Jennifer Priaulx, Eleanor Turnbull, Eveline Heijnsdijk, Marcell Csanádi, C Senore, H J de Koning, and M McKee</w:t>
            </w:r>
            <w:r>
              <w:rPr>
                <w:rFonts w:ascii="Garamond" w:hAnsi="Garamond"/>
                <w:lang w:val="en-AU"/>
              </w:rPr>
              <w:t>)</w:t>
            </w:r>
          </w:p>
          <w:p w:rsidR="00831A9A" w:rsidRPr="00C15431" w:rsidRDefault="00C326DD" w:rsidP="00C326DD">
            <w:pPr>
              <w:pStyle w:val="ListParagraph"/>
              <w:numPr>
                <w:ilvl w:val="0"/>
                <w:numId w:val="15"/>
              </w:numPr>
              <w:rPr>
                <w:rFonts w:ascii="Garamond" w:hAnsi="Garamond"/>
                <w:lang w:val="en-AU"/>
              </w:rPr>
            </w:pPr>
            <w:r w:rsidRPr="00C326DD">
              <w:rPr>
                <w:rFonts w:ascii="Garamond" w:hAnsi="Garamond"/>
                <w:lang w:val="en-AU"/>
              </w:rPr>
              <w:t xml:space="preserve">Identifying approaches for synthesizing and summarizing information to support </w:t>
            </w:r>
            <w:r w:rsidRPr="00C326DD">
              <w:rPr>
                <w:rFonts w:ascii="Garamond" w:hAnsi="Garamond"/>
                <w:b/>
                <w:lang w:val="en-AU"/>
              </w:rPr>
              <w:t>informed citizen deliberations in health policy</w:t>
            </w:r>
            <w:r w:rsidRPr="00C326DD">
              <w:rPr>
                <w:rFonts w:ascii="Garamond" w:hAnsi="Garamond"/>
                <w:lang w:val="en-AU"/>
              </w:rPr>
              <w:t>: a scoping review (Michael G Wilson, Aditya Nidumolu, Inna Berditchevskaia, Francois-Pierre Gauvin, Julia Abelson, and John N Lavis)</w:t>
            </w:r>
          </w:p>
        </w:tc>
      </w:tr>
    </w:tbl>
    <w:p w:rsidR="00BC0023" w:rsidRDefault="00BC0023" w:rsidP="00BC0023">
      <w:pPr>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5D13E1" w:rsidP="007A474A">
            <w:pPr>
              <w:keepNext/>
              <w:rPr>
                <w:rFonts w:ascii="Garamond" w:hAnsi="Garamond"/>
                <w:lang w:val="en-AU"/>
              </w:rPr>
            </w:pPr>
            <w:hyperlink r:id="rId36"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213C51" w:rsidRPr="00213C51" w:rsidRDefault="00213C51" w:rsidP="00303122">
            <w:pPr>
              <w:pStyle w:val="ListParagraph"/>
              <w:numPr>
                <w:ilvl w:val="0"/>
                <w:numId w:val="14"/>
              </w:numPr>
              <w:jc w:val="both"/>
              <w:rPr>
                <w:rFonts w:ascii="Garamond" w:hAnsi="Garamond"/>
                <w:lang w:val="en-AU"/>
              </w:rPr>
            </w:pPr>
            <w:r w:rsidRPr="00213C51">
              <w:rPr>
                <w:rFonts w:ascii="Garamond" w:hAnsi="Garamond"/>
                <w:lang w:val="en-AU"/>
              </w:rPr>
              <w:t xml:space="preserve">Preventing critical failure. </w:t>
            </w:r>
            <w:r w:rsidRPr="00213C51">
              <w:rPr>
                <w:rFonts w:ascii="Garamond" w:hAnsi="Garamond"/>
                <w:b/>
                <w:lang w:val="en-AU"/>
              </w:rPr>
              <w:t>Can routinely collected data be repurposed to predict avoidable patient harm?</w:t>
            </w:r>
            <w:r w:rsidRPr="00213C51">
              <w:rPr>
                <w:rFonts w:ascii="Garamond" w:hAnsi="Garamond"/>
                <w:lang w:val="en-AU"/>
              </w:rPr>
              <w:t xml:space="preserve"> A quantitative descriptive study (Benjamin Michael Nowotny, Miranda Davies-Tuck, Belinda Scott, Michael Stewart, Elizabeth Cox, Karen Cusack, Martin Fletcher, Eva Saar, Tanya Farrell, Shirin Anil, Louise McKinlay, Euan M Wallace</w:t>
            </w:r>
            <w:r>
              <w:rPr>
                <w:rFonts w:ascii="Garamond" w:hAnsi="Garamond"/>
                <w:lang w:val="en-AU"/>
              </w:rPr>
              <w:t>)</w:t>
            </w:r>
          </w:p>
          <w:p w:rsidR="00213C51" w:rsidRPr="00213C51" w:rsidRDefault="00213C51" w:rsidP="005D229B">
            <w:pPr>
              <w:pStyle w:val="ListParagraph"/>
              <w:numPr>
                <w:ilvl w:val="0"/>
                <w:numId w:val="14"/>
              </w:numPr>
              <w:jc w:val="both"/>
              <w:rPr>
                <w:rFonts w:ascii="Garamond" w:hAnsi="Garamond"/>
                <w:lang w:val="en-AU"/>
              </w:rPr>
            </w:pPr>
            <w:r w:rsidRPr="00213C51">
              <w:rPr>
                <w:rFonts w:ascii="Garamond" w:hAnsi="Garamond"/>
                <w:b/>
                <w:lang w:val="en-AU"/>
              </w:rPr>
              <w:t>Does team reflexivity impact teamwork and communication</w:t>
            </w:r>
            <w:r w:rsidRPr="00213C51">
              <w:rPr>
                <w:rFonts w:ascii="Garamond" w:hAnsi="Garamond"/>
                <w:lang w:val="en-AU"/>
              </w:rPr>
              <w:t xml:space="preserve"> in interprofessional hospital-based healthcare teams? A systematic review and narrative synthesis (Siobhan Kathleen McHugh, Rebecca Lawton, Jane Kathryn O'Hara, Laura Sheard</w:t>
            </w:r>
            <w:r>
              <w:rPr>
                <w:rFonts w:ascii="Garamond" w:hAnsi="Garamond"/>
                <w:lang w:val="en-AU"/>
              </w:rPr>
              <w:t>)</w:t>
            </w:r>
          </w:p>
          <w:p w:rsidR="002574F3" w:rsidRDefault="00213C51" w:rsidP="00213C51">
            <w:pPr>
              <w:pStyle w:val="ListParagraph"/>
              <w:numPr>
                <w:ilvl w:val="0"/>
                <w:numId w:val="14"/>
              </w:numPr>
              <w:jc w:val="both"/>
              <w:rPr>
                <w:rFonts w:ascii="Garamond" w:hAnsi="Garamond"/>
                <w:lang w:val="en-AU"/>
              </w:rPr>
            </w:pPr>
            <w:r w:rsidRPr="00213C51">
              <w:rPr>
                <w:rFonts w:ascii="Garamond" w:hAnsi="Garamond"/>
                <w:lang w:val="en-AU"/>
              </w:rPr>
              <w:t xml:space="preserve">Multistate programme to reduce </w:t>
            </w:r>
            <w:r w:rsidRPr="00213C51">
              <w:rPr>
                <w:rFonts w:ascii="Garamond" w:hAnsi="Garamond"/>
                <w:b/>
                <w:lang w:val="en-AU"/>
              </w:rPr>
              <w:t>catheter-associated infections</w:t>
            </w:r>
            <w:r w:rsidRPr="00213C51">
              <w:rPr>
                <w:rFonts w:ascii="Garamond" w:hAnsi="Garamond"/>
                <w:lang w:val="en-AU"/>
              </w:rPr>
              <w:t xml:space="preserve"> in intensive care units with elevated infection rates </w:t>
            </w:r>
            <w:r>
              <w:rPr>
                <w:rFonts w:ascii="Garamond" w:hAnsi="Garamond"/>
                <w:lang w:val="en-AU"/>
              </w:rPr>
              <w:t>(</w:t>
            </w:r>
            <w:r w:rsidRPr="00213C51">
              <w:rPr>
                <w:rFonts w:ascii="Garamond" w:hAnsi="Garamond"/>
                <w:lang w:val="en-AU"/>
              </w:rPr>
              <w:t>Jennifer Meddings, M Todd Greene, David Ratz, Jessica Ameling, Karen E Fowler, Andrew J Rolle, Louella Hung, Sue Collier, Sanjay Saint</w:t>
            </w:r>
            <w:r>
              <w:rPr>
                <w:rFonts w:ascii="Garamond" w:hAnsi="Garamond"/>
                <w:lang w:val="en-AU"/>
              </w:rPr>
              <w:t>)</w:t>
            </w:r>
          </w:p>
          <w:p w:rsidR="00C9441B" w:rsidRPr="00C9441B" w:rsidRDefault="00C9441B" w:rsidP="00B33A0D">
            <w:pPr>
              <w:pStyle w:val="ListParagraph"/>
              <w:numPr>
                <w:ilvl w:val="0"/>
                <w:numId w:val="14"/>
              </w:numPr>
              <w:jc w:val="both"/>
              <w:rPr>
                <w:rFonts w:ascii="Garamond" w:hAnsi="Garamond"/>
                <w:lang w:val="en-AU"/>
              </w:rPr>
            </w:pPr>
            <w:r w:rsidRPr="00C9441B">
              <w:rPr>
                <w:rFonts w:ascii="Garamond" w:hAnsi="Garamond"/>
                <w:lang w:val="en-AU"/>
              </w:rPr>
              <w:t xml:space="preserve">How can </w:t>
            </w:r>
            <w:r w:rsidRPr="00C9441B">
              <w:rPr>
                <w:rFonts w:ascii="Garamond" w:hAnsi="Garamond"/>
                <w:b/>
                <w:lang w:val="en-AU"/>
              </w:rPr>
              <w:t>patient-held lists of medication enhance patient safety</w:t>
            </w:r>
            <w:r w:rsidRPr="00C9441B">
              <w:rPr>
                <w:rFonts w:ascii="Garamond" w:hAnsi="Garamond"/>
                <w:lang w:val="en-AU"/>
              </w:rPr>
              <w:t>? A mixed-methods study with a focus on user experience (Sara Garfield, Dominic Furniss, Fran Husson, Mike Etkind, Marney Williams, John Norton, Della Ogunleye, Barry Jubraj, Hanaa Lakhdari, Bryony Dean Franklin</w:t>
            </w:r>
            <w:r>
              <w:rPr>
                <w:rFonts w:ascii="Garamond" w:hAnsi="Garamond"/>
                <w:lang w:val="en-AU"/>
              </w:rPr>
              <w:t>)</w:t>
            </w:r>
          </w:p>
          <w:p w:rsidR="00C9441B" w:rsidRPr="00D83413" w:rsidRDefault="00C9441B" w:rsidP="00C9441B">
            <w:pPr>
              <w:pStyle w:val="ListParagraph"/>
              <w:numPr>
                <w:ilvl w:val="0"/>
                <w:numId w:val="14"/>
              </w:numPr>
              <w:jc w:val="both"/>
              <w:rPr>
                <w:rFonts w:ascii="Garamond" w:hAnsi="Garamond"/>
                <w:lang w:val="en-AU"/>
              </w:rPr>
            </w:pPr>
            <w:r w:rsidRPr="00C9441B">
              <w:rPr>
                <w:rFonts w:ascii="Garamond" w:hAnsi="Garamond"/>
                <w:b/>
                <w:lang w:val="en-AU"/>
              </w:rPr>
              <w:t>What do emergency department physicians and nurses feel?</w:t>
            </w:r>
            <w:r w:rsidRPr="00C9441B">
              <w:rPr>
                <w:rFonts w:ascii="Garamond" w:hAnsi="Garamond"/>
                <w:lang w:val="en-AU"/>
              </w:rPr>
              <w:t xml:space="preserve"> A qualitative study of emotions, triggers, regulation strategies, and effects on patient care</w:t>
            </w:r>
            <w:r>
              <w:rPr>
                <w:rFonts w:ascii="Garamond" w:hAnsi="Garamond"/>
                <w:lang w:val="en-AU"/>
              </w:rPr>
              <w:t xml:space="preserve"> (</w:t>
            </w:r>
            <w:r w:rsidRPr="00C9441B">
              <w:rPr>
                <w:rFonts w:ascii="Garamond" w:hAnsi="Garamond"/>
                <w:lang w:val="en-AU"/>
              </w:rPr>
              <w:t>Linda M Isbell, Edwin D Boudreaux, Hannah Chimowitz, Guanyu Liu, Emma Cyr, Ezekiel Kimball</w:t>
            </w:r>
            <w:r>
              <w:rPr>
                <w:rFonts w:ascii="Garamond" w:hAnsi="Garamond"/>
                <w:lang w:val="en-AU"/>
              </w:rPr>
              <w:t>)</w:t>
            </w:r>
          </w:p>
        </w:tc>
      </w:tr>
    </w:tbl>
    <w:p w:rsidR="007B2166" w:rsidRDefault="007B2166" w:rsidP="007B2166">
      <w:pPr>
        <w:keepNext/>
        <w:rPr>
          <w:rFonts w:ascii="Garamond" w:hAnsi="Garamond"/>
          <w:i/>
          <w:lang w:val="en-AU"/>
        </w:rPr>
      </w:pPr>
    </w:p>
    <w:p w:rsidR="007B2166" w:rsidRPr="00467B47" w:rsidRDefault="007B2166" w:rsidP="007B2166">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B2166" w:rsidRPr="00467B47"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467B47" w:rsidRDefault="007B2166" w:rsidP="00FD4F26">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467B47" w:rsidRDefault="005D13E1" w:rsidP="00FD4F26">
            <w:pPr>
              <w:keepNext/>
              <w:rPr>
                <w:rFonts w:ascii="Garamond" w:hAnsi="Garamond"/>
                <w:lang w:val="en-AU"/>
              </w:rPr>
            </w:pPr>
            <w:hyperlink r:id="rId37" w:history="1">
              <w:r w:rsidR="007B2166" w:rsidRPr="00D31E10">
                <w:rPr>
                  <w:rStyle w:val="Hyperlink"/>
                  <w:rFonts w:ascii="Garamond" w:hAnsi="Garamond"/>
                  <w:lang w:val="en-AU"/>
                </w:rPr>
                <w:t>https://academic.oup.com/intqhc/advance-articles</w:t>
              </w:r>
            </w:hyperlink>
          </w:p>
        </w:tc>
      </w:tr>
      <w:tr w:rsidR="007B2166" w:rsidRPr="00467B47"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467B47" w:rsidRDefault="007B2166" w:rsidP="00FD4F26">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467B47" w:rsidRDefault="007B2166" w:rsidP="00FD4F26">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213C51" w:rsidRDefault="00213C51" w:rsidP="00213C51">
            <w:pPr>
              <w:pStyle w:val="ListParagraph"/>
              <w:numPr>
                <w:ilvl w:val="0"/>
                <w:numId w:val="14"/>
              </w:numPr>
              <w:jc w:val="both"/>
              <w:rPr>
                <w:rFonts w:ascii="Garamond" w:hAnsi="Garamond"/>
                <w:lang w:val="en-AU"/>
              </w:rPr>
            </w:pPr>
            <w:r w:rsidRPr="00213C51">
              <w:rPr>
                <w:rFonts w:ascii="Garamond" w:hAnsi="Garamond"/>
                <w:b/>
                <w:lang w:val="en-AU"/>
              </w:rPr>
              <w:t>Quality healthcare in extreme adversity</w:t>
            </w:r>
            <w:r w:rsidRPr="00213C51">
              <w:rPr>
                <w:rFonts w:ascii="Garamond" w:hAnsi="Garamond"/>
                <w:lang w:val="en-AU"/>
              </w:rPr>
              <w:t xml:space="preserve">: Developing a framework for action </w:t>
            </w:r>
            <w:r>
              <w:rPr>
                <w:rFonts w:ascii="Garamond" w:hAnsi="Garamond"/>
                <w:lang w:val="en-AU"/>
              </w:rPr>
              <w:t>(</w:t>
            </w:r>
            <w:r w:rsidRPr="00213C51">
              <w:rPr>
                <w:rFonts w:ascii="Garamond" w:hAnsi="Garamond"/>
                <w:lang w:val="en-AU"/>
              </w:rPr>
              <w:t>Sheila Leatherman, Linda Tawfik, Dilshad Jaff, Grace Jaworski, Matthew Neilson</w:t>
            </w:r>
            <w:r>
              <w:rPr>
                <w:rFonts w:ascii="Garamond" w:hAnsi="Garamond"/>
                <w:lang w:val="en-AU"/>
              </w:rPr>
              <w:t xml:space="preserve">, </w:t>
            </w:r>
            <w:r w:rsidRPr="00213C51">
              <w:rPr>
                <w:rFonts w:ascii="Garamond" w:hAnsi="Garamond"/>
                <w:lang w:val="en-AU"/>
              </w:rPr>
              <w:t>Mondher Letaief, Shamsuzzoha Babar Syed</w:t>
            </w:r>
            <w:r>
              <w:rPr>
                <w:rFonts w:ascii="Garamond" w:hAnsi="Garamond"/>
                <w:lang w:val="en-AU"/>
              </w:rPr>
              <w:t>)</w:t>
            </w:r>
          </w:p>
          <w:p w:rsidR="00471640" w:rsidRPr="00721A1B" w:rsidRDefault="00213C51" w:rsidP="00213C51">
            <w:pPr>
              <w:pStyle w:val="ListParagraph"/>
              <w:numPr>
                <w:ilvl w:val="0"/>
                <w:numId w:val="14"/>
              </w:numPr>
              <w:jc w:val="both"/>
              <w:rPr>
                <w:rFonts w:ascii="Garamond" w:hAnsi="Garamond"/>
                <w:lang w:val="en-AU"/>
              </w:rPr>
            </w:pPr>
            <w:r w:rsidRPr="00213C51">
              <w:rPr>
                <w:rFonts w:ascii="Garamond" w:hAnsi="Garamond"/>
                <w:lang w:val="en-AU"/>
              </w:rPr>
              <w:t xml:space="preserve">Improvements in </w:t>
            </w:r>
            <w:r w:rsidRPr="00213C51">
              <w:rPr>
                <w:rFonts w:ascii="Garamond" w:hAnsi="Garamond"/>
                <w:b/>
                <w:lang w:val="en-AU"/>
              </w:rPr>
              <w:t>patient safety culture</w:t>
            </w:r>
            <w:r w:rsidRPr="00213C51">
              <w:rPr>
                <w:rFonts w:ascii="Garamond" w:hAnsi="Garamond"/>
                <w:lang w:val="en-AU"/>
              </w:rPr>
              <w:t>: a national Taiwanese survey, 2009–16 (Brian Yu, Cheng-Fan Wen, Heng-Lien Lo, Hsun-Hsiang Liao, Pa-Chun Wang</w:t>
            </w:r>
            <w:r>
              <w:rPr>
                <w:rFonts w:ascii="Garamond" w:hAnsi="Garamond"/>
                <w:lang w:val="en-AU"/>
              </w:rPr>
              <w:t>)</w:t>
            </w:r>
          </w:p>
        </w:tc>
      </w:tr>
    </w:tbl>
    <w:p w:rsidR="00FF6D47" w:rsidRDefault="00FF6D47" w:rsidP="00E338A4">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E13727" w:rsidRDefault="00E13727" w:rsidP="00E338A4">
      <w:pPr>
        <w:keepNext/>
        <w:rPr>
          <w:rFonts w:ascii="Garamond" w:hAnsi="Garamond"/>
          <w:lang w:val="en-AU"/>
        </w:rPr>
      </w:pPr>
    </w:p>
    <w:p w:rsidR="007B2166" w:rsidRPr="000170DA" w:rsidRDefault="007B2166" w:rsidP="007B2166">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7B2166" w:rsidRDefault="005D13E1" w:rsidP="007B2166">
      <w:pPr>
        <w:keepNext/>
        <w:keepLines/>
        <w:rPr>
          <w:rFonts w:ascii="Garamond" w:hAnsi="Garamond"/>
          <w:u w:val="single"/>
          <w:lang w:val="en-AU"/>
        </w:rPr>
      </w:pPr>
      <w:hyperlink r:id="rId38" w:history="1">
        <w:r w:rsidR="007B2166" w:rsidRPr="00131E90">
          <w:rPr>
            <w:rStyle w:val="Hyperlink"/>
            <w:rFonts w:ascii="Garamond" w:hAnsi="Garamond"/>
            <w:lang w:val="en-AU"/>
          </w:rPr>
          <w:t>https://www.nice.org.uk/guidance</w:t>
        </w:r>
      </w:hyperlink>
    </w:p>
    <w:p w:rsidR="007B2166" w:rsidRPr="000170DA" w:rsidRDefault="007B2166" w:rsidP="007B2166">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7B2166" w:rsidRDefault="007B2166" w:rsidP="00213C51">
      <w:pPr>
        <w:pStyle w:val="ListParagraph"/>
        <w:keepNext/>
        <w:keepLines/>
        <w:numPr>
          <w:ilvl w:val="0"/>
          <w:numId w:val="14"/>
        </w:numPr>
        <w:rPr>
          <w:rFonts w:ascii="Garamond" w:hAnsi="Garamond"/>
          <w:lang w:val="en-AU"/>
        </w:rPr>
      </w:pPr>
      <w:r>
        <w:rPr>
          <w:rFonts w:ascii="Garamond" w:hAnsi="Garamond"/>
          <w:lang w:val="en-AU"/>
        </w:rPr>
        <w:t>Quality Standard QS</w:t>
      </w:r>
      <w:r w:rsidR="00213C51">
        <w:rPr>
          <w:rFonts w:ascii="Garamond" w:hAnsi="Garamond"/>
          <w:lang w:val="en-AU"/>
        </w:rPr>
        <w:t>33</w:t>
      </w:r>
      <w:r w:rsidR="00C15431">
        <w:rPr>
          <w:rFonts w:ascii="Garamond" w:hAnsi="Garamond"/>
          <w:lang w:val="en-AU"/>
        </w:rPr>
        <w:t xml:space="preserve"> </w:t>
      </w:r>
      <w:r w:rsidR="00213C51" w:rsidRPr="00213C51">
        <w:rPr>
          <w:rFonts w:ascii="Garamond" w:hAnsi="Garamond"/>
          <w:b/>
          <w:i/>
          <w:lang w:val="en-AU"/>
        </w:rPr>
        <w:t>Rheumatoid arthritis</w:t>
      </w:r>
      <w:r w:rsidR="00213C51" w:rsidRPr="00213C51">
        <w:rPr>
          <w:rFonts w:ascii="Garamond" w:hAnsi="Garamond"/>
          <w:i/>
          <w:lang w:val="en-AU"/>
        </w:rPr>
        <w:t xml:space="preserve"> in over 16s</w:t>
      </w:r>
      <w:r w:rsidR="00213C51">
        <w:rPr>
          <w:rFonts w:ascii="Garamond" w:hAnsi="Garamond"/>
          <w:lang w:val="en-AU"/>
        </w:rPr>
        <w:t xml:space="preserve"> </w:t>
      </w:r>
      <w:hyperlink r:id="rId39" w:history="1">
        <w:r w:rsidR="00213C51" w:rsidRPr="004D4B6C">
          <w:rPr>
            <w:rStyle w:val="Hyperlink"/>
            <w:rFonts w:ascii="Garamond" w:hAnsi="Garamond"/>
            <w:lang w:val="en-AU"/>
          </w:rPr>
          <w:t>https://www.nice.org.uk/guidance/qs33</w:t>
        </w:r>
      </w:hyperlink>
    </w:p>
    <w:p w:rsidR="00213C51" w:rsidRDefault="00213C51" w:rsidP="00213C51">
      <w:pPr>
        <w:pStyle w:val="ListParagraph"/>
        <w:keepNext/>
        <w:keepLines/>
        <w:numPr>
          <w:ilvl w:val="0"/>
          <w:numId w:val="14"/>
        </w:numPr>
        <w:rPr>
          <w:rFonts w:ascii="Garamond" w:hAnsi="Garamond"/>
          <w:lang w:val="en-AU"/>
        </w:rPr>
      </w:pPr>
      <w:r>
        <w:rPr>
          <w:rFonts w:ascii="Garamond" w:hAnsi="Garamond"/>
          <w:lang w:val="en-AU"/>
        </w:rPr>
        <w:t xml:space="preserve">Quality Standard QS190 </w:t>
      </w:r>
      <w:r w:rsidRPr="00213C51">
        <w:rPr>
          <w:rFonts w:ascii="Garamond" w:hAnsi="Garamond"/>
          <w:b/>
          <w:i/>
          <w:lang w:val="en-AU"/>
        </w:rPr>
        <w:t>Flu vaccination</w:t>
      </w:r>
      <w:r w:rsidRPr="00213C51">
        <w:rPr>
          <w:rFonts w:ascii="Garamond" w:hAnsi="Garamond"/>
          <w:i/>
          <w:lang w:val="en-AU"/>
        </w:rPr>
        <w:t>: increasing uptake</w:t>
      </w:r>
      <w:r>
        <w:rPr>
          <w:rFonts w:ascii="Garamond" w:hAnsi="Garamond"/>
          <w:lang w:val="en-AU"/>
        </w:rPr>
        <w:t xml:space="preserve"> </w:t>
      </w:r>
      <w:hyperlink r:id="rId40" w:history="1">
        <w:r w:rsidRPr="004D4B6C">
          <w:rPr>
            <w:rStyle w:val="Hyperlink"/>
            <w:rFonts w:ascii="Garamond" w:hAnsi="Garamond"/>
            <w:lang w:val="en-AU"/>
          </w:rPr>
          <w:t>https://www.nice.org.uk/guidance/qs190</w:t>
        </w:r>
      </w:hyperlink>
    </w:p>
    <w:p w:rsidR="007B2166" w:rsidRPr="00C15431" w:rsidRDefault="00330433" w:rsidP="00213C51">
      <w:pPr>
        <w:pStyle w:val="ListParagraph"/>
        <w:keepNext/>
        <w:keepLines/>
        <w:numPr>
          <w:ilvl w:val="0"/>
          <w:numId w:val="14"/>
        </w:numPr>
        <w:jc w:val="both"/>
        <w:rPr>
          <w:rFonts w:ascii="Garamond" w:hAnsi="Garamond"/>
          <w:lang w:val="en-AU"/>
        </w:rPr>
      </w:pPr>
      <w:r w:rsidRPr="00C15431">
        <w:rPr>
          <w:rFonts w:ascii="Garamond" w:hAnsi="Garamond"/>
          <w:lang w:val="en-AU"/>
        </w:rPr>
        <w:t>NICE Guideline NG</w:t>
      </w:r>
      <w:r w:rsidR="00213C51">
        <w:rPr>
          <w:rFonts w:ascii="Garamond" w:hAnsi="Garamond"/>
          <w:lang w:val="en-AU"/>
        </w:rPr>
        <w:t xml:space="preserve">149 </w:t>
      </w:r>
      <w:r w:rsidR="00213C51" w:rsidRPr="00213C51">
        <w:rPr>
          <w:rFonts w:ascii="Garamond" w:hAnsi="Garamond"/>
          <w:b/>
          <w:i/>
          <w:lang w:val="en-AU"/>
        </w:rPr>
        <w:t>Indoor air quality</w:t>
      </w:r>
      <w:r w:rsidR="00213C51" w:rsidRPr="00213C51">
        <w:rPr>
          <w:rFonts w:ascii="Garamond" w:hAnsi="Garamond"/>
          <w:i/>
          <w:lang w:val="en-AU"/>
        </w:rPr>
        <w:t xml:space="preserve"> at home</w:t>
      </w:r>
      <w:r w:rsidR="00213C51">
        <w:rPr>
          <w:rFonts w:ascii="Garamond" w:hAnsi="Garamond"/>
          <w:lang w:val="en-AU"/>
        </w:rPr>
        <w:t xml:space="preserve"> </w:t>
      </w:r>
      <w:hyperlink r:id="rId41" w:history="1">
        <w:r w:rsidR="00213C51" w:rsidRPr="004D4B6C">
          <w:rPr>
            <w:rStyle w:val="Hyperlink"/>
            <w:rFonts w:ascii="Garamond" w:hAnsi="Garamond"/>
            <w:lang w:val="en-AU"/>
          </w:rPr>
          <w:t>https://www.nice.org.uk/guidance/ng149</w:t>
        </w:r>
      </w:hyperlink>
    </w:p>
    <w:p w:rsidR="00C15431" w:rsidRDefault="00C15431" w:rsidP="00BC0023">
      <w:pPr>
        <w:keepLines/>
        <w:rPr>
          <w:rFonts w:ascii="Garamond" w:hAnsi="Garamond"/>
          <w:i/>
          <w:lang w:val="en-AU"/>
        </w:rPr>
      </w:pPr>
    </w:p>
    <w:p w:rsidR="00213C51" w:rsidRDefault="00213C51" w:rsidP="00FC2402">
      <w:pPr>
        <w:keepNext/>
        <w:keepLines/>
        <w:rPr>
          <w:rFonts w:ascii="Garamond" w:hAnsi="Garamond"/>
          <w:i/>
          <w:lang w:val="en-AU"/>
        </w:rPr>
      </w:pPr>
    </w:p>
    <w:p w:rsidR="00213C51" w:rsidRDefault="00213C51" w:rsidP="00FC2402">
      <w:pPr>
        <w:keepNext/>
        <w:keepLines/>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D13E1">
      <w:rPr>
        <w:rStyle w:val="PageNumber"/>
        <w:noProof/>
      </w:rPr>
      <w:t>4</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15431">
      <w:rPr>
        <w:rFonts w:ascii="Garamond" w:hAnsi="Garamond"/>
      </w:rPr>
      <w:t xml:space="preserve"> Issue 447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D13E1">
      <w:rPr>
        <w:rStyle w:val="PageNumber"/>
        <w:rFonts w:ascii="Garamond" w:hAnsi="Garamond"/>
        <w:noProof/>
      </w:rPr>
      <w:t>3</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C15431">
      <w:rPr>
        <w:rFonts w:ascii="Garamond" w:hAnsi="Garamond"/>
      </w:rPr>
      <w:t xml:space="preserve"> Issue 447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3"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2"/>
  </w:num>
  <w:num w:numId="15">
    <w:abstractNumId w:val="15"/>
  </w:num>
  <w:num w:numId="16">
    <w:abstractNumId w:val="20"/>
  </w:num>
  <w:num w:numId="17">
    <w:abstractNumId w:val="14"/>
  </w:num>
  <w:num w:numId="18">
    <w:abstractNumId w:val="23"/>
  </w:num>
  <w:num w:numId="19">
    <w:abstractNumId w:val="17"/>
  </w:num>
  <w:num w:numId="20">
    <w:abstractNumId w:val="32"/>
  </w:num>
  <w:num w:numId="21">
    <w:abstractNumId w:val="12"/>
  </w:num>
  <w:num w:numId="22">
    <w:abstractNumId w:val="26"/>
  </w:num>
  <w:num w:numId="23">
    <w:abstractNumId w:val="16"/>
  </w:num>
  <w:num w:numId="24">
    <w:abstractNumId w:val="13"/>
  </w:num>
  <w:num w:numId="25">
    <w:abstractNumId w:val="34"/>
  </w:num>
  <w:num w:numId="26">
    <w:abstractNumId w:val="30"/>
  </w:num>
  <w:num w:numId="27">
    <w:abstractNumId w:val="24"/>
  </w:num>
  <w:num w:numId="28">
    <w:abstractNumId w:val="10"/>
  </w:num>
  <w:num w:numId="29">
    <w:abstractNumId w:val="28"/>
  </w:num>
  <w:num w:numId="30">
    <w:abstractNumId w:val="29"/>
  </w:num>
  <w:num w:numId="31">
    <w:abstractNumId w:val="25"/>
  </w:num>
  <w:num w:numId="32">
    <w:abstractNumId w:val="18"/>
  </w:num>
  <w:num w:numId="33">
    <w:abstractNumId w:val="19"/>
  </w:num>
  <w:num w:numId="34">
    <w:abstractNumId w:val="11"/>
  </w:num>
  <w:num w:numId="35">
    <w:abstractNumId w:val="33"/>
  </w:num>
  <w:num w:numId="36">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2A4B"/>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3E1"/>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EB7"/>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431"/>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image" Target="media/image2.jpeg"/><Relationship Id="rId26" Type="http://schemas.openxmlformats.org/officeDocument/2006/relationships/hyperlink" Target="https://doi.org/10.5694/mja2.50438" TargetMode="External"/><Relationship Id="rId39" Type="http://schemas.openxmlformats.org/officeDocument/2006/relationships/hyperlink" Target="https://www.nice.org.uk/guidance/qs33"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journals.lww.com/jhqonline/Pages/currenttoc.asp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infection-prevention-and-control-workbook-2019" TargetMode="External"/><Relationship Id="rId25" Type="http://schemas.openxmlformats.org/officeDocument/2006/relationships/hyperlink" Target="https://doi.org/10.1136/bmj.l6964" TargetMode="External"/><Relationship Id="rId33" Type="http://schemas.openxmlformats.org/officeDocument/2006/relationships/hyperlink" Target="https://dx.doi.org/10.1136/bmjoq-2019-000694" TargetMode="External"/><Relationship Id="rId38" Type="http://schemas.openxmlformats.org/officeDocument/2006/relationships/hyperlink" Target="https://www.nice.org.uk/guidance" TargetMode="External"/><Relationship Id="rId2" Type="http://schemas.openxmlformats.org/officeDocument/2006/relationships/numbering" Target="numbering.xml"/><Relationship Id="rId16" Type="http://schemas.openxmlformats.org/officeDocument/2006/relationships/hyperlink" Target="https://nhhi.southrock.com" TargetMode="External"/><Relationship Id="rId20" Type="http://schemas.openxmlformats.org/officeDocument/2006/relationships/hyperlink" Target="https://www.aci.health.nsw.gov.au/resources/aged-health/other/over-diagnosis-and-over-treatment-in-the-frail-elderly" TargetMode="External"/><Relationship Id="rId29" Type="http://schemas.openxmlformats.org/officeDocument/2006/relationships/hyperlink" Target="https://www.safetyandquality.gov.au/our-work/partnering-consumers/person-centred-care" TargetMode="External"/><Relationship Id="rId41" Type="http://schemas.openxmlformats.org/officeDocument/2006/relationships/hyperlink" Target="https://www.nice.org.uk/guidance/ng1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5.jpeg"/><Relationship Id="rId32" Type="http://schemas.openxmlformats.org/officeDocument/2006/relationships/hyperlink" Target="https://www.safetyandquality.gov.au/medication-safety" TargetMode="External"/><Relationship Id="rId37" Type="http://schemas.openxmlformats.org/officeDocument/2006/relationships/hyperlink" Target="https://academic.oup.com/intqhc/advance-articles" TargetMode="External"/><Relationship Id="rId40" Type="http://schemas.openxmlformats.org/officeDocument/2006/relationships/hyperlink" Target="https://www.nice.org.uk/guidance/qs19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infection-prevention-and-control-workbook-2019" TargetMode="External"/><Relationship Id="rId23" Type="http://schemas.openxmlformats.org/officeDocument/2006/relationships/hyperlink" Target="https://doi.org/10.3310/themedreview-04237" TargetMode="External"/><Relationship Id="rId28" Type="http://schemas.openxmlformats.org/officeDocument/2006/relationships/hyperlink" Target="https://doi.org/10.12927/hcpap.2019.26030" TargetMode="External"/><Relationship Id="rId36" Type="http://schemas.openxmlformats.org/officeDocument/2006/relationships/hyperlink" Target="https://qualitysafety.bmj.com/content/early/recen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image" Target="media/image3.png"/><Relationship Id="rId31" Type="http://schemas.openxmlformats.org/officeDocument/2006/relationships/hyperlink" Target="https://doi.org/10.3390/pharmacy801000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iscover.dc.nihr.ac.uk/content/themedreview-04237/improving-care-by-using-patient-feedback" TargetMode="External"/><Relationship Id="rId27" Type="http://schemas.openxmlformats.org/officeDocument/2006/relationships/hyperlink" Target="https://dx.doi.org/10.1136/bmjopen-2019-031704" TargetMode="External"/><Relationship Id="rId30" Type="http://schemas.openxmlformats.org/officeDocument/2006/relationships/hyperlink" Target="https://doi.org/10.1001/jama.2019.19427" TargetMode="External"/><Relationship Id="rId35" Type="http://schemas.openxmlformats.org/officeDocument/2006/relationships/hyperlink" Target="https://journals.sagepub.com/toc/hsrb/25/1"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5ED2-2990-4A0E-86D5-D70F0060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9</Pages>
  <Words>3043</Words>
  <Characters>19267</Characters>
  <Application>Microsoft Office Word</Application>
  <DocSecurity>0</DocSecurity>
  <Lines>418</Lines>
  <Paragraphs>210</Paragraphs>
  <ScaleCrop>false</ScaleCrop>
  <HeadingPairs>
    <vt:vector size="2" baseType="variant">
      <vt:variant>
        <vt:lpstr>Title</vt:lpstr>
      </vt:variant>
      <vt:variant>
        <vt:i4>1</vt:i4>
      </vt:variant>
    </vt:vector>
  </HeadingPairs>
  <TitlesOfParts>
    <vt:vector size="1" baseType="lpstr">
      <vt:lpstr>On the Radar Issue 446</vt:lpstr>
    </vt:vector>
  </TitlesOfParts>
  <Company>ACSQHC</Company>
  <LinksUpToDate>false</LinksUpToDate>
  <CharactersWithSpaces>22100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447</dc:title>
  <dc:subject/>
  <dc:creator>Dr Niall Johnson</dc:creator>
  <cp:keywords/>
  <dc:description/>
  <cp:lastModifiedBy>Johnson, Niall</cp:lastModifiedBy>
  <cp:revision>12</cp:revision>
  <cp:lastPrinted>2018-03-02T02:34:00Z</cp:lastPrinted>
  <dcterms:created xsi:type="dcterms:W3CDTF">2020-01-12T22:05:00Z</dcterms:created>
  <dcterms:modified xsi:type="dcterms:W3CDTF">2020-01-17T01:25:00Z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