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B737AE">
        <w:rPr>
          <w:rFonts w:ascii="Garamond" w:hAnsi="Garamond"/>
          <w:lang w:val="en-AU"/>
        </w:rPr>
        <w:t>52</w:t>
      </w:r>
    </w:p>
    <w:p w:rsidR="00755242" w:rsidRDefault="00B737AE" w:rsidP="00F738B5">
      <w:pPr>
        <w:rPr>
          <w:rFonts w:ascii="Garamond" w:hAnsi="Garamond"/>
          <w:lang w:val="en-AU"/>
        </w:rPr>
      </w:pPr>
      <w:r>
        <w:rPr>
          <w:rFonts w:ascii="Garamond" w:hAnsi="Garamond"/>
          <w:lang w:val="en-AU"/>
        </w:rPr>
        <w:t>24</w:t>
      </w:r>
      <w:r w:rsidR="0040050A">
        <w:rPr>
          <w:rFonts w:ascii="Garamond" w:hAnsi="Garamond"/>
          <w:lang w:val="en-AU"/>
        </w:rPr>
        <w:t xml:space="preserve"> Febr</w:t>
      </w:r>
      <w:r w:rsidR="007B2166">
        <w:rPr>
          <w:rFonts w:ascii="Garamond" w:hAnsi="Garamond"/>
          <w:lang w:val="en-AU"/>
        </w:rPr>
        <w:t>uary 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w:t>
      </w:r>
      <w:proofErr w:type="gramStart"/>
      <w:r w:rsidR="00F460A7" w:rsidRPr="00467B47">
        <w:rPr>
          <w:rFonts w:ascii="Garamond" w:hAnsi="Garamond"/>
          <w:lang w:val="en-AU"/>
        </w:rPr>
        <w:t>is considered</w:t>
      </w:r>
      <w:proofErr w:type="gramEnd"/>
      <w:r w:rsidR="00F460A7" w:rsidRPr="00467B47">
        <w:rPr>
          <w:rFonts w:ascii="Garamond" w:hAnsi="Garamond"/>
          <w:lang w:val="en-AU"/>
        </w:rPr>
        <w:t xml:space="preserve">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8D2809" w:rsidRDefault="008D2809">
      <w:pPr>
        <w:rPr>
          <w:rFonts w:ascii="Garamond" w:hAnsi="Garamond"/>
          <w:b/>
          <w:lang w:val="en-AU"/>
        </w:rPr>
      </w:pPr>
    </w:p>
    <w:p w:rsidR="00520F2B" w:rsidRDefault="00520F2B">
      <w:pPr>
        <w:rPr>
          <w:rFonts w:ascii="Garamond" w:hAnsi="Garamond"/>
          <w:b/>
          <w:lang w:val="en-AU"/>
        </w:rPr>
      </w:pPr>
    </w:p>
    <w:p w:rsidR="00520F2B" w:rsidRDefault="00520F2B">
      <w:pPr>
        <w:rPr>
          <w:rFonts w:ascii="Garamond" w:hAnsi="Garamond"/>
          <w:b/>
          <w:lang w:val="en-AU"/>
        </w:rPr>
      </w:pPr>
    </w:p>
    <w:p w:rsidR="00B737AE" w:rsidRDefault="00B737AE" w:rsidP="00C17C82">
      <w:pPr>
        <w:keepNext/>
        <w:ind w:left="720" w:hanging="720"/>
        <w:rPr>
          <w:rFonts w:ascii="Garamond" w:hAnsi="Garamond"/>
          <w:b/>
          <w:lang w:val="en-AU"/>
        </w:rPr>
      </w:pPr>
      <w:r>
        <w:rPr>
          <w:rFonts w:ascii="Garamond" w:hAnsi="Garamond"/>
          <w:b/>
          <w:lang w:val="en-AU"/>
        </w:rPr>
        <w:t>Reports</w:t>
      </w:r>
    </w:p>
    <w:p w:rsidR="00B737AE" w:rsidRDefault="00B737AE" w:rsidP="00B737AE">
      <w:pPr>
        <w:rPr>
          <w:rFonts w:ascii="Garamond" w:hAnsi="Garamond"/>
          <w:lang w:val="en-AU"/>
        </w:rPr>
      </w:pPr>
    </w:p>
    <w:p w:rsidR="00B737AE" w:rsidRPr="00920CA5" w:rsidRDefault="00920CA5" w:rsidP="00920CA5">
      <w:pPr>
        <w:keepNext/>
        <w:keepLines/>
        <w:autoSpaceDE w:val="0"/>
        <w:autoSpaceDN w:val="0"/>
        <w:adjustRightInd w:val="0"/>
        <w:rPr>
          <w:rFonts w:ascii="Garamond" w:hAnsi="Garamond"/>
          <w:i/>
          <w:lang w:val="en-AU"/>
        </w:rPr>
      </w:pPr>
      <w:r w:rsidRPr="00920CA5">
        <w:rPr>
          <w:rFonts w:ascii="Garamond" w:hAnsi="Garamond"/>
          <w:i/>
          <w:lang w:val="en-AU"/>
        </w:rPr>
        <w:t>The health, safety and wellbeing of shift workers in healthcare environments</w:t>
      </w:r>
    </w:p>
    <w:p w:rsidR="007723EC" w:rsidRDefault="007723EC" w:rsidP="00B737AE">
      <w:pPr>
        <w:keepNext/>
        <w:keepLines/>
        <w:autoSpaceDE w:val="0"/>
        <w:autoSpaceDN w:val="0"/>
        <w:adjustRightInd w:val="0"/>
        <w:rPr>
          <w:rFonts w:ascii="Garamond" w:hAnsi="Garamond"/>
          <w:lang w:val="en-AU"/>
        </w:rPr>
      </w:pPr>
      <w:r w:rsidRPr="007723EC">
        <w:rPr>
          <w:rFonts w:ascii="Garamond" w:hAnsi="Garamond"/>
          <w:lang w:val="en-AU"/>
        </w:rPr>
        <w:t>NHS Staff Council</w:t>
      </w:r>
    </w:p>
    <w:p w:rsidR="00920CA5" w:rsidRDefault="007723EC" w:rsidP="00B737AE">
      <w:pPr>
        <w:keepNext/>
        <w:keepLines/>
        <w:autoSpaceDE w:val="0"/>
        <w:autoSpaceDN w:val="0"/>
        <w:adjustRightInd w:val="0"/>
        <w:rPr>
          <w:rFonts w:ascii="Garamond" w:hAnsi="Garamond"/>
          <w:lang w:val="en-AU"/>
        </w:rPr>
      </w:pPr>
      <w:r w:rsidRPr="007723EC">
        <w:rPr>
          <w:rFonts w:ascii="Garamond" w:hAnsi="Garamond"/>
          <w:lang w:val="en-AU"/>
        </w:rPr>
        <w:t>London: NHS Employers; 2020. p. 13.</w:t>
      </w:r>
    </w:p>
    <w:tbl>
      <w:tblPr>
        <w:tblStyle w:val="TableGrid"/>
        <w:tblW w:w="0" w:type="auto"/>
        <w:tblInd w:w="288" w:type="dxa"/>
        <w:tblLayout w:type="fixed"/>
        <w:tblLook w:val="01E0" w:firstRow="1" w:lastRow="1" w:firstColumn="1" w:lastColumn="1" w:noHBand="0" w:noVBand="0"/>
      </w:tblPr>
      <w:tblGrid>
        <w:gridCol w:w="1080"/>
        <w:gridCol w:w="8280"/>
      </w:tblGrid>
      <w:tr w:rsidR="00B737AE" w:rsidRPr="000170DA" w:rsidTr="008760D9">
        <w:tc>
          <w:tcPr>
            <w:tcW w:w="1080" w:type="dxa"/>
            <w:tcBorders>
              <w:top w:val="single" w:sz="4" w:space="0" w:color="auto"/>
              <w:left w:val="single" w:sz="4" w:space="0" w:color="auto"/>
              <w:bottom w:val="single" w:sz="4" w:space="0" w:color="auto"/>
              <w:right w:val="single" w:sz="4" w:space="0" w:color="auto"/>
            </w:tcBorders>
            <w:vAlign w:val="center"/>
          </w:tcPr>
          <w:p w:rsidR="00B737AE" w:rsidRPr="000170DA" w:rsidRDefault="00B737AE" w:rsidP="008760D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37AE" w:rsidRPr="000170DA" w:rsidRDefault="00AC377D" w:rsidP="00920CA5">
            <w:pPr>
              <w:rPr>
                <w:rStyle w:val="Hyperlink"/>
                <w:rFonts w:ascii="Garamond" w:hAnsi="Garamond"/>
                <w:color w:val="auto"/>
                <w:u w:val="none"/>
                <w:lang w:val="en-AU"/>
              </w:rPr>
            </w:pPr>
            <w:hyperlink r:id="rId15" w:history="1">
              <w:r w:rsidR="00920CA5" w:rsidRPr="00670386">
                <w:rPr>
                  <w:rStyle w:val="Hyperlink"/>
                  <w:rFonts w:ascii="Garamond" w:hAnsi="Garamond"/>
                  <w:lang w:val="en-AU"/>
                </w:rPr>
                <w:t>https://www.nhsemployers.org/case-studies-and-resources/2020/02/the-health-safety-and-wellbeing-of-shift-workers-in-health-care-environments</w:t>
              </w:r>
            </w:hyperlink>
          </w:p>
        </w:tc>
      </w:tr>
      <w:tr w:rsidR="00B737AE" w:rsidRPr="000170DA" w:rsidTr="008760D9">
        <w:tc>
          <w:tcPr>
            <w:tcW w:w="1080" w:type="dxa"/>
            <w:tcBorders>
              <w:top w:val="single" w:sz="4" w:space="0" w:color="auto"/>
              <w:left w:val="single" w:sz="4" w:space="0" w:color="auto"/>
              <w:bottom w:val="single" w:sz="4" w:space="0" w:color="auto"/>
              <w:right w:val="single" w:sz="4" w:space="0" w:color="auto"/>
            </w:tcBorders>
            <w:vAlign w:val="center"/>
          </w:tcPr>
          <w:p w:rsidR="00B737AE" w:rsidRPr="000170DA" w:rsidRDefault="00B737AE" w:rsidP="008760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23EC" w:rsidRPr="007723EC" w:rsidRDefault="00210526" w:rsidP="007723EC">
            <w:pPr>
              <w:rPr>
                <w:rFonts w:ascii="Garamond" w:hAnsi="Garamond"/>
                <w:lang w:val="en-AU"/>
              </w:rPr>
            </w:pPr>
            <w:r>
              <w:rPr>
                <w:rFonts w:ascii="Garamond" w:hAnsi="Garamond"/>
                <w:lang w:val="en-AU"/>
              </w:rPr>
              <w:t>Shift work is part of the day-to-day operation of many health facilities, especially acute care. However, shift work can be detrimental for those doing it. NHS Employers in the UK has published this short guidance document</w:t>
            </w:r>
            <w:r w:rsidR="007723EC">
              <w:rPr>
                <w:rFonts w:ascii="Garamond" w:hAnsi="Garamond"/>
                <w:lang w:val="en-AU"/>
              </w:rPr>
              <w:t>. T</w:t>
            </w:r>
            <w:r w:rsidR="007723EC" w:rsidRPr="007723EC">
              <w:rPr>
                <w:rFonts w:ascii="Garamond" w:hAnsi="Garamond"/>
                <w:lang w:val="en-AU"/>
              </w:rPr>
              <w:t>he guidance explores:</w:t>
            </w:r>
          </w:p>
          <w:p w:rsidR="007723EC" w:rsidRPr="007723EC" w:rsidRDefault="007723EC" w:rsidP="007723EC">
            <w:pPr>
              <w:pStyle w:val="ListParagraph"/>
              <w:numPr>
                <w:ilvl w:val="0"/>
                <w:numId w:val="46"/>
              </w:numPr>
              <w:rPr>
                <w:rFonts w:ascii="Garamond" w:hAnsi="Garamond"/>
                <w:lang w:val="en-AU"/>
              </w:rPr>
            </w:pPr>
            <w:r w:rsidRPr="007723EC">
              <w:rPr>
                <w:rFonts w:ascii="Garamond" w:hAnsi="Garamond"/>
                <w:lang w:val="en-AU"/>
              </w:rPr>
              <w:t>how shift work can impact on health, safety and wellbeing</w:t>
            </w:r>
          </w:p>
          <w:p w:rsidR="007723EC" w:rsidRPr="007723EC" w:rsidRDefault="007723EC" w:rsidP="007723EC">
            <w:pPr>
              <w:pStyle w:val="ListParagraph"/>
              <w:numPr>
                <w:ilvl w:val="0"/>
                <w:numId w:val="46"/>
              </w:numPr>
              <w:rPr>
                <w:rFonts w:ascii="Garamond" w:hAnsi="Garamond"/>
                <w:lang w:val="en-AU"/>
              </w:rPr>
            </w:pPr>
            <w:r w:rsidRPr="007723EC">
              <w:rPr>
                <w:rFonts w:ascii="Garamond" w:hAnsi="Garamond"/>
                <w:lang w:val="en-AU"/>
              </w:rPr>
              <w:t>what can employers and employees do</w:t>
            </w:r>
          </w:p>
          <w:p w:rsidR="00B737AE" w:rsidRPr="007723EC" w:rsidRDefault="007723EC" w:rsidP="007723EC">
            <w:pPr>
              <w:pStyle w:val="ListParagraph"/>
              <w:numPr>
                <w:ilvl w:val="0"/>
                <w:numId w:val="46"/>
              </w:numPr>
              <w:rPr>
                <w:rFonts w:ascii="Garamond" w:hAnsi="Garamond"/>
                <w:lang w:val="en-AU"/>
              </w:rPr>
            </w:pPr>
            <w:proofErr w:type="gramStart"/>
            <w:r w:rsidRPr="007723EC">
              <w:rPr>
                <w:rFonts w:ascii="Garamond" w:hAnsi="Garamond"/>
                <w:lang w:val="en-AU"/>
              </w:rPr>
              <w:t>the</w:t>
            </w:r>
            <w:proofErr w:type="gramEnd"/>
            <w:r w:rsidRPr="007723EC">
              <w:rPr>
                <w:rFonts w:ascii="Garamond" w:hAnsi="Garamond"/>
                <w:lang w:val="en-AU"/>
              </w:rPr>
              <w:t xml:space="preserve"> importance of partnership working on shift working patterns.</w:t>
            </w:r>
          </w:p>
        </w:tc>
      </w:tr>
    </w:tbl>
    <w:p w:rsidR="00B737AE" w:rsidRDefault="00B737AE" w:rsidP="00B737AE">
      <w:pPr>
        <w:rPr>
          <w:rFonts w:ascii="Garamond" w:hAnsi="Garamond"/>
          <w:lang w:val="en-AU"/>
        </w:rPr>
      </w:pPr>
    </w:p>
    <w:p w:rsidR="00B737AE" w:rsidRDefault="00B737AE" w:rsidP="00B737AE">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Pr="00FA3B40" w:rsidRDefault="008D314F" w:rsidP="008D314F">
      <w:pPr>
        <w:rPr>
          <w:rFonts w:ascii="Garamond" w:hAnsi="Garamond"/>
          <w:i/>
          <w:lang w:val="en-AU"/>
        </w:rPr>
      </w:pPr>
    </w:p>
    <w:p w:rsidR="00410D63" w:rsidRPr="00FA3B40" w:rsidRDefault="00FA3B40" w:rsidP="00BC0023">
      <w:pPr>
        <w:keepNext/>
        <w:keepLines/>
        <w:autoSpaceDE w:val="0"/>
        <w:autoSpaceDN w:val="0"/>
        <w:adjustRightInd w:val="0"/>
        <w:rPr>
          <w:rFonts w:ascii="Garamond" w:hAnsi="Garamond"/>
          <w:i/>
          <w:lang w:val="en-AU"/>
        </w:rPr>
      </w:pPr>
      <w:r w:rsidRPr="00FA3B40">
        <w:rPr>
          <w:rFonts w:ascii="Garamond" w:hAnsi="Garamond"/>
          <w:i/>
          <w:lang w:val="en-AU"/>
        </w:rPr>
        <w:t>Deepening our Understanding of Quality in Australia (</w:t>
      </w:r>
      <w:proofErr w:type="spellStart"/>
      <w:r w:rsidRPr="00FA3B40">
        <w:rPr>
          <w:rFonts w:ascii="Garamond" w:hAnsi="Garamond"/>
          <w:i/>
          <w:lang w:val="en-AU"/>
        </w:rPr>
        <w:t>DUQuA</w:t>
      </w:r>
      <w:proofErr w:type="spellEnd"/>
      <w:r w:rsidRPr="00FA3B40">
        <w:rPr>
          <w:rFonts w:ascii="Garamond" w:hAnsi="Garamond"/>
          <w:i/>
          <w:lang w:val="en-AU"/>
        </w:rPr>
        <w:t>): An overview of a nation-wide, multi-level analysis of relationships between quality management systems and patient factors in 32 hospitals</w:t>
      </w:r>
    </w:p>
    <w:p w:rsidR="00974893" w:rsidRDefault="00974893" w:rsidP="00BC0023">
      <w:pPr>
        <w:keepNext/>
        <w:keepLines/>
        <w:autoSpaceDE w:val="0"/>
        <w:autoSpaceDN w:val="0"/>
        <w:adjustRightInd w:val="0"/>
        <w:rPr>
          <w:rFonts w:ascii="Garamond" w:hAnsi="Garamond"/>
          <w:lang w:val="en-AU"/>
        </w:rPr>
      </w:pPr>
      <w:r w:rsidRPr="00974893">
        <w:rPr>
          <w:rFonts w:ascii="Garamond" w:hAnsi="Garamond"/>
          <w:lang w:val="en-AU"/>
        </w:rPr>
        <w:t xml:space="preserve">Braithwaite J, Clay-Williams R, Taylor N, Ting HP, </w:t>
      </w:r>
      <w:proofErr w:type="spellStart"/>
      <w:r w:rsidRPr="00974893">
        <w:rPr>
          <w:rFonts w:ascii="Garamond" w:hAnsi="Garamond"/>
          <w:lang w:val="en-AU"/>
        </w:rPr>
        <w:t>Winata</w:t>
      </w:r>
      <w:proofErr w:type="spellEnd"/>
      <w:r w:rsidRPr="00974893">
        <w:rPr>
          <w:rFonts w:ascii="Garamond" w:hAnsi="Garamond"/>
          <w:lang w:val="en-AU"/>
        </w:rPr>
        <w:t xml:space="preserve"> T, </w:t>
      </w:r>
      <w:proofErr w:type="spellStart"/>
      <w:r w:rsidRPr="00974893">
        <w:rPr>
          <w:rFonts w:ascii="Garamond" w:hAnsi="Garamond"/>
          <w:lang w:val="en-AU"/>
        </w:rPr>
        <w:t>Hogden</w:t>
      </w:r>
      <w:proofErr w:type="spellEnd"/>
      <w:r w:rsidRPr="00974893">
        <w:rPr>
          <w:rFonts w:ascii="Garamond" w:hAnsi="Garamond"/>
          <w:lang w:val="en-AU"/>
        </w:rPr>
        <w:t xml:space="preserve"> E, et al</w:t>
      </w:r>
    </w:p>
    <w:p w:rsidR="00FA3B40" w:rsidRDefault="00974893" w:rsidP="00BC0023">
      <w:pPr>
        <w:keepNext/>
        <w:keepLines/>
        <w:autoSpaceDE w:val="0"/>
        <w:autoSpaceDN w:val="0"/>
        <w:adjustRightInd w:val="0"/>
        <w:rPr>
          <w:rFonts w:ascii="Garamond" w:hAnsi="Garamond"/>
          <w:lang w:val="en-AU"/>
        </w:rPr>
      </w:pPr>
      <w:r w:rsidRPr="00974893">
        <w:rPr>
          <w:rFonts w:ascii="Garamond" w:hAnsi="Garamond"/>
          <w:lang w:val="en-AU"/>
        </w:rPr>
        <w:t>International Journal for Quality in Health Care. 2020</w:t>
      </w:r>
      <w:proofErr w:type="gramStart"/>
      <w:r w:rsidRPr="00974893">
        <w:rPr>
          <w:rFonts w:ascii="Garamond" w:hAnsi="Garamond"/>
          <w:lang w:val="en-AU"/>
        </w:rPr>
        <w:t>;32</w:t>
      </w:r>
      <w:proofErr w:type="gramEnd"/>
      <w:r w:rsidRPr="00974893">
        <w:rPr>
          <w:rFonts w:ascii="Garamond" w:hAnsi="Garamond"/>
          <w:lang w:val="en-AU"/>
        </w:rPr>
        <w:t>(Supplement 1):8-32.</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0170DA" w:rsidRDefault="00AC377D" w:rsidP="00974893">
            <w:pPr>
              <w:rPr>
                <w:rStyle w:val="Hyperlink"/>
                <w:rFonts w:ascii="Garamond" w:hAnsi="Garamond"/>
                <w:color w:val="auto"/>
                <w:u w:val="none"/>
                <w:lang w:val="en-AU"/>
              </w:rPr>
            </w:pPr>
            <w:hyperlink r:id="rId16" w:history="1">
              <w:r w:rsidR="00974893" w:rsidRPr="006D275A">
                <w:rPr>
                  <w:rStyle w:val="Hyperlink"/>
                  <w:rFonts w:ascii="Garamond" w:hAnsi="Garamond"/>
                  <w:lang w:val="en-AU"/>
                </w:rPr>
                <w:t>https://doi.org/10.1093/intqhc/mzz103</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3B40" w:rsidRDefault="00FA3B40" w:rsidP="00FA3B40">
            <w:pPr>
              <w:rPr>
                <w:rFonts w:ascii="Garamond" w:hAnsi="Garamond"/>
                <w:lang w:val="en-AU"/>
              </w:rPr>
            </w:pPr>
            <w:r>
              <w:rPr>
                <w:rFonts w:ascii="Garamond" w:hAnsi="Garamond"/>
                <w:lang w:val="en-AU"/>
              </w:rPr>
              <w:t xml:space="preserve">As was noted in the previous issue of </w:t>
            </w:r>
            <w:r w:rsidRPr="00FA3B40">
              <w:rPr>
                <w:rFonts w:ascii="Garamond" w:hAnsi="Garamond"/>
                <w:i/>
                <w:lang w:val="en-AU"/>
              </w:rPr>
              <w:t>On the Radar</w:t>
            </w:r>
            <w:r>
              <w:rPr>
                <w:rFonts w:ascii="Garamond" w:hAnsi="Garamond"/>
                <w:lang w:val="en-AU"/>
              </w:rPr>
              <w:t xml:space="preserve">, a supplement to the </w:t>
            </w:r>
            <w:r w:rsidRPr="00FA3B40">
              <w:rPr>
                <w:rFonts w:ascii="Garamond" w:hAnsi="Garamond"/>
                <w:i/>
                <w:lang w:val="en-AU"/>
              </w:rPr>
              <w:t>International Journal for Quality in Health Care</w:t>
            </w:r>
            <w:r>
              <w:rPr>
                <w:rFonts w:ascii="Garamond" w:hAnsi="Garamond"/>
                <w:lang w:val="en-AU"/>
              </w:rPr>
              <w:t xml:space="preserve"> has been published devoted to the </w:t>
            </w:r>
            <w:r w:rsidRPr="00FA3B40">
              <w:rPr>
                <w:rFonts w:ascii="Garamond" w:hAnsi="Garamond"/>
                <w:b/>
                <w:lang w:val="en-AU"/>
              </w:rPr>
              <w:t>Deepening our Understanding of Quality in Australia</w:t>
            </w:r>
            <w:r w:rsidRPr="00FA3B40">
              <w:rPr>
                <w:rFonts w:ascii="Garamond" w:hAnsi="Garamond"/>
                <w:lang w:val="en-AU"/>
              </w:rPr>
              <w:t xml:space="preserve"> (</w:t>
            </w:r>
            <w:proofErr w:type="spellStart"/>
            <w:r w:rsidRPr="00FA3B40">
              <w:rPr>
                <w:rFonts w:ascii="Garamond" w:hAnsi="Garamond"/>
                <w:lang w:val="en-AU"/>
              </w:rPr>
              <w:t>DUQuA</w:t>
            </w:r>
            <w:proofErr w:type="spellEnd"/>
            <w:r w:rsidRPr="00FA3B40">
              <w:rPr>
                <w:rFonts w:ascii="Garamond" w:hAnsi="Garamond"/>
                <w:lang w:val="en-AU"/>
              </w:rPr>
              <w:t>)</w:t>
            </w:r>
            <w:r>
              <w:rPr>
                <w:rFonts w:ascii="Garamond" w:hAnsi="Garamond"/>
                <w:lang w:val="en-AU"/>
              </w:rPr>
              <w:t xml:space="preserve"> study (</w:t>
            </w:r>
            <w:hyperlink r:id="rId17" w:history="1">
              <w:r w:rsidRPr="006D275A">
                <w:rPr>
                  <w:rStyle w:val="Hyperlink"/>
                  <w:rFonts w:ascii="Garamond" w:hAnsi="Garamond"/>
                  <w:lang w:val="en-AU"/>
                </w:rPr>
                <w:t>https://academic.oup.com/intqhc/issue/32/Supplement_1</w:t>
              </w:r>
            </w:hyperlink>
            <w:r>
              <w:rPr>
                <w:rFonts w:ascii="Garamond" w:hAnsi="Garamond"/>
                <w:lang w:val="en-AU"/>
              </w:rPr>
              <w:t>). This paper was one of those in that supplement. This overview ‘</w:t>
            </w:r>
            <w:r w:rsidRPr="00FA3B40">
              <w:rPr>
                <w:rFonts w:ascii="Garamond" w:hAnsi="Garamond"/>
                <w:lang w:val="en-AU"/>
              </w:rPr>
              <w:t xml:space="preserve">examines relationships between </w:t>
            </w:r>
          </w:p>
          <w:p w:rsidR="00FA3B40" w:rsidRPr="00FA3B40" w:rsidRDefault="00FA3B40" w:rsidP="00FA3B40">
            <w:pPr>
              <w:pStyle w:val="ListParagraph"/>
              <w:numPr>
                <w:ilvl w:val="0"/>
                <w:numId w:val="45"/>
              </w:numPr>
              <w:rPr>
                <w:rFonts w:ascii="Garamond" w:hAnsi="Garamond"/>
                <w:lang w:val="en-AU"/>
              </w:rPr>
            </w:pPr>
            <w:r w:rsidRPr="00FA3B40">
              <w:rPr>
                <w:rFonts w:ascii="Garamond" w:hAnsi="Garamond"/>
                <w:lang w:val="en-AU"/>
              </w:rPr>
              <w:t xml:space="preserve">organization-level quality management systems and department-level quality management strategies and </w:t>
            </w:r>
          </w:p>
          <w:p w:rsidR="00683ADA" w:rsidRPr="00FA3B40" w:rsidRDefault="00FA3B40" w:rsidP="00FA3B40">
            <w:pPr>
              <w:pStyle w:val="ListParagraph"/>
              <w:numPr>
                <w:ilvl w:val="0"/>
                <w:numId w:val="45"/>
              </w:numPr>
              <w:rPr>
                <w:rFonts w:ascii="Garamond" w:hAnsi="Garamond"/>
                <w:lang w:val="en-AU"/>
              </w:rPr>
            </w:pPr>
            <w:proofErr w:type="gramStart"/>
            <w:r w:rsidRPr="00FA3B40">
              <w:rPr>
                <w:rFonts w:ascii="Garamond" w:hAnsi="Garamond"/>
                <w:lang w:val="en-AU"/>
              </w:rPr>
              <w:t>patient-level</w:t>
            </w:r>
            <w:proofErr w:type="gramEnd"/>
            <w:r w:rsidRPr="00FA3B40">
              <w:rPr>
                <w:rFonts w:ascii="Garamond" w:hAnsi="Garamond"/>
                <w:lang w:val="en-AU"/>
              </w:rPr>
              <w:t xml:space="preserve"> measures (clinical treatment processes, patient-reported perceptions of care and clinical outcomes) within Australian hospitals.’</w:t>
            </w:r>
          </w:p>
          <w:p w:rsidR="006566E4" w:rsidRPr="00B737AE" w:rsidRDefault="006566E4" w:rsidP="006566E4">
            <w:pPr>
              <w:rPr>
                <w:rFonts w:ascii="Garamond" w:hAnsi="Garamond"/>
                <w:lang w:val="en-AU"/>
              </w:rPr>
            </w:pPr>
            <w:r>
              <w:rPr>
                <w:rFonts w:ascii="Garamond" w:hAnsi="Garamond"/>
                <w:lang w:val="en-AU"/>
              </w:rPr>
              <w:t xml:space="preserve">The </w:t>
            </w:r>
            <w:proofErr w:type="spellStart"/>
            <w:r>
              <w:rPr>
                <w:rFonts w:ascii="Garamond" w:hAnsi="Garamond"/>
                <w:lang w:val="en-AU"/>
              </w:rPr>
              <w:t>DUQuA</w:t>
            </w:r>
            <w:proofErr w:type="spellEnd"/>
            <w:r>
              <w:rPr>
                <w:rFonts w:ascii="Garamond" w:hAnsi="Garamond"/>
                <w:lang w:val="en-AU"/>
              </w:rPr>
              <w:t xml:space="preserve"> study involved 32 hospitals </w:t>
            </w:r>
            <w:r w:rsidRPr="006566E4">
              <w:rPr>
                <w:rFonts w:ascii="Garamond" w:hAnsi="Garamond"/>
                <w:lang w:val="en-AU"/>
              </w:rPr>
              <w:t xml:space="preserve">containing 119 participating departments, across metropolitan, inner and outer regional Australia. </w:t>
            </w:r>
            <w:r>
              <w:rPr>
                <w:rFonts w:ascii="Garamond" w:hAnsi="Garamond"/>
                <w:lang w:val="en-AU"/>
              </w:rPr>
              <w:t xml:space="preserve">This paper reports on the examination of </w:t>
            </w:r>
            <w:proofErr w:type="gramStart"/>
            <w:r w:rsidRPr="006566E4">
              <w:rPr>
                <w:rFonts w:ascii="Garamond" w:hAnsi="Garamond"/>
                <w:lang w:val="en-AU"/>
              </w:rPr>
              <w:t>hospital quality improvement structures</w:t>
            </w:r>
            <w:proofErr w:type="gramEnd"/>
            <w:r w:rsidRPr="006566E4">
              <w:rPr>
                <w:rFonts w:ascii="Garamond" w:hAnsi="Garamond"/>
                <w:lang w:val="en-AU"/>
              </w:rPr>
              <w:t>, processes and outcomes, collecting</w:t>
            </w:r>
            <w:r>
              <w:rPr>
                <w:rFonts w:ascii="Garamond" w:hAnsi="Garamond"/>
                <w:lang w:val="en-AU"/>
              </w:rPr>
              <w:t xml:space="preserve"> </w:t>
            </w:r>
            <w:r w:rsidRPr="006566E4">
              <w:rPr>
                <w:rFonts w:ascii="Garamond" w:hAnsi="Garamond"/>
                <w:lang w:val="en-AU"/>
              </w:rPr>
              <w:t>data at organization, department and patient levels for acute myocardial infarction (AMI), hip</w:t>
            </w:r>
            <w:r>
              <w:rPr>
                <w:rFonts w:ascii="Garamond" w:hAnsi="Garamond"/>
                <w:lang w:val="en-AU"/>
              </w:rPr>
              <w:t xml:space="preserve"> </w:t>
            </w:r>
            <w:r w:rsidRPr="006566E4">
              <w:rPr>
                <w:rFonts w:ascii="Garamond" w:hAnsi="Garamond"/>
                <w:lang w:val="en-AU"/>
              </w:rPr>
              <w:t>fracture and stroke</w:t>
            </w:r>
            <w:r>
              <w:rPr>
                <w:rFonts w:ascii="Garamond" w:hAnsi="Garamond"/>
                <w:lang w:val="en-AU"/>
              </w:rPr>
              <w:t xml:space="preserve">. The authors report: </w:t>
            </w:r>
            <w:r>
              <w:rPr>
                <w:rFonts w:ascii="Garamond" w:hAnsi="Garamond"/>
                <w:lang w:val="en-AU"/>
              </w:rPr>
              <w:br/>
              <w:t>‘</w:t>
            </w:r>
            <w:r w:rsidRPr="006566E4">
              <w:rPr>
                <w:rFonts w:ascii="Garamond" w:hAnsi="Garamond"/>
                <w:lang w:val="en-AU"/>
              </w:rPr>
              <w:t>We did not find clear relationships between hospital-level quality management systems,</w:t>
            </w:r>
            <w:r>
              <w:rPr>
                <w:rFonts w:ascii="Garamond" w:hAnsi="Garamond"/>
                <w:lang w:val="en-AU"/>
              </w:rPr>
              <w:t xml:space="preserve"> </w:t>
            </w:r>
            <w:r w:rsidRPr="006566E4">
              <w:rPr>
                <w:rFonts w:ascii="Garamond" w:hAnsi="Garamond"/>
                <w:lang w:val="en-AU"/>
              </w:rPr>
              <w:t xml:space="preserve">ED or department quality strategies and patient-level outcomes. ED-level clinical reviews </w:t>
            </w:r>
            <w:proofErr w:type="gramStart"/>
            <w:r w:rsidRPr="006566E4">
              <w:rPr>
                <w:rFonts w:ascii="Garamond" w:hAnsi="Garamond"/>
                <w:lang w:val="en-AU"/>
              </w:rPr>
              <w:t>were</w:t>
            </w:r>
            <w:r>
              <w:rPr>
                <w:rFonts w:ascii="Garamond" w:hAnsi="Garamond"/>
                <w:lang w:val="en-AU"/>
              </w:rPr>
              <w:t xml:space="preserve"> </w:t>
            </w:r>
            <w:r w:rsidRPr="006566E4">
              <w:rPr>
                <w:rFonts w:ascii="Garamond" w:hAnsi="Garamond"/>
                <w:lang w:val="en-AU"/>
              </w:rPr>
              <w:t>related</w:t>
            </w:r>
            <w:proofErr w:type="gramEnd"/>
            <w:r w:rsidRPr="006566E4">
              <w:rPr>
                <w:rFonts w:ascii="Garamond" w:hAnsi="Garamond"/>
                <w:lang w:val="en-AU"/>
              </w:rPr>
              <w:t xml:space="preserve"> to adherence to clinical practice guidelines for AMI, hip fracture and stroke, but in different</w:t>
            </w:r>
            <w:r>
              <w:rPr>
                <w:rFonts w:ascii="Garamond" w:hAnsi="Garamond"/>
                <w:lang w:val="en-AU"/>
              </w:rPr>
              <w:t xml:space="preserve"> </w:t>
            </w:r>
            <w:r w:rsidRPr="006566E4">
              <w:rPr>
                <w:rFonts w:ascii="Garamond" w:hAnsi="Garamond"/>
                <w:lang w:val="en-AU"/>
              </w:rPr>
              <w:t>directions. The results</w:t>
            </w:r>
            <w:r>
              <w:rPr>
                <w:rFonts w:ascii="Garamond" w:hAnsi="Garamond"/>
                <w:lang w:val="en-AU"/>
              </w:rPr>
              <w:t>…</w:t>
            </w:r>
            <w:r w:rsidRPr="006566E4">
              <w:rPr>
                <w:rFonts w:ascii="Garamond" w:hAnsi="Garamond"/>
                <w:lang w:val="en-AU"/>
              </w:rPr>
              <w:t xml:space="preserve">are suggestive that </w:t>
            </w:r>
            <w:r w:rsidRPr="006566E4">
              <w:rPr>
                <w:rFonts w:ascii="Garamond" w:hAnsi="Garamond"/>
                <w:b/>
                <w:lang w:val="en-AU"/>
              </w:rPr>
              <w:t>front line interventions may be more influential than department-level interventions when shaping quality of care</w:t>
            </w:r>
            <w:r w:rsidRPr="006566E4">
              <w:rPr>
                <w:rFonts w:ascii="Garamond" w:hAnsi="Garamond"/>
                <w:lang w:val="en-AU"/>
              </w:rPr>
              <w:t xml:space="preserve"> and that multi-pronged strategies are needed.</w:t>
            </w:r>
            <w:r>
              <w:rPr>
                <w:rFonts w:ascii="Garamond" w:hAnsi="Garamond"/>
                <w:lang w:val="en-AU"/>
              </w:rPr>
              <w:t>’’</w:t>
            </w:r>
          </w:p>
        </w:tc>
      </w:tr>
    </w:tbl>
    <w:p w:rsidR="00BC0023" w:rsidRDefault="00BC0023" w:rsidP="00BC0023">
      <w:pPr>
        <w:rPr>
          <w:rFonts w:ascii="Garamond" w:hAnsi="Garamond"/>
          <w:lang w:val="en-AU"/>
        </w:rPr>
      </w:pPr>
    </w:p>
    <w:p w:rsidR="00B737AE" w:rsidRPr="00FA3B40" w:rsidRDefault="00FA3B40" w:rsidP="00B737AE">
      <w:pPr>
        <w:keepNext/>
        <w:keepLines/>
        <w:autoSpaceDE w:val="0"/>
        <w:autoSpaceDN w:val="0"/>
        <w:adjustRightInd w:val="0"/>
        <w:rPr>
          <w:rFonts w:ascii="Garamond" w:hAnsi="Garamond"/>
          <w:i/>
          <w:lang w:val="en-AU"/>
        </w:rPr>
      </w:pPr>
      <w:r w:rsidRPr="00FA3B40">
        <w:rPr>
          <w:rFonts w:ascii="Garamond" w:hAnsi="Garamond"/>
          <w:i/>
          <w:lang w:val="en-AU"/>
        </w:rPr>
        <w:t>Conclusion: the road ahead: where should we go now to improve healthcare quality in acute settings?</w:t>
      </w:r>
    </w:p>
    <w:p w:rsidR="00974893" w:rsidRDefault="00974893" w:rsidP="00B737AE">
      <w:pPr>
        <w:keepNext/>
        <w:keepLines/>
        <w:autoSpaceDE w:val="0"/>
        <w:autoSpaceDN w:val="0"/>
        <w:adjustRightInd w:val="0"/>
        <w:rPr>
          <w:rFonts w:ascii="Garamond" w:hAnsi="Garamond"/>
          <w:lang w:val="en-AU"/>
        </w:rPr>
      </w:pPr>
      <w:r w:rsidRPr="00974893">
        <w:rPr>
          <w:rFonts w:ascii="Garamond" w:hAnsi="Garamond"/>
          <w:lang w:val="en-AU"/>
        </w:rPr>
        <w:t xml:space="preserve">Braithwaite J, Taylor N, Clay-Williams R, Ting HP, </w:t>
      </w:r>
      <w:proofErr w:type="spellStart"/>
      <w:r w:rsidRPr="00974893">
        <w:rPr>
          <w:rFonts w:ascii="Garamond" w:hAnsi="Garamond"/>
          <w:lang w:val="en-AU"/>
        </w:rPr>
        <w:t>Arnolda</w:t>
      </w:r>
      <w:proofErr w:type="spellEnd"/>
      <w:r w:rsidRPr="00974893">
        <w:rPr>
          <w:rFonts w:ascii="Garamond" w:hAnsi="Garamond"/>
          <w:lang w:val="en-AU"/>
        </w:rPr>
        <w:t xml:space="preserve"> G</w:t>
      </w:r>
    </w:p>
    <w:p w:rsidR="00FA3B40" w:rsidRDefault="00974893" w:rsidP="00B737AE">
      <w:pPr>
        <w:keepNext/>
        <w:keepLines/>
        <w:autoSpaceDE w:val="0"/>
        <w:autoSpaceDN w:val="0"/>
        <w:adjustRightInd w:val="0"/>
        <w:rPr>
          <w:rFonts w:ascii="Garamond" w:hAnsi="Garamond"/>
          <w:lang w:val="en-AU"/>
        </w:rPr>
      </w:pPr>
      <w:r w:rsidRPr="00974893">
        <w:rPr>
          <w:rFonts w:ascii="Garamond" w:hAnsi="Garamond"/>
          <w:lang w:val="en-AU"/>
        </w:rPr>
        <w:t>International Journal for Quality in Health Care. 2020</w:t>
      </w:r>
      <w:proofErr w:type="gramStart"/>
      <w:r w:rsidRPr="00974893">
        <w:rPr>
          <w:rFonts w:ascii="Garamond" w:hAnsi="Garamond"/>
          <w:lang w:val="en-AU"/>
        </w:rPr>
        <w:t>;32</w:t>
      </w:r>
      <w:proofErr w:type="gramEnd"/>
      <w:r w:rsidRPr="00974893">
        <w:rPr>
          <w:rFonts w:ascii="Garamond" w:hAnsi="Garamond"/>
          <w:lang w:val="en-AU"/>
        </w:rPr>
        <w:t>(Supplement 1):99-103.</w:t>
      </w:r>
    </w:p>
    <w:tbl>
      <w:tblPr>
        <w:tblStyle w:val="TableGrid"/>
        <w:tblW w:w="9360" w:type="dxa"/>
        <w:tblInd w:w="288" w:type="dxa"/>
        <w:tblLayout w:type="fixed"/>
        <w:tblLook w:val="01E0" w:firstRow="1" w:lastRow="1" w:firstColumn="1" w:lastColumn="1" w:noHBand="0" w:noVBand="0"/>
      </w:tblPr>
      <w:tblGrid>
        <w:gridCol w:w="1080"/>
        <w:gridCol w:w="8280"/>
      </w:tblGrid>
      <w:tr w:rsidR="00B737AE" w:rsidRPr="000170DA" w:rsidTr="001B2BF1">
        <w:tc>
          <w:tcPr>
            <w:tcW w:w="1080" w:type="dxa"/>
            <w:tcBorders>
              <w:top w:val="single" w:sz="4" w:space="0" w:color="auto"/>
              <w:left w:val="single" w:sz="4" w:space="0" w:color="auto"/>
              <w:bottom w:val="single" w:sz="4" w:space="0" w:color="auto"/>
              <w:right w:val="single" w:sz="4" w:space="0" w:color="auto"/>
            </w:tcBorders>
            <w:vAlign w:val="center"/>
          </w:tcPr>
          <w:p w:rsidR="00B737AE" w:rsidRPr="000170DA" w:rsidRDefault="00B737AE" w:rsidP="008760D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737AE" w:rsidRPr="000170DA" w:rsidRDefault="00AC377D" w:rsidP="00974893">
            <w:pPr>
              <w:rPr>
                <w:rStyle w:val="Hyperlink"/>
                <w:rFonts w:ascii="Garamond" w:hAnsi="Garamond"/>
                <w:color w:val="auto"/>
                <w:u w:val="none"/>
                <w:lang w:val="en-AU"/>
              </w:rPr>
            </w:pPr>
            <w:hyperlink r:id="rId18" w:history="1">
              <w:r w:rsidR="00974893" w:rsidRPr="006D275A">
                <w:rPr>
                  <w:rStyle w:val="Hyperlink"/>
                  <w:rFonts w:ascii="Garamond" w:hAnsi="Garamond"/>
                  <w:lang w:val="en-AU"/>
                </w:rPr>
                <w:t>https://doi.org/10.1093/intqhc/mzz098</w:t>
              </w:r>
            </w:hyperlink>
          </w:p>
        </w:tc>
      </w:tr>
      <w:tr w:rsidR="00B737AE" w:rsidRPr="000170DA" w:rsidTr="001B2BF1">
        <w:tc>
          <w:tcPr>
            <w:tcW w:w="1080" w:type="dxa"/>
            <w:tcBorders>
              <w:top w:val="single" w:sz="4" w:space="0" w:color="auto"/>
              <w:left w:val="single" w:sz="4" w:space="0" w:color="auto"/>
              <w:bottom w:val="single" w:sz="4" w:space="0" w:color="auto"/>
              <w:right w:val="single" w:sz="4" w:space="0" w:color="auto"/>
            </w:tcBorders>
            <w:vAlign w:val="center"/>
          </w:tcPr>
          <w:p w:rsidR="00B737AE" w:rsidRPr="000170DA" w:rsidRDefault="00B737AE" w:rsidP="008760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2B6B" w:rsidRDefault="00FA3B40" w:rsidP="00B52B6B">
            <w:pPr>
              <w:rPr>
                <w:rFonts w:ascii="Garamond" w:hAnsi="Garamond"/>
                <w:lang w:val="en-AU"/>
              </w:rPr>
            </w:pPr>
            <w:r>
              <w:rPr>
                <w:rFonts w:ascii="Garamond" w:hAnsi="Garamond"/>
                <w:lang w:val="en-AU"/>
              </w:rPr>
              <w:t xml:space="preserve">This paper was the final paper in the supplement to the </w:t>
            </w:r>
            <w:r w:rsidRPr="00FA3B40">
              <w:rPr>
                <w:rFonts w:ascii="Garamond" w:hAnsi="Garamond"/>
                <w:i/>
                <w:lang w:val="en-AU"/>
              </w:rPr>
              <w:t>International Journal for Quality in Health Care</w:t>
            </w:r>
            <w:r>
              <w:rPr>
                <w:rFonts w:ascii="Garamond" w:hAnsi="Garamond"/>
                <w:lang w:val="en-AU"/>
              </w:rPr>
              <w:t xml:space="preserve"> devoted to the </w:t>
            </w:r>
            <w:r w:rsidRPr="00FA3B40">
              <w:rPr>
                <w:rFonts w:ascii="Garamond" w:hAnsi="Garamond"/>
                <w:b/>
                <w:lang w:val="en-AU"/>
              </w:rPr>
              <w:t>Deepening our Understanding of Quality in Australia</w:t>
            </w:r>
            <w:r w:rsidRPr="00FA3B40">
              <w:rPr>
                <w:rFonts w:ascii="Garamond" w:hAnsi="Garamond"/>
                <w:lang w:val="en-AU"/>
              </w:rPr>
              <w:t xml:space="preserve"> (</w:t>
            </w:r>
            <w:proofErr w:type="spellStart"/>
            <w:r w:rsidRPr="00FA3B40">
              <w:rPr>
                <w:rFonts w:ascii="Garamond" w:hAnsi="Garamond"/>
                <w:lang w:val="en-AU"/>
              </w:rPr>
              <w:t>DUQuA</w:t>
            </w:r>
            <w:proofErr w:type="spellEnd"/>
            <w:r w:rsidRPr="00FA3B40">
              <w:rPr>
                <w:rFonts w:ascii="Garamond" w:hAnsi="Garamond"/>
                <w:lang w:val="en-AU"/>
              </w:rPr>
              <w:t>)</w:t>
            </w:r>
            <w:r>
              <w:rPr>
                <w:rFonts w:ascii="Garamond" w:hAnsi="Garamond"/>
                <w:lang w:val="en-AU"/>
              </w:rPr>
              <w:t xml:space="preserve"> study.</w:t>
            </w:r>
            <w:r w:rsidR="00B52B6B">
              <w:rPr>
                <w:rFonts w:ascii="Garamond" w:hAnsi="Garamond"/>
                <w:lang w:val="en-AU"/>
              </w:rPr>
              <w:t xml:space="preserve"> The ‘main message’ from the </w:t>
            </w:r>
            <w:r w:rsidR="00D248D5">
              <w:rPr>
                <w:rFonts w:ascii="Garamond" w:hAnsi="Garamond"/>
                <w:lang w:val="en-AU"/>
              </w:rPr>
              <w:t xml:space="preserve">5-year research program </w:t>
            </w:r>
            <w:r w:rsidR="00B52B6B">
              <w:rPr>
                <w:rFonts w:ascii="Garamond" w:hAnsi="Garamond"/>
                <w:lang w:val="en-AU"/>
              </w:rPr>
              <w:t>is that ‘</w:t>
            </w:r>
            <w:r w:rsidR="00B52B6B" w:rsidRPr="00B52B6B">
              <w:rPr>
                <w:rFonts w:ascii="Garamond" w:hAnsi="Garamond"/>
                <w:lang w:val="en-AU"/>
              </w:rPr>
              <w:t xml:space="preserve">there is </w:t>
            </w:r>
            <w:r w:rsidR="00B52B6B" w:rsidRPr="00B52B6B">
              <w:rPr>
                <w:rFonts w:ascii="Garamond" w:hAnsi="Garamond"/>
                <w:b/>
                <w:lang w:val="en-AU"/>
              </w:rPr>
              <w:t>no gold standard, one-size-fits-all methodology or guarantee of success in quality improvement activities</w:t>
            </w:r>
            <w:r w:rsidR="00B52B6B" w:rsidRPr="00B52B6B">
              <w:rPr>
                <w:rFonts w:ascii="Garamond" w:hAnsi="Garamond"/>
                <w:lang w:val="en-AU"/>
              </w:rPr>
              <w:t>, whether the initiatives</w:t>
            </w:r>
            <w:r w:rsidR="00B52B6B">
              <w:rPr>
                <w:rFonts w:ascii="Garamond" w:hAnsi="Garamond"/>
                <w:lang w:val="en-AU"/>
              </w:rPr>
              <w:t xml:space="preserve"> </w:t>
            </w:r>
            <w:r w:rsidR="00B52B6B" w:rsidRPr="00B52B6B">
              <w:rPr>
                <w:rFonts w:ascii="Garamond" w:hAnsi="Garamond"/>
                <w:lang w:val="en-AU"/>
              </w:rPr>
              <w:t xml:space="preserve">are conducted at departmental, organization-wide or whole-of-systems levels. </w:t>
            </w:r>
            <w:r w:rsidR="00B52B6B">
              <w:rPr>
                <w:rFonts w:ascii="Garamond" w:hAnsi="Garamond"/>
                <w:lang w:val="en-AU"/>
              </w:rPr>
              <w:t>Further, the authors state that ‘</w:t>
            </w:r>
            <w:r w:rsidR="00B52B6B" w:rsidRPr="00B52B6B">
              <w:rPr>
                <w:rFonts w:ascii="Garamond" w:hAnsi="Garamond"/>
                <w:lang w:val="en-AU"/>
              </w:rPr>
              <w:t>In our view, quality improvement initiatives are perennially challenging, and progress hard</w:t>
            </w:r>
            <w:r w:rsidR="00B52B6B">
              <w:rPr>
                <w:rFonts w:ascii="Garamond" w:hAnsi="Garamond"/>
                <w:lang w:val="en-AU"/>
              </w:rPr>
              <w:t xml:space="preserve"> </w:t>
            </w:r>
            <w:r w:rsidR="00B52B6B" w:rsidRPr="00B52B6B">
              <w:rPr>
                <w:rFonts w:ascii="Garamond" w:hAnsi="Garamond"/>
                <w:lang w:val="en-AU"/>
              </w:rPr>
              <w:t xml:space="preserve">won. </w:t>
            </w:r>
            <w:r w:rsidR="00B52B6B" w:rsidRPr="00B52B6B">
              <w:rPr>
                <w:rFonts w:ascii="Garamond" w:hAnsi="Garamond"/>
                <w:b/>
                <w:lang w:val="en-AU"/>
              </w:rPr>
              <w:t>Effective measurement, evaluating progress over time, selecting a useful suite of quality methods and having the persistence to climb the improvement gradient over time, using all the expertise and tools available, is at the core of the work of quality improvement</w:t>
            </w:r>
            <w:r w:rsidR="00B52B6B" w:rsidRPr="00B52B6B">
              <w:rPr>
                <w:rFonts w:ascii="Garamond" w:hAnsi="Garamond"/>
                <w:lang w:val="en-AU"/>
              </w:rPr>
              <w:t xml:space="preserve"> and will continue</w:t>
            </w:r>
            <w:r w:rsidR="00B52B6B">
              <w:rPr>
                <w:rFonts w:ascii="Garamond" w:hAnsi="Garamond"/>
                <w:lang w:val="en-AU"/>
              </w:rPr>
              <w:t xml:space="preserve"> </w:t>
            </w:r>
            <w:r w:rsidR="00B52B6B" w:rsidRPr="00B52B6B">
              <w:rPr>
                <w:rFonts w:ascii="Garamond" w:hAnsi="Garamond"/>
                <w:lang w:val="en-AU"/>
              </w:rPr>
              <w:t>to be so.</w:t>
            </w:r>
            <w:r w:rsidR="00B52B6B">
              <w:rPr>
                <w:rFonts w:ascii="Garamond" w:hAnsi="Garamond"/>
                <w:lang w:val="en-AU"/>
              </w:rPr>
              <w:t>’</w:t>
            </w:r>
          </w:p>
          <w:p w:rsidR="006566E4" w:rsidRPr="00B737AE" w:rsidRDefault="006566E4" w:rsidP="000C421F">
            <w:pPr>
              <w:rPr>
                <w:rFonts w:ascii="Garamond" w:hAnsi="Garamond"/>
                <w:lang w:val="en-AU"/>
              </w:rPr>
            </w:pPr>
            <w:r>
              <w:rPr>
                <w:rFonts w:ascii="Garamond" w:hAnsi="Garamond"/>
                <w:lang w:val="en-AU"/>
              </w:rPr>
              <w:t xml:space="preserve">Essentially, safety and quality is </w:t>
            </w:r>
            <w:r w:rsidR="000C421F">
              <w:rPr>
                <w:rFonts w:ascii="Garamond" w:hAnsi="Garamond"/>
                <w:lang w:val="en-AU"/>
              </w:rPr>
              <w:t>endless, vital activity.</w:t>
            </w:r>
          </w:p>
        </w:tc>
      </w:tr>
    </w:tbl>
    <w:p w:rsidR="001B2BF1" w:rsidRDefault="001B2BF1" w:rsidP="001B2BF1">
      <w:pPr>
        <w:rPr>
          <w:rFonts w:ascii="Garamond" w:hAnsi="Garamond"/>
          <w:lang w:val="en-AU"/>
        </w:rPr>
      </w:pPr>
    </w:p>
    <w:p w:rsidR="00520F2B" w:rsidRDefault="00520F2B">
      <w:pPr>
        <w:rPr>
          <w:rFonts w:ascii="Garamond" w:hAnsi="Garamond"/>
          <w:i/>
          <w:lang w:val="en-AU"/>
        </w:rPr>
      </w:pPr>
      <w:r>
        <w:rPr>
          <w:rFonts w:ascii="Garamond" w:hAnsi="Garamond"/>
          <w:i/>
          <w:lang w:val="en-AU"/>
        </w:rPr>
        <w:br w:type="page"/>
      </w:r>
    </w:p>
    <w:p w:rsidR="00520F2B" w:rsidRPr="008A0991" w:rsidRDefault="00520F2B" w:rsidP="00520F2B">
      <w:pPr>
        <w:keepNext/>
        <w:keepLines/>
        <w:autoSpaceDE w:val="0"/>
        <w:autoSpaceDN w:val="0"/>
        <w:adjustRightInd w:val="0"/>
        <w:rPr>
          <w:rFonts w:ascii="Garamond" w:hAnsi="Garamond"/>
          <w:i/>
          <w:lang w:val="en-AU"/>
        </w:rPr>
      </w:pPr>
      <w:r w:rsidRPr="008A0991">
        <w:rPr>
          <w:rFonts w:ascii="Garamond" w:hAnsi="Garamond"/>
          <w:i/>
          <w:lang w:val="en-AU"/>
        </w:rPr>
        <w:lastRenderedPageBreak/>
        <w:t>Population Preferences for Treatments When Critically Ill: A Discrete Choice Experiment</w:t>
      </w:r>
    </w:p>
    <w:p w:rsidR="00520F2B" w:rsidRDefault="00520F2B" w:rsidP="00520F2B">
      <w:pPr>
        <w:keepNext/>
        <w:keepLines/>
        <w:autoSpaceDE w:val="0"/>
        <w:autoSpaceDN w:val="0"/>
        <w:adjustRightInd w:val="0"/>
        <w:rPr>
          <w:rFonts w:ascii="Garamond" w:hAnsi="Garamond"/>
          <w:lang w:val="en-AU"/>
        </w:rPr>
      </w:pPr>
      <w:r w:rsidRPr="00674CEB">
        <w:rPr>
          <w:rFonts w:ascii="Garamond" w:hAnsi="Garamond"/>
          <w:lang w:val="en-AU"/>
        </w:rPr>
        <w:t xml:space="preserve">Anstey MH, Mitchell IA, </w:t>
      </w:r>
      <w:proofErr w:type="spellStart"/>
      <w:r w:rsidRPr="00674CEB">
        <w:rPr>
          <w:rFonts w:ascii="Garamond" w:hAnsi="Garamond"/>
          <w:lang w:val="en-AU"/>
        </w:rPr>
        <w:t>Corke</w:t>
      </w:r>
      <w:proofErr w:type="spellEnd"/>
      <w:r w:rsidRPr="00674CEB">
        <w:rPr>
          <w:rFonts w:ascii="Garamond" w:hAnsi="Garamond"/>
          <w:lang w:val="en-AU"/>
        </w:rPr>
        <w:t xml:space="preserve"> C, Norman R</w:t>
      </w:r>
    </w:p>
    <w:p w:rsidR="00520F2B" w:rsidRDefault="00520F2B" w:rsidP="00520F2B">
      <w:pPr>
        <w:keepNext/>
        <w:keepLines/>
        <w:autoSpaceDE w:val="0"/>
        <w:autoSpaceDN w:val="0"/>
        <w:adjustRightInd w:val="0"/>
        <w:rPr>
          <w:rFonts w:ascii="Garamond" w:hAnsi="Garamond"/>
          <w:lang w:val="en-AU"/>
        </w:rPr>
      </w:pPr>
      <w:r w:rsidRPr="00674CEB">
        <w:rPr>
          <w:rFonts w:ascii="Garamond" w:hAnsi="Garamond"/>
          <w:lang w:val="en-AU"/>
        </w:rPr>
        <w:t>The Patient - Patient-</w:t>
      </w:r>
      <w:proofErr w:type="spellStart"/>
      <w:r w:rsidRPr="00674CEB">
        <w:rPr>
          <w:rFonts w:ascii="Garamond" w:hAnsi="Garamond"/>
          <w:lang w:val="en-AU"/>
        </w:rPr>
        <w:t>Centered</w:t>
      </w:r>
      <w:proofErr w:type="spellEnd"/>
      <w:r w:rsidRPr="00674CEB">
        <w:rPr>
          <w:rFonts w:ascii="Garamond" w:hAnsi="Garamond"/>
          <w:lang w:val="en-AU"/>
        </w:rPr>
        <w:t xml:space="preserve"> Outcomes Research. </w:t>
      </w:r>
      <w:proofErr w:type="gramStart"/>
      <w:r w:rsidRPr="00674CEB">
        <w:rPr>
          <w:rFonts w:ascii="Garamond" w:hAnsi="Garamond"/>
          <w:lang w:val="en-AU"/>
        </w:rPr>
        <w:t>2020</w:t>
      </w:r>
      <w:proofErr w:type="gramEnd"/>
      <w:r>
        <w:rPr>
          <w:rFonts w:ascii="Garamond" w:hAnsi="Garamond"/>
          <w:lang w:val="en-AU"/>
        </w:rPr>
        <w:t xml:space="preserve"> [epub]</w:t>
      </w:r>
      <w:r w:rsidRPr="00674CE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color w:val="auto"/>
                <w:u w:val="none"/>
                <w:lang w:val="en-AU"/>
              </w:rPr>
            </w:pPr>
            <w:hyperlink r:id="rId19" w:history="1">
              <w:r w:rsidRPr="00670386">
                <w:rPr>
                  <w:rStyle w:val="Hyperlink"/>
                  <w:rFonts w:ascii="Garamond" w:hAnsi="Garamond"/>
                  <w:lang w:val="en-AU"/>
                </w:rPr>
                <w:t>https://doi.org/10.1007/s40271-020-00410-1</w:t>
              </w:r>
            </w:hyperlink>
          </w:p>
        </w:tc>
      </w:tr>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B737AE" w:rsidRDefault="00520F2B" w:rsidP="00D40E0F">
            <w:pPr>
              <w:rPr>
                <w:rFonts w:ascii="Garamond" w:hAnsi="Garamond"/>
                <w:lang w:val="en-AU"/>
              </w:rPr>
            </w:pPr>
            <w:r>
              <w:rPr>
                <w:rFonts w:ascii="Garamond" w:hAnsi="Garamond"/>
                <w:lang w:val="en-AU"/>
              </w:rPr>
              <w:t>There are occasions when clinicians cannot consult with patients, for example in emergency departments or intensive care units. This paper describes an interesting approach to the problem of trying to understand what patients may want in given situations. This study involved 984 respondents to a survey that canvassed their ‘</w:t>
            </w:r>
            <w:r w:rsidRPr="001B2BF1">
              <w:rPr>
                <w:rFonts w:ascii="Garamond" w:hAnsi="Garamond"/>
                <w:lang w:val="en-AU"/>
              </w:rPr>
              <w:t>willingness to accept treatments, faced with a variety of possible outcomes and probabilities (low, moderate or high). The outcomes were across four domains: loss of functional autonomy, pain, cognitive disability and degree of burden on others.</w:t>
            </w:r>
            <w:r>
              <w:rPr>
                <w:rFonts w:ascii="Garamond" w:hAnsi="Garamond"/>
                <w:lang w:val="en-AU"/>
              </w:rPr>
              <w:t>’ The authors report that ‘</w:t>
            </w:r>
            <w:r w:rsidRPr="001B2BF1">
              <w:rPr>
                <w:rFonts w:ascii="Garamond" w:hAnsi="Garamond"/>
                <w:lang w:val="en-AU"/>
              </w:rPr>
              <w:t>With the increasing likelihood of negative post-intensive care unit sequelae, there was a higher probability of the respondent preferring to stop ongoing active treatment, with the largest coefficients being on caring assistance and the need for full-time residential care. Those who identified as very religious, were younger or who had children under 5 years of age were more likely to choose to continue active treatment.</w:t>
            </w:r>
            <w:r>
              <w:rPr>
                <w:rFonts w:ascii="Garamond" w:hAnsi="Garamond"/>
                <w:lang w:val="en-AU"/>
              </w:rPr>
              <w:t>’ Given that ‘</w:t>
            </w:r>
            <w:r w:rsidRPr="001B2BF1">
              <w:rPr>
                <w:rFonts w:ascii="Garamond" w:hAnsi="Garamond"/>
                <w:lang w:val="en-AU"/>
              </w:rPr>
              <w:t xml:space="preserve">Respondents valued their </w:t>
            </w:r>
            <w:r w:rsidRPr="001B2BF1">
              <w:rPr>
                <w:rFonts w:ascii="Garamond" w:hAnsi="Garamond"/>
                <w:b/>
                <w:lang w:val="en-AU"/>
              </w:rPr>
              <w:t>independence as the most important factor in deciding whether to receive ongoing medical treatments in the intensive care unit</w:t>
            </w:r>
            <w:r>
              <w:rPr>
                <w:rFonts w:ascii="Garamond" w:hAnsi="Garamond"/>
                <w:lang w:val="en-AU"/>
              </w:rPr>
              <w:t>’ the author suggest that ‘</w:t>
            </w:r>
            <w:r w:rsidRPr="001B2BF1">
              <w:rPr>
                <w:rFonts w:ascii="Garamond" w:hAnsi="Garamond"/>
                <w:lang w:val="en-AU"/>
              </w:rPr>
              <w:t>When clinicians are unable to obtain specific patient information, they should consider framing their decision making around the likelihood of the patient achieving functional independence rather than survival.</w:t>
            </w:r>
            <w:r>
              <w:rPr>
                <w:rFonts w:ascii="Garamond" w:hAnsi="Garamond"/>
                <w:lang w:val="en-AU"/>
              </w:rPr>
              <w:t>’</w:t>
            </w:r>
          </w:p>
        </w:tc>
      </w:tr>
    </w:tbl>
    <w:p w:rsidR="00520F2B" w:rsidRDefault="00520F2B" w:rsidP="00520F2B">
      <w:pPr>
        <w:keepNext/>
        <w:keepLines/>
        <w:autoSpaceDE w:val="0"/>
        <w:autoSpaceDN w:val="0"/>
        <w:adjustRightInd w:val="0"/>
        <w:rPr>
          <w:rFonts w:ascii="Garamond" w:hAnsi="Garamond"/>
          <w:lang w:val="en-AU"/>
        </w:rPr>
      </w:pPr>
    </w:p>
    <w:p w:rsidR="00520F2B" w:rsidRPr="00F90AB6" w:rsidRDefault="00520F2B" w:rsidP="00520F2B">
      <w:pPr>
        <w:keepNext/>
        <w:keepLines/>
        <w:autoSpaceDE w:val="0"/>
        <w:autoSpaceDN w:val="0"/>
        <w:adjustRightInd w:val="0"/>
        <w:rPr>
          <w:rFonts w:ascii="Garamond" w:hAnsi="Garamond"/>
          <w:i/>
          <w:lang w:val="en-AU"/>
        </w:rPr>
      </w:pPr>
      <w:r w:rsidRPr="00F90AB6">
        <w:rPr>
          <w:rFonts w:ascii="Garamond" w:hAnsi="Garamond"/>
          <w:i/>
          <w:lang w:val="en-AU"/>
        </w:rPr>
        <w:t xml:space="preserve">What patients want to ask their doctors: Data analysis from Question Builder, an online question prompt list </w:t>
      </w:r>
      <w:proofErr w:type="gramStart"/>
      <w:r w:rsidRPr="00F90AB6">
        <w:rPr>
          <w:rFonts w:ascii="Garamond" w:hAnsi="Garamond"/>
          <w:i/>
          <w:lang w:val="en-AU"/>
        </w:rPr>
        <w:t>tool</w:t>
      </w:r>
      <w:proofErr w:type="gramEnd"/>
    </w:p>
    <w:p w:rsidR="00520F2B" w:rsidRDefault="00520F2B" w:rsidP="00520F2B">
      <w:pPr>
        <w:keepNext/>
        <w:keepLines/>
        <w:autoSpaceDE w:val="0"/>
        <w:autoSpaceDN w:val="0"/>
        <w:adjustRightInd w:val="0"/>
        <w:rPr>
          <w:rFonts w:ascii="Garamond" w:hAnsi="Garamond"/>
          <w:lang w:val="en-AU"/>
        </w:rPr>
      </w:pPr>
      <w:r w:rsidRPr="00F90AB6">
        <w:rPr>
          <w:rFonts w:ascii="Garamond" w:hAnsi="Garamond"/>
          <w:lang w:val="en-AU"/>
        </w:rPr>
        <w:t xml:space="preserve">Tracy MC, Shepherd HL, </w:t>
      </w:r>
      <w:proofErr w:type="spellStart"/>
      <w:r w:rsidRPr="00F90AB6">
        <w:rPr>
          <w:rFonts w:ascii="Garamond" w:hAnsi="Garamond"/>
          <w:lang w:val="en-AU"/>
        </w:rPr>
        <w:t>Ivers</w:t>
      </w:r>
      <w:proofErr w:type="spellEnd"/>
      <w:r w:rsidRPr="00F90AB6">
        <w:rPr>
          <w:rFonts w:ascii="Garamond" w:hAnsi="Garamond"/>
          <w:lang w:val="en-AU"/>
        </w:rPr>
        <w:t xml:space="preserve"> RG, Mann M, Chiappini L, Trevena LJ</w:t>
      </w:r>
    </w:p>
    <w:p w:rsidR="00520F2B" w:rsidRDefault="00520F2B" w:rsidP="00520F2B">
      <w:pPr>
        <w:keepNext/>
        <w:keepLines/>
        <w:autoSpaceDE w:val="0"/>
        <w:autoSpaceDN w:val="0"/>
        <w:adjustRightInd w:val="0"/>
        <w:rPr>
          <w:rFonts w:ascii="Garamond" w:hAnsi="Garamond"/>
          <w:lang w:val="en-AU"/>
        </w:rPr>
      </w:pPr>
      <w:r w:rsidRPr="00F90AB6">
        <w:rPr>
          <w:rFonts w:ascii="Garamond" w:hAnsi="Garamond"/>
          <w:lang w:val="en-AU"/>
        </w:rPr>
        <w:t xml:space="preserve">Patient Education and </w:t>
      </w:r>
      <w:proofErr w:type="spellStart"/>
      <w:r w:rsidRPr="00F90AB6">
        <w:rPr>
          <w:rFonts w:ascii="Garamond" w:hAnsi="Garamond"/>
          <w:lang w:val="en-AU"/>
        </w:rPr>
        <w:t>Counseling</w:t>
      </w:r>
      <w:proofErr w:type="spellEnd"/>
      <w:r w:rsidRPr="00F90AB6">
        <w:rPr>
          <w:rFonts w:ascii="Garamond" w:hAnsi="Garamond"/>
          <w:lang w:val="en-AU"/>
        </w:rPr>
        <w:t>. 2019.</w:t>
      </w:r>
    </w:p>
    <w:tbl>
      <w:tblPr>
        <w:tblStyle w:val="TableGrid"/>
        <w:tblW w:w="0" w:type="auto"/>
        <w:tblInd w:w="288" w:type="dxa"/>
        <w:tblLayout w:type="fixed"/>
        <w:tblLook w:val="01E0" w:firstRow="1" w:lastRow="1" w:firstColumn="1" w:lastColumn="1" w:noHBand="0" w:noVBand="0"/>
      </w:tblPr>
      <w:tblGrid>
        <w:gridCol w:w="1080"/>
        <w:gridCol w:w="8280"/>
      </w:tblGrid>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color w:val="auto"/>
                <w:u w:val="none"/>
                <w:lang w:val="en-AU"/>
              </w:rPr>
            </w:pPr>
            <w:hyperlink r:id="rId20" w:history="1">
              <w:r w:rsidRPr="008C5A2E">
                <w:rPr>
                  <w:rStyle w:val="Hyperlink"/>
                  <w:rFonts w:ascii="Garamond" w:hAnsi="Garamond"/>
                  <w:lang w:val="en-AU"/>
                </w:rPr>
                <w:t>https://doi.org/10.1016/j.pec.2019.11.023</w:t>
              </w:r>
            </w:hyperlink>
          </w:p>
        </w:tc>
      </w:tr>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B737AE" w:rsidRDefault="00520F2B" w:rsidP="00D40E0F">
            <w:pPr>
              <w:rPr>
                <w:rFonts w:ascii="Garamond" w:hAnsi="Garamond"/>
                <w:lang w:val="en-AU"/>
              </w:rPr>
            </w:pPr>
            <w:r>
              <w:rPr>
                <w:rFonts w:ascii="Garamond" w:hAnsi="Garamond"/>
                <w:lang w:val="en-AU"/>
              </w:rPr>
              <w:t xml:space="preserve">The Question Builder tool </w:t>
            </w:r>
            <w:proofErr w:type="gramStart"/>
            <w:r>
              <w:rPr>
                <w:rFonts w:ascii="Garamond" w:hAnsi="Garamond"/>
                <w:lang w:val="en-AU"/>
              </w:rPr>
              <w:t>was developed</w:t>
            </w:r>
            <w:proofErr w:type="gramEnd"/>
            <w:r>
              <w:rPr>
                <w:rFonts w:ascii="Garamond" w:hAnsi="Garamond"/>
                <w:lang w:val="en-AU"/>
              </w:rPr>
              <w:t xml:space="preserve"> to assist patients in their conversations with clinicians. This paper examined a little more than a year’s worth of data to understand how the tool as being used. The analysis found that more lists was for general practice consultations rather than specialist consultation. The most frequently selected question was ‘do I need any tests?’ Questions characterised as being related to shared </w:t>
            </w:r>
            <w:proofErr w:type="gramStart"/>
            <w:r>
              <w:rPr>
                <w:rFonts w:ascii="Garamond" w:hAnsi="Garamond"/>
                <w:lang w:val="en-AU"/>
              </w:rPr>
              <w:t>decision making</w:t>
            </w:r>
            <w:proofErr w:type="gramEnd"/>
            <w:r>
              <w:rPr>
                <w:rFonts w:ascii="Garamond" w:hAnsi="Garamond"/>
                <w:lang w:val="en-AU"/>
              </w:rPr>
              <w:t>, such as about treatment options, made up 40% of questions prioritised.</w:t>
            </w:r>
          </w:p>
        </w:tc>
      </w:tr>
    </w:tbl>
    <w:p w:rsidR="00520F2B" w:rsidRDefault="00520F2B" w:rsidP="00520F2B">
      <w:pPr>
        <w:rPr>
          <w:rFonts w:ascii="Garamond" w:hAnsi="Garamond"/>
          <w:lang w:val="en-AU"/>
        </w:rPr>
      </w:pPr>
    </w:p>
    <w:p w:rsidR="00520F2B" w:rsidRPr="004C1774" w:rsidRDefault="00520F2B" w:rsidP="00520F2B">
      <w:pPr>
        <w:rPr>
          <w:rFonts w:ascii="Garamond" w:hAnsi="Garamond"/>
          <w:lang w:val="en-AU"/>
        </w:rPr>
      </w:pPr>
      <w:r w:rsidRPr="008F7CB1">
        <w:rPr>
          <w:rFonts w:ascii="Garamond" w:hAnsi="Garamond"/>
          <w:lang w:val="en-AU"/>
        </w:rPr>
        <w:t xml:space="preserve">For information on the Commission’s work on </w:t>
      </w:r>
      <w:proofErr w:type="gramStart"/>
      <w:r>
        <w:rPr>
          <w:rFonts w:ascii="Garamond" w:hAnsi="Garamond"/>
          <w:lang w:val="en-AU"/>
        </w:rPr>
        <w:t>partnering</w:t>
      </w:r>
      <w:proofErr w:type="gramEnd"/>
      <w:r>
        <w:rPr>
          <w:rFonts w:ascii="Garamond" w:hAnsi="Garamond"/>
          <w:lang w:val="en-AU"/>
        </w:rPr>
        <w:t xml:space="preserve"> with consumers</w:t>
      </w:r>
      <w:r w:rsidRPr="008F7CB1">
        <w:rPr>
          <w:rFonts w:ascii="Garamond" w:hAnsi="Garamond"/>
          <w:lang w:val="en-AU"/>
        </w:rPr>
        <w:t>, see</w:t>
      </w:r>
      <w:r>
        <w:rPr>
          <w:rFonts w:ascii="Garamond" w:hAnsi="Garamond"/>
          <w:lang w:val="en-AU"/>
        </w:rPr>
        <w:t xml:space="preserve"> </w:t>
      </w:r>
      <w:hyperlink r:id="rId21" w:history="1">
        <w:r w:rsidRPr="00DC5A12">
          <w:rPr>
            <w:rStyle w:val="Hyperlink"/>
            <w:rFonts w:ascii="Garamond" w:hAnsi="Garamond"/>
            <w:lang w:val="en-AU"/>
          </w:rPr>
          <w:t>https://www.safetyandquality.gov.au/our-work/partnering-consumers</w:t>
        </w:r>
      </w:hyperlink>
      <w:r>
        <w:rPr>
          <w:rFonts w:ascii="Garamond" w:hAnsi="Garamond"/>
          <w:lang w:val="en-AU"/>
        </w:rPr>
        <w:t xml:space="preserve"> </w:t>
      </w:r>
    </w:p>
    <w:p w:rsidR="00520F2B" w:rsidRDefault="00520F2B" w:rsidP="00520F2B">
      <w:pPr>
        <w:rPr>
          <w:rFonts w:ascii="Garamond" w:hAnsi="Garamond"/>
          <w:lang w:val="en-AU"/>
        </w:rPr>
      </w:pPr>
    </w:p>
    <w:p w:rsidR="00520F2B" w:rsidRDefault="00520F2B" w:rsidP="00520F2B">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 xml:space="preserve">shared </w:t>
      </w:r>
      <w:proofErr w:type="gramStart"/>
      <w:r>
        <w:rPr>
          <w:rFonts w:ascii="Garamond" w:hAnsi="Garamond"/>
          <w:lang w:val="en-AU"/>
        </w:rPr>
        <w:t>decision making</w:t>
      </w:r>
      <w:proofErr w:type="gramEnd"/>
      <w:r w:rsidRPr="008F7CB1">
        <w:rPr>
          <w:rFonts w:ascii="Garamond" w:hAnsi="Garamond"/>
          <w:lang w:val="en-AU"/>
        </w:rPr>
        <w:t>, see</w:t>
      </w:r>
      <w:r>
        <w:rPr>
          <w:rFonts w:ascii="Garamond" w:hAnsi="Garamond"/>
          <w:lang w:val="en-AU"/>
        </w:rPr>
        <w:t xml:space="preserve"> </w:t>
      </w:r>
      <w:hyperlink r:id="rId22" w:history="1">
        <w:r w:rsidRPr="008C5A2E">
          <w:rPr>
            <w:rStyle w:val="Hyperlink"/>
            <w:rFonts w:ascii="Garamond" w:hAnsi="Garamond"/>
            <w:lang w:val="en-AU"/>
          </w:rPr>
          <w:t>https://www.safetyandquality.gov.au/our-work/partnering-consumers/shared-decision-making</w:t>
        </w:r>
      </w:hyperlink>
      <w:r>
        <w:rPr>
          <w:rFonts w:ascii="Garamond" w:hAnsi="Garamond"/>
          <w:lang w:val="en-AU"/>
        </w:rPr>
        <w:t xml:space="preserve"> </w:t>
      </w:r>
    </w:p>
    <w:p w:rsidR="00520F2B" w:rsidRPr="004C1774" w:rsidRDefault="00520F2B" w:rsidP="00520F2B">
      <w:pPr>
        <w:rPr>
          <w:rFonts w:ascii="Garamond" w:hAnsi="Garamond"/>
          <w:lang w:val="en-AU"/>
        </w:rPr>
      </w:pPr>
    </w:p>
    <w:p w:rsidR="00520F2B" w:rsidRPr="00292B13" w:rsidRDefault="00520F2B" w:rsidP="00520F2B">
      <w:pPr>
        <w:keepNext/>
        <w:keepLines/>
        <w:autoSpaceDE w:val="0"/>
        <w:autoSpaceDN w:val="0"/>
        <w:adjustRightInd w:val="0"/>
        <w:rPr>
          <w:rFonts w:ascii="Garamond" w:hAnsi="Garamond"/>
          <w:i/>
          <w:lang w:val="en-AU"/>
        </w:rPr>
      </w:pPr>
      <w:r w:rsidRPr="00292B13">
        <w:rPr>
          <w:rFonts w:ascii="Garamond" w:hAnsi="Garamond"/>
          <w:i/>
          <w:lang w:val="en-AU"/>
        </w:rPr>
        <w:t>Shared decision aids in pregnancy care: A scoping review</w:t>
      </w:r>
    </w:p>
    <w:p w:rsidR="00520F2B" w:rsidRDefault="00520F2B" w:rsidP="00520F2B">
      <w:pPr>
        <w:keepNext/>
        <w:keepLines/>
        <w:autoSpaceDE w:val="0"/>
        <w:autoSpaceDN w:val="0"/>
        <w:adjustRightInd w:val="0"/>
        <w:rPr>
          <w:rFonts w:ascii="Garamond" w:hAnsi="Garamond"/>
          <w:lang w:val="en-AU"/>
        </w:rPr>
      </w:pPr>
      <w:r w:rsidRPr="00292B13">
        <w:rPr>
          <w:rFonts w:ascii="Garamond" w:hAnsi="Garamond"/>
          <w:lang w:val="en-AU"/>
        </w:rPr>
        <w:t xml:space="preserve">Kennedy K, Adelson P, Fleet J, Steen M, McKellar L, Eckert M, et al. </w:t>
      </w:r>
    </w:p>
    <w:p w:rsidR="00520F2B" w:rsidRDefault="00520F2B" w:rsidP="00520F2B">
      <w:pPr>
        <w:keepNext/>
        <w:keepLines/>
        <w:autoSpaceDE w:val="0"/>
        <w:autoSpaceDN w:val="0"/>
        <w:adjustRightInd w:val="0"/>
        <w:rPr>
          <w:rFonts w:ascii="Garamond" w:hAnsi="Garamond"/>
          <w:lang w:val="en-AU"/>
        </w:rPr>
      </w:pPr>
      <w:r w:rsidRPr="00292B13">
        <w:rPr>
          <w:rFonts w:ascii="Garamond" w:hAnsi="Garamond"/>
          <w:lang w:val="en-AU"/>
        </w:rPr>
        <w:t>Midwifery. 2020</w:t>
      </w:r>
      <w:proofErr w:type="gramStart"/>
      <w:r w:rsidRPr="00292B13">
        <w:rPr>
          <w:rFonts w:ascii="Garamond" w:hAnsi="Garamond"/>
          <w:lang w:val="en-AU"/>
        </w:rPr>
        <w:t>;81:102589</w:t>
      </w:r>
      <w:proofErr w:type="gramEnd"/>
      <w:r w:rsidRPr="00292B1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color w:val="auto"/>
                <w:u w:val="none"/>
                <w:lang w:val="en-AU"/>
              </w:rPr>
            </w:pPr>
            <w:hyperlink r:id="rId23" w:history="1">
              <w:r w:rsidRPr="008C5A2E">
                <w:rPr>
                  <w:rStyle w:val="Hyperlink"/>
                  <w:rFonts w:ascii="Garamond" w:hAnsi="Garamond"/>
                  <w:lang w:val="en-AU"/>
                </w:rPr>
                <w:t>https://doi.org/10.1016/j.midw.2019.102589</w:t>
              </w:r>
            </w:hyperlink>
          </w:p>
        </w:tc>
      </w:tr>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B737AE" w:rsidRDefault="00520F2B" w:rsidP="00D40E0F">
            <w:pPr>
              <w:rPr>
                <w:rFonts w:ascii="Garamond" w:hAnsi="Garamond"/>
                <w:lang w:val="en-AU"/>
              </w:rPr>
            </w:pPr>
            <w:r>
              <w:rPr>
                <w:rFonts w:ascii="Garamond" w:hAnsi="Garamond"/>
                <w:lang w:val="en-AU"/>
              </w:rPr>
              <w:t xml:space="preserve">Paper describing a review of shared decision tools for use in pregnancy care. This Australian study found </w:t>
            </w:r>
            <w:r w:rsidRPr="00292B13">
              <w:rPr>
                <w:rFonts w:ascii="Garamond" w:hAnsi="Garamond"/>
                <w:lang w:val="en-AU"/>
              </w:rPr>
              <w:t xml:space="preserve">27 </w:t>
            </w:r>
            <w:r>
              <w:rPr>
                <w:rFonts w:ascii="Garamond" w:hAnsi="Garamond"/>
                <w:lang w:val="en-AU"/>
              </w:rPr>
              <w:t>‘</w:t>
            </w:r>
            <w:r w:rsidRPr="00292B13">
              <w:rPr>
                <w:rFonts w:ascii="Garamond" w:hAnsi="Garamond"/>
                <w:lang w:val="en-AU"/>
              </w:rPr>
              <w:t>quality shared decision aids</w:t>
            </w:r>
            <w:r>
              <w:rPr>
                <w:rFonts w:ascii="Garamond" w:hAnsi="Garamond"/>
                <w:lang w:val="en-AU"/>
              </w:rPr>
              <w:t xml:space="preserve">’ that </w:t>
            </w:r>
            <w:r w:rsidRPr="00292B13">
              <w:rPr>
                <w:rFonts w:ascii="Garamond" w:hAnsi="Garamond"/>
                <w:lang w:val="en-AU"/>
              </w:rPr>
              <w:t xml:space="preserve">are </w:t>
            </w:r>
            <w:r>
              <w:rPr>
                <w:rFonts w:ascii="Garamond" w:hAnsi="Garamond"/>
                <w:lang w:val="en-AU"/>
              </w:rPr>
              <w:t>‘</w:t>
            </w:r>
            <w:r w:rsidRPr="00292B13">
              <w:rPr>
                <w:rFonts w:ascii="Garamond" w:hAnsi="Garamond"/>
                <w:lang w:val="en-AU"/>
              </w:rPr>
              <w:t>readily adoptable for use in pregnancy care</w:t>
            </w:r>
            <w:r>
              <w:rPr>
                <w:rFonts w:ascii="Garamond" w:hAnsi="Garamond"/>
                <w:lang w:val="en-AU"/>
              </w:rPr>
              <w:t>’</w:t>
            </w:r>
            <w:r w:rsidRPr="00292B13">
              <w:rPr>
                <w:rFonts w:ascii="Garamond" w:hAnsi="Garamond"/>
                <w:lang w:val="en-AU"/>
              </w:rPr>
              <w:t>.</w:t>
            </w:r>
            <w:r>
              <w:rPr>
                <w:rFonts w:ascii="Garamond" w:hAnsi="Garamond"/>
                <w:lang w:val="en-AU"/>
              </w:rPr>
              <w:t xml:space="preserve"> The review also found that most of these </w:t>
            </w:r>
            <w:r w:rsidRPr="00292B13">
              <w:rPr>
                <w:rFonts w:ascii="Garamond" w:hAnsi="Garamond"/>
                <w:lang w:val="en-AU"/>
              </w:rPr>
              <w:t>included decision aids concerned antenatal screening or birth</w:t>
            </w:r>
            <w:r>
              <w:rPr>
                <w:rFonts w:ascii="Garamond" w:hAnsi="Garamond"/>
                <w:lang w:val="en-AU"/>
              </w:rPr>
              <w:t xml:space="preserve"> and that ‘</w:t>
            </w:r>
            <w:r w:rsidRPr="00292B13">
              <w:rPr>
                <w:rFonts w:ascii="Garamond" w:hAnsi="Garamond"/>
                <w:lang w:val="en-AU"/>
              </w:rPr>
              <w:t>Effective decision aids can reduce decisional conflict and increase knowledge.</w:t>
            </w:r>
            <w:r>
              <w:rPr>
                <w:rFonts w:ascii="Garamond" w:hAnsi="Garamond"/>
                <w:lang w:val="en-AU"/>
              </w:rPr>
              <w:t>’</w:t>
            </w:r>
          </w:p>
        </w:tc>
      </w:tr>
    </w:tbl>
    <w:p w:rsidR="00520F2B" w:rsidRDefault="00520F2B" w:rsidP="00520F2B">
      <w:pPr>
        <w:rPr>
          <w:rFonts w:ascii="Garamond" w:hAnsi="Garamond"/>
          <w:lang w:val="en-AU"/>
        </w:rPr>
      </w:pPr>
    </w:p>
    <w:p w:rsidR="00520F2B" w:rsidRPr="00520F2B" w:rsidRDefault="00520F2B" w:rsidP="00520F2B">
      <w:pPr>
        <w:keepNext/>
        <w:rPr>
          <w:rFonts w:ascii="Garamond" w:hAnsi="Garamond"/>
          <w:i/>
          <w:lang w:val="en-AU"/>
        </w:rPr>
      </w:pPr>
      <w:r w:rsidRPr="00520F2B">
        <w:rPr>
          <w:rFonts w:ascii="Garamond" w:hAnsi="Garamond"/>
          <w:i/>
          <w:lang w:val="en-AU"/>
        </w:rPr>
        <w:lastRenderedPageBreak/>
        <w:t>Lessons Learned from a Systems Approach to Engaging Patients and Families in Patient Safety Transformation</w:t>
      </w:r>
    </w:p>
    <w:p w:rsidR="00520F2B" w:rsidRDefault="00520F2B" w:rsidP="00520F2B">
      <w:pPr>
        <w:keepNext/>
        <w:rPr>
          <w:rFonts w:ascii="Garamond" w:hAnsi="Garamond"/>
          <w:lang w:val="en-AU"/>
        </w:rPr>
      </w:pPr>
      <w:proofErr w:type="spellStart"/>
      <w:r w:rsidRPr="00520F2B">
        <w:rPr>
          <w:rFonts w:ascii="Garamond" w:hAnsi="Garamond"/>
          <w:lang w:val="en-AU"/>
        </w:rPr>
        <w:t>Hatlie</w:t>
      </w:r>
      <w:proofErr w:type="spellEnd"/>
      <w:r w:rsidRPr="00520F2B">
        <w:rPr>
          <w:rFonts w:ascii="Garamond" w:hAnsi="Garamond"/>
          <w:lang w:val="en-AU"/>
        </w:rPr>
        <w:t xml:space="preserve"> MJ, Nahum A, Leonard R, Jones L, Nahum V, </w:t>
      </w:r>
      <w:proofErr w:type="spellStart"/>
      <w:r w:rsidRPr="00520F2B">
        <w:rPr>
          <w:rFonts w:ascii="Garamond" w:hAnsi="Garamond"/>
          <w:lang w:val="en-AU"/>
        </w:rPr>
        <w:t>Krevat</w:t>
      </w:r>
      <w:proofErr w:type="spellEnd"/>
      <w:r w:rsidRPr="00520F2B">
        <w:rPr>
          <w:rFonts w:ascii="Garamond" w:hAnsi="Garamond"/>
          <w:lang w:val="en-AU"/>
        </w:rPr>
        <w:t xml:space="preserve"> SA, et al</w:t>
      </w:r>
    </w:p>
    <w:p w:rsidR="00520F2B" w:rsidRDefault="00520F2B" w:rsidP="00520F2B">
      <w:pPr>
        <w:keepNext/>
        <w:rPr>
          <w:rFonts w:ascii="Garamond" w:hAnsi="Garamond"/>
          <w:lang w:val="en-AU"/>
        </w:rPr>
      </w:pPr>
      <w:r w:rsidRPr="00520F2B">
        <w:rPr>
          <w:rFonts w:ascii="Garamond" w:hAnsi="Garamond"/>
          <w:lang w:val="en-AU"/>
        </w:rPr>
        <w:t>The Joint Commission Journal on Quality and Patient Safety. 2020.</w:t>
      </w:r>
    </w:p>
    <w:tbl>
      <w:tblPr>
        <w:tblStyle w:val="TableGrid"/>
        <w:tblW w:w="9360" w:type="dxa"/>
        <w:tblInd w:w="288" w:type="dxa"/>
        <w:tblLayout w:type="fixed"/>
        <w:tblLook w:val="01E0" w:firstRow="1" w:lastRow="1" w:firstColumn="1" w:lastColumn="1" w:noHBand="0" w:noVBand="0"/>
      </w:tblPr>
      <w:tblGrid>
        <w:gridCol w:w="1080"/>
        <w:gridCol w:w="8280"/>
      </w:tblGrid>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color w:val="auto"/>
                <w:u w:val="none"/>
                <w:lang w:val="en-AU"/>
              </w:rPr>
            </w:pPr>
            <w:hyperlink r:id="rId24" w:history="1">
              <w:r w:rsidRPr="008C5A2E">
                <w:rPr>
                  <w:rStyle w:val="Hyperlink"/>
                  <w:rFonts w:ascii="Garamond" w:hAnsi="Garamond"/>
                  <w:lang w:val="en-AU"/>
                </w:rPr>
                <w:t>https://doi.org/10.1016/j.jcjq.2019.12.001</w:t>
              </w:r>
            </w:hyperlink>
          </w:p>
        </w:tc>
      </w:tr>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B737AE" w:rsidRDefault="00520F2B" w:rsidP="00520F2B">
            <w:pPr>
              <w:rPr>
                <w:rFonts w:ascii="Garamond" w:hAnsi="Garamond"/>
                <w:lang w:val="en-AU"/>
              </w:rPr>
            </w:pPr>
            <w:proofErr w:type="gramStart"/>
            <w:r>
              <w:rPr>
                <w:rFonts w:ascii="Garamond" w:hAnsi="Garamond"/>
                <w:lang w:val="en-AU"/>
              </w:rPr>
              <w:t>Partnering</w:t>
            </w:r>
            <w:proofErr w:type="gramEnd"/>
            <w:r>
              <w:rPr>
                <w:rFonts w:ascii="Garamond" w:hAnsi="Garamond"/>
                <w:lang w:val="en-AU"/>
              </w:rPr>
              <w:t xml:space="preserve"> with consumers for safety and quality improvement is widely regarded as beneficial when done well. This paper describes </w:t>
            </w:r>
            <w:proofErr w:type="gramStart"/>
            <w:r>
              <w:rPr>
                <w:rFonts w:ascii="Garamond" w:hAnsi="Garamond"/>
                <w:lang w:val="en-AU"/>
              </w:rPr>
              <w:t xml:space="preserve">how one US </w:t>
            </w:r>
            <w:r w:rsidRPr="00520F2B">
              <w:rPr>
                <w:rFonts w:ascii="Garamond" w:hAnsi="Garamond"/>
                <w:lang w:val="en-AU"/>
              </w:rPr>
              <w:t>health care system with multiple hospitals and ambulatory care delivery sites adopted a system</w:t>
            </w:r>
            <w:r>
              <w:rPr>
                <w:rFonts w:ascii="Garamond" w:hAnsi="Garamond"/>
                <w:lang w:val="en-AU"/>
              </w:rPr>
              <w:t>-</w:t>
            </w:r>
            <w:r w:rsidRPr="00520F2B">
              <w:rPr>
                <w:rFonts w:ascii="Garamond" w:hAnsi="Garamond"/>
                <w:lang w:val="en-AU"/>
              </w:rPr>
              <w:t>wide approach to Patient and Family Advisory Councils on Quality and Safety in 2012</w:t>
            </w:r>
            <w:r>
              <w:rPr>
                <w:rFonts w:ascii="Garamond" w:hAnsi="Garamond"/>
                <w:lang w:val="en-AU"/>
              </w:rPr>
              <w:t xml:space="preserve"> and their subsequent experience</w:t>
            </w:r>
            <w:proofErr w:type="gramEnd"/>
            <w:r>
              <w:rPr>
                <w:rFonts w:ascii="Garamond" w:hAnsi="Garamond"/>
                <w:lang w:val="en-AU"/>
              </w:rPr>
              <w:t xml:space="preserve">. </w:t>
            </w:r>
          </w:p>
        </w:tc>
      </w:tr>
    </w:tbl>
    <w:p w:rsidR="00520F2B" w:rsidRDefault="00520F2B" w:rsidP="00520F2B">
      <w:pPr>
        <w:rPr>
          <w:rFonts w:ascii="Garamond" w:hAnsi="Garamond"/>
          <w:lang w:val="en-AU"/>
        </w:rPr>
      </w:pPr>
    </w:p>
    <w:p w:rsidR="00520F2B" w:rsidRPr="001B2BF1" w:rsidRDefault="00520F2B" w:rsidP="00520F2B">
      <w:pPr>
        <w:keepNext/>
        <w:keepLines/>
        <w:autoSpaceDE w:val="0"/>
        <w:autoSpaceDN w:val="0"/>
        <w:adjustRightInd w:val="0"/>
        <w:rPr>
          <w:rFonts w:ascii="Garamond" w:hAnsi="Garamond"/>
          <w:i/>
          <w:lang w:val="en-AU"/>
        </w:rPr>
      </w:pPr>
      <w:r w:rsidRPr="001B2BF1">
        <w:rPr>
          <w:rFonts w:ascii="Garamond" w:hAnsi="Garamond"/>
          <w:i/>
          <w:lang w:val="en-AU"/>
        </w:rPr>
        <w:t>Can evidence-based decision support tools transform antibiotic management? A systematic review and meta-analyses</w:t>
      </w:r>
    </w:p>
    <w:p w:rsidR="00520F2B" w:rsidRDefault="00520F2B" w:rsidP="00520F2B">
      <w:pPr>
        <w:keepNext/>
        <w:keepLines/>
        <w:autoSpaceDE w:val="0"/>
        <w:autoSpaceDN w:val="0"/>
        <w:adjustRightInd w:val="0"/>
        <w:rPr>
          <w:rFonts w:ascii="Garamond" w:hAnsi="Garamond"/>
          <w:lang w:val="en-AU"/>
        </w:rPr>
      </w:pPr>
      <w:proofErr w:type="spellStart"/>
      <w:r w:rsidRPr="001B2BF1">
        <w:rPr>
          <w:rFonts w:ascii="Garamond" w:hAnsi="Garamond"/>
          <w:lang w:val="en-AU"/>
        </w:rPr>
        <w:t>Laka</w:t>
      </w:r>
      <w:proofErr w:type="spellEnd"/>
      <w:r w:rsidRPr="001B2BF1">
        <w:rPr>
          <w:rFonts w:ascii="Garamond" w:hAnsi="Garamond"/>
          <w:lang w:val="en-AU"/>
        </w:rPr>
        <w:t xml:space="preserve"> M, </w:t>
      </w:r>
      <w:proofErr w:type="spellStart"/>
      <w:r w:rsidRPr="001B2BF1">
        <w:rPr>
          <w:rFonts w:ascii="Garamond" w:hAnsi="Garamond"/>
          <w:lang w:val="en-AU"/>
        </w:rPr>
        <w:t>Milazzo</w:t>
      </w:r>
      <w:proofErr w:type="spellEnd"/>
      <w:r w:rsidRPr="001B2BF1">
        <w:rPr>
          <w:rFonts w:ascii="Garamond" w:hAnsi="Garamond"/>
          <w:lang w:val="en-AU"/>
        </w:rPr>
        <w:t xml:space="preserve"> A, Merlin T</w:t>
      </w:r>
    </w:p>
    <w:p w:rsidR="00520F2B" w:rsidRDefault="00520F2B" w:rsidP="00520F2B">
      <w:pPr>
        <w:keepNext/>
        <w:keepLines/>
        <w:autoSpaceDE w:val="0"/>
        <w:autoSpaceDN w:val="0"/>
        <w:adjustRightInd w:val="0"/>
        <w:rPr>
          <w:rFonts w:ascii="Garamond" w:hAnsi="Garamond"/>
          <w:lang w:val="en-AU"/>
        </w:rPr>
      </w:pPr>
      <w:r w:rsidRPr="001B2BF1">
        <w:rPr>
          <w:rFonts w:ascii="Garamond" w:hAnsi="Garamond"/>
          <w:lang w:val="en-AU"/>
        </w:rPr>
        <w:t xml:space="preserve">Journal of Antimicrobial Chemotherapy. </w:t>
      </w:r>
      <w:proofErr w:type="gramStart"/>
      <w:r w:rsidRPr="001B2BF1">
        <w:rPr>
          <w:rFonts w:ascii="Garamond" w:hAnsi="Garamond"/>
          <w:lang w:val="en-AU"/>
        </w:rPr>
        <w:t>2020</w:t>
      </w:r>
      <w:proofErr w:type="gramEnd"/>
      <w:r>
        <w:rPr>
          <w:rFonts w:ascii="Garamond" w:hAnsi="Garamond"/>
          <w:lang w:val="en-AU"/>
        </w:rPr>
        <w:t xml:space="preserve"> [epub]</w:t>
      </w:r>
      <w:r w:rsidRPr="001B2BF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color w:val="auto"/>
                <w:u w:val="none"/>
                <w:lang w:val="en-AU"/>
              </w:rPr>
            </w:pPr>
            <w:hyperlink r:id="rId25" w:history="1">
              <w:r w:rsidRPr="008C5A2E">
                <w:rPr>
                  <w:rStyle w:val="Hyperlink"/>
                  <w:rFonts w:ascii="Garamond" w:hAnsi="Garamond"/>
                  <w:lang w:val="en-AU"/>
                </w:rPr>
                <w:t>https://doi.org/10.1093/jac/dkz543</w:t>
              </w:r>
            </w:hyperlink>
          </w:p>
        </w:tc>
      </w:tr>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Pr="00B737AE" w:rsidRDefault="00520F2B" w:rsidP="00D40E0F">
            <w:pPr>
              <w:rPr>
                <w:rFonts w:ascii="Garamond" w:hAnsi="Garamond"/>
                <w:lang w:val="en-AU"/>
              </w:rPr>
            </w:pPr>
            <w:r>
              <w:rPr>
                <w:rFonts w:ascii="Garamond" w:hAnsi="Garamond"/>
                <w:lang w:val="en-AU"/>
              </w:rPr>
              <w:t xml:space="preserve">The importance of appropriate antimicrobial usage has gained wide acceptance. </w:t>
            </w:r>
            <w:proofErr w:type="gramStart"/>
            <w:r>
              <w:rPr>
                <w:rFonts w:ascii="Garamond" w:hAnsi="Garamond"/>
                <w:lang w:val="en-AU"/>
              </w:rPr>
              <w:t>But</w:t>
            </w:r>
            <w:proofErr w:type="gramEnd"/>
            <w:r>
              <w:rPr>
                <w:rFonts w:ascii="Garamond" w:hAnsi="Garamond"/>
                <w:lang w:val="en-AU"/>
              </w:rPr>
              <w:t xml:space="preserve"> how to encourage it has not always been readily achieved. This paper reviewed the literature on whether clinical decision support systems (CDSS) are effective in ‘</w:t>
            </w:r>
            <w:r w:rsidRPr="001B2BF1">
              <w:rPr>
                <w:rFonts w:ascii="Garamond" w:hAnsi="Garamond"/>
                <w:lang w:val="en-AU"/>
              </w:rPr>
              <w:t>reducing unnecessary and suboptimal antibiotic prescribing within different healthcare settings.</w:t>
            </w:r>
            <w:r>
              <w:rPr>
                <w:rFonts w:ascii="Garamond" w:hAnsi="Garamond"/>
                <w:lang w:val="en-AU"/>
              </w:rPr>
              <w:t>’ Based on 57 studies, ‘T</w:t>
            </w:r>
            <w:r w:rsidRPr="001B2BF1">
              <w:rPr>
                <w:rFonts w:ascii="Garamond" w:hAnsi="Garamond"/>
                <w:lang w:val="en-AU"/>
              </w:rPr>
              <w:t xml:space="preserve">he meta-analyses indicated that </w:t>
            </w:r>
            <w:r w:rsidRPr="001B2BF1">
              <w:rPr>
                <w:rFonts w:ascii="Garamond" w:hAnsi="Garamond"/>
                <w:b/>
                <w:lang w:val="en-AU"/>
              </w:rPr>
              <w:t>appropriate antibiotic therapy was twice as likely to occur following the implementation of CDSSs</w:t>
            </w:r>
            <w:r w:rsidRPr="001B2BF1">
              <w:rPr>
                <w:rFonts w:ascii="Garamond" w:hAnsi="Garamond"/>
                <w:lang w:val="en-AU"/>
              </w:rPr>
              <w:t xml:space="preserve"> (OR 2.28, 95% CI 1.82–2.86, k</w:t>
            </w:r>
            <w:r w:rsidRPr="001B2BF1">
              <w:rPr>
                <w:lang w:val="en-AU"/>
              </w:rPr>
              <w:t> </w:t>
            </w:r>
            <w:r w:rsidRPr="001B2BF1">
              <w:rPr>
                <w:rFonts w:ascii="Garamond" w:hAnsi="Garamond"/>
                <w:lang w:val="en-AU"/>
              </w:rPr>
              <w:t>=</w:t>
            </w:r>
            <w:r w:rsidRPr="001B2BF1">
              <w:rPr>
                <w:lang w:val="en-AU"/>
              </w:rPr>
              <w:t> </w:t>
            </w:r>
            <w:r w:rsidRPr="001B2BF1">
              <w:rPr>
                <w:rFonts w:ascii="Garamond" w:hAnsi="Garamond"/>
                <w:lang w:val="en-AU"/>
              </w:rPr>
              <w:t xml:space="preserve">20). The use of CDSSs was also associated with a </w:t>
            </w:r>
            <w:r w:rsidRPr="001B2BF1">
              <w:rPr>
                <w:rFonts w:ascii="Garamond" w:hAnsi="Garamond"/>
                <w:b/>
                <w:lang w:val="en-AU"/>
              </w:rPr>
              <w:t>relative decrease (18%) in mortality</w:t>
            </w:r>
            <w:r w:rsidRPr="001B2BF1">
              <w:rPr>
                <w:rFonts w:ascii="Garamond" w:hAnsi="Garamond"/>
                <w:lang w:val="en-AU"/>
              </w:rPr>
              <w:t xml:space="preserve"> (OR 0.82, 95% CI 0.73</w:t>
            </w:r>
            <w:r w:rsidRPr="001B2BF1">
              <w:rPr>
                <w:rFonts w:ascii="Garamond" w:hAnsi="Garamond" w:cs="Garamond"/>
                <w:lang w:val="en-AU"/>
              </w:rPr>
              <w:t>–</w:t>
            </w:r>
            <w:r w:rsidRPr="001B2BF1">
              <w:rPr>
                <w:rFonts w:ascii="Garamond" w:hAnsi="Garamond"/>
                <w:lang w:val="en-AU"/>
              </w:rPr>
              <w:t>0.91, k</w:t>
            </w:r>
            <w:r w:rsidRPr="001B2BF1">
              <w:rPr>
                <w:lang w:val="en-AU"/>
              </w:rPr>
              <w:t> </w:t>
            </w:r>
            <w:r w:rsidRPr="001B2BF1">
              <w:rPr>
                <w:rFonts w:ascii="Garamond" w:hAnsi="Garamond"/>
                <w:lang w:val="en-AU"/>
              </w:rPr>
              <w:t>=</w:t>
            </w:r>
            <w:r w:rsidRPr="001B2BF1">
              <w:rPr>
                <w:lang w:val="en-AU"/>
              </w:rPr>
              <w:t> </w:t>
            </w:r>
            <w:r w:rsidRPr="001B2BF1">
              <w:rPr>
                <w:rFonts w:ascii="Garamond" w:hAnsi="Garamond"/>
                <w:lang w:val="en-AU"/>
              </w:rPr>
              <w:t xml:space="preserve">18). CDSS implementation also </w:t>
            </w:r>
            <w:r w:rsidRPr="001B2BF1">
              <w:rPr>
                <w:rFonts w:ascii="Garamond" w:hAnsi="Garamond"/>
                <w:b/>
                <w:lang w:val="en-AU"/>
              </w:rPr>
              <w:t>decreased the overall volume of antibiotic use, length of hospital stay, duration and cost of therapy</w:t>
            </w:r>
            <w:r w:rsidRPr="001B2BF1">
              <w:rPr>
                <w:rFonts w:ascii="Garamond" w:hAnsi="Garamond"/>
                <w:lang w:val="en-AU"/>
              </w:rPr>
              <w:t>. The magnitude of the effect did vary by study design, but the direction of the effect was consistent in favouring CDSSs.</w:t>
            </w:r>
            <w:r>
              <w:rPr>
                <w:rFonts w:ascii="Garamond" w:hAnsi="Garamond"/>
                <w:lang w:val="en-AU"/>
              </w:rPr>
              <w:t>’</w:t>
            </w:r>
          </w:p>
        </w:tc>
      </w:tr>
    </w:tbl>
    <w:p w:rsidR="00520F2B" w:rsidRDefault="00520F2B" w:rsidP="00520F2B">
      <w:pPr>
        <w:rPr>
          <w:rFonts w:ascii="Garamond" w:hAnsi="Garamond"/>
          <w:lang w:val="en-AU"/>
        </w:rPr>
      </w:pPr>
    </w:p>
    <w:p w:rsidR="00520F2B" w:rsidRDefault="00520F2B" w:rsidP="00520F2B">
      <w:pPr>
        <w:rPr>
          <w:rFonts w:ascii="Garamond" w:hAnsi="Garamond"/>
          <w:lang w:val="en-AU"/>
        </w:rPr>
      </w:pPr>
      <w:r w:rsidRPr="008F7CB1">
        <w:rPr>
          <w:rFonts w:ascii="Garamond" w:hAnsi="Garamond"/>
          <w:lang w:val="en-AU"/>
        </w:rPr>
        <w:t>For information on the Commission’s work on</w:t>
      </w:r>
      <w:r>
        <w:rPr>
          <w:rFonts w:ascii="Garamond" w:hAnsi="Garamond"/>
          <w:lang w:val="en-AU"/>
        </w:rPr>
        <w:t xml:space="preserve"> a</w:t>
      </w:r>
      <w:r w:rsidRPr="00F90AB6">
        <w:rPr>
          <w:rFonts w:ascii="Garamond" w:hAnsi="Garamond"/>
          <w:lang w:val="en-AU"/>
        </w:rPr>
        <w:t xml:space="preserve">ntimicrobial </w:t>
      </w:r>
      <w:r>
        <w:rPr>
          <w:rFonts w:ascii="Garamond" w:hAnsi="Garamond"/>
          <w:lang w:val="en-AU"/>
        </w:rPr>
        <w:t>s</w:t>
      </w:r>
      <w:r w:rsidRPr="00F90AB6">
        <w:rPr>
          <w:rFonts w:ascii="Garamond" w:hAnsi="Garamond"/>
          <w:lang w:val="en-AU"/>
        </w:rPr>
        <w:t>tewardship</w:t>
      </w:r>
      <w:r w:rsidRPr="008F7CB1">
        <w:rPr>
          <w:rFonts w:ascii="Garamond" w:hAnsi="Garamond"/>
          <w:lang w:val="en-AU"/>
        </w:rPr>
        <w:t>, see</w:t>
      </w:r>
      <w:r>
        <w:rPr>
          <w:rFonts w:ascii="Garamond" w:hAnsi="Garamond"/>
          <w:lang w:val="en-AU"/>
        </w:rPr>
        <w:t xml:space="preserve"> </w:t>
      </w:r>
      <w:hyperlink r:id="rId26" w:history="1">
        <w:r w:rsidRPr="008C5A2E">
          <w:rPr>
            <w:rStyle w:val="Hyperlink"/>
            <w:rFonts w:ascii="Garamond" w:hAnsi="Garamond"/>
            <w:lang w:val="en-AU"/>
          </w:rPr>
          <w:t>https://www.safetyandquality.gov.au/our-work/antimicrobial-stewardship</w:t>
        </w:r>
      </w:hyperlink>
      <w:r>
        <w:rPr>
          <w:rFonts w:ascii="Garamond" w:hAnsi="Garamond"/>
          <w:lang w:val="en-AU"/>
        </w:rPr>
        <w:t xml:space="preserve"> </w:t>
      </w:r>
    </w:p>
    <w:p w:rsidR="00520F2B" w:rsidRDefault="00520F2B" w:rsidP="00520F2B">
      <w:pPr>
        <w:rPr>
          <w:rFonts w:ascii="Garamond" w:hAnsi="Garamond"/>
          <w:lang w:val="en-AU"/>
        </w:rPr>
      </w:pPr>
    </w:p>
    <w:p w:rsidR="00520F2B" w:rsidRPr="003B1759" w:rsidRDefault="00520F2B" w:rsidP="00520F2B">
      <w:pPr>
        <w:keepNext/>
        <w:keepLines/>
        <w:autoSpaceDE w:val="0"/>
        <w:autoSpaceDN w:val="0"/>
        <w:adjustRightInd w:val="0"/>
        <w:rPr>
          <w:rFonts w:ascii="Garamond" w:hAnsi="Garamond"/>
          <w:i/>
          <w:lang w:val="en-AU"/>
        </w:rPr>
      </w:pPr>
      <w:r w:rsidRPr="003B1759">
        <w:rPr>
          <w:rFonts w:ascii="Garamond" w:hAnsi="Garamond"/>
          <w:i/>
          <w:lang w:val="en-AU"/>
        </w:rPr>
        <w:t>Surviving Sepsis Campaign International Guidelines for the Management of Septic Shock and Sepsis-Associated Organ Dysfunction in Children</w:t>
      </w:r>
    </w:p>
    <w:p w:rsidR="00520F2B" w:rsidRDefault="00520F2B" w:rsidP="00520F2B">
      <w:pPr>
        <w:keepNext/>
        <w:keepLines/>
        <w:autoSpaceDE w:val="0"/>
        <w:autoSpaceDN w:val="0"/>
        <w:adjustRightInd w:val="0"/>
        <w:rPr>
          <w:rFonts w:ascii="Garamond" w:hAnsi="Garamond"/>
          <w:lang w:val="en-AU"/>
        </w:rPr>
      </w:pPr>
      <w:r w:rsidRPr="00C52D22">
        <w:rPr>
          <w:rFonts w:ascii="Garamond" w:hAnsi="Garamond"/>
          <w:lang w:val="en-AU"/>
        </w:rPr>
        <w:t xml:space="preserve">Weiss SL, Peters MJ, </w:t>
      </w:r>
      <w:proofErr w:type="spellStart"/>
      <w:r w:rsidRPr="00C52D22">
        <w:rPr>
          <w:rFonts w:ascii="Garamond" w:hAnsi="Garamond"/>
          <w:lang w:val="en-AU"/>
        </w:rPr>
        <w:t>Alhazzani</w:t>
      </w:r>
      <w:proofErr w:type="spellEnd"/>
      <w:r w:rsidRPr="00C52D22">
        <w:rPr>
          <w:rFonts w:ascii="Garamond" w:hAnsi="Garamond"/>
          <w:lang w:val="en-AU"/>
        </w:rPr>
        <w:t xml:space="preserve"> W, </w:t>
      </w:r>
      <w:proofErr w:type="spellStart"/>
      <w:r w:rsidRPr="00C52D22">
        <w:rPr>
          <w:rFonts w:ascii="Garamond" w:hAnsi="Garamond"/>
          <w:lang w:val="en-AU"/>
        </w:rPr>
        <w:t>Agus</w:t>
      </w:r>
      <w:proofErr w:type="spellEnd"/>
      <w:r w:rsidRPr="00C52D22">
        <w:rPr>
          <w:rFonts w:ascii="Garamond" w:hAnsi="Garamond"/>
          <w:lang w:val="en-AU"/>
        </w:rPr>
        <w:t xml:space="preserve"> MSD, </w:t>
      </w:r>
      <w:proofErr w:type="spellStart"/>
      <w:r w:rsidRPr="00C52D22">
        <w:rPr>
          <w:rFonts w:ascii="Garamond" w:hAnsi="Garamond"/>
          <w:lang w:val="en-AU"/>
        </w:rPr>
        <w:t>Flori</w:t>
      </w:r>
      <w:proofErr w:type="spellEnd"/>
      <w:r w:rsidRPr="00C52D22">
        <w:rPr>
          <w:rFonts w:ascii="Garamond" w:hAnsi="Garamond"/>
          <w:lang w:val="en-AU"/>
        </w:rPr>
        <w:t xml:space="preserve"> HR, </w:t>
      </w:r>
      <w:proofErr w:type="spellStart"/>
      <w:r w:rsidRPr="00C52D22">
        <w:rPr>
          <w:rFonts w:ascii="Garamond" w:hAnsi="Garamond"/>
          <w:lang w:val="en-AU"/>
        </w:rPr>
        <w:t>Inwald</w:t>
      </w:r>
      <w:proofErr w:type="spellEnd"/>
      <w:r w:rsidRPr="00C52D22">
        <w:rPr>
          <w:rFonts w:ascii="Garamond" w:hAnsi="Garamond"/>
          <w:lang w:val="en-AU"/>
        </w:rPr>
        <w:t xml:space="preserve"> DP, et al</w:t>
      </w:r>
    </w:p>
    <w:p w:rsidR="00520F2B" w:rsidRDefault="00520F2B" w:rsidP="00520F2B">
      <w:pPr>
        <w:keepNext/>
        <w:keepLines/>
        <w:autoSpaceDE w:val="0"/>
        <w:autoSpaceDN w:val="0"/>
        <w:adjustRightInd w:val="0"/>
        <w:rPr>
          <w:rFonts w:ascii="Garamond" w:hAnsi="Garamond"/>
          <w:lang w:val="en-AU"/>
        </w:rPr>
      </w:pPr>
      <w:proofErr w:type="spellStart"/>
      <w:r w:rsidRPr="00C52D22">
        <w:rPr>
          <w:rFonts w:ascii="Garamond" w:hAnsi="Garamond"/>
          <w:lang w:val="en-AU"/>
        </w:rPr>
        <w:t>Pediatric</w:t>
      </w:r>
      <w:proofErr w:type="spellEnd"/>
      <w:r w:rsidRPr="00C52D22">
        <w:rPr>
          <w:rFonts w:ascii="Garamond" w:hAnsi="Garamond"/>
          <w:lang w:val="en-AU"/>
        </w:rPr>
        <w:t xml:space="preserve"> Critical Care Medicine. 2020</w:t>
      </w:r>
      <w:proofErr w:type="gramStart"/>
      <w:r w:rsidRPr="00C52D22">
        <w:rPr>
          <w:rFonts w:ascii="Garamond" w:hAnsi="Garamond"/>
          <w:lang w:val="en-AU"/>
        </w:rPr>
        <w:t>;21</w:t>
      </w:r>
      <w:proofErr w:type="gramEnd"/>
      <w:r w:rsidRPr="00C52D22">
        <w:rPr>
          <w:rFonts w:ascii="Garamond" w:hAnsi="Garamond"/>
          <w:lang w:val="en-AU"/>
        </w:rPr>
        <w:t>(2).</w:t>
      </w:r>
    </w:p>
    <w:p w:rsidR="00520F2B" w:rsidRDefault="00520F2B" w:rsidP="00520F2B">
      <w:pPr>
        <w:keepNext/>
        <w:keepLines/>
        <w:autoSpaceDE w:val="0"/>
        <w:autoSpaceDN w:val="0"/>
        <w:adjustRightInd w:val="0"/>
        <w:rPr>
          <w:rFonts w:ascii="Garamond" w:hAnsi="Garamond"/>
          <w:lang w:val="en-AU"/>
        </w:rPr>
      </w:pPr>
    </w:p>
    <w:p w:rsidR="00520F2B" w:rsidRDefault="00520F2B" w:rsidP="00520F2B">
      <w:pPr>
        <w:keepNext/>
        <w:keepLines/>
        <w:autoSpaceDE w:val="0"/>
        <w:autoSpaceDN w:val="0"/>
        <w:adjustRightInd w:val="0"/>
        <w:rPr>
          <w:rFonts w:ascii="Garamond" w:hAnsi="Garamond"/>
          <w:lang w:val="en-AU"/>
        </w:rPr>
      </w:pPr>
      <w:r w:rsidRPr="003B1759">
        <w:rPr>
          <w:rFonts w:ascii="Garamond" w:hAnsi="Garamond"/>
          <w:lang w:val="en-AU"/>
        </w:rPr>
        <w:t xml:space="preserve">Weiss SL, Peters MJ, </w:t>
      </w:r>
      <w:proofErr w:type="spellStart"/>
      <w:r w:rsidRPr="003B1759">
        <w:rPr>
          <w:rFonts w:ascii="Garamond" w:hAnsi="Garamond"/>
          <w:lang w:val="en-AU"/>
        </w:rPr>
        <w:t>Alhazzani</w:t>
      </w:r>
      <w:proofErr w:type="spellEnd"/>
      <w:r w:rsidRPr="003B1759">
        <w:rPr>
          <w:rFonts w:ascii="Garamond" w:hAnsi="Garamond"/>
          <w:lang w:val="en-AU"/>
        </w:rPr>
        <w:t xml:space="preserve"> W, </w:t>
      </w:r>
      <w:proofErr w:type="spellStart"/>
      <w:r w:rsidRPr="003B1759">
        <w:rPr>
          <w:rFonts w:ascii="Garamond" w:hAnsi="Garamond"/>
          <w:lang w:val="en-AU"/>
        </w:rPr>
        <w:t>Agus</w:t>
      </w:r>
      <w:proofErr w:type="spellEnd"/>
      <w:r w:rsidRPr="003B1759">
        <w:rPr>
          <w:rFonts w:ascii="Garamond" w:hAnsi="Garamond"/>
          <w:lang w:val="en-AU"/>
        </w:rPr>
        <w:t xml:space="preserve"> MSD, </w:t>
      </w:r>
      <w:proofErr w:type="spellStart"/>
      <w:r w:rsidRPr="003B1759">
        <w:rPr>
          <w:rFonts w:ascii="Garamond" w:hAnsi="Garamond"/>
          <w:lang w:val="en-AU"/>
        </w:rPr>
        <w:t>Flori</w:t>
      </w:r>
      <w:proofErr w:type="spellEnd"/>
      <w:r w:rsidRPr="003B1759">
        <w:rPr>
          <w:rFonts w:ascii="Garamond" w:hAnsi="Garamond"/>
          <w:lang w:val="en-AU"/>
        </w:rPr>
        <w:t xml:space="preserve"> HR, </w:t>
      </w:r>
      <w:proofErr w:type="spellStart"/>
      <w:r w:rsidRPr="003B1759">
        <w:rPr>
          <w:rFonts w:ascii="Garamond" w:hAnsi="Garamond"/>
          <w:lang w:val="en-AU"/>
        </w:rPr>
        <w:t>Inwald</w:t>
      </w:r>
      <w:proofErr w:type="spellEnd"/>
      <w:r w:rsidRPr="003B1759">
        <w:rPr>
          <w:rFonts w:ascii="Garamond" w:hAnsi="Garamond"/>
          <w:lang w:val="en-AU"/>
        </w:rPr>
        <w:t xml:space="preserve"> DP, et al</w:t>
      </w:r>
    </w:p>
    <w:p w:rsidR="00520F2B" w:rsidRDefault="00520F2B" w:rsidP="00520F2B">
      <w:pPr>
        <w:keepNext/>
        <w:keepLines/>
        <w:autoSpaceDE w:val="0"/>
        <w:autoSpaceDN w:val="0"/>
        <w:adjustRightInd w:val="0"/>
        <w:rPr>
          <w:rFonts w:ascii="Garamond" w:hAnsi="Garamond"/>
          <w:lang w:val="en-AU"/>
        </w:rPr>
      </w:pPr>
      <w:r w:rsidRPr="003B1759">
        <w:rPr>
          <w:rFonts w:ascii="Garamond" w:hAnsi="Garamond"/>
          <w:lang w:val="en-AU"/>
        </w:rPr>
        <w:t>Intensive Care Medicine. 2020</w:t>
      </w:r>
      <w:proofErr w:type="gramStart"/>
      <w:r w:rsidRPr="003B1759">
        <w:rPr>
          <w:rFonts w:ascii="Garamond" w:hAnsi="Garamond"/>
          <w:lang w:val="en-AU"/>
        </w:rPr>
        <w:t>;46</w:t>
      </w:r>
      <w:proofErr w:type="gramEnd"/>
      <w:r w:rsidRPr="003B1759">
        <w:rPr>
          <w:rFonts w:ascii="Garamond" w:hAnsi="Garamond"/>
          <w:lang w:val="en-AU"/>
        </w:rPr>
        <w:t>(1):10-67.</w:t>
      </w:r>
    </w:p>
    <w:tbl>
      <w:tblPr>
        <w:tblStyle w:val="TableGrid"/>
        <w:tblW w:w="0" w:type="auto"/>
        <w:tblInd w:w="288" w:type="dxa"/>
        <w:tblLayout w:type="fixed"/>
        <w:tblLook w:val="01E0" w:firstRow="1" w:lastRow="1" w:firstColumn="1" w:lastColumn="1" w:noHBand="0" w:noVBand="0"/>
      </w:tblPr>
      <w:tblGrid>
        <w:gridCol w:w="1080"/>
        <w:gridCol w:w="8280"/>
      </w:tblGrid>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Default="00520F2B" w:rsidP="00D40E0F">
            <w:pPr>
              <w:rPr>
                <w:rStyle w:val="Hyperlink"/>
                <w:rFonts w:ascii="Garamond" w:hAnsi="Garamond"/>
                <w:color w:val="auto"/>
                <w:u w:val="none"/>
                <w:lang w:val="en-AU"/>
              </w:rPr>
            </w:pPr>
            <w:proofErr w:type="spellStart"/>
            <w:r>
              <w:rPr>
                <w:rStyle w:val="Hyperlink"/>
                <w:rFonts w:ascii="Garamond" w:hAnsi="Garamond"/>
                <w:color w:val="auto"/>
                <w:u w:val="none"/>
                <w:lang w:val="en-AU"/>
              </w:rPr>
              <w:t>P</w:t>
            </w:r>
            <w:r w:rsidRPr="003B1759">
              <w:rPr>
                <w:rStyle w:val="Hyperlink"/>
                <w:rFonts w:ascii="Garamond" w:hAnsi="Garamond"/>
                <w:color w:val="auto"/>
                <w:u w:val="none"/>
                <w:lang w:val="en-AU"/>
              </w:rPr>
              <w:t>ediatric</w:t>
            </w:r>
            <w:proofErr w:type="spellEnd"/>
            <w:r w:rsidRPr="003B1759">
              <w:rPr>
                <w:rStyle w:val="Hyperlink"/>
                <w:rFonts w:ascii="Garamond" w:hAnsi="Garamond"/>
                <w:color w:val="auto"/>
                <w:u w:val="none"/>
                <w:lang w:val="en-AU"/>
              </w:rPr>
              <w:t xml:space="preserve"> Critical Care Medicine</w:t>
            </w:r>
            <w:r>
              <w:rPr>
                <w:rStyle w:val="Hyperlink"/>
                <w:rFonts w:ascii="Garamond" w:hAnsi="Garamond"/>
                <w:color w:val="auto"/>
                <w:u w:val="none"/>
                <w:lang w:val="en-AU"/>
              </w:rPr>
              <w:t xml:space="preserve"> </w:t>
            </w:r>
            <w:hyperlink r:id="rId27" w:history="1">
              <w:r w:rsidRPr="008C5A2E">
                <w:rPr>
                  <w:rStyle w:val="Hyperlink"/>
                  <w:rFonts w:ascii="Garamond" w:hAnsi="Garamond"/>
                  <w:lang w:val="en-AU"/>
                </w:rPr>
                <w:t>https://doi.org/10.1097/PCC.0000000000002198</w:t>
              </w:r>
            </w:hyperlink>
          </w:p>
          <w:p w:rsidR="00520F2B" w:rsidRPr="000170DA" w:rsidRDefault="00520F2B" w:rsidP="00D40E0F">
            <w:pPr>
              <w:rPr>
                <w:rStyle w:val="Hyperlink"/>
                <w:rFonts w:ascii="Garamond" w:hAnsi="Garamond"/>
                <w:color w:val="auto"/>
                <w:u w:val="none"/>
                <w:lang w:val="en-AU"/>
              </w:rPr>
            </w:pPr>
            <w:r w:rsidRPr="003B1759">
              <w:rPr>
                <w:rStyle w:val="Hyperlink"/>
                <w:rFonts w:ascii="Garamond" w:hAnsi="Garamond"/>
                <w:color w:val="auto"/>
                <w:u w:val="none"/>
                <w:lang w:val="en-AU"/>
              </w:rPr>
              <w:t>Intensive Care Medicine</w:t>
            </w:r>
            <w:r>
              <w:rPr>
                <w:rStyle w:val="Hyperlink"/>
                <w:rFonts w:ascii="Garamond" w:hAnsi="Garamond"/>
                <w:color w:val="auto"/>
                <w:u w:val="none"/>
                <w:lang w:val="en-AU"/>
              </w:rPr>
              <w:t xml:space="preserve"> </w:t>
            </w:r>
            <w:hyperlink r:id="rId28" w:history="1">
              <w:r w:rsidRPr="008C5A2E">
                <w:rPr>
                  <w:rStyle w:val="Hyperlink"/>
                  <w:rFonts w:ascii="Garamond" w:hAnsi="Garamond"/>
                  <w:lang w:val="en-AU"/>
                </w:rPr>
                <w:t>https://doi.org/10.1007/s00134-019-05878-6</w:t>
              </w:r>
            </w:hyperlink>
          </w:p>
        </w:tc>
      </w:tr>
      <w:tr w:rsidR="00520F2B" w:rsidRPr="000170DA" w:rsidTr="00D40E0F">
        <w:tc>
          <w:tcPr>
            <w:tcW w:w="1080" w:type="dxa"/>
            <w:tcBorders>
              <w:top w:val="single" w:sz="4" w:space="0" w:color="auto"/>
              <w:left w:val="single" w:sz="4" w:space="0" w:color="auto"/>
              <w:bottom w:val="single" w:sz="4" w:space="0" w:color="auto"/>
              <w:right w:val="single" w:sz="4" w:space="0" w:color="auto"/>
            </w:tcBorders>
            <w:vAlign w:val="center"/>
          </w:tcPr>
          <w:p w:rsidR="00520F2B" w:rsidRPr="000170DA" w:rsidRDefault="00520F2B" w:rsidP="00D40E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0F2B" w:rsidRDefault="00520F2B" w:rsidP="00D40E0F">
            <w:pPr>
              <w:rPr>
                <w:rFonts w:ascii="Garamond" w:hAnsi="Garamond"/>
                <w:lang w:val="en-AU"/>
              </w:rPr>
            </w:pPr>
            <w:r>
              <w:rPr>
                <w:rFonts w:ascii="Garamond" w:hAnsi="Garamond"/>
                <w:lang w:val="en-AU"/>
              </w:rPr>
              <w:t xml:space="preserve">Published in two journals simultaneously, these guidelines </w:t>
            </w:r>
            <w:proofErr w:type="gramStart"/>
            <w:r>
              <w:rPr>
                <w:rFonts w:ascii="Garamond" w:hAnsi="Garamond"/>
                <w:lang w:val="en-AU"/>
              </w:rPr>
              <w:t>have been developed</w:t>
            </w:r>
            <w:proofErr w:type="gramEnd"/>
            <w:r>
              <w:rPr>
                <w:rFonts w:ascii="Garamond" w:hAnsi="Garamond"/>
                <w:lang w:val="en-AU"/>
              </w:rPr>
              <w:t xml:space="preserve"> by a panel of 49 experts organised by the Surviving Sepsis campaign. The panel sought to develop e</w:t>
            </w:r>
            <w:r w:rsidRPr="003B1759">
              <w:rPr>
                <w:rFonts w:ascii="Garamond" w:hAnsi="Garamond"/>
                <w:lang w:val="en-AU"/>
              </w:rPr>
              <w:t>vidence-based recommendations for clinicians caring for children (including infants, school-aged children, and adolescents) with septic shock and other sepsis-associated organ dysfunction.</w:t>
            </w:r>
            <w:r>
              <w:rPr>
                <w:rFonts w:ascii="Garamond" w:hAnsi="Garamond"/>
                <w:lang w:val="en-AU"/>
              </w:rPr>
              <w:t xml:space="preserve"> </w:t>
            </w:r>
            <w:r w:rsidRPr="00C52D22">
              <w:rPr>
                <w:rFonts w:ascii="Garamond" w:hAnsi="Garamond"/>
                <w:lang w:val="en-AU"/>
              </w:rPr>
              <w:t>The panel provided 77 statements on the management and resuscitation of children with septic shock and other sepsis-associated organ dysfunction. Overall, six were strong recommendations, 49 were weak recommendations, and nine were best-practice statements.</w:t>
            </w:r>
          </w:p>
          <w:p w:rsidR="00520F2B" w:rsidRPr="00B737AE" w:rsidRDefault="00520F2B" w:rsidP="00D40E0F">
            <w:pPr>
              <w:rPr>
                <w:rFonts w:ascii="Garamond" w:hAnsi="Garamond"/>
                <w:lang w:val="en-AU"/>
              </w:rPr>
            </w:pPr>
            <w:r>
              <w:rPr>
                <w:rFonts w:ascii="Garamond" w:hAnsi="Garamond"/>
                <w:noProof/>
                <w:lang w:val="en-AU" w:eastAsia="en-AU"/>
              </w:rPr>
              <w:lastRenderedPageBreak/>
              <w:drawing>
                <wp:inline distT="0" distB="0" distL="0" distR="0" wp14:anchorId="539F5C4E" wp14:editId="23A4F2BB">
                  <wp:extent cx="5116195" cy="6678295"/>
                  <wp:effectExtent l="0" t="0" r="8255" b="8255"/>
                  <wp:docPr id="1" name="Picture 1" descr="https://www.sccm.org/SurvivingSepsisCampaign/Guidelines/Pediatric-Patients" title="Initial Resuscitation Algorithm for Childre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Sepsis algortihm.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6195" cy="6678295"/>
                          </a:xfrm>
                          <a:prstGeom prst="rect">
                            <a:avLst/>
                          </a:prstGeom>
                          <a:noFill/>
                          <a:ln>
                            <a:noFill/>
                          </a:ln>
                        </pic:spPr>
                      </pic:pic>
                    </a:graphicData>
                  </a:graphic>
                </wp:inline>
              </w:drawing>
            </w:r>
          </w:p>
        </w:tc>
      </w:tr>
    </w:tbl>
    <w:p w:rsidR="00B737AE" w:rsidRDefault="00B737AE" w:rsidP="00B737AE">
      <w:pPr>
        <w:keepNext/>
        <w:keepLines/>
        <w:autoSpaceDE w:val="0"/>
        <w:autoSpaceDN w:val="0"/>
        <w:adjustRightInd w:val="0"/>
        <w:rPr>
          <w:rFonts w:ascii="Garamond" w:hAnsi="Garamond"/>
          <w:lang w:val="en-AU"/>
        </w:rPr>
      </w:pPr>
    </w:p>
    <w:p w:rsidR="00AC377D" w:rsidRDefault="00AC377D">
      <w:pPr>
        <w:rPr>
          <w:rFonts w:ascii="Garamond" w:hAnsi="Garamond"/>
          <w:i/>
          <w:lang w:val="en-AU"/>
        </w:rPr>
      </w:pPr>
      <w:r>
        <w:rPr>
          <w:rFonts w:ascii="Garamond" w:hAnsi="Garamond"/>
          <w:i/>
          <w:lang w:val="en-AU"/>
        </w:rPr>
        <w:br w:type="page"/>
      </w:r>
    </w:p>
    <w:p w:rsidR="00542849" w:rsidRPr="00542849" w:rsidRDefault="00542849" w:rsidP="00542849">
      <w:pPr>
        <w:keepNext/>
        <w:keepLines/>
        <w:autoSpaceDE w:val="0"/>
        <w:autoSpaceDN w:val="0"/>
        <w:adjustRightInd w:val="0"/>
        <w:rPr>
          <w:rFonts w:ascii="Garamond" w:hAnsi="Garamond"/>
          <w:i/>
          <w:lang w:val="en-AU"/>
        </w:rPr>
      </w:pPr>
      <w:r w:rsidRPr="00542849">
        <w:rPr>
          <w:rFonts w:ascii="Garamond" w:hAnsi="Garamond"/>
          <w:i/>
          <w:lang w:val="en-AU"/>
        </w:rPr>
        <w:lastRenderedPageBreak/>
        <w:t>Australian Journal of Primary Health</w:t>
      </w:r>
    </w:p>
    <w:p w:rsidR="00542849" w:rsidRDefault="00542849" w:rsidP="00542849">
      <w:pPr>
        <w:keepNext/>
        <w:keepLines/>
        <w:autoSpaceDE w:val="0"/>
        <w:autoSpaceDN w:val="0"/>
        <w:adjustRightInd w:val="0"/>
        <w:rPr>
          <w:rFonts w:ascii="Garamond" w:hAnsi="Garamond"/>
          <w:i/>
          <w:lang w:val="en-AU"/>
        </w:rPr>
      </w:pPr>
      <w:r w:rsidRPr="00542849">
        <w:rPr>
          <w:rFonts w:ascii="Garamond" w:hAnsi="Garamond"/>
          <w:lang w:val="en-AU"/>
        </w:rPr>
        <w:t>Volume 26 Number 1 2020</w:t>
      </w:r>
    </w:p>
    <w:tbl>
      <w:tblPr>
        <w:tblStyle w:val="TableGrid"/>
        <w:tblW w:w="9360" w:type="dxa"/>
        <w:tblInd w:w="288" w:type="dxa"/>
        <w:tblLayout w:type="fixed"/>
        <w:tblLook w:val="01E0" w:firstRow="1" w:lastRow="1" w:firstColumn="1" w:lastColumn="1" w:noHBand="0" w:noVBand="0"/>
      </w:tblPr>
      <w:tblGrid>
        <w:gridCol w:w="1080"/>
        <w:gridCol w:w="8280"/>
      </w:tblGrid>
      <w:tr w:rsidR="00CE659F" w:rsidRPr="000170DA" w:rsidTr="00542849">
        <w:tc>
          <w:tcPr>
            <w:tcW w:w="1080" w:type="dxa"/>
            <w:tcBorders>
              <w:top w:val="single" w:sz="4" w:space="0" w:color="auto"/>
              <w:left w:val="single" w:sz="4" w:space="0" w:color="auto"/>
              <w:bottom w:val="single" w:sz="4" w:space="0" w:color="auto"/>
              <w:right w:val="single" w:sz="4" w:space="0" w:color="auto"/>
            </w:tcBorders>
            <w:vAlign w:val="center"/>
          </w:tcPr>
          <w:p w:rsidR="00CE659F" w:rsidRPr="000170DA" w:rsidRDefault="00CE659F" w:rsidP="008760D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E659F" w:rsidRPr="000170DA" w:rsidRDefault="00AC377D" w:rsidP="008760D9">
            <w:pPr>
              <w:rPr>
                <w:rStyle w:val="Hyperlink"/>
                <w:rFonts w:ascii="Garamond" w:hAnsi="Garamond"/>
                <w:color w:val="auto"/>
                <w:u w:val="none"/>
                <w:lang w:val="en-AU"/>
              </w:rPr>
            </w:pPr>
            <w:hyperlink r:id="rId31" w:history="1">
              <w:r w:rsidR="00542849" w:rsidRPr="00341808">
                <w:rPr>
                  <w:rStyle w:val="Hyperlink"/>
                  <w:rFonts w:ascii="Garamond" w:hAnsi="Garamond"/>
                  <w:lang w:val="en-AU"/>
                </w:rPr>
                <w:t>https://www.publish.csiro.au/py/issue/9743</w:t>
              </w:r>
            </w:hyperlink>
          </w:p>
        </w:tc>
      </w:tr>
      <w:tr w:rsidR="00CE659F" w:rsidRPr="000170DA" w:rsidTr="00542849">
        <w:tc>
          <w:tcPr>
            <w:tcW w:w="1080" w:type="dxa"/>
            <w:tcBorders>
              <w:top w:val="single" w:sz="4" w:space="0" w:color="auto"/>
              <w:left w:val="single" w:sz="4" w:space="0" w:color="auto"/>
              <w:bottom w:val="single" w:sz="4" w:space="0" w:color="auto"/>
              <w:right w:val="single" w:sz="4" w:space="0" w:color="auto"/>
            </w:tcBorders>
            <w:vAlign w:val="center"/>
          </w:tcPr>
          <w:p w:rsidR="00CE659F" w:rsidRPr="000170DA" w:rsidRDefault="00CE659F" w:rsidP="008760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659F" w:rsidRPr="007C3778" w:rsidRDefault="00CE659F" w:rsidP="008760D9">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00AC377D">
              <w:rPr>
                <w:rFonts w:ascii="Garamond" w:hAnsi="Garamond"/>
                <w:lang w:val="en-AU"/>
              </w:rPr>
              <w:t xml:space="preserve"> the</w:t>
            </w:r>
            <w:r w:rsidRPr="00B440ED">
              <w:rPr>
                <w:rFonts w:ascii="Garamond" w:hAnsi="Garamond"/>
                <w:lang w:val="en-AU"/>
              </w:rPr>
              <w:t xml:space="preserve"> </w:t>
            </w:r>
            <w:r w:rsidR="00542849" w:rsidRPr="00542849">
              <w:rPr>
                <w:rFonts w:ascii="Garamond" w:hAnsi="Garamond"/>
                <w:i/>
                <w:lang w:val="en-AU"/>
              </w:rPr>
              <w:t>Australian Journal of Primary Health</w:t>
            </w:r>
            <w:r w:rsidR="00542849" w:rsidRPr="00D865AB">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AC377D">
              <w:rPr>
                <w:rFonts w:ascii="Garamond" w:hAnsi="Garamond"/>
                <w:lang w:val="en-AU"/>
              </w:rPr>
              <w:t xml:space="preserve">the </w:t>
            </w:r>
            <w:r w:rsidR="00542849" w:rsidRPr="00542849">
              <w:rPr>
                <w:rFonts w:ascii="Garamond" w:hAnsi="Garamond"/>
                <w:i/>
                <w:lang w:val="en-AU"/>
              </w:rPr>
              <w:t>Australian Journal of Primary Health</w:t>
            </w:r>
            <w:r w:rsidR="00542849" w:rsidRPr="00B440ED">
              <w:rPr>
                <w:rFonts w:ascii="Garamond" w:hAnsi="Garamond"/>
                <w:lang w:val="en-AU"/>
              </w:rPr>
              <w:t xml:space="preserve"> </w:t>
            </w:r>
            <w:r w:rsidRPr="00B440ED">
              <w:rPr>
                <w:rFonts w:ascii="Garamond" w:hAnsi="Garamond"/>
                <w:lang w:val="en-AU"/>
              </w:rPr>
              <w:t>include:</w:t>
            </w:r>
          </w:p>
          <w:p w:rsidR="00542849" w:rsidRDefault="00542849" w:rsidP="00E72F46">
            <w:pPr>
              <w:pStyle w:val="ListParagraph"/>
              <w:numPr>
                <w:ilvl w:val="0"/>
                <w:numId w:val="38"/>
              </w:numPr>
              <w:rPr>
                <w:rFonts w:ascii="Garamond" w:hAnsi="Garamond"/>
                <w:lang w:val="en-AU"/>
              </w:rPr>
            </w:pPr>
            <w:r w:rsidRPr="00542849">
              <w:rPr>
                <w:rFonts w:ascii="Garamond" w:hAnsi="Garamond"/>
                <w:b/>
                <w:lang w:val="en-AU"/>
              </w:rPr>
              <w:t>Aboriginal and Torres Strait Islander men and parenting</w:t>
            </w:r>
            <w:r w:rsidRPr="00542849">
              <w:rPr>
                <w:rFonts w:ascii="Garamond" w:hAnsi="Garamond"/>
                <w:lang w:val="en-AU"/>
              </w:rPr>
              <w:t>: a scoping review (</w:t>
            </w:r>
            <w:proofErr w:type="spellStart"/>
            <w:r w:rsidRPr="00542849">
              <w:rPr>
                <w:rFonts w:ascii="Garamond" w:hAnsi="Garamond"/>
                <w:lang w:val="en-AU"/>
              </w:rPr>
              <w:t>Kootsy</w:t>
            </w:r>
            <w:proofErr w:type="spellEnd"/>
            <w:r w:rsidRPr="00542849">
              <w:rPr>
                <w:rFonts w:ascii="Garamond" w:hAnsi="Garamond"/>
                <w:lang w:val="en-AU"/>
              </w:rPr>
              <w:t xml:space="preserve"> </w:t>
            </w:r>
            <w:proofErr w:type="spellStart"/>
            <w:r w:rsidRPr="00542849">
              <w:rPr>
                <w:rFonts w:ascii="Garamond" w:hAnsi="Garamond"/>
                <w:lang w:val="en-AU"/>
              </w:rPr>
              <w:t>Canuto</w:t>
            </w:r>
            <w:proofErr w:type="spellEnd"/>
            <w:r w:rsidRPr="00542849">
              <w:rPr>
                <w:rFonts w:ascii="Garamond" w:hAnsi="Garamond"/>
                <w:lang w:val="en-AU"/>
              </w:rPr>
              <w:t xml:space="preserve">, Stephen G. </w:t>
            </w:r>
            <w:proofErr w:type="spellStart"/>
            <w:r w:rsidRPr="00542849">
              <w:rPr>
                <w:rFonts w:ascii="Garamond" w:hAnsi="Garamond"/>
                <w:lang w:val="en-AU"/>
              </w:rPr>
              <w:t>Harfield</w:t>
            </w:r>
            <w:proofErr w:type="spellEnd"/>
            <w:r w:rsidRPr="00542849">
              <w:rPr>
                <w:rFonts w:ascii="Garamond" w:hAnsi="Garamond"/>
                <w:lang w:val="en-AU"/>
              </w:rPr>
              <w:t xml:space="preserve">, Karla J. </w:t>
            </w:r>
            <w:proofErr w:type="spellStart"/>
            <w:r w:rsidRPr="00542849">
              <w:rPr>
                <w:rFonts w:ascii="Garamond" w:hAnsi="Garamond"/>
                <w:lang w:val="en-AU"/>
              </w:rPr>
              <w:t>Canuto</w:t>
            </w:r>
            <w:proofErr w:type="spellEnd"/>
            <w:r w:rsidRPr="00542849">
              <w:rPr>
                <w:rFonts w:ascii="Garamond" w:hAnsi="Garamond"/>
                <w:lang w:val="en-AU"/>
              </w:rPr>
              <w:t xml:space="preserve"> and A Brown</w:t>
            </w:r>
            <w:r>
              <w:rPr>
                <w:rFonts w:ascii="Garamond" w:hAnsi="Garamond"/>
                <w:lang w:val="en-AU"/>
              </w:rPr>
              <w:t>)</w:t>
            </w:r>
          </w:p>
          <w:p w:rsidR="00542849" w:rsidRPr="00542849" w:rsidRDefault="00542849" w:rsidP="00484FB5">
            <w:pPr>
              <w:pStyle w:val="ListParagraph"/>
              <w:numPr>
                <w:ilvl w:val="0"/>
                <w:numId w:val="38"/>
              </w:numPr>
              <w:rPr>
                <w:rFonts w:ascii="Garamond" w:hAnsi="Garamond"/>
                <w:lang w:val="en-AU"/>
              </w:rPr>
            </w:pPr>
            <w:r w:rsidRPr="00542849">
              <w:rPr>
                <w:rFonts w:ascii="Garamond" w:hAnsi="Garamond"/>
                <w:lang w:val="en-AU"/>
              </w:rPr>
              <w:t xml:space="preserve">Building capacity in primary health care to respond to the </w:t>
            </w:r>
            <w:r w:rsidRPr="00542849">
              <w:rPr>
                <w:rFonts w:ascii="Garamond" w:hAnsi="Garamond"/>
                <w:b/>
                <w:lang w:val="en-AU"/>
              </w:rPr>
              <w:t>needs of asylum seekers and refugees</w:t>
            </w:r>
            <w:r w:rsidRPr="00542849">
              <w:rPr>
                <w:rFonts w:ascii="Garamond" w:hAnsi="Garamond"/>
                <w:lang w:val="en-AU"/>
              </w:rPr>
              <w:t xml:space="preserve"> in Melbourne, Australia: the 'GP Engagement' initiative (Mark </w:t>
            </w:r>
            <w:proofErr w:type="spellStart"/>
            <w:r w:rsidRPr="00542849">
              <w:rPr>
                <w:rFonts w:ascii="Garamond" w:hAnsi="Garamond"/>
                <w:lang w:val="en-AU"/>
              </w:rPr>
              <w:t>Timlin</w:t>
            </w:r>
            <w:proofErr w:type="spellEnd"/>
            <w:r w:rsidRPr="00542849">
              <w:rPr>
                <w:rFonts w:ascii="Garamond" w:hAnsi="Garamond"/>
                <w:lang w:val="en-AU"/>
              </w:rPr>
              <w:t>, Alana Russo and Jacquie McBride</w:t>
            </w:r>
            <w:r>
              <w:rPr>
                <w:rFonts w:ascii="Garamond" w:hAnsi="Garamond"/>
                <w:lang w:val="en-AU"/>
              </w:rPr>
              <w:t>)</w:t>
            </w:r>
          </w:p>
          <w:p w:rsidR="00542849" w:rsidRPr="00542849" w:rsidRDefault="00542849" w:rsidP="00D23F1C">
            <w:pPr>
              <w:pStyle w:val="ListParagraph"/>
              <w:numPr>
                <w:ilvl w:val="0"/>
                <w:numId w:val="38"/>
              </w:numPr>
              <w:rPr>
                <w:rFonts w:ascii="Garamond" w:hAnsi="Garamond"/>
                <w:lang w:val="en-AU"/>
              </w:rPr>
            </w:pPr>
            <w:r w:rsidRPr="00542849">
              <w:rPr>
                <w:rFonts w:ascii="Garamond" w:hAnsi="Garamond"/>
                <w:lang w:val="en-AU"/>
              </w:rPr>
              <w:t xml:space="preserve">Education of the medical profession to facilitate </w:t>
            </w:r>
            <w:r w:rsidRPr="00542849">
              <w:rPr>
                <w:rFonts w:ascii="Garamond" w:hAnsi="Garamond"/>
                <w:b/>
                <w:lang w:val="en-AU"/>
              </w:rPr>
              <w:t>delivery of transgender health care</w:t>
            </w:r>
            <w:r w:rsidRPr="00542849">
              <w:rPr>
                <w:rFonts w:ascii="Garamond" w:hAnsi="Garamond"/>
                <w:lang w:val="en-AU"/>
              </w:rPr>
              <w:t xml:space="preserve"> in an Australian health district (</w:t>
            </w:r>
            <w:proofErr w:type="spellStart"/>
            <w:r w:rsidRPr="00542849">
              <w:rPr>
                <w:rFonts w:ascii="Garamond" w:hAnsi="Garamond"/>
                <w:lang w:val="en-AU"/>
              </w:rPr>
              <w:t>Maansi</w:t>
            </w:r>
            <w:proofErr w:type="spellEnd"/>
            <w:r w:rsidRPr="00542849">
              <w:rPr>
                <w:rFonts w:ascii="Garamond" w:hAnsi="Garamond"/>
                <w:lang w:val="en-AU"/>
              </w:rPr>
              <w:t xml:space="preserve"> Arora, </w:t>
            </w:r>
            <w:proofErr w:type="spellStart"/>
            <w:r w:rsidRPr="00542849">
              <w:rPr>
                <w:rFonts w:ascii="Garamond" w:hAnsi="Garamond"/>
                <w:lang w:val="en-AU"/>
              </w:rPr>
              <w:t>Kaete</w:t>
            </w:r>
            <w:proofErr w:type="spellEnd"/>
            <w:r w:rsidRPr="00542849">
              <w:rPr>
                <w:rFonts w:ascii="Garamond" w:hAnsi="Garamond"/>
                <w:lang w:val="en-AU"/>
              </w:rPr>
              <w:t xml:space="preserve"> Walker, Judy </w:t>
            </w:r>
            <w:proofErr w:type="spellStart"/>
            <w:r w:rsidRPr="00542849">
              <w:rPr>
                <w:rFonts w:ascii="Garamond" w:hAnsi="Garamond"/>
                <w:lang w:val="en-AU"/>
              </w:rPr>
              <w:t>Luu</w:t>
            </w:r>
            <w:proofErr w:type="spellEnd"/>
            <w:r w:rsidRPr="00542849">
              <w:rPr>
                <w:rFonts w:ascii="Garamond" w:hAnsi="Garamond"/>
                <w:lang w:val="en-AU"/>
              </w:rPr>
              <w:t xml:space="preserve">, </w:t>
            </w:r>
            <w:proofErr w:type="spellStart"/>
            <w:r w:rsidRPr="00542849">
              <w:rPr>
                <w:rFonts w:ascii="Garamond" w:hAnsi="Garamond"/>
                <w:lang w:val="en-AU"/>
              </w:rPr>
              <w:t>Robbert</w:t>
            </w:r>
            <w:proofErr w:type="spellEnd"/>
            <w:r w:rsidRPr="00542849">
              <w:rPr>
                <w:rFonts w:ascii="Garamond" w:hAnsi="Garamond"/>
                <w:lang w:val="en-AU"/>
              </w:rPr>
              <w:t xml:space="preserve"> J. </w:t>
            </w:r>
            <w:proofErr w:type="spellStart"/>
            <w:r w:rsidRPr="00542849">
              <w:rPr>
                <w:rFonts w:ascii="Garamond" w:hAnsi="Garamond"/>
                <w:lang w:val="en-AU"/>
              </w:rPr>
              <w:t>Duvivier</w:t>
            </w:r>
            <w:proofErr w:type="spellEnd"/>
            <w:r w:rsidRPr="00542849">
              <w:rPr>
                <w:rFonts w:ascii="Garamond" w:hAnsi="Garamond"/>
                <w:lang w:val="en-AU"/>
              </w:rPr>
              <w:t xml:space="preserve">, </w:t>
            </w:r>
            <w:proofErr w:type="spellStart"/>
            <w:r w:rsidRPr="00542849">
              <w:rPr>
                <w:rFonts w:ascii="Garamond" w:hAnsi="Garamond"/>
                <w:lang w:val="en-AU"/>
              </w:rPr>
              <w:t>Tinashe</w:t>
            </w:r>
            <w:proofErr w:type="spellEnd"/>
            <w:r w:rsidRPr="00542849">
              <w:rPr>
                <w:rFonts w:ascii="Garamond" w:hAnsi="Garamond"/>
                <w:lang w:val="en-AU"/>
              </w:rPr>
              <w:t xml:space="preserve"> Dune and Katie Wynne</w:t>
            </w:r>
            <w:r>
              <w:rPr>
                <w:rFonts w:ascii="Garamond" w:hAnsi="Garamond"/>
                <w:lang w:val="en-AU"/>
              </w:rPr>
              <w:t>)</w:t>
            </w:r>
          </w:p>
          <w:p w:rsidR="00542849" w:rsidRPr="00542849" w:rsidRDefault="00542849" w:rsidP="00254E49">
            <w:pPr>
              <w:pStyle w:val="ListParagraph"/>
              <w:numPr>
                <w:ilvl w:val="0"/>
                <w:numId w:val="38"/>
              </w:numPr>
              <w:rPr>
                <w:rFonts w:ascii="Garamond" w:hAnsi="Garamond"/>
                <w:lang w:val="en-AU"/>
              </w:rPr>
            </w:pPr>
            <w:r w:rsidRPr="00542849">
              <w:rPr>
                <w:rFonts w:ascii="Garamond" w:hAnsi="Garamond"/>
                <w:b/>
                <w:lang w:val="en-AU"/>
              </w:rPr>
              <w:t>Home medicines reviews</w:t>
            </w:r>
            <w:r w:rsidRPr="00542849">
              <w:rPr>
                <w:rFonts w:ascii="Garamond" w:hAnsi="Garamond"/>
                <w:lang w:val="en-AU"/>
              </w:rPr>
              <w:t xml:space="preserve">: a qualitative study of GPs' experiences (Kristie Rebecca Weir, </w:t>
            </w:r>
            <w:proofErr w:type="spellStart"/>
            <w:r w:rsidRPr="00542849">
              <w:rPr>
                <w:rFonts w:ascii="Garamond" w:hAnsi="Garamond"/>
                <w:lang w:val="en-AU"/>
              </w:rPr>
              <w:t>Vasi</w:t>
            </w:r>
            <w:proofErr w:type="spellEnd"/>
            <w:r w:rsidRPr="00542849">
              <w:rPr>
                <w:rFonts w:ascii="Garamond" w:hAnsi="Garamond"/>
                <w:lang w:val="en-AU"/>
              </w:rPr>
              <w:t xml:space="preserve"> </w:t>
            </w:r>
            <w:proofErr w:type="spellStart"/>
            <w:r w:rsidRPr="00542849">
              <w:rPr>
                <w:rFonts w:ascii="Garamond" w:hAnsi="Garamond"/>
                <w:lang w:val="en-AU"/>
              </w:rPr>
              <w:t>Naganathan</w:t>
            </w:r>
            <w:proofErr w:type="spellEnd"/>
            <w:r w:rsidRPr="00542849">
              <w:rPr>
                <w:rFonts w:ascii="Garamond" w:hAnsi="Garamond"/>
                <w:lang w:val="en-AU"/>
              </w:rPr>
              <w:t xml:space="preserve">, Debbie Rigby, Kirsten </w:t>
            </w:r>
            <w:proofErr w:type="spellStart"/>
            <w:r w:rsidRPr="00542849">
              <w:rPr>
                <w:rFonts w:ascii="Garamond" w:hAnsi="Garamond"/>
                <w:lang w:val="en-AU"/>
              </w:rPr>
              <w:t>McCaffery</w:t>
            </w:r>
            <w:proofErr w:type="spellEnd"/>
            <w:r w:rsidRPr="00542849">
              <w:rPr>
                <w:rFonts w:ascii="Garamond" w:hAnsi="Garamond"/>
                <w:lang w:val="en-AU"/>
              </w:rPr>
              <w:t xml:space="preserve">, Carissa Bonner, </w:t>
            </w:r>
            <w:proofErr w:type="spellStart"/>
            <w:r w:rsidRPr="00542849">
              <w:rPr>
                <w:rFonts w:ascii="Garamond" w:hAnsi="Garamond"/>
                <w:lang w:val="en-AU"/>
              </w:rPr>
              <w:t>Lyndal</w:t>
            </w:r>
            <w:proofErr w:type="spellEnd"/>
            <w:r w:rsidRPr="00542849">
              <w:rPr>
                <w:rFonts w:ascii="Garamond" w:hAnsi="Garamond"/>
                <w:lang w:val="en-AU"/>
              </w:rPr>
              <w:t xml:space="preserve"> Trevena, Andrew J McLachlan and Jesse Jansen</w:t>
            </w:r>
            <w:r>
              <w:rPr>
                <w:rFonts w:ascii="Garamond" w:hAnsi="Garamond"/>
                <w:lang w:val="en-AU"/>
              </w:rPr>
              <w:t>)</w:t>
            </w:r>
          </w:p>
          <w:p w:rsidR="00542849" w:rsidRPr="00542849" w:rsidRDefault="00542849" w:rsidP="008A6750">
            <w:pPr>
              <w:pStyle w:val="ListParagraph"/>
              <w:numPr>
                <w:ilvl w:val="0"/>
                <w:numId w:val="38"/>
              </w:numPr>
              <w:rPr>
                <w:rFonts w:ascii="Garamond" w:hAnsi="Garamond"/>
                <w:lang w:val="en-AU"/>
              </w:rPr>
            </w:pPr>
            <w:r w:rsidRPr="00542849">
              <w:rPr>
                <w:rFonts w:ascii="Garamond" w:hAnsi="Garamond"/>
                <w:lang w:val="en-AU"/>
              </w:rPr>
              <w:t xml:space="preserve">Updating and validating </w:t>
            </w:r>
            <w:r w:rsidRPr="00542849">
              <w:rPr>
                <w:rFonts w:ascii="Garamond" w:hAnsi="Garamond"/>
                <w:b/>
                <w:lang w:val="en-AU"/>
              </w:rPr>
              <w:t>quality prescribing indicators</w:t>
            </w:r>
            <w:r w:rsidRPr="00542849">
              <w:rPr>
                <w:rFonts w:ascii="Garamond" w:hAnsi="Garamond"/>
                <w:lang w:val="en-AU"/>
              </w:rPr>
              <w:t xml:space="preserve"> for use in Australian general practice (</w:t>
            </w:r>
            <w:proofErr w:type="spellStart"/>
            <w:r w:rsidRPr="00542849">
              <w:rPr>
                <w:rFonts w:ascii="Garamond" w:hAnsi="Garamond"/>
                <w:lang w:val="en-AU"/>
              </w:rPr>
              <w:t>Cuu</w:t>
            </w:r>
            <w:proofErr w:type="spellEnd"/>
            <w:r w:rsidRPr="00542849">
              <w:rPr>
                <w:rFonts w:ascii="Garamond" w:hAnsi="Garamond"/>
                <w:lang w:val="en-AU"/>
              </w:rPr>
              <w:t xml:space="preserve"> Phuong </w:t>
            </w:r>
            <w:proofErr w:type="spellStart"/>
            <w:r w:rsidRPr="00542849">
              <w:rPr>
                <w:rFonts w:ascii="Garamond" w:hAnsi="Garamond"/>
                <w:lang w:val="en-AU"/>
              </w:rPr>
              <w:t>Linh</w:t>
            </w:r>
            <w:proofErr w:type="spellEnd"/>
            <w:r w:rsidRPr="00542849">
              <w:rPr>
                <w:rFonts w:ascii="Garamond" w:hAnsi="Garamond"/>
                <w:lang w:val="en-AU"/>
              </w:rPr>
              <w:t xml:space="preserve"> Dang, Li </w:t>
            </w:r>
            <w:proofErr w:type="spellStart"/>
            <w:r w:rsidRPr="00542849">
              <w:rPr>
                <w:rFonts w:ascii="Garamond" w:hAnsi="Garamond"/>
                <w:lang w:val="en-AU"/>
              </w:rPr>
              <w:t>Shean</w:t>
            </w:r>
            <w:proofErr w:type="spellEnd"/>
            <w:r w:rsidRPr="00542849">
              <w:rPr>
                <w:rFonts w:ascii="Garamond" w:hAnsi="Garamond"/>
                <w:lang w:val="en-AU"/>
              </w:rPr>
              <w:t xml:space="preserve"> </w:t>
            </w:r>
            <w:proofErr w:type="spellStart"/>
            <w:r w:rsidRPr="00542849">
              <w:rPr>
                <w:rFonts w:ascii="Garamond" w:hAnsi="Garamond"/>
                <w:lang w:val="en-AU"/>
              </w:rPr>
              <w:t>Toh</w:t>
            </w:r>
            <w:proofErr w:type="spellEnd"/>
            <w:r w:rsidRPr="00542849">
              <w:rPr>
                <w:rFonts w:ascii="Garamond" w:hAnsi="Garamond"/>
                <w:lang w:val="en-AU"/>
              </w:rPr>
              <w:t>, Nick Cooling, Shane Jackson, Colin Curtain, Angus Thompson and Gregory Peterson</w:t>
            </w:r>
            <w:r>
              <w:rPr>
                <w:rFonts w:ascii="Garamond" w:hAnsi="Garamond"/>
                <w:lang w:val="en-AU"/>
              </w:rPr>
              <w:t>)</w:t>
            </w:r>
          </w:p>
          <w:p w:rsidR="00542849" w:rsidRPr="00542849" w:rsidRDefault="00542849" w:rsidP="00824202">
            <w:pPr>
              <w:pStyle w:val="ListParagraph"/>
              <w:numPr>
                <w:ilvl w:val="0"/>
                <w:numId w:val="38"/>
              </w:numPr>
              <w:rPr>
                <w:rFonts w:ascii="Garamond" w:hAnsi="Garamond"/>
                <w:lang w:val="en-AU"/>
              </w:rPr>
            </w:pPr>
            <w:r w:rsidRPr="00542849">
              <w:rPr>
                <w:rFonts w:ascii="Garamond" w:hAnsi="Garamond"/>
                <w:lang w:val="en-AU"/>
              </w:rPr>
              <w:t xml:space="preserve">Identifying hotspots of </w:t>
            </w:r>
            <w:r w:rsidRPr="00542849">
              <w:rPr>
                <w:rFonts w:ascii="Garamond" w:hAnsi="Garamond"/>
                <w:b/>
                <w:lang w:val="en-AU"/>
              </w:rPr>
              <w:t>type 2 diabetes risk</w:t>
            </w:r>
            <w:r w:rsidRPr="00542849">
              <w:rPr>
                <w:rFonts w:ascii="Garamond" w:hAnsi="Garamond"/>
                <w:lang w:val="en-AU"/>
              </w:rPr>
              <w:t xml:space="preserve"> using general practice data and geospatial analysis: an approach to inform policy and practice (Nasser </w:t>
            </w:r>
            <w:proofErr w:type="spellStart"/>
            <w:r w:rsidRPr="00542849">
              <w:rPr>
                <w:rFonts w:ascii="Garamond" w:hAnsi="Garamond"/>
                <w:lang w:val="en-AU"/>
              </w:rPr>
              <w:t>Bagheri</w:t>
            </w:r>
            <w:proofErr w:type="spellEnd"/>
            <w:r w:rsidRPr="00542849">
              <w:rPr>
                <w:rFonts w:ascii="Garamond" w:hAnsi="Garamond"/>
                <w:lang w:val="en-AU"/>
              </w:rPr>
              <w:t xml:space="preserve">, Paul </w:t>
            </w:r>
            <w:proofErr w:type="spellStart"/>
            <w:r w:rsidRPr="00542849">
              <w:rPr>
                <w:rFonts w:ascii="Garamond" w:hAnsi="Garamond"/>
                <w:lang w:val="en-AU"/>
              </w:rPr>
              <w:t>Konings</w:t>
            </w:r>
            <w:proofErr w:type="spellEnd"/>
            <w:r w:rsidRPr="00542849">
              <w:rPr>
                <w:rFonts w:ascii="Garamond" w:hAnsi="Garamond"/>
                <w:lang w:val="en-AU"/>
              </w:rPr>
              <w:t xml:space="preserve">, Kinley </w:t>
            </w:r>
            <w:proofErr w:type="spellStart"/>
            <w:r w:rsidRPr="00542849">
              <w:rPr>
                <w:rFonts w:ascii="Garamond" w:hAnsi="Garamond"/>
                <w:lang w:val="en-AU"/>
              </w:rPr>
              <w:t>Wangdi</w:t>
            </w:r>
            <w:proofErr w:type="spellEnd"/>
            <w:r w:rsidRPr="00542849">
              <w:rPr>
                <w:rFonts w:ascii="Garamond" w:hAnsi="Garamond"/>
                <w:lang w:val="en-AU"/>
              </w:rPr>
              <w:t xml:space="preserve">, Anne Parkinson, </w:t>
            </w:r>
            <w:proofErr w:type="spellStart"/>
            <w:r w:rsidRPr="00542849">
              <w:rPr>
                <w:rFonts w:ascii="Garamond" w:hAnsi="Garamond"/>
                <w:lang w:val="en-AU"/>
              </w:rPr>
              <w:t>Soumya</w:t>
            </w:r>
            <w:proofErr w:type="spellEnd"/>
            <w:r w:rsidRPr="00542849">
              <w:rPr>
                <w:rFonts w:ascii="Garamond" w:hAnsi="Garamond"/>
                <w:lang w:val="en-AU"/>
              </w:rPr>
              <w:t xml:space="preserve"> </w:t>
            </w:r>
            <w:proofErr w:type="spellStart"/>
            <w:r w:rsidRPr="00542849">
              <w:rPr>
                <w:rFonts w:ascii="Garamond" w:hAnsi="Garamond"/>
                <w:lang w:val="en-AU"/>
              </w:rPr>
              <w:t>Mazumdar</w:t>
            </w:r>
            <w:proofErr w:type="spellEnd"/>
            <w:r w:rsidRPr="00542849">
              <w:rPr>
                <w:rFonts w:ascii="Garamond" w:hAnsi="Garamond"/>
                <w:lang w:val="en-AU"/>
              </w:rPr>
              <w:t xml:space="preserve">, Elizabeth </w:t>
            </w:r>
            <w:proofErr w:type="spellStart"/>
            <w:r w:rsidRPr="00542849">
              <w:rPr>
                <w:rFonts w:ascii="Garamond" w:hAnsi="Garamond"/>
                <w:lang w:val="en-AU"/>
              </w:rPr>
              <w:t>Sturgiss</w:t>
            </w:r>
            <w:proofErr w:type="spellEnd"/>
            <w:r w:rsidRPr="00542849">
              <w:rPr>
                <w:rFonts w:ascii="Garamond" w:hAnsi="Garamond"/>
                <w:lang w:val="en-AU"/>
              </w:rPr>
              <w:t xml:space="preserve">, </w:t>
            </w:r>
            <w:proofErr w:type="spellStart"/>
            <w:r w:rsidRPr="00542849">
              <w:rPr>
                <w:rFonts w:ascii="Garamond" w:hAnsi="Garamond"/>
                <w:lang w:val="en-AU"/>
              </w:rPr>
              <w:t>Aparna</w:t>
            </w:r>
            <w:proofErr w:type="spellEnd"/>
            <w:r w:rsidRPr="00542849">
              <w:rPr>
                <w:rFonts w:ascii="Garamond" w:hAnsi="Garamond"/>
                <w:lang w:val="en-AU"/>
              </w:rPr>
              <w:t xml:space="preserve"> Lal, Kirsty Douglas and Nicholas Glasgow</w:t>
            </w:r>
            <w:r>
              <w:rPr>
                <w:rFonts w:ascii="Garamond" w:hAnsi="Garamond"/>
                <w:lang w:val="en-AU"/>
              </w:rPr>
              <w:t>)</w:t>
            </w:r>
          </w:p>
          <w:p w:rsidR="00542849" w:rsidRPr="00542849" w:rsidRDefault="00542849" w:rsidP="00EC7B6D">
            <w:pPr>
              <w:pStyle w:val="ListParagraph"/>
              <w:numPr>
                <w:ilvl w:val="0"/>
                <w:numId w:val="38"/>
              </w:numPr>
              <w:rPr>
                <w:rFonts w:ascii="Garamond" w:hAnsi="Garamond"/>
                <w:lang w:val="en-AU"/>
              </w:rPr>
            </w:pPr>
            <w:r w:rsidRPr="00542849">
              <w:rPr>
                <w:rFonts w:ascii="Garamond" w:hAnsi="Garamond"/>
                <w:lang w:val="en-AU"/>
              </w:rPr>
              <w:t xml:space="preserve">Implications for GP endorsement of a </w:t>
            </w:r>
            <w:r w:rsidRPr="00542849">
              <w:rPr>
                <w:rFonts w:ascii="Garamond" w:hAnsi="Garamond"/>
                <w:b/>
                <w:lang w:val="en-AU"/>
              </w:rPr>
              <w:t>diabetes app</w:t>
            </w:r>
            <w:r w:rsidRPr="00542849">
              <w:rPr>
                <w:rFonts w:ascii="Garamond" w:hAnsi="Garamond"/>
                <w:lang w:val="en-AU"/>
              </w:rPr>
              <w:t xml:space="preserve"> with patients from culturally diverse backgrounds: a qualitative study (Julie </w:t>
            </w:r>
            <w:proofErr w:type="spellStart"/>
            <w:r w:rsidRPr="00542849">
              <w:rPr>
                <w:rFonts w:ascii="Garamond" w:hAnsi="Garamond"/>
                <w:lang w:val="en-AU"/>
              </w:rPr>
              <w:t>Ayre</w:t>
            </w:r>
            <w:proofErr w:type="spellEnd"/>
            <w:r w:rsidRPr="00542849">
              <w:rPr>
                <w:rFonts w:ascii="Garamond" w:hAnsi="Garamond"/>
                <w:lang w:val="en-AU"/>
              </w:rPr>
              <w:t xml:space="preserve">, Carissa Bonner, Sian </w:t>
            </w:r>
            <w:proofErr w:type="spellStart"/>
            <w:r w:rsidRPr="00542849">
              <w:rPr>
                <w:rFonts w:ascii="Garamond" w:hAnsi="Garamond"/>
                <w:lang w:val="en-AU"/>
              </w:rPr>
              <w:t>Bramwell</w:t>
            </w:r>
            <w:proofErr w:type="spellEnd"/>
            <w:r w:rsidRPr="00542849">
              <w:rPr>
                <w:rFonts w:ascii="Garamond" w:hAnsi="Garamond"/>
                <w:lang w:val="en-AU"/>
              </w:rPr>
              <w:t xml:space="preserve">, Sharon McClelland, R </w:t>
            </w:r>
            <w:proofErr w:type="spellStart"/>
            <w:r w:rsidRPr="00542849">
              <w:rPr>
                <w:rFonts w:ascii="Garamond" w:hAnsi="Garamond"/>
                <w:lang w:val="en-AU"/>
              </w:rPr>
              <w:t>Jayaballa</w:t>
            </w:r>
            <w:proofErr w:type="spellEnd"/>
            <w:r w:rsidRPr="00542849">
              <w:rPr>
                <w:rFonts w:ascii="Garamond" w:hAnsi="Garamond"/>
                <w:lang w:val="en-AU"/>
              </w:rPr>
              <w:t xml:space="preserve">, G </w:t>
            </w:r>
            <w:proofErr w:type="spellStart"/>
            <w:r w:rsidRPr="00542849">
              <w:rPr>
                <w:rFonts w:ascii="Garamond" w:hAnsi="Garamond"/>
                <w:lang w:val="en-AU"/>
              </w:rPr>
              <w:t>Maberly</w:t>
            </w:r>
            <w:proofErr w:type="spellEnd"/>
            <w:r w:rsidRPr="00542849">
              <w:rPr>
                <w:rFonts w:ascii="Garamond" w:hAnsi="Garamond"/>
                <w:lang w:val="en-AU"/>
              </w:rPr>
              <w:t xml:space="preserve"> and K </w:t>
            </w:r>
            <w:proofErr w:type="spellStart"/>
            <w:r w:rsidRPr="00542849">
              <w:rPr>
                <w:rFonts w:ascii="Garamond" w:hAnsi="Garamond"/>
                <w:lang w:val="en-AU"/>
              </w:rPr>
              <w:t>McCaffery</w:t>
            </w:r>
            <w:proofErr w:type="spellEnd"/>
            <w:r>
              <w:rPr>
                <w:rFonts w:ascii="Garamond" w:hAnsi="Garamond"/>
                <w:lang w:val="en-AU"/>
              </w:rPr>
              <w:t>)</w:t>
            </w:r>
          </w:p>
          <w:p w:rsidR="00542849" w:rsidRDefault="00542849" w:rsidP="0073216F">
            <w:pPr>
              <w:pStyle w:val="ListParagraph"/>
              <w:numPr>
                <w:ilvl w:val="0"/>
                <w:numId w:val="38"/>
              </w:numPr>
              <w:rPr>
                <w:rFonts w:ascii="Garamond" w:hAnsi="Garamond"/>
                <w:lang w:val="en-AU"/>
              </w:rPr>
            </w:pPr>
            <w:r w:rsidRPr="00542849">
              <w:rPr>
                <w:rFonts w:ascii="Garamond" w:hAnsi="Garamond"/>
                <w:lang w:val="en-AU"/>
              </w:rPr>
              <w:t xml:space="preserve">A uniform data set for determining </w:t>
            </w:r>
            <w:r w:rsidRPr="00542849">
              <w:rPr>
                <w:rFonts w:ascii="Garamond" w:hAnsi="Garamond"/>
                <w:b/>
                <w:lang w:val="en-AU"/>
              </w:rPr>
              <w:t>outcomes in allied health primary contact services</w:t>
            </w:r>
            <w:r w:rsidRPr="00542849">
              <w:rPr>
                <w:rFonts w:ascii="Garamond" w:hAnsi="Garamond"/>
                <w:lang w:val="en-AU"/>
              </w:rPr>
              <w:t xml:space="preserve"> in Australia (Nicole </w:t>
            </w:r>
            <w:proofErr w:type="spellStart"/>
            <w:r w:rsidRPr="00542849">
              <w:rPr>
                <w:rFonts w:ascii="Garamond" w:hAnsi="Garamond"/>
                <w:lang w:val="en-AU"/>
              </w:rPr>
              <w:t>Moretto</w:t>
            </w:r>
            <w:proofErr w:type="spellEnd"/>
            <w:r w:rsidRPr="00542849">
              <w:rPr>
                <w:rFonts w:ascii="Garamond" w:hAnsi="Garamond"/>
                <w:lang w:val="en-AU"/>
              </w:rPr>
              <w:t xml:space="preserve">, Michelle </w:t>
            </w:r>
            <w:proofErr w:type="spellStart"/>
            <w:r w:rsidRPr="00542849">
              <w:rPr>
                <w:rFonts w:ascii="Garamond" w:hAnsi="Garamond"/>
                <w:lang w:val="en-AU"/>
              </w:rPr>
              <w:t>Stute</w:t>
            </w:r>
            <w:proofErr w:type="spellEnd"/>
            <w:r w:rsidRPr="00542849">
              <w:rPr>
                <w:rFonts w:ascii="Garamond" w:hAnsi="Garamond"/>
                <w:lang w:val="en-AU"/>
              </w:rPr>
              <w:t xml:space="preserve">, Sonia Sam, Marita Bhagwat, Maree Raymer, Peter </w:t>
            </w:r>
            <w:proofErr w:type="spellStart"/>
            <w:r w:rsidRPr="00542849">
              <w:rPr>
                <w:rFonts w:ascii="Garamond" w:hAnsi="Garamond"/>
                <w:lang w:val="en-AU"/>
              </w:rPr>
              <w:t>Butt</w:t>
            </w:r>
            <w:r>
              <w:rPr>
                <w:rFonts w:ascii="Garamond" w:hAnsi="Garamond"/>
                <w:lang w:val="en-AU"/>
              </w:rPr>
              <w:t>rum</w:t>
            </w:r>
            <w:proofErr w:type="spellEnd"/>
            <w:r>
              <w:rPr>
                <w:rFonts w:ascii="Garamond" w:hAnsi="Garamond"/>
                <w:lang w:val="en-AU"/>
              </w:rPr>
              <w:t xml:space="preserve">, M Banks and T A </w:t>
            </w:r>
            <w:proofErr w:type="spellStart"/>
            <w:r w:rsidRPr="00542849">
              <w:rPr>
                <w:rFonts w:ascii="Garamond" w:hAnsi="Garamond"/>
                <w:lang w:val="en-AU"/>
              </w:rPr>
              <w:t>Comans</w:t>
            </w:r>
            <w:proofErr w:type="spellEnd"/>
            <w:r>
              <w:rPr>
                <w:rFonts w:ascii="Garamond" w:hAnsi="Garamond"/>
                <w:lang w:val="en-AU"/>
              </w:rPr>
              <w:t>)</w:t>
            </w:r>
          </w:p>
          <w:p w:rsidR="00542849" w:rsidRDefault="00542849" w:rsidP="003D57C0">
            <w:pPr>
              <w:pStyle w:val="ListParagraph"/>
              <w:numPr>
                <w:ilvl w:val="0"/>
                <w:numId w:val="38"/>
              </w:numPr>
              <w:rPr>
                <w:rFonts w:ascii="Garamond" w:hAnsi="Garamond"/>
                <w:lang w:val="en-AU"/>
              </w:rPr>
            </w:pPr>
            <w:r w:rsidRPr="00542849">
              <w:rPr>
                <w:rFonts w:ascii="Garamond" w:hAnsi="Garamond"/>
                <w:lang w:val="en-AU"/>
              </w:rPr>
              <w:t xml:space="preserve">Developmental vulnerability of Australian </w:t>
            </w:r>
            <w:r w:rsidRPr="00542849">
              <w:rPr>
                <w:rFonts w:ascii="Garamond" w:hAnsi="Garamond"/>
                <w:b/>
                <w:lang w:val="en-AU"/>
              </w:rPr>
              <w:t>school-entry children with hearing loss</w:t>
            </w:r>
            <w:r w:rsidRPr="00542849">
              <w:rPr>
                <w:rFonts w:ascii="Garamond" w:hAnsi="Garamond"/>
                <w:lang w:val="en-AU"/>
              </w:rPr>
              <w:t xml:space="preserve"> (Andrea Simpson, </w:t>
            </w:r>
            <w:proofErr w:type="spellStart"/>
            <w:r w:rsidRPr="00542849">
              <w:rPr>
                <w:rFonts w:ascii="Garamond" w:hAnsi="Garamond"/>
                <w:lang w:val="en-AU"/>
              </w:rPr>
              <w:t>Bojana</w:t>
            </w:r>
            <w:proofErr w:type="spellEnd"/>
            <w:r w:rsidRPr="00542849">
              <w:rPr>
                <w:rFonts w:ascii="Garamond" w:hAnsi="Garamond"/>
                <w:lang w:val="en-AU"/>
              </w:rPr>
              <w:t xml:space="preserve"> </w:t>
            </w:r>
            <w:proofErr w:type="spellStart"/>
            <w:r w:rsidRPr="00542849">
              <w:rPr>
                <w:rFonts w:ascii="Garamond" w:hAnsi="Garamond"/>
                <w:lang w:val="en-AU"/>
              </w:rPr>
              <w:t>Šarkic</w:t>
            </w:r>
            <w:proofErr w:type="spellEnd"/>
            <w:r w:rsidRPr="00542849">
              <w:rPr>
                <w:rFonts w:ascii="Garamond" w:hAnsi="Garamond"/>
                <w:lang w:val="en-AU"/>
              </w:rPr>
              <w:t xml:space="preserve">, Joanne C </w:t>
            </w:r>
            <w:proofErr w:type="spellStart"/>
            <w:r w:rsidRPr="00542849">
              <w:rPr>
                <w:rFonts w:ascii="Garamond" w:hAnsi="Garamond"/>
                <w:lang w:val="en-AU"/>
              </w:rPr>
              <w:t>Enticott</w:t>
            </w:r>
            <w:proofErr w:type="spellEnd"/>
            <w:r w:rsidRPr="00542849">
              <w:rPr>
                <w:rFonts w:ascii="Garamond" w:hAnsi="Garamond"/>
                <w:lang w:val="en-AU"/>
              </w:rPr>
              <w:t>, Zoe Richardson and Kimberly Buck</w:t>
            </w:r>
            <w:r>
              <w:rPr>
                <w:rFonts w:ascii="Garamond" w:hAnsi="Garamond"/>
                <w:lang w:val="en-AU"/>
              </w:rPr>
              <w:t>)</w:t>
            </w:r>
          </w:p>
          <w:p w:rsidR="00542849" w:rsidRPr="00542849" w:rsidRDefault="00542849" w:rsidP="00B873FB">
            <w:pPr>
              <w:pStyle w:val="ListParagraph"/>
              <w:numPr>
                <w:ilvl w:val="0"/>
                <w:numId w:val="38"/>
              </w:numPr>
              <w:rPr>
                <w:rFonts w:ascii="Garamond" w:hAnsi="Garamond"/>
                <w:lang w:val="en-AU"/>
              </w:rPr>
            </w:pPr>
            <w:r w:rsidRPr="00542849">
              <w:rPr>
                <w:rFonts w:ascii="Garamond" w:hAnsi="Garamond"/>
                <w:lang w:val="en-AU"/>
              </w:rPr>
              <w:t xml:space="preserve">Prevalence, perceived barriers and sociodemographic correlates of </w:t>
            </w:r>
            <w:r w:rsidRPr="00542849">
              <w:rPr>
                <w:rFonts w:ascii="Garamond" w:hAnsi="Garamond"/>
                <w:b/>
                <w:lang w:val="en-AU"/>
              </w:rPr>
              <w:t>advance care</w:t>
            </w:r>
            <w:r w:rsidRPr="00542849">
              <w:rPr>
                <w:rFonts w:ascii="Garamond" w:hAnsi="Garamond"/>
                <w:lang w:val="en-AU"/>
              </w:rPr>
              <w:t xml:space="preserve"> planning in a sample of outpatients (Elise Mansfield, Sarah </w:t>
            </w:r>
            <w:proofErr w:type="spellStart"/>
            <w:r w:rsidRPr="00542849">
              <w:rPr>
                <w:rFonts w:ascii="Garamond" w:hAnsi="Garamond"/>
                <w:lang w:val="en-AU"/>
              </w:rPr>
              <w:t>Jeong</w:t>
            </w:r>
            <w:proofErr w:type="spellEnd"/>
            <w:r w:rsidRPr="00542849">
              <w:rPr>
                <w:rFonts w:ascii="Garamond" w:hAnsi="Garamond"/>
                <w:lang w:val="en-AU"/>
              </w:rPr>
              <w:t>, Amy Waller and Sally Chan</w:t>
            </w:r>
            <w:r>
              <w:rPr>
                <w:rFonts w:ascii="Garamond" w:hAnsi="Garamond"/>
                <w:lang w:val="en-AU"/>
              </w:rPr>
              <w:t>)</w:t>
            </w:r>
          </w:p>
          <w:p w:rsidR="00542849" w:rsidRPr="00542849" w:rsidRDefault="00542849" w:rsidP="006759AA">
            <w:pPr>
              <w:pStyle w:val="ListParagraph"/>
              <w:numPr>
                <w:ilvl w:val="0"/>
                <w:numId w:val="38"/>
              </w:numPr>
              <w:rPr>
                <w:rFonts w:ascii="Garamond" w:hAnsi="Garamond"/>
                <w:lang w:val="en-AU"/>
              </w:rPr>
            </w:pPr>
            <w:r w:rsidRPr="00542849">
              <w:rPr>
                <w:rFonts w:ascii="Garamond" w:hAnsi="Garamond"/>
                <w:lang w:val="en-AU"/>
              </w:rPr>
              <w:t xml:space="preserve">Barriers and enablers to implementation of </w:t>
            </w:r>
            <w:r w:rsidRPr="00542849">
              <w:rPr>
                <w:rFonts w:ascii="Garamond" w:hAnsi="Garamond"/>
                <w:b/>
                <w:lang w:val="en-AU"/>
              </w:rPr>
              <w:t>antenatal smoking cessation</w:t>
            </w:r>
            <w:r w:rsidRPr="00542849">
              <w:rPr>
                <w:rFonts w:ascii="Garamond" w:hAnsi="Garamond"/>
                <w:lang w:val="en-AU"/>
              </w:rPr>
              <w:t xml:space="preserve"> guidelines in general practice (Rohan Reeks, </w:t>
            </w:r>
            <w:proofErr w:type="spellStart"/>
            <w:r w:rsidRPr="00542849">
              <w:rPr>
                <w:rFonts w:ascii="Garamond" w:hAnsi="Garamond"/>
                <w:lang w:val="en-AU"/>
              </w:rPr>
              <w:t>Govind</w:t>
            </w:r>
            <w:proofErr w:type="spellEnd"/>
            <w:r w:rsidRPr="00542849">
              <w:rPr>
                <w:rFonts w:ascii="Garamond" w:hAnsi="Garamond"/>
                <w:lang w:val="en-AU"/>
              </w:rPr>
              <w:t xml:space="preserve"> </w:t>
            </w:r>
            <w:proofErr w:type="spellStart"/>
            <w:r w:rsidRPr="00542849">
              <w:rPr>
                <w:rFonts w:ascii="Garamond" w:hAnsi="Garamond"/>
                <w:lang w:val="en-AU"/>
              </w:rPr>
              <w:t>Padmakumar</w:t>
            </w:r>
            <w:proofErr w:type="spellEnd"/>
            <w:r w:rsidRPr="00542849">
              <w:rPr>
                <w:rFonts w:ascii="Garamond" w:hAnsi="Garamond"/>
                <w:lang w:val="en-AU"/>
              </w:rPr>
              <w:t>, Bridgette Andrew, Danica Huynh and Jo Longman</w:t>
            </w:r>
            <w:r>
              <w:rPr>
                <w:rFonts w:ascii="Garamond" w:hAnsi="Garamond"/>
                <w:lang w:val="en-AU"/>
              </w:rPr>
              <w:t>)</w:t>
            </w:r>
          </w:p>
          <w:p w:rsidR="00CE659F" w:rsidRPr="000E6660" w:rsidRDefault="00542849" w:rsidP="00542849">
            <w:pPr>
              <w:pStyle w:val="ListParagraph"/>
              <w:numPr>
                <w:ilvl w:val="0"/>
                <w:numId w:val="38"/>
              </w:numPr>
              <w:rPr>
                <w:rFonts w:ascii="Garamond" w:hAnsi="Garamond"/>
                <w:lang w:val="en-AU"/>
              </w:rPr>
            </w:pPr>
            <w:r w:rsidRPr="00542849">
              <w:rPr>
                <w:rFonts w:ascii="Garamond" w:hAnsi="Garamond"/>
                <w:lang w:val="en-AU"/>
              </w:rPr>
              <w:t xml:space="preserve">Primary healthcare providers' attitudes and beliefs about the </w:t>
            </w:r>
            <w:r w:rsidRPr="00542849">
              <w:rPr>
                <w:rFonts w:ascii="Garamond" w:hAnsi="Garamond"/>
                <w:b/>
                <w:lang w:val="en-AU"/>
              </w:rPr>
              <w:t>menopause-related care needs</w:t>
            </w:r>
            <w:r w:rsidRPr="00542849">
              <w:rPr>
                <w:rFonts w:ascii="Garamond" w:hAnsi="Garamond"/>
                <w:lang w:val="en-AU"/>
              </w:rPr>
              <w:t xml:space="preserve"> of women who have migrated from low- and middle-income countries to Australia</w:t>
            </w:r>
            <w:r>
              <w:rPr>
                <w:rFonts w:ascii="Garamond" w:hAnsi="Garamond"/>
                <w:lang w:val="en-AU"/>
              </w:rPr>
              <w:t xml:space="preserve"> (</w:t>
            </w:r>
            <w:r w:rsidRPr="00542849">
              <w:rPr>
                <w:rFonts w:ascii="Garamond" w:hAnsi="Garamond"/>
                <w:lang w:val="en-AU"/>
              </w:rPr>
              <w:t xml:space="preserve">Karin A. </w:t>
            </w:r>
            <w:proofErr w:type="spellStart"/>
            <w:r w:rsidRPr="00542849">
              <w:rPr>
                <w:rFonts w:ascii="Garamond" w:hAnsi="Garamond"/>
                <w:lang w:val="en-AU"/>
              </w:rPr>
              <w:t>Stanzel</w:t>
            </w:r>
            <w:proofErr w:type="spellEnd"/>
            <w:r w:rsidRPr="00542849">
              <w:rPr>
                <w:rFonts w:ascii="Garamond" w:hAnsi="Garamond"/>
                <w:lang w:val="en-AU"/>
              </w:rPr>
              <w:t xml:space="preserve">, K </w:t>
            </w:r>
            <w:proofErr w:type="spellStart"/>
            <w:r w:rsidRPr="00542849">
              <w:rPr>
                <w:rFonts w:ascii="Garamond" w:hAnsi="Garamond"/>
                <w:lang w:val="en-AU"/>
              </w:rPr>
              <w:t>Hammarberg</w:t>
            </w:r>
            <w:proofErr w:type="spellEnd"/>
            <w:r w:rsidRPr="00542849">
              <w:rPr>
                <w:rFonts w:ascii="Garamond" w:hAnsi="Garamond"/>
                <w:lang w:val="en-AU"/>
              </w:rPr>
              <w:t xml:space="preserve"> and J Fisher</w:t>
            </w:r>
            <w:r>
              <w:rPr>
                <w:rFonts w:ascii="Garamond" w:hAnsi="Garamond"/>
                <w:lang w:val="en-AU"/>
              </w:rPr>
              <w:t>)</w:t>
            </w:r>
          </w:p>
        </w:tc>
      </w:tr>
    </w:tbl>
    <w:p w:rsidR="00CE659F" w:rsidRDefault="00CE659F" w:rsidP="00CE659F">
      <w:pPr>
        <w:rPr>
          <w:rFonts w:ascii="Garamond" w:hAnsi="Garamond"/>
          <w:lang w:val="en-AU"/>
        </w:rPr>
      </w:pPr>
    </w:p>
    <w:p w:rsidR="00AC377D" w:rsidRDefault="00AC377D">
      <w:pPr>
        <w:rPr>
          <w:rFonts w:ascii="Garamond" w:hAnsi="Garamond"/>
          <w:i/>
          <w:lang w:val="en-AU"/>
        </w:rPr>
      </w:pPr>
      <w:r>
        <w:rPr>
          <w:rFonts w:ascii="Garamond" w:hAnsi="Garamond"/>
          <w:i/>
          <w:lang w:val="en-AU"/>
        </w:rPr>
        <w:br w:type="page"/>
      </w:r>
    </w:p>
    <w:p w:rsidR="00B402EF" w:rsidRPr="00467B47" w:rsidRDefault="00B402EF" w:rsidP="00B402EF">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AC377D" w:rsidP="00B34D6C">
            <w:pPr>
              <w:keepNext/>
              <w:rPr>
                <w:rFonts w:ascii="Garamond" w:hAnsi="Garamond"/>
                <w:lang w:val="en-AU"/>
              </w:rPr>
            </w:pPr>
            <w:hyperlink r:id="rId32"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C0DF3" w:rsidRPr="008C0DF3" w:rsidRDefault="008C0DF3" w:rsidP="00E74611">
            <w:pPr>
              <w:pStyle w:val="ListParagraph"/>
              <w:numPr>
                <w:ilvl w:val="0"/>
                <w:numId w:val="14"/>
              </w:numPr>
              <w:jc w:val="both"/>
              <w:rPr>
                <w:rFonts w:ascii="Garamond" w:hAnsi="Garamond"/>
                <w:lang w:val="en-AU"/>
              </w:rPr>
            </w:pPr>
            <w:r w:rsidRPr="008C0DF3">
              <w:rPr>
                <w:rFonts w:ascii="Garamond" w:hAnsi="Garamond"/>
                <w:lang w:val="en-AU"/>
              </w:rPr>
              <w:t>Editorial</w:t>
            </w:r>
            <w:r w:rsidRPr="008C0DF3">
              <w:rPr>
                <w:rFonts w:ascii="Garamond" w:hAnsi="Garamond"/>
                <w:lang w:val="en-AU"/>
              </w:rPr>
              <w:t xml:space="preserve">: </w:t>
            </w:r>
            <w:r w:rsidRPr="008C0DF3">
              <w:rPr>
                <w:rFonts w:ascii="Garamond" w:hAnsi="Garamond"/>
                <w:b/>
                <w:lang w:val="en-AU"/>
              </w:rPr>
              <w:t>What are we doing when we double check?</w:t>
            </w:r>
            <w:r w:rsidRPr="008C0DF3">
              <w:rPr>
                <w:rFonts w:ascii="Garamond" w:hAnsi="Garamond"/>
                <w:lang w:val="en-AU"/>
              </w:rPr>
              <w:t xml:space="preserve"> </w:t>
            </w:r>
            <w:r w:rsidRPr="008C0DF3">
              <w:rPr>
                <w:rFonts w:ascii="Garamond" w:hAnsi="Garamond"/>
                <w:lang w:val="en-AU"/>
              </w:rPr>
              <w:t>(</w:t>
            </w:r>
            <w:r w:rsidRPr="008C0DF3">
              <w:rPr>
                <w:rFonts w:ascii="Garamond" w:hAnsi="Garamond"/>
                <w:lang w:val="en-AU"/>
              </w:rPr>
              <w:t xml:space="preserve">Yvonne Pfeiffer, Chantal Zimmerman, David L B </w:t>
            </w:r>
            <w:proofErr w:type="spellStart"/>
            <w:r w:rsidRPr="008C0DF3">
              <w:rPr>
                <w:rFonts w:ascii="Garamond" w:hAnsi="Garamond"/>
                <w:lang w:val="en-AU"/>
              </w:rPr>
              <w:t>Schwappach</w:t>
            </w:r>
            <w:proofErr w:type="spellEnd"/>
            <w:r>
              <w:rPr>
                <w:rFonts w:ascii="Garamond" w:hAnsi="Garamond"/>
                <w:lang w:val="en-AU"/>
              </w:rPr>
              <w:t>)</w:t>
            </w:r>
          </w:p>
          <w:p w:rsidR="008C0DF3" w:rsidRPr="008C0DF3" w:rsidRDefault="008C0DF3" w:rsidP="00BB2801">
            <w:pPr>
              <w:pStyle w:val="ListParagraph"/>
              <w:numPr>
                <w:ilvl w:val="0"/>
                <w:numId w:val="14"/>
              </w:numPr>
              <w:jc w:val="both"/>
              <w:rPr>
                <w:rFonts w:ascii="Garamond" w:hAnsi="Garamond"/>
                <w:lang w:val="en-AU"/>
              </w:rPr>
            </w:pPr>
            <w:r w:rsidRPr="008C0DF3">
              <w:rPr>
                <w:rFonts w:ascii="Garamond" w:hAnsi="Garamond"/>
                <w:lang w:val="en-AU"/>
              </w:rPr>
              <w:t>Editorial</w:t>
            </w:r>
            <w:r w:rsidRPr="008C0DF3">
              <w:rPr>
                <w:rFonts w:ascii="Garamond" w:hAnsi="Garamond"/>
                <w:lang w:val="en-AU"/>
              </w:rPr>
              <w:t xml:space="preserve">: </w:t>
            </w:r>
            <w:r w:rsidRPr="008C0DF3">
              <w:rPr>
                <w:rFonts w:ascii="Garamond" w:hAnsi="Garamond"/>
                <w:lang w:val="en-AU"/>
              </w:rPr>
              <w:t xml:space="preserve">Nothing soft about ‘soft skills’: </w:t>
            </w:r>
            <w:r w:rsidRPr="008C0DF3">
              <w:rPr>
                <w:rFonts w:ascii="Garamond" w:hAnsi="Garamond"/>
                <w:b/>
                <w:lang w:val="en-AU"/>
              </w:rPr>
              <w:t>core competencies in quality improvement and patient safety education and practice</w:t>
            </w:r>
            <w:r w:rsidRPr="008C0DF3">
              <w:rPr>
                <w:rFonts w:ascii="Garamond" w:hAnsi="Garamond"/>
                <w:lang w:val="en-AU"/>
              </w:rPr>
              <w:t xml:space="preserve"> </w:t>
            </w:r>
            <w:r w:rsidRPr="008C0DF3">
              <w:rPr>
                <w:rFonts w:ascii="Garamond" w:hAnsi="Garamond"/>
                <w:lang w:val="en-AU"/>
              </w:rPr>
              <w:t>(</w:t>
            </w:r>
            <w:r w:rsidRPr="008C0DF3">
              <w:rPr>
                <w:rFonts w:ascii="Garamond" w:hAnsi="Garamond"/>
                <w:lang w:val="en-AU"/>
              </w:rPr>
              <w:t>Joanne Goldman, Brian M Wong</w:t>
            </w:r>
            <w:r>
              <w:rPr>
                <w:rFonts w:ascii="Garamond" w:hAnsi="Garamond"/>
                <w:lang w:val="en-AU"/>
              </w:rPr>
              <w:t>)</w:t>
            </w:r>
          </w:p>
          <w:p w:rsidR="00410D63" w:rsidRPr="00D83413" w:rsidRDefault="008C0DF3" w:rsidP="008C0DF3">
            <w:pPr>
              <w:pStyle w:val="ListParagraph"/>
              <w:numPr>
                <w:ilvl w:val="0"/>
                <w:numId w:val="14"/>
              </w:numPr>
              <w:jc w:val="both"/>
              <w:rPr>
                <w:rFonts w:ascii="Garamond" w:hAnsi="Garamond"/>
                <w:lang w:val="en-AU"/>
              </w:rPr>
            </w:pPr>
            <w:r w:rsidRPr="008C0DF3">
              <w:rPr>
                <w:rFonts w:ascii="Garamond" w:hAnsi="Garamond"/>
                <w:lang w:val="en-AU"/>
              </w:rPr>
              <w:t>Editorial</w:t>
            </w:r>
            <w:r w:rsidRPr="008C0DF3">
              <w:rPr>
                <w:rFonts w:ascii="Garamond" w:hAnsi="Garamond"/>
                <w:lang w:val="en-AU"/>
              </w:rPr>
              <w:t xml:space="preserve">: </w:t>
            </w:r>
            <w:r w:rsidRPr="008C0DF3">
              <w:rPr>
                <w:rFonts w:ascii="Garamond" w:hAnsi="Garamond"/>
                <w:b/>
                <w:lang w:val="en-AU"/>
              </w:rPr>
              <w:t>Identifying adverse events</w:t>
            </w:r>
            <w:r w:rsidRPr="008C0DF3">
              <w:rPr>
                <w:rFonts w:ascii="Garamond" w:hAnsi="Garamond"/>
                <w:lang w:val="en-AU"/>
              </w:rPr>
              <w:t xml:space="preserve">: reflections on an imperfect gold standard after 20 years of patient safety research </w:t>
            </w:r>
            <w:r>
              <w:rPr>
                <w:rFonts w:ascii="Garamond" w:hAnsi="Garamond"/>
                <w:lang w:val="en-AU"/>
              </w:rPr>
              <w:t>(</w:t>
            </w:r>
            <w:proofErr w:type="spellStart"/>
            <w:r w:rsidRPr="008C0DF3">
              <w:rPr>
                <w:rFonts w:ascii="Garamond" w:hAnsi="Garamond"/>
                <w:lang w:val="en-AU"/>
              </w:rPr>
              <w:t>Kaveh</w:t>
            </w:r>
            <w:proofErr w:type="spellEnd"/>
            <w:r w:rsidRPr="008C0DF3">
              <w:rPr>
                <w:rFonts w:ascii="Garamond" w:hAnsi="Garamond"/>
                <w:lang w:val="en-AU"/>
              </w:rPr>
              <w:t xml:space="preserve"> G Shojania, </w:t>
            </w:r>
            <w:proofErr w:type="spellStart"/>
            <w:r w:rsidRPr="008C0DF3">
              <w:rPr>
                <w:rFonts w:ascii="Garamond" w:hAnsi="Garamond"/>
                <w:lang w:val="en-AU"/>
              </w:rPr>
              <w:t>Perla</w:t>
            </w:r>
            <w:proofErr w:type="spellEnd"/>
            <w:r w:rsidRPr="008C0DF3">
              <w:rPr>
                <w:rFonts w:ascii="Garamond" w:hAnsi="Garamond"/>
                <w:lang w:val="en-AU"/>
              </w:rPr>
              <w:t xml:space="preserve"> J </w:t>
            </w:r>
            <w:proofErr w:type="spellStart"/>
            <w:r w:rsidRPr="008C0DF3">
              <w:rPr>
                <w:rFonts w:ascii="Garamond" w:hAnsi="Garamond"/>
                <w:lang w:val="en-AU"/>
              </w:rPr>
              <w:t>Marang</w:t>
            </w:r>
            <w:proofErr w:type="spellEnd"/>
            <w:r w:rsidRPr="008C0DF3">
              <w:rPr>
                <w:rFonts w:ascii="Garamond" w:hAnsi="Garamond"/>
                <w:lang w:val="en-AU"/>
              </w:rPr>
              <w:t xml:space="preserve">-van de </w:t>
            </w:r>
            <w:proofErr w:type="spellStart"/>
            <w:r w:rsidRPr="008C0DF3">
              <w:rPr>
                <w:rFonts w:ascii="Garamond" w:hAnsi="Garamond"/>
                <w:lang w:val="en-AU"/>
              </w:rPr>
              <w:t>Mheen</w:t>
            </w:r>
            <w:proofErr w:type="spellEnd"/>
            <w:r>
              <w:rPr>
                <w:rFonts w:ascii="Garamond" w:hAnsi="Garamond"/>
                <w:lang w:val="en-AU"/>
              </w:rPr>
              <w:t>)</w:t>
            </w:r>
          </w:p>
        </w:tc>
      </w:tr>
    </w:tbl>
    <w:p w:rsidR="00B402EF" w:rsidRDefault="00B402EF" w:rsidP="00B402EF">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AC377D" w:rsidP="00013842">
            <w:pPr>
              <w:keepNext/>
              <w:rPr>
                <w:rFonts w:ascii="Garamond" w:hAnsi="Garamond"/>
                <w:lang w:val="en-AU"/>
              </w:rPr>
            </w:pPr>
            <w:hyperlink r:id="rId33"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A41AB" w:rsidRPr="00721A1B" w:rsidRDefault="00B737AE" w:rsidP="00B737AE">
            <w:pPr>
              <w:pStyle w:val="ListParagraph"/>
              <w:numPr>
                <w:ilvl w:val="0"/>
                <w:numId w:val="14"/>
              </w:numPr>
              <w:jc w:val="both"/>
              <w:rPr>
                <w:rFonts w:ascii="Garamond" w:hAnsi="Garamond"/>
                <w:lang w:val="en-AU"/>
              </w:rPr>
            </w:pPr>
            <w:r w:rsidRPr="00B737AE">
              <w:rPr>
                <w:rFonts w:ascii="Garamond" w:hAnsi="Garamond"/>
                <w:lang w:val="en-AU"/>
              </w:rPr>
              <w:t xml:space="preserve">An innovative quality improvement approach for rapid improvement of </w:t>
            </w:r>
            <w:r w:rsidRPr="00B737AE">
              <w:rPr>
                <w:rFonts w:ascii="Garamond" w:hAnsi="Garamond"/>
                <w:b/>
                <w:lang w:val="en-AU"/>
              </w:rPr>
              <w:t>infection prevention and control</w:t>
            </w:r>
            <w:r w:rsidRPr="00B737AE">
              <w:rPr>
                <w:rFonts w:ascii="Garamond" w:hAnsi="Garamond"/>
                <w:lang w:val="en-AU"/>
              </w:rPr>
              <w:t xml:space="preserve"> at health facilities in Sierra Leone (Ilka </w:t>
            </w:r>
            <w:proofErr w:type="spellStart"/>
            <w:r w:rsidRPr="00B737AE">
              <w:rPr>
                <w:rFonts w:ascii="Garamond" w:hAnsi="Garamond"/>
                <w:lang w:val="en-AU"/>
              </w:rPr>
              <w:t>Rondinelli</w:t>
            </w:r>
            <w:proofErr w:type="spellEnd"/>
            <w:r w:rsidRPr="00B737AE">
              <w:rPr>
                <w:rFonts w:ascii="Garamond" w:hAnsi="Garamond"/>
                <w:lang w:val="en-AU"/>
              </w:rPr>
              <w:t xml:space="preserve">, Gillian Dougherty, Caitlin A </w:t>
            </w:r>
            <w:proofErr w:type="spellStart"/>
            <w:r w:rsidRPr="00B737AE">
              <w:rPr>
                <w:rFonts w:ascii="Garamond" w:hAnsi="Garamond"/>
                <w:lang w:val="en-AU"/>
              </w:rPr>
              <w:t>Madevu</w:t>
            </w:r>
            <w:proofErr w:type="spellEnd"/>
            <w:r w:rsidRPr="00B737AE">
              <w:rPr>
                <w:rFonts w:ascii="Garamond" w:hAnsi="Garamond"/>
                <w:lang w:val="en-AU"/>
              </w:rPr>
              <w:t xml:space="preserve">-Matson, </w:t>
            </w:r>
            <w:proofErr w:type="spellStart"/>
            <w:r w:rsidRPr="00B737AE">
              <w:rPr>
                <w:rFonts w:ascii="Garamond" w:hAnsi="Garamond"/>
                <w:lang w:val="en-AU"/>
              </w:rPr>
              <w:t>Mame</w:t>
            </w:r>
            <w:proofErr w:type="spellEnd"/>
            <w:r w:rsidRPr="00B737AE">
              <w:rPr>
                <w:rFonts w:ascii="Garamond" w:hAnsi="Garamond"/>
                <w:lang w:val="en-AU"/>
              </w:rPr>
              <w:t xml:space="preserve"> </w:t>
            </w:r>
            <w:proofErr w:type="spellStart"/>
            <w:r w:rsidRPr="00B737AE">
              <w:rPr>
                <w:rFonts w:ascii="Garamond" w:hAnsi="Garamond"/>
                <w:lang w:val="en-AU"/>
              </w:rPr>
              <w:t>Toure</w:t>
            </w:r>
            <w:proofErr w:type="spellEnd"/>
            <w:r w:rsidRPr="00B737AE">
              <w:rPr>
                <w:rFonts w:ascii="Garamond" w:hAnsi="Garamond"/>
                <w:lang w:val="en-AU"/>
              </w:rPr>
              <w:t xml:space="preserve">, </w:t>
            </w:r>
            <w:proofErr w:type="spellStart"/>
            <w:r w:rsidRPr="00B737AE">
              <w:rPr>
                <w:rFonts w:ascii="Garamond" w:hAnsi="Garamond"/>
                <w:lang w:val="en-AU"/>
              </w:rPr>
              <w:t>Adewale</w:t>
            </w:r>
            <w:proofErr w:type="spellEnd"/>
            <w:r w:rsidRPr="00B737AE">
              <w:rPr>
                <w:rFonts w:ascii="Garamond" w:hAnsi="Garamond"/>
                <w:lang w:val="en-AU"/>
              </w:rPr>
              <w:t xml:space="preserve"> </w:t>
            </w:r>
            <w:proofErr w:type="spellStart"/>
            <w:r w:rsidRPr="00B737AE">
              <w:rPr>
                <w:rFonts w:ascii="Garamond" w:hAnsi="Garamond"/>
                <w:lang w:val="en-AU"/>
              </w:rPr>
              <w:t>Akinjeji</w:t>
            </w:r>
            <w:proofErr w:type="spellEnd"/>
            <w:r w:rsidRPr="00B737AE">
              <w:rPr>
                <w:rFonts w:ascii="Garamond" w:hAnsi="Garamond"/>
                <w:lang w:val="en-AU"/>
              </w:rPr>
              <w:t xml:space="preserve">, Irene </w:t>
            </w:r>
            <w:proofErr w:type="spellStart"/>
            <w:r w:rsidRPr="00B737AE">
              <w:rPr>
                <w:rFonts w:ascii="Garamond" w:hAnsi="Garamond"/>
                <w:lang w:val="en-AU"/>
              </w:rPr>
              <w:t>Ogongo</w:t>
            </w:r>
            <w:proofErr w:type="spellEnd"/>
            <w:r w:rsidRPr="00B737AE">
              <w:rPr>
                <w:rFonts w:ascii="Garamond" w:hAnsi="Garamond"/>
                <w:lang w:val="en-AU"/>
              </w:rPr>
              <w:t xml:space="preserve">, Amy </w:t>
            </w:r>
            <w:proofErr w:type="spellStart"/>
            <w:r w:rsidRPr="00B737AE">
              <w:rPr>
                <w:rFonts w:ascii="Garamond" w:hAnsi="Garamond"/>
                <w:lang w:val="en-AU"/>
              </w:rPr>
              <w:t>Kolwaite</w:t>
            </w:r>
            <w:proofErr w:type="spellEnd"/>
            <w:r w:rsidRPr="00B737AE">
              <w:rPr>
                <w:rFonts w:ascii="Garamond" w:hAnsi="Garamond"/>
                <w:lang w:val="en-AU"/>
              </w:rPr>
              <w:t xml:space="preserve">, </w:t>
            </w:r>
            <w:proofErr w:type="spellStart"/>
            <w:r w:rsidRPr="00B737AE">
              <w:rPr>
                <w:rFonts w:ascii="Garamond" w:hAnsi="Garamond"/>
                <w:lang w:val="en-AU"/>
              </w:rPr>
              <w:t>Jamine</w:t>
            </w:r>
            <w:proofErr w:type="spellEnd"/>
            <w:r w:rsidRPr="00B737AE">
              <w:rPr>
                <w:rFonts w:ascii="Garamond" w:hAnsi="Garamond"/>
                <w:lang w:val="en-AU"/>
              </w:rPr>
              <w:t xml:space="preserve"> Weiss, </w:t>
            </w:r>
            <w:proofErr w:type="spellStart"/>
            <w:r w:rsidRPr="00B737AE">
              <w:rPr>
                <w:rFonts w:ascii="Garamond" w:hAnsi="Garamond"/>
                <w:lang w:val="en-AU"/>
              </w:rPr>
              <w:t>Brigette</w:t>
            </w:r>
            <w:proofErr w:type="spellEnd"/>
            <w:r w:rsidRPr="00B737AE">
              <w:rPr>
                <w:rFonts w:ascii="Garamond" w:hAnsi="Garamond"/>
                <w:lang w:val="en-AU"/>
              </w:rPr>
              <w:t xml:space="preserve"> Gleason, Meghan Marie Lyman, Hassan </w:t>
            </w:r>
            <w:proofErr w:type="spellStart"/>
            <w:r w:rsidRPr="00B737AE">
              <w:rPr>
                <w:rFonts w:ascii="Garamond" w:hAnsi="Garamond"/>
                <w:lang w:val="en-AU"/>
              </w:rPr>
              <w:t>Benya</w:t>
            </w:r>
            <w:proofErr w:type="spellEnd"/>
            <w:r w:rsidRPr="00B737AE">
              <w:rPr>
                <w:rFonts w:ascii="Garamond" w:hAnsi="Garamond"/>
                <w:lang w:val="en-AU"/>
              </w:rPr>
              <w:t xml:space="preserve">, Miriam </w:t>
            </w:r>
            <w:proofErr w:type="spellStart"/>
            <w:r w:rsidRPr="00B737AE">
              <w:rPr>
                <w:rFonts w:ascii="Garamond" w:hAnsi="Garamond"/>
                <w:lang w:val="en-AU"/>
              </w:rPr>
              <w:t>Rabkin</w:t>
            </w:r>
            <w:proofErr w:type="spellEnd"/>
            <w:r>
              <w:rPr>
                <w:rFonts w:ascii="Garamond" w:hAnsi="Garamond"/>
                <w:lang w:val="en-AU"/>
              </w:rPr>
              <w:t>)</w:t>
            </w:r>
          </w:p>
        </w:tc>
      </w:tr>
    </w:tbl>
    <w:p w:rsidR="00B402EF" w:rsidRDefault="00B402EF" w:rsidP="00E338A4">
      <w:pPr>
        <w:keepNext/>
        <w:rPr>
          <w:rFonts w:ascii="Garamond" w:hAnsi="Garamond"/>
          <w:b/>
          <w:lang w:val="en-AU"/>
        </w:rPr>
      </w:pPr>
    </w:p>
    <w:p w:rsidR="00B737AE" w:rsidRDefault="00B737AE" w:rsidP="00FC2402">
      <w:pPr>
        <w:keepNext/>
        <w:keepLines/>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w:t>
      </w:r>
      <w:proofErr w:type="gramStart"/>
      <w:r w:rsidRPr="000170DA">
        <w:rPr>
          <w:rFonts w:ascii="Garamond" w:hAnsi="Garamond"/>
          <w:lang w:val="en-AU"/>
        </w:rPr>
        <w:t>are provided</w:t>
      </w:r>
      <w:proofErr w:type="gramEnd"/>
      <w:r w:rsidRPr="000170DA">
        <w:rPr>
          <w:rFonts w:ascii="Garamond" w:hAnsi="Garamond"/>
          <w:lang w:val="en-AU"/>
        </w:rPr>
        <w:t xml:space="preserve">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C377D">
      <w:rPr>
        <w:rStyle w:val="PageNumber"/>
        <w:noProof/>
      </w:rPr>
      <w:t>6</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B737AE">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C377D">
      <w:rPr>
        <w:rStyle w:val="PageNumber"/>
        <w:rFonts w:ascii="Garamond" w:hAnsi="Garamond"/>
        <w:noProof/>
      </w:rPr>
      <w:t>7</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B737AE">
      <w:rPr>
        <w:rFonts w:ascii="Garamond" w:hAnsi="Garamond"/>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12FB"/>
    <w:multiLevelType w:val="hybridMultilevel"/>
    <w:tmpl w:val="CBD8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349CB"/>
    <w:multiLevelType w:val="hybridMultilevel"/>
    <w:tmpl w:val="59048612"/>
    <w:lvl w:ilvl="0" w:tplc="30EC42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02FB5"/>
    <w:multiLevelType w:val="hybridMultilevel"/>
    <w:tmpl w:val="DBC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8A6B4C"/>
    <w:multiLevelType w:val="hybridMultilevel"/>
    <w:tmpl w:val="FD5A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ED2EA6"/>
    <w:multiLevelType w:val="hybridMultilevel"/>
    <w:tmpl w:val="EDEC0AC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E2490C"/>
    <w:multiLevelType w:val="hybridMultilevel"/>
    <w:tmpl w:val="386C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2E2830"/>
    <w:multiLevelType w:val="hybridMultilevel"/>
    <w:tmpl w:val="0268B28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C66494"/>
    <w:multiLevelType w:val="hybridMultilevel"/>
    <w:tmpl w:val="A4862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2"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B28C9"/>
    <w:multiLevelType w:val="hybridMultilevel"/>
    <w:tmpl w:val="C79E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7"/>
  </w:num>
  <w:num w:numId="15">
    <w:abstractNumId w:val="18"/>
  </w:num>
  <w:num w:numId="16">
    <w:abstractNumId w:val="25"/>
  </w:num>
  <w:num w:numId="17">
    <w:abstractNumId w:val="17"/>
  </w:num>
  <w:num w:numId="18">
    <w:abstractNumId w:val="28"/>
  </w:num>
  <w:num w:numId="19">
    <w:abstractNumId w:val="22"/>
  </w:num>
  <w:num w:numId="20">
    <w:abstractNumId w:val="41"/>
  </w:num>
  <w:num w:numId="21">
    <w:abstractNumId w:val="14"/>
  </w:num>
  <w:num w:numId="22">
    <w:abstractNumId w:val="32"/>
  </w:num>
  <w:num w:numId="23">
    <w:abstractNumId w:val="20"/>
  </w:num>
  <w:num w:numId="24">
    <w:abstractNumId w:val="16"/>
  </w:num>
  <w:num w:numId="25">
    <w:abstractNumId w:val="43"/>
  </w:num>
  <w:num w:numId="26">
    <w:abstractNumId w:val="37"/>
  </w:num>
  <w:num w:numId="27">
    <w:abstractNumId w:val="30"/>
  </w:num>
  <w:num w:numId="28">
    <w:abstractNumId w:val="12"/>
  </w:num>
  <w:num w:numId="29">
    <w:abstractNumId w:val="35"/>
  </w:num>
  <w:num w:numId="30">
    <w:abstractNumId w:val="36"/>
  </w:num>
  <w:num w:numId="31">
    <w:abstractNumId w:val="31"/>
  </w:num>
  <w:num w:numId="32">
    <w:abstractNumId w:val="23"/>
  </w:num>
  <w:num w:numId="33">
    <w:abstractNumId w:val="24"/>
  </w:num>
  <w:num w:numId="34">
    <w:abstractNumId w:val="13"/>
  </w:num>
  <w:num w:numId="35">
    <w:abstractNumId w:val="42"/>
  </w:num>
  <w:num w:numId="36">
    <w:abstractNumId w:val="45"/>
  </w:num>
  <w:num w:numId="37">
    <w:abstractNumId w:val="15"/>
  </w:num>
  <w:num w:numId="38">
    <w:abstractNumId w:val="44"/>
  </w:num>
  <w:num w:numId="39">
    <w:abstractNumId w:val="19"/>
  </w:num>
  <w:num w:numId="40">
    <w:abstractNumId w:val="10"/>
  </w:num>
  <w:num w:numId="41">
    <w:abstractNumId w:val="21"/>
  </w:num>
  <w:num w:numId="42">
    <w:abstractNumId w:val="39"/>
  </w:num>
  <w:num w:numId="43">
    <w:abstractNumId w:val="29"/>
  </w:num>
  <w:num w:numId="44">
    <w:abstractNumId w:val="38"/>
  </w:num>
  <w:num w:numId="45">
    <w:abstractNumId w:val="11"/>
  </w:num>
  <w:num w:numId="46">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21F"/>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BF1"/>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26"/>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13"/>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759"/>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CD6"/>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0F2B"/>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849"/>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6E4"/>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8A7"/>
    <w:rsid w:val="00673D95"/>
    <w:rsid w:val="00673E55"/>
    <w:rsid w:val="00673E6B"/>
    <w:rsid w:val="00673F69"/>
    <w:rsid w:val="006747CF"/>
    <w:rsid w:val="0067482B"/>
    <w:rsid w:val="006748C3"/>
    <w:rsid w:val="00674CEB"/>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3EC"/>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8B"/>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991"/>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0DF3"/>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CA5"/>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893"/>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77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9A6"/>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B6B"/>
    <w:rsid w:val="00B52D0D"/>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7AE"/>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9F"/>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8D5"/>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0AB6"/>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B40"/>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4:docId w14:val="240028CA"/>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13"/>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93/intqhc/mzz098" TargetMode="External"/><Relationship Id="rId26" Type="http://schemas.openxmlformats.org/officeDocument/2006/relationships/hyperlink" Target="https://www.safetyandquality.gov.au/our-work/antimicrobial-stewardship" TargetMode="External"/><Relationship Id="rId3" Type="http://schemas.openxmlformats.org/officeDocument/2006/relationships/styles" Target="styles.xml"/><Relationship Id="rId21" Type="http://schemas.openxmlformats.org/officeDocument/2006/relationships/hyperlink" Target="https://www.safetyandquality.gov.au/our-work/partnering-consumer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academic.oup.com/intqhc/issue/32/Supplement_1" TargetMode="External"/><Relationship Id="rId25" Type="http://schemas.openxmlformats.org/officeDocument/2006/relationships/hyperlink" Target="https://doi.org/10.1093/jac/dkz543" TargetMode="External"/><Relationship Id="rId33" Type="http://schemas.openxmlformats.org/officeDocument/2006/relationships/hyperlink" Target="https://academic.oup.com/intqhc/advance-articles" TargetMode="External"/><Relationship Id="rId2" Type="http://schemas.openxmlformats.org/officeDocument/2006/relationships/numbering" Target="numbering.xml"/><Relationship Id="rId16" Type="http://schemas.openxmlformats.org/officeDocument/2006/relationships/hyperlink" Target="https://doi.org/10.1093/intqhc/mzz103" TargetMode="External"/><Relationship Id="rId20" Type="http://schemas.openxmlformats.org/officeDocument/2006/relationships/hyperlink" Target="https://doi.org/10.1016/j.pec.2019.11.023" TargetMode="External"/><Relationship Id="rId29" Type="http://schemas.openxmlformats.org/officeDocument/2006/relationships/hyperlink" Target="https://www.sccm.org/SurvivingSepsisCampaign/Guidelines/Pediatric-Pati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16/j.jcjq.2019.12.001" TargetMode="External"/><Relationship Id="rId32" Type="http://schemas.openxmlformats.org/officeDocument/2006/relationships/hyperlink" Target="https://qualitysafety.bmj.com/content/early/rece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employers.org/case-studies-and-resources/2020/02/the-health-safety-and-wellbeing-of-shift-workers-in-health-care-environments" TargetMode="External"/><Relationship Id="rId23" Type="http://schemas.openxmlformats.org/officeDocument/2006/relationships/hyperlink" Target="https://doi.org/10.1016/j.midw.2019.102589" TargetMode="External"/><Relationship Id="rId28" Type="http://schemas.openxmlformats.org/officeDocument/2006/relationships/hyperlink" Target="https://doi.org/10.1007/s00134-019-05878-6" TargetMode="External"/><Relationship Id="rId36"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07/s40271-020-00410-1" TargetMode="External"/><Relationship Id="rId31" Type="http://schemas.openxmlformats.org/officeDocument/2006/relationships/hyperlink" Target="https://www.publish.csiro.au/py/issue/9743"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partnering-consumers/shared-decision-making" TargetMode="External"/><Relationship Id="rId27" Type="http://schemas.openxmlformats.org/officeDocument/2006/relationships/hyperlink" Target="https://doi.org/10.1097/PCC.0000000000002198" TargetMode="External"/><Relationship Id="rId30" Type="http://schemas.openxmlformats.org/officeDocument/2006/relationships/image" Target="media/image2.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0E35-1E46-4EFE-814F-C7651250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7</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On the Radar Issue 452</vt:lpstr>
    </vt:vector>
  </TitlesOfParts>
  <Company>ACSQHC</Company>
  <LinksUpToDate>false</LinksUpToDate>
  <CharactersWithSpaces>17660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452</dc:title>
  <dc:subject/>
  <dc:creator>Dr Niall Johnson</dc:creator>
  <cp:keywords/>
  <dc:description/>
  <cp:lastModifiedBy>Johnson, Niall</cp:lastModifiedBy>
  <cp:revision>11</cp:revision>
  <cp:lastPrinted>2018-03-02T02:34:00Z</cp:lastPrinted>
  <dcterms:created xsi:type="dcterms:W3CDTF">2020-02-16T22:00:00Z</dcterms:created>
  <dcterms:modified xsi:type="dcterms:W3CDTF">2020-02-21T01:35:00Z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