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9B00B9">
        <w:rPr>
          <w:rFonts w:ascii="Garamond" w:hAnsi="Garamond"/>
          <w:lang w:val="en-AU"/>
        </w:rPr>
        <w:t>54</w:t>
      </w:r>
    </w:p>
    <w:p w:rsidR="00755242" w:rsidRDefault="009B00B9" w:rsidP="00F738B5">
      <w:pPr>
        <w:rPr>
          <w:rFonts w:ascii="Garamond" w:hAnsi="Garamond"/>
          <w:lang w:val="en-AU"/>
        </w:rPr>
      </w:pPr>
      <w:r>
        <w:rPr>
          <w:rFonts w:ascii="Garamond" w:hAnsi="Garamond"/>
          <w:lang w:val="en-AU"/>
        </w:rPr>
        <w:t>9</w:t>
      </w:r>
      <w:r w:rsidR="003F6EE2">
        <w:rPr>
          <w:rFonts w:ascii="Garamond" w:hAnsi="Garamond"/>
          <w:lang w:val="en-AU"/>
        </w:rPr>
        <w:t xml:space="preserve"> March </w:t>
      </w:r>
      <w:r w:rsidR="007B2166">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8D2809" w:rsidRDefault="008D2809">
      <w:pPr>
        <w:rPr>
          <w:rFonts w:ascii="Garamond" w:hAnsi="Garamond"/>
          <w:b/>
          <w:lang w:val="en-AU"/>
        </w:rPr>
      </w:pPr>
    </w:p>
    <w:p w:rsidR="00282D29" w:rsidRDefault="005C2504" w:rsidP="00C17C82">
      <w:pPr>
        <w:keepNext/>
        <w:ind w:left="720" w:hanging="720"/>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470995" w:rsidRPr="00470995" w:rsidRDefault="00470995" w:rsidP="00470995">
      <w:pPr>
        <w:rPr>
          <w:rFonts w:ascii="Garamond" w:hAnsi="Garamond"/>
          <w:i/>
          <w:lang w:val="en-AU"/>
        </w:rPr>
      </w:pPr>
      <w:r w:rsidRPr="00470995">
        <w:rPr>
          <w:rFonts w:ascii="Garamond" w:hAnsi="Garamond"/>
          <w:i/>
          <w:lang w:val="en-AU"/>
        </w:rPr>
        <w:t>“Thank You for Listening”: An Exploratory Study Regarding the Lived Experience and Perception of Medical Errors Among Those Who Receive Care</w:t>
      </w:r>
    </w:p>
    <w:p w:rsidR="00470995" w:rsidRDefault="00470995" w:rsidP="00470995">
      <w:pPr>
        <w:keepNext/>
        <w:keepLines/>
        <w:autoSpaceDE w:val="0"/>
        <w:autoSpaceDN w:val="0"/>
        <w:adjustRightInd w:val="0"/>
        <w:rPr>
          <w:rFonts w:ascii="Garamond" w:hAnsi="Garamond"/>
          <w:lang w:val="en-AU"/>
        </w:rPr>
      </w:pPr>
      <w:r w:rsidRPr="00470995">
        <w:rPr>
          <w:rFonts w:ascii="Garamond" w:hAnsi="Garamond"/>
          <w:lang w:val="en-AU"/>
        </w:rPr>
        <w:t>Terry D, Kim J-a, Gilbert J, Jang S, Nguyen H</w:t>
      </w:r>
    </w:p>
    <w:p w:rsidR="00470995" w:rsidRDefault="00470995" w:rsidP="00470995">
      <w:pPr>
        <w:keepNext/>
        <w:keepLines/>
        <w:autoSpaceDE w:val="0"/>
        <w:autoSpaceDN w:val="0"/>
        <w:adjustRightInd w:val="0"/>
        <w:rPr>
          <w:rFonts w:ascii="Garamond" w:hAnsi="Garamond"/>
          <w:lang w:val="en-AU"/>
        </w:rPr>
      </w:pPr>
      <w:r w:rsidRPr="00470995">
        <w:rPr>
          <w:rFonts w:ascii="Garamond" w:hAnsi="Garamond"/>
          <w:lang w:val="en-AU"/>
        </w:rPr>
        <w:t>International Journal of Health Services. 2019:0020731419893036.</w:t>
      </w:r>
    </w:p>
    <w:tbl>
      <w:tblPr>
        <w:tblStyle w:val="TableGrid"/>
        <w:tblW w:w="0" w:type="auto"/>
        <w:tblInd w:w="288" w:type="dxa"/>
        <w:tblLayout w:type="fixed"/>
        <w:tblLook w:val="01E0" w:firstRow="1" w:lastRow="1" w:firstColumn="1" w:lastColumn="1" w:noHBand="0" w:noVBand="0"/>
      </w:tblPr>
      <w:tblGrid>
        <w:gridCol w:w="1080"/>
        <w:gridCol w:w="8280"/>
      </w:tblGrid>
      <w:tr w:rsidR="00470995" w:rsidRPr="000170DA" w:rsidTr="00A9452C">
        <w:tc>
          <w:tcPr>
            <w:tcW w:w="1080" w:type="dxa"/>
            <w:tcBorders>
              <w:top w:val="single" w:sz="4" w:space="0" w:color="auto"/>
              <w:left w:val="single" w:sz="4" w:space="0" w:color="auto"/>
              <w:bottom w:val="single" w:sz="4" w:space="0" w:color="auto"/>
              <w:right w:val="single" w:sz="4" w:space="0" w:color="auto"/>
            </w:tcBorders>
            <w:vAlign w:val="center"/>
          </w:tcPr>
          <w:p w:rsidR="00470995" w:rsidRPr="000170DA" w:rsidRDefault="00470995" w:rsidP="00A9452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70995" w:rsidRPr="000170DA" w:rsidRDefault="003C1A47" w:rsidP="00A9452C">
            <w:pPr>
              <w:rPr>
                <w:rStyle w:val="Hyperlink"/>
                <w:rFonts w:ascii="Garamond" w:hAnsi="Garamond"/>
                <w:color w:val="auto"/>
                <w:u w:val="none"/>
                <w:lang w:val="en-AU"/>
              </w:rPr>
            </w:pPr>
            <w:hyperlink r:id="rId15" w:history="1">
              <w:r w:rsidR="00470995" w:rsidRPr="009F0EF4">
                <w:rPr>
                  <w:rStyle w:val="Hyperlink"/>
                  <w:rFonts w:ascii="Garamond" w:hAnsi="Garamond"/>
                  <w:lang w:val="en-AU"/>
                </w:rPr>
                <w:t>https://doi.org/10.1177/0020731419893036</w:t>
              </w:r>
            </w:hyperlink>
          </w:p>
        </w:tc>
      </w:tr>
      <w:tr w:rsidR="00470995" w:rsidRPr="000170DA" w:rsidTr="00A9452C">
        <w:tc>
          <w:tcPr>
            <w:tcW w:w="1080" w:type="dxa"/>
            <w:tcBorders>
              <w:top w:val="single" w:sz="4" w:space="0" w:color="auto"/>
              <w:left w:val="single" w:sz="4" w:space="0" w:color="auto"/>
              <w:bottom w:val="single" w:sz="4" w:space="0" w:color="auto"/>
              <w:right w:val="single" w:sz="4" w:space="0" w:color="auto"/>
            </w:tcBorders>
            <w:vAlign w:val="center"/>
          </w:tcPr>
          <w:p w:rsidR="00470995" w:rsidRPr="000170DA" w:rsidRDefault="00470995" w:rsidP="00A9452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70995" w:rsidRPr="003F6EE2" w:rsidRDefault="00470995" w:rsidP="00A9452C">
            <w:pPr>
              <w:rPr>
                <w:rFonts w:ascii="Garamond" w:hAnsi="Garamond"/>
                <w:lang w:val="en-AU"/>
              </w:rPr>
            </w:pPr>
            <w:r>
              <w:rPr>
                <w:rFonts w:ascii="Garamond" w:hAnsi="Garamond"/>
                <w:lang w:val="en-AU"/>
              </w:rPr>
              <w:t>Australian study looking at how patients/consumers perceive and experience errors in health care. Based on 304 survey responses, the authors focus on ‘</w:t>
            </w:r>
            <w:r w:rsidRPr="00470995">
              <w:rPr>
                <w:rFonts w:ascii="Garamond" w:hAnsi="Garamond"/>
                <w:lang w:val="en-AU"/>
              </w:rPr>
              <w:t xml:space="preserve">the </w:t>
            </w:r>
            <w:r w:rsidRPr="00470995">
              <w:rPr>
                <w:rFonts w:ascii="Garamond" w:hAnsi="Garamond"/>
                <w:b/>
                <w:lang w:val="en-AU"/>
              </w:rPr>
              <w:t>importance of effective health professional–patient communication</w:t>
            </w:r>
            <w:r w:rsidRPr="00470995">
              <w:rPr>
                <w:rFonts w:ascii="Garamond" w:hAnsi="Garamond"/>
                <w:lang w:val="en-AU"/>
              </w:rPr>
              <w:t xml:space="preserve">, enhanced capacity to deliver high quality care, and improved mechanism for </w:t>
            </w:r>
            <w:r w:rsidRPr="00470995">
              <w:rPr>
                <w:rFonts w:ascii="Garamond" w:hAnsi="Garamond"/>
                <w:b/>
                <w:lang w:val="en-AU"/>
              </w:rPr>
              <w:t>error reporting</w:t>
            </w:r>
            <w:r w:rsidRPr="00470995">
              <w:rPr>
                <w:rFonts w:ascii="Garamond" w:hAnsi="Garamond"/>
                <w:lang w:val="en-AU"/>
              </w:rPr>
              <w:t xml:space="preserve"> and </w:t>
            </w:r>
            <w:r w:rsidRPr="00470995">
              <w:rPr>
                <w:rFonts w:ascii="Garamond" w:hAnsi="Garamond"/>
                <w:b/>
                <w:lang w:val="en-AU"/>
              </w:rPr>
              <w:t>resolution</w:t>
            </w:r>
            <w:r w:rsidRPr="00470995">
              <w:rPr>
                <w:rFonts w:ascii="Garamond" w:hAnsi="Garamond"/>
                <w:lang w:val="en-AU"/>
              </w:rPr>
              <w:t xml:space="preserve"> where </w:t>
            </w:r>
            <w:r w:rsidRPr="00470995">
              <w:rPr>
                <w:rFonts w:ascii="Garamond" w:hAnsi="Garamond"/>
                <w:b/>
                <w:lang w:val="en-AU"/>
              </w:rPr>
              <w:t>patients feel safe and confident about positive changes being made</w:t>
            </w:r>
            <w:r w:rsidRPr="00470995">
              <w:rPr>
                <w:rFonts w:ascii="Garamond" w:hAnsi="Garamond"/>
                <w:lang w:val="en-AU"/>
              </w:rPr>
              <w:t>.</w:t>
            </w:r>
            <w:r>
              <w:rPr>
                <w:rFonts w:ascii="Garamond" w:hAnsi="Garamond"/>
                <w:lang w:val="en-AU"/>
              </w:rPr>
              <w:t>’</w:t>
            </w:r>
          </w:p>
        </w:tc>
      </w:tr>
    </w:tbl>
    <w:p w:rsidR="00470995" w:rsidRDefault="00470995" w:rsidP="00470995">
      <w:pPr>
        <w:rPr>
          <w:rFonts w:ascii="Garamond" w:hAnsi="Garamond"/>
          <w:lang w:val="en-AU"/>
        </w:rPr>
      </w:pPr>
    </w:p>
    <w:p w:rsidR="00470995" w:rsidRDefault="00470995" w:rsidP="00470995">
      <w:pPr>
        <w:keepNext/>
        <w:keepLines/>
        <w:autoSpaceDE w:val="0"/>
        <w:autoSpaceDN w:val="0"/>
        <w:adjustRightInd w:val="0"/>
        <w:rPr>
          <w:rFonts w:ascii="Garamond" w:hAnsi="Garamond"/>
          <w:lang w:val="en-AU"/>
        </w:rPr>
      </w:pPr>
      <w:r w:rsidRPr="008F7CB1">
        <w:rPr>
          <w:rFonts w:ascii="Garamond" w:hAnsi="Garamond"/>
          <w:lang w:val="en-AU"/>
        </w:rPr>
        <w:t xml:space="preserve">For information on the Commission’s work on </w:t>
      </w:r>
      <w:r>
        <w:rPr>
          <w:rFonts w:ascii="Garamond" w:hAnsi="Garamond"/>
          <w:lang w:val="en-AU"/>
        </w:rPr>
        <w:t xml:space="preserve">open disclosure, including the </w:t>
      </w:r>
      <w:r w:rsidRPr="00470995">
        <w:rPr>
          <w:rFonts w:ascii="Garamond" w:hAnsi="Garamond"/>
          <w:i/>
          <w:lang w:val="en-AU"/>
        </w:rPr>
        <w:t>Australian Open Disclosure Framework</w:t>
      </w:r>
      <w:r>
        <w:rPr>
          <w:rFonts w:ascii="Garamond" w:hAnsi="Garamond"/>
          <w:lang w:val="en-AU"/>
        </w:rPr>
        <w:t xml:space="preserve">, see </w:t>
      </w:r>
      <w:hyperlink r:id="rId16" w:history="1">
        <w:r w:rsidRPr="009F0EF4">
          <w:rPr>
            <w:rStyle w:val="Hyperlink"/>
            <w:rFonts w:ascii="Garamond" w:hAnsi="Garamond"/>
            <w:lang w:val="en-AU"/>
          </w:rPr>
          <w:t>https://www.safetyandquality.gov.au/our-work/clinical-governance/open-disclosure</w:t>
        </w:r>
      </w:hyperlink>
    </w:p>
    <w:p w:rsidR="00470995" w:rsidRDefault="00470995" w:rsidP="00470995">
      <w:pPr>
        <w:keepLines/>
        <w:autoSpaceDE w:val="0"/>
        <w:autoSpaceDN w:val="0"/>
        <w:adjustRightInd w:val="0"/>
        <w:rPr>
          <w:rFonts w:ascii="Garamond" w:hAnsi="Garamond"/>
          <w:lang w:val="en-AU"/>
        </w:rPr>
      </w:pPr>
    </w:p>
    <w:p w:rsidR="00410D63" w:rsidRPr="000C4DF8" w:rsidRDefault="000C4DF8" w:rsidP="00BC0023">
      <w:pPr>
        <w:keepNext/>
        <w:keepLines/>
        <w:autoSpaceDE w:val="0"/>
        <w:autoSpaceDN w:val="0"/>
        <w:adjustRightInd w:val="0"/>
        <w:rPr>
          <w:rFonts w:ascii="Garamond" w:hAnsi="Garamond"/>
          <w:i/>
          <w:lang w:val="en-AU"/>
        </w:rPr>
      </w:pPr>
      <w:r w:rsidRPr="000C4DF8">
        <w:rPr>
          <w:rFonts w:ascii="Garamond" w:hAnsi="Garamond"/>
          <w:i/>
          <w:lang w:val="en-AU"/>
        </w:rPr>
        <w:t>Patient safety in marginalised groups: a narrative scoping review</w:t>
      </w:r>
    </w:p>
    <w:p w:rsidR="004F4D7F" w:rsidRDefault="004F4D7F" w:rsidP="00BC0023">
      <w:pPr>
        <w:keepNext/>
        <w:keepLines/>
        <w:autoSpaceDE w:val="0"/>
        <w:autoSpaceDN w:val="0"/>
        <w:adjustRightInd w:val="0"/>
        <w:rPr>
          <w:rFonts w:ascii="Garamond" w:hAnsi="Garamond"/>
          <w:lang w:val="en-AU"/>
        </w:rPr>
      </w:pPr>
      <w:r w:rsidRPr="004F4D7F">
        <w:rPr>
          <w:rFonts w:ascii="Garamond" w:hAnsi="Garamond"/>
          <w:lang w:val="en-AU"/>
        </w:rPr>
        <w:t>Cheraghi-Sohi S, Panagioti M, Daker-White G, Giles S, Riste L, Kirk S, et al</w:t>
      </w:r>
    </w:p>
    <w:p w:rsidR="000C4DF8" w:rsidRDefault="004F4D7F" w:rsidP="00BC0023">
      <w:pPr>
        <w:keepNext/>
        <w:keepLines/>
        <w:autoSpaceDE w:val="0"/>
        <w:autoSpaceDN w:val="0"/>
        <w:adjustRightInd w:val="0"/>
        <w:rPr>
          <w:rFonts w:ascii="Garamond" w:hAnsi="Garamond"/>
          <w:lang w:val="en-AU"/>
        </w:rPr>
      </w:pPr>
      <w:r w:rsidRPr="004F4D7F">
        <w:rPr>
          <w:rFonts w:ascii="Garamond" w:hAnsi="Garamond"/>
          <w:lang w:val="en-AU"/>
        </w:rPr>
        <w:t>International Journal for Equity in Health. 2020;19(1):26.</w:t>
      </w:r>
    </w:p>
    <w:tbl>
      <w:tblPr>
        <w:tblStyle w:val="TableGrid"/>
        <w:tblW w:w="0" w:type="auto"/>
        <w:tblInd w:w="288" w:type="dxa"/>
        <w:tblLayout w:type="fixed"/>
        <w:tblLook w:val="01E0" w:firstRow="1" w:lastRow="1" w:firstColumn="1" w:lastColumn="1" w:noHBand="0" w:noVBand="0"/>
      </w:tblPr>
      <w:tblGrid>
        <w:gridCol w:w="1080"/>
        <w:gridCol w:w="8280"/>
      </w:tblGrid>
      <w:tr w:rsidR="00BC0023" w:rsidRPr="000170DA" w:rsidTr="005336E7">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B6183" w:rsidRPr="000170DA" w:rsidRDefault="003C1A47" w:rsidP="000B6183">
            <w:pPr>
              <w:rPr>
                <w:rStyle w:val="Hyperlink"/>
                <w:rFonts w:ascii="Garamond" w:hAnsi="Garamond"/>
                <w:color w:val="auto"/>
                <w:u w:val="none"/>
                <w:lang w:val="en-AU"/>
              </w:rPr>
            </w:pPr>
            <w:hyperlink r:id="rId17" w:history="1">
              <w:r w:rsidR="004F4D7F" w:rsidRPr="009F0EF4">
                <w:rPr>
                  <w:rStyle w:val="Hyperlink"/>
                  <w:rFonts w:ascii="Garamond" w:hAnsi="Garamond"/>
                  <w:lang w:val="en-AU"/>
                </w:rPr>
                <w:t>https://doi.org/10.1186/s12939-019-1103-2</w:t>
              </w:r>
            </w:hyperlink>
          </w:p>
        </w:tc>
      </w:tr>
      <w:tr w:rsidR="00BC0023" w:rsidRPr="000170DA" w:rsidTr="005336E7">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56CD7" w:rsidRDefault="000C4DF8" w:rsidP="005B6459">
            <w:pPr>
              <w:rPr>
                <w:rFonts w:ascii="Garamond" w:hAnsi="Garamond"/>
                <w:lang w:val="en-AU"/>
              </w:rPr>
            </w:pPr>
            <w:r>
              <w:rPr>
                <w:rFonts w:ascii="Garamond" w:hAnsi="Garamond"/>
                <w:lang w:val="en-AU"/>
              </w:rPr>
              <w:t xml:space="preserve">Safety and quality efforts are often focused on the general situation, for the entire patient population of a facility or service. However, there are certain settings and certain patient groups for whom the safety and quality issues can be quite different. </w:t>
            </w:r>
            <w:r>
              <w:rPr>
                <w:rFonts w:ascii="Garamond" w:hAnsi="Garamond"/>
                <w:lang w:val="en-AU"/>
              </w:rPr>
              <w:lastRenderedPageBreak/>
              <w:t xml:space="preserve">This review looked </w:t>
            </w:r>
            <w:r w:rsidR="00256CD7">
              <w:rPr>
                <w:rFonts w:ascii="Garamond" w:hAnsi="Garamond"/>
                <w:lang w:val="en-AU"/>
              </w:rPr>
              <w:t xml:space="preserve">the literature on </w:t>
            </w:r>
            <w:r>
              <w:rPr>
                <w:rFonts w:ascii="Garamond" w:hAnsi="Garamond"/>
                <w:lang w:val="en-AU"/>
              </w:rPr>
              <w:t>marginalised groups</w:t>
            </w:r>
            <w:r w:rsidR="00256CD7">
              <w:rPr>
                <w:rFonts w:ascii="Garamond" w:hAnsi="Garamond"/>
                <w:lang w:val="en-AU"/>
              </w:rPr>
              <w:t xml:space="preserve"> (using a board definition of “</w:t>
            </w:r>
            <w:r w:rsidR="00256CD7" w:rsidRPr="00256CD7">
              <w:rPr>
                <w:rFonts w:ascii="Garamond" w:hAnsi="Garamond"/>
                <w:lang w:val="en-AU"/>
              </w:rPr>
              <w:t>populations outside of mainstream society</w:t>
            </w:r>
            <w:r w:rsidR="00256CD7">
              <w:rPr>
                <w:rFonts w:ascii="Garamond" w:hAnsi="Garamond"/>
                <w:lang w:val="en-AU"/>
              </w:rPr>
              <w:t xml:space="preserve">” to </w:t>
            </w:r>
            <w:r w:rsidR="00256CD7" w:rsidRPr="00256CD7">
              <w:rPr>
                <w:rFonts w:ascii="Garamond" w:hAnsi="Garamond"/>
                <w:lang w:val="en-AU"/>
              </w:rPr>
              <w:t xml:space="preserve">understand </w:t>
            </w:r>
          </w:p>
          <w:p w:rsidR="00256CD7" w:rsidRPr="00256CD7" w:rsidRDefault="00256CD7" w:rsidP="00256CD7">
            <w:pPr>
              <w:pStyle w:val="ListParagraph"/>
              <w:numPr>
                <w:ilvl w:val="0"/>
                <w:numId w:val="46"/>
              </w:numPr>
              <w:rPr>
                <w:rFonts w:ascii="Garamond" w:hAnsi="Garamond"/>
                <w:lang w:val="en-AU"/>
              </w:rPr>
            </w:pPr>
            <w:r w:rsidRPr="00256CD7">
              <w:rPr>
                <w:rFonts w:ascii="Garamond" w:hAnsi="Garamond"/>
                <w:lang w:val="en-AU"/>
              </w:rPr>
              <w:t xml:space="preserve">which marginalised groups have been studied in terms of patient safety research, </w:t>
            </w:r>
          </w:p>
          <w:p w:rsidR="00256CD7" w:rsidRPr="00256CD7" w:rsidRDefault="00256CD7" w:rsidP="00256CD7">
            <w:pPr>
              <w:pStyle w:val="ListParagraph"/>
              <w:numPr>
                <w:ilvl w:val="0"/>
                <w:numId w:val="46"/>
              </w:numPr>
              <w:rPr>
                <w:rFonts w:ascii="Garamond" w:hAnsi="Garamond"/>
                <w:lang w:val="en-AU"/>
              </w:rPr>
            </w:pPr>
            <w:r w:rsidRPr="00256CD7">
              <w:rPr>
                <w:rFonts w:ascii="Garamond" w:hAnsi="Garamond"/>
                <w:lang w:val="en-AU"/>
              </w:rPr>
              <w:t xml:space="preserve">what the particular patient safety issues are for such groups and </w:t>
            </w:r>
          </w:p>
          <w:p w:rsidR="005B6459" w:rsidRPr="00256CD7" w:rsidRDefault="00256CD7" w:rsidP="00256CD7">
            <w:pPr>
              <w:pStyle w:val="ListParagraph"/>
              <w:numPr>
                <w:ilvl w:val="0"/>
                <w:numId w:val="46"/>
              </w:numPr>
              <w:rPr>
                <w:rFonts w:ascii="Garamond" w:hAnsi="Garamond"/>
                <w:lang w:val="en-AU"/>
              </w:rPr>
            </w:pPr>
            <w:r w:rsidRPr="00256CD7">
              <w:rPr>
                <w:rFonts w:ascii="Garamond" w:hAnsi="Garamond"/>
                <w:lang w:val="en-AU"/>
              </w:rPr>
              <w:t>what contributes to or is associated with these safety issues arising.</w:t>
            </w:r>
          </w:p>
          <w:p w:rsidR="004F4D7F" w:rsidRPr="003F6EE2" w:rsidRDefault="00256CD7" w:rsidP="00256CD7">
            <w:pPr>
              <w:rPr>
                <w:rFonts w:ascii="Garamond" w:hAnsi="Garamond"/>
                <w:lang w:val="en-AU"/>
              </w:rPr>
            </w:pPr>
            <w:r>
              <w:rPr>
                <w:rFonts w:ascii="Garamond" w:hAnsi="Garamond"/>
                <w:lang w:val="en-AU"/>
              </w:rPr>
              <w:t>From the 67 identified studies, the authors report that ‘</w:t>
            </w:r>
            <w:r w:rsidRPr="00256CD7">
              <w:rPr>
                <w:rFonts w:ascii="Garamond" w:hAnsi="Garamond"/>
                <w:b/>
                <w:lang w:val="en-AU"/>
              </w:rPr>
              <w:t>marginalised patient groups are vulnerable to experiencing a variety patient safety issues</w:t>
            </w:r>
            <w:r w:rsidRPr="00256CD7">
              <w:rPr>
                <w:rFonts w:ascii="Garamond" w:hAnsi="Garamond"/>
                <w:lang w:val="en-AU"/>
              </w:rPr>
              <w:t xml:space="preserve"> and points to a number of gaps</w:t>
            </w:r>
            <w:r>
              <w:rPr>
                <w:rFonts w:ascii="Garamond" w:hAnsi="Garamond"/>
                <w:lang w:val="en-AU"/>
              </w:rPr>
              <w:t xml:space="preserve">’ and need for further research, particularly </w:t>
            </w:r>
            <w:r w:rsidRPr="00256CD7">
              <w:rPr>
                <w:rFonts w:ascii="Garamond" w:hAnsi="Garamond"/>
                <w:lang w:val="en-AU"/>
              </w:rPr>
              <w:t xml:space="preserve">for </w:t>
            </w:r>
            <w:r>
              <w:rPr>
                <w:rFonts w:ascii="Garamond" w:hAnsi="Garamond"/>
                <w:lang w:val="en-AU"/>
              </w:rPr>
              <w:t>‘</w:t>
            </w:r>
            <w:r w:rsidRPr="00256CD7">
              <w:rPr>
                <w:rFonts w:ascii="Garamond" w:hAnsi="Garamond"/>
                <w:lang w:val="en-AU"/>
              </w:rPr>
              <w:t>groups that have been under-researched, including those with mental health problems, communication and cognitive impairments</w:t>
            </w:r>
            <w:r>
              <w:rPr>
                <w:rFonts w:ascii="Garamond" w:hAnsi="Garamond"/>
                <w:lang w:val="en-AU"/>
              </w:rPr>
              <w:t>’</w:t>
            </w:r>
            <w:r w:rsidRPr="00256CD7">
              <w:rPr>
                <w:rFonts w:ascii="Garamond" w:hAnsi="Garamond"/>
                <w:lang w:val="en-AU"/>
              </w:rPr>
              <w:t xml:space="preserve">. </w:t>
            </w:r>
            <w:r>
              <w:rPr>
                <w:rFonts w:ascii="Garamond" w:hAnsi="Garamond"/>
                <w:lang w:val="en-AU"/>
              </w:rPr>
              <w:t>The authors also advocate ‘’</w:t>
            </w:r>
            <w:r w:rsidRPr="00256CD7">
              <w:rPr>
                <w:rFonts w:ascii="Garamond" w:hAnsi="Garamond"/>
                <w:lang w:val="en-AU"/>
              </w:rPr>
              <w:t>working collaboratively to co-design training, services and/or interventions designed to remove or at the very least minimise these increased risks.</w:t>
            </w:r>
            <w:r>
              <w:rPr>
                <w:rFonts w:ascii="Garamond" w:hAnsi="Garamond"/>
                <w:lang w:val="en-AU"/>
              </w:rPr>
              <w:t>’</w:t>
            </w:r>
          </w:p>
        </w:tc>
      </w:tr>
    </w:tbl>
    <w:p w:rsidR="00BC0023" w:rsidRDefault="00BC0023" w:rsidP="00BC0023">
      <w:pPr>
        <w:rPr>
          <w:rFonts w:ascii="Garamond" w:hAnsi="Garamond"/>
          <w:lang w:val="en-AU"/>
        </w:rPr>
      </w:pPr>
    </w:p>
    <w:p w:rsidR="009B00B9" w:rsidRPr="004F4D7F" w:rsidRDefault="004F4D7F" w:rsidP="009B00B9">
      <w:pPr>
        <w:keepNext/>
        <w:keepLines/>
        <w:autoSpaceDE w:val="0"/>
        <w:autoSpaceDN w:val="0"/>
        <w:adjustRightInd w:val="0"/>
        <w:rPr>
          <w:rFonts w:ascii="Garamond" w:hAnsi="Garamond"/>
          <w:i/>
          <w:lang w:val="en-AU"/>
        </w:rPr>
      </w:pPr>
      <w:r w:rsidRPr="004F4D7F">
        <w:rPr>
          <w:rFonts w:ascii="Garamond" w:hAnsi="Garamond"/>
          <w:i/>
          <w:lang w:val="en-AU"/>
        </w:rPr>
        <w:t>Systemic causes of in-hospital intravenous medication errors: a systematic review</w:t>
      </w:r>
    </w:p>
    <w:p w:rsidR="00F13EB3" w:rsidRDefault="00F13EB3" w:rsidP="009B00B9">
      <w:pPr>
        <w:keepNext/>
        <w:keepLines/>
        <w:autoSpaceDE w:val="0"/>
        <w:autoSpaceDN w:val="0"/>
        <w:adjustRightInd w:val="0"/>
        <w:rPr>
          <w:rFonts w:ascii="Garamond" w:hAnsi="Garamond"/>
          <w:lang w:val="en-AU"/>
        </w:rPr>
      </w:pPr>
      <w:r w:rsidRPr="00F13EB3">
        <w:rPr>
          <w:rFonts w:ascii="Garamond" w:hAnsi="Garamond"/>
          <w:lang w:val="en-AU"/>
        </w:rPr>
        <w:t>Kuitunen S, Niittynen I, Airaksinen M, Holmström A-R</w:t>
      </w:r>
    </w:p>
    <w:p w:rsidR="004F4D7F" w:rsidRDefault="00F13EB3" w:rsidP="009B00B9">
      <w:pPr>
        <w:keepNext/>
        <w:keepLines/>
        <w:autoSpaceDE w:val="0"/>
        <w:autoSpaceDN w:val="0"/>
        <w:adjustRightInd w:val="0"/>
        <w:rPr>
          <w:rFonts w:ascii="Garamond" w:hAnsi="Garamond"/>
          <w:lang w:val="en-AU"/>
        </w:rPr>
      </w:pPr>
      <w:r w:rsidRPr="00F13EB3">
        <w:rPr>
          <w:rFonts w:ascii="Garamond" w:hAnsi="Garamond"/>
          <w:lang w:val="en-AU"/>
        </w:rPr>
        <w:t>Journal of Patient Safety</w:t>
      </w:r>
      <w:r>
        <w:rPr>
          <w:rFonts w:ascii="Garamond" w:hAnsi="Garamond"/>
          <w:lang w:val="en-AU"/>
        </w:rPr>
        <w:t>. 2020 [epub]</w:t>
      </w:r>
      <w:r w:rsidRPr="00F13EB3">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B00B9" w:rsidRPr="000170DA" w:rsidTr="006C573E">
        <w:tc>
          <w:tcPr>
            <w:tcW w:w="1080" w:type="dxa"/>
            <w:tcBorders>
              <w:top w:val="single" w:sz="4" w:space="0" w:color="auto"/>
              <w:left w:val="single" w:sz="4" w:space="0" w:color="auto"/>
              <w:bottom w:val="single" w:sz="4" w:space="0" w:color="auto"/>
              <w:right w:val="single" w:sz="4" w:space="0" w:color="auto"/>
            </w:tcBorders>
            <w:vAlign w:val="center"/>
          </w:tcPr>
          <w:p w:rsidR="009B00B9" w:rsidRPr="000170DA" w:rsidRDefault="009B00B9" w:rsidP="006C573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B00B9" w:rsidRPr="000170DA" w:rsidRDefault="003C1A47" w:rsidP="006C573E">
            <w:pPr>
              <w:rPr>
                <w:rStyle w:val="Hyperlink"/>
                <w:rFonts w:ascii="Garamond" w:hAnsi="Garamond"/>
                <w:color w:val="auto"/>
                <w:u w:val="none"/>
                <w:lang w:val="en-AU"/>
              </w:rPr>
            </w:pPr>
            <w:hyperlink r:id="rId18" w:history="1">
              <w:r w:rsidR="00F13EB3" w:rsidRPr="009F0EF4">
                <w:rPr>
                  <w:rStyle w:val="Hyperlink"/>
                  <w:rFonts w:ascii="Garamond" w:hAnsi="Garamond"/>
                  <w:lang w:val="en-AU"/>
                </w:rPr>
                <w:t>https://doi.org/10.1097/pts.0000000000000632</w:t>
              </w:r>
            </w:hyperlink>
          </w:p>
        </w:tc>
      </w:tr>
      <w:tr w:rsidR="009B00B9" w:rsidRPr="000170DA" w:rsidTr="006C573E">
        <w:tc>
          <w:tcPr>
            <w:tcW w:w="1080" w:type="dxa"/>
            <w:tcBorders>
              <w:top w:val="single" w:sz="4" w:space="0" w:color="auto"/>
              <w:left w:val="single" w:sz="4" w:space="0" w:color="auto"/>
              <w:bottom w:val="single" w:sz="4" w:space="0" w:color="auto"/>
              <w:right w:val="single" w:sz="4" w:space="0" w:color="auto"/>
            </w:tcBorders>
            <w:vAlign w:val="center"/>
          </w:tcPr>
          <w:p w:rsidR="009B00B9" w:rsidRPr="000170DA" w:rsidRDefault="009B00B9" w:rsidP="006C573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B00B9" w:rsidRPr="003F6EE2" w:rsidRDefault="00256CD7" w:rsidP="00252FD7">
            <w:pPr>
              <w:rPr>
                <w:rFonts w:ascii="Garamond" w:hAnsi="Garamond"/>
                <w:lang w:val="en-AU"/>
              </w:rPr>
            </w:pPr>
            <w:r>
              <w:rPr>
                <w:rFonts w:ascii="Garamond" w:hAnsi="Garamond"/>
                <w:lang w:val="en-AU"/>
              </w:rPr>
              <w:t>Medication errors, broadly defined, are among the most common errors. This paper looks at one particular type of medication errors – those occurring in hospitals and involving i</w:t>
            </w:r>
            <w:r w:rsidRPr="00256CD7">
              <w:rPr>
                <w:rFonts w:ascii="Garamond" w:hAnsi="Garamond"/>
                <w:lang w:val="en-AU"/>
              </w:rPr>
              <w:t>ntravenous (IV) medication</w:t>
            </w:r>
            <w:r>
              <w:rPr>
                <w:rFonts w:ascii="Garamond" w:hAnsi="Garamond"/>
                <w:lang w:val="en-AU"/>
              </w:rPr>
              <w:t xml:space="preserve">s. This review sought to examine the literature on </w:t>
            </w:r>
            <w:r w:rsidRPr="00256CD7">
              <w:rPr>
                <w:rFonts w:ascii="Garamond" w:hAnsi="Garamond"/>
                <w:lang w:val="en-AU"/>
              </w:rPr>
              <w:t xml:space="preserve">systemic causes </w:t>
            </w:r>
            <w:r>
              <w:rPr>
                <w:rFonts w:ascii="Garamond" w:hAnsi="Garamond"/>
                <w:lang w:val="en-AU"/>
              </w:rPr>
              <w:t xml:space="preserve">these errors. Focused on 11 studies, </w:t>
            </w:r>
            <w:r w:rsidR="00F13EB3">
              <w:rPr>
                <w:rFonts w:ascii="Garamond" w:hAnsi="Garamond"/>
                <w:lang w:val="en-AU"/>
              </w:rPr>
              <w:t xml:space="preserve">the reviewers found </w:t>
            </w:r>
            <w:r w:rsidR="00252FD7">
              <w:rPr>
                <w:rFonts w:ascii="Garamond" w:hAnsi="Garamond"/>
                <w:lang w:val="en-AU"/>
              </w:rPr>
              <w:t>‘</w:t>
            </w:r>
            <w:r w:rsidR="00252FD7" w:rsidRPr="00252FD7">
              <w:rPr>
                <w:rFonts w:ascii="Garamond" w:hAnsi="Garamond"/>
                <w:lang w:val="en-AU"/>
              </w:rPr>
              <w:t>A</w:t>
            </w:r>
            <w:r w:rsidR="00252FD7" w:rsidRPr="00252FD7">
              <w:rPr>
                <w:rFonts w:ascii="Garamond" w:hAnsi="Garamond"/>
                <w:b/>
                <w:lang w:val="en-AU"/>
              </w:rPr>
              <w:t>dministration, prescribing, and preparation were the process phases most prone to systemic errors</w:t>
            </w:r>
            <w:r w:rsidR="00252FD7" w:rsidRPr="00252FD7">
              <w:rPr>
                <w:rFonts w:ascii="Garamond" w:hAnsi="Garamond"/>
                <w:lang w:val="en-AU"/>
              </w:rPr>
              <w:t xml:space="preserve">. Insufficient actions to secure </w:t>
            </w:r>
            <w:r w:rsidR="00252FD7" w:rsidRPr="00252FD7">
              <w:rPr>
                <w:rFonts w:ascii="Garamond" w:hAnsi="Garamond"/>
                <w:b/>
                <w:lang w:val="en-AU"/>
              </w:rPr>
              <w:t>safe use of high-alert medications</w:t>
            </w:r>
            <w:r w:rsidR="00252FD7" w:rsidRPr="00252FD7">
              <w:rPr>
                <w:rFonts w:ascii="Garamond" w:hAnsi="Garamond"/>
                <w:lang w:val="en-AU"/>
              </w:rPr>
              <w:t xml:space="preserve">, </w:t>
            </w:r>
            <w:r w:rsidR="00252FD7" w:rsidRPr="00252FD7">
              <w:rPr>
                <w:rFonts w:ascii="Garamond" w:hAnsi="Garamond"/>
                <w:b/>
                <w:lang w:val="en-AU"/>
              </w:rPr>
              <w:t>lack of knowledge</w:t>
            </w:r>
            <w:r w:rsidR="00252FD7" w:rsidRPr="00252FD7">
              <w:rPr>
                <w:rFonts w:ascii="Garamond" w:hAnsi="Garamond"/>
                <w:lang w:val="en-AU"/>
              </w:rPr>
              <w:t xml:space="preserve"> of the drug, </w:t>
            </w:r>
            <w:r w:rsidR="00252FD7" w:rsidRPr="00252FD7">
              <w:rPr>
                <w:rFonts w:ascii="Garamond" w:hAnsi="Garamond"/>
                <w:b/>
                <w:lang w:val="en-AU"/>
              </w:rPr>
              <w:t>calculation tasks</w:t>
            </w:r>
            <w:r w:rsidR="00252FD7" w:rsidRPr="00252FD7">
              <w:rPr>
                <w:rFonts w:ascii="Garamond" w:hAnsi="Garamond"/>
                <w:lang w:val="en-AU"/>
              </w:rPr>
              <w:t xml:space="preserve">, failure in </w:t>
            </w:r>
            <w:r w:rsidR="00252FD7" w:rsidRPr="00252FD7">
              <w:rPr>
                <w:rFonts w:ascii="Garamond" w:hAnsi="Garamond"/>
                <w:b/>
                <w:lang w:val="en-AU"/>
              </w:rPr>
              <w:t>double-checking</w:t>
            </w:r>
            <w:r w:rsidR="00252FD7" w:rsidRPr="00252FD7">
              <w:rPr>
                <w:rFonts w:ascii="Garamond" w:hAnsi="Garamond"/>
                <w:lang w:val="en-AU"/>
              </w:rPr>
              <w:t xml:space="preserve"> procedures, and confusion between </w:t>
            </w:r>
            <w:r w:rsidR="00252FD7" w:rsidRPr="00252FD7">
              <w:rPr>
                <w:rFonts w:ascii="Garamond" w:hAnsi="Garamond"/>
                <w:b/>
                <w:lang w:val="en-AU"/>
              </w:rPr>
              <w:t xml:space="preserve">look-alike, sound-alike medications </w:t>
            </w:r>
            <w:r w:rsidR="00252FD7" w:rsidRPr="00252FD7">
              <w:rPr>
                <w:rFonts w:ascii="Garamond" w:hAnsi="Garamond"/>
                <w:lang w:val="en-AU"/>
              </w:rPr>
              <w:t>were the leading causes of intravenous medication errors.</w:t>
            </w:r>
            <w:r w:rsidR="00252FD7">
              <w:rPr>
                <w:rFonts w:ascii="Garamond" w:hAnsi="Garamond"/>
                <w:lang w:val="en-AU"/>
              </w:rPr>
              <w:t>’</w:t>
            </w:r>
          </w:p>
        </w:tc>
      </w:tr>
    </w:tbl>
    <w:p w:rsidR="009B00B9" w:rsidRDefault="009B00B9" w:rsidP="009B00B9">
      <w:pPr>
        <w:rPr>
          <w:rFonts w:ascii="Garamond" w:hAnsi="Garamond"/>
          <w:lang w:val="en-AU"/>
        </w:rPr>
      </w:pPr>
    </w:p>
    <w:p w:rsidR="004F4D7F" w:rsidRDefault="004F4D7F" w:rsidP="009B00B9">
      <w:pPr>
        <w:rPr>
          <w:rFonts w:ascii="Garamond" w:hAnsi="Garamond"/>
          <w:lang w:val="en-AU"/>
        </w:rPr>
      </w:pPr>
      <w:r w:rsidRPr="008F7CB1">
        <w:rPr>
          <w:rFonts w:ascii="Garamond" w:hAnsi="Garamond"/>
          <w:lang w:val="en-AU"/>
        </w:rPr>
        <w:t xml:space="preserve">For information on the Commission’s work on </w:t>
      </w:r>
      <w:r>
        <w:rPr>
          <w:rFonts w:ascii="Garamond" w:hAnsi="Garamond"/>
          <w:lang w:val="en-AU"/>
        </w:rPr>
        <w:t>m</w:t>
      </w:r>
      <w:r w:rsidR="00D14242">
        <w:rPr>
          <w:rFonts w:ascii="Garamond" w:hAnsi="Garamond"/>
          <w:lang w:val="en-AU"/>
        </w:rPr>
        <w:t xml:space="preserve">edication safety, see </w:t>
      </w:r>
      <w:hyperlink r:id="rId19" w:history="1">
        <w:r w:rsidR="00470995" w:rsidRPr="009F0EF4">
          <w:rPr>
            <w:rStyle w:val="Hyperlink"/>
            <w:rFonts w:ascii="Garamond" w:hAnsi="Garamond"/>
            <w:lang w:val="en-AU"/>
          </w:rPr>
          <w:t>https://www.safetyandquality.gov.au/our-work/medication-safety</w:t>
        </w:r>
      </w:hyperlink>
      <w:r w:rsidR="00470995">
        <w:rPr>
          <w:rFonts w:ascii="Garamond" w:hAnsi="Garamond"/>
          <w:lang w:val="en-AU"/>
        </w:rPr>
        <w:t xml:space="preserve"> </w:t>
      </w:r>
    </w:p>
    <w:p w:rsidR="001C4543" w:rsidRDefault="001C4543" w:rsidP="00F21212">
      <w:pPr>
        <w:keepNext/>
        <w:rPr>
          <w:rFonts w:ascii="Garamond" w:hAnsi="Garamond"/>
          <w:i/>
          <w:lang w:val="en-AU"/>
        </w:rPr>
      </w:pPr>
    </w:p>
    <w:p w:rsidR="001C4543" w:rsidRDefault="001C4543">
      <w:pPr>
        <w:rPr>
          <w:rFonts w:ascii="Garamond" w:hAnsi="Garamond"/>
          <w:i/>
          <w:lang w:val="en-AU"/>
        </w:rPr>
      </w:pPr>
      <w:r>
        <w:rPr>
          <w:rFonts w:ascii="Garamond" w:hAnsi="Garamond"/>
          <w:i/>
          <w:lang w:val="en-AU"/>
        </w:rPr>
        <w:br w:type="page"/>
      </w:r>
    </w:p>
    <w:p w:rsidR="00F21212" w:rsidRDefault="00F21212" w:rsidP="00F21212">
      <w:pPr>
        <w:keepNext/>
        <w:rPr>
          <w:rFonts w:ascii="Garamond" w:hAnsi="Garamond"/>
          <w:i/>
          <w:lang w:val="en-AU"/>
        </w:rPr>
      </w:pPr>
      <w:r>
        <w:rPr>
          <w:rFonts w:ascii="Garamond" w:hAnsi="Garamond"/>
          <w:i/>
          <w:lang w:val="en-AU"/>
        </w:rPr>
        <w:lastRenderedPageBreak/>
        <w:t>Health Affairs</w:t>
      </w:r>
    </w:p>
    <w:p w:rsidR="00F21212" w:rsidRPr="00612D3D" w:rsidRDefault="00F21212" w:rsidP="00F21212">
      <w:pPr>
        <w:keepNext/>
        <w:rPr>
          <w:rFonts w:ascii="Garamond" w:hAnsi="Garamond"/>
          <w:lang w:val="en-AU"/>
        </w:rPr>
      </w:pPr>
      <w:r>
        <w:rPr>
          <w:rFonts w:ascii="Garamond" w:hAnsi="Garamond"/>
          <w:lang w:val="en-AU"/>
        </w:rPr>
        <w:t>Volume 39, No. 3, March 2020</w:t>
      </w:r>
    </w:p>
    <w:tbl>
      <w:tblPr>
        <w:tblStyle w:val="TableGrid"/>
        <w:tblW w:w="9360" w:type="dxa"/>
        <w:tblInd w:w="288" w:type="dxa"/>
        <w:tblLayout w:type="fixed"/>
        <w:tblLook w:val="01E0" w:firstRow="1" w:lastRow="1" w:firstColumn="1" w:lastColumn="1" w:noHBand="0" w:noVBand="0"/>
      </w:tblPr>
      <w:tblGrid>
        <w:gridCol w:w="1080"/>
        <w:gridCol w:w="8280"/>
      </w:tblGrid>
      <w:tr w:rsidR="00F21212" w:rsidRPr="000170DA" w:rsidTr="00007D3A">
        <w:tc>
          <w:tcPr>
            <w:tcW w:w="1080" w:type="dxa"/>
            <w:tcBorders>
              <w:top w:val="single" w:sz="4" w:space="0" w:color="auto"/>
              <w:left w:val="single" w:sz="4" w:space="0" w:color="auto"/>
              <w:bottom w:val="single" w:sz="4" w:space="0" w:color="auto"/>
              <w:right w:val="single" w:sz="4" w:space="0" w:color="auto"/>
            </w:tcBorders>
            <w:vAlign w:val="center"/>
          </w:tcPr>
          <w:p w:rsidR="00F21212" w:rsidRPr="000170DA" w:rsidRDefault="00F21212" w:rsidP="00007D3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21212" w:rsidRPr="006706B4" w:rsidRDefault="003C1A47" w:rsidP="00F21212">
            <w:pPr>
              <w:rPr>
                <w:rStyle w:val="Hyperlink"/>
                <w:rFonts w:ascii="Garamond" w:hAnsi="Garamond"/>
                <w:color w:val="auto"/>
                <w:u w:val="none"/>
                <w:lang w:val="en-AU"/>
              </w:rPr>
            </w:pPr>
            <w:hyperlink r:id="rId20" w:history="1">
              <w:r w:rsidR="00F21212" w:rsidRPr="00FE31E9">
                <w:rPr>
                  <w:rStyle w:val="Hyperlink"/>
                  <w:rFonts w:ascii="Garamond" w:hAnsi="Garamond"/>
                </w:rPr>
                <w:t>https://www.healthaffairs.org/toc/hlthaff/39/3</w:t>
              </w:r>
            </w:hyperlink>
          </w:p>
        </w:tc>
      </w:tr>
      <w:tr w:rsidR="00F21212" w:rsidRPr="000170DA" w:rsidTr="00007D3A">
        <w:tc>
          <w:tcPr>
            <w:tcW w:w="1080" w:type="dxa"/>
            <w:tcBorders>
              <w:top w:val="single" w:sz="4" w:space="0" w:color="auto"/>
              <w:left w:val="single" w:sz="4" w:space="0" w:color="auto"/>
              <w:bottom w:val="single" w:sz="4" w:space="0" w:color="auto"/>
              <w:right w:val="single" w:sz="4" w:space="0" w:color="auto"/>
            </w:tcBorders>
            <w:vAlign w:val="center"/>
          </w:tcPr>
          <w:p w:rsidR="00F21212" w:rsidRPr="000170DA" w:rsidRDefault="00F21212" w:rsidP="00007D3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21212" w:rsidRPr="007C3778" w:rsidRDefault="00F21212" w:rsidP="00007D3A">
            <w:pPr>
              <w:jc w:val="both"/>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Pr="00390EB5">
              <w:rPr>
                <w:rFonts w:ascii="Garamond" w:hAnsi="Garamond"/>
                <w:i/>
                <w:lang w:val="en-AU"/>
              </w:rPr>
              <w:t>Health Affairs</w:t>
            </w:r>
            <w:r>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with the theme ‘</w:t>
            </w:r>
            <w:r w:rsidRPr="00F21212">
              <w:rPr>
                <w:rFonts w:ascii="Garamond" w:hAnsi="Garamond"/>
                <w:lang w:val="en-AU"/>
              </w:rPr>
              <w:t>The Affordable Care Act Turns 10</w:t>
            </w:r>
            <w:r>
              <w:rPr>
                <w:rFonts w:ascii="Garamond" w:hAnsi="Garamond"/>
                <w:lang w:val="en-AU"/>
              </w:rPr>
              <w:t>’</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Pr="006706B4">
              <w:rPr>
                <w:rFonts w:ascii="Garamond" w:hAnsi="Garamond"/>
                <w:i/>
                <w:lang w:val="en-AU"/>
              </w:rPr>
              <w:t>Health Affairs</w:t>
            </w:r>
            <w:r>
              <w:rPr>
                <w:rFonts w:ascii="Garamond" w:hAnsi="Garamond"/>
                <w:lang w:val="en-AU"/>
              </w:rPr>
              <w:t xml:space="preserve"> </w:t>
            </w:r>
            <w:r w:rsidRPr="00B440ED">
              <w:rPr>
                <w:rFonts w:ascii="Garamond" w:hAnsi="Garamond"/>
                <w:lang w:val="en-AU"/>
              </w:rPr>
              <w:t>include:</w:t>
            </w:r>
          </w:p>
          <w:p w:rsidR="00F21212" w:rsidRPr="00F21212" w:rsidRDefault="00F21212" w:rsidP="0037664C">
            <w:pPr>
              <w:pStyle w:val="ListParagraph"/>
              <w:numPr>
                <w:ilvl w:val="0"/>
                <w:numId w:val="15"/>
              </w:numPr>
              <w:rPr>
                <w:rFonts w:ascii="Garamond" w:hAnsi="Garamond"/>
                <w:lang w:val="en-AU"/>
              </w:rPr>
            </w:pPr>
            <w:r w:rsidRPr="00F21212">
              <w:rPr>
                <w:rFonts w:ascii="Garamond" w:hAnsi="Garamond"/>
                <w:lang w:val="en-AU"/>
              </w:rPr>
              <w:t xml:space="preserve">A </w:t>
            </w:r>
            <w:r w:rsidRPr="00F21212">
              <w:rPr>
                <w:rFonts w:ascii="Garamond" w:hAnsi="Garamond"/>
                <w:b/>
                <w:lang w:val="en-AU"/>
              </w:rPr>
              <w:t>New Approach To Mental Health Care</w:t>
            </w:r>
            <w:r w:rsidRPr="00F21212">
              <w:rPr>
                <w:rFonts w:ascii="Garamond" w:hAnsi="Garamond"/>
                <w:lang w:val="en-AU"/>
              </w:rPr>
              <w:t>, Imported From Abroad (Rob Waters</w:t>
            </w:r>
            <w:r>
              <w:rPr>
                <w:rFonts w:ascii="Garamond" w:hAnsi="Garamond"/>
                <w:lang w:val="en-AU"/>
              </w:rPr>
              <w:t>)</w:t>
            </w:r>
          </w:p>
          <w:p w:rsidR="00F21212" w:rsidRPr="00F21212" w:rsidRDefault="00F21212" w:rsidP="00434E65">
            <w:pPr>
              <w:pStyle w:val="ListParagraph"/>
              <w:numPr>
                <w:ilvl w:val="0"/>
                <w:numId w:val="15"/>
              </w:numPr>
              <w:rPr>
                <w:rFonts w:ascii="Garamond" w:hAnsi="Garamond"/>
                <w:lang w:val="en-AU"/>
              </w:rPr>
            </w:pPr>
            <w:r w:rsidRPr="00F21212">
              <w:rPr>
                <w:rFonts w:ascii="Garamond" w:hAnsi="Garamond"/>
                <w:lang w:val="en-AU"/>
              </w:rPr>
              <w:t xml:space="preserve">A Ten-Year Engagement: The </w:t>
            </w:r>
            <w:r w:rsidRPr="00F21212">
              <w:rPr>
                <w:rFonts w:ascii="Garamond" w:hAnsi="Garamond"/>
                <w:b/>
                <w:lang w:val="en-AU"/>
              </w:rPr>
              <w:t>Media And The ACA</w:t>
            </w:r>
            <w:r w:rsidRPr="00F21212">
              <w:rPr>
                <w:rFonts w:ascii="Garamond" w:hAnsi="Garamond"/>
                <w:lang w:val="en-AU"/>
              </w:rPr>
              <w:t xml:space="preserve"> (Julie Rovner</w:t>
            </w:r>
            <w:r>
              <w:rPr>
                <w:rFonts w:ascii="Garamond" w:hAnsi="Garamond"/>
                <w:lang w:val="en-AU"/>
              </w:rPr>
              <w:t>)</w:t>
            </w:r>
          </w:p>
          <w:p w:rsidR="00F21212" w:rsidRPr="00F21212" w:rsidRDefault="00F21212" w:rsidP="009D03E3">
            <w:pPr>
              <w:pStyle w:val="ListParagraph"/>
              <w:numPr>
                <w:ilvl w:val="0"/>
                <w:numId w:val="15"/>
              </w:numPr>
              <w:rPr>
                <w:rFonts w:ascii="Garamond" w:hAnsi="Garamond"/>
                <w:lang w:val="en-AU"/>
              </w:rPr>
            </w:pPr>
            <w:r w:rsidRPr="00F21212">
              <w:rPr>
                <w:rFonts w:ascii="Garamond" w:hAnsi="Garamond"/>
                <w:lang w:val="en-AU"/>
              </w:rPr>
              <w:t>How Have</w:t>
            </w:r>
            <w:r w:rsidRPr="00F21212">
              <w:rPr>
                <w:rFonts w:ascii="Garamond" w:hAnsi="Garamond"/>
                <w:b/>
                <w:lang w:val="en-AU"/>
              </w:rPr>
              <w:t xml:space="preserve"> ACA Insurance Expansions Affected Health Outcomes</w:t>
            </w:r>
            <w:r w:rsidRPr="00F21212">
              <w:rPr>
                <w:rFonts w:ascii="Garamond" w:hAnsi="Garamond"/>
                <w:lang w:val="en-AU"/>
              </w:rPr>
              <w:t>? Findings From The Literature (Aparna Soni, Laura R Wherry, and K I Simon</w:t>
            </w:r>
            <w:r>
              <w:rPr>
                <w:rFonts w:ascii="Garamond" w:hAnsi="Garamond"/>
                <w:lang w:val="en-AU"/>
              </w:rPr>
              <w:t>)</w:t>
            </w:r>
          </w:p>
          <w:p w:rsidR="00F21212" w:rsidRPr="00F21212" w:rsidRDefault="00F21212" w:rsidP="000845E1">
            <w:pPr>
              <w:pStyle w:val="ListParagraph"/>
              <w:numPr>
                <w:ilvl w:val="0"/>
                <w:numId w:val="15"/>
              </w:numPr>
              <w:rPr>
                <w:rFonts w:ascii="Garamond" w:hAnsi="Garamond"/>
                <w:lang w:val="en-AU"/>
              </w:rPr>
            </w:pPr>
            <w:r w:rsidRPr="00F21212">
              <w:rPr>
                <w:rFonts w:ascii="Garamond" w:hAnsi="Garamond"/>
                <w:lang w:val="en-AU"/>
              </w:rPr>
              <w:t xml:space="preserve">Did The ACA Lower Americans’ </w:t>
            </w:r>
            <w:r w:rsidRPr="00F21212">
              <w:rPr>
                <w:rFonts w:ascii="Garamond" w:hAnsi="Garamond"/>
                <w:b/>
                <w:lang w:val="en-AU"/>
              </w:rPr>
              <w:t>Financial Barriers To Health Care</w:t>
            </w:r>
            <w:r w:rsidRPr="00F21212">
              <w:rPr>
                <w:rFonts w:ascii="Garamond" w:hAnsi="Garamond"/>
                <w:lang w:val="en-AU"/>
              </w:rPr>
              <w:t>? (Sherry A Glied, Sara R Collins, and Saunders Lin</w:t>
            </w:r>
            <w:r>
              <w:rPr>
                <w:rFonts w:ascii="Garamond" w:hAnsi="Garamond"/>
                <w:lang w:val="en-AU"/>
              </w:rPr>
              <w:t>)</w:t>
            </w:r>
          </w:p>
          <w:p w:rsidR="00F21212" w:rsidRDefault="00F21212" w:rsidP="00910B37">
            <w:pPr>
              <w:pStyle w:val="ListParagraph"/>
              <w:numPr>
                <w:ilvl w:val="0"/>
                <w:numId w:val="15"/>
              </w:numPr>
              <w:rPr>
                <w:rFonts w:ascii="Garamond" w:hAnsi="Garamond"/>
                <w:lang w:val="en-AU"/>
              </w:rPr>
            </w:pPr>
            <w:r w:rsidRPr="003117C4">
              <w:rPr>
                <w:rFonts w:ascii="Garamond" w:hAnsi="Garamond"/>
                <w:b/>
                <w:lang w:val="en-AU"/>
              </w:rPr>
              <w:t>Women’s Coverage, Utilization, Affordability, And Health</w:t>
            </w:r>
            <w:r w:rsidRPr="00F21212">
              <w:rPr>
                <w:rFonts w:ascii="Garamond" w:hAnsi="Garamond"/>
                <w:lang w:val="en-AU"/>
              </w:rPr>
              <w:t xml:space="preserve"> After The ACA: A Review Of The Literature (Lois K Lee, Alyna Chien, A Stewart, L Truschel, J Hoffmann, E Portillo, L E Pace, M Clapp, and A A Galbraith</w:t>
            </w:r>
            <w:r>
              <w:rPr>
                <w:rFonts w:ascii="Garamond" w:hAnsi="Garamond"/>
                <w:lang w:val="en-AU"/>
              </w:rPr>
              <w:t>)</w:t>
            </w:r>
          </w:p>
          <w:p w:rsidR="00F21212" w:rsidRPr="00F21212" w:rsidRDefault="00F21212" w:rsidP="00625414">
            <w:pPr>
              <w:pStyle w:val="ListParagraph"/>
              <w:numPr>
                <w:ilvl w:val="0"/>
                <w:numId w:val="15"/>
              </w:numPr>
              <w:rPr>
                <w:rFonts w:ascii="Garamond" w:hAnsi="Garamond"/>
                <w:lang w:val="en-AU"/>
              </w:rPr>
            </w:pPr>
            <w:r w:rsidRPr="00F21212">
              <w:rPr>
                <w:rFonts w:ascii="Garamond" w:hAnsi="Garamond"/>
                <w:lang w:val="en-AU"/>
              </w:rPr>
              <w:t xml:space="preserve">The ACA’s Impact On </w:t>
            </w:r>
            <w:r w:rsidRPr="003117C4">
              <w:rPr>
                <w:rFonts w:ascii="Garamond" w:hAnsi="Garamond"/>
                <w:b/>
                <w:lang w:val="en-AU"/>
              </w:rPr>
              <w:t>Racial And Ethnic Disparities In Health Insurance Coverage And Access</w:t>
            </w:r>
            <w:r w:rsidRPr="001C4543">
              <w:rPr>
                <w:rFonts w:ascii="Garamond" w:hAnsi="Garamond"/>
                <w:lang w:val="en-AU"/>
              </w:rPr>
              <w:t xml:space="preserve"> To Care </w:t>
            </w:r>
            <w:r w:rsidRPr="00F21212">
              <w:rPr>
                <w:rFonts w:ascii="Garamond" w:hAnsi="Garamond"/>
                <w:lang w:val="en-AU"/>
              </w:rPr>
              <w:t>(T C Buchmueller, and H G Levy</w:t>
            </w:r>
            <w:r>
              <w:rPr>
                <w:rFonts w:ascii="Garamond" w:hAnsi="Garamond"/>
                <w:lang w:val="en-AU"/>
              </w:rPr>
              <w:t>)</w:t>
            </w:r>
          </w:p>
          <w:p w:rsidR="00F21212" w:rsidRPr="00F21212" w:rsidRDefault="00F21212" w:rsidP="007A42DC">
            <w:pPr>
              <w:pStyle w:val="ListParagraph"/>
              <w:numPr>
                <w:ilvl w:val="0"/>
                <w:numId w:val="15"/>
              </w:numPr>
              <w:rPr>
                <w:rFonts w:ascii="Garamond" w:hAnsi="Garamond"/>
                <w:lang w:val="en-AU"/>
              </w:rPr>
            </w:pPr>
            <w:r w:rsidRPr="00F21212">
              <w:rPr>
                <w:rFonts w:ascii="Garamond" w:hAnsi="Garamond"/>
                <w:lang w:val="en-AU"/>
              </w:rPr>
              <w:t xml:space="preserve">How The </w:t>
            </w:r>
            <w:r w:rsidRPr="003117C4">
              <w:rPr>
                <w:rFonts w:ascii="Garamond" w:hAnsi="Garamond"/>
                <w:b/>
                <w:lang w:val="en-AU"/>
              </w:rPr>
              <w:t>ACA Dented The Cost Curve</w:t>
            </w:r>
            <w:r w:rsidRPr="00F21212">
              <w:rPr>
                <w:rFonts w:ascii="Garamond" w:hAnsi="Garamond"/>
                <w:lang w:val="en-AU"/>
              </w:rPr>
              <w:t xml:space="preserve"> (Melinda B Buntin, and J A Graves</w:t>
            </w:r>
            <w:r>
              <w:rPr>
                <w:rFonts w:ascii="Garamond" w:hAnsi="Garamond"/>
                <w:lang w:val="en-AU"/>
              </w:rPr>
              <w:t>)</w:t>
            </w:r>
          </w:p>
          <w:p w:rsidR="00F21212" w:rsidRPr="00F21212" w:rsidRDefault="00F21212" w:rsidP="00316301">
            <w:pPr>
              <w:pStyle w:val="ListParagraph"/>
              <w:numPr>
                <w:ilvl w:val="0"/>
                <w:numId w:val="15"/>
              </w:numPr>
              <w:rPr>
                <w:rFonts w:ascii="Garamond" w:hAnsi="Garamond"/>
                <w:lang w:val="en-AU"/>
              </w:rPr>
            </w:pPr>
            <w:r w:rsidRPr="003117C4">
              <w:rPr>
                <w:rFonts w:ascii="Garamond" w:hAnsi="Garamond"/>
                <w:b/>
                <w:lang w:val="en-AU"/>
              </w:rPr>
              <w:t>Transforming Medicare’s Payment Systems</w:t>
            </w:r>
            <w:r w:rsidRPr="00F21212">
              <w:rPr>
                <w:rFonts w:ascii="Garamond" w:hAnsi="Garamond"/>
                <w:lang w:val="en-AU"/>
              </w:rPr>
              <w:t>: Progress Shaped By The ACA (Michael E Chernew, Patrick H Conway, and Austin B Frakt</w:t>
            </w:r>
            <w:r>
              <w:rPr>
                <w:rFonts w:ascii="Garamond" w:hAnsi="Garamond"/>
                <w:lang w:val="en-AU"/>
              </w:rPr>
              <w:t>)</w:t>
            </w:r>
          </w:p>
          <w:p w:rsidR="00F21212" w:rsidRPr="00F21212" w:rsidRDefault="00F21212" w:rsidP="00BD6D48">
            <w:pPr>
              <w:pStyle w:val="ListParagraph"/>
              <w:numPr>
                <w:ilvl w:val="0"/>
                <w:numId w:val="15"/>
              </w:numPr>
              <w:rPr>
                <w:rFonts w:ascii="Garamond" w:hAnsi="Garamond"/>
                <w:lang w:val="en-AU"/>
              </w:rPr>
            </w:pPr>
            <w:r w:rsidRPr="00F21212">
              <w:rPr>
                <w:rFonts w:ascii="Garamond" w:hAnsi="Garamond"/>
                <w:lang w:val="en-AU"/>
              </w:rPr>
              <w:t xml:space="preserve">The </w:t>
            </w:r>
            <w:r w:rsidRPr="003117C4">
              <w:rPr>
                <w:rFonts w:ascii="Garamond" w:hAnsi="Garamond"/>
                <w:b/>
                <w:lang w:val="en-AU"/>
              </w:rPr>
              <w:t>Changing Landscape Of Primary Care</w:t>
            </w:r>
            <w:r w:rsidRPr="00F21212">
              <w:rPr>
                <w:rFonts w:ascii="Garamond" w:hAnsi="Garamond"/>
                <w:lang w:val="en-AU"/>
              </w:rPr>
              <w:t>: Effects Of The ACA And Other Efforts Over The Past Decade (Deborah Peikes, Erin Fries Taylor, Ann S O’Malley, and Eugene C Rich</w:t>
            </w:r>
            <w:r>
              <w:rPr>
                <w:rFonts w:ascii="Garamond" w:hAnsi="Garamond"/>
                <w:lang w:val="en-AU"/>
              </w:rPr>
              <w:t>)</w:t>
            </w:r>
          </w:p>
          <w:p w:rsidR="00F21212" w:rsidRPr="00F21212" w:rsidRDefault="00F21212" w:rsidP="00C9592A">
            <w:pPr>
              <w:pStyle w:val="ListParagraph"/>
              <w:numPr>
                <w:ilvl w:val="0"/>
                <w:numId w:val="15"/>
              </w:numPr>
              <w:rPr>
                <w:rFonts w:ascii="Garamond" w:hAnsi="Garamond"/>
                <w:lang w:val="en-AU"/>
              </w:rPr>
            </w:pPr>
            <w:r w:rsidRPr="00F21212">
              <w:rPr>
                <w:rFonts w:ascii="Garamond" w:hAnsi="Garamond"/>
                <w:lang w:val="en-AU"/>
              </w:rPr>
              <w:t xml:space="preserve">The </w:t>
            </w:r>
            <w:r w:rsidRPr="003117C4">
              <w:rPr>
                <w:rFonts w:ascii="Garamond" w:hAnsi="Garamond"/>
                <w:b/>
                <w:lang w:val="en-AU"/>
              </w:rPr>
              <w:t>ACA’s Individual Mandate</w:t>
            </w:r>
            <w:r w:rsidRPr="00F21212">
              <w:rPr>
                <w:rFonts w:ascii="Garamond" w:hAnsi="Garamond"/>
                <w:lang w:val="en-AU"/>
              </w:rPr>
              <w:t xml:space="preserve"> In Retrospect: What Did It Do, And Where Do We Go From Here? (Matthew Fiedler</w:t>
            </w:r>
            <w:r>
              <w:rPr>
                <w:rFonts w:ascii="Garamond" w:hAnsi="Garamond"/>
                <w:lang w:val="en-AU"/>
              </w:rPr>
              <w:t>)</w:t>
            </w:r>
          </w:p>
          <w:p w:rsidR="00F21212" w:rsidRPr="00F21212" w:rsidRDefault="00F21212" w:rsidP="00551E09">
            <w:pPr>
              <w:pStyle w:val="ListParagraph"/>
              <w:numPr>
                <w:ilvl w:val="0"/>
                <w:numId w:val="15"/>
              </w:numPr>
              <w:rPr>
                <w:rFonts w:ascii="Garamond" w:hAnsi="Garamond"/>
                <w:lang w:val="en-AU"/>
              </w:rPr>
            </w:pPr>
            <w:r w:rsidRPr="00F21212">
              <w:rPr>
                <w:rFonts w:ascii="Garamond" w:hAnsi="Garamond"/>
                <w:lang w:val="en-AU"/>
              </w:rPr>
              <w:t xml:space="preserve">The ACA’s Effect On The </w:t>
            </w:r>
            <w:r w:rsidRPr="003117C4">
              <w:rPr>
                <w:rFonts w:ascii="Garamond" w:hAnsi="Garamond"/>
                <w:b/>
                <w:lang w:val="en-AU"/>
              </w:rPr>
              <w:t>Individual Insurance Market</w:t>
            </w:r>
            <w:r w:rsidRPr="00F21212">
              <w:rPr>
                <w:rFonts w:ascii="Garamond" w:hAnsi="Garamond"/>
                <w:lang w:val="en-AU"/>
              </w:rPr>
              <w:t xml:space="preserve"> (Sabrina Corlette, Linda J. Blumberg, and Kevin Lucia</w:t>
            </w:r>
            <w:r>
              <w:rPr>
                <w:rFonts w:ascii="Garamond" w:hAnsi="Garamond"/>
                <w:lang w:val="en-AU"/>
              </w:rPr>
              <w:t>)</w:t>
            </w:r>
          </w:p>
          <w:p w:rsidR="00F21212" w:rsidRPr="00F21212" w:rsidRDefault="00F21212" w:rsidP="003C1B37">
            <w:pPr>
              <w:pStyle w:val="ListParagraph"/>
              <w:numPr>
                <w:ilvl w:val="0"/>
                <w:numId w:val="15"/>
              </w:numPr>
              <w:rPr>
                <w:rFonts w:ascii="Garamond" w:hAnsi="Garamond"/>
                <w:lang w:val="en-AU"/>
              </w:rPr>
            </w:pPr>
            <w:r w:rsidRPr="00F21212">
              <w:rPr>
                <w:rFonts w:ascii="Garamond" w:hAnsi="Garamond"/>
                <w:lang w:val="en-AU"/>
              </w:rPr>
              <w:t xml:space="preserve">How The ACA Reframed The </w:t>
            </w:r>
            <w:r w:rsidRPr="003117C4">
              <w:rPr>
                <w:rFonts w:ascii="Garamond" w:hAnsi="Garamond"/>
                <w:b/>
                <w:lang w:val="en-AU"/>
              </w:rPr>
              <w:t>Prescription Drug Market</w:t>
            </w:r>
            <w:r w:rsidRPr="00F21212">
              <w:rPr>
                <w:rFonts w:ascii="Garamond" w:hAnsi="Garamond"/>
                <w:lang w:val="en-AU"/>
              </w:rPr>
              <w:t xml:space="preserve"> And Set The Stage For Current Reform Efforts (Rena Conti, Stacie B Dusetzina, and R Sachs</w:t>
            </w:r>
            <w:r>
              <w:rPr>
                <w:rFonts w:ascii="Garamond" w:hAnsi="Garamond"/>
                <w:lang w:val="en-AU"/>
              </w:rPr>
              <w:t>)</w:t>
            </w:r>
          </w:p>
          <w:p w:rsidR="00F21212" w:rsidRPr="00F21212" w:rsidRDefault="00F21212" w:rsidP="00C07A31">
            <w:pPr>
              <w:pStyle w:val="ListParagraph"/>
              <w:numPr>
                <w:ilvl w:val="0"/>
                <w:numId w:val="15"/>
              </w:numPr>
              <w:rPr>
                <w:rFonts w:ascii="Garamond" w:hAnsi="Garamond"/>
                <w:lang w:val="en-AU"/>
              </w:rPr>
            </w:pPr>
            <w:r w:rsidRPr="003117C4">
              <w:rPr>
                <w:rFonts w:ascii="Garamond" w:hAnsi="Garamond"/>
                <w:b/>
                <w:lang w:val="en-AU"/>
              </w:rPr>
              <w:t>Specialty Substance Use Disorder Treatment Admissions</w:t>
            </w:r>
            <w:r w:rsidRPr="00F21212">
              <w:rPr>
                <w:rFonts w:ascii="Garamond" w:hAnsi="Garamond"/>
                <w:lang w:val="en-AU"/>
              </w:rPr>
              <w:t xml:space="preserve"> Steadily Increased In The Four Years After Medicaid Expansion (Brendan Saloner, and Johanna Catherine Maclean</w:t>
            </w:r>
            <w:r>
              <w:rPr>
                <w:rFonts w:ascii="Garamond" w:hAnsi="Garamond"/>
                <w:lang w:val="en-AU"/>
              </w:rPr>
              <w:t>)</w:t>
            </w:r>
          </w:p>
          <w:p w:rsidR="00F21212" w:rsidRDefault="00F21212" w:rsidP="005448E4">
            <w:pPr>
              <w:pStyle w:val="ListParagraph"/>
              <w:numPr>
                <w:ilvl w:val="0"/>
                <w:numId w:val="15"/>
              </w:numPr>
              <w:rPr>
                <w:rFonts w:ascii="Garamond" w:hAnsi="Garamond"/>
                <w:lang w:val="en-AU"/>
              </w:rPr>
            </w:pPr>
            <w:r w:rsidRPr="00F21212">
              <w:rPr>
                <w:rFonts w:ascii="Garamond" w:hAnsi="Garamond"/>
                <w:lang w:val="en-AU"/>
              </w:rPr>
              <w:t xml:space="preserve">The Past, Present, And Possible Future Of </w:t>
            </w:r>
            <w:r w:rsidRPr="003117C4">
              <w:rPr>
                <w:rFonts w:ascii="Garamond" w:hAnsi="Garamond"/>
                <w:b/>
                <w:lang w:val="en-AU"/>
              </w:rPr>
              <w:t xml:space="preserve">Public Opinion On The ACA </w:t>
            </w:r>
            <w:r w:rsidRPr="00F21212">
              <w:rPr>
                <w:rFonts w:ascii="Garamond" w:hAnsi="Garamond"/>
                <w:lang w:val="en-AU"/>
              </w:rPr>
              <w:t>(Mollyann Brodie, Elizabeth C Hamel, Ashley Kirzin</w:t>
            </w:r>
            <w:r w:rsidR="003117C4">
              <w:rPr>
                <w:rFonts w:ascii="Garamond" w:hAnsi="Garamond"/>
                <w:lang w:val="en-AU"/>
              </w:rPr>
              <w:t>ger, and Drew E</w:t>
            </w:r>
            <w:r w:rsidRPr="00F21212">
              <w:rPr>
                <w:rFonts w:ascii="Garamond" w:hAnsi="Garamond"/>
                <w:lang w:val="en-AU"/>
              </w:rPr>
              <w:t xml:space="preserve"> Altman</w:t>
            </w:r>
            <w:r>
              <w:rPr>
                <w:rFonts w:ascii="Garamond" w:hAnsi="Garamond"/>
                <w:lang w:val="en-AU"/>
              </w:rPr>
              <w:t>)</w:t>
            </w:r>
          </w:p>
          <w:p w:rsidR="00F21212" w:rsidRPr="00F21212" w:rsidRDefault="00F21212" w:rsidP="000A371E">
            <w:pPr>
              <w:pStyle w:val="ListParagraph"/>
              <w:numPr>
                <w:ilvl w:val="0"/>
                <w:numId w:val="15"/>
              </w:numPr>
              <w:rPr>
                <w:rFonts w:ascii="Garamond" w:hAnsi="Garamond"/>
                <w:lang w:val="en-AU"/>
              </w:rPr>
            </w:pPr>
            <w:r w:rsidRPr="00F21212">
              <w:rPr>
                <w:rFonts w:ascii="Garamond" w:hAnsi="Garamond"/>
                <w:lang w:val="en-AU"/>
              </w:rPr>
              <w:t xml:space="preserve">The Ten Years’ War: </w:t>
            </w:r>
            <w:r w:rsidRPr="003117C4">
              <w:rPr>
                <w:rFonts w:ascii="Garamond" w:hAnsi="Garamond"/>
                <w:b/>
                <w:lang w:val="en-AU"/>
              </w:rPr>
              <w:t>Politics, Partisanship, And The ACA</w:t>
            </w:r>
            <w:r w:rsidRPr="00F21212">
              <w:rPr>
                <w:rFonts w:ascii="Garamond" w:hAnsi="Garamond"/>
                <w:lang w:val="en-AU"/>
              </w:rPr>
              <w:t xml:space="preserve"> (J Oberlander</w:t>
            </w:r>
            <w:r>
              <w:rPr>
                <w:rFonts w:ascii="Garamond" w:hAnsi="Garamond"/>
                <w:lang w:val="en-AU"/>
              </w:rPr>
              <w:t>)</w:t>
            </w:r>
          </w:p>
          <w:p w:rsidR="00F21212" w:rsidRPr="00F21212" w:rsidRDefault="00F21212" w:rsidP="00157B1C">
            <w:pPr>
              <w:pStyle w:val="ListParagraph"/>
              <w:numPr>
                <w:ilvl w:val="0"/>
                <w:numId w:val="15"/>
              </w:numPr>
              <w:rPr>
                <w:rFonts w:ascii="Garamond" w:hAnsi="Garamond"/>
                <w:lang w:val="en-AU"/>
              </w:rPr>
            </w:pPr>
            <w:r w:rsidRPr="003117C4">
              <w:rPr>
                <w:rFonts w:ascii="Garamond" w:hAnsi="Garamond"/>
                <w:b/>
                <w:lang w:val="en-AU"/>
              </w:rPr>
              <w:t>The ACA And The Courts</w:t>
            </w:r>
            <w:r w:rsidRPr="00F21212">
              <w:rPr>
                <w:rFonts w:ascii="Garamond" w:hAnsi="Garamond"/>
                <w:lang w:val="en-AU"/>
              </w:rPr>
              <w:t>: Litigation’s Effects On The Law’s Implementation And Beyond (Timothy Stoltzfus Jost, and Katie Keith</w:t>
            </w:r>
            <w:r>
              <w:rPr>
                <w:rFonts w:ascii="Garamond" w:hAnsi="Garamond"/>
                <w:lang w:val="en-AU"/>
              </w:rPr>
              <w:t>)</w:t>
            </w:r>
          </w:p>
          <w:p w:rsidR="00F21212" w:rsidRPr="00F21212" w:rsidRDefault="00F21212" w:rsidP="00F330DC">
            <w:pPr>
              <w:pStyle w:val="ListParagraph"/>
              <w:numPr>
                <w:ilvl w:val="0"/>
                <w:numId w:val="15"/>
              </w:numPr>
              <w:rPr>
                <w:rFonts w:ascii="Garamond" w:hAnsi="Garamond"/>
                <w:lang w:val="en-AU"/>
              </w:rPr>
            </w:pPr>
            <w:r w:rsidRPr="003117C4">
              <w:rPr>
                <w:rFonts w:ascii="Garamond" w:hAnsi="Garamond"/>
                <w:b/>
                <w:lang w:val="en-AU"/>
              </w:rPr>
              <w:t>Federalism And The ACA</w:t>
            </w:r>
            <w:r w:rsidRPr="00F21212">
              <w:rPr>
                <w:rFonts w:ascii="Garamond" w:hAnsi="Garamond"/>
                <w:lang w:val="en-AU"/>
              </w:rPr>
              <w:t>: Lessons For The 2020 Health Policy Debate (Michael S. Sparer</w:t>
            </w:r>
            <w:r>
              <w:rPr>
                <w:rFonts w:ascii="Garamond" w:hAnsi="Garamond"/>
                <w:lang w:val="en-AU"/>
              </w:rPr>
              <w:t>)</w:t>
            </w:r>
          </w:p>
          <w:p w:rsidR="00F21212" w:rsidRPr="00F21212" w:rsidRDefault="00F21212" w:rsidP="009352F5">
            <w:pPr>
              <w:pStyle w:val="ListParagraph"/>
              <w:numPr>
                <w:ilvl w:val="0"/>
                <w:numId w:val="15"/>
              </w:numPr>
              <w:rPr>
                <w:rFonts w:ascii="Garamond" w:hAnsi="Garamond"/>
                <w:lang w:val="en-AU"/>
              </w:rPr>
            </w:pPr>
            <w:r w:rsidRPr="00F21212">
              <w:rPr>
                <w:rFonts w:ascii="Garamond" w:hAnsi="Garamond"/>
                <w:lang w:val="en-AU"/>
              </w:rPr>
              <w:t xml:space="preserve">State Politics And The Uneven Fate Of </w:t>
            </w:r>
            <w:r w:rsidRPr="003117C4">
              <w:rPr>
                <w:rFonts w:ascii="Garamond" w:hAnsi="Garamond"/>
                <w:b/>
                <w:lang w:val="en-AU"/>
              </w:rPr>
              <w:t>Medicaid Expansion</w:t>
            </w:r>
            <w:r w:rsidRPr="00F21212">
              <w:rPr>
                <w:rFonts w:ascii="Garamond" w:hAnsi="Garamond"/>
                <w:lang w:val="en-AU"/>
              </w:rPr>
              <w:t xml:space="preserve"> (</w:t>
            </w:r>
            <w:r w:rsidR="003117C4">
              <w:rPr>
                <w:rFonts w:ascii="Garamond" w:hAnsi="Garamond"/>
                <w:lang w:val="en-AU"/>
              </w:rPr>
              <w:t>Philip Rocco</w:t>
            </w:r>
            <w:r w:rsidRPr="00F21212">
              <w:rPr>
                <w:rFonts w:ascii="Garamond" w:hAnsi="Garamond"/>
                <w:lang w:val="en-AU"/>
              </w:rPr>
              <w:t>, Ann C Keller , and Andrew S Kelly</w:t>
            </w:r>
            <w:r>
              <w:rPr>
                <w:rFonts w:ascii="Garamond" w:hAnsi="Garamond"/>
                <w:lang w:val="en-AU"/>
              </w:rPr>
              <w:t>)</w:t>
            </w:r>
          </w:p>
          <w:p w:rsidR="00F21212" w:rsidRPr="00F21212" w:rsidRDefault="00F21212" w:rsidP="00A06FDA">
            <w:pPr>
              <w:pStyle w:val="ListParagraph"/>
              <w:numPr>
                <w:ilvl w:val="0"/>
                <w:numId w:val="15"/>
              </w:numPr>
              <w:rPr>
                <w:rFonts w:ascii="Garamond" w:hAnsi="Garamond"/>
                <w:lang w:val="en-AU"/>
              </w:rPr>
            </w:pPr>
            <w:r w:rsidRPr="003117C4">
              <w:rPr>
                <w:rFonts w:ascii="Garamond" w:hAnsi="Garamond"/>
                <w:b/>
                <w:lang w:val="en-AU"/>
              </w:rPr>
              <w:t>Health Insurance Coverage</w:t>
            </w:r>
            <w:r w:rsidRPr="00F21212">
              <w:rPr>
                <w:rFonts w:ascii="Garamond" w:hAnsi="Garamond"/>
                <w:lang w:val="en-AU"/>
              </w:rPr>
              <w:t>: What Comes After The ACA? (</w:t>
            </w:r>
            <w:r w:rsidR="003117C4">
              <w:rPr>
                <w:rFonts w:ascii="Garamond" w:hAnsi="Garamond"/>
                <w:lang w:val="en-AU"/>
              </w:rPr>
              <w:t>B D</w:t>
            </w:r>
            <w:r w:rsidRPr="00F21212">
              <w:rPr>
                <w:rFonts w:ascii="Garamond" w:hAnsi="Garamond"/>
                <w:lang w:val="en-AU"/>
              </w:rPr>
              <w:t xml:space="preserve"> Sommers</w:t>
            </w:r>
            <w:r>
              <w:rPr>
                <w:rFonts w:ascii="Garamond" w:hAnsi="Garamond"/>
                <w:lang w:val="en-AU"/>
              </w:rPr>
              <w:t>)</w:t>
            </w:r>
          </w:p>
          <w:p w:rsidR="00F21212" w:rsidRPr="00F21212" w:rsidRDefault="00F21212" w:rsidP="00A307A4">
            <w:pPr>
              <w:pStyle w:val="ListParagraph"/>
              <w:numPr>
                <w:ilvl w:val="0"/>
                <w:numId w:val="15"/>
              </w:numPr>
              <w:rPr>
                <w:rFonts w:ascii="Garamond" w:hAnsi="Garamond"/>
                <w:lang w:val="en-AU"/>
              </w:rPr>
            </w:pPr>
            <w:r w:rsidRPr="00F21212">
              <w:rPr>
                <w:rFonts w:ascii="Garamond" w:hAnsi="Garamond"/>
                <w:lang w:val="en-AU"/>
              </w:rPr>
              <w:t xml:space="preserve">Building On The Gains Of The ACA: Federal Proposals To </w:t>
            </w:r>
            <w:r w:rsidRPr="003117C4">
              <w:rPr>
                <w:rFonts w:ascii="Garamond" w:hAnsi="Garamond"/>
                <w:b/>
                <w:lang w:val="en-AU"/>
              </w:rPr>
              <w:t>Improve Coverage And Affordability</w:t>
            </w:r>
            <w:r w:rsidRPr="00F21212">
              <w:rPr>
                <w:rFonts w:ascii="Garamond" w:hAnsi="Garamond"/>
                <w:lang w:val="en-AU"/>
              </w:rPr>
              <w:t xml:space="preserve"> (C Brooks-LaSure, E Fowler, and G Mauser</w:t>
            </w:r>
            <w:r>
              <w:rPr>
                <w:rFonts w:ascii="Garamond" w:hAnsi="Garamond"/>
                <w:lang w:val="en-AU"/>
              </w:rPr>
              <w:t>)</w:t>
            </w:r>
          </w:p>
          <w:p w:rsidR="00F21212" w:rsidRPr="00F21212" w:rsidRDefault="00F21212" w:rsidP="00823166">
            <w:pPr>
              <w:pStyle w:val="ListParagraph"/>
              <w:numPr>
                <w:ilvl w:val="0"/>
                <w:numId w:val="15"/>
              </w:numPr>
              <w:rPr>
                <w:rFonts w:ascii="Garamond" w:hAnsi="Garamond"/>
                <w:lang w:val="en-AU"/>
              </w:rPr>
            </w:pPr>
            <w:r w:rsidRPr="00F21212">
              <w:rPr>
                <w:rFonts w:ascii="Garamond" w:hAnsi="Garamond"/>
                <w:lang w:val="en-AU"/>
              </w:rPr>
              <w:t xml:space="preserve">Closing The </w:t>
            </w:r>
            <w:r w:rsidRPr="003117C4">
              <w:rPr>
                <w:rFonts w:ascii="Garamond" w:hAnsi="Garamond"/>
                <w:b/>
                <w:lang w:val="en-AU"/>
              </w:rPr>
              <w:t>Medicaid Coverage Gap</w:t>
            </w:r>
            <w:r w:rsidRPr="00F21212">
              <w:rPr>
                <w:rFonts w:ascii="Garamond" w:hAnsi="Garamond"/>
                <w:lang w:val="en-AU"/>
              </w:rPr>
              <w:t>: Options For Reform (Sara Rosenbaum, and Gail Wilensky</w:t>
            </w:r>
            <w:r>
              <w:rPr>
                <w:rFonts w:ascii="Garamond" w:hAnsi="Garamond"/>
                <w:lang w:val="en-AU"/>
              </w:rPr>
              <w:t>)</w:t>
            </w:r>
          </w:p>
          <w:p w:rsidR="00F21212" w:rsidRPr="00F21212" w:rsidRDefault="00F21212" w:rsidP="007174B6">
            <w:pPr>
              <w:pStyle w:val="ListParagraph"/>
              <w:numPr>
                <w:ilvl w:val="0"/>
                <w:numId w:val="15"/>
              </w:numPr>
              <w:rPr>
                <w:rFonts w:ascii="Garamond" w:hAnsi="Garamond"/>
                <w:lang w:val="en-AU"/>
              </w:rPr>
            </w:pPr>
            <w:r w:rsidRPr="00F21212">
              <w:rPr>
                <w:rFonts w:ascii="Garamond" w:hAnsi="Garamond"/>
                <w:lang w:val="en-AU"/>
              </w:rPr>
              <w:t xml:space="preserve">A Pathway To </w:t>
            </w:r>
            <w:r w:rsidRPr="003117C4">
              <w:rPr>
                <w:rFonts w:ascii="Garamond" w:hAnsi="Garamond"/>
                <w:b/>
                <w:lang w:val="en-AU"/>
              </w:rPr>
              <w:t>Consumer-Driven Universal Coverage</w:t>
            </w:r>
            <w:r w:rsidRPr="00F21212">
              <w:rPr>
                <w:rFonts w:ascii="Garamond" w:hAnsi="Garamond"/>
                <w:lang w:val="en-AU"/>
              </w:rPr>
              <w:t xml:space="preserve"> (Avik Roy</w:t>
            </w:r>
            <w:r>
              <w:rPr>
                <w:rFonts w:ascii="Garamond" w:hAnsi="Garamond"/>
                <w:lang w:val="en-AU"/>
              </w:rPr>
              <w:t>)</w:t>
            </w:r>
          </w:p>
          <w:p w:rsidR="00F21212" w:rsidRPr="00F21212" w:rsidRDefault="00F21212" w:rsidP="003A6CFF">
            <w:pPr>
              <w:pStyle w:val="ListParagraph"/>
              <w:numPr>
                <w:ilvl w:val="0"/>
                <w:numId w:val="15"/>
              </w:numPr>
              <w:rPr>
                <w:rFonts w:ascii="Garamond" w:hAnsi="Garamond"/>
                <w:lang w:val="en-AU"/>
              </w:rPr>
            </w:pPr>
            <w:r w:rsidRPr="003117C4">
              <w:rPr>
                <w:rFonts w:ascii="Garamond" w:hAnsi="Garamond"/>
                <w:b/>
                <w:lang w:val="en-AU"/>
              </w:rPr>
              <w:t>The ACA Turns 10</w:t>
            </w:r>
            <w:r w:rsidRPr="00F21212">
              <w:rPr>
                <w:rFonts w:ascii="Garamond" w:hAnsi="Garamond"/>
                <w:lang w:val="en-AU"/>
              </w:rPr>
              <w:t>: Reflections Of Four Industry Leaders (Alan R. Weil</w:t>
            </w:r>
            <w:r>
              <w:rPr>
                <w:rFonts w:ascii="Garamond" w:hAnsi="Garamond"/>
                <w:lang w:val="en-AU"/>
              </w:rPr>
              <w:t>)</w:t>
            </w:r>
          </w:p>
          <w:p w:rsidR="00F21212" w:rsidRPr="007C3778" w:rsidRDefault="00F21212" w:rsidP="00F21212">
            <w:pPr>
              <w:pStyle w:val="ListParagraph"/>
              <w:numPr>
                <w:ilvl w:val="0"/>
                <w:numId w:val="15"/>
              </w:numPr>
              <w:rPr>
                <w:rFonts w:ascii="Garamond" w:hAnsi="Garamond"/>
                <w:lang w:val="en-AU"/>
              </w:rPr>
            </w:pPr>
            <w:r w:rsidRPr="00F21212">
              <w:rPr>
                <w:rFonts w:ascii="Garamond" w:hAnsi="Garamond"/>
                <w:lang w:val="en-AU"/>
              </w:rPr>
              <w:t xml:space="preserve">The </w:t>
            </w:r>
            <w:r w:rsidRPr="003117C4">
              <w:rPr>
                <w:rFonts w:ascii="Garamond" w:hAnsi="Garamond"/>
                <w:b/>
                <w:lang w:val="en-AU"/>
              </w:rPr>
              <w:t>Power Of Access To Affordable Care</w:t>
            </w:r>
            <w:r>
              <w:rPr>
                <w:rFonts w:ascii="Garamond" w:hAnsi="Garamond"/>
                <w:lang w:val="en-AU"/>
              </w:rPr>
              <w:t xml:space="preserve"> (</w:t>
            </w:r>
            <w:r w:rsidRPr="00F21212">
              <w:rPr>
                <w:rFonts w:ascii="Garamond" w:hAnsi="Garamond"/>
                <w:lang w:val="en-AU"/>
              </w:rPr>
              <w:t>Rachel J. Stern</w:t>
            </w:r>
            <w:r>
              <w:rPr>
                <w:rFonts w:ascii="Garamond" w:hAnsi="Garamond"/>
                <w:lang w:val="en-AU"/>
              </w:rPr>
              <w:t>)</w:t>
            </w:r>
          </w:p>
        </w:tc>
      </w:tr>
    </w:tbl>
    <w:p w:rsidR="00B402EF" w:rsidRPr="00467B47" w:rsidRDefault="00B402EF" w:rsidP="00B402EF">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402EF" w:rsidRPr="00467B47" w:rsidTr="00B34D6C">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402EF" w:rsidRPr="00467B47" w:rsidRDefault="00B402EF" w:rsidP="00B34D6C">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402EF" w:rsidRPr="00467B47" w:rsidRDefault="003C1A47" w:rsidP="00B34D6C">
            <w:pPr>
              <w:keepNext/>
              <w:rPr>
                <w:rFonts w:ascii="Garamond" w:hAnsi="Garamond"/>
                <w:lang w:val="en-AU"/>
              </w:rPr>
            </w:pPr>
            <w:hyperlink r:id="rId21" w:history="1">
              <w:r w:rsidR="00B402EF" w:rsidRPr="00467B47">
                <w:rPr>
                  <w:rStyle w:val="Hyperlink"/>
                  <w:rFonts w:ascii="Garamond" w:hAnsi="Garamond"/>
                  <w:lang w:val="en-AU"/>
                </w:rPr>
                <w:t>https://qualitysafety.bmj.com/content/early/recent</w:t>
              </w:r>
            </w:hyperlink>
          </w:p>
        </w:tc>
      </w:tr>
      <w:tr w:rsidR="00B402EF" w:rsidRPr="00467B47"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467B47" w:rsidRDefault="00B402EF" w:rsidP="00B34D6C">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402EF" w:rsidRPr="00D84575" w:rsidRDefault="00B402EF" w:rsidP="00B34D6C">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9B00B9" w:rsidRPr="009B00B9" w:rsidRDefault="009B00B9" w:rsidP="00895107">
            <w:pPr>
              <w:pStyle w:val="ListParagraph"/>
              <w:numPr>
                <w:ilvl w:val="0"/>
                <w:numId w:val="14"/>
              </w:numPr>
              <w:jc w:val="both"/>
              <w:rPr>
                <w:rFonts w:ascii="Garamond" w:hAnsi="Garamond"/>
                <w:lang w:val="en-AU"/>
              </w:rPr>
            </w:pPr>
            <w:r w:rsidRPr="009B00B9">
              <w:rPr>
                <w:rFonts w:ascii="Garamond" w:hAnsi="Garamond"/>
                <w:lang w:val="en-AU"/>
              </w:rPr>
              <w:t xml:space="preserve">Editorial: Beyond CLABSI and CAUTI: </w:t>
            </w:r>
            <w:r w:rsidRPr="009B00B9">
              <w:rPr>
                <w:rFonts w:ascii="Garamond" w:hAnsi="Garamond"/>
                <w:b/>
                <w:lang w:val="en-AU"/>
              </w:rPr>
              <w:t>broadening our vision of patient safety</w:t>
            </w:r>
            <w:r w:rsidRPr="009B00B9">
              <w:rPr>
                <w:rFonts w:ascii="Garamond" w:hAnsi="Garamond"/>
                <w:lang w:val="en-AU"/>
              </w:rPr>
              <w:t xml:space="preserve"> (Kaveh G Shojania</w:t>
            </w:r>
            <w:r>
              <w:rPr>
                <w:rFonts w:ascii="Garamond" w:hAnsi="Garamond"/>
                <w:lang w:val="en-AU"/>
              </w:rPr>
              <w:t>)</w:t>
            </w:r>
          </w:p>
          <w:p w:rsidR="00D14242" w:rsidRPr="00D14242" w:rsidRDefault="00D14242" w:rsidP="00681F25">
            <w:pPr>
              <w:pStyle w:val="ListParagraph"/>
              <w:numPr>
                <w:ilvl w:val="0"/>
                <w:numId w:val="14"/>
              </w:numPr>
              <w:jc w:val="both"/>
              <w:rPr>
                <w:rFonts w:ascii="Garamond" w:hAnsi="Garamond"/>
                <w:lang w:val="en-AU"/>
              </w:rPr>
            </w:pPr>
            <w:r w:rsidRPr="00D14242">
              <w:rPr>
                <w:rFonts w:ascii="Garamond" w:hAnsi="Garamond"/>
                <w:lang w:val="en-AU"/>
              </w:rPr>
              <w:t xml:space="preserve">Editorial: Whiteboards: important part of the toolbox for improving </w:t>
            </w:r>
            <w:r w:rsidRPr="00D14242">
              <w:rPr>
                <w:rFonts w:ascii="Garamond" w:hAnsi="Garamond"/>
                <w:b/>
                <w:lang w:val="en-AU"/>
              </w:rPr>
              <w:t>patient understanding during hospitalisation</w:t>
            </w:r>
            <w:r w:rsidRPr="00D14242">
              <w:rPr>
                <w:rFonts w:ascii="Garamond" w:hAnsi="Garamond"/>
                <w:lang w:val="en-AU"/>
              </w:rPr>
              <w:t xml:space="preserve"> (Sara Dunbar, Kathlyn E Fletcher</w:t>
            </w:r>
            <w:r>
              <w:rPr>
                <w:rFonts w:ascii="Garamond" w:hAnsi="Garamond"/>
                <w:lang w:val="en-AU"/>
              </w:rPr>
              <w:t>)</w:t>
            </w:r>
          </w:p>
          <w:p w:rsidR="00D14242" w:rsidRPr="00D14242" w:rsidRDefault="00D14242" w:rsidP="0002110A">
            <w:pPr>
              <w:pStyle w:val="ListParagraph"/>
              <w:numPr>
                <w:ilvl w:val="0"/>
                <w:numId w:val="14"/>
              </w:numPr>
              <w:jc w:val="both"/>
              <w:rPr>
                <w:rFonts w:ascii="Garamond" w:hAnsi="Garamond"/>
                <w:lang w:val="en-AU"/>
              </w:rPr>
            </w:pPr>
            <w:r w:rsidRPr="00D14242">
              <w:rPr>
                <w:rFonts w:ascii="Garamond" w:hAnsi="Garamond"/>
                <w:lang w:val="en-AU"/>
              </w:rPr>
              <w:t xml:space="preserve">Cluster randomised controlled trial evaluating the clinical and humanistic impact of a </w:t>
            </w:r>
            <w:r w:rsidRPr="00D14242">
              <w:rPr>
                <w:rFonts w:ascii="Garamond" w:hAnsi="Garamond"/>
                <w:b/>
                <w:lang w:val="en-AU"/>
              </w:rPr>
              <w:t>pharmacist-led minor ailment service</w:t>
            </w:r>
            <w:r w:rsidRPr="00D14242">
              <w:rPr>
                <w:rFonts w:ascii="Garamond" w:hAnsi="Garamond"/>
                <w:lang w:val="en-AU"/>
              </w:rPr>
              <w:t xml:space="preserve"> (Sarah Dineen-Griffin, Shalom I Benrimoj, Kris Rogers, Kylie A Williams, Victoria Garcia-Cardenas</w:t>
            </w:r>
            <w:r>
              <w:rPr>
                <w:rFonts w:ascii="Garamond" w:hAnsi="Garamond"/>
                <w:lang w:val="en-AU"/>
              </w:rPr>
              <w:t>)</w:t>
            </w:r>
          </w:p>
          <w:p w:rsidR="00410D63" w:rsidRDefault="009B00B9" w:rsidP="009B00B9">
            <w:pPr>
              <w:pStyle w:val="ListParagraph"/>
              <w:numPr>
                <w:ilvl w:val="0"/>
                <w:numId w:val="14"/>
              </w:numPr>
              <w:jc w:val="both"/>
              <w:rPr>
                <w:rFonts w:ascii="Garamond" w:hAnsi="Garamond"/>
                <w:lang w:val="en-AU"/>
              </w:rPr>
            </w:pPr>
            <w:r w:rsidRPr="009B00B9">
              <w:rPr>
                <w:rFonts w:ascii="Garamond" w:hAnsi="Garamond"/>
                <w:lang w:val="en-AU"/>
              </w:rPr>
              <w:t xml:space="preserve">Reduction of </w:t>
            </w:r>
            <w:r w:rsidRPr="009B00B9">
              <w:rPr>
                <w:rFonts w:ascii="Garamond" w:hAnsi="Garamond"/>
                <w:b/>
                <w:lang w:val="en-AU"/>
              </w:rPr>
              <w:t>paediatric head CT</w:t>
            </w:r>
            <w:r w:rsidRPr="009B00B9">
              <w:rPr>
                <w:rFonts w:ascii="Garamond" w:hAnsi="Garamond"/>
                <w:lang w:val="en-AU"/>
              </w:rPr>
              <w:t xml:space="preserve"> utilisation at a rural general hospital emergency department</w:t>
            </w:r>
            <w:r>
              <w:rPr>
                <w:rFonts w:ascii="Garamond" w:hAnsi="Garamond"/>
                <w:lang w:val="en-AU"/>
              </w:rPr>
              <w:t xml:space="preserve"> (</w:t>
            </w:r>
            <w:r w:rsidRPr="009B00B9">
              <w:rPr>
                <w:rFonts w:ascii="Garamond" w:hAnsi="Garamond"/>
                <w:lang w:val="en-AU"/>
              </w:rPr>
              <w:t>Jeffrey Paul Louie, Joseph Alfano, Thuy Nguyen-Tran, Hai Nguyen-Tran, Ryan Shanley, Tara Holm, Ronald A Furnival</w:t>
            </w:r>
            <w:r>
              <w:rPr>
                <w:rFonts w:ascii="Garamond" w:hAnsi="Garamond"/>
                <w:lang w:val="en-AU"/>
              </w:rPr>
              <w:t>)</w:t>
            </w:r>
          </w:p>
          <w:p w:rsidR="002A4A0F" w:rsidRPr="002A4A0F" w:rsidRDefault="002A4A0F" w:rsidP="00981A91">
            <w:pPr>
              <w:pStyle w:val="ListParagraph"/>
              <w:numPr>
                <w:ilvl w:val="0"/>
                <w:numId w:val="14"/>
              </w:numPr>
              <w:jc w:val="both"/>
              <w:rPr>
                <w:rFonts w:ascii="Garamond" w:hAnsi="Garamond"/>
                <w:lang w:val="en-AU"/>
              </w:rPr>
            </w:pPr>
            <w:r w:rsidRPr="002A4A0F">
              <w:rPr>
                <w:rFonts w:ascii="Garamond" w:hAnsi="Garamond"/>
                <w:lang w:val="en-AU"/>
              </w:rPr>
              <w:t xml:space="preserve">Going the extra mile — </w:t>
            </w:r>
            <w:r w:rsidRPr="002A4A0F">
              <w:rPr>
                <w:rFonts w:ascii="Garamond" w:hAnsi="Garamond"/>
                <w:b/>
                <w:lang w:val="en-AU"/>
              </w:rPr>
              <w:t>cross-border patient handover</w:t>
            </w:r>
            <w:r w:rsidRPr="002A4A0F">
              <w:rPr>
                <w:rFonts w:ascii="Garamond" w:hAnsi="Garamond"/>
                <w:lang w:val="en-AU"/>
              </w:rPr>
              <w:t xml:space="preserve"> in a European border region: qualitative study of healthcare professionals' perspectives (Juliëtte A Beuken, Daniëlle M L Verstegen, Diana H J M Dolmans, Laura Van Kersbergen, Xavier Losfeld, Saša Sopka, Lina Vogt, Mara E J Bouwmans</w:t>
            </w:r>
            <w:r>
              <w:rPr>
                <w:rFonts w:ascii="Garamond" w:hAnsi="Garamond"/>
                <w:lang w:val="en-AU"/>
              </w:rPr>
              <w:t>)</w:t>
            </w:r>
          </w:p>
          <w:p w:rsidR="002A4A0F" w:rsidRPr="00D83413" w:rsidRDefault="002A4A0F" w:rsidP="002A4A0F">
            <w:pPr>
              <w:pStyle w:val="ListParagraph"/>
              <w:numPr>
                <w:ilvl w:val="0"/>
                <w:numId w:val="14"/>
              </w:numPr>
              <w:jc w:val="both"/>
              <w:rPr>
                <w:rFonts w:ascii="Garamond" w:hAnsi="Garamond"/>
                <w:lang w:val="en-AU"/>
              </w:rPr>
            </w:pPr>
            <w:r w:rsidRPr="002A4A0F">
              <w:rPr>
                <w:rFonts w:ascii="Garamond" w:hAnsi="Garamond"/>
                <w:lang w:val="en-AU"/>
              </w:rPr>
              <w:t xml:space="preserve">Does team reflexivity impact </w:t>
            </w:r>
            <w:r w:rsidRPr="002A4A0F">
              <w:rPr>
                <w:rFonts w:ascii="Garamond" w:hAnsi="Garamond"/>
                <w:b/>
                <w:lang w:val="en-AU"/>
              </w:rPr>
              <w:t>teamwork and communication in interprofessional hospital-based healthcare teams</w:t>
            </w:r>
            <w:r w:rsidRPr="002A4A0F">
              <w:rPr>
                <w:rFonts w:ascii="Garamond" w:hAnsi="Garamond"/>
                <w:lang w:val="en-AU"/>
              </w:rPr>
              <w:t xml:space="preserve">? A systematic review and narrative synthesis </w:t>
            </w:r>
            <w:r>
              <w:rPr>
                <w:rFonts w:ascii="Garamond" w:hAnsi="Garamond"/>
                <w:lang w:val="en-AU"/>
              </w:rPr>
              <w:t>(</w:t>
            </w:r>
            <w:r w:rsidRPr="002A4A0F">
              <w:rPr>
                <w:rFonts w:ascii="Garamond" w:hAnsi="Garamond"/>
                <w:lang w:val="en-AU"/>
              </w:rPr>
              <w:t>Siobhan Kathleen McHugh, Rebecca Lawton, Jane Kathryn O'Hara, Laura Sheard</w:t>
            </w:r>
            <w:r>
              <w:rPr>
                <w:rFonts w:ascii="Garamond" w:hAnsi="Garamond"/>
                <w:lang w:val="en-AU"/>
              </w:rPr>
              <w:t>)</w:t>
            </w:r>
          </w:p>
        </w:tc>
      </w:tr>
    </w:tbl>
    <w:p w:rsidR="00B402EF" w:rsidRDefault="00B402EF" w:rsidP="00B402EF">
      <w:pPr>
        <w:keepNext/>
        <w:rPr>
          <w:rFonts w:ascii="Garamond" w:hAnsi="Garamond"/>
          <w:i/>
          <w:lang w:val="en-AU"/>
        </w:rPr>
      </w:pPr>
    </w:p>
    <w:p w:rsidR="00DA41AB" w:rsidRPr="00467B47" w:rsidRDefault="00DA41AB" w:rsidP="00DA41AB">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3C1A47" w:rsidP="00013842">
            <w:pPr>
              <w:keepNext/>
              <w:rPr>
                <w:rFonts w:ascii="Garamond" w:hAnsi="Garamond"/>
                <w:lang w:val="en-AU"/>
              </w:rPr>
            </w:pPr>
            <w:hyperlink r:id="rId22" w:history="1">
              <w:r w:rsidR="00DA41AB" w:rsidRPr="00D31E10">
                <w:rPr>
                  <w:rStyle w:val="Hyperlink"/>
                  <w:rFonts w:ascii="Garamond" w:hAnsi="Garamond"/>
                  <w:lang w:val="en-AU"/>
                </w:rPr>
                <w:t>https://academic.oup.com/intqhc/advance-articles</w:t>
              </w:r>
            </w:hyperlink>
          </w:p>
        </w:tc>
      </w:tr>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lang w:val="en-AU"/>
              </w:rPr>
              <w:lastRenderedPageBreak/>
              <w:t>Notes</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DA41AB" w:rsidRPr="00721A1B" w:rsidRDefault="009B00B9" w:rsidP="009B00B9">
            <w:pPr>
              <w:pStyle w:val="ListParagraph"/>
              <w:numPr>
                <w:ilvl w:val="0"/>
                <w:numId w:val="14"/>
              </w:numPr>
              <w:jc w:val="both"/>
              <w:rPr>
                <w:rFonts w:ascii="Garamond" w:hAnsi="Garamond"/>
                <w:lang w:val="en-AU"/>
              </w:rPr>
            </w:pPr>
            <w:r w:rsidRPr="009B00B9">
              <w:rPr>
                <w:rFonts w:ascii="Garamond" w:hAnsi="Garamond"/>
                <w:lang w:val="en-AU"/>
              </w:rPr>
              <w:t xml:space="preserve">Beyond ‘find and fix’: </w:t>
            </w:r>
            <w:r w:rsidRPr="009B00B9">
              <w:rPr>
                <w:rFonts w:ascii="Garamond" w:hAnsi="Garamond"/>
                <w:b/>
                <w:lang w:val="en-AU"/>
              </w:rPr>
              <w:t>improving quality and safety through resilient healthcare</w:t>
            </w:r>
            <w:r w:rsidRPr="009B00B9">
              <w:rPr>
                <w:rFonts w:ascii="Garamond" w:hAnsi="Garamond"/>
                <w:lang w:val="en-AU"/>
              </w:rPr>
              <w:t xml:space="preserve"> systems (J E Anderson, A J Ross, J Back, M Duncan, P Snell, A Hopper, P Jaye</w:t>
            </w:r>
            <w:r>
              <w:rPr>
                <w:rFonts w:ascii="Garamond" w:hAnsi="Garamond"/>
                <w:lang w:val="en-AU"/>
              </w:rPr>
              <w:t>)</w:t>
            </w:r>
          </w:p>
        </w:tc>
      </w:tr>
    </w:tbl>
    <w:p w:rsidR="00B402EF" w:rsidRDefault="00B402EF" w:rsidP="003F6EE2">
      <w:pPr>
        <w:rPr>
          <w:rFonts w:ascii="Garamond" w:hAnsi="Garamond"/>
          <w:b/>
          <w:lang w:val="en-AU"/>
        </w:rPr>
      </w:pPr>
    </w:p>
    <w:p w:rsidR="001C4543" w:rsidRDefault="001C4543" w:rsidP="003F6EE2">
      <w:pPr>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DA41AB" w:rsidRDefault="00DA41AB" w:rsidP="007B2166">
      <w:pPr>
        <w:keepNext/>
        <w:keepLines/>
        <w:rPr>
          <w:rFonts w:ascii="Garamond" w:hAnsi="Garamond"/>
          <w:i/>
          <w:lang w:val="en-AU"/>
        </w:rPr>
      </w:pPr>
    </w:p>
    <w:p w:rsidR="001C4543" w:rsidRDefault="001C4543" w:rsidP="001C4543">
      <w:pPr>
        <w:keepNext/>
        <w:keepLines/>
        <w:rPr>
          <w:rFonts w:ascii="Garamond" w:hAnsi="Garamond"/>
          <w:i/>
          <w:lang w:val="en-AU"/>
        </w:rPr>
      </w:pPr>
      <w:r w:rsidRPr="004F4D7F">
        <w:rPr>
          <w:rFonts w:ascii="Garamond" w:hAnsi="Garamond"/>
          <w:i/>
          <w:lang w:val="en-AU"/>
        </w:rPr>
        <w:t>ISMP Guidelines for Optimizing Safe Implementation and Use of Smart Infusion Pumps</w:t>
      </w:r>
    </w:p>
    <w:p w:rsidR="001C4543" w:rsidRDefault="003C1A47" w:rsidP="001C4543">
      <w:pPr>
        <w:keepNext/>
        <w:keepLines/>
        <w:rPr>
          <w:rFonts w:ascii="Garamond" w:hAnsi="Garamond"/>
          <w:lang w:val="en-AU"/>
        </w:rPr>
      </w:pPr>
      <w:hyperlink r:id="rId23" w:history="1">
        <w:r w:rsidR="001C4543" w:rsidRPr="009F0EF4">
          <w:rPr>
            <w:rStyle w:val="Hyperlink"/>
            <w:rFonts w:ascii="Garamond" w:hAnsi="Garamond"/>
            <w:lang w:val="en-AU"/>
          </w:rPr>
          <w:t>https://www.ismp.org/guidelines/safe-implementation-and-use-smart-pumps</w:t>
        </w:r>
      </w:hyperlink>
    </w:p>
    <w:p w:rsidR="001C4543" w:rsidRPr="00256CD7" w:rsidRDefault="001C4543" w:rsidP="001C4543">
      <w:pPr>
        <w:keepNext/>
        <w:keepLines/>
        <w:rPr>
          <w:rFonts w:ascii="Garamond" w:hAnsi="Garamond"/>
          <w:lang w:val="en-AU"/>
        </w:rPr>
      </w:pPr>
      <w:r w:rsidRPr="00256CD7">
        <w:rPr>
          <w:rFonts w:ascii="Garamond" w:hAnsi="Garamond"/>
          <w:lang w:val="en-AU"/>
        </w:rPr>
        <w:t>Institute for Safe Medication Practices</w:t>
      </w:r>
      <w:r>
        <w:rPr>
          <w:rFonts w:ascii="Garamond" w:hAnsi="Garamond"/>
          <w:lang w:val="en-AU"/>
        </w:rPr>
        <w:t xml:space="preserve"> (ISMP) has released this expanded guidance on smart infusion pumps. </w:t>
      </w:r>
      <w:r w:rsidRPr="00256CD7">
        <w:rPr>
          <w:rFonts w:ascii="Garamond" w:hAnsi="Garamond"/>
          <w:lang w:val="en-AU"/>
        </w:rPr>
        <w:t>The safe practice statements are designed to support optimization of smart infusion pump technology and to assist organizations in their transition to interoperability. Specific error-reduction strategies are presented in the guidelines to address:</w:t>
      </w:r>
    </w:p>
    <w:p w:rsidR="001C4543" w:rsidRPr="00256CD7" w:rsidRDefault="001C4543" w:rsidP="001C4543">
      <w:pPr>
        <w:pStyle w:val="ListParagraph"/>
        <w:keepNext/>
        <w:keepLines/>
        <w:numPr>
          <w:ilvl w:val="0"/>
          <w:numId w:val="14"/>
        </w:numPr>
        <w:rPr>
          <w:rFonts w:ascii="Garamond" w:hAnsi="Garamond"/>
          <w:lang w:val="en-AU"/>
        </w:rPr>
      </w:pPr>
      <w:r w:rsidRPr="00256CD7">
        <w:rPr>
          <w:rFonts w:ascii="Garamond" w:hAnsi="Garamond"/>
          <w:lang w:val="en-AU"/>
        </w:rPr>
        <w:t>Infrastructure</w:t>
      </w:r>
    </w:p>
    <w:p w:rsidR="001C4543" w:rsidRPr="00256CD7" w:rsidRDefault="001C4543" w:rsidP="001C4543">
      <w:pPr>
        <w:pStyle w:val="ListParagraph"/>
        <w:keepNext/>
        <w:keepLines/>
        <w:numPr>
          <w:ilvl w:val="0"/>
          <w:numId w:val="14"/>
        </w:numPr>
        <w:rPr>
          <w:rFonts w:ascii="Garamond" w:hAnsi="Garamond"/>
          <w:lang w:val="en-AU"/>
        </w:rPr>
      </w:pPr>
      <w:r w:rsidRPr="00256CD7">
        <w:rPr>
          <w:rFonts w:ascii="Garamond" w:hAnsi="Garamond"/>
          <w:lang w:val="en-AU"/>
        </w:rPr>
        <w:t>Drug Libraries</w:t>
      </w:r>
    </w:p>
    <w:p w:rsidR="001C4543" w:rsidRPr="00256CD7" w:rsidRDefault="001C4543" w:rsidP="001C4543">
      <w:pPr>
        <w:pStyle w:val="ListParagraph"/>
        <w:keepNext/>
        <w:keepLines/>
        <w:numPr>
          <w:ilvl w:val="0"/>
          <w:numId w:val="14"/>
        </w:numPr>
        <w:rPr>
          <w:rFonts w:ascii="Garamond" w:hAnsi="Garamond"/>
          <w:lang w:val="en-AU"/>
        </w:rPr>
      </w:pPr>
      <w:r w:rsidRPr="00256CD7">
        <w:rPr>
          <w:rFonts w:ascii="Garamond" w:hAnsi="Garamond"/>
          <w:lang w:val="en-AU"/>
        </w:rPr>
        <w:t>Continuous Quality Improvement (CQI) Data</w:t>
      </w:r>
    </w:p>
    <w:p w:rsidR="001C4543" w:rsidRPr="00256CD7" w:rsidRDefault="001C4543" w:rsidP="001C4543">
      <w:pPr>
        <w:pStyle w:val="ListParagraph"/>
        <w:keepNext/>
        <w:keepLines/>
        <w:numPr>
          <w:ilvl w:val="0"/>
          <w:numId w:val="14"/>
        </w:numPr>
        <w:rPr>
          <w:rFonts w:ascii="Garamond" w:hAnsi="Garamond"/>
          <w:lang w:val="en-AU"/>
        </w:rPr>
      </w:pPr>
      <w:r w:rsidRPr="00256CD7">
        <w:rPr>
          <w:rFonts w:ascii="Garamond" w:hAnsi="Garamond"/>
          <w:lang w:val="en-AU"/>
        </w:rPr>
        <w:t>Clinical Workflow</w:t>
      </w:r>
    </w:p>
    <w:p w:rsidR="001C4543" w:rsidRPr="00256CD7" w:rsidRDefault="001C4543" w:rsidP="001C4543">
      <w:pPr>
        <w:pStyle w:val="ListParagraph"/>
        <w:keepNext/>
        <w:keepLines/>
        <w:numPr>
          <w:ilvl w:val="0"/>
          <w:numId w:val="14"/>
        </w:numPr>
        <w:rPr>
          <w:rFonts w:ascii="Garamond" w:hAnsi="Garamond"/>
          <w:lang w:val="en-AU"/>
        </w:rPr>
      </w:pPr>
      <w:r w:rsidRPr="00256CD7">
        <w:rPr>
          <w:rFonts w:ascii="Garamond" w:hAnsi="Garamond"/>
          <w:lang w:val="en-AU"/>
        </w:rPr>
        <w:t>Interoperability with the Electronic Health Record (EHR)</w:t>
      </w:r>
      <w:r>
        <w:rPr>
          <w:rFonts w:ascii="Garamond" w:hAnsi="Garamond"/>
          <w:lang w:val="en-AU"/>
        </w:rPr>
        <w:t>.</w:t>
      </w:r>
    </w:p>
    <w:p w:rsidR="001C4543" w:rsidRPr="004F4D7F" w:rsidRDefault="001C4543" w:rsidP="001C4543">
      <w:pPr>
        <w:keepLines/>
        <w:rPr>
          <w:rFonts w:ascii="Garamond" w:hAnsi="Garamond"/>
          <w:lang w:val="en-AU"/>
        </w:rPr>
      </w:pPr>
    </w:p>
    <w:p w:rsidR="00456167" w:rsidRDefault="00456167" w:rsidP="007B2166">
      <w:pPr>
        <w:keepNext/>
        <w:keepLines/>
        <w:rPr>
          <w:rFonts w:ascii="Garamond" w:hAnsi="Garamond"/>
          <w:i/>
          <w:lang w:val="en-AU"/>
        </w:rPr>
      </w:pPr>
      <w:r w:rsidRPr="00456167">
        <w:rPr>
          <w:rFonts w:ascii="Garamond" w:hAnsi="Garamond"/>
          <w:i/>
          <w:lang w:val="en-AU"/>
        </w:rPr>
        <w:lastRenderedPageBreak/>
        <w:t>Data breach action plan for health service providers</w:t>
      </w:r>
    </w:p>
    <w:p w:rsidR="00456167" w:rsidRDefault="003C1A47" w:rsidP="007B2166">
      <w:pPr>
        <w:keepNext/>
        <w:keepLines/>
        <w:rPr>
          <w:rFonts w:ascii="Garamond" w:hAnsi="Garamond"/>
          <w:lang w:val="en-AU"/>
        </w:rPr>
      </w:pPr>
      <w:hyperlink r:id="rId24" w:history="1">
        <w:r w:rsidR="00456167" w:rsidRPr="00A4629E">
          <w:rPr>
            <w:rStyle w:val="Hyperlink"/>
            <w:rFonts w:ascii="Garamond" w:hAnsi="Garamond"/>
            <w:lang w:val="en-AU"/>
          </w:rPr>
          <w:t>https://www.oaic.gov.au/privacy/guidance-and-advice/data-breach-action-plan-for-health-service-providers</w:t>
        </w:r>
      </w:hyperlink>
    </w:p>
    <w:p w:rsidR="00456167" w:rsidRDefault="00456167" w:rsidP="007B2166">
      <w:pPr>
        <w:keepNext/>
        <w:keepLines/>
        <w:rPr>
          <w:rFonts w:ascii="Garamond" w:hAnsi="Garamond"/>
          <w:lang w:val="en-AU"/>
        </w:rPr>
      </w:pPr>
      <w:r>
        <w:rPr>
          <w:rFonts w:ascii="Garamond" w:hAnsi="Garamond"/>
          <w:lang w:val="en-AU"/>
        </w:rPr>
        <w:t xml:space="preserve">The Office of the Australian Information Commissioner has produced this four-step action plan </w:t>
      </w:r>
      <w:r w:rsidRPr="00456167">
        <w:rPr>
          <w:rFonts w:ascii="Garamond" w:hAnsi="Garamond"/>
          <w:lang w:val="en-AU"/>
        </w:rPr>
        <w:t>specifically aimed at the health sector to help them contain and manage data breaches, including those involving the My Health Record system.</w:t>
      </w:r>
    </w:p>
    <w:p w:rsidR="00456167" w:rsidRPr="00456167" w:rsidRDefault="00C37C21" w:rsidP="00C37C21">
      <w:pPr>
        <w:keepNext/>
        <w:keepLines/>
        <w:jc w:val="center"/>
        <w:rPr>
          <w:rFonts w:ascii="Garamond" w:hAnsi="Garamond"/>
          <w:lang w:val="en-AU"/>
        </w:rPr>
      </w:pPr>
      <w:r>
        <w:rPr>
          <w:rFonts w:ascii="Garamond" w:hAnsi="Garamond"/>
          <w:noProof/>
          <w:lang w:val="en-AU" w:eastAsia="en-AU"/>
        </w:rPr>
        <w:drawing>
          <wp:inline distT="0" distB="0" distL="0" distR="0">
            <wp:extent cx="5555848" cy="7807860"/>
            <wp:effectExtent l="19050" t="19050" r="26035" b="22225"/>
            <wp:docPr id="4" name="Picture 4" title="Infographic for Data Breach Action Plan outlining 4 phases: Contain, Evaluate, Notify and Review.">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health\DfsUserEnv\Users\User_07\JOHNNI\Downloads\health-sector-data-breach-action-pla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70002" cy="7827751"/>
                    </a:xfrm>
                    <a:prstGeom prst="rect">
                      <a:avLst/>
                    </a:prstGeom>
                    <a:noFill/>
                    <a:ln>
                      <a:solidFill>
                        <a:schemeClr val="accent1"/>
                      </a:solidFill>
                    </a:ln>
                  </pic:spPr>
                </pic:pic>
              </a:graphicData>
            </a:graphic>
          </wp:inline>
        </w:drawing>
      </w:r>
    </w:p>
    <w:p w:rsidR="009E6132" w:rsidRPr="003A6F1C" w:rsidRDefault="009E6132" w:rsidP="009E6132">
      <w:pPr>
        <w:keepNext/>
        <w:keepLines/>
        <w:rPr>
          <w:rFonts w:ascii="Garamond" w:hAnsi="Garamond"/>
          <w:i/>
          <w:lang w:val="en-AU"/>
        </w:rPr>
      </w:pPr>
      <w:r w:rsidRPr="003A6F1C">
        <w:rPr>
          <w:rFonts w:ascii="Garamond" w:hAnsi="Garamond"/>
          <w:i/>
          <w:lang w:val="en-AU"/>
        </w:rPr>
        <w:t>[UK] National Institute for Health Research</w:t>
      </w:r>
    </w:p>
    <w:bookmarkStart w:id="1" w:name="_GoBack"/>
    <w:p w:rsidR="009E6132" w:rsidRPr="003A6F1C" w:rsidRDefault="003C1A47" w:rsidP="009E6132">
      <w:pPr>
        <w:keepNext/>
        <w:keepLines/>
        <w:rPr>
          <w:rStyle w:val="Hyperlink"/>
          <w:rFonts w:ascii="Garamond" w:hAnsi="Garamond"/>
          <w:lang w:val="en-AU"/>
        </w:rPr>
      </w:pPr>
      <w:r>
        <w:fldChar w:fldCharType="begin"/>
      </w:r>
      <w:r>
        <w:instrText xml:space="preserve"> HYPERLINK "https://discover.dc.nihr.ac.uk/portal/search/signals" </w:instrText>
      </w:r>
      <w:r>
        <w:fldChar w:fldCharType="separate"/>
      </w:r>
      <w:r w:rsidR="009E6132" w:rsidRPr="003A6F1C">
        <w:rPr>
          <w:rStyle w:val="Hyperlink"/>
          <w:rFonts w:ascii="Garamond" w:hAnsi="Garamond"/>
          <w:lang w:val="en-AU"/>
        </w:rPr>
        <w:t>https://discover.dc.nihr.ac.uk/portal/search/signals</w:t>
      </w:r>
      <w:r>
        <w:rPr>
          <w:rStyle w:val="Hyperlink"/>
          <w:rFonts w:ascii="Garamond" w:hAnsi="Garamond"/>
          <w:lang w:val="en-AU"/>
        </w:rPr>
        <w:fldChar w:fldCharType="end"/>
      </w:r>
    </w:p>
    <w:p w:rsidR="009E6132" w:rsidRPr="003A6F1C" w:rsidRDefault="009E6132" w:rsidP="009E6132">
      <w:pPr>
        <w:keepNext/>
        <w:keepLines/>
        <w:rPr>
          <w:rFonts w:ascii="Garamond" w:hAnsi="Garamond"/>
          <w:lang w:val="en-AU"/>
        </w:rPr>
      </w:pPr>
      <w:r w:rsidRPr="003A6F1C">
        <w:rPr>
          <w:rFonts w:ascii="Garamond" w:hAnsi="Garamond"/>
          <w:lang w:val="en-AU"/>
        </w:rPr>
        <w:t>The UK’s National Institute for Health Research (NIHR) Dissemination Centre has released the latest ‘Signals’ research summaries. This latest release includes:</w:t>
      </w:r>
    </w:p>
    <w:p w:rsidR="009E6132" w:rsidRPr="009E6132" w:rsidRDefault="009E6132" w:rsidP="009E6132">
      <w:pPr>
        <w:pStyle w:val="ListParagraph"/>
        <w:keepLines/>
        <w:numPr>
          <w:ilvl w:val="0"/>
          <w:numId w:val="14"/>
        </w:numPr>
        <w:rPr>
          <w:rFonts w:ascii="Garamond" w:hAnsi="Garamond"/>
          <w:lang w:val="en-AU"/>
        </w:rPr>
      </w:pPr>
      <w:r w:rsidRPr="009E6132">
        <w:rPr>
          <w:rFonts w:ascii="Garamond" w:hAnsi="Garamond"/>
          <w:lang w:val="en-AU"/>
        </w:rPr>
        <w:t xml:space="preserve">Melatonin shows potential for reducing </w:t>
      </w:r>
      <w:r w:rsidRPr="009E6132">
        <w:rPr>
          <w:rFonts w:ascii="Garamond" w:hAnsi="Garamond"/>
          <w:b/>
          <w:lang w:val="en-AU"/>
        </w:rPr>
        <w:t>delirium</w:t>
      </w:r>
      <w:r w:rsidRPr="009E6132">
        <w:rPr>
          <w:rFonts w:ascii="Garamond" w:hAnsi="Garamond"/>
          <w:lang w:val="en-AU"/>
        </w:rPr>
        <w:t xml:space="preserve"> a</w:t>
      </w:r>
      <w:r>
        <w:rPr>
          <w:rFonts w:ascii="Garamond" w:hAnsi="Garamond"/>
          <w:lang w:val="en-AU"/>
        </w:rPr>
        <w:t xml:space="preserve">mong older people </w:t>
      </w:r>
      <w:r w:rsidRPr="009E6132">
        <w:rPr>
          <w:rFonts w:ascii="Garamond" w:hAnsi="Garamond"/>
          <w:b/>
          <w:lang w:val="en-AU"/>
        </w:rPr>
        <w:t>after surgery</w:t>
      </w:r>
    </w:p>
    <w:p w:rsidR="009E6132" w:rsidRPr="009E6132" w:rsidRDefault="009E6132" w:rsidP="009E6132">
      <w:pPr>
        <w:pStyle w:val="ListParagraph"/>
        <w:keepLines/>
        <w:numPr>
          <w:ilvl w:val="0"/>
          <w:numId w:val="14"/>
        </w:numPr>
        <w:rPr>
          <w:rFonts w:ascii="Garamond" w:hAnsi="Garamond"/>
          <w:lang w:val="en-AU"/>
        </w:rPr>
      </w:pPr>
      <w:r w:rsidRPr="009E6132">
        <w:rPr>
          <w:rFonts w:ascii="Garamond" w:hAnsi="Garamond"/>
          <w:b/>
          <w:lang w:val="en-AU"/>
        </w:rPr>
        <w:lastRenderedPageBreak/>
        <w:t>Structured nurse ward rounds</w:t>
      </w:r>
      <w:r w:rsidRPr="009E6132">
        <w:rPr>
          <w:rFonts w:ascii="Garamond" w:hAnsi="Garamond"/>
          <w:lang w:val="en-AU"/>
        </w:rPr>
        <w:t xml:space="preserve"> support accountability and risk management but not nurse-patient communication</w:t>
      </w:r>
    </w:p>
    <w:p w:rsidR="009E6132" w:rsidRPr="009E6132" w:rsidRDefault="009E6132" w:rsidP="009E6132">
      <w:pPr>
        <w:pStyle w:val="ListParagraph"/>
        <w:keepLines/>
        <w:numPr>
          <w:ilvl w:val="0"/>
          <w:numId w:val="14"/>
        </w:numPr>
        <w:rPr>
          <w:rFonts w:ascii="Garamond" w:hAnsi="Garamond"/>
          <w:lang w:val="en-AU"/>
        </w:rPr>
      </w:pPr>
      <w:r w:rsidRPr="009E6132">
        <w:rPr>
          <w:rFonts w:ascii="Garamond" w:hAnsi="Garamond"/>
          <w:lang w:val="en-AU"/>
        </w:rPr>
        <w:t>People leave hospital after surgery sooner if hospitals follow ‘</w:t>
      </w:r>
      <w:r w:rsidRPr="009E6132">
        <w:rPr>
          <w:rFonts w:ascii="Garamond" w:hAnsi="Garamond"/>
          <w:b/>
          <w:lang w:val="en-AU"/>
        </w:rPr>
        <w:t>enhanced recovery protocols</w:t>
      </w:r>
      <w:r w:rsidRPr="009E6132">
        <w:rPr>
          <w:rFonts w:ascii="Garamond" w:hAnsi="Garamond"/>
          <w:lang w:val="en-AU"/>
        </w:rPr>
        <w:t>’</w:t>
      </w:r>
    </w:p>
    <w:p w:rsidR="009E6132" w:rsidRPr="009E6132" w:rsidRDefault="009E6132" w:rsidP="009E6132">
      <w:pPr>
        <w:pStyle w:val="ListParagraph"/>
        <w:keepLines/>
        <w:numPr>
          <w:ilvl w:val="0"/>
          <w:numId w:val="14"/>
        </w:numPr>
        <w:rPr>
          <w:rFonts w:ascii="Garamond" w:hAnsi="Garamond"/>
          <w:lang w:val="en-AU"/>
        </w:rPr>
      </w:pPr>
      <w:r w:rsidRPr="009E6132">
        <w:rPr>
          <w:rFonts w:ascii="Garamond" w:hAnsi="Garamond"/>
          <w:lang w:val="en-AU"/>
        </w:rPr>
        <w:t xml:space="preserve">Surgery to fix the womb in position after </w:t>
      </w:r>
      <w:r w:rsidRPr="009E6132">
        <w:rPr>
          <w:rFonts w:ascii="Garamond" w:hAnsi="Garamond"/>
          <w:b/>
          <w:lang w:val="en-AU"/>
        </w:rPr>
        <w:t>prolapse</w:t>
      </w:r>
      <w:r w:rsidRPr="009E6132">
        <w:rPr>
          <w:rFonts w:ascii="Garamond" w:hAnsi="Garamond"/>
          <w:lang w:val="en-AU"/>
        </w:rPr>
        <w:t xml:space="preserve"> is</w:t>
      </w:r>
      <w:r>
        <w:rPr>
          <w:rFonts w:ascii="Garamond" w:hAnsi="Garamond"/>
          <w:lang w:val="en-AU"/>
        </w:rPr>
        <w:t xml:space="preserve"> an alternative to hysterectomy</w:t>
      </w:r>
    </w:p>
    <w:p w:rsidR="009E6132" w:rsidRPr="009E6132" w:rsidRDefault="009E6132" w:rsidP="009E6132">
      <w:pPr>
        <w:pStyle w:val="ListParagraph"/>
        <w:keepLines/>
        <w:numPr>
          <w:ilvl w:val="0"/>
          <w:numId w:val="14"/>
        </w:numPr>
        <w:rPr>
          <w:rFonts w:ascii="Garamond" w:hAnsi="Garamond"/>
          <w:lang w:val="en-AU"/>
        </w:rPr>
      </w:pPr>
      <w:r w:rsidRPr="009E6132">
        <w:rPr>
          <w:rFonts w:ascii="Garamond" w:hAnsi="Garamond"/>
          <w:b/>
          <w:lang w:val="en-AU"/>
        </w:rPr>
        <w:t>ICU admission decision support tool</w:t>
      </w:r>
      <w:r w:rsidRPr="009E6132">
        <w:rPr>
          <w:rFonts w:ascii="Garamond" w:hAnsi="Garamond"/>
          <w:lang w:val="en-AU"/>
        </w:rPr>
        <w:t xml:space="preserve"> showed promise but was rarely used </w:t>
      </w:r>
    </w:p>
    <w:p w:rsidR="009E6132" w:rsidRPr="009E6132" w:rsidRDefault="009E6132" w:rsidP="009E6132">
      <w:pPr>
        <w:pStyle w:val="ListParagraph"/>
        <w:keepLines/>
        <w:numPr>
          <w:ilvl w:val="0"/>
          <w:numId w:val="14"/>
        </w:numPr>
        <w:rPr>
          <w:rFonts w:ascii="Garamond" w:hAnsi="Garamond"/>
          <w:lang w:val="en-AU"/>
        </w:rPr>
      </w:pPr>
      <w:r w:rsidRPr="009E6132">
        <w:rPr>
          <w:rFonts w:ascii="Garamond" w:hAnsi="Garamond"/>
          <w:lang w:val="en-AU"/>
        </w:rPr>
        <w:t xml:space="preserve">Age of </w:t>
      </w:r>
      <w:r w:rsidRPr="009E6132">
        <w:rPr>
          <w:rFonts w:ascii="Garamond" w:hAnsi="Garamond"/>
          <w:b/>
          <w:lang w:val="en-AU"/>
        </w:rPr>
        <w:t>stored blood used for transfusions</w:t>
      </w:r>
      <w:r w:rsidRPr="009E6132">
        <w:rPr>
          <w:rFonts w:ascii="Garamond" w:hAnsi="Garamond"/>
          <w:lang w:val="en-AU"/>
        </w:rPr>
        <w:t xml:space="preserve"> in critically ill children doesn’t affect outcomes</w:t>
      </w:r>
    </w:p>
    <w:p w:rsidR="009E6132" w:rsidRPr="009E6132" w:rsidRDefault="009E6132" w:rsidP="009E6132">
      <w:pPr>
        <w:pStyle w:val="ListParagraph"/>
        <w:keepLines/>
        <w:numPr>
          <w:ilvl w:val="0"/>
          <w:numId w:val="14"/>
        </w:numPr>
        <w:rPr>
          <w:rFonts w:ascii="Garamond" w:hAnsi="Garamond"/>
          <w:lang w:val="en-AU"/>
        </w:rPr>
      </w:pPr>
      <w:r w:rsidRPr="009E6132">
        <w:rPr>
          <w:rFonts w:ascii="Garamond" w:hAnsi="Garamond"/>
          <w:b/>
          <w:lang w:val="en-AU"/>
        </w:rPr>
        <w:t>NHS health check attendance</w:t>
      </w:r>
      <w:r w:rsidRPr="009E6132">
        <w:rPr>
          <w:rFonts w:ascii="Garamond" w:hAnsi="Garamond"/>
          <w:lang w:val="en-AU"/>
        </w:rPr>
        <w:t xml:space="preserve"> improves with changes to the invitation letter</w:t>
      </w:r>
    </w:p>
    <w:p w:rsidR="009E6132" w:rsidRPr="009E6132" w:rsidRDefault="009E6132" w:rsidP="009E6132">
      <w:pPr>
        <w:pStyle w:val="ListParagraph"/>
        <w:keepLines/>
        <w:numPr>
          <w:ilvl w:val="0"/>
          <w:numId w:val="14"/>
        </w:numPr>
        <w:rPr>
          <w:rFonts w:ascii="Garamond" w:hAnsi="Garamond"/>
          <w:lang w:val="en-AU"/>
        </w:rPr>
      </w:pPr>
      <w:r w:rsidRPr="009E6132">
        <w:rPr>
          <w:rFonts w:ascii="Garamond" w:hAnsi="Garamond"/>
          <w:lang w:val="en-AU"/>
        </w:rPr>
        <w:t>Outcomes similar for full or partial hip</w:t>
      </w:r>
      <w:r>
        <w:rPr>
          <w:rFonts w:ascii="Garamond" w:hAnsi="Garamond"/>
          <w:lang w:val="en-AU"/>
        </w:rPr>
        <w:t xml:space="preserve"> replacement after </w:t>
      </w:r>
      <w:r w:rsidRPr="009E6132">
        <w:rPr>
          <w:rFonts w:ascii="Garamond" w:hAnsi="Garamond"/>
          <w:b/>
          <w:lang w:val="en-AU"/>
        </w:rPr>
        <w:t>hip fracture</w:t>
      </w:r>
    </w:p>
    <w:p w:rsidR="009E6132" w:rsidRPr="009E6132" w:rsidRDefault="009E6132" w:rsidP="009E6132">
      <w:pPr>
        <w:pStyle w:val="ListParagraph"/>
        <w:keepLines/>
        <w:numPr>
          <w:ilvl w:val="0"/>
          <w:numId w:val="14"/>
        </w:numPr>
        <w:rPr>
          <w:rFonts w:ascii="Garamond" w:hAnsi="Garamond"/>
          <w:lang w:val="en-AU"/>
        </w:rPr>
      </w:pPr>
      <w:r w:rsidRPr="009E6132">
        <w:rPr>
          <w:rFonts w:ascii="Garamond" w:hAnsi="Garamond"/>
          <w:lang w:val="en-AU"/>
        </w:rPr>
        <w:t xml:space="preserve">Text messaging support helps </w:t>
      </w:r>
      <w:r w:rsidRPr="009E6132">
        <w:rPr>
          <w:rFonts w:ascii="Garamond" w:hAnsi="Garamond"/>
          <w:b/>
          <w:lang w:val="en-AU"/>
        </w:rPr>
        <w:t>smokers quit</w:t>
      </w:r>
      <w:r w:rsidRPr="009E6132">
        <w:rPr>
          <w:rFonts w:ascii="Garamond" w:hAnsi="Garamond"/>
          <w:lang w:val="en-AU"/>
        </w:rPr>
        <w:t>, but apps not yet shown to work</w:t>
      </w:r>
    </w:p>
    <w:p w:rsidR="009E6132" w:rsidRPr="009E6132" w:rsidRDefault="009E6132" w:rsidP="009E6132">
      <w:pPr>
        <w:pStyle w:val="ListParagraph"/>
        <w:keepLines/>
        <w:numPr>
          <w:ilvl w:val="0"/>
          <w:numId w:val="14"/>
        </w:numPr>
        <w:rPr>
          <w:rFonts w:ascii="Garamond" w:hAnsi="Garamond"/>
          <w:lang w:val="en-AU"/>
        </w:rPr>
      </w:pPr>
      <w:r w:rsidRPr="009E6132">
        <w:rPr>
          <w:rFonts w:ascii="Garamond" w:hAnsi="Garamond"/>
          <w:lang w:val="en-AU"/>
        </w:rPr>
        <w:t xml:space="preserve">Increasing omega-3 intake does not prevent </w:t>
      </w:r>
      <w:r w:rsidRPr="009E6132">
        <w:rPr>
          <w:rFonts w:ascii="Garamond" w:hAnsi="Garamond"/>
          <w:b/>
          <w:lang w:val="en-AU"/>
        </w:rPr>
        <w:t>depression or anxiety</w:t>
      </w:r>
      <w:r w:rsidRPr="009E6132">
        <w:rPr>
          <w:rFonts w:ascii="Garamond" w:hAnsi="Garamond"/>
          <w:lang w:val="en-AU"/>
        </w:rPr>
        <w:t>.</w:t>
      </w:r>
    </w:p>
    <w:bookmarkEnd w:id="1"/>
    <w:p w:rsidR="009E6132" w:rsidRDefault="009E6132" w:rsidP="003F6EE2">
      <w:pPr>
        <w:rPr>
          <w:rFonts w:ascii="Garamond" w:hAnsi="Garamond"/>
          <w:i/>
          <w:lang w:val="en-AU"/>
        </w:rPr>
      </w:pPr>
    </w:p>
    <w:p w:rsidR="00D14242" w:rsidRDefault="00D14242" w:rsidP="003F6EE2">
      <w:pPr>
        <w:rPr>
          <w:rFonts w:ascii="Garamond" w:hAnsi="Garamond"/>
          <w:i/>
          <w:lang w:val="en-AU"/>
        </w:rPr>
      </w:pPr>
    </w:p>
    <w:p w:rsidR="009E6132" w:rsidRDefault="009E6132" w:rsidP="003F6EE2">
      <w:pPr>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26"/>
      <w:footerReference w:type="default" r:id="rId2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26" w:rsidRDefault="00FD4F26">
      <w:r>
        <w:separator/>
      </w:r>
    </w:p>
  </w:endnote>
  <w:endnote w:type="continuationSeparator" w:id="0">
    <w:p w:rsidR="00FD4F26" w:rsidRDefault="00F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Default="00FD4F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C1A47">
      <w:rPr>
        <w:rStyle w:val="PageNumber"/>
        <w:noProof/>
      </w:rPr>
      <w:t>6</w:t>
    </w:r>
    <w:r>
      <w:rPr>
        <w:rStyle w:val="PageNumber"/>
      </w:rPr>
      <w:fldChar w:fldCharType="end"/>
    </w:r>
  </w:p>
  <w:p w:rsidR="00FD4F26" w:rsidRPr="001E78F0" w:rsidRDefault="00FD4F2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B402EF">
      <w:rPr>
        <w:rFonts w:ascii="Garamond" w:hAnsi="Garamond"/>
      </w:rPr>
      <w:t xml:space="preserve"> Issue 45</w:t>
    </w:r>
    <w:r w:rsidR="009B00B9">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Pr="001E78F0" w:rsidRDefault="00FD4F2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3C1A47">
      <w:rPr>
        <w:rStyle w:val="PageNumber"/>
        <w:rFonts w:ascii="Garamond" w:hAnsi="Garamond"/>
        <w:noProof/>
      </w:rPr>
      <w:t>5</w:t>
    </w:r>
    <w:r w:rsidRPr="001E78F0">
      <w:rPr>
        <w:rStyle w:val="PageNumber"/>
        <w:rFonts w:ascii="Garamond" w:hAnsi="Garamond"/>
      </w:rPr>
      <w:fldChar w:fldCharType="end"/>
    </w:r>
  </w:p>
  <w:p w:rsidR="00FD4F26" w:rsidRPr="001E78F0" w:rsidRDefault="00FD4F2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40050A">
      <w:rPr>
        <w:rFonts w:ascii="Garamond" w:hAnsi="Garamond"/>
      </w:rPr>
      <w:t xml:space="preserve"> Issue 4</w:t>
    </w:r>
    <w:r w:rsidR="009B00B9">
      <w:rPr>
        <w:rFonts w:ascii="Garamond" w:hAnsi="Garamond"/>
      </w:rPr>
      <w:t>54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26" w:rsidRDefault="00FD4F26">
      <w:r>
        <w:separator/>
      </w:r>
    </w:p>
  </w:footnote>
  <w:footnote w:type="continuationSeparator" w:id="0">
    <w:p w:rsidR="00FD4F26" w:rsidRDefault="00FD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F12FB"/>
    <w:multiLevelType w:val="hybridMultilevel"/>
    <w:tmpl w:val="CBD8A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154367"/>
    <w:multiLevelType w:val="hybridMultilevel"/>
    <w:tmpl w:val="F66C5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EE40BC"/>
    <w:multiLevelType w:val="hybridMultilevel"/>
    <w:tmpl w:val="4EEA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22438"/>
    <w:multiLevelType w:val="hybridMultilevel"/>
    <w:tmpl w:val="68529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F23CD9"/>
    <w:multiLevelType w:val="hybridMultilevel"/>
    <w:tmpl w:val="FCDE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D02FB5"/>
    <w:multiLevelType w:val="hybridMultilevel"/>
    <w:tmpl w:val="DBC0F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742DA9"/>
    <w:multiLevelType w:val="hybridMultilevel"/>
    <w:tmpl w:val="CE5E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8A6B4C"/>
    <w:multiLevelType w:val="hybridMultilevel"/>
    <w:tmpl w:val="FD5A0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EC1C16"/>
    <w:multiLevelType w:val="hybridMultilevel"/>
    <w:tmpl w:val="66309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B06D9D"/>
    <w:multiLevelType w:val="hybridMultilevel"/>
    <w:tmpl w:val="49E682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B02665"/>
    <w:multiLevelType w:val="hybridMultilevel"/>
    <w:tmpl w:val="4914F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BF63F5"/>
    <w:multiLevelType w:val="hybridMultilevel"/>
    <w:tmpl w:val="F046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ED2EA6"/>
    <w:multiLevelType w:val="hybridMultilevel"/>
    <w:tmpl w:val="EDEC0ACE"/>
    <w:lvl w:ilvl="0" w:tplc="48F423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894C98"/>
    <w:multiLevelType w:val="hybridMultilevel"/>
    <w:tmpl w:val="61161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EA7919"/>
    <w:multiLevelType w:val="hybridMultilevel"/>
    <w:tmpl w:val="0770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481D73"/>
    <w:multiLevelType w:val="hybridMultilevel"/>
    <w:tmpl w:val="F1BC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0A125B"/>
    <w:multiLevelType w:val="hybridMultilevel"/>
    <w:tmpl w:val="0268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8534AB"/>
    <w:multiLevelType w:val="hybridMultilevel"/>
    <w:tmpl w:val="6DA0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786E6B"/>
    <w:multiLevelType w:val="hybridMultilevel"/>
    <w:tmpl w:val="84DC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2E2830"/>
    <w:multiLevelType w:val="hybridMultilevel"/>
    <w:tmpl w:val="0268B28E"/>
    <w:lvl w:ilvl="0" w:tplc="48F423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910B9E"/>
    <w:multiLevelType w:val="hybridMultilevel"/>
    <w:tmpl w:val="DD18A6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C66494"/>
    <w:multiLevelType w:val="hybridMultilevel"/>
    <w:tmpl w:val="A48622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42" w15:restartNumberingAfterBreak="0">
    <w:nsid w:val="7A141958"/>
    <w:multiLevelType w:val="hybridMultilevel"/>
    <w:tmpl w:val="D77C4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1D6356"/>
    <w:multiLevelType w:val="hybridMultilevel"/>
    <w:tmpl w:val="2E12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B28C9"/>
    <w:multiLevelType w:val="hybridMultilevel"/>
    <w:tmpl w:val="C79E9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E43679"/>
    <w:multiLevelType w:val="hybridMultilevel"/>
    <w:tmpl w:val="EFD2E5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4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27"/>
  </w:num>
  <w:num w:numId="15">
    <w:abstractNumId w:val="17"/>
  </w:num>
  <w:num w:numId="16">
    <w:abstractNumId w:val="25"/>
  </w:num>
  <w:num w:numId="17">
    <w:abstractNumId w:val="16"/>
  </w:num>
  <w:num w:numId="18">
    <w:abstractNumId w:val="28"/>
  </w:num>
  <w:num w:numId="19">
    <w:abstractNumId w:val="21"/>
  </w:num>
  <w:num w:numId="20">
    <w:abstractNumId w:val="41"/>
  </w:num>
  <w:num w:numId="21">
    <w:abstractNumId w:val="13"/>
  </w:num>
  <w:num w:numId="22">
    <w:abstractNumId w:val="32"/>
  </w:num>
  <w:num w:numId="23">
    <w:abstractNumId w:val="19"/>
  </w:num>
  <w:num w:numId="24">
    <w:abstractNumId w:val="15"/>
  </w:num>
  <w:num w:numId="25">
    <w:abstractNumId w:val="43"/>
  </w:num>
  <w:num w:numId="26">
    <w:abstractNumId w:val="36"/>
  </w:num>
  <w:num w:numId="27">
    <w:abstractNumId w:val="30"/>
  </w:num>
  <w:num w:numId="28">
    <w:abstractNumId w:val="11"/>
  </w:num>
  <w:num w:numId="29">
    <w:abstractNumId w:val="34"/>
  </w:num>
  <w:num w:numId="30">
    <w:abstractNumId w:val="35"/>
  </w:num>
  <w:num w:numId="31">
    <w:abstractNumId w:val="31"/>
  </w:num>
  <w:num w:numId="32">
    <w:abstractNumId w:val="22"/>
  </w:num>
  <w:num w:numId="33">
    <w:abstractNumId w:val="24"/>
  </w:num>
  <w:num w:numId="34">
    <w:abstractNumId w:val="12"/>
  </w:num>
  <w:num w:numId="35">
    <w:abstractNumId w:val="42"/>
  </w:num>
  <w:num w:numId="36">
    <w:abstractNumId w:val="45"/>
  </w:num>
  <w:num w:numId="37">
    <w:abstractNumId w:val="14"/>
  </w:num>
  <w:num w:numId="38">
    <w:abstractNumId w:val="44"/>
  </w:num>
  <w:num w:numId="39">
    <w:abstractNumId w:val="18"/>
  </w:num>
  <w:num w:numId="40">
    <w:abstractNumId w:val="10"/>
  </w:num>
  <w:num w:numId="41">
    <w:abstractNumId w:val="20"/>
  </w:num>
  <w:num w:numId="42">
    <w:abstractNumId w:val="39"/>
  </w:num>
  <w:num w:numId="43">
    <w:abstractNumId w:val="29"/>
  </w:num>
  <w:num w:numId="44">
    <w:abstractNumId w:val="37"/>
  </w:num>
  <w:num w:numId="45">
    <w:abstractNumId w:val="38"/>
  </w:num>
  <w:num w:numId="4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42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A3"/>
    <w:rsid w:val="004B7BF1"/>
    <w:rsid w:val="004B7E0F"/>
    <w:rsid w:val="004B7F3E"/>
    <w:rsid w:val="004C0413"/>
    <w:rsid w:val="004C051A"/>
    <w:rsid w:val="004C07C1"/>
    <w:rsid w:val="004C08A1"/>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36C"/>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5AC"/>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759"/>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850"/>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32"/>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603"/>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023"/>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37C21"/>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5A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2689"/>
    <o:shapelayout v:ext="edit">
      <o:idmap v:ext="edit" data="1"/>
    </o:shapelayout>
  </w:shapeDefaults>
  <w:decimalSymbol w:val="."/>
  <w:listSeparator w:val=","/>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0B9"/>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097/pts.000000000000063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qualitysafety.bmj.com/content/early/recent"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186/s12939-019-1103-2"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safetyandquality.gov.au/our-work/clinical-governance/open-disclosure" TargetMode="External"/><Relationship Id="rId20" Type="http://schemas.openxmlformats.org/officeDocument/2006/relationships/hyperlink" Target="https://www.healthaffairs.org/toc/hlthaff/39/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oaic.gov.au/privacy/guidance-and-advice/data-breach-action-plan-for-health-service-providers" TargetMode="External"/><Relationship Id="rId5" Type="http://schemas.openxmlformats.org/officeDocument/2006/relationships/webSettings" Target="webSettings.xml"/><Relationship Id="rId15" Type="http://schemas.openxmlformats.org/officeDocument/2006/relationships/hyperlink" Target="https://doi.org/10.1177/0020731419893036" TargetMode="External"/><Relationship Id="rId23" Type="http://schemas.openxmlformats.org/officeDocument/2006/relationships/hyperlink" Target="https://www.ismp.org/guidelines/safe-implementation-and-use-smart-pumps" TargetMode="External"/><Relationship Id="rId28"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our-work/medication-safety"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academic.oup.com/intqhc/advance-articl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1748F-8382-46CF-8731-A1DAEEA6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1980</Words>
  <Characters>11289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On the Radar Issue 454</vt:lpstr>
    </vt:vector>
  </TitlesOfParts>
  <Company>ACSQHC</Company>
  <LinksUpToDate>false</LinksUpToDate>
  <CharactersWithSpaces>13243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454</dc:title>
  <dc:subject/>
  <dc:creator>Dr Niall Johnson</dc:creator>
  <cp:keywords/>
  <dc:description/>
  <cp:lastModifiedBy>Johnson, Niall</cp:lastModifiedBy>
  <cp:revision>2</cp:revision>
  <cp:lastPrinted>2018-03-02T02:34:00Z</cp:lastPrinted>
  <dcterms:created xsi:type="dcterms:W3CDTF">2020-03-06T01:11:00Z</dcterms:created>
  <dcterms:modified xsi:type="dcterms:W3CDTF">2020-03-06T01:11:00Z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