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7922C5">
        <w:rPr>
          <w:rFonts w:ascii="Garamond" w:hAnsi="Garamond"/>
          <w:lang w:val="en-AU"/>
        </w:rPr>
        <w:t>55</w:t>
      </w:r>
    </w:p>
    <w:p w:rsidR="00755242" w:rsidRDefault="007922C5" w:rsidP="00F738B5">
      <w:pPr>
        <w:rPr>
          <w:rFonts w:ascii="Garamond" w:hAnsi="Garamond"/>
          <w:lang w:val="en-AU"/>
        </w:rPr>
      </w:pPr>
      <w:r>
        <w:rPr>
          <w:rFonts w:ascii="Garamond" w:hAnsi="Garamond"/>
          <w:lang w:val="en-AU"/>
        </w:rPr>
        <w:t>16</w:t>
      </w:r>
      <w:r w:rsidR="003F6EE2">
        <w:rPr>
          <w:rFonts w:ascii="Garamond" w:hAnsi="Garamond"/>
          <w:lang w:val="en-AU"/>
        </w:rPr>
        <w:t xml:space="preserve"> March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w:t>
      </w:r>
      <w:proofErr w:type="gramStart"/>
      <w:r w:rsidR="00F460A7" w:rsidRPr="00467B47">
        <w:rPr>
          <w:rFonts w:ascii="Garamond" w:hAnsi="Garamond"/>
          <w:lang w:val="en-AU"/>
        </w:rPr>
        <w:t>is considered</w:t>
      </w:r>
      <w:proofErr w:type="gramEnd"/>
      <w:r w:rsidR="00F460A7" w:rsidRPr="00467B47">
        <w:rPr>
          <w:rFonts w:ascii="Garamond" w:hAnsi="Garamond"/>
          <w:lang w:val="en-AU"/>
        </w:rPr>
        <w:t xml:space="preserve">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834C75">
        <w:rPr>
          <w:rFonts w:ascii="Garamond" w:hAnsi="Garamond"/>
          <w:bCs/>
          <w:lang w:val="en-AU"/>
        </w:rPr>
        <w:t xml:space="preserve">, Vannary </w:t>
      </w:r>
      <w:proofErr w:type="gramStart"/>
      <w:r w:rsidR="00834C75">
        <w:rPr>
          <w:rFonts w:ascii="Garamond" w:hAnsi="Garamond"/>
          <w:bCs/>
          <w:lang w:val="en-AU"/>
        </w:rPr>
        <w:t>Sar</w:t>
      </w:r>
      <w:proofErr w:type="gramEnd"/>
    </w:p>
    <w:p w:rsidR="008D2809" w:rsidRDefault="008D2809">
      <w:pPr>
        <w:rPr>
          <w:rFonts w:ascii="Garamond" w:hAnsi="Garamond"/>
          <w:b/>
          <w:lang w:val="en-AU"/>
        </w:rPr>
      </w:pPr>
    </w:p>
    <w:p w:rsidR="007922C5" w:rsidRDefault="007922C5" w:rsidP="00C17C82">
      <w:pPr>
        <w:keepNext/>
        <w:ind w:left="720" w:hanging="720"/>
        <w:rPr>
          <w:rFonts w:ascii="Garamond" w:hAnsi="Garamond"/>
          <w:b/>
          <w:lang w:val="en-AU"/>
        </w:rPr>
      </w:pPr>
      <w:r>
        <w:rPr>
          <w:rFonts w:ascii="Garamond" w:hAnsi="Garamond"/>
          <w:b/>
          <w:lang w:val="en-AU"/>
        </w:rPr>
        <w:t>Reports</w:t>
      </w:r>
    </w:p>
    <w:p w:rsidR="007922C5" w:rsidRDefault="007922C5" w:rsidP="007922C5">
      <w:pPr>
        <w:keepNext/>
        <w:keepLines/>
        <w:autoSpaceDE w:val="0"/>
        <w:autoSpaceDN w:val="0"/>
        <w:adjustRightInd w:val="0"/>
        <w:rPr>
          <w:rFonts w:ascii="Garamond" w:hAnsi="Garamond"/>
          <w:lang w:val="en-AU"/>
        </w:rPr>
      </w:pPr>
    </w:p>
    <w:p w:rsidR="007922C5" w:rsidRPr="00A15FCC" w:rsidRDefault="00A15FCC" w:rsidP="00A15FCC">
      <w:pPr>
        <w:keepNext/>
        <w:keepLines/>
        <w:autoSpaceDE w:val="0"/>
        <w:autoSpaceDN w:val="0"/>
        <w:adjustRightInd w:val="0"/>
        <w:rPr>
          <w:rFonts w:ascii="Garamond" w:hAnsi="Garamond"/>
          <w:i/>
          <w:lang w:val="en-AU"/>
        </w:rPr>
      </w:pPr>
      <w:r w:rsidRPr="00A15FCC">
        <w:rPr>
          <w:rFonts w:ascii="Garamond" w:hAnsi="Garamond"/>
          <w:i/>
          <w:lang w:val="en-AU"/>
        </w:rPr>
        <w:t>Making Healthcare Safer III: A Critical Analysis of Existing and Emerging Patient Safety Practices</w:t>
      </w:r>
    </w:p>
    <w:p w:rsidR="00A15FCC" w:rsidRDefault="00A15FCC" w:rsidP="00A15FCC">
      <w:pPr>
        <w:keepNext/>
        <w:keepLines/>
        <w:autoSpaceDE w:val="0"/>
        <w:autoSpaceDN w:val="0"/>
        <w:adjustRightInd w:val="0"/>
        <w:rPr>
          <w:rFonts w:ascii="Garamond" w:hAnsi="Garamond"/>
          <w:lang w:val="en-AU"/>
        </w:rPr>
      </w:pPr>
      <w:r w:rsidRPr="00A15FCC">
        <w:rPr>
          <w:rFonts w:ascii="Garamond" w:hAnsi="Garamond"/>
          <w:lang w:val="en-AU"/>
        </w:rPr>
        <w:t>Bacon O, Costar D, Earl T, Fitall E, Gale B, Gall E, et al</w:t>
      </w:r>
    </w:p>
    <w:p w:rsidR="00A15FCC" w:rsidRDefault="00A15FCC" w:rsidP="00A15FCC">
      <w:pPr>
        <w:keepNext/>
        <w:keepLines/>
        <w:autoSpaceDE w:val="0"/>
        <w:autoSpaceDN w:val="0"/>
        <w:adjustRightInd w:val="0"/>
        <w:rPr>
          <w:rFonts w:ascii="Garamond" w:hAnsi="Garamond"/>
          <w:lang w:val="en-AU"/>
        </w:rPr>
      </w:pPr>
      <w:r w:rsidRPr="00A15FCC">
        <w:rPr>
          <w:rFonts w:ascii="Garamond" w:hAnsi="Garamond"/>
          <w:lang w:val="en-AU"/>
        </w:rPr>
        <w:t>Rockville, MD: Agency for Healthcare Research and Quality; 2020. p. 1403.</w:t>
      </w:r>
    </w:p>
    <w:tbl>
      <w:tblPr>
        <w:tblStyle w:val="TableGrid"/>
        <w:tblW w:w="0" w:type="auto"/>
        <w:tblInd w:w="288" w:type="dxa"/>
        <w:tblLayout w:type="fixed"/>
        <w:tblLook w:val="01E0" w:firstRow="1" w:lastRow="1" w:firstColumn="1" w:lastColumn="1" w:noHBand="0" w:noVBand="0"/>
      </w:tblPr>
      <w:tblGrid>
        <w:gridCol w:w="1080"/>
        <w:gridCol w:w="8280"/>
      </w:tblGrid>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977818" w:rsidP="0097781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0170DA" w:rsidRDefault="003C7E44" w:rsidP="001A116F">
            <w:pPr>
              <w:rPr>
                <w:rStyle w:val="Hyperlink"/>
                <w:rFonts w:ascii="Garamond" w:hAnsi="Garamond"/>
                <w:color w:val="auto"/>
                <w:u w:val="none"/>
                <w:lang w:val="en-AU"/>
              </w:rPr>
            </w:pPr>
            <w:hyperlink r:id="rId15" w:history="1">
              <w:r w:rsidR="00A15FCC" w:rsidRPr="0006648C">
                <w:rPr>
                  <w:rStyle w:val="Hyperlink"/>
                  <w:rFonts w:ascii="Garamond" w:hAnsi="Garamond"/>
                  <w:lang w:val="en-AU"/>
                </w:rPr>
                <w:t>https://www.ahrq.gov/research/findings/making-healthcare-safer/mhs3/index.html</w:t>
              </w:r>
            </w:hyperlink>
          </w:p>
        </w:tc>
      </w:tr>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15FCC" w:rsidRPr="00A15FCC" w:rsidRDefault="00A15FCC" w:rsidP="00A15FCC">
            <w:pPr>
              <w:rPr>
                <w:rFonts w:ascii="Garamond" w:hAnsi="Garamond"/>
                <w:lang w:val="en-AU"/>
              </w:rPr>
            </w:pPr>
            <w:r>
              <w:rPr>
                <w:rFonts w:ascii="Garamond" w:hAnsi="Garamond"/>
                <w:lang w:val="en-AU"/>
              </w:rPr>
              <w:t xml:space="preserve">The US Agency for Healthcare Research and Quality (AHRQ) has released this substantial (&gt;1400 page) report reviewing a range of patient safety practices. The report </w:t>
            </w:r>
            <w:r w:rsidRPr="00A15FCC">
              <w:rPr>
                <w:rFonts w:ascii="Garamond" w:hAnsi="Garamond"/>
                <w:lang w:val="en-AU"/>
              </w:rPr>
              <w:t>reviews 47 practices that target patient safety improvement in hospitals, primary care practices, long-term care facilities, and other healthcare settings.</w:t>
            </w:r>
          </w:p>
          <w:p w:rsidR="007922C5" w:rsidRPr="003F6EE2" w:rsidRDefault="00D4605D" w:rsidP="00A15FCC">
            <w:pPr>
              <w:rPr>
                <w:rFonts w:ascii="Garamond" w:hAnsi="Garamond"/>
                <w:lang w:val="en-AU"/>
              </w:rPr>
            </w:pPr>
            <w:r>
              <w:rPr>
                <w:rFonts w:ascii="Garamond" w:hAnsi="Garamond"/>
                <w:lang w:val="en-AU"/>
              </w:rPr>
              <w:t xml:space="preserve">The 47 practices </w:t>
            </w:r>
            <w:proofErr w:type="gramStart"/>
            <w:r>
              <w:rPr>
                <w:rFonts w:ascii="Garamond" w:hAnsi="Garamond"/>
                <w:lang w:val="en-AU"/>
              </w:rPr>
              <w:t>we</w:t>
            </w:r>
            <w:r w:rsidR="00A15FCC" w:rsidRPr="00A15FCC">
              <w:rPr>
                <w:rFonts w:ascii="Garamond" w:hAnsi="Garamond"/>
                <w:lang w:val="en-AU"/>
              </w:rPr>
              <w:t xml:space="preserve">re </w:t>
            </w:r>
            <w:r w:rsidR="00A15FCC">
              <w:rPr>
                <w:rFonts w:ascii="Garamond" w:hAnsi="Garamond"/>
                <w:lang w:val="en-AU"/>
              </w:rPr>
              <w:t>examined</w:t>
            </w:r>
            <w:proofErr w:type="gramEnd"/>
            <w:r w:rsidR="00A15FCC">
              <w:rPr>
                <w:rFonts w:ascii="Garamond" w:hAnsi="Garamond"/>
                <w:lang w:val="en-AU"/>
              </w:rPr>
              <w:t xml:space="preserve"> across </w:t>
            </w:r>
            <w:r w:rsidR="00A15FCC" w:rsidRPr="00A15FCC">
              <w:rPr>
                <w:rFonts w:ascii="Garamond" w:hAnsi="Garamond"/>
                <w:lang w:val="en-AU"/>
              </w:rPr>
              <w:t xml:space="preserve">17 chapters </w:t>
            </w:r>
            <w:r w:rsidR="00A15FCC">
              <w:rPr>
                <w:rFonts w:ascii="Garamond" w:hAnsi="Garamond"/>
                <w:lang w:val="en-AU"/>
              </w:rPr>
              <w:t>looking at “</w:t>
            </w:r>
            <w:r w:rsidR="00A15FCC" w:rsidRPr="00A15FCC">
              <w:rPr>
                <w:rFonts w:ascii="Garamond" w:hAnsi="Garamond"/>
                <w:lang w:val="en-AU"/>
              </w:rPr>
              <w:t>harm areas</w:t>
            </w:r>
            <w:r w:rsidR="00A15FCC">
              <w:rPr>
                <w:rFonts w:ascii="Garamond" w:hAnsi="Garamond"/>
                <w:lang w:val="en-AU"/>
              </w:rPr>
              <w:t>”</w:t>
            </w:r>
            <w:r w:rsidR="00A15FCC" w:rsidRPr="00A15FCC">
              <w:rPr>
                <w:rFonts w:ascii="Garamond" w:hAnsi="Garamond"/>
                <w:lang w:val="en-AU"/>
              </w:rPr>
              <w:t xml:space="preserve"> including medication management, healthcare-associated infections, nursing-sensitive practices, procedural events, and diagnostic errors. The practices include clinical decision support technologies, use of rapid-response teams, special hygiene and disinfection interventions to prevent HAIs, and several practices designed to prevent medication </w:t>
            </w:r>
            <w:proofErr w:type="gramStart"/>
            <w:r w:rsidR="00A15FCC" w:rsidRPr="00A15FCC">
              <w:rPr>
                <w:rFonts w:ascii="Garamond" w:hAnsi="Garamond"/>
                <w:lang w:val="en-AU"/>
              </w:rPr>
              <w:t>errors and reduce opioid misuse</w:t>
            </w:r>
            <w:proofErr w:type="gramEnd"/>
            <w:r w:rsidR="00A15FCC" w:rsidRPr="00A15FCC">
              <w:rPr>
                <w:rFonts w:ascii="Garamond" w:hAnsi="Garamond"/>
                <w:lang w:val="en-AU"/>
              </w:rPr>
              <w:t xml:space="preserve"> and overdose.</w:t>
            </w:r>
          </w:p>
        </w:tc>
      </w:tr>
    </w:tbl>
    <w:p w:rsidR="007922C5" w:rsidRDefault="007922C5" w:rsidP="007922C5">
      <w:pPr>
        <w:rPr>
          <w:rFonts w:ascii="Garamond" w:hAnsi="Garamond"/>
          <w:lang w:val="en-AU"/>
        </w:rPr>
      </w:pPr>
    </w:p>
    <w:p w:rsidR="007922C5" w:rsidRPr="00977818" w:rsidRDefault="00977818" w:rsidP="007922C5">
      <w:pPr>
        <w:keepNext/>
        <w:keepLines/>
        <w:autoSpaceDE w:val="0"/>
        <w:autoSpaceDN w:val="0"/>
        <w:adjustRightInd w:val="0"/>
        <w:rPr>
          <w:rFonts w:ascii="Garamond" w:hAnsi="Garamond"/>
          <w:i/>
          <w:lang w:val="en-AU"/>
        </w:rPr>
      </w:pPr>
      <w:r w:rsidRPr="00977818">
        <w:rPr>
          <w:rFonts w:ascii="Garamond" w:hAnsi="Garamond"/>
          <w:i/>
          <w:lang w:val="en-AU"/>
        </w:rPr>
        <w:lastRenderedPageBreak/>
        <w:t xml:space="preserve">Potentially Preventable Readmissions: Conceptual Framework </w:t>
      </w:r>
      <w:proofErr w:type="gramStart"/>
      <w:r w:rsidRPr="00977818">
        <w:rPr>
          <w:rFonts w:ascii="Garamond" w:hAnsi="Garamond"/>
          <w:i/>
          <w:lang w:val="en-AU"/>
        </w:rPr>
        <w:t>To</w:t>
      </w:r>
      <w:proofErr w:type="gramEnd"/>
      <w:r w:rsidRPr="00977818">
        <w:rPr>
          <w:rFonts w:ascii="Garamond" w:hAnsi="Garamond"/>
          <w:i/>
          <w:lang w:val="en-AU"/>
        </w:rPr>
        <w:t xml:space="preserve"> Rethink the Role of Primary Care: Final Report</w:t>
      </w:r>
      <w:r w:rsidR="003C7E44">
        <w:rPr>
          <w:rFonts w:ascii="Garamond" w:hAnsi="Garamond"/>
          <w:i/>
          <w:lang w:val="en-AU"/>
        </w:rPr>
        <w:t>`</w:t>
      </w:r>
    </w:p>
    <w:p w:rsidR="002C385A" w:rsidRDefault="002C385A" w:rsidP="007922C5">
      <w:pPr>
        <w:keepNext/>
        <w:keepLines/>
        <w:autoSpaceDE w:val="0"/>
        <w:autoSpaceDN w:val="0"/>
        <w:adjustRightInd w:val="0"/>
        <w:rPr>
          <w:rFonts w:ascii="Garamond" w:hAnsi="Garamond"/>
          <w:lang w:val="en-AU"/>
        </w:rPr>
      </w:pPr>
      <w:r w:rsidRPr="002C385A">
        <w:rPr>
          <w:rFonts w:ascii="Garamond" w:hAnsi="Garamond"/>
          <w:lang w:val="en-AU"/>
        </w:rPr>
        <w:t>Maxwell J, Bourgoin A, Crandall J</w:t>
      </w:r>
    </w:p>
    <w:p w:rsidR="00977818" w:rsidRDefault="002C385A" w:rsidP="007922C5">
      <w:pPr>
        <w:keepNext/>
        <w:keepLines/>
        <w:autoSpaceDE w:val="0"/>
        <w:autoSpaceDN w:val="0"/>
        <w:adjustRightInd w:val="0"/>
        <w:rPr>
          <w:rFonts w:ascii="Garamond" w:hAnsi="Garamond"/>
          <w:lang w:val="en-AU"/>
        </w:rPr>
      </w:pPr>
      <w:r w:rsidRPr="002C385A">
        <w:rPr>
          <w:rFonts w:ascii="Garamond" w:hAnsi="Garamond"/>
          <w:lang w:val="en-AU"/>
        </w:rPr>
        <w:t>Rockville, MD: Agency for Healthcare Research and Quality; 2020.</w:t>
      </w:r>
    </w:p>
    <w:tbl>
      <w:tblPr>
        <w:tblStyle w:val="TableGrid"/>
        <w:tblW w:w="0" w:type="auto"/>
        <w:tblInd w:w="288" w:type="dxa"/>
        <w:tblLayout w:type="fixed"/>
        <w:tblLook w:val="01E0" w:firstRow="1" w:lastRow="1" w:firstColumn="1" w:lastColumn="1" w:noHBand="0" w:noVBand="0"/>
      </w:tblPr>
      <w:tblGrid>
        <w:gridCol w:w="1080"/>
        <w:gridCol w:w="8280"/>
      </w:tblGrid>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977818" w:rsidP="0097781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0170DA" w:rsidRDefault="003C7E44" w:rsidP="001A116F">
            <w:pPr>
              <w:rPr>
                <w:rStyle w:val="Hyperlink"/>
                <w:rFonts w:ascii="Garamond" w:hAnsi="Garamond"/>
                <w:color w:val="auto"/>
                <w:u w:val="none"/>
                <w:lang w:val="en-AU"/>
              </w:rPr>
            </w:pPr>
            <w:hyperlink r:id="rId16" w:history="1">
              <w:r w:rsidR="00977818" w:rsidRPr="00C92F37">
                <w:rPr>
                  <w:rStyle w:val="Hyperlink"/>
                  <w:rFonts w:ascii="Garamond" w:hAnsi="Garamond"/>
                  <w:lang w:val="en-AU"/>
                </w:rPr>
                <w:t>https://www.ahrq.gov/patient-safety/settings/ambulatory/reduce-readmissions.html</w:t>
              </w:r>
            </w:hyperlink>
          </w:p>
        </w:tc>
      </w:tr>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3F6EE2" w:rsidRDefault="00977818" w:rsidP="002C385A">
            <w:pPr>
              <w:rPr>
                <w:rFonts w:ascii="Garamond" w:hAnsi="Garamond"/>
                <w:lang w:val="en-AU"/>
              </w:rPr>
            </w:pPr>
            <w:r>
              <w:rPr>
                <w:rFonts w:ascii="Garamond" w:hAnsi="Garamond"/>
                <w:lang w:val="en-AU"/>
              </w:rPr>
              <w:t xml:space="preserve">Along with many other safety and quality bodies, the </w:t>
            </w:r>
            <w:r w:rsidRPr="00977818">
              <w:rPr>
                <w:rFonts w:ascii="Garamond" w:hAnsi="Garamond"/>
                <w:lang w:val="en-AU"/>
              </w:rPr>
              <w:t>US Agency for Healthcare Research and Quality (AHRQ)</w:t>
            </w:r>
            <w:r>
              <w:rPr>
                <w:rFonts w:ascii="Garamond" w:hAnsi="Garamond"/>
                <w:lang w:val="en-AU"/>
              </w:rPr>
              <w:t xml:space="preserve"> has been examining the issue of readmissions and what proportion </w:t>
            </w:r>
            <w:proofErr w:type="gramStart"/>
            <w:r>
              <w:rPr>
                <w:rFonts w:ascii="Garamond" w:hAnsi="Garamond"/>
                <w:lang w:val="en-AU"/>
              </w:rPr>
              <w:t>may be considered</w:t>
            </w:r>
            <w:proofErr w:type="gramEnd"/>
            <w:r>
              <w:rPr>
                <w:rFonts w:ascii="Garamond" w:hAnsi="Garamond"/>
                <w:lang w:val="en-AU"/>
              </w:rPr>
              <w:t xml:space="preserve"> as “potentially preventable”. In this latest report, the role of primary care is to the fore. Acute, hospital care tends to be much more costly than primary care. The view is that better primary care can be more appropriate and more cost-effective in </w:t>
            </w:r>
            <w:r w:rsidR="002C385A">
              <w:rPr>
                <w:rFonts w:ascii="Garamond" w:hAnsi="Garamond"/>
                <w:lang w:val="en-AU"/>
              </w:rPr>
              <w:t xml:space="preserve">treating patients and thus averting the need for hospital admission for many of these cases. However, in many contexts, primary care is not always well supported and prepared for this role. Along with the report (and a separate executive </w:t>
            </w:r>
            <w:proofErr w:type="gramStart"/>
            <w:r w:rsidR="002C385A">
              <w:rPr>
                <w:rFonts w:ascii="Garamond" w:hAnsi="Garamond"/>
                <w:lang w:val="en-AU"/>
              </w:rPr>
              <w:t>summary)</w:t>
            </w:r>
            <w:proofErr w:type="gramEnd"/>
            <w:r w:rsidR="002C385A">
              <w:rPr>
                <w:rFonts w:ascii="Garamond" w:hAnsi="Garamond"/>
                <w:lang w:val="en-AU"/>
              </w:rPr>
              <w:t xml:space="preserve"> the AHRQ has also made available the </w:t>
            </w:r>
            <w:r w:rsidR="002C385A" w:rsidRPr="002C385A">
              <w:rPr>
                <w:rFonts w:ascii="Garamond" w:hAnsi="Garamond"/>
                <w:i/>
                <w:lang w:val="en-AU"/>
              </w:rPr>
              <w:t>Environmental Scan of Primary Care-Based Efforts To Reduce Readmissions</w:t>
            </w:r>
            <w:r w:rsidR="002C385A">
              <w:rPr>
                <w:rFonts w:ascii="Garamond" w:hAnsi="Garamond"/>
                <w:lang w:val="en-AU"/>
              </w:rPr>
              <w:t>.</w:t>
            </w:r>
          </w:p>
        </w:tc>
      </w:tr>
    </w:tbl>
    <w:p w:rsidR="007922C5" w:rsidRDefault="007922C5" w:rsidP="007922C5">
      <w:pPr>
        <w:rPr>
          <w:rFonts w:ascii="Garamond" w:hAnsi="Garamond"/>
          <w:lang w:val="en-AU"/>
        </w:rPr>
      </w:pPr>
    </w:p>
    <w:p w:rsidR="00386CC5" w:rsidRDefault="00386CC5" w:rsidP="007922C5">
      <w:pPr>
        <w:rPr>
          <w:rFonts w:ascii="Garamond" w:hAnsi="Garamond"/>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386CC5" w:rsidRPr="00834C75" w:rsidRDefault="00386CC5" w:rsidP="00386CC5">
      <w:pPr>
        <w:keepNext/>
        <w:keepLines/>
        <w:autoSpaceDE w:val="0"/>
        <w:autoSpaceDN w:val="0"/>
        <w:adjustRightInd w:val="0"/>
        <w:rPr>
          <w:rFonts w:ascii="Garamond" w:hAnsi="Garamond"/>
          <w:i/>
          <w:lang w:val="en-AU"/>
        </w:rPr>
      </w:pPr>
      <w:r w:rsidRPr="00834C75">
        <w:rPr>
          <w:rFonts w:ascii="Garamond" w:hAnsi="Garamond"/>
          <w:i/>
          <w:lang w:val="en-AU"/>
        </w:rPr>
        <w:t>Engaging patients and families in communication across transitions of care: An integrative review</w:t>
      </w:r>
    </w:p>
    <w:p w:rsidR="00386CC5" w:rsidRDefault="00386CC5" w:rsidP="00386CC5">
      <w:pPr>
        <w:keepNext/>
        <w:keepLines/>
        <w:autoSpaceDE w:val="0"/>
        <w:autoSpaceDN w:val="0"/>
        <w:adjustRightInd w:val="0"/>
        <w:rPr>
          <w:rFonts w:ascii="Garamond" w:hAnsi="Garamond"/>
          <w:lang w:val="en-AU"/>
        </w:rPr>
      </w:pPr>
      <w:r w:rsidRPr="00834C75">
        <w:rPr>
          <w:rFonts w:ascii="Garamond" w:hAnsi="Garamond"/>
          <w:lang w:val="en-AU"/>
        </w:rPr>
        <w:t>Bucknall TK, Hutchinson AM, Botti M, McTier L, Rawson H, Hitch D, et al</w:t>
      </w:r>
    </w:p>
    <w:p w:rsidR="00386CC5" w:rsidRDefault="00386CC5" w:rsidP="00386CC5">
      <w:pPr>
        <w:keepNext/>
        <w:keepLines/>
        <w:autoSpaceDE w:val="0"/>
        <w:autoSpaceDN w:val="0"/>
        <w:adjustRightInd w:val="0"/>
        <w:rPr>
          <w:rFonts w:ascii="Garamond" w:hAnsi="Garamond"/>
          <w:lang w:val="en-AU"/>
        </w:rPr>
      </w:pPr>
      <w:r w:rsidRPr="00834C75">
        <w:rPr>
          <w:rFonts w:ascii="Garamond" w:hAnsi="Garamond"/>
          <w:lang w:val="en-AU"/>
        </w:rPr>
        <w:t xml:space="preserve">Patient Education and Counseling. </w:t>
      </w:r>
      <w:proofErr w:type="gramStart"/>
      <w:r w:rsidRPr="00834C75">
        <w:rPr>
          <w:rFonts w:ascii="Garamond" w:hAnsi="Garamond"/>
          <w:lang w:val="en-AU"/>
        </w:rPr>
        <w:t>2020</w:t>
      </w:r>
      <w:proofErr w:type="gramEnd"/>
      <w:r>
        <w:rPr>
          <w:rFonts w:ascii="Garamond" w:hAnsi="Garamond"/>
          <w:lang w:val="en-AU"/>
        </w:rPr>
        <w:t xml:space="preserve"> [epub]</w:t>
      </w:r>
      <w:r w:rsidRPr="00834C7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86CC5" w:rsidRPr="000170DA" w:rsidTr="008F2C06">
        <w:tc>
          <w:tcPr>
            <w:tcW w:w="1080" w:type="dxa"/>
            <w:tcBorders>
              <w:top w:val="single" w:sz="4" w:space="0" w:color="auto"/>
              <w:left w:val="single" w:sz="4" w:space="0" w:color="auto"/>
              <w:bottom w:val="single" w:sz="4" w:space="0" w:color="auto"/>
              <w:right w:val="single" w:sz="4" w:space="0" w:color="auto"/>
            </w:tcBorders>
            <w:vAlign w:val="center"/>
          </w:tcPr>
          <w:p w:rsidR="00386CC5" w:rsidRPr="000170DA" w:rsidRDefault="00386CC5" w:rsidP="008F2C0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86CC5" w:rsidRPr="000170DA" w:rsidRDefault="003C7E44" w:rsidP="008F2C06">
            <w:pPr>
              <w:rPr>
                <w:rStyle w:val="Hyperlink"/>
                <w:rFonts w:ascii="Garamond" w:hAnsi="Garamond"/>
                <w:color w:val="auto"/>
                <w:u w:val="none"/>
                <w:lang w:val="en-AU"/>
              </w:rPr>
            </w:pPr>
            <w:hyperlink r:id="rId17" w:history="1">
              <w:r w:rsidR="00386CC5" w:rsidRPr="00504C85">
                <w:rPr>
                  <w:rStyle w:val="Hyperlink"/>
                  <w:rFonts w:ascii="Garamond" w:hAnsi="Garamond"/>
                  <w:lang w:val="en-AU"/>
                </w:rPr>
                <w:t>https://doi.org/10.1016/j.pec.2020.01.017</w:t>
              </w:r>
            </w:hyperlink>
          </w:p>
        </w:tc>
      </w:tr>
      <w:tr w:rsidR="00386CC5" w:rsidRPr="000170DA" w:rsidTr="008F2C06">
        <w:tc>
          <w:tcPr>
            <w:tcW w:w="1080" w:type="dxa"/>
            <w:tcBorders>
              <w:top w:val="single" w:sz="4" w:space="0" w:color="auto"/>
              <w:left w:val="single" w:sz="4" w:space="0" w:color="auto"/>
              <w:bottom w:val="single" w:sz="4" w:space="0" w:color="auto"/>
              <w:right w:val="single" w:sz="4" w:space="0" w:color="auto"/>
            </w:tcBorders>
            <w:vAlign w:val="center"/>
          </w:tcPr>
          <w:p w:rsidR="00386CC5" w:rsidRPr="000170DA" w:rsidRDefault="00386CC5" w:rsidP="008F2C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86CC5" w:rsidRPr="003F6EE2" w:rsidRDefault="00386CC5" w:rsidP="008F2C06">
            <w:pPr>
              <w:keepNext/>
              <w:keepLines/>
              <w:autoSpaceDE w:val="0"/>
              <w:autoSpaceDN w:val="0"/>
              <w:adjustRightInd w:val="0"/>
              <w:rPr>
                <w:rFonts w:ascii="Garamond" w:hAnsi="Garamond"/>
                <w:lang w:val="en-AU"/>
              </w:rPr>
            </w:pPr>
            <w:r w:rsidRPr="00834C75">
              <w:rPr>
                <w:rFonts w:ascii="Garamond" w:hAnsi="Garamond"/>
                <w:lang w:val="en-AU"/>
              </w:rPr>
              <w:t xml:space="preserve">This review </w:t>
            </w:r>
            <w:r>
              <w:rPr>
                <w:rFonts w:ascii="Garamond" w:hAnsi="Garamond"/>
                <w:lang w:val="en-AU"/>
              </w:rPr>
              <w:t xml:space="preserve">sought </w:t>
            </w:r>
            <w:r w:rsidRPr="00834C75">
              <w:rPr>
                <w:rFonts w:ascii="Garamond" w:hAnsi="Garamond"/>
                <w:lang w:val="en-AU"/>
              </w:rPr>
              <w:t xml:space="preserve">to </w:t>
            </w:r>
            <w:r>
              <w:rPr>
                <w:rFonts w:ascii="Garamond" w:hAnsi="Garamond"/>
                <w:lang w:val="en-AU"/>
              </w:rPr>
              <w:t xml:space="preserve">examine </w:t>
            </w:r>
            <w:r w:rsidRPr="00834C75">
              <w:rPr>
                <w:rFonts w:ascii="Garamond" w:hAnsi="Garamond"/>
                <w:lang w:val="en-AU"/>
              </w:rPr>
              <w:t xml:space="preserve">the current evidence about patient and family engagement in communication with health professions during transitions of care to, within and from acute care settings. The review found that while attitudes towards engaging patients and their families in transition communication was generally positive, current practices are variable. Organisational strategies to improve communication must incorporate an understanding of patient needs; and a structured approach that considers timing, privacy, location and appropriateness for patients and families </w:t>
            </w:r>
            <w:proofErr w:type="gramStart"/>
            <w:r w:rsidRPr="00834C75">
              <w:rPr>
                <w:rFonts w:ascii="Garamond" w:hAnsi="Garamond"/>
                <w:lang w:val="en-AU"/>
              </w:rPr>
              <w:t>is needed</w:t>
            </w:r>
            <w:proofErr w:type="gramEnd"/>
            <w:r w:rsidRPr="00834C75">
              <w:rPr>
                <w:rFonts w:ascii="Garamond" w:hAnsi="Garamond"/>
                <w:lang w:val="en-AU"/>
              </w:rPr>
              <w:t xml:space="preserve">. Communication training is also required for patients, families and health professionals, with health professionals respecting a patient’s right to </w:t>
            </w:r>
            <w:proofErr w:type="gramStart"/>
            <w:r w:rsidRPr="00834C75">
              <w:rPr>
                <w:rFonts w:ascii="Garamond" w:hAnsi="Garamond"/>
                <w:lang w:val="en-AU"/>
              </w:rPr>
              <w:t>be informed</w:t>
            </w:r>
            <w:proofErr w:type="gramEnd"/>
            <w:r w:rsidRPr="00834C75">
              <w:rPr>
                <w:rFonts w:ascii="Garamond" w:hAnsi="Garamond"/>
                <w:lang w:val="en-AU"/>
              </w:rPr>
              <w:t xml:space="preserve"> by regularly communicating.</w:t>
            </w:r>
          </w:p>
        </w:tc>
      </w:tr>
    </w:tbl>
    <w:p w:rsidR="00386CC5" w:rsidRDefault="00386CC5" w:rsidP="00386CC5">
      <w:pPr>
        <w:rPr>
          <w:rFonts w:ascii="Garamond" w:hAnsi="Garamond"/>
          <w:lang w:val="en-AU"/>
        </w:rPr>
      </w:pPr>
    </w:p>
    <w:p w:rsidR="00D4605D" w:rsidRDefault="00386CC5" w:rsidP="00386CC5">
      <w:pPr>
        <w:rPr>
          <w:rFonts w:ascii="Garamond" w:hAnsi="Garamond"/>
          <w:lang w:val="en-AU"/>
        </w:rPr>
      </w:pPr>
      <w:r w:rsidRPr="00834C75">
        <w:rPr>
          <w:rFonts w:ascii="Garamond" w:hAnsi="Garamond"/>
          <w:lang w:val="en-AU"/>
        </w:rPr>
        <w:t xml:space="preserve">For information on the Commission’s work on patient-clinician communication, </w:t>
      </w:r>
      <w:proofErr w:type="gramStart"/>
      <w:r w:rsidRPr="00834C75">
        <w:rPr>
          <w:rFonts w:ascii="Garamond" w:hAnsi="Garamond"/>
          <w:lang w:val="en-AU"/>
        </w:rPr>
        <w:t xml:space="preserve">see  </w:t>
      </w:r>
      <w:proofErr w:type="gramEnd"/>
      <w:r w:rsidR="002F3217">
        <w:fldChar w:fldCharType="begin"/>
      </w:r>
      <w:r w:rsidR="002F3217">
        <w:instrText xml:space="preserve"> HYPERLINK "https://www.safetyandquality.gov.au/our-work/communicating-safety/patient-clinician-communication" </w:instrText>
      </w:r>
      <w:r w:rsidR="002F3217">
        <w:fldChar w:fldCharType="separate"/>
      </w:r>
      <w:r w:rsidRPr="00504C85">
        <w:rPr>
          <w:rStyle w:val="Hyperlink"/>
          <w:rFonts w:ascii="Garamond" w:hAnsi="Garamond"/>
          <w:lang w:val="en-AU"/>
        </w:rPr>
        <w:t>https://www.safetyandquality.gov.au/our-work/communicating-safety/patient-clinician-communication</w:t>
      </w:r>
      <w:r w:rsidR="002F3217">
        <w:rPr>
          <w:rStyle w:val="Hyperlink"/>
          <w:rFonts w:ascii="Garamond" w:hAnsi="Garamond"/>
          <w:lang w:val="en-AU"/>
        </w:rPr>
        <w:fldChar w:fldCharType="end"/>
      </w:r>
      <w:r w:rsidRPr="00834C75">
        <w:rPr>
          <w:rFonts w:ascii="Garamond" w:hAnsi="Garamond"/>
          <w:lang w:val="en-AU"/>
        </w:rPr>
        <w:t xml:space="preserve"> </w:t>
      </w:r>
    </w:p>
    <w:p w:rsidR="00386CC5" w:rsidRDefault="00386CC5" w:rsidP="00386CC5">
      <w:pPr>
        <w:rPr>
          <w:rFonts w:ascii="Garamond" w:hAnsi="Garamond"/>
          <w:lang w:val="en-AU"/>
        </w:rPr>
      </w:pPr>
      <w:r w:rsidRPr="00834C75">
        <w:rPr>
          <w:rFonts w:ascii="Garamond" w:hAnsi="Garamond"/>
          <w:lang w:val="en-AU"/>
        </w:rPr>
        <w:t xml:space="preserve">For helpful </w:t>
      </w:r>
      <w:proofErr w:type="gramStart"/>
      <w:r w:rsidRPr="00834C75">
        <w:rPr>
          <w:rFonts w:ascii="Garamond" w:hAnsi="Garamond"/>
          <w:lang w:val="en-AU"/>
        </w:rPr>
        <w:t>resources</w:t>
      </w:r>
      <w:proofErr w:type="gramEnd"/>
      <w:r w:rsidRPr="00834C75">
        <w:rPr>
          <w:rFonts w:ascii="Garamond" w:hAnsi="Garamond"/>
          <w:lang w:val="en-AU"/>
        </w:rPr>
        <w:t xml:space="preserve"> visit the </w:t>
      </w:r>
      <w:r w:rsidRPr="00834C75">
        <w:rPr>
          <w:rFonts w:ascii="Garamond" w:hAnsi="Garamond"/>
          <w:i/>
          <w:lang w:val="en-AU"/>
        </w:rPr>
        <w:t>Communicating for Safety resource portal</w:t>
      </w:r>
      <w:r>
        <w:rPr>
          <w:rFonts w:ascii="Garamond" w:hAnsi="Garamond"/>
          <w:lang w:val="en-AU"/>
        </w:rPr>
        <w:t xml:space="preserve"> at </w:t>
      </w:r>
      <w:hyperlink r:id="rId18" w:history="1">
        <w:r w:rsidRPr="00504C85">
          <w:rPr>
            <w:rStyle w:val="Hyperlink"/>
            <w:rFonts w:ascii="Garamond" w:hAnsi="Garamond"/>
            <w:lang w:val="en-AU"/>
          </w:rPr>
          <w:t>https://c4sportal.safetyandquality.gov.au/</w:t>
        </w:r>
      </w:hyperlink>
    </w:p>
    <w:p w:rsidR="00386CC5" w:rsidRDefault="00386CC5" w:rsidP="00386CC5">
      <w:pPr>
        <w:keepNext/>
        <w:keepLines/>
        <w:autoSpaceDE w:val="0"/>
        <w:autoSpaceDN w:val="0"/>
        <w:adjustRightInd w:val="0"/>
        <w:rPr>
          <w:rFonts w:ascii="Garamond" w:hAnsi="Garamond"/>
          <w:i/>
          <w:lang w:val="en-AU"/>
        </w:rPr>
      </w:pPr>
    </w:p>
    <w:p w:rsidR="006170E3" w:rsidRPr="00386CC5" w:rsidRDefault="006170E3" w:rsidP="006170E3">
      <w:pPr>
        <w:rPr>
          <w:rFonts w:ascii="Garamond" w:hAnsi="Garamond"/>
          <w:i/>
          <w:lang w:val="en-AU"/>
        </w:rPr>
      </w:pPr>
      <w:r w:rsidRPr="00386CC5">
        <w:rPr>
          <w:rFonts w:ascii="Garamond" w:hAnsi="Garamond"/>
          <w:i/>
          <w:lang w:val="en-AU"/>
        </w:rPr>
        <w:t>Clinical guideline for homeless and vulnerably housed people, and people with lived homelessness experience</w:t>
      </w:r>
    </w:p>
    <w:p w:rsidR="006170E3" w:rsidRDefault="006170E3" w:rsidP="006170E3">
      <w:pPr>
        <w:rPr>
          <w:rFonts w:ascii="Garamond" w:hAnsi="Garamond"/>
          <w:lang w:val="en-AU"/>
        </w:rPr>
      </w:pPr>
      <w:r w:rsidRPr="00386CC5">
        <w:rPr>
          <w:rFonts w:ascii="Garamond" w:hAnsi="Garamond"/>
          <w:lang w:val="en-AU"/>
        </w:rPr>
        <w:t>Pottie K, Kendall CE, Aubry T, Magwood O, Andermann A, Salvalaggio G, et al</w:t>
      </w:r>
    </w:p>
    <w:p w:rsidR="006170E3" w:rsidRDefault="006170E3" w:rsidP="006170E3">
      <w:pPr>
        <w:rPr>
          <w:rFonts w:ascii="Garamond" w:hAnsi="Garamond"/>
          <w:lang w:val="en-AU"/>
        </w:rPr>
      </w:pPr>
      <w:r w:rsidRPr="00386CC5">
        <w:rPr>
          <w:rFonts w:ascii="Garamond" w:hAnsi="Garamond"/>
          <w:lang w:val="en-AU"/>
        </w:rPr>
        <w:t>Canadian Medical Association Journal. 2020</w:t>
      </w:r>
      <w:proofErr w:type="gramStart"/>
      <w:r w:rsidRPr="00386CC5">
        <w:rPr>
          <w:rFonts w:ascii="Garamond" w:hAnsi="Garamond"/>
          <w:lang w:val="en-AU"/>
        </w:rPr>
        <w:t>;192</w:t>
      </w:r>
      <w:proofErr w:type="gramEnd"/>
      <w:r w:rsidRPr="00386CC5">
        <w:rPr>
          <w:rFonts w:ascii="Garamond" w:hAnsi="Garamond"/>
          <w:lang w:val="en-AU"/>
        </w:rPr>
        <w:t>(10):E240.</w:t>
      </w:r>
    </w:p>
    <w:tbl>
      <w:tblPr>
        <w:tblStyle w:val="TableGrid"/>
        <w:tblW w:w="9360" w:type="dxa"/>
        <w:tblInd w:w="288" w:type="dxa"/>
        <w:tblLayout w:type="fixed"/>
        <w:tblLook w:val="01E0" w:firstRow="1" w:lastRow="1" w:firstColumn="1" w:lastColumn="1" w:noHBand="0" w:noVBand="0"/>
      </w:tblPr>
      <w:tblGrid>
        <w:gridCol w:w="1080"/>
        <w:gridCol w:w="8280"/>
      </w:tblGrid>
      <w:tr w:rsidR="006170E3" w:rsidRPr="000170DA" w:rsidTr="008F2C06">
        <w:tc>
          <w:tcPr>
            <w:tcW w:w="1080" w:type="dxa"/>
            <w:tcBorders>
              <w:top w:val="single" w:sz="4" w:space="0" w:color="auto"/>
              <w:left w:val="single" w:sz="4" w:space="0" w:color="auto"/>
              <w:bottom w:val="single" w:sz="4" w:space="0" w:color="auto"/>
              <w:right w:val="single" w:sz="4" w:space="0" w:color="auto"/>
            </w:tcBorders>
            <w:vAlign w:val="center"/>
          </w:tcPr>
          <w:p w:rsidR="006170E3" w:rsidRPr="000170DA" w:rsidRDefault="006170E3" w:rsidP="008F2C0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170E3" w:rsidRPr="000170DA" w:rsidRDefault="003C7E44" w:rsidP="008F2C06">
            <w:pPr>
              <w:rPr>
                <w:rStyle w:val="Hyperlink"/>
                <w:rFonts w:ascii="Garamond" w:hAnsi="Garamond"/>
                <w:color w:val="auto"/>
                <w:u w:val="none"/>
                <w:lang w:val="en-AU"/>
              </w:rPr>
            </w:pPr>
            <w:hyperlink r:id="rId19" w:history="1">
              <w:r w:rsidR="006170E3" w:rsidRPr="00C92F37">
                <w:rPr>
                  <w:rStyle w:val="Hyperlink"/>
                  <w:rFonts w:ascii="Garamond" w:hAnsi="Garamond"/>
                  <w:lang w:val="en-AU"/>
                </w:rPr>
                <w:t>https://doi.org/10.1503/cmaj.190777</w:t>
              </w:r>
            </w:hyperlink>
          </w:p>
        </w:tc>
      </w:tr>
      <w:tr w:rsidR="006170E3" w:rsidRPr="000170DA" w:rsidTr="008F2C06">
        <w:tc>
          <w:tcPr>
            <w:tcW w:w="1080" w:type="dxa"/>
            <w:tcBorders>
              <w:top w:val="single" w:sz="4" w:space="0" w:color="auto"/>
              <w:left w:val="single" w:sz="4" w:space="0" w:color="auto"/>
              <w:bottom w:val="single" w:sz="4" w:space="0" w:color="auto"/>
              <w:right w:val="single" w:sz="4" w:space="0" w:color="auto"/>
            </w:tcBorders>
            <w:vAlign w:val="center"/>
          </w:tcPr>
          <w:p w:rsidR="006170E3" w:rsidRPr="000170DA" w:rsidRDefault="006170E3" w:rsidP="008F2C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70E3" w:rsidRPr="003F6EE2" w:rsidRDefault="006170E3" w:rsidP="008F2C06">
            <w:pPr>
              <w:rPr>
                <w:rFonts w:ascii="Garamond" w:hAnsi="Garamond"/>
                <w:lang w:val="en-AU"/>
              </w:rPr>
            </w:pPr>
            <w:r>
              <w:rPr>
                <w:rFonts w:ascii="Garamond" w:hAnsi="Garamond"/>
                <w:lang w:val="en-AU"/>
              </w:rPr>
              <w:t xml:space="preserve">A critique that has been made of clinical guidelines is that they tend to be for a single condition and/or not based on “real world” lived experience. This guideline published in the </w:t>
            </w:r>
            <w:r w:rsidRPr="00386CC5">
              <w:rPr>
                <w:rFonts w:ascii="Garamond" w:hAnsi="Garamond"/>
                <w:i/>
                <w:lang w:val="en-AU"/>
              </w:rPr>
              <w:t>Canadian Medical Association Journal</w:t>
            </w:r>
            <w:r>
              <w:rPr>
                <w:rFonts w:ascii="Garamond" w:hAnsi="Garamond"/>
                <w:lang w:val="en-AU"/>
              </w:rPr>
              <w:t xml:space="preserve"> seeks to provide guidance on how clinicians can assist/treat homeless and vulnerably housed people, particular Indigenous people. Clearly, this guideline is specific to the Canadian context, but many have much that </w:t>
            </w:r>
            <w:proofErr w:type="gramStart"/>
            <w:r>
              <w:rPr>
                <w:rFonts w:ascii="Garamond" w:hAnsi="Garamond"/>
                <w:lang w:val="en-AU"/>
              </w:rPr>
              <w:t>could be considered and applied or amended to suit other contexts</w:t>
            </w:r>
            <w:proofErr w:type="gramEnd"/>
            <w:r>
              <w:rPr>
                <w:rFonts w:ascii="Garamond" w:hAnsi="Garamond"/>
                <w:lang w:val="en-AU"/>
              </w:rPr>
              <w:t>.</w:t>
            </w:r>
          </w:p>
        </w:tc>
      </w:tr>
    </w:tbl>
    <w:p w:rsidR="006170E3" w:rsidRDefault="006170E3" w:rsidP="006170E3">
      <w:pPr>
        <w:rPr>
          <w:rFonts w:ascii="Garamond" w:hAnsi="Garamond"/>
          <w:lang w:val="en-AU"/>
        </w:rPr>
      </w:pPr>
    </w:p>
    <w:p w:rsidR="00262251" w:rsidRPr="00262251" w:rsidRDefault="00262251" w:rsidP="00262251">
      <w:pPr>
        <w:keepNext/>
        <w:keepLines/>
        <w:autoSpaceDE w:val="0"/>
        <w:autoSpaceDN w:val="0"/>
        <w:adjustRightInd w:val="0"/>
        <w:rPr>
          <w:rFonts w:ascii="Garamond" w:hAnsi="Garamond"/>
          <w:i/>
          <w:lang w:val="en-AU"/>
        </w:rPr>
      </w:pPr>
      <w:r w:rsidRPr="00262251">
        <w:rPr>
          <w:rFonts w:ascii="Garamond" w:hAnsi="Garamond"/>
          <w:i/>
          <w:lang w:val="en-AU"/>
        </w:rPr>
        <w:lastRenderedPageBreak/>
        <w:t>Implementing a sustainable medication reconciliation process in Australian hospitals: The World Health Organization High 5s project</w:t>
      </w:r>
    </w:p>
    <w:p w:rsidR="00262251" w:rsidRDefault="00262251" w:rsidP="00262251">
      <w:pPr>
        <w:keepNext/>
        <w:keepLines/>
        <w:autoSpaceDE w:val="0"/>
        <w:autoSpaceDN w:val="0"/>
        <w:adjustRightInd w:val="0"/>
        <w:rPr>
          <w:rFonts w:ascii="Garamond" w:hAnsi="Garamond"/>
          <w:lang w:val="en-AU"/>
        </w:rPr>
      </w:pPr>
      <w:r w:rsidRPr="00262251">
        <w:rPr>
          <w:rFonts w:ascii="Garamond" w:hAnsi="Garamond"/>
          <w:lang w:val="en-AU"/>
        </w:rPr>
        <w:t>Stark HE, Graudins LV, McGuire TM, Lee CYY, Duguid MJ</w:t>
      </w:r>
    </w:p>
    <w:p w:rsidR="00262251" w:rsidRDefault="00262251" w:rsidP="00262251">
      <w:pPr>
        <w:keepNext/>
        <w:keepLines/>
        <w:autoSpaceDE w:val="0"/>
        <w:autoSpaceDN w:val="0"/>
        <w:adjustRightInd w:val="0"/>
        <w:rPr>
          <w:rFonts w:ascii="Garamond" w:hAnsi="Garamond"/>
          <w:lang w:val="en-AU"/>
        </w:rPr>
      </w:pPr>
      <w:r w:rsidRPr="00262251">
        <w:rPr>
          <w:rFonts w:ascii="Garamond" w:hAnsi="Garamond"/>
          <w:lang w:val="en-AU"/>
        </w:rPr>
        <w:t>Research in Social and Administrative Pharmacy. 2020</w:t>
      </w:r>
      <w:proofErr w:type="gramStart"/>
      <w:r w:rsidRPr="00262251">
        <w:rPr>
          <w:rFonts w:ascii="Garamond" w:hAnsi="Garamond"/>
          <w:lang w:val="en-AU"/>
        </w:rPr>
        <w:t>;16</w:t>
      </w:r>
      <w:proofErr w:type="gramEnd"/>
      <w:r w:rsidRPr="00262251">
        <w:rPr>
          <w:rFonts w:ascii="Garamond" w:hAnsi="Garamond"/>
          <w:lang w:val="en-AU"/>
        </w:rPr>
        <w:t>(3):290-298.</w:t>
      </w:r>
    </w:p>
    <w:tbl>
      <w:tblPr>
        <w:tblStyle w:val="TableGrid"/>
        <w:tblW w:w="0" w:type="auto"/>
        <w:tblInd w:w="288" w:type="dxa"/>
        <w:tblLayout w:type="fixed"/>
        <w:tblLook w:val="01E0" w:firstRow="1" w:lastRow="1" w:firstColumn="1" w:lastColumn="1" w:noHBand="0" w:noVBand="0"/>
      </w:tblPr>
      <w:tblGrid>
        <w:gridCol w:w="1080"/>
        <w:gridCol w:w="8280"/>
      </w:tblGrid>
      <w:tr w:rsidR="00262251" w:rsidRPr="000170DA" w:rsidTr="008F2C06">
        <w:tc>
          <w:tcPr>
            <w:tcW w:w="1080" w:type="dxa"/>
            <w:tcBorders>
              <w:top w:val="single" w:sz="4" w:space="0" w:color="auto"/>
              <w:left w:val="single" w:sz="4" w:space="0" w:color="auto"/>
              <w:bottom w:val="single" w:sz="4" w:space="0" w:color="auto"/>
              <w:right w:val="single" w:sz="4" w:space="0" w:color="auto"/>
            </w:tcBorders>
            <w:vAlign w:val="center"/>
          </w:tcPr>
          <w:p w:rsidR="00262251" w:rsidRPr="000170DA" w:rsidRDefault="00262251" w:rsidP="008F2C0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62251" w:rsidRPr="000170DA" w:rsidRDefault="003C7E44" w:rsidP="008F2C06">
            <w:pPr>
              <w:rPr>
                <w:rStyle w:val="Hyperlink"/>
                <w:rFonts w:ascii="Garamond" w:hAnsi="Garamond"/>
                <w:color w:val="auto"/>
                <w:u w:val="none"/>
                <w:lang w:val="en-AU"/>
              </w:rPr>
            </w:pPr>
            <w:hyperlink r:id="rId20" w:history="1">
              <w:r w:rsidR="00262251" w:rsidRPr="00C92F37">
                <w:rPr>
                  <w:rStyle w:val="Hyperlink"/>
                  <w:rFonts w:ascii="Garamond" w:hAnsi="Garamond"/>
                  <w:lang w:val="en-AU"/>
                </w:rPr>
                <w:t>https://doi.org/10.1016/j.sapharm.2019.05.011</w:t>
              </w:r>
            </w:hyperlink>
          </w:p>
        </w:tc>
      </w:tr>
      <w:tr w:rsidR="00262251" w:rsidRPr="000170DA" w:rsidTr="008F2C06">
        <w:tc>
          <w:tcPr>
            <w:tcW w:w="1080" w:type="dxa"/>
            <w:tcBorders>
              <w:top w:val="single" w:sz="4" w:space="0" w:color="auto"/>
              <w:left w:val="single" w:sz="4" w:space="0" w:color="auto"/>
              <w:bottom w:val="single" w:sz="4" w:space="0" w:color="auto"/>
              <w:right w:val="single" w:sz="4" w:space="0" w:color="auto"/>
            </w:tcBorders>
            <w:vAlign w:val="center"/>
          </w:tcPr>
          <w:p w:rsidR="00262251" w:rsidRPr="000170DA" w:rsidRDefault="00262251" w:rsidP="008F2C0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62251" w:rsidRPr="003F6EE2" w:rsidRDefault="00262251" w:rsidP="00262251">
            <w:pPr>
              <w:rPr>
                <w:rFonts w:ascii="Garamond" w:hAnsi="Garamond"/>
                <w:lang w:val="en-AU"/>
              </w:rPr>
            </w:pPr>
            <w:r>
              <w:rPr>
                <w:rFonts w:ascii="Garamond" w:hAnsi="Garamond"/>
                <w:lang w:val="en-AU"/>
              </w:rPr>
              <w:t xml:space="preserve">Paper reporting on the Australian experience in implementing the </w:t>
            </w:r>
            <w:r w:rsidRPr="00262251">
              <w:rPr>
                <w:rFonts w:ascii="Garamond" w:hAnsi="Garamond"/>
                <w:lang w:val="en-AU"/>
              </w:rPr>
              <w:t>World Health Organization High 5s project</w:t>
            </w:r>
            <w:r>
              <w:rPr>
                <w:rFonts w:ascii="Garamond" w:hAnsi="Garamond"/>
                <w:lang w:val="en-AU"/>
              </w:rPr>
              <w:t xml:space="preserve"> for medication reconciliation</w:t>
            </w:r>
            <w:r w:rsidR="00D4605D">
              <w:rPr>
                <w:rFonts w:ascii="Garamond" w:hAnsi="Garamond"/>
                <w:lang w:val="en-AU"/>
              </w:rPr>
              <w:t xml:space="preserve"> (medrec)</w:t>
            </w:r>
            <w:r>
              <w:rPr>
                <w:rFonts w:ascii="Garamond" w:hAnsi="Garamond"/>
                <w:lang w:val="en-AU"/>
              </w:rPr>
              <w:t>. The project sought to ‘</w:t>
            </w:r>
            <w:r w:rsidRPr="00262251">
              <w:rPr>
                <w:rFonts w:ascii="Garamond" w:hAnsi="Garamond"/>
                <w:lang w:val="en-AU"/>
              </w:rPr>
              <w:t>determine the feasibility of implementing the World Health Organization (WHO) Medrec Standard Operating Protocol (SOP) in a range of Australian acute care facilities to achieve measurable and sustainable reductions in medication discrepancies occurring at admission.</w:t>
            </w:r>
            <w:r>
              <w:rPr>
                <w:rFonts w:ascii="Garamond" w:hAnsi="Garamond"/>
                <w:lang w:val="en-AU"/>
              </w:rPr>
              <w:t xml:space="preserve">’ Co-ordinated by the Australian Commission on Safety and Quality in Health Care, this was a </w:t>
            </w:r>
            <w:r w:rsidRPr="00262251">
              <w:rPr>
                <w:rFonts w:ascii="Garamond" w:hAnsi="Garamond"/>
                <w:lang w:val="en-AU"/>
              </w:rPr>
              <w:t>multicentre national study conducted in ten academic, urban and regional hospitals to implement the SOP using WHO High 5s project and quality improvement methodology</w:t>
            </w:r>
            <w:r>
              <w:rPr>
                <w:rFonts w:ascii="Garamond" w:hAnsi="Garamond"/>
                <w:lang w:val="en-AU"/>
              </w:rPr>
              <w:t>. The authors concluded that implementing ‘</w:t>
            </w:r>
            <w:r w:rsidRPr="00262251">
              <w:rPr>
                <w:rFonts w:ascii="Garamond" w:hAnsi="Garamond"/>
                <w:lang w:val="en-AU"/>
              </w:rPr>
              <w:t>The WHO SOP was feasible, although challenging, to implement in a range of acute health services, and produced measureable and sustainable improvements in medicines information accuracy on admission. Sustaining the quantum of quality and timely medrec requires investment in pharmacist resources and electronic systems integration.</w:t>
            </w:r>
            <w:r>
              <w:rPr>
                <w:rFonts w:ascii="Garamond" w:hAnsi="Garamond"/>
                <w:lang w:val="en-AU"/>
              </w:rPr>
              <w:t>’</w:t>
            </w:r>
          </w:p>
        </w:tc>
      </w:tr>
    </w:tbl>
    <w:p w:rsidR="00262251" w:rsidRDefault="00262251" w:rsidP="00262251">
      <w:pPr>
        <w:rPr>
          <w:rFonts w:ascii="Garamond" w:hAnsi="Garamond"/>
          <w:lang w:val="en-AU"/>
        </w:rPr>
      </w:pPr>
    </w:p>
    <w:p w:rsidR="00262251" w:rsidRDefault="00262251" w:rsidP="00262251">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 xml:space="preserve">medication safety, including medication reconciliation, see </w:t>
      </w:r>
      <w:hyperlink r:id="rId21" w:history="1">
        <w:r w:rsidRPr="009F0EF4">
          <w:rPr>
            <w:rStyle w:val="Hyperlink"/>
            <w:rFonts w:ascii="Garamond" w:hAnsi="Garamond"/>
            <w:lang w:val="en-AU"/>
          </w:rPr>
          <w:t>https://www.safetyandquality.gov.au/our-work/medication-safety</w:t>
        </w:r>
      </w:hyperlink>
    </w:p>
    <w:p w:rsidR="00262251" w:rsidRDefault="00262251" w:rsidP="00262251">
      <w:pPr>
        <w:rPr>
          <w:rFonts w:ascii="Garamond" w:hAnsi="Garamond"/>
          <w:lang w:val="en-AU"/>
        </w:rPr>
      </w:pPr>
    </w:p>
    <w:p w:rsidR="00262251" w:rsidRDefault="00262251" w:rsidP="00262251">
      <w:pPr>
        <w:rPr>
          <w:rFonts w:ascii="Garamond" w:hAnsi="Garamond"/>
          <w:lang w:val="en-AU"/>
        </w:rPr>
      </w:pPr>
      <w:r w:rsidRPr="008F7CB1">
        <w:rPr>
          <w:rFonts w:ascii="Garamond" w:hAnsi="Garamond"/>
          <w:lang w:val="en-AU"/>
        </w:rPr>
        <w:t>For information on the Commission’s work on</w:t>
      </w:r>
      <w:r>
        <w:rPr>
          <w:rFonts w:ascii="Garamond" w:hAnsi="Garamond"/>
          <w:lang w:val="en-AU"/>
        </w:rPr>
        <w:t xml:space="preserve"> the </w:t>
      </w:r>
      <w:r w:rsidRPr="00262251">
        <w:rPr>
          <w:rFonts w:ascii="Garamond" w:hAnsi="Garamond"/>
          <w:lang w:val="en-AU"/>
        </w:rPr>
        <w:t>World Health Organization’s High 5s Medication Reconciliation Project</w:t>
      </w:r>
      <w:r>
        <w:rPr>
          <w:rFonts w:ascii="Garamond" w:hAnsi="Garamond"/>
          <w:lang w:val="en-AU"/>
        </w:rPr>
        <w:t xml:space="preserve">, see </w:t>
      </w:r>
      <w:hyperlink r:id="rId22" w:history="1">
        <w:r w:rsidRPr="00C92F37">
          <w:rPr>
            <w:rStyle w:val="Hyperlink"/>
            <w:rFonts w:ascii="Garamond" w:hAnsi="Garamond"/>
            <w:lang w:val="en-AU"/>
          </w:rPr>
          <w:t>https://www.safetyandquality.gov.au/our-work/medication-safety/medication-reconciliation/world-health-organizations-high-5s-medication-reconciliation-project</w:t>
        </w:r>
      </w:hyperlink>
    </w:p>
    <w:p w:rsidR="00262251" w:rsidRDefault="00262251" w:rsidP="00262251">
      <w:pPr>
        <w:keepNext/>
        <w:keepLines/>
        <w:autoSpaceDE w:val="0"/>
        <w:autoSpaceDN w:val="0"/>
        <w:adjustRightInd w:val="0"/>
        <w:rPr>
          <w:rFonts w:ascii="Garamond" w:hAnsi="Garamond"/>
          <w:lang w:val="en-AU"/>
        </w:rPr>
      </w:pPr>
    </w:p>
    <w:p w:rsidR="007922C5" w:rsidRPr="007E5E4D" w:rsidRDefault="007E5E4D" w:rsidP="007922C5">
      <w:pPr>
        <w:keepNext/>
        <w:keepLines/>
        <w:autoSpaceDE w:val="0"/>
        <w:autoSpaceDN w:val="0"/>
        <w:adjustRightInd w:val="0"/>
        <w:rPr>
          <w:rFonts w:ascii="Garamond" w:hAnsi="Garamond"/>
          <w:i/>
          <w:lang w:val="en-AU"/>
        </w:rPr>
      </w:pPr>
      <w:r w:rsidRPr="007E5E4D">
        <w:rPr>
          <w:rFonts w:ascii="Garamond" w:hAnsi="Garamond"/>
          <w:i/>
          <w:lang w:val="en-AU"/>
        </w:rPr>
        <w:t>Prevalence, nature and predictors of omitted medication doses in mental health hospitals: a multi-centre study</w:t>
      </w:r>
    </w:p>
    <w:p w:rsidR="007E5E4D" w:rsidRDefault="007E5E4D" w:rsidP="007922C5">
      <w:pPr>
        <w:keepNext/>
        <w:keepLines/>
        <w:autoSpaceDE w:val="0"/>
        <w:autoSpaceDN w:val="0"/>
        <w:adjustRightInd w:val="0"/>
        <w:rPr>
          <w:rFonts w:ascii="Garamond" w:hAnsi="Garamond"/>
          <w:lang w:val="en-AU"/>
        </w:rPr>
      </w:pPr>
      <w:r w:rsidRPr="007E5E4D">
        <w:rPr>
          <w:rFonts w:ascii="Garamond" w:hAnsi="Garamond"/>
          <w:lang w:val="en-AU"/>
        </w:rPr>
        <w:t>Keers RN, Hann M, Alshehri GH, Bennett K, Miller J, Prescott L, et al</w:t>
      </w:r>
    </w:p>
    <w:p w:rsidR="007E5E4D" w:rsidRDefault="007E5E4D" w:rsidP="007922C5">
      <w:pPr>
        <w:keepNext/>
        <w:keepLines/>
        <w:autoSpaceDE w:val="0"/>
        <w:autoSpaceDN w:val="0"/>
        <w:adjustRightInd w:val="0"/>
        <w:rPr>
          <w:rFonts w:ascii="Garamond" w:hAnsi="Garamond"/>
          <w:lang w:val="en-AU"/>
        </w:rPr>
      </w:pPr>
      <w:r w:rsidRPr="007E5E4D">
        <w:rPr>
          <w:rFonts w:ascii="Garamond" w:hAnsi="Garamond"/>
          <w:lang w:val="en-AU"/>
        </w:rPr>
        <w:t>PLOS ONE. 2020</w:t>
      </w:r>
      <w:proofErr w:type="gramStart"/>
      <w:r w:rsidRPr="007E5E4D">
        <w:rPr>
          <w:rFonts w:ascii="Garamond" w:hAnsi="Garamond"/>
          <w:lang w:val="en-AU"/>
        </w:rPr>
        <w:t>;15</w:t>
      </w:r>
      <w:proofErr w:type="gramEnd"/>
      <w:r w:rsidRPr="007E5E4D">
        <w:rPr>
          <w:rFonts w:ascii="Garamond" w:hAnsi="Garamond"/>
          <w:lang w:val="en-AU"/>
        </w:rPr>
        <w:t>(2):e0228868.</w:t>
      </w:r>
    </w:p>
    <w:tbl>
      <w:tblPr>
        <w:tblStyle w:val="TableGrid"/>
        <w:tblW w:w="0" w:type="auto"/>
        <w:tblInd w:w="288" w:type="dxa"/>
        <w:tblLayout w:type="fixed"/>
        <w:tblLook w:val="01E0" w:firstRow="1" w:lastRow="1" w:firstColumn="1" w:lastColumn="1" w:noHBand="0" w:noVBand="0"/>
      </w:tblPr>
      <w:tblGrid>
        <w:gridCol w:w="1080"/>
        <w:gridCol w:w="8280"/>
      </w:tblGrid>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0170DA" w:rsidRDefault="003C7E44" w:rsidP="007E5E4D">
            <w:pPr>
              <w:rPr>
                <w:rStyle w:val="Hyperlink"/>
                <w:rFonts w:ascii="Garamond" w:hAnsi="Garamond"/>
                <w:color w:val="auto"/>
                <w:u w:val="none"/>
                <w:lang w:val="en-AU"/>
              </w:rPr>
            </w:pPr>
            <w:hyperlink r:id="rId23" w:history="1">
              <w:r w:rsidR="007E5E4D" w:rsidRPr="00C92F37">
                <w:rPr>
                  <w:rStyle w:val="Hyperlink"/>
                  <w:rFonts w:ascii="Garamond" w:hAnsi="Garamond"/>
                  <w:lang w:val="en-AU"/>
                </w:rPr>
                <w:t>http://doi.org/10.1371/journal.pone.0228868</w:t>
              </w:r>
            </w:hyperlink>
          </w:p>
        </w:tc>
      </w:tr>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5E4D" w:rsidRDefault="007E5E4D" w:rsidP="007E5E4D">
            <w:pPr>
              <w:rPr>
                <w:rFonts w:ascii="Garamond" w:hAnsi="Garamond"/>
                <w:lang w:val="en-AU"/>
              </w:rPr>
            </w:pPr>
            <w:r>
              <w:rPr>
                <w:rFonts w:ascii="Garamond" w:hAnsi="Garamond"/>
                <w:lang w:val="en-AU"/>
              </w:rPr>
              <w:t xml:space="preserve">Paper reporting on a study of medication omission errors in two English National Health Service mental health trusts with 9 </w:t>
            </w:r>
            <w:r w:rsidRPr="007E5E4D">
              <w:rPr>
                <w:rFonts w:ascii="Garamond" w:hAnsi="Garamond"/>
                <w:lang w:val="en-AU"/>
              </w:rPr>
              <w:t>psychiatric hospitals.</w:t>
            </w:r>
            <w:r>
              <w:rPr>
                <w:rFonts w:ascii="Garamond" w:hAnsi="Garamond"/>
                <w:lang w:val="en-AU"/>
              </w:rPr>
              <w:t xml:space="preserve"> The study examined </w:t>
            </w:r>
            <w:r w:rsidRPr="007E5E4D">
              <w:rPr>
                <w:rFonts w:ascii="Garamond" w:hAnsi="Garamond"/>
                <w:lang w:val="en-AU"/>
              </w:rPr>
              <w:t xml:space="preserve">inpatient prescription charts for scheduled and </w:t>
            </w:r>
            <w:proofErr w:type="gramStart"/>
            <w:r w:rsidRPr="007E5E4D">
              <w:rPr>
                <w:rFonts w:ascii="Garamond" w:hAnsi="Garamond"/>
                <w:lang w:val="en-AU"/>
              </w:rPr>
              <w:t>omitted</w:t>
            </w:r>
            <w:proofErr w:type="gramEnd"/>
            <w:r w:rsidRPr="007E5E4D">
              <w:rPr>
                <w:rFonts w:ascii="Garamond" w:hAnsi="Garamond"/>
                <w:lang w:val="en-AU"/>
              </w:rPr>
              <w:t xml:space="preserve"> medication doses within 27 adult and elderly wards across </w:t>
            </w:r>
            <w:r>
              <w:rPr>
                <w:rFonts w:ascii="Garamond" w:hAnsi="Garamond"/>
                <w:lang w:val="en-AU"/>
              </w:rPr>
              <w:t xml:space="preserve">the </w:t>
            </w:r>
            <w:r w:rsidRPr="007E5E4D">
              <w:rPr>
                <w:rFonts w:ascii="Garamond" w:hAnsi="Garamond"/>
                <w:lang w:val="en-AU"/>
              </w:rPr>
              <w:t>9 psychiatric hospitals.</w:t>
            </w:r>
            <w:r>
              <w:rPr>
                <w:rFonts w:ascii="Garamond" w:hAnsi="Garamond"/>
                <w:lang w:val="en-AU"/>
              </w:rPr>
              <w:t xml:space="preserve"> The pharmacy teams looked at </w:t>
            </w:r>
            <w:r w:rsidRPr="007E5E4D">
              <w:rPr>
                <w:rFonts w:ascii="Garamond" w:hAnsi="Garamond"/>
                <w:lang w:val="en-AU"/>
              </w:rPr>
              <w:t xml:space="preserve">18,664 scheduled medication doses for 444 inpatients and </w:t>
            </w:r>
            <w:r>
              <w:rPr>
                <w:rFonts w:ascii="Garamond" w:hAnsi="Garamond"/>
                <w:lang w:val="en-AU"/>
              </w:rPr>
              <w:t>found:</w:t>
            </w:r>
          </w:p>
          <w:p w:rsidR="007E5E4D" w:rsidRPr="007E5E4D" w:rsidRDefault="007E5E4D" w:rsidP="007E5E4D">
            <w:pPr>
              <w:pStyle w:val="ListParagraph"/>
              <w:numPr>
                <w:ilvl w:val="0"/>
                <w:numId w:val="48"/>
              </w:numPr>
              <w:rPr>
                <w:rFonts w:ascii="Garamond" w:hAnsi="Garamond"/>
                <w:lang w:val="en-AU"/>
              </w:rPr>
            </w:pPr>
            <w:proofErr w:type="gramStart"/>
            <w:r w:rsidRPr="007E5E4D">
              <w:rPr>
                <w:rFonts w:ascii="Garamond" w:hAnsi="Garamond"/>
                <w:lang w:val="en-AU"/>
              </w:rPr>
              <w:t>2,717</w:t>
            </w:r>
            <w:proofErr w:type="gramEnd"/>
            <w:r w:rsidRPr="007E5E4D">
              <w:rPr>
                <w:rFonts w:ascii="Garamond" w:hAnsi="Garamond"/>
                <w:lang w:val="en-AU"/>
              </w:rPr>
              <w:t xml:space="preserve"> omissions, resulting in a rate of 14.6% (95% CI 14.1–15.1).</w:t>
            </w:r>
          </w:p>
          <w:p w:rsidR="007E5E4D" w:rsidRPr="007E5E4D" w:rsidRDefault="007E5E4D" w:rsidP="007E5E4D">
            <w:pPr>
              <w:pStyle w:val="ListParagraph"/>
              <w:numPr>
                <w:ilvl w:val="0"/>
                <w:numId w:val="48"/>
              </w:numPr>
              <w:rPr>
                <w:rFonts w:ascii="Garamond" w:hAnsi="Garamond"/>
                <w:lang w:val="en-AU"/>
              </w:rPr>
            </w:pPr>
            <w:r w:rsidRPr="007E5E4D">
              <w:rPr>
                <w:rFonts w:ascii="Garamond" w:hAnsi="Garamond"/>
                <w:lang w:val="en-AU"/>
              </w:rPr>
              <w:t>The rate of ‘time critical’ omitted doses was 19.3% (95% CI 16.3–22.6%). ‘Preventable’ omitted doses comprised one third of all omissions (34.5%, 930/2694).</w:t>
            </w:r>
          </w:p>
          <w:p w:rsidR="007E5E4D" w:rsidRPr="007E5E4D" w:rsidRDefault="007E5E4D" w:rsidP="007E5E4D">
            <w:pPr>
              <w:pStyle w:val="ListParagraph"/>
              <w:numPr>
                <w:ilvl w:val="0"/>
                <w:numId w:val="48"/>
              </w:numPr>
              <w:rPr>
                <w:rFonts w:ascii="Garamond" w:hAnsi="Garamond"/>
                <w:lang w:val="en-AU"/>
              </w:rPr>
            </w:pPr>
            <w:r w:rsidRPr="007E5E4D">
              <w:rPr>
                <w:rFonts w:ascii="Garamond" w:hAnsi="Garamond"/>
                <w:lang w:val="en-AU"/>
              </w:rPr>
              <w:t>Medicines affecting the central nervous system were 55% less likely to be omitted compared to all other medication classes (9.9% vs. 18.8%, OR 0.45 (0.40–0.52))</w:t>
            </w:r>
          </w:p>
          <w:p w:rsidR="007E5E4D" w:rsidRPr="007E5E4D" w:rsidRDefault="007E5E4D" w:rsidP="007E5E4D">
            <w:pPr>
              <w:pStyle w:val="ListParagraph"/>
              <w:numPr>
                <w:ilvl w:val="0"/>
                <w:numId w:val="48"/>
              </w:numPr>
              <w:rPr>
                <w:rFonts w:ascii="Garamond" w:hAnsi="Garamond"/>
                <w:lang w:val="en-AU"/>
              </w:rPr>
            </w:pPr>
            <w:r w:rsidRPr="007E5E4D">
              <w:rPr>
                <w:rFonts w:ascii="Garamond" w:hAnsi="Garamond"/>
                <w:lang w:val="en-AU"/>
              </w:rPr>
              <w:t>Scheduled doses administered using non-oral routes were more likely to be omitted compared the oral route (inhaled OR 3.47 (2.64–4.57), topical 2.71 (2.11–3.46), ‘other’ 2.15 (1.19–3.90)).</w:t>
            </w:r>
          </w:p>
          <w:p w:rsidR="007E5E4D" w:rsidRPr="007E5E4D" w:rsidRDefault="007E5E4D" w:rsidP="007E5E4D">
            <w:pPr>
              <w:pStyle w:val="ListParagraph"/>
              <w:numPr>
                <w:ilvl w:val="0"/>
                <w:numId w:val="48"/>
              </w:numPr>
              <w:rPr>
                <w:rFonts w:ascii="Garamond" w:hAnsi="Garamond"/>
                <w:lang w:val="en-AU"/>
              </w:rPr>
            </w:pPr>
            <w:r w:rsidRPr="007E5E4D">
              <w:rPr>
                <w:rFonts w:ascii="Garamond" w:hAnsi="Garamond"/>
                <w:lang w:val="en-AU"/>
              </w:rPr>
              <w:t xml:space="preserve">‘Preventable’ dose omissions were more than twice </w:t>
            </w:r>
            <w:proofErr w:type="gramStart"/>
            <w:r w:rsidRPr="007E5E4D">
              <w:rPr>
                <w:rFonts w:ascii="Garamond" w:hAnsi="Garamond"/>
                <w:lang w:val="en-AU"/>
              </w:rPr>
              <w:t>as likely to occur for ‘time critical’ medications than</w:t>
            </w:r>
            <w:proofErr w:type="gramEnd"/>
            <w:r w:rsidRPr="007E5E4D">
              <w:rPr>
                <w:rFonts w:ascii="Garamond" w:hAnsi="Garamond"/>
                <w:lang w:val="en-AU"/>
              </w:rPr>
              <w:t xml:space="preserve"> non-time critical medications (50.4% vs. 33.8%, OR 2.24 (1.22–4.11)).</w:t>
            </w:r>
          </w:p>
        </w:tc>
      </w:tr>
    </w:tbl>
    <w:p w:rsidR="007E5E4D" w:rsidRDefault="007E5E4D" w:rsidP="007E5E4D">
      <w:pPr>
        <w:rPr>
          <w:rFonts w:ascii="Garamond" w:hAnsi="Garamond"/>
          <w:i/>
          <w:lang w:val="en-AU"/>
        </w:rPr>
      </w:pPr>
    </w:p>
    <w:p w:rsidR="007E5E4D" w:rsidRPr="007236DF" w:rsidRDefault="007E5E4D" w:rsidP="007E5E4D">
      <w:pPr>
        <w:keepNext/>
        <w:keepLines/>
        <w:autoSpaceDE w:val="0"/>
        <w:autoSpaceDN w:val="0"/>
        <w:adjustRightInd w:val="0"/>
        <w:rPr>
          <w:rFonts w:ascii="Garamond" w:hAnsi="Garamond"/>
          <w:i/>
          <w:lang w:val="en-AU"/>
        </w:rPr>
      </w:pPr>
      <w:r w:rsidRPr="007236DF">
        <w:rPr>
          <w:rFonts w:ascii="Garamond" w:hAnsi="Garamond"/>
          <w:i/>
          <w:lang w:val="en-AU"/>
        </w:rPr>
        <w:lastRenderedPageBreak/>
        <w:t>Screening for Hepatitis C Virus Infection in Adolescents and Adults: US Preventive Services Task Force Recommendation Statement</w:t>
      </w:r>
    </w:p>
    <w:p w:rsidR="007E5E4D" w:rsidRDefault="007E5E4D" w:rsidP="007E5E4D">
      <w:pPr>
        <w:keepNext/>
        <w:keepLines/>
        <w:autoSpaceDE w:val="0"/>
        <w:autoSpaceDN w:val="0"/>
        <w:adjustRightInd w:val="0"/>
        <w:rPr>
          <w:rFonts w:ascii="Garamond" w:hAnsi="Garamond"/>
          <w:lang w:val="en-AU"/>
        </w:rPr>
      </w:pPr>
      <w:r w:rsidRPr="007236DF">
        <w:rPr>
          <w:rFonts w:ascii="Garamond" w:hAnsi="Garamond"/>
          <w:lang w:val="en-AU"/>
        </w:rPr>
        <w:t>U. S. Preventive Services Task Force</w:t>
      </w:r>
    </w:p>
    <w:p w:rsidR="007E5E4D" w:rsidRDefault="007E5E4D" w:rsidP="007E5E4D">
      <w:pPr>
        <w:keepNext/>
        <w:keepLines/>
        <w:autoSpaceDE w:val="0"/>
        <w:autoSpaceDN w:val="0"/>
        <w:adjustRightInd w:val="0"/>
        <w:rPr>
          <w:rFonts w:ascii="Garamond" w:hAnsi="Garamond"/>
          <w:lang w:val="en-AU"/>
        </w:rPr>
      </w:pPr>
      <w:r w:rsidRPr="007236DF">
        <w:rPr>
          <w:rFonts w:ascii="Garamond" w:hAnsi="Garamond"/>
          <w:lang w:val="en-AU"/>
        </w:rPr>
        <w:t>Journal of the American Medical Association. 2020</w:t>
      </w:r>
      <w:proofErr w:type="gramStart"/>
      <w:r w:rsidRPr="007236DF">
        <w:rPr>
          <w:rFonts w:ascii="Garamond" w:hAnsi="Garamond"/>
          <w:lang w:val="en-AU"/>
        </w:rPr>
        <w:t>;323</w:t>
      </w:r>
      <w:proofErr w:type="gramEnd"/>
      <w:r w:rsidRPr="007236DF">
        <w:rPr>
          <w:rFonts w:ascii="Garamond" w:hAnsi="Garamond"/>
          <w:lang w:val="en-AU"/>
        </w:rPr>
        <w:t>(10):970-975.</w:t>
      </w:r>
    </w:p>
    <w:p w:rsidR="007E5E4D" w:rsidRDefault="007E5E4D" w:rsidP="007E5E4D">
      <w:pPr>
        <w:keepLines/>
        <w:autoSpaceDE w:val="0"/>
        <w:autoSpaceDN w:val="0"/>
        <w:adjustRightInd w:val="0"/>
        <w:rPr>
          <w:rFonts w:ascii="Garamond" w:hAnsi="Garamond"/>
          <w:lang w:val="en-AU"/>
        </w:rPr>
      </w:pPr>
    </w:p>
    <w:p w:rsidR="007E5E4D" w:rsidRPr="007236DF" w:rsidRDefault="007E5E4D" w:rsidP="007E5E4D">
      <w:pPr>
        <w:keepNext/>
        <w:keepLines/>
        <w:autoSpaceDE w:val="0"/>
        <w:autoSpaceDN w:val="0"/>
        <w:adjustRightInd w:val="0"/>
        <w:rPr>
          <w:rFonts w:ascii="Garamond" w:hAnsi="Garamond"/>
          <w:i/>
          <w:lang w:val="en-AU"/>
        </w:rPr>
      </w:pPr>
      <w:r w:rsidRPr="007236DF">
        <w:rPr>
          <w:rFonts w:ascii="Garamond" w:hAnsi="Garamond"/>
          <w:i/>
          <w:lang w:val="en-AU"/>
        </w:rPr>
        <w:t>Screening for Hepatitis C Virus Infection in Adolescents and Adults: Updated Evidence Report and Systematic Review for the US Preventive Services Task Force</w:t>
      </w:r>
    </w:p>
    <w:p w:rsidR="007E5E4D" w:rsidRDefault="007E5E4D" w:rsidP="007E5E4D">
      <w:pPr>
        <w:keepNext/>
        <w:keepLines/>
        <w:autoSpaceDE w:val="0"/>
        <w:autoSpaceDN w:val="0"/>
        <w:adjustRightInd w:val="0"/>
        <w:rPr>
          <w:rFonts w:ascii="Garamond" w:hAnsi="Garamond"/>
          <w:lang w:val="en-AU"/>
        </w:rPr>
      </w:pPr>
      <w:r w:rsidRPr="00661DD3">
        <w:rPr>
          <w:rFonts w:ascii="Garamond" w:hAnsi="Garamond"/>
          <w:lang w:val="en-AU"/>
        </w:rPr>
        <w:t>Chou R, Dana T, Fu R, Zakher B, Wagner J, Ramirez S, et al.</w:t>
      </w:r>
    </w:p>
    <w:p w:rsidR="007E5E4D" w:rsidRDefault="007E5E4D" w:rsidP="007E5E4D">
      <w:pPr>
        <w:keepNext/>
        <w:keepLines/>
        <w:autoSpaceDE w:val="0"/>
        <w:autoSpaceDN w:val="0"/>
        <w:adjustRightInd w:val="0"/>
        <w:rPr>
          <w:rFonts w:ascii="Garamond" w:hAnsi="Garamond"/>
          <w:lang w:val="en-AU"/>
        </w:rPr>
      </w:pPr>
      <w:r w:rsidRPr="00661DD3">
        <w:rPr>
          <w:rFonts w:ascii="Garamond" w:hAnsi="Garamond"/>
          <w:lang w:val="en-AU"/>
        </w:rPr>
        <w:t>Journal of the American Medical Association. 2020</w:t>
      </w:r>
      <w:proofErr w:type="gramStart"/>
      <w:r w:rsidRPr="00661DD3">
        <w:rPr>
          <w:rFonts w:ascii="Garamond" w:hAnsi="Garamond"/>
          <w:lang w:val="en-AU"/>
        </w:rPr>
        <w:t>;323</w:t>
      </w:r>
      <w:proofErr w:type="gramEnd"/>
      <w:r w:rsidRPr="00661DD3">
        <w:rPr>
          <w:rFonts w:ascii="Garamond" w:hAnsi="Garamond"/>
          <w:lang w:val="en-AU"/>
        </w:rPr>
        <w:t>(10):976-991.</w:t>
      </w:r>
    </w:p>
    <w:p w:rsidR="007E5E4D" w:rsidRDefault="007E5E4D" w:rsidP="007E5E4D">
      <w:pPr>
        <w:keepLines/>
        <w:autoSpaceDE w:val="0"/>
        <w:autoSpaceDN w:val="0"/>
        <w:adjustRightInd w:val="0"/>
        <w:rPr>
          <w:rFonts w:ascii="Garamond" w:hAnsi="Garamond"/>
          <w:lang w:val="en-AU"/>
        </w:rPr>
      </w:pPr>
    </w:p>
    <w:p w:rsidR="007E5E4D" w:rsidRPr="007236DF" w:rsidRDefault="007E5E4D" w:rsidP="007E5E4D">
      <w:pPr>
        <w:keepNext/>
        <w:keepLines/>
        <w:autoSpaceDE w:val="0"/>
        <w:autoSpaceDN w:val="0"/>
        <w:adjustRightInd w:val="0"/>
        <w:rPr>
          <w:rFonts w:ascii="Garamond" w:hAnsi="Garamond"/>
          <w:i/>
          <w:lang w:val="en-AU"/>
        </w:rPr>
      </w:pPr>
      <w:r w:rsidRPr="007236DF">
        <w:rPr>
          <w:rFonts w:ascii="Garamond" w:hAnsi="Garamond"/>
          <w:i/>
          <w:lang w:val="en-AU"/>
        </w:rPr>
        <w:t xml:space="preserve">Universal Screening for Hepatitis C Virus Infection: A Step </w:t>
      </w:r>
      <w:proofErr w:type="gramStart"/>
      <w:r w:rsidRPr="007236DF">
        <w:rPr>
          <w:rFonts w:ascii="Garamond" w:hAnsi="Garamond"/>
          <w:i/>
          <w:lang w:val="en-AU"/>
        </w:rPr>
        <w:t>Toward</w:t>
      </w:r>
      <w:proofErr w:type="gramEnd"/>
      <w:r w:rsidRPr="007236DF">
        <w:rPr>
          <w:rFonts w:ascii="Garamond" w:hAnsi="Garamond"/>
          <w:i/>
          <w:lang w:val="en-AU"/>
        </w:rPr>
        <w:t xml:space="preserve"> Elimination</w:t>
      </w:r>
    </w:p>
    <w:p w:rsidR="007E5E4D" w:rsidRDefault="007E5E4D" w:rsidP="007E5E4D">
      <w:pPr>
        <w:keepNext/>
        <w:keepLines/>
        <w:autoSpaceDE w:val="0"/>
        <w:autoSpaceDN w:val="0"/>
        <w:adjustRightInd w:val="0"/>
        <w:rPr>
          <w:rFonts w:ascii="Garamond" w:hAnsi="Garamond"/>
          <w:lang w:val="en-AU"/>
        </w:rPr>
      </w:pPr>
      <w:r w:rsidRPr="007236DF">
        <w:rPr>
          <w:rFonts w:ascii="Garamond" w:hAnsi="Garamond"/>
          <w:lang w:val="en-AU"/>
        </w:rPr>
        <w:t>Graham CS, Trooskin S</w:t>
      </w:r>
    </w:p>
    <w:p w:rsidR="007E5E4D" w:rsidRDefault="007E5E4D" w:rsidP="007E5E4D">
      <w:pPr>
        <w:keepNext/>
        <w:keepLines/>
        <w:autoSpaceDE w:val="0"/>
        <w:autoSpaceDN w:val="0"/>
        <w:adjustRightInd w:val="0"/>
        <w:rPr>
          <w:rFonts w:ascii="Garamond" w:hAnsi="Garamond"/>
          <w:lang w:val="en-AU"/>
        </w:rPr>
      </w:pPr>
      <w:r w:rsidRPr="007236DF">
        <w:rPr>
          <w:rFonts w:ascii="Garamond" w:hAnsi="Garamond"/>
          <w:lang w:val="en-AU"/>
        </w:rPr>
        <w:t>Journal of the American Medical Association. 2020</w:t>
      </w:r>
      <w:proofErr w:type="gramStart"/>
      <w:r w:rsidRPr="007236DF">
        <w:rPr>
          <w:rFonts w:ascii="Garamond" w:hAnsi="Garamond"/>
          <w:lang w:val="en-AU"/>
        </w:rPr>
        <w:t>;323</w:t>
      </w:r>
      <w:proofErr w:type="gramEnd"/>
      <w:r w:rsidRPr="007236DF">
        <w:rPr>
          <w:rFonts w:ascii="Garamond" w:hAnsi="Garamond"/>
          <w:lang w:val="en-AU"/>
        </w:rPr>
        <w:t>(10):936-937.</w:t>
      </w:r>
    </w:p>
    <w:p w:rsidR="007E5E4D" w:rsidRDefault="007E5E4D" w:rsidP="007E5E4D">
      <w:pPr>
        <w:keepLines/>
        <w:autoSpaceDE w:val="0"/>
        <w:autoSpaceDN w:val="0"/>
        <w:adjustRightInd w:val="0"/>
        <w:rPr>
          <w:rFonts w:ascii="Garamond" w:hAnsi="Garamond"/>
          <w:lang w:val="en-AU"/>
        </w:rPr>
      </w:pPr>
    </w:p>
    <w:p w:rsidR="007E5E4D" w:rsidRPr="007236DF" w:rsidRDefault="007E5E4D" w:rsidP="007E5E4D">
      <w:pPr>
        <w:keepNext/>
        <w:keepLines/>
        <w:autoSpaceDE w:val="0"/>
        <w:autoSpaceDN w:val="0"/>
        <w:adjustRightInd w:val="0"/>
        <w:rPr>
          <w:rFonts w:ascii="Garamond" w:hAnsi="Garamond"/>
          <w:i/>
          <w:lang w:val="en-AU"/>
        </w:rPr>
      </w:pPr>
      <w:r w:rsidRPr="007236DF">
        <w:rPr>
          <w:rFonts w:ascii="Garamond" w:hAnsi="Garamond"/>
          <w:i/>
          <w:lang w:val="en-AU"/>
        </w:rPr>
        <w:t>Updated Hepatitis C Virus Screening Recommendation—</w:t>
      </w:r>
      <w:proofErr w:type="gramStart"/>
      <w:r w:rsidRPr="007236DF">
        <w:rPr>
          <w:rFonts w:ascii="Garamond" w:hAnsi="Garamond"/>
          <w:i/>
          <w:lang w:val="en-AU"/>
        </w:rPr>
        <w:t>A</w:t>
      </w:r>
      <w:proofErr w:type="gramEnd"/>
      <w:r w:rsidRPr="007236DF">
        <w:rPr>
          <w:rFonts w:ascii="Garamond" w:hAnsi="Garamond"/>
          <w:i/>
          <w:lang w:val="en-AU"/>
        </w:rPr>
        <w:t xml:space="preserve"> Step Forward</w:t>
      </w:r>
    </w:p>
    <w:p w:rsidR="007E5E4D" w:rsidRDefault="007E5E4D" w:rsidP="007E5E4D">
      <w:pPr>
        <w:keepNext/>
        <w:keepLines/>
        <w:autoSpaceDE w:val="0"/>
        <w:autoSpaceDN w:val="0"/>
        <w:adjustRightInd w:val="0"/>
        <w:rPr>
          <w:rFonts w:ascii="Garamond" w:hAnsi="Garamond"/>
          <w:lang w:val="en-AU"/>
        </w:rPr>
      </w:pPr>
      <w:r w:rsidRPr="007236DF">
        <w:rPr>
          <w:rFonts w:ascii="Garamond" w:hAnsi="Garamond"/>
          <w:lang w:val="en-AU"/>
        </w:rPr>
        <w:t>Price JC, Brandman D</w:t>
      </w:r>
    </w:p>
    <w:p w:rsidR="007E5E4D" w:rsidRDefault="007E5E4D" w:rsidP="007E5E4D">
      <w:pPr>
        <w:keepNext/>
        <w:keepLines/>
        <w:autoSpaceDE w:val="0"/>
        <w:autoSpaceDN w:val="0"/>
        <w:adjustRightInd w:val="0"/>
        <w:rPr>
          <w:rFonts w:ascii="Garamond" w:hAnsi="Garamond"/>
          <w:lang w:val="en-AU"/>
        </w:rPr>
      </w:pPr>
      <w:r w:rsidRPr="007236DF">
        <w:rPr>
          <w:rFonts w:ascii="Garamond" w:hAnsi="Garamond"/>
          <w:lang w:val="en-AU"/>
        </w:rPr>
        <w:t xml:space="preserve">JAMA Internal Medicine. </w:t>
      </w:r>
      <w:proofErr w:type="gramStart"/>
      <w:r w:rsidRPr="007236DF">
        <w:rPr>
          <w:rFonts w:ascii="Garamond" w:hAnsi="Garamond"/>
          <w:lang w:val="en-AU"/>
        </w:rPr>
        <w:t>2020</w:t>
      </w:r>
      <w:proofErr w:type="gramEnd"/>
      <w:r>
        <w:rPr>
          <w:rFonts w:ascii="Garamond" w:hAnsi="Garamond"/>
          <w:lang w:val="en-AU"/>
        </w:rPr>
        <w:t xml:space="preserve"> [epub]</w:t>
      </w:r>
      <w:r w:rsidRPr="007236DF">
        <w:rPr>
          <w:rFonts w:ascii="Garamond" w:hAnsi="Garamond"/>
          <w:lang w:val="en-AU"/>
        </w:rPr>
        <w:t>.</w:t>
      </w:r>
    </w:p>
    <w:p w:rsidR="007E5E4D" w:rsidRDefault="007E5E4D" w:rsidP="007E5E4D">
      <w:pPr>
        <w:keepLines/>
        <w:autoSpaceDE w:val="0"/>
        <w:autoSpaceDN w:val="0"/>
        <w:adjustRightInd w:val="0"/>
        <w:rPr>
          <w:rFonts w:ascii="Garamond" w:hAnsi="Garamond"/>
          <w:lang w:val="en-AU"/>
        </w:rPr>
      </w:pPr>
    </w:p>
    <w:p w:rsidR="007424DD" w:rsidRPr="007236DF" w:rsidRDefault="007424DD" w:rsidP="007424DD">
      <w:pPr>
        <w:keepNext/>
        <w:keepLines/>
        <w:autoSpaceDE w:val="0"/>
        <w:autoSpaceDN w:val="0"/>
        <w:adjustRightInd w:val="0"/>
        <w:rPr>
          <w:rFonts w:ascii="Garamond" w:hAnsi="Garamond"/>
          <w:i/>
          <w:lang w:val="en-AU"/>
        </w:rPr>
      </w:pPr>
      <w:r w:rsidRPr="007236DF">
        <w:rPr>
          <w:rFonts w:ascii="Garamond" w:hAnsi="Garamond"/>
          <w:i/>
          <w:lang w:val="en-AU"/>
        </w:rPr>
        <w:t>USPSTF’s Hepatitis C Screening Recommendation—</w:t>
      </w:r>
      <w:proofErr w:type="gramStart"/>
      <w:r w:rsidRPr="007236DF">
        <w:rPr>
          <w:rFonts w:ascii="Garamond" w:hAnsi="Garamond"/>
          <w:i/>
          <w:lang w:val="en-AU"/>
        </w:rPr>
        <w:t>A</w:t>
      </w:r>
      <w:proofErr w:type="gramEnd"/>
      <w:r w:rsidRPr="007236DF">
        <w:rPr>
          <w:rFonts w:ascii="Garamond" w:hAnsi="Garamond"/>
          <w:i/>
          <w:lang w:val="en-AU"/>
        </w:rPr>
        <w:t xml:space="preserve"> Necessary Step to Tackling an Evolving Epidemic</w:t>
      </w:r>
    </w:p>
    <w:p w:rsidR="007E5E4D" w:rsidRDefault="007E5E4D" w:rsidP="007E5E4D">
      <w:pPr>
        <w:keepNext/>
        <w:keepLines/>
        <w:autoSpaceDE w:val="0"/>
        <w:autoSpaceDN w:val="0"/>
        <w:adjustRightInd w:val="0"/>
        <w:rPr>
          <w:rFonts w:ascii="Garamond" w:hAnsi="Garamond"/>
          <w:lang w:val="en-AU"/>
        </w:rPr>
      </w:pPr>
      <w:r w:rsidRPr="007236DF">
        <w:rPr>
          <w:rFonts w:ascii="Garamond" w:hAnsi="Garamond"/>
          <w:lang w:val="en-AU"/>
        </w:rPr>
        <w:t xml:space="preserve">Rosenberg ES, </w:t>
      </w:r>
      <w:proofErr w:type="spellStart"/>
      <w:r w:rsidRPr="007236DF">
        <w:rPr>
          <w:rFonts w:ascii="Garamond" w:hAnsi="Garamond"/>
          <w:lang w:val="en-AU"/>
        </w:rPr>
        <w:t>Barocas</w:t>
      </w:r>
      <w:proofErr w:type="spellEnd"/>
      <w:r w:rsidRPr="007236DF">
        <w:rPr>
          <w:rFonts w:ascii="Garamond" w:hAnsi="Garamond"/>
          <w:lang w:val="en-AU"/>
        </w:rPr>
        <w:t xml:space="preserve"> JA</w:t>
      </w:r>
    </w:p>
    <w:p w:rsidR="007E5E4D" w:rsidRDefault="007E5E4D" w:rsidP="007E5E4D">
      <w:pPr>
        <w:keepNext/>
        <w:keepLines/>
        <w:autoSpaceDE w:val="0"/>
        <w:autoSpaceDN w:val="0"/>
        <w:adjustRightInd w:val="0"/>
        <w:rPr>
          <w:rFonts w:ascii="Garamond" w:hAnsi="Garamond"/>
          <w:lang w:val="en-AU"/>
        </w:rPr>
      </w:pPr>
      <w:r w:rsidRPr="007236DF">
        <w:rPr>
          <w:rFonts w:ascii="Garamond" w:hAnsi="Garamond"/>
          <w:lang w:val="en-AU"/>
        </w:rPr>
        <w:t>JAMA Network Open. 2020</w:t>
      </w:r>
      <w:proofErr w:type="gramStart"/>
      <w:r w:rsidRPr="007236DF">
        <w:rPr>
          <w:rFonts w:ascii="Garamond" w:hAnsi="Garamond"/>
          <w:lang w:val="en-AU"/>
        </w:rPr>
        <w:t>;3</w:t>
      </w:r>
      <w:proofErr w:type="gramEnd"/>
      <w:r w:rsidRPr="007236DF">
        <w:rPr>
          <w:rFonts w:ascii="Garamond" w:hAnsi="Garamond"/>
          <w:lang w:val="en-AU"/>
        </w:rPr>
        <w:t>(3):e200538.</w:t>
      </w:r>
    </w:p>
    <w:p w:rsidR="007E5E4D" w:rsidRDefault="007E5E4D" w:rsidP="007E5E4D">
      <w:pPr>
        <w:keepLines/>
        <w:autoSpaceDE w:val="0"/>
        <w:autoSpaceDN w:val="0"/>
        <w:adjustRightInd w:val="0"/>
        <w:rPr>
          <w:rFonts w:ascii="Garamond" w:hAnsi="Garamond"/>
          <w:lang w:val="en-AU"/>
        </w:rPr>
      </w:pPr>
    </w:p>
    <w:p w:rsidR="007E5E4D" w:rsidRPr="008105C4" w:rsidRDefault="007E5E4D" w:rsidP="007E5E4D">
      <w:pPr>
        <w:keepNext/>
        <w:keepLines/>
        <w:autoSpaceDE w:val="0"/>
        <w:autoSpaceDN w:val="0"/>
        <w:adjustRightInd w:val="0"/>
        <w:rPr>
          <w:rFonts w:ascii="Garamond" w:hAnsi="Garamond"/>
          <w:i/>
          <w:lang w:val="en-AU"/>
        </w:rPr>
      </w:pPr>
      <w:r w:rsidRPr="008105C4">
        <w:rPr>
          <w:rFonts w:ascii="Garamond" w:hAnsi="Garamond"/>
          <w:i/>
          <w:lang w:val="en-AU"/>
        </w:rPr>
        <w:t>Screening for Hepatitis C Virus Infection</w:t>
      </w:r>
    </w:p>
    <w:p w:rsidR="007E5E4D" w:rsidRDefault="007E5E4D" w:rsidP="007E5E4D">
      <w:pPr>
        <w:keepNext/>
        <w:keepLines/>
        <w:autoSpaceDE w:val="0"/>
        <w:autoSpaceDN w:val="0"/>
        <w:adjustRightInd w:val="0"/>
        <w:rPr>
          <w:rFonts w:ascii="Garamond" w:hAnsi="Garamond"/>
          <w:lang w:val="en-AU"/>
        </w:rPr>
      </w:pPr>
      <w:r w:rsidRPr="008105C4">
        <w:rPr>
          <w:rFonts w:ascii="Garamond" w:hAnsi="Garamond"/>
          <w:lang w:val="en-AU"/>
        </w:rPr>
        <w:t>Jin J</w:t>
      </w:r>
    </w:p>
    <w:p w:rsidR="007E5E4D" w:rsidRDefault="007E5E4D" w:rsidP="007E5E4D">
      <w:pPr>
        <w:keepNext/>
        <w:keepLines/>
        <w:autoSpaceDE w:val="0"/>
        <w:autoSpaceDN w:val="0"/>
        <w:adjustRightInd w:val="0"/>
        <w:rPr>
          <w:rFonts w:ascii="Garamond" w:hAnsi="Garamond"/>
          <w:lang w:val="en-AU"/>
        </w:rPr>
      </w:pPr>
      <w:r w:rsidRPr="008105C4">
        <w:rPr>
          <w:rFonts w:ascii="Garamond" w:hAnsi="Garamond"/>
          <w:lang w:val="en-AU"/>
        </w:rPr>
        <w:t>Journal of the American Medical Association. 2020</w:t>
      </w:r>
      <w:proofErr w:type="gramStart"/>
      <w:r w:rsidRPr="008105C4">
        <w:rPr>
          <w:rFonts w:ascii="Garamond" w:hAnsi="Garamond"/>
          <w:lang w:val="en-AU"/>
        </w:rPr>
        <w:t>;323</w:t>
      </w:r>
      <w:proofErr w:type="gramEnd"/>
      <w:r w:rsidRPr="008105C4">
        <w:rPr>
          <w:rFonts w:ascii="Garamond" w:hAnsi="Garamond"/>
          <w:lang w:val="en-AU"/>
        </w:rPr>
        <w:t>(10):1008.</w:t>
      </w:r>
    </w:p>
    <w:tbl>
      <w:tblPr>
        <w:tblStyle w:val="TableGrid"/>
        <w:tblW w:w="9360" w:type="dxa"/>
        <w:tblInd w:w="288" w:type="dxa"/>
        <w:tblLayout w:type="fixed"/>
        <w:tblLook w:val="01E0" w:firstRow="1" w:lastRow="1" w:firstColumn="1" w:lastColumn="1" w:noHBand="0" w:noVBand="0"/>
      </w:tblPr>
      <w:tblGrid>
        <w:gridCol w:w="1080"/>
        <w:gridCol w:w="8280"/>
      </w:tblGrid>
      <w:tr w:rsidR="007E5E4D" w:rsidRPr="000170DA" w:rsidTr="008F2C06">
        <w:tc>
          <w:tcPr>
            <w:tcW w:w="1080" w:type="dxa"/>
            <w:tcBorders>
              <w:top w:val="single" w:sz="4" w:space="0" w:color="auto"/>
              <w:left w:val="single" w:sz="4" w:space="0" w:color="auto"/>
              <w:bottom w:val="single" w:sz="4" w:space="0" w:color="auto"/>
              <w:right w:val="single" w:sz="4" w:space="0" w:color="auto"/>
            </w:tcBorders>
            <w:vAlign w:val="center"/>
          </w:tcPr>
          <w:p w:rsidR="007E5E4D" w:rsidRPr="000170DA" w:rsidRDefault="007E5E4D" w:rsidP="008F2C0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E5E4D" w:rsidRDefault="007E5E4D" w:rsidP="008F2C06">
            <w:pPr>
              <w:rPr>
                <w:rFonts w:ascii="Garamond" w:hAnsi="Garamond"/>
                <w:lang w:val="en-AU"/>
              </w:rPr>
            </w:pPr>
            <w:r w:rsidRPr="00424FBD">
              <w:rPr>
                <w:rFonts w:ascii="Garamond" w:hAnsi="Garamond"/>
                <w:lang w:val="en-AU"/>
              </w:rPr>
              <w:t>U</w:t>
            </w:r>
            <w:r>
              <w:rPr>
                <w:rFonts w:ascii="Garamond" w:hAnsi="Garamond"/>
                <w:lang w:val="en-AU"/>
              </w:rPr>
              <w:t>.</w:t>
            </w:r>
            <w:r w:rsidRPr="00424FBD">
              <w:rPr>
                <w:rFonts w:ascii="Garamond" w:hAnsi="Garamond"/>
                <w:lang w:val="en-AU"/>
              </w:rPr>
              <w:t>S</w:t>
            </w:r>
            <w:r>
              <w:rPr>
                <w:rFonts w:ascii="Garamond" w:hAnsi="Garamond"/>
                <w:lang w:val="en-AU"/>
              </w:rPr>
              <w:t>.</w:t>
            </w:r>
            <w:r w:rsidRPr="00424FBD">
              <w:rPr>
                <w:rFonts w:ascii="Garamond" w:hAnsi="Garamond"/>
                <w:lang w:val="en-AU"/>
              </w:rPr>
              <w:t xml:space="preserve"> Preventive Services Task Force</w:t>
            </w:r>
            <w:r>
              <w:rPr>
                <w:rFonts w:ascii="Garamond" w:hAnsi="Garamond"/>
                <w:lang w:val="en-AU"/>
              </w:rPr>
              <w:t xml:space="preserve"> </w:t>
            </w:r>
            <w:hyperlink r:id="rId24" w:history="1">
              <w:r w:rsidRPr="00504C85">
                <w:rPr>
                  <w:rStyle w:val="Hyperlink"/>
                  <w:rFonts w:ascii="Garamond" w:hAnsi="Garamond"/>
                  <w:lang w:val="en-AU"/>
                </w:rPr>
                <w:t>https://doi.org/10.1001/jama.2020.1123</w:t>
              </w:r>
            </w:hyperlink>
          </w:p>
          <w:p w:rsidR="007E5E4D" w:rsidRDefault="007E5E4D" w:rsidP="008F2C06">
            <w:pPr>
              <w:rPr>
                <w:rFonts w:ascii="Garamond" w:hAnsi="Garamond"/>
                <w:lang w:val="en-AU"/>
              </w:rPr>
            </w:pPr>
            <w:r>
              <w:rPr>
                <w:rFonts w:ascii="Garamond" w:hAnsi="Garamond"/>
                <w:lang w:val="en-AU"/>
              </w:rPr>
              <w:t xml:space="preserve">Chou et al </w:t>
            </w:r>
            <w:hyperlink r:id="rId25" w:history="1">
              <w:r w:rsidRPr="00504C85">
                <w:rPr>
                  <w:rStyle w:val="Hyperlink"/>
                  <w:rFonts w:ascii="Garamond" w:hAnsi="Garamond"/>
                  <w:lang w:val="en-AU"/>
                </w:rPr>
                <w:t>https://doi.org/10.1001/jama.2019.20788</w:t>
              </w:r>
            </w:hyperlink>
          </w:p>
          <w:p w:rsidR="007E5E4D" w:rsidRDefault="007E5E4D" w:rsidP="008F2C06">
            <w:pPr>
              <w:rPr>
                <w:rFonts w:ascii="Garamond" w:hAnsi="Garamond"/>
                <w:lang w:val="en-AU"/>
              </w:rPr>
            </w:pPr>
            <w:r w:rsidRPr="008105C4">
              <w:rPr>
                <w:rFonts w:ascii="Garamond" w:hAnsi="Garamond"/>
                <w:lang w:val="en-AU"/>
              </w:rPr>
              <w:t>Graham and Trooskin</w:t>
            </w:r>
            <w:r>
              <w:rPr>
                <w:rFonts w:ascii="Garamond" w:hAnsi="Garamond"/>
                <w:lang w:val="en-AU"/>
              </w:rPr>
              <w:t xml:space="preserve"> </w:t>
            </w:r>
            <w:hyperlink r:id="rId26" w:history="1">
              <w:r w:rsidRPr="00504C85">
                <w:rPr>
                  <w:rStyle w:val="Hyperlink"/>
                  <w:rFonts w:ascii="Garamond" w:hAnsi="Garamond"/>
                  <w:lang w:val="en-AU"/>
                </w:rPr>
                <w:t>https://doi.org/10.1001/jama.2019.22313</w:t>
              </w:r>
            </w:hyperlink>
          </w:p>
          <w:p w:rsidR="007E5E4D" w:rsidRDefault="007E5E4D" w:rsidP="008F2C06">
            <w:pPr>
              <w:rPr>
                <w:rFonts w:ascii="Garamond" w:hAnsi="Garamond"/>
                <w:lang w:val="en-AU"/>
              </w:rPr>
            </w:pPr>
            <w:r w:rsidRPr="008105C4">
              <w:rPr>
                <w:rFonts w:ascii="Garamond" w:hAnsi="Garamond"/>
                <w:lang w:val="en-AU"/>
              </w:rPr>
              <w:t xml:space="preserve">Price and Brandman </w:t>
            </w:r>
            <w:hyperlink r:id="rId27" w:history="1">
              <w:r w:rsidRPr="00504C85">
                <w:rPr>
                  <w:rStyle w:val="Hyperlink"/>
                  <w:rFonts w:ascii="Garamond" w:hAnsi="Garamond"/>
                  <w:lang w:val="en-AU"/>
                </w:rPr>
                <w:t>https://doi.org/10.1001/jamainternmed.2019.7334</w:t>
              </w:r>
            </w:hyperlink>
          </w:p>
          <w:p w:rsidR="007E5E4D" w:rsidRDefault="007E5E4D" w:rsidP="008F2C06">
            <w:pPr>
              <w:rPr>
                <w:rFonts w:ascii="Garamond" w:hAnsi="Garamond"/>
                <w:lang w:val="en-AU"/>
              </w:rPr>
            </w:pPr>
            <w:r w:rsidRPr="008105C4">
              <w:rPr>
                <w:rFonts w:ascii="Garamond" w:hAnsi="Garamond"/>
                <w:lang w:val="en-AU"/>
              </w:rPr>
              <w:t>Rosenberg and Barocas</w:t>
            </w:r>
            <w:r>
              <w:rPr>
                <w:rFonts w:ascii="Garamond" w:hAnsi="Garamond"/>
                <w:lang w:val="en-AU"/>
              </w:rPr>
              <w:t xml:space="preserve"> </w:t>
            </w:r>
            <w:hyperlink r:id="rId28" w:history="1">
              <w:r w:rsidRPr="00504C85">
                <w:rPr>
                  <w:rStyle w:val="Hyperlink"/>
                  <w:rFonts w:ascii="Garamond" w:hAnsi="Garamond"/>
                  <w:lang w:val="en-AU"/>
                </w:rPr>
                <w:t>https://doi.org/10.1001/jamanetworkopen.2020.0538</w:t>
              </w:r>
            </w:hyperlink>
          </w:p>
          <w:p w:rsidR="007E5E4D" w:rsidRPr="000170DA" w:rsidRDefault="007E5E4D" w:rsidP="008F2C06">
            <w:pPr>
              <w:rPr>
                <w:rStyle w:val="Hyperlink"/>
                <w:rFonts w:ascii="Garamond" w:hAnsi="Garamond"/>
                <w:color w:val="auto"/>
                <w:u w:val="none"/>
                <w:lang w:val="en-AU"/>
              </w:rPr>
            </w:pPr>
            <w:r>
              <w:rPr>
                <w:rStyle w:val="Hyperlink"/>
                <w:rFonts w:ascii="Garamond" w:hAnsi="Garamond"/>
                <w:color w:val="auto"/>
                <w:u w:val="none"/>
                <w:lang w:val="en-AU"/>
              </w:rPr>
              <w:t xml:space="preserve">Jin </w:t>
            </w:r>
            <w:hyperlink r:id="rId29" w:history="1">
              <w:r w:rsidRPr="00504C85">
                <w:rPr>
                  <w:rStyle w:val="Hyperlink"/>
                  <w:rFonts w:ascii="Garamond" w:hAnsi="Garamond"/>
                  <w:lang w:val="en-AU"/>
                </w:rPr>
                <w:t>https://doi.org/10.1001/jama.2020.1761</w:t>
              </w:r>
            </w:hyperlink>
          </w:p>
        </w:tc>
      </w:tr>
      <w:tr w:rsidR="007E5E4D" w:rsidRPr="0007400A" w:rsidTr="008F2C06">
        <w:tblPrEx>
          <w:tblLook w:val="04A0" w:firstRow="1" w:lastRow="0" w:firstColumn="1" w:lastColumn="0" w:noHBand="0" w:noVBand="1"/>
        </w:tblPrEx>
        <w:tc>
          <w:tcPr>
            <w:tcW w:w="1080" w:type="dxa"/>
          </w:tcPr>
          <w:p w:rsidR="007E5E4D" w:rsidRPr="000170DA" w:rsidRDefault="007E5E4D" w:rsidP="008F2C06">
            <w:pPr>
              <w:rPr>
                <w:rFonts w:ascii="Garamond" w:hAnsi="Garamond"/>
                <w:lang w:val="en-AU" w:eastAsia="en-AU"/>
              </w:rPr>
            </w:pPr>
            <w:r w:rsidRPr="000170DA">
              <w:rPr>
                <w:rFonts w:ascii="Garamond" w:hAnsi="Garamond"/>
                <w:lang w:val="en-AU" w:eastAsia="en-AU"/>
              </w:rPr>
              <w:t>Notes</w:t>
            </w:r>
          </w:p>
        </w:tc>
        <w:tc>
          <w:tcPr>
            <w:tcW w:w="8280" w:type="dxa"/>
          </w:tcPr>
          <w:p w:rsidR="007E5E4D" w:rsidRDefault="007E5E4D" w:rsidP="008F2C06">
            <w:pPr>
              <w:rPr>
                <w:rFonts w:ascii="Garamond" w:hAnsi="Garamond"/>
                <w:lang w:val="en-AU"/>
              </w:rPr>
            </w:pPr>
            <w:r>
              <w:rPr>
                <w:rFonts w:ascii="Garamond" w:hAnsi="Garamond"/>
                <w:lang w:val="en-AU"/>
              </w:rPr>
              <w:t xml:space="preserve">Hepatitis C is a blood-borne virus that can lead to liver disease and liver cancer. In the USA, </w:t>
            </w:r>
            <w:r w:rsidRPr="00313DFA">
              <w:rPr>
                <w:rFonts w:ascii="Garamond" w:hAnsi="Garamond"/>
                <w:lang w:val="en-AU"/>
              </w:rPr>
              <w:t>Hepatitis C virus (HCV) is the most common chronic blood-borne pathogen and a leading cause of complications from chronic liver disease. HCV is associated with more deaths than the top 60 other reportable infectious diseases combined, including HIV.</w:t>
            </w:r>
            <w:r>
              <w:rPr>
                <w:rFonts w:ascii="Garamond" w:hAnsi="Garamond"/>
                <w:lang w:val="en-AU"/>
              </w:rPr>
              <w:t xml:space="preserve"> The </w:t>
            </w:r>
            <w:r w:rsidRPr="00424FBD">
              <w:rPr>
                <w:rFonts w:ascii="Garamond" w:hAnsi="Garamond"/>
                <w:lang w:val="en-AU"/>
              </w:rPr>
              <w:t>US Preventive Services Task Force</w:t>
            </w:r>
            <w:r>
              <w:rPr>
                <w:rFonts w:ascii="Garamond" w:hAnsi="Garamond"/>
                <w:lang w:val="en-AU"/>
              </w:rPr>
              <w:t xml:space="preserve"> has released their updated recommendation on screening for HCV infection. Their recommendation statement, the evidence report and systematic review that inform the recommendation. (Chou et al) and editorials (Graham and Trooskin, Price and Brandman, and Rosenberg and Barocas)</w:t>
            </w:r>
            <w:r>
              <w:rPr>
                <w:rStyle w:val="Hyperlink"/>
                <w:rFonts w:ascii="Garamond" w:hAnsi="Garamond"/>
                <w:color w:val="auto"/>
                <w:u w:val="none"/>
                <w:lang w:val="en-AU"/>
              </w:rPr>
              <w:t xml:space="preserve"> have all been published, along with a ‘</w:t>
            </w:r>
            <w:r>
              <w:rPr>
                <w:rFonts w:ascii="Garamond" w:hAnsi="Garamond"/>
                <w:lang w:val="en-AU"/>
              </w:rPr>
              <w:t>Patient Page’ (</w:t>
            </w:r>
            <w:proofErr w:type="spellStart"/>
            <w:r>
              <w:rPr>
                <w:rFonts w:ascii="Garamond" w:hAnsi="Garamond"/>
                <w:lang w:val="en-AU"/>
              </w:rPr>
              <w:t>Jin</w:t>
            </w:r>
            <w:proofErr w:type="spellEnd"/>
            <w:r>
              <w:rPr>
                <w:rFonts w:ascii="Garamond" w:hAnsi="Garamond"/>
                <w:lang w:val="en-AU"/>
              </w:rPr>
              <w:t xml:space="preserve">) in </w:t>
            </w:r>
            <w:r w:rsidRPr="00906B86">
              <w:rPr>
                <w:rFonts w:ascii="Garamond" w:hAnsi="Garamond"/>
                <w:i/>
                <w:lang w:val="en-AU"/>
              </w:rPr>
              <w:t>JAMA</w:t>
            </w:r>
            <w:r>
              <w:rPr>
                <w:rFonts w:ascii="Garamond" w:hAnsi="Garamond"/>
                <w:lang w:val="en-AU"/>
              </w:rPr>
              <w:t>.</w:t>
            </w:r>
          </w:p>
          <w:p w:rsidR="002F3217" w:rsidRDefault="002F3217" w:rsidP="008F2C06">
            <w:pPr>
              <w:rPr>
                <w:rFonts w:ascii="Garamond" w:hAnsi="Garamond"/>
                <w:lang w:val="en-AU"/>
              </w:rPr>
            </w:pPr>
          </w:p>
          <w:p w:rsidR="007E5E4D" w:rsidRDefault="007E5E4D" w:rsidP="008F2C06">
            <w:pPr>
              <w:rPr>
                <w:rFonts w:ascii="Garamond" w:hAnsi="Garamond"/>
                <w:lang w:val="en-AU"/>
              </w:rPr>
            </w:pPr>
            <w:r>
              <w:rPr>
                <w:rFonts w:ascii="Garamond" w:hAnsi="Garamond"/>
                <w:lang w:val="en-AU"/>
              </w:rPr>
              <w:t xml:space="preserve">The USPSTF recommends </w:t>
            </w:r>
            <w:r w:rsidRPr="00313DFA">
              <w:rPr>
                <w:rFonts w:ascii="Garamond" w:hAnsi="Garamond"/>
                <w:lang w:val="en-AU"/>
              </w:rPr>
              <w:t>screening for HCV infection in adults aged 18 to 79 years. (B recommendation)</w:t>
            </w:r>
            <w:r>
              <w:rPr>
                <w:rFonts w:ascii="Garamond" w:hAnsi="Garamond"/>
                <w:lang w:val="en-AU"/>
              </w:rPr>
              <w:t xml:space="preserve">. The </w:t>
            </w:r>
            <w:r w:rsidRPr="00313DFA">
              <w:rPr>
                <w:rFonts w:ascii="Garamond" w:hAnsi="Garamond"/>
                <w:lang w:val="en-AU"/>
              </w:rPr>
              <w:t>recommendation applies to all asymptomatic adults aged 18 to 79 years without known liver disease.</w:t>
            </w:r>
          </w:p>
          <w:p w:rsidR="0044240E" w:rsidRDefault="0044240E" w:rsidP="008F2C06">
            <w:pPr>
              <w:rPr>
                <w:rFonts w:ascii="Garamond" w:hAnsi="Garamond"/>
                <w:lang w:val="en-AU"/>
              </w:rPr>
            </w:pPr>
          </w:p>
          <w:p w:rsidR="007E5E4D" w:rsidRPr="0007400A" w:rsidRDefault="007E5E4D" w:rsidP="008F2C06">
            <w:pPr>
              <w:jc w:val="center"/>
              <w:rPr>
                <w:rFonts w:ascii="Garamond" w:hAnsi="Garamond"/>
                <w:lang w:val="en-AU"/>
              </w:rPr>
            </w:pPr>
            <w:bookmarkStart w:id="1" w:name="_GoBack"/>
            <w:r>
              <w:rPr>
                <w:rFonts w:ascii="Garamond" w:hAnsi="Garamond"/>
                <w:noProof/>
                <w:lang w:val="en-AU" w:eastAsia="en-AU"/>
              </w:rPr>
              <w:lastRenderedPageBreak/>
              <w:drawing>
                <wp:inline distT="0" distB="0" distL="0" distR="0" wp14:anchorId="4E62A405" wp14:editId="393B268A">
                  <wp:extent cx="4256628" cy="2789499"/>
                  <wp:effectExtent l="0" t="0" r="0" b="0"/>
                  <wp:docPr id="1" name="Picture 1" title="The USPSTF recommends screening for HCV infection in adults aged 18 to 79 years. (B recommendation).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hep c.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6628" cy="2789499"/>
                          </a:xfrm>
                          <a:prstGeom prst="rect">
                            <a:avLst/>
                          </a:prstGeom>
                          <a:noFill/>
                          <a:ln>
                            <a:noFill/>
                          </a:ln>
                        </pic:spPr>
                      </pic:pic>
                    </a:graphicData>
                  </a:graphic>
                </wp:inline>
              </w:drawing>
            </w:r>
            <w:bookmarkEnd w:id="1"/>
          </w:p>
        </w:tc>
      </w:tr>
    </w:tbl>
    <w:p w:rsidR="007E5E4D" w:rsidRDefault="007E5E4D" w:rsidP="007E5E4D">
      <w:pPr>
        <w:rPr>
          <w:rFonts w:ascii="Garamond" w:hAnsi="Garamond"/>
          <w:lang w:val="en-AU"/>
        </w:rPr>
      </w:pPr>
    </w:p>
    <w:p w:rsidR="007922C5" w:rsidRDefault="009662CE" w:rsidP="007922C5">
      <w:pPr>
        <w:keepNext/>
        <w:rPr>
          <w:rFonts w:ascii="Garamond" w:hAnsi="Garamond"/>
          <w:i/>
          <w:lang w:val="en-AU"/>
        </w:rPr>
      </w:pPr>
      <w:r>
        <w:rPr>
          <w:rFonts w:ascii="Garamond" w:hAnsi="Garamond"/>
          <w:i/>
          <w:lang w:val="en-AU"/>
        </w:rPr>
        <w:t>Public Health Research &amp; Practice</w:t>
      </w:r>
    </w:p>
    <w:p w:rsidR="007922C5" w:rsidRPr="00612D3D" w:rsidRDefault="007922C5" w:rsidP="007922C5">
      <w:pPr>
        <w:keepNext/>
        <w:rPr>
          <w:rFonts w:ascii="Garamond" w:hAnsi="Garamond"/>
          <w:lang w:val="en-AU"/>
        </w:rPr>
      </w:pPr>
      <w:r>
        <w:rPr>
          <w:rFonts w:ascii="Garamond" w:hAnsi="Garamond"/>
          <w:lang w:val="en-AU"/>
        </w:rPr>
        <w:t>Volume 3</w:t>
      </w:r>
      <w:r w:rsidR="009662CE">
        <w:rPr>
          <w:rFonts w:ascii="Garamond" w:hAnsi="Garamond"/>
          <w:lang w:val="en-AU"/>
        </w:rPr>
        <w:t>0</w:t>
      </w:r>
      <w:r>
        <w:rPr>
          <w:rFonts w:ascii="Garamond" w:hAnsi="Garamond"/>
          <w:lang w:val="en-AU"/>
        </w:rPr>
        <w:t xml:space="preserve">, No. </w:t>
      </w:r>
      <w:r w:rsidR="009662CE">
        <w:rPr>
          <w:rFonts w:ascii="Garamond" w:hAnsi="Garamond"/>
          <w:lang w:val="en-AU"/>
        </w:rPr>
        <w:t>1</w:t>
      </w:r>
      <w:r>
        <w:rPr>
          <w:rFonts w:ascii="Garamond" w:hAnsi="Garamond"/>
          <w:lang w:val="en-AU"/>
        </w:rPr>
        <w:t>, March 2020</w:t>
      </w:r>
    </w:p>
    <w:tbl>
      <w:tblPr>
        <w:tblStyle w:val="TableGrid"/>
        <w:tblW w:w="9360" w:type="dxa"/>
        <w:tblInd w:w="288" w:type="dxa"/>
        <w:tblLayout w:type="fixed"/>
        <w:tblLook w:val="01E0" w:firstRow="1" w:lastRow="1" w:firstColumn="1" w:lastColumn="1" w:noHBand="0" w:noVBand="0"/>
      </w:tblPr>
      <w:tblGrid>
        <w:gridCol w:w="1080"/>
        <w:gridCol w:w="8280"/>
      </w:tblGrid>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6706B4" w:rsidRDefault="003C7E44" w:rsidP="009662CE">
            <w:pPr>
              <w:rPr>
                <w:rStyle w:val="Hyperlink"/>
                <w:rFonts w:ascii="Garamond" w:hAnsi="Garamond"/>
                <w:color w:val="auto"/>
                <w:u w:val="none"/>
                <w:lang w:val="en-AU"/>
              </w:rPr>
            </w:pPr>
            <w:hyperlink r:id="rId31" w:history="1">
              <w:r w:rsidR="009662CE" w:rsidRPr="004C775F">
                <w:rPr>
                  <w:rStyle w:val="Hyperlink"/>
                  <w:rFonts w:ascii="Garamond" w:hAnsi="Garamond"/>
                  <w:lang w:val="en-AU"/>
                </w:rPr>
                <w:t>https://www.phrp.com.au/issues/march-2020-volume-30-issue-1/</w:t>
              </w:r>
            </w:hyperlink>
          </w:p>
        </w:tc>
      </w:tr>
      <w:tr w:rsidR="007922C5" w:rsidRPr="000170DA" w:rsidTr="001A116F">
        <w:tc>
          <w:tcPr>
            <w:tcW w:w="1080" w:type="dxa"/>
            <w:tcBorders>
              <w:top w:val="single" w:sz="4" w:space="0" w:color="auto"/>
              <w:left w:val="single" w:sz="4" w:space="0" w:color="auto"/>
              <w:bottom w:val="single" w:sz="4" w:space="0" w:color="auto"/>
              <w:right w:val="single" w:sz="4" w:space="0" w:color="auto"/>
            </w:tcBorders>
            <w:vAlign w:val="center"/>
          </w:tcPr>
          <w:p w:rsidR="007922C5" w:rsidRPr="000170DA" w:rsidRDefault="007922C5" w:rsidP="001A116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22C5" w:rsidRPr="007C3778" w:rsidRDefault="007922C5" w:rsidP="001A116F">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9662CE">
              <w:rPr>
                <w:rFonts w:ascii="Garamond" w:hAnsi="Garamond"/>
                <w:i/>
                <w:lang w:val="en-AU"/>
              </w:rPr>
              <w:t>Public Health Research &amp; Practice</w:t>
            </w:r>
            <w:r w:rsidR="009662CE"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9662CE">
              <w:rPr>
                <w:rFonts w:ascii="Garamond" w:hAnsi="Garamond"/>
                <w:i/>
                <w:lang w:val="en-AU"/>
              </w:rPr>
              <w:t>Public Health Research &amp; Practice</w:t>
            </w:r>
            <w:r w:rsidR="009662CE" w:rsidRPr="00B440ED">
              <w:rPr>
                <w:rFonts w:ascii="Garamond" w:hAnsi="Garamond"/>
                <w:lang w:val="en-AU"/>
              </w:rPr>
              <w:t xml:space="preserve"> </w:t>
            </w:r>
            <w:r w:rsidRPr="00B440ED">
              <w:rPr>
                <w:rFonts w:ascii="Garamond" w:hAnsi="Garamond"/>
                <w:lang w:val="en-AU"/>
              </w:rPr>
              <w:t>include:</w:t>
            </w:r>
          </w:p>
          <w:p w:rsidR="00D37924" w:rsidRPr="00D37924" w:rsidRDefault="00D37924" w:rsidP="009A5208">
            <w:pPr>
              <w:pStyle w:val="ListParagraph"/>
              <w:numPr>
                <w:ilvl w:val="0"/>
                <w:numId w:val="15"/>
              </w:numPr>
              <w:rPr>
                <w:rFonts w:ascii="Garamond" w:hAnsi="Garamond"/>
                <w:lang w:val="en-AU"/>
              </w:rPr>
            </w:pPr>
            <w:r w:rsidRPr="00D37924">
              <w:rPr>
                <w:rFonts w:ascii="Garamond" w:hAnsi="Garamond"/>
                <w:lang w:val="en-AU"/>
              </w:rPr>
              <w:t xml:space="preserve">On a knife’s edge of a </w:t>
            </w:r>
            <w:r w:rsidRPr="002F3217">
              <w:rPr>
                <w:rFonts w:ascii="Garamond" w:hAnsi="Garamond"/>
                <w:b/>
                <w:lang w:val="en-AU"/>
              </w:rPr>
              <w:t>COVID-19 pandemic</w:t>
            </w:r>
            <w:r w:rsidRPr="00D37924">
              <w:rPr>
                <w:rFonts w:ascii="Garamond" w:hAnsi="Garamond"/>
                <w:lang w:val="en-AU"/>
              </w:rPr>
              <w:t>: is containment still possible? (C Raina MacIntyre</w:t>
            </w:r>
            <w:r>
              <w:rPr>
                <w:rFonts w:ascii="Garamond" w:hAnsi="Garamond"/>
                <w:lang w:val="en-AU"/>
              </w:rPr>
              <w:t>)</w:t>
            </w:r>
          </w:p>
          <w:p w:rsidR="00D37924" w:rsidRPr="00D37924" w:rsidRDefault="00D37924" w:rsidP="008F5D5C">
            <w:pPr>
              <w:pStyle w:val="ListParagraph"/>
              <w:numPr>
                <w:ilvl w:val="0"/>
                <w:numId w:val="15"/>
              </w:numPr>
              <w:rPr>
                <w:rFonts w:ascii="Garamond" w:hAnsi="Garamond"/>
                <w:lang w:val="en-AU"/>
              </w:rPr>
            </w:pPr>
            <w:r w:rsidRPr="00D37924">
              <w:rPr>
                <w:rFonts w:ascii="Garamond" w:hAnsi="Garamond"/>
                <w:lang w:val="en-AU"/>
              </w:rPr>
              <w:t xml:space="preserve">Improving </w:t>
            </w:r>
            <w:r w:rsidRPr="00D37924">
              <w:rPr>
                <w:rFonts w:ascii="Garamond" w:hAnsi="Garamond"/>
                <w:b/>
                <w:lang w:val="en-AU"/>
              </w:rPr>
              <w:t>palliative and end-of-life care</w:t>
            </w:r>
            <w:r w:rsidRPr="00D37924">
              <w:rPr>
                <w:rFonts w:ascii="Garamond" w:hAnsi="Garamond"/>
                <w:lang w:val="en-AU"/>
              </w:rPr>
              <w:t xml:space="preserve"> for rural and remote Australians (Sarah Wenham, Melissa Cumming, Emily Saurman</w:t>
            </w:r>
            <w:r>
              <w:rPr>
                <w:rFonts w:ascii="Garamond" w:hAnsi="Garamond"/>
                <w:lang w:val="en-AU"/>
              </w:rPr>
              <w:t>)</w:t>
            </w:r>
          </w:p>
          <w:p w:rsidR="00D37924" w:rsidRPr="00D37924" w:rsidRDefault="00D37924" w:rsidP="00386A2C">
            <w:pPr>
              <w:pStyle w:val="ListParagraph"/>
              <w:numPr>
                <w:ilvl w:val="0"/>
                <w:numId w:val="15"/>
              </w:numPr>
              <w:rPr>
                <w:rFonts w:ascii="Garamond" w:hAnsi="Garamond"/>
                <w:lang w:val="en-AU"/>
              </w:rPr>
            </w:pPr>
            <w:r w:rsidRPr="00D37924">
              <w:rPr>
                <w:rFonts w:ascii="Garamond" w:hAnsi="Garamond"/>
                <w:lang w:val="en-AU"/>
              </w:rPr>
              <w:t xml:space="preserve">How readable are Australian multilingual </w:t>
            </w:r>
            <w:proofErr w:type="gramStart"/>
            <w:r w:rsidRPr="00D37924">
              <w:rPr>
                <w:rFonts w:ascii="Garamond" w:hAnsi="Garamond"/>
                <w:b/>
                <w:lang w:val="en-AU"/>
              </w:rPr>
              <w:t>diabetes patient education materials</w:t>
            </w:r>
            <w:proofErr w:type="gramEnd"/>
            <w:r w:rsidRPr="00D37924">
              <w:rPr>
                <w:rFonts w:ascii="Garamond" w:hAnsi="Garamond"/>
                <w:lang w:val="en-AU"/>
              </w:rPr>
              <w:t>? An evaluation of national English-language source texts (Shanshan Lin, Julie Ayre, Danielle M Muscat</w:t>
            </w:r>
            <w:r>
              <w:rPr>
                <w:rFonts w:ascii="Garamond" w:hAnsi="Garamond"/>
                <w:lang w:val="en-AU"/>
              </w:rPr>
              <w:t>)</w:t>
            </w:r>
          </w:p>
          <w:p w:rsidR="00D37924" w:rsidRPr="00D37924" w:rsidRDefault="00D37924" w:rsidP="00A0297A">
            <w:pPr>
              <w:pStyle w:val="ListParagraph"/>
              <w:numPr>
                <w:ilvl w:val="0"/>
                <w:numId w:val="15"/>
              </w:numPr>
              <w:rPr>
                <w:rFonts w:ascii="Garamond" w:hAnsi="Garamond"/>
                <w:lang w:val="en-AU"/>
              </w:rPr>
            </w:pPr>
            <w:r w:rsidRPr="00D37924">
              <w:rPr>
                <w:rFonts w:ascii="Garamond" w:hAnsi="Garamond"/>
                <w:lang w:val="en-AU"/>
              </w:rPr>
              <w:t xml:space="preserve">Predictors of ceasing or reducing statin medication following a large increase in the </w:t>
            </w:r>
            <w:r w:rsidRPr="00D37924">
              <w:rPr>
                <w:rFonts w:ascii="Garamond" w:hAnsi="Garamond"/>
                <w:b/>
                <w:lang w:val="en-AU"/>
              </w:rPr>
              <w:t>consumer copayment for medications</w:t>
            </w:r>
            <w:r w:rsidRPr="00D37924">
              <w:rPr>
                <w:rFonts w:ascii="Garamond" w:hAnsi="Garamond"/>
                <w:lang w:val="en-AU"/>
              </w:rPr>
              <w:t>: a retrospective observational study (Karla Seaman, Frank Sanfilippo, Max Bulsara, Libby Roughead, Anna Kemp-Casey, Caroline Bulsara, Gerald F Watts, David Preen</w:t>
            </w:r>
          </w:p>
          <w:p w:rsidR="00D37924" w:rsidRPr="00D37924" w:rsidRDefault="00D37924" w:rsidP="00605DB4">
            <w:pPr>
              <w:pStyle w:val="ListParagraph"/>
              <w:numPr>
                <w:ilvl w:val="0"/>
                <w:numId w:val="15"/>
              </w:numPr>
              <w:rPr>
                <w:rFonts w:ascii="Garamond" w:hAnsi="Garamond"/>
                <w:lang w:val="en-AU"/>
              </w:rPr>
            </w:pPr>
            <w:r w:rsidRPr="00D37924">
              <w:rPr>
                <w:rFonts w:ascii="Garamond" w:hAnsi="Garamond"/>
                <w:lang w:val="en-AU"/>
              </w:rPr>
              <w:t xml:space="preserve">An evaluation of the 2016 </w:t>
            </w:r>
            <w:r w:rsidRPr="00D37924">
              <w:rPr>
                <w:rFonts w:ascii="Garamond" w:hAnsi="Garamond"/>
                <w:b/>
                <w:lang w:val="en-AU"/>
              </w:rPr>
              <w:t>influenza vaccination in pregnancy</w:t>
            </w:r>
            <w:r w:rsidRPr="00D37924">
              <w:rPr>
                <w:rFonts w:ascii="Garamond" w:hAnsi="Garamond"/>
                <w:lang w:val="en-AU"/>
              </w:rPr>
              <w:t xml:space="preserve"> campaign in NSW, Australia (Samantha Carlson, Aditi Dey, Frank Beard</w:t>
            </w:r>
            <w:r>
              <w:rPr>
                <w:rFonts w:ascii="Garamond" w:hAnsi="Garamond"/>
                <w:lang w:val="en-AU"/>
              </w:rPr>
              <w:t>)</w:t>
            </w:r>
          </w:p>
          <w:p w:rsidR="00D37924" w:rsidRPr="00D37924" w:rsidRDefault="00D37924" w:rsidP="006929B1">
            <w:pPr>
              <w:pStyle w:val="ListParagraph"/>
              <w:numPr>
                <w:ilvl w:val="0"/>
                <w:numId w:val="15"/>
              </w:numPr>
              <w:rPr>
                <w:rFonts w:ascii="Garamond" w:hAnsi="Garamond"/>
                <w:lang w:val="en-AU"/>
              </w:rPr>
            </w:pPr>
            <w:r w:rsidRPr="00D37924">
              <w:rPr>
                <w:rFonts w:ascii="Garamond" w:hAnsi="Garamond"/>
                <w:lang w:val="en-AU"/>
              </w:rPr>
              <w:t xml:space="preserve">Examining the use of </w:t>
            </w:r>
            <w:r w:rsidRPr="00D37924">
              <w:rPr>
                <w:rFonts w:ascii="Garamond" w:hAnsi="Garamond"/>
                <w:b/>
                <w:lang w:val="en-AU"/>
              </w:rPr>
              <w:t>antiviral prophylaxis for influenza</w:t>
            </w:r>
            <w:r w:rsidRPr="00D37924">
              <w:rPr>
                <w:rFonts w:ascii="Garamond" w:hAnsi="Garamond"/>
                <w:lang w:val="en-AU"/>
              </w:rPr>
              <w:t xml:space="preserve"> outbreaks in </w:t>
            </w:r>
            <w:r w:rsidRPr="00D37924">
              <w:rPr>
                <w:rFonts w:ascii="Garamond" w:hAnsi="Garamond"/>
                <w:b/>
                <w:lang w:val="en-AU"/>
              </w:rPr>
              <w:t>residential aged care facilities</w:t>
            </w:r>
            <w:r w:rsidRPr="00D37924">
              <w:rPr>
                <w:rFonts w:ascii="Garamond" w:hAnsi="Garamond"/>
                <w:lang w:val="en-AU"/>
              </w:rPr>
              <w:t xml:space="preserve"> in NSW, Australia (Wedyan Meshreky, Daneeta Hennessy, Robin Gilmour, Sean Tobin, Vicky Sheppeard</w:t>
            </w:r>
            <w:r>
              <w:rPr>
                <w:rFonts w:ascii="Garamond" w:hAnsi="Garamond"/>
                <w:lang w:val="en-AU"/>
              </w:rPr>
              <w:t>)</w:t>
            </w:r>
          </w:p>
          <w:p w:rsidR="00D37924" w:rsidRPr="00D37924" w:rsidRDefault="00D37924" w:rsidP="002A7C85">
            <w:pPr>
              <w:pStyle w:val="ListParagraph"/>
              <w:numPr>
                <w:ilvl w:val="0"/>
                <w:numId w:val="15"/>
              </w:numPr>
              <w:rPr>
                <w:rFonts w:ascii="Garamond" w:hAnsi="Garamond"/>
                <w:lang w:val="en-AU"/>
              </w:rPr>
            </w:pPr>
            <w:r w:rsidRPr="00D37924">
              <w:rPr>
                <w:rFonts w:ascii="Garamond" w:hAnsi="Garamond"/>
                <w:lang w:val="en-AU"/>
              </w:rPr>
              <w:t xml:space="preserve">The equitable reach of a universal, multisector </w:t>
            </w:r>
            <w:r w:rsidRPr="00D37924">
              <w:rPr>
                <w:rFonts w:ascii="Garamond" w:hAnsi="Garamond"/>
                <w:b/>
                <w:lang w:val="en-AU"/>
              </w:rPr>
              <w:t xml:space="preserve">childhood obesity prevention </w:t>
            </w:r>
            <w:r w:rsidRPr="00D37924">
              <w:rPr>
                <w:rFonts w:ascii="Garamond" w:hAnsi="Garamond"/>
                <w:lang w:val="en-AU"/>
              </w:rPr>
              <w:t>program (Live Life Well @ School) in Australian primary schools (Andrea Bravo, Bridget C Foley, C Innes-Hughes, B J O'Hara, B McGill, C Rissel</w:t>
            </w:r>
            <w:r>
              <w:rPr>
                <w:rFonts w:ascii="Garamond" w:hAnsi="Garamond"/>
                <w:lang w:val="en-AU"/>
              </w:rPr>
              <w:t>)</w:t>
            </w:r>
          </w:p>
          <w:p w:rsidR="00D37924" w:rsidRPr="00D37924" w:rsidRDefault="00D37924" w:rsidP="00F31841">
            <w:pPr>
              <w:pStyle w:val="ListParagraph"/>
              <w:numPr>
                <w:ilvl w:val="0"/>
                <w:numId w:val="15"/>
              </w:numPr>
              <w:rPr>
                <w:rFonts w:ascii="Garamond" w:hAnsi="Garamond"/>
                <w:lang w:val="en-AU"/>
              </w:rPr>
            </w:pPr>
            <w:r w:rsidRPr="00D37924">
              <w:rPr>
                <w:rFonts w:ascii="Garamond" w:hAnsi="Garamond"/>
                <w:lang w:val="en-AU"/>
              </w:rPr>
              <w:t xml:space="preserve">Falling short: examination of the validity of methods used to identify </w:t>
            </w:r>
            <w:r w:rsidRPr="00D37924">
              <w:rPr>
                <w:rFonts w:ascii="Garamond" w:hAnsi="Garamond"/>
                <w:b/>
                <w:lang w:val="en-AU"/>
              </w:rPr>
              <w:t>paediatric hospital falls</w:t>
            </w:r>
            <w:r w:rsidRPr="00D37924">
              <w:rPr>
                <w:rFonts w:ascii="Garamond" w:hAnsi="Garamond"/>
                <w:lang w:val="en-AU"/>
              </w:rPr>
              <w:t xml:space="preserve"> in NSW, Australia (Daniela Feuerlicht, Maria Agaliotis, Reece Hinchcliff</w:t>
            </w:r>
            <w:r>
              <w:rPr>
                <w:rFonts w:ascii="Garamond" w:hAnsi="Garamond"/>
                <w:lang w:val="en-AU"/>
              </w:rPr>
              <w:t>)</w:t>
            </w:r>
          </w:p>
          <w:p w:rsidR="00D37924" w:rsidRPr="00D37924" w:rsidRDefault="00D37924" w:rsidP="001D13FC">
            <w:pPr>
              <w:pStyle w:val="ListParagraph"/>
              <w:numPr>
                <w:ilvl w:val="0"/>
                <w:numId w:val="15"/>
              </w:numPr>
              <w:rPr>
                <w:rFonts w:ascii="Garamond" w:hAnsi="Garamond"/>
                <w:lang w:val="en-AU"/>
              </w:rPr>
            </w:pPr>
            <w:r w:rsidRPr="00D37924">
              <w:rPr>
                <w:rFonts w:ascii="Garamond" w:hAnsi="Garamond"/>
                <w:lang w:val="en-AU"/>
              </w:rPr>
              <w:t xml:space="preserve">Capture of </w:t>
            </w:r>
            <w:r w:rsidRPr="00112BF3">
              <w:rPr>
                <w:rFonts w:ascii="Garamond" w:hAnsi="Garamond"/>
                <w:b/>
                <w:lang w:val="en-AU"/>
              </w:rPr>
              <w:t>systemic anticancer therapy</w:t>
            </w:r>
            <w:r w:rsidRPr="00D37924">
              <w:rPr>
                <w:rFonts w:ascii="Garamond" w:hAnsi="Garamond"/>
                <w:lang w:val="en-AU"/>
              </w:rPr>
              <w:t xml:space="preserve"> use by routinely collected health datasets (Hanna E Tervonen, Nicola Creighton, George W Zhao, Megumi Ng, David C Currow</w:t>
            </w:r>
            <w:r>
              <w:rPr>
                <w:rFonts w:ascii="Garamond" w:hAnsi="Garamond"/>
                <w:lang w:val="en-AU"/>
              </w:rPr>
              <w:t>)</w:t>
            </w:r>
          </w:p>
          <w:p w:rsidR="007922C5" w:rsidRPr="007C3778" w:rsidRDefault="00D37924" w:rsidP="00D37924">
            <w:pPr>
              <w:pStyle w:val="ListParagraph"/>
              <w:numPr>
                <w:ilvl w:val="0"/>
                <w:numId w:val="15"/>
              </w:numPr>
              <w:rPr>
                <w:rFonts w:ascii="Garamond" w:hAnsi="Garamond"/>
                <w:lang w:val="en-AU"/>
              </w:rPr>
            </w:pPr>
            <w:r w:rsidRPr="00D37924">
              <w:rPr>
                <w:rFonts w:ascii="Garamond" w:hAnsi="Garamond"/>
                <w:lang w:val="en-AU"/>
              </w:rPr>
              <w:t xml:space="preserve">Children’s trips to school dominated by </w:t>
            </w:r>
            <w:r w:rsidRPr="00112BF3">
              <w:rPr>
                <w:rFonts w:ascii="Garamond" w:hAnsi="Garamond"/>
                <w:b/>
                <w:lang w:val="en-AU"/>
              </w:rPr>
              <w:t>unhealthy food advertising</w:t>
            </w:r>
            <w:r w:rsidRPr="00D37924">
              <w:rPr>
                <w:rFonts w:ascii="Garamond" w:hAnsi="Garamond"/>
                <w:lang w:val="en-AU"/>
              </w:rPr>
              <w:t xml:space="preserve"> in Sydney, Australia</w:t>
            </w:r>
            <w:r>
              <w:rPr>
                <w:rFonts w:ascii="Garamond" w:hAnsi="Garamond"/>
                <w:lang w:val="en-AU"/>
              </w:rPr>
              <w:t xml:space="preserve"> (</w:t>
            </w:r>
            <w:r w:rsidRPr="00D37924">
              <w:rPr>
                <w:rFonts w:ascii="Garamond" w:hAnsi="Garamond"/>
                <w:lang w:val="en-AU"/>
              </w:rPr>
              <w:t>Korina J Richmond, Wendy L Watson, Clare Hughes, Bridget Kelly</w:t>
            </w:r>
            <w:r>
              <w:rPr>
                <w:rFonts w:ascii="Garamond" w:hAnsi="Garamond"/>
                <w:lang w:val="en-AU"/>
              </w:rPr>
              <w:t>)</w:t>
            </w:r>
          </w:p>
        </w:tc>
      </w:tr>
    </w:tbl>
    <w:p w:rsidR="00B402EF" w:rsidRPr="00467B47" w:rsidRDefault="00B402EF" w:rsidP="00B402EF">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402EF" w:rsidRPr="00467B47" w:rsidTr="00B34D6C">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402EF" w:rsidRPr="00467B47" w:rsidRDefault="003C7E44" w:rsidP="00B34D6C">
            <w:pPr>
              <w:keepNext/>
              <w:rPr>
                <w:rFonts w:ascii="Garamond" w:hAnsi="Garamond"/>
                <w:lang w:val="en-AU"/>
              </w:rPr>
            </w:pPr>
            <w:hyperlink r:id="rId32" w:history="1">
              <w:r w:rsidR="00B402EF" w:rsidRPr="00467B47">
                <w:rPr>
                  <w:rStyle w:val="Hyperlink"/>
                  <w:rFonts w:ascii="Garamond" w:hAnsi="Garamond"/>
                  <w:lang w:val="en-AU"/>
                </w:rPr>
                <w:t>https://qualitysafety.bmj.com/content/early/recent</w:t>
              </w:r>
            </w:hyperlink>
          </w:p>
        </w:tc>
      </w:tr>
      <w:tr w:rsidR="00B402EF" w:rsidRPr="00467B47" w:rsidTr="00B34D6C">
        <w:tc>
          <w:tcPr>
            <w:tcW w:w="1080" w:type="dxa"/>
            <w:tcBorders>
              <w:top w:val="single" w:sz="4" w:space="0" w:color="auto"/>
              <w:left w:val="single" w:sz="4" w:space="0" w:color="auto"/>
              <w:bottom w:val="single" w:sz="4" w:space="0" w:color="auto"/>
              <w:right w:val="single" w:sz="4" w:space="0" w:color="auto"/>
            </w:tcBorders>
            <w:vAlign w:val="center"/>
          </w:tcPr>
          <w:p w:rsidR="00B402EF" w:rsidRPr="00467B47" w:rsidRDefault="00B402EF" w:rsidP="00B34D6C">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402EF" w:rsidRPr="00D84575" w:rsidRDefault="00B402EF" w:rsidP="00B34D6C">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352952" w:rsidRPr="00352952" w:rsidRDefault="00352952" w:rsidP="00171FFD">
            <w:pPr>
              <w:pStyle w:val="ListParagraph"/>
              <w:numPr>
                <w:ilvl w:val="0"/>
                <w:numId w:val="14"/>
              </w:numPr>
              <w:jc w:val="both"/>
              <w:rPr>
                <w:rFonts w:ascii="Garamond" w:hAnsi="Garamond"/>
                <w:lang w:val="en-AU"/>
              </w:rPr>
            </w:pPr>
            <w:r w:rsidRPr="00352952">
              <w:rPr>
                <w:rFonts w:ascii="Garamond" w:hAnsi="Garamond"/>
                <w:lang w:val="en-AU"/>
              </w:rPr>
              <w:t xml:space="preserve">Estimating misclassification error in a binary performance indicator: case study of </w:t>
            </w:r>
            <w:r w:rsidRPr="00352952">
              <w:rPr>
                <w:rFonts w:ascii="Garamond" w:hAnsi="Garamond"/>
                <w:b/>
                <w:lang w:val="en-AU"/>
              </w:rPr>
              <w:t>low value care</w:t>
            </w:r>
            <w:r w:rsidRPr="00352952">
              <w:rPr>
                <w:rFonts w:ascii="Garamond" w:hAnsi="Garamond"/>
                <w:lang w:val="en-AU"/>
              </w:rPr>
              <w:t xml:space="preserve"> in Australian hospitals (Tim Badgery-Parker, Sallie-Anne Pearson, Adam G Elshaug</w:t>
            </w:r>
            <w:r>
              <w:rPr>
                <w:rFonts w:ascii="Garamond" w:hAnsi="Garamond"/>
                <w:lang w:val="en-AU"/>
              </w:rPr>
              <w:t>)</w:t>
            </w:r>
          </w:p>
          <w:p w:rsidR="00F35387" w:rsidRPr="00F35387" w:rsidRDefault="00F35387" w:rsidP="001A684D">
            <w:pPr>
              <w:pStyle w:val="ListParagraph"/>
              <w:numPr>
                <w:ilvl w:val="0"/>
                <w:numId w:val="14"/>
              </w:numPr>
              <w:jc w:val="both"/>
              <w:rPr>
                <w:rFonts w:ascii="Garamond" w:hAnsi="Garamond"/>
                <w:lang w:val="en-AU"/>
              </w:rPr>
            </w:pPr>
            <w:r w:rsidRPr="00F35387">
              <w:rPr>
                <w:rFonts w:ascii="Garamond" w:hAnsi="Garamond"/>
                <w:lang w:val="en-AU"/>
              </w:rPr>
              <w:t xml:space="preserve">Does team reflexivity impact </w:t>
            </w:r>
            <w:r w:rsidRPr="00F35387">
              <w:rPr>
                <w:rFonts w:ascii="Garamond" w:hAnsi="Garamond"/>
                <w:b/>
                <w:lang w:val="en-AU"/>
              </w:rPr>
              <w:t>teamwork and communication in interprofessional hospital-based healthcare teams</w:t>
            </w:r>
            <w:r w:rsidRPr="00F35387">
              <w:rPr>
                <w:rFonts w:ascii="Garamond" w:hAnsi="Garamond"/>
                <w:lang w:val="en-AU"/>
              </w:rPr>
              <w:t>? A systematic review and narrative synthesis (Siobhan Kathleen McHugh, Rebecca Lawton, Jane Kathryn O'Hara, Laura Sheard</w:t>
            </w:r>
            <w:r>
              <w:rPr>
                <w:rFonts w:ascii="Garamond" w:hAnsi="Garamond"/>
                <w:lang w:val="en-AU"/>
              </w:rPr>
              <w:t>)</w:t>
            </w:r>
          </w:p>
          <w:p w:rsidR="00F35387" w:rsidRPr="00F35387" w:rsidRDefault="00F35387" w:rsidP="0069367E">
            <w:pPr>
              <w:pStyle w:val="ListParagraph"/>
              <w:numPr>
                <w:ilvl w:val="0"/>
                <w:numId w:val="14"/>
              </w:numPr>
              <w:jc w:val="both"/>
              <w:rPr>
                <w:rFonts w:ascii="Garamond" w:hAnsi="Garamond"/>
                <w:lang w:val="en-AU"/>
              </w:rPr>
            </w:pPr>
            <w:r w:rsidRPr="00F35387">
              <w:rPr>
                <w:rFonts w:ascii="Garamond" w:hAnsi="Garamond"/>
                <w:lang w:val="en-AU"/>
              </w:rPr>
              <w:t xml:space="preserve">Multistate programme to reduce </w:t>
            </w:r>
            <w:r w:rsidRPr="00F35387">
              <w:rPr>
                <w:rFonts w:ascii="Garamond" w:hAnsi="Garamond"/>
                <w:b/>
                <w:lang w:val="en-AU"/>
              </w:rPr>
              <w:t>catheter-associated infections in intensive care units</w:t>
            </w:r>
            <w:r w:rsidRPr="00F35387">
              <w:rPr>
                <w:rFonts w:ascii="Garamond" w:hAnsi="Garamond"/>
                <w:lang w:val="en-AU"/>
              </w:rPr>
              <w:t xml:space="preserve"> with elevated infection rates (Jennifer Meddings, M Todd Greene, David Ratz, Jessica Ameling, Karen E Fowler, Andrew J Rolle, Louella Hung, Sue Collier, Sanjay Saint</w:t>
            </w:r>
            <w:r>
              <w:rPr>
                <w:rFonts w:ascii="Garamond" w:hAnsi="Garamond"/>
                <w:lang w:val="en-AU"/>
              </w:rPr>
              <w:t>)</w:t>
            </w:r>
          </w:p>
          <w:p w:rsidR="00CB74BA" w:rsidRPr="00CB74BA" w:rsidRDefault="00CB74BA" w:rsidP="00161C89">
            <w:pPr>
              <w:pStyle w:val="ListParagraph"/>
              <w:numPr>
                <w:ilvl w:val="0"/>
                <w:numId w:val="14"/>
              </w:numPr>
              <w:jc w:val="both"/>
              <w:rPr>
                <w:rFonts w:ascii="Garamond" w:hAnsi="Garamond"/>
                <w:lang w:val="en-AU"/>
              </w:rPr>
            </w:pPr>
            <w:r w:rsidRPr="00CB74BA">
              <w:rPr>
                <w:rFonts w:ascii="Garamond" w:hAnsi="Garamond"/>
                <w:lang w:val="en-AU"/>
              </w:rPr>
              <w:t xml:space="preserve">Out of sight, out of mind: a prospective observational study to estimate the duration of the </w:t>
            </w:r>
            <w:r w:rsidRPr="00CB74BA">
              <w:rPr>
                <w:rFonts w:ascii="Garamond" w:hAnsi="Garamond"/>
                <w:b/>
                <w:lang w:val="en-AU"/>
              </w:rPr>
              <w:t>Hawthorne effect on hand hygiene events</w:t>
            </w:r>
            <w:r w:rsidRPr="00CB74BA">
              <w:rPr>
                <w:rFonts w:ascii="Garamond" w:hAnsi="Garamond"/>
                <w:lang w:val="en-AU"/>
              </w:rPr>
              <w:t xml:space="preserve"> (Alon Vaisman, Grace Bannerman, John Matelski, Kathryn Tinckam, Susy S Hota</w:t>
            </w:r>
            <w:r>
              <w:rPr>
                <w:rFonts w:ascii="Garamond" w:hAnsi="Garamond"/>
                <w:lang w:val="en-AU"/>
              </w:rPr>
              <w:t>)</w:t>
            </w:r>
          </w:p>
          <w:p w:rsidR="00CB74BA" w:rsidRPr="00CB74BA" w:rsidRDefault="00CB74BA" w:rsidP="005A7E5A">
            <w:pPr>
              <w:pStyle w:val="ListParagraph"/>
              <w:numPr>
                <w:ilvl w:val="0"/>
                <w:numId w:val="14"/>
              </w:numPr>
              <w:jc w:val="both"/>
              <w:rPr>
                <w:rFonts w:ascii="Garamond" w:hAnsi="Garamond"/>
                <w:lang w:val="en-AU"/>
              </w:rPr>
            </w:pPr>
            <w:r w:rsidRPr="00CB74BA">
              <w:rPr>
                <w:rFonts w:ascii="Garamond" w:hAnsi="Garamond"/>
                <w:lang w:val="en-AU"/>
              </w:rPr>
              <w:t xml:space="preserve">Application of human factors to improve usability of </w:t>
            </w:r>
            <w:r w:rsidRPr="00CB74BA">
              <w:rPr>
                <w:rFonts w:ascii="Garamond" w:hAnsi="Garamond"/>
                <w:b/>
                <w:lang w:val="en-AU"/>
              </w:rPr>
              <w:t>clinical decision support for</w:t>
            </w:r>
            <w:r w:rsidRPr="00CB74BA">
              <w:rPr>
                <w:rFonts w:ascii="Garamond" w:hAnsi="Garamond"/>
                <w:lang w:val="en-AU"/>
              </w:rPr>
              <w:t xml:space="preserve"> </w:t>
            </w:r>
            <w:r w:rsidRPr="00CB74BA">
              <w:rPr>
                <w:rFonts w:ascii="Garamond" w:hAnsi="Garamond"/>
                <w:b/>
                <w:lang w:val="en-AU"/>
              </w:rPr>
              <w:t>diagnostic decision-making</w:t>
            </w:r>
            <w:r w:rsidRPr="00CB74BA">
              <w:rPr>
                <w:rFonts w:ascii="Garamond" w:hAnsi="Garamond"/>
                <w:lang w:val="en-AU"/>
              </w:rPr>
              <w:t>: a scenario-based simulation study (Pascale Carayon, Peter Hoonakker, Ann Schoofs Hundt, Megan Salwei, Douglas Wiegmann, Roger L Brown, Peter Kleinschmidt, Clair Novak, Michael Pulia, Yudi Wang, Emily Wirkus, Brian Patterson</w:t>
            </w:r>
            <w:r>
              <w:rPr>
                <w:rFonts w:ascii="Garamond" w:hAnsi="Garamond"/>
                <w:lang w:val="en-AU"/>
              </w:rPr>
              <w:t>)</w:t>
            </w:r>
          </w:p>
          <w:p w:rsidR="002A4A0F" w:rsidRPr="00D83413" w:rsidRDefault="00CB74BA" w:rsidP="00CB74BA">
            <w:pPr>
              <w:pStyle w:val="ListParagraph"/>
              <w:numPr>
                <w:ilvl w:val="0"/>
                <w:numId w:val="14"/>
              </w:numPr>
              <w:jc w:val="both"/>
              <w:rPr>
                <w:rFonts w:ascii="Garamond" w:hAnsi="Garamond"/>
                <w:lang w:val="en-AU"/>
              </w:rPr>
            </w:pPr>
            <w:r w:rsidRPr="00CB74BA">
              <w:rPr>
                <w:rFonts w:ascii="Garamond" w:hAnsi="Garamond"/>
                <w:lang w:val="en-AU"/>
              </w:rPr>
              <w:t xml:space="preserve">Appropriateness of </w:t>
            </w:r>
            <w:r w:rsidRPr="00CB74BA">
              <w:rPr>
                <w:rFonts w:ascii="Garamond" w:hAnsi="Garamond"/>
                <w:b/>
                <w:lang w:val="en-AU"/>
              </w:rPr>
              <w:t>peripherally inserted central catheter use</w:t>
            </w:r>
            <w:r w:rsidRPr="00CB74BA">
              <w:rPr>
                <w:rFonts w:ascii="Garamond" w:hAnsi="Garamond"/>
                <w:lang w:val="en-AU"/>
              </w:rPr>
              <w:t xml:space="preserve"> among general medical inpatients: an observational study using routinely collected data</w:t>
            </w:r>
            <w:r>
              <w:rPr>
                <w:rFonts w:ascii="Garamond" w:hAnsi="Garamond"/>
                <w:lang w:val="en-AU"/>
              </w:rPr>
              <w:t xml:space="preserve"> (</w:t>
            </w:r>
            <w:r w:rsidRPr="00CB74BA">
              <w:rPr>
                <w:rFonts w:ascii="Garamond" w:hAnsi="Garamond"/>
                <w:lang w:val="en-AU"/>
              </w:rPr>
              <w:t>Amol A Verma, Alexander Kumachev, Sonam Shah, Yishan Guo, Hae Young Jung, Shail Rawal, Lauren Lapointe-Shaw, Janice L Kwan, Adina Weinerman, Terence Tang, Fahad Razak</w:t>
            </w:r>
            <w:r>
              <w:rPr>
                <w:rFonts w:ascii="Garamond" w:hAnsi="Garamond"/>
                <w:lang w:val="en-AU"/>
              </w:rPr>
              <w:t>)</w:t>
            </w:r>
          </w:p>
        </w:tc>
      </w:tr>
    </w:tbl>
    <w:p w:rsidR="00B402EF" w:rsidRDefault="00B402EF" w:rsidP="00B402EF">
      <w:pPr>
        <w:keepNext/>
        <w:rPr>
          <w:rFonts w:ascii="Garamond" w:hAnsi="Garamond"/>
          <w:i/>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3C7E44" w:rsidP="00013842">
            <w:pPr>
              <w:keepNext/>
              <w:rPr>
                <w:rFonts w:ascii="Garamond" w:hAnsi="Garamond"/>
                <w:lang w:val="en-AU"/>
              </w:rPr>
            </w:pPr>
            <w:hyperlink r:id="rId33"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352952" w:rsidRDefault="00352952" w:rsidP="00F94016">
            <w:pPr>
              <w:pStyle w:val="ListParagraph"/>
              <w:numPr>
                <w:ilvl w:val="0"/>
                <w:numId w:val="14"/>
              </w:numPr>
              <w:jc w:val="both"/>
              <w:rPr>
                <w:rFonts w:ascii="Garamond" w:hAnsi="Garamond"/>
                <w:lang w:val="en-AU"/>
              </w:rPr>
            </w:pPr>
            <w:r w:rsidRPr="00352952">
              <w:rPr>
                <w:rFonts w:ascii="Garamond" w:hAnsi="Garamond"/>
                <w:lang w:val="en-AU"/>
              </w:rPr>
              <w:t xml:space="preserve">Using </w:t>
            </w:r>
            <w:r w:rsidRPr="00352952">
              <w:rPr>
                <w:rFonts w:ascii="Garamond" w:hAnsi="Garamond"/>
                <w:b/>
                <w:lang w:val="en-AU"/>
              </w:rPr>
              <w:t>parent-reported experience measures</w:t>
            </w:r>
            <w:r w:rsidRPr="00352952">
              <w:rPr>
                <w:rFonts w:ascii="Garamond" w:hAnsi="Garamond"/>
                <w:lang w:val="en-AU"/>
              </w:rPr>
              <w:t xml:space="preserve"> as quality improvement tools in paediatric cardiothoracic services: making it happen (Jo Wray, Geralyn Oldham</w:t>
            </w:r>
            <w:r>
              <w:rPr>
                <w:rFonts w:ascii="Garamond" w:hAnsi="Garamond"/>
                <w:lang w:val="en-AU"/>
              </w:rPr>
              <w:t>)</w:t>
            </w:r>
          </w:p>
          <w:p w:rsidR="00352952" w:rsidRPr="00352952" w:rsidRDefault="00352952" w:rsidP="00DB73E0">
            <w:pPr>
              <w:pStyle w:val="ListParagraph"/>
              <w:numPr>
                <w:ilvl w:val="0"/>
                <w:numId w:val="14"/>
              </w:numPr>
              <w:jc w:val="both"/>
              <w:rPr>
                <w:rFonts w:ascii="Garamond" w:hAnsi="Garamond"/>
                <w:lang w:val="en-AU"/>
              </w:rPr>
            </w:pPr>
            <w:r w:rsidRPr="00352952">
              <w:rPr>
                <w:rFonts w:ascii="Garamond" w:hAnsi="Garamond"/>
                <w:lang w:val="en-AU"/>
              </w:rPr>
              <w:t xml:space="preserve">Improving </w:t>
            </w:r>
            <w:r w:rsidRPr="00352952">
              <w:rPr>
                <w:rFonts w:ascii="Garamond" w:hAnsi="Garamond"/>
                <w:b/>
                <w:lang w:val="en-AU"/>
              </w:rPr>
              <w:t>quality of care in conflict settings</w:t>
            </w:r>
            <w:r w:rsidRPr="00352952">
              <w:rPr>
                <w:rFonts w:ascii="Garamond" w:hAnsi="Garamond"/>
                <w:lang w:val="en-AU"/>
              </w:rPr>
              <w:t xml:space="preserve">: access and infrastructure are fundamental </w:t>
            </w:r>
            <w:r>
              <w:rPr>
                <w:rFonts w:ascii="Garamond" w:hAnsi="Garamond"/>
                <w:lang w:val="en-AU"/>
              </w:rPr>
              <w:t>(</w:t>
            </w:r>
            <w:r w:rsidRPr="00352952">
              <w:rPr>
                <w:rFonts w:ascii="Garamond" w:hAnsi="Garamond"/>
                <w:lang w:val="en-AU"/>
              </w:rPr>
              <w:t>Dilshad Jaff, Sheila Leatherman, Linda Tawfik</w:t>
            </w:r>
            <w:r>
              <w:rPr>
                <w:rFonts w:ascii="Garamond" w:hAnsi="Garamond"/>
                <w:lang w:val="en-AU"/>
              </w:rPr>
              <w:t>)</w:t>
            </w:r>
          </w:p>
          <w:p w:rsidR="00352952" w:rsidRPr="00352952" w:rsidRDefault="00352952" w:rsidP="00131947">
            <w:pPr>
              <w:pStyle w:val="ListParagraph"/>
              <w:numPr>
                <w:ilvl w:val="0"/>
                <w:numId w:val="14"/>
              </w:numPr>
              <w:jc w:val="both"/>
              <w:rPr>
                <w:rFonts w:ascii="Garamond" w:hAnsi="Garamond"/>
                <w:lang w:val="en-AU"/>
              </w:rPr>
            </w:pPr>
            <w:r w:rsidRPr="00352952">
              <w:rPr>
                <w:rFonts w:ascii="Garamond" w:hAnsi="Garamond"/>
                <w:lang w:val="en-AU"/>
              </w:rPr>
              <w:t xml:space="preserve">Prediction of </w:t>
            </w:r>
            <w:r w:rsidRPr="00352952">
              <w:rPr>
                <w:rFonts w:ascii="Garamond" w:hAnsi="Garamond"/>
                <w:b/>
                <w:lang w:val="en-AU"/>
              </w:rPr>
              <w:t>medical expenditures of diagnosed diabetics</w:t>
            </w:r>
            <w:r w:rsidRPr="00352952">
              <w:rPr>
                <w:rFonts w:ascii="Garamond" w:hAnsi="Garamond"/>
                <w:lang w:val="en-AU"/>
              </w:rPr>
              <w:t xml:space="preserve"> and the assessment of its related factors using a random forest model, MEPS 2000–2015 (Jing Wang, Leiyu Shi</w:t>
            </w:r>
            <w:r>
              <w:rPr>
                <w:rFonts w:ascii="Garamond" w:hAnsi="Garamond"/>
                <w:lang w:val="en-AU"/>
              </w:rPr>
              <w:t>)</w:t>
            </w:r>
          </w:p>
          <w:p w:rsidR="00DA41AB" w:rsidRPr="00721A1B" w:rsidRDefault="00352952" w:rsidP="00352952">
            <w:pPr>
              <w:pStyle w:val="ListParagraph"/>
              <w:numPr>
                <w:ilvl w:val="0"/>
                <w:numId w:val="14"/>
              </w:numPr>
              <w:jc w:val="both"/>
              <w:rPr>
                <w:rFonts w:ascii="Garamond" w:hAnsi="Garamond"/>
                <w:lang w:val="en-AU"/>
              </w:rPr>
            </w:pPr>
            <w:r w:rsidRPr="00352952">
              <w:rPr>
                <w:rFonts w:ascii="Garamond" w:hAnsi="Garamond"/>
                <w:lang w:val="en-AU"/>
              </w:rPr>
              <w:t xml:space="preserve">A systematic review of </w:t>
            </w:r>
            <w:r w:rsidRPr="00352952">
              <w:rPr>
                <w:rFonts w:ascii="Garamond" w:hAnsi="Garamond"/>
                <w:b/>
                <w:lang w:val="en-AU"/>
              </w:rPr>
              <w:t>patient-reported outcome measurement (PROM) and provider assessment in mental health</w:t>
            </w:r>
            <w:r w:rsidRPr="00352952">
              <w:rPr>
                <w:rFonts w:ascii="Garamond" w:hAnsi="Garamond"/>
                <w:lang w:val="en-AU"/>
              </w:rPr>
              <w:t xml:space="preserve">: goals, implementation, setting, measurement characteristics and barriers </w:t>
            </w:r>
            <w:r>
              <w:rPr>
                <w:rFonts w:ascii="Garamond" w:hAnsi="Garamond"/>
                <w:lang w:val="en-AU"/>
              </w:rPr>
              <w:t>(</w:t>
            </w:r>
            <w:r w:rsidRPr="00352952">
              <w:rPr>
                <w:rFonts w:ascii="Garamond" w:hAnsi="Garamond"/>
                <w:lang w:val="en-AU"/>
              </w:rPr>
              <w:t>Marc Gelkopf, Yael Mazor, David Roe</w:t>
            </w:r>
            <w:r>
              <w:rPr>
                <w:rFonts w:ascii="Garamond" w:hAnsi="Garamond"/>
                <w:lang w:val="en-AU"/>
              </w:rPr>
              <w:t>)</w:t>
            </w:r>
          </w:p>
        </w:tc>
      </w:tr>
    </w:tbl>
    <w:p w:rsidR="00B402EF" w:rsidRDefault="00B402EF" w:rsidP="003F6EE2">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lastRenderedPageBreak/>
        <w:t>Online resources</w:t>
      </w:r>
    </w:p>
    <w:p w:rsidR="00DA41AB" w:rsidRDefault="00DA41AB" w:rsidP="007B2166">
      <w:pPr>
        <w:keepNext/>
        <w:keepLines/>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24A93" w:rsidRDefault="003C7E44" w:rsidP="00824A93">
      <w:pPr>
        <w:keepNext/>
        <w:keepLines/>
        <w:rPr>
          <w:rFonts w:ascii="Garamond" w:hAnsi="Garamond"/>
          <w:u w:val="single"/>
          <w:lang w:val="en-AU"/>
        </w:rPr>
      </w:pPr>
      <w:hyperlink r:id="rId34"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824A93" w:rsidRDefault="00352952" w:rsidP="00352952">
      <w:pPr>
        <w:pStyle w:val="ListParagraph"/>
        <w:keepNext/>
        <w:keepLines/>
        <w:numPr>
          <w:ilvl w:val="0"/>
          <w:numId w:val="14"/>
        </w:numPr>
        <w:rPr>
          <w:rFonts w:ascii="Garamond" w:hAnsi="Garamond"/>
          <w:lang w:val="en-AU"/>
        </w:rPr>
      </w:pPr>
      <w:r>
        <w:rPr>
          <w:rFonts w:ascii="Garamond" w:hAnsi="Garamond"/>
          <w:lang w:val="en-AU"/>
        </w:rPr>
        <w:t xml:space="preserve">NICE Guideline NG155 </w:t>
      </w:r>
      <w:r w:rsidRPr="00352952">
        <w:rPr>
          <w:rFonts w:ascii="Garamond" w:hAnsi="Garamond"/>
          <w:b/>
          <w:i/>
          <w:lang w:val="en-AU"/>
        </w:rPr>
        <w:t>Tinnitus</w:t>
      </w:r>
      <w:r w:rsidRPr="00352952">
        <w:rPr>
          <w:rFonts w:ascii="Garamond" w:hAnsi="Garamond"/>
          <w:i/>
          <w:lang w:val="en-AU"/>
        </w:rPr>
        <w:t>: assessment and management</w:t>
      </w:r>
      <w:r>
        <w:rPr>
          <w:rFonts w:ascii="Garamond" w:hAnsi="Garamond"/>
          <w:lang w:val="en-AU"/>
        </w:rPr>
        <w:t xml:space="preserve"> </w:t>
      </w:r>
      <w:hyperlink r:id="rId35" w:history="1">
        <w:r w:rsidRPr="00C92F37">
          <w:rPr>
            <w:rStyle w:val="Hyperlink"/>
            <w:rFonts w:ascii="Garamond" w:hAnsi="Garamond"/>
            <w:lang w:val="en-AU"/>
          </w:rPr>
          <w:t>https://www.nice.org.uk/guidance/ng155</w:t>
        </w:r>
      </w:hyperlink>
    </w:p>
    <w:p w:rsidR="009E6132" w:rsidRDefault="009E6132" w:rsidP="003F6EE2">
      <w:pPr>
        <w:rPr>
          <w:rFonts w:ascii="Garamond" w:hAnsi="Garamond"/>
          <w:i/>
          <w:lang w:val="en-AU"/>
        </w:rPr>
      </w:pPr>
    </w:p>
    <w:p w:rsidR="00D14242" w:rsidRDefault="007945B1" w:rsidP="003F6EE2">
      <w:pPr>
        <w:rPr>
          <w:rFonts w:ascii="Garamond" w:hAnsi="Garamond"/>
          <w:i/>
          <w:lang w:val="en-AU"/>
        </w:rPr>
      </w:pPr>
      <w:r>
        <w:rPr>
          <w:rFonts w:ascii="Garamond" w:hAnsi="Garamond"/>
          <w:i/>
          <w:lang w:val="en-AU"/>
        </w:rPr>
        <w:t>[Canada] QI Power Hour</w:t>
      </w:r>
    </w:p>
    <w:p w:rsidR="007945B1" w:rsidRDefault="002F3217" w:rsidP="003F6EE2">
      <w:pPr>
        <w:rPr>
          <w:rFonts w:ascii="Garamond" w:hAnsi="Garamond"/>
          <w:lang w:val="en-AU"/>
        </w:rPr>
      </w:pPr>
      <w:hyperlink r:id="rId36" w:history="1">
        <w:r w:rsidR="007945B1" w:rsidRPr="0006648C">
          <w:rPr>
            <w:rStyle w:val="Hyperlink"/>
            <w:rFonts w:ascii="Garamond" w:hAnsi="Garamond"/>
            <w:lang w:val="en-AU"/>
          </w:rPr>
          <w:t>https://hqc.sk.ca/news-events/qi-power-hour-webinars</w:t>
        </w:r>
      </w:hyperlink>
    </w:p>
    <w:p w:rsidR="007945B1" w:rsidRPr="007945B1" w:rsidRDefault="007945B1" w:rsidP="003F6EE2">
      <w:pPr>
        <w:rPr>
          <w:rFonts w:ascii="Garamond" w:hAnsi="Garamond"/>
          <w:lang w:val="en-AU"/>
        </w:rPr>
      </w:pPr>
      <w:r>
        <w:rPr>
          <w:rFonts w:ascii="Garamond" w:hAnsi="Garamond"/>
          <w:lang w:val="en-AU"/>
        </w:rPr>
        <w:t xml:space="preserve">The Saskatchewan Health Quality Council produces a free monthly series, the QI Power </w:t>
      </w:r>
      <w:proofErr w:type="gramStart"/>
      <w:r>
        <w:rPr>
          <w:rFonts w:ascii="Garamond" w:hAnsi="Garamond"/>
          <w:lang w:val="en-AU"/>
        </w:rPr>
        <w:t>Hour, that</w:t>
      </w:r>
      <w:proofErr w:type="gramEnd"/>
      <w:r>
        <w:rPr>
          <w:rFonts w:ascii="Garamond" w:hAnsi="Garamond"/>
          <w:lang w:val="en-AU"/>
        </w:rPr>
        <w:t xml:space="preserve"> examines topics related to quality improvement in health care and other sectors.</w:t>
      </w:r>
    </w:p>
    <w:p w:rsidR="009E6132" w:rsidRDefault="009E6132" w:rsidP="003F6EE2">
      <w:pPr>
        <w:rPr>
          <w:rFonts w:ascii="Garamond" w:hAnsi="Garamond"/>
          <w:i/>
          <w:lang w:val="en-AU"/>
        </w:rPr>
      </w:pPr>
    </w:p>
    <w:p w:rsidR="00352952" w:rsidRDefault="00352952" w:rsidP="003F6EE2">
      <w:pPr>
        <w:rPr>
          <w:rFonts w:ascii="Garamond" w:hAnsi="Garamond"/>
          <w:i/>
          <w:lang w:val="en-AU"/>
        </w:rPr>
      </w:pPr>
    </w:p>
    <w:p w:rsidR="00352952" w:rsidRDefault="00352952" w:rsidP="003F6EE2">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w:t>
      </w:r>
      <w:proofErr w:type="gramStart"/>
      <w:r w:rsidRPr="000170DA">
        <w:rPr>
          <w:rFonts w:ascii="Garamond" w:hAnsi="Garamond"/>
          <w:lang w:val="en-AU"/>
        </w:rPr>
        <w:t>are provided</w:t>
      </w:r>
      <w:proofErr w:type="gramEnd"/>
      <w:r w:rsidRPr="000170DA">
        <w:rPr>
          <w:rFonts w:ascii="Garamond" w:hAnsi="Garamond"/>
          <w:lang w:val="en-AU"/>
        </w:rPr>
        <w:t xml:space="preserve">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C7E44">
      <w:rPr>
        <w:rStyle w:val="PageNumber"/>
        <w:noProof/>
      </w:rPr>
      <w:t>2</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44240E">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C7E44">
      <w:rPr>
        <w:rStyle w:val="PageNumber"/>
        <w:rFonts w:ascii="Garamond" w:hAnsi="Garamond"/>
        <w:noProof/>
      </w:rPr>
      <w:t>1</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44240E">
      <w:rPr>
        <w:rFonts w:ascii="Garamond" w:hAnsi="Garamond"/>
      </w:rPr>
      <w:t>55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0647F"/>
    <w:multiLevelType w:val="hybridMultilevel"/>
    <w:tmpl w:val="396A2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3F12FB"/>
    <w:multiLevelType w:val="hybridMultilevel"/>
    <w:tmpl w:val="CBD8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EE40BC"/>
    <w:multiLevelType w:val="hybridMultilevel"/>
    <w:tmpl w:val="4EE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22438"/>
    <w:multiLevelType w:val="hybridMultilevel"/>
    <w:tmpl w:val="68529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D02FB5"/>
    <w:multiLevelType w:val="hybridMultilevel"/>
    <w:tmpl w:val="DBC0F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8A6B4C"/>
    <w:multiLevelType w:val="hybridMultilevel"/>
    <w:tmpl w:val="FD5A0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B06D9D"/>
    <w:multiLevelType w:val="hybridMultilevel"/>
    <w:tmpl w:val="49E682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B02665"/>
    <w:multiLevelType w:val="hybridMultilevel"/>
    <w:tmpl w:val="4914F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F046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2ED2EA6"/>
    <w:multiLevelType w:val="hybridMultilevel"/>
    <w:tmpl w:val="EDEC0AC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195A57"/>
    <w:multiLevelType w:val="hybridMultilevel"/>
    <w:tmpl w:val="067E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2E2830"/>
    <w:multiLevelType w:val="hybridMultilevel"/>
    <w:tmpl w:val="0268B28E"/>
    <w:lvl w:ilvl="0" w:tplc="48F423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910B9E"/>
    <w:multiLevelType w:val="hybridMultilevel"/>
    <w:tmpl w:val="DD18A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C66494"/>
    <w:multiLevelType w:val="hybridMultilevel"/>
    <w:tmpl w:val="A48622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44" w15:restartNumberingAfterBreak="0">
    <w:nsid w:val="7A141958"/>
    <w:multiLevelType w:val="hybridMultilevel"/>
    <w:tmpl w:val="D77C4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5B28C9"/>
    <w:multiLevelType w:val="hybridMultilevel"/>
    <w:tmpl w:val="C79E9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E43679"/>
    <w:multiLevelType w:val="hybridMultilevel"/>
    <w:tmpl w:val="EFD2E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8"/>
  </w:num>
  <w:num w:numId="15">
    <w:abstractNumId w:val="18"/>
  </w:num>
  <w:num w:numId="16">
    <w:abstractNumId w:val="26"/>
  </w:num>
  <w:num w:numId="17">
    <w:abstractNumId w:val="17"/>
  </w:num>
  <w:num w:numId="18">
    <w:abstractNumId w:val="29"/>
  </w:num>
  <w:num w:numId="19">
    <w:abstractNumId w:val="22"/>
  </w:num>
  <w:num w:numId="20">
    <w:abstractNumId w:val="43"/>
  </w:num>
  <w:num w:numId="21">
    <w:abstractNumId w:val="14"/>
  </w:num>
  <w:num w:numId="22">
    <w:abstractNumId w:val="34"/>
  </w:num>
  <w:num w:numId="23">
    <w:abstractNumId w:val="20"/>
  </w:num>
  <w:num w:numId="24">
    <w:abstractNumId w:val="16"/>
  </w:num>
  <w:num w:numId="25">
    <w:abstractNumId w:val="45"/>
  </w:num>
  <w:num w:numId="26">
    <w:abstractNumId w:val="38"/>
  </w:num>
  <w:num w:numId="27">
    <w:abstractNumId w:val="32"/>
  </w:num>
  <w:num w:numId="28">
    <w:abstractNumId w:val="12"/>
  </w:num>
  <w:num w:numId="29">
    <w:abstractNumId w:val="36"/>
  </w:num>
  <w:num w:numId="30">
    <w:abstractNumId w:val="37"/>
  </w:num>
  <w:num w:numId="31">
    <w:abstractNumId w:val="33"/>
  </w:num>
  <w:num w:numId="32">
    <w:abstractNumId w:val="23"/>
  </w:num>
  <w:num w:numId="33">
    <w:abstractNumId w:val="25"/>
  </w:num>
  <w:num w:numId="34">
    <w:abstractNumId w:val="13"/>
  </w:num>
  <w:num w:numId="35">
    <w:abstractNumId w:val="44"/>
  </w:num>
  <w:num w:numId="36">
    <w:abstractNumId w:val="47"/>
  </w:num>
  <w:num w:numId="37">
    <w:abstractNumId w:val="15"/>
  </w:num>
  <w:num w:numId="38">
    <w:abstractNumId w:val="46"/>
  </w:num>
  <w:num w:numId="39">
    <w:abstractNumId w:val="19"/>
  </w:num>
  <w:num w:numId="40">
    <w:abstractNumId w:val="11"/>
  </w:num>
  <w:num w:numId="41">
    <w:abstractNumId w:val="21"/>
  </w:num>
  <w:num w:numId="42">
    <w:abstractNumId w:val="41"/>
  </w:num>
  <w:num w:numId="43">
    <w:abstractNumId w:val="30"/>
  </w:num>
  <w:num w:numId="44">
    <w:abstractNumId w:val="39"/>
  </w:num>
  <w:num w:numId="45">
    <w:abstractNumId w:val="40"/>
  </w:num>
  <w:num w:numId="46">
    <w:abstractNumId w:val="24"/>
  </w:num>
  <w:num w:numId="47">
    <w:abstractNumId w:val="10"/>
  </w:num>
  <w:num w:numId="48">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32"/>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603"/>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7025"/>
    <o:shapelayout v:ext="edit">
      <o:idmap v:ext="edit" data="1"/>
    </o:shapelayout>
  </w:shapeDefaults>
  <w:decimalSymbol w:val="."/>
  <w:listSeparator w:val=","/>
  <w14:docId w14:val="3D153446"/>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2C5"/>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c4sportal.safetyandquality.gov.au/" TargetMode="External"/><Relationship Id="rId26" Type="http://schemas.openxmlformats.org/officeDocument/2006/relationships/hyperlink" Target="https://doi.org/10.1001/jama.2019.2231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fetyandquality.gov.au/our-work/medication-safety" TargetMode="External"/><Relationship Id="rId34" Type="http://schemas.openxmlformats.org/officeDocument/2006/relationships/hyperlink" Target="https://www.nice.org.uk/guidance"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6/j.pec.2020.01.017" TargetMode="External"/><Relationship Id="rId25" Type="http://schemas.openxmlformats.org/officeDocument/2006/relationships/hyperlink" Target="https://doi.org/10.1001/jama.2019.20788" TargetMode="External"/><Relationship Id="rId33" Type="http://schemas.openxmlformats.org/officeDocument/2006/relationships/hyperlink" Target="https://academic.oup.com/intqhc/advance-article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hrq.gov/patient-safety/settings/ambulatory/reduce-readmissions.html" TargetMode="External"/><Relationship Id="rId20" Type="http://schemas.openxmlformats.org/officeDocument/2006/relationships/hyperlink" Target="https://doi.org/10.1016/j.sapharm.2019.05.011" TargetMode="External"/><Relationship Id="rId29" Type="http://schemas.openxmlformats.org/officeDocument/2006/relationships/hyperlink" Target="https://doi.org/10.1001/jama.2020.1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01/jama.2020.1123" TargetMode="External"/><Relationship Id="rId32" Type="http://schemas.openxmlformats.org/officeDocument/2006/relationships/hyperlink" Target="https://qualitysafety.bmj.com/content/early/recent"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hrq.gov/research/findings/making-healthcare-safer/mhs3/index.html" TargetMode="External"/><Relationship Id="rId23" Type="http://schemas.openxmlformats.org/officeDocument/2006/relationships/hyperlink" Target="http://doi.org/10.1371/journal.pone.0228868" TargetMode="External"/><Relationship Id="rId28" Type="http://schemas.openxmlformats.org/officeDocument/2006/relationships/hyperlink" Target="https://doi.org/10.1001/jamanetworkopen.2020.0538" TargetMode="External"/><Relationship Id="rId36" Type="http://schemas.openxmlformats.org/officeDocument/2006/relationships/hyperlink" Target="https://hqc.sk.ca/news-events/qi-power-hour-webinars"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503/cmaj.190777" TargetMode="External"/><Relationship Id="rId31" Type="http://schemas.openxmlformats.org/officeDocument/2006/relationships/hyperlink" Target="https://www.phrp.com.au/issues/march-2020-volume-30-issue-1/"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medication-safety/medication-reconciliation/world-health-organizations-high-5s-medication-reconciliation-project" TargetMode="External"/><Relationship Id="rId27" Type="http://schemas.openxmlformats.org/officeDocument/2006/relationships/hyperlink" Target="https://doi.org/10.1001/jamainternmed.2019.7334" TargetMode="External"/><Relationship Id="rId30" Type="http://schemas.openxmlformats.org/officeDocument/2006/relationships/image" Target="media/image2.png"/><Relationship Id="rId35" Type="http://schemas.openxmlformats.org/officeDocument/2006/relationships/hyperlink" Target="https://www.nice.org.uk/guidance/ng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52E7-5559-4F0B-8F0E-893A5DF1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7</Pages>
  <Words>2561</Words>
  <Characters>16551</Characters>
  <Application>Microsoft Office Word</Application>
  <DocSecurity>0</DocSecurity>
  <Lines>352</Lines>
  <Paragraphs>178</Paragraphs>
  <ScaleCrop>false</ScaleCrop>
  <HeadingPairs>
    <vt:vector size="2" baseType="variant">
      <vt:variant>
        <vt:lpstr>Title</vt:lpstr>
      </vt:variant>
      <vt:variant>
        <vt:i4>1</vt:i4>
      </vt:variant>
    </vt:vector>
  </HeadingPairs>
  <TitlesOfParts>
    <vt:vector size="1" baseType="lpstr">
      <vt:lpstr>On the Radar Issue 455</vt:lpstr>
    </vt:vector>
  </TitlesOfParts>
  <Company>ACSQHC</Company>
  <LinksUpToDate>false</LinksUpToDate>
  <CharactersWithSpaces>18934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455</dc:title>
  <dc:subject/>
  <dc:creator>Dr Niall Johnson</dc:creator>
  <cp:keywords/>
  <dc:description/>
  <cp:lastModifiedBy>Johnson, Niall</cp:lastModifiedBy>
  <cp:revision>15</cp:revision>
  <cp:lastPrinted>2018-03-02T02:34:00Z</cp:lastPrinted>
  <dcterms:created xsi:type="dcterms:W3CDTF">2020-03-08T21:59:00Z</dcterms:created>
  <dcterms:modified xsi:type="dcterms:W3CDTF">2020-03-13T01:21:00Z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