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3A2B42">
        <w:rPr>
          <w:rFonts w:ascii="Garamond" w:hAnsi="Garamond"/>
          <w:lang w:val="en-AU"/>
        </w:rPr>
        <w:t>57</w:t>
      </w:r>
    </w:p>
    <w:p w:rsidR="00755242" w:rsidRDefault="000F16E8" w:rsidP="00F738B5">
      <w:pPr>
        <w:rPr>
          <w:rFonts w:ascii="Garamond" w:hAnsi="Garamond"/>
          <w:lang w:val="en-AU"/>
        </w:rPr>
      </w:pPr>
      <w:r>
        <w:rPr>
          <w:rFonts w:ascii="Garamond" w:hAnsi="Garamond"/>
          <w:lang w:val="en-AU"/>
        </w:rPr>
        <w:t>3</w:t>
      </w:r>
      <w:r w:rsidR="003A2B42">
        <w:rPr>
          <w:rFonts w:ascii="Garamond" w:hAnsi="Garamond"/>
          <w:lang w:val="en-AU"/>
        </w:rPr>
        <w:t>0</w:t>
      </w:r>
      <w:r w:rsidR="003F6EE2">
        <w:rPr>
          <w:rFonts w:ascii="Garamond" w:hAnsi="Garamond"/>
          <w:lang w:val="en-AU"/>
        </w:rPr>
        <w:t xml:space="preserve"> March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386CC5" w:rsidRDefault="00386CC5" w:rsidP="007922C5">
      <w:pPr>
        <w:rPr>
          <w:rFonts w:ascii="Garamond" w:hAnsi="Garamond"/>
          <w:lang w:val="en-AU"/>
        </w:rPr>
      </w:pPr>
    </w:p>
    <w:p w:rsidR="003A2B42" w:rsidRDefault="003A2B42" w:rsidP="00C17C82">
      <w:pPr>
        <w:keepNext/>
        <w:ind w:left="720" w:hanging="720"/>
        <w:rPr>
          <w:rFonts w:ascii="Garamond" w:hAnsi="Garamond"/>
          <w:b/>
          <w:lang w:val="en-AU"/>
        </w:rPr>
      </w:pPr>
      <w:r>
        <w:rPr>
          <w:rFonts w:ascii="Garamond" w:hAnsi="Garamond"/>
          <w:b/>
          <w:lang w:val="en-AU"/>
        </w:rPr>
        <w:t>Reports</w:t>
      </w:r>
    </w:p>
    <w:p w:rsidR="003A2B42" w:rsidRDefault="003A2B42" w:rsidP="003A2B42">
      <w:pPr>
        <w:keepNext/>
        <w:keepLines/>
        <w:autoSpaceDE w:val="0"/>
        <w:autoSpaceDN w:val="0"/>
        <w:adjustRightInd w:val="0"/>
        <w:rPr>
          <w:rFonts w:ascii="Garamond" w:hAnsi="Garamond"/>
          <w:lang w:val="en-AU"/>
        </w:rPr>
      </w:pPr>
    </w:p>
    <w:p w:rsidR="00EA1B46" w:rsidRPr="00EA1B46" w:rsidRDefault="00EA1B46" w:rsidP="003A2B42">
      <w:pPr>
        <w:keepNext/>
        <w:keepLines/>
        <w:autoSpaceDE w:val="0"/>
        <w:autoSpaceDN w:val="0"/>
        <w:adjustRightInd w:val="0"/>
        <w:rPr>
          <w:rFonts w:ascii="Garamond" w:hAnsi="Garamond"/>
          <w:i/>
          <w:lang w:val="en-AU"/>
        </w:rPr>
      </w:pPr>
      <w:r w:rsidRPr="00EA1B46">
        <w:rPr>
          <w:rFonts w:ascii="Garamond" w:hAnsi="Garamond"/>
          <w:i/>
          <w:lang w:val="en-AU"/>
        </w:rPr>
        <w:t>Can value-based care support health equity?</w:t>
      </w:r>
    </w:p>
    <w:p w:rsidR="00B530FE" w:rsidRDefault="00B530FE" w:rsidP="00B530FE">
      <w:pPr>
        <w:keepNext/>
        <w:keepLines/>
        <w:autoSpaceDE w:val="0"/>
        <w:autoSpaceDN w:val="0"/>
        <w:adjustRightInd w:val="0"/>
        <w:rPr>
          <w:rFonts w:ascii="Garamond" w:hAnsi="Garamond"/>
          <w:lang w:val="en-AU"/>
        </w:rPr>
      </w:pPr>
      <w:r w:rsidRPr="00B530FE">
        <w:rPr>
          <w:rFonts w:ascii="Garamond" w:hAnsi="Garamond"/>
          <w:lang w:val="en-AU"/>
        </w:rPr>
        <w:t>Deeble Institute Issues Brief No. 34</w:t>
      </w:r>
    </w:p>
    <w:p w:rsidR="00B530FE" w:rsidRDefault="00B530FE" w:rsidP="003A2B42">
      <w:pPr>
        <w:keepNext/>
        <w:keepLines/>
        <w:autoSpaceDE w:val="0"/>
        <w:autoSpaceDN w:val="0"/>
        <w:adjustRightInd w:val="0"/>
        <w:rPr>
          <w:rFonts w:ascii="Garamond" w:hAnsi="Garamond"/>
          <w:lang w:val="en-AU"/>
        </w:rPr>
      </w:pPr>
      <w:r w:rsidRPr="00B530FE">
        <w:rPr>
          <w:rFonts w:ascii="Garamond" w:hAnsi="Garamond"/>
          <w:lang w:val="en-AU"/>
        </w:rPr>
        <w:t>Verhoeven A, Woolcock K, Thurecht L, Haddock R, Flynn A, Steele N</w:t>
      </w:r>
    </w:p>
    <w:p w:rsidR="00201CF2" w:rsidRDefault="00B530FE" w:rsidP="003A2B42">
      <w:pPr>
        <w:keepNext/>
        <w:keepLines/>
        <w:autoSpaceDE w:val="0"/>
        <w:autoSpaceDN w:val="0"/>
        <w:adjustRightInd w:val="0"/>
        <w:rPr>
          <w:rFonts w:ascii="Garamond" w:hAnsi="Garamond"/>
          <w:lang w:val="en-AU"/>
        </w:rPr>
      </w:pPr>
      <w:r w:rsidRPr="00B530FE">
        <w:rPr>
          <w:rFonts w:ascii="Garamond" w:hAnsi="Garamond"/>
          <w:lang w:val="en-AU"/>
        </w:rPr>
        <w:t>Canberra: Australian Healthcare and Hospitals Association; 2020. p. 23.</w:t>
      </w:r>
    </w:p>
    <w:tbl>
      <w:tblPr>
        <w:tblStyle w:val="TableGrid"/>
        <w:tblW w:w="0" w:type="auto"/>
        <w:tblInd w:w="288" w:type="dxa"/>
        <w:tblLayout w:type="fixed"/>
        <w:tblLook w:val="01E0" w:firstRow="1" w:lastRow="1" w:firstColumn="1" w:lastColumn="1" w:noHBand="0" w:noVBand="0"/>
      </w:tblPr>
      <w:tblGrid>
        <w:gridCol w:w="1080"/>
        <w:gridCol w:w="8280"/>
      </w:tblGrid>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Pr="000170DA" w:rsidRDefault="00B530FE" w:rsidP="00F6076D">
            <w:pPr>
              <w:rPr>
                <w:rStyle w:val="Hyperlink"/>
                <w:rFonts w:ascii="Garamond" w:hAnsi="Garamond"/>
                <w:color w:val="auto"/>
                <w:u w:val="none"/>
                <w:lang w:val="en-AU"/>
              </w:rPr>
            </w:pPr>
            <w:hyperlink r:id="rId15" w:history="1">
              <w:r w:rsidRPr="00F83E7B">
                <w:rPr>
                  <w:rStyle w:val="Hyperlink"/>
                  <w:rFonts w:ascii="Garamond" w:hAnsi="Garamond"/>
                  <w:lang w:val="en-AU"/>
                </w:rPr>
                <w:t>https://ahha.asn.au/publication/health-policy-issue-briefs/deeble-issues-brief-no-34-can-value-based-health-care-support</w:t>
              </w:r>
            </w:hyperlink>
            <w:r>
              <w:rPr>
                <w:rStyle w:val="Hyperlink"/>
                <w:rFonts w:ascii="Garamond" w:hAnsi="Garamond"/>
                <w:color w:val="auto"/>
                <w:u w:val="none"/>
                <w:lang w:val="en-AU"/>
              </w:rPr>
              <w:t xml:space="preserve"> </w:t>
            </w:r>
          </w:p>
        </w:tc>
      </w:tr>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Default="00B530FE" w:rsidP="001430F2">
            <w:pPr>
              <w:keepLines/>
              <w:autoSpaceDE w:val="0"/>
              <w:autoSpaceDN w:val="0"/>
              <w:adjustRightInd w:val="0"/>
              <w:rPr>
                <w:rFonts w:ascii="Garamond" w:hAnsi="Garamond"/>
                <w:lang w:val="en-AU"/>
              </w:rPr>
            </w:pPr>
            <w:r>
              <w:rPr>
                <w:rFonts w:ascii="Garamond" w:hAnsi="Garamond"/>
                <w:lang w:val="en-AU"/>
              </w:rPr>
              <w:t xml:space="preserve">This Issues Brief from the </w:t>
            </w:r>
            <w:r w:rsidRPr="00B530FE">
              <w:rPr>
                <w:rFonts w:ascii="Garamond" w:hAnsi="Garamond"/>
                <w:lang w:val="en-AU"/>
              </w:rPr>
              <w:t>Australian Healthcare and Hospitals Association</w:t>
            </w:r>
            <w:r>
              <w:rPr>
                <w:rFonts w:ascii="Garamond" w:hAnsi="Garamond"/>
                <w:lang w:val="en-AU"/>
              </w:rPr>
              <w:t xml:space="preserve">’s Deeble Institute continues their examination of value-based care. </w:t>
            </w:r>
            <w:r w:rsidR="00A604A6">
              <w:rPr>
                <w:rFonts w:ascii="Garamond" w:hAnsi="Garamond"/>
                <w:lang w:val="en-AU"/>
              </w:rPr>
              <w:t>Equity is not a given in the provision of care on value-based approaches. The authors stress that ‘</w:t>
            </w:r>
            <w:r w:rsidR="00A604A6" w:rsidRPr="00A604A6">
              <w:rPr>
                <w:rFonts w:ascii="Garamond" w:hAnsi="Garamond"/>
                <w:lang w:val="en-AU"/>
              </w:rPr>
              <w:t>Value-based health care must focus not only on delivering value at individual level, but also at a societal level, or equity gaps will be further exacerbated.</w:t>
            </w:r>
            <w:r w:rsidR="00A604A6">
              <w:rPr>
                <w:rFonts w:ascii="Garamond" w:hAnsi="Garamond"/>
                <w:lang w:val="en-AU"/>
              </w:rPr>
              <w:t>’ The authors make a number of recommendations, including:</w:t>
            </w:r>
          </w:p>
          <w:p w:rsidR="00A604A6" w:rsidRPr="00A604A6" w:rsidRDefault="00A604A6" w:rsidP="001430F2">
            <w:pPr>
              <w:pStyle w:val="ListParagraph"/>
              <w:keepLines/>
              <w:numPr>
                <w:ilvl w:val="0"/>
                <w:numId w:val="16"/>
              </w:numPr>
              <w:autoSpaceDE w:val="0"/>
              <w:autoSpaceDN w:val="0"/>
              <w:adjustRightInd w:val="0"/>
              <w:rPr>
                <w:rFonts w:ascii="Garamond" w:hAnsi="Garamond"/>
                <w:lang w:val="en-AU"/>
              </w:rPr>
            </w:pPr>
            <w:r w:rsidRPr="00A604A6">
              <w:rPr>
                <w:rFonts w:ascii="Garamond" w:hAnsi="Garamond"/>
                <w:lang w:val="en-AU"/>
              </w:rPr>
              <w:t>Governments and public-funded health organisations should establish cross-sector partnerships with health, community and social services as they implement value-based health care initiatives</w:t>
            </w:r>
          </w:p>
          <w:p w:rsidR="00A604A6" w:rsidRPr="00A604A6" w:rsidRDefault="00A604A6" w:rsidP="001430F2">
            <w:pPr>
              <w:pStyle w:val="ListParagraph"/>
              <w:keepLines/>
              <w:numPr>
                <w:ilvl w:val="0"/>
                <w:numId w:val="16"/>
              </w:numPr>
              <w:autoSpaceDE w:val="0"/>
              <w:autoSpaceDN w:val="0"/>
              <w:adjustRightInd w:val="0"/>
              <w:rPr>
                <w:rFonts w:ascii="Garamond" w:hAnsi="Garamond"/>
                <w:lang w:val="en-AU"/>
              </w:rPr>
            </w:pPr>
            <w:r w:rsidRPr="00A604A6">
              <w:rPr>
                <w:rFonts w:ascii="Garamond" w:hAnsi="Garamond"/>
                <w:lang w:val="en-AU"/>
              </w:rPr>
              <w:lastRenderedPageBreak/>
              <w:t>Funding reforms should consider arrangements that strengthen incentives for improving health equity</w:t>
            </w:r>
          </w:p>
          <w:p w:rsidR="00A604A6" w:rsidRDefault="00A604A6" w:rsidP="001430F2">
            <w:pPr>
              <w:pStyle w:val="ListParagraph"/>
              <w:keepLines/>
              <w:numPr>
                <w:ilvl w:val="0"/>
                <w:numId w:val="16"/>
              </w:numPr>
              <w:autoSpaceDE w:val="0"/>
              <w:autoSpaceDN w:val="0"/>
              <w:adjustRightInd w:val="0"/>
              <w:rPr>
                <w:rFonts w:ascii="Garamond" w:hAnsi="Garamond"/>
                <w:lang w:val="en-AU"/>
              </w:rPr>
            </w:pPr>
            <w:r w:rsidRPr="00A604A6">
              <w:rPr>
                <w:rFonts w:ascii="Garamond" w:hAnsi="Garamond"/>
                <w:lang w:val="en-AU"/>
              </w:rPr>
              <w:t>To achieve greater public value for health investment, commissioning decisions should be informed by data that identifies health disparities</w:t>
            </w:r>
          </w:p>
          <w:p w:rsidR="00A604A6" w:rsidRDefault="00A604A6" w:rsidP="001430F2">
            <w:pPr>
              <w:pStyle w:val="ListParagraph"/>
              <w:keepLines/>
              <w:numPr>
                <w:ilvl w:val="0"/>
                <w:numId w:val="16"/>
              </w:numPr>
              <w:autoSpaceDE w:val="0"/>
              <w:autoSpaceDN w:val="0"/>
              <w:adjustRightInd w:val="0"/>
              <w:rPr>
                <w:rFonts w:ascii="Garamond" w:hAnsi="Garamond"/>
                <w:lang w:val="en-AU"/>
              </w:rPr>
            </w:pPr>
            <w:r w:rsidRPr="00A604A6">
              <w:rPr>
                <w:rFonts w:ascii="Garamond" w:hAnsi="Garamond"/>
                <w:lang w:val="en-AU"/>
              </w:rPr>
              <w:t>Data linkage across community, health and social services data sets should be prioritised</w:t>
            </w:r>
          </w:p>
          <w:p w:rsidR="00A604A6" w:rsidRPr="00A604A6" w:rsidRDefault="00A604A6" w:rsidP="001430F2">
            <w:pPr>
              <w:pStyle w:val="ListParagraph"/>
              <w:keepLines/>
              <w:numPr>
                <w:ilvl w:val="0"/>
                <w:numId w:val="16"/>
              </w:numPr>
              <w:autoSpaceDE w:val="0"/>
              <w:autoSpaceDN w:val="0"/>
              <w:adjustRightInd w:val="0"/>
              <w:rPr>
                <w:rFonts w:ascii="Garamond" w:hAnsi="Garamond"/>
                <w:lang w:val="en-AU"/>
              </w:rPr>
            </w:pPr>
            <w:r w:rsidRPr="00A604A6">
              <w:rPr>
                <w:rFonts w:ascii="Garamond" w:hAnsi="Garamond"/>
                <w:lang w:val="en-AU"/>
              </w:rPr>
              <w:t>As new technologies and treatments are funded, consideration must be given to ensuring value both at an individual level and at a public level, including how equity will be promoted</w:t>
            </w:r>
            <w:r>
              <w:rPr>
                <w:rFonts w:ascii="Garamond" w:hAnsi="Garamond"/>
                <w:lang w:val="en-AU"/>
              </w:rPr>
              <w:t>.</w:t>
            </w:r>
          </w:p>
        </w:tc>
      </w:tr>
    </w:tbl>
    <w:p w:rsidR="003A2B42" w:rsidRDefault="003A2B42" w:rsidP="003A2B42">
      <w:pPr>
        <w:rPr>
          <w:rFonts w:ascii="Garamond" w:hAnsi="Garamond"/>
          <w:lang w:val="en-AU"/>
        </w:rPr>
      </w:pPr>
    </w:p>
    <w:p w:rsidR="00B9408F" w:rsidRDefault="00B9408F" w:rsidP="003A2B42">
      <w:pPr>
        <w:rPr>
          <w:rFonts w:ascii="Garamond" w:hAnsi="Garamond"/>
          <w:lang w:val="en-AU"/>
        </w:rPr>
      </w:pPr>
    </w:p>
    <w:p w:rsidR="00B9408F" w:rsidRDefault="00B9408F" w:rsidP="003A2B42">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204ECE" w:rsidRPr="00382188" w:rsidRDefault="00382188" w:rsidP="000F16E8">
      <w:pPr>
        <w:keepNext/>
        <w:keepLines/>
        <w:autoSpaceDE w:val="0"/>
        <w:autoSpaceDN w:val="0"/>
        <w:adjustRightInd w:val="0"/>
        <w:rPr>
          <w:rFonts w:ascii="Garamond" w:hAnsi="Garamond"/>
          <w:i/>
          <w:lang w:val="en-AU"/>
        </w:rPr>
      </w:pPr>
      <w:r w:rsidRPr="00382188">
        <w:rPr>
          <w:rFonts w:ascii="Garamond" w:hAnsi="Garamond"/>
          <w:i/>
          <w:lang w:val="en-AU"/>
        </w:rPr>
        <w:t>Burnout</w:t>
      </w:r>
      <w:r>
        <w:rPr>
          <w:rFonts w:ascii="Garamond" w:hAnsi="Garamond"/>
          <w:i/>
          <w:lang w:val="en-AU"/>
        </w:rPr>
        <w:t xml:space="preserve"> is the canary in the coalmine; the solution is not stronger canaries</w:t>
      </w:r>
    </w:p>
    <w:p w:rsidR="004C607E" w:rsidRDefault="004C607E" w:rsidP="000F16E8">
      <w:pPr>
        <w:keepNext/>
        <w:keepLines/>
        <w:autoSpaceDE w:val="0"/>
        <w:autoSpaceDN w:val="0"/>
        <w:adjustRightInd w:val="0"/>
        <w:rPr>
          <w:rFonts w:ascii="Garamond" w:hAnsi="Garamond"/>
          <w:lang w:val="en-AU"/>
        </w:rPr>
      </w:pPr>
      <w:r w:rsidRPr="004C607E">
        <w:rPr>
          <w:rFonts w:ascii="Garamond" w:hAnsi="Garamond"/>
          <w:lang w:val="en-AU"/>
        </w:rPr>
        <w:t>Douros G</w:t>
      </w:r>
    </w:p>
    <w:p w:rsidR="00382188" w:rsidRDefault="004C607E" w:rsidP="000F16E8">
      <w:pPr>
        <w:keepNext/>
        <w:keepLines/>
        <w:autoSpaceDE w:val="0"/>
        <w:autoSpaceDN w:val="0"/>
        <w:adjustRightInd w:val="0"/>
        <w:rPr>
          <w:rFonts w:ascii="Garamond" w:hAnsi="Garamond"/>
          <w:lang w:val="en-AU"/>
        </w:rPr>
      </w:pPr>
      <w:r w:rsidRPr="004C607E">
        <w:rPr>
          <w:rFonts w:ascii="Garamond" w:hAnsi="Garamond"/>
          <w:lang w:val="en-AU"/>
        </w:rPr>
        <w:t xml:space="preserve">Emergency Medicine Australasia. 2020 </w:t>
      </w:r>
      <w:r>
        <w:rPr>
          <w:rFonts w:ascii="Garamond" w:hAnsi="Garamond"/>
          <w:lang w:val="en-AU"/>
        </w:rPr>
        <w:t>[epub]</w:t>
      </w:r>
    </w:p>
    <w:tbl>
      <w:tblPr>
        <w:tblStyle w:val="TableGrid"/>
        <w:tblW w:w="0" w:type="auto"/>
        <w:tblInd w:w="288" w:type="dxa"/>
        <w:tblLayout w:type="fixed"/>
        <w:tblLook w:val="01E0" w:firstRow="1" w:lastRow="1" w:firstColumn="1" w:lastColumn="1" w:noHBand="0" w:noVBand="0"/>
      </w:tblPr>
      <w:tblGrid>
        <w:gridCol w:w="1080"/>
        <w:gridCol w:w="8280"/>
      </w:tblGrid>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Pr="000170DA" w:rsidRDefault="00C656AC" w:rsidP="006C0B06">
            <w:pPr>
              <w:rPr>
                <w:rStyle w:val="Hyperlink"/>
                <w:rFonts w:ascii="Garamond" w:hAnsi="Garamond"/>
                <w:color w:val="auto"/>
                <w:u w:val="none"/>
                <w:lang w:val="en-AU"/>
              </w:rPr>
            </w:pPr>
            <w:hyperlink r:id="rId16" w:history="1">
              <w:r w:rsidRPr="00F83E7B">
                <w:rPr>
                  <w:rStyle w:val="Hyperlink"/>
                  <w:rFonts w:ascii="Garamond" w:hAnsi="Garamond"/>
                  <w:lang w:val="en-AU"/>
                </w:rPr>
                <w:t>https://doi.org/10.1111/1742-6723.13500</w:t>
              </w:r>
            </w:hyperlink>
          </w:p>
        </w:tc>
      </w:tr>
      <w:tr w:rsidR="000F16E8" w:rsidRPr="000170DA" w:rsidTr="006C0B06">
        <w:tc>
          <w:tcPr>
            <w:tcW w:w="1080" w:type="dxa"/>
            <w:tcBorders>
              <w:top w:val="single" w:sz="4" w:space="0" w:color="auto"/>
              <w:left w:val="single" w:sz="4" w:space="0" w:color="auto"/>
              <w:bottom w:val="single" w:sz="4" w:space="0" w:color="auto"/>
              <w:right w:val="single" w:sz="4" w:space="0" w:color="auto"/>
            </w:tcBorders>
            <w:vAlign w:val="center"/>
          </w:tcPr>
          <w:p w:rsidR="000F16E8" w:rsidRPr="000170DA" w:rsidRDefault="000F16E8" w:rsidP="006C0B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6E8" w:rsidRPr="003F6EE2" w:rsidRDefault="00382188" w:rsidP="00C656AC">
            <w:pPr>
              <w:keepNext/>
              <w:keepLines/>
              <w:autoSpaceDE w:val="0"/>
              <w:autoSpaceDN w:val="0"/>
              <w:adjustRightInd w:val="0"/>
              <w:rPr>
                <w:rFonts w:ascii="Garamond" w:hAnsi="Garamond"/>
                <w:lang w:val="en-AU"/>
              </w:rPr>
            </w:pPr>
            <w:r>
              <w:rPr>
                <w:rFonts w:ascii="Garamond" w:hAnsi="Garamond"/>
                <w:lang w:val="en-AU"/>
              </w:rPr>
              <w:t xml:space="preserve">Burnout is a safety and quality issue. Previously, </w:t>
            </w:r>
            <w:r w:rsidRPr="00382188">
              <w:rPr>
                <w:rFonts w:ascii="Garamond" w:hAnsi="Garamond"/>
                <w:i/>
                <w:lang w:val="en-AU"/>
              </w:rPr>
              <w:t>On the Radar</w:t>
            </w:r>
            <w:r>
              <w:rPr>
                <w:rFonts w:ascii="Garamond" w:hAnsi="Garamond"/>
                <w:lang w:val="en-AU"/>
              </w:rPr>
              <w:t xml:space="preserve"> has included items on burnout. This Perspective piece, written by an emergency department clinician, takes a critical look at what has been one response to burnout. That response has been </w:t>
            </w:r>
            <w:r w:rsidR="00C656AC">
              <w:rPr>
                <w:rFonts w:ascii="Garamond" w:hAnsi="Garamond"/>
                <w:lang w:val="en-AU"/>
              </w:rPr>
              <w:t xml:space="preserve">to </w:t>
            </w:r>
            <w:r>
              <w:rPr>
                <w:rFonts w:ascii="Garamond" w:hAnsi="Garamond"/>
                <w:lang w:val="en-AU"/>
              </w:rPr>
              <w:t xml:space="preserve">call on the resilience of healthcare workers and to offer them resilience training. As the author observes, </w:t>
            </w:r>
            <w:r w:rsidR="00C656AC">
              <w:rPr>
                <w:rFonts w:ascii="Garamond" w:hAnsi="Garamond"/>
                <w:lang w:val="en-AU"/>
              </w:rPr>
              <w:t xml:space="preserve">striving to have </w:t>
            </w:r>
            <w:r>
              <w:rPr>
                <w:rFonts w:ascii="Garamond" w:hAnsi="Garamond"/>
                <w:lang w:val="en-AU"/>
              </w:rPr>
              <w:t>‘stronger canaries’</w:t>
            </w:r>
            <w:r w:rsidR="00C656AC">
              <w:rPr>
                <w:rFonts w:ascii="Garamond" w:hAnsi="Garamond"/>
                <w:lang w:val="en-AU"/>
              </w:rPr>
              <w:t xml:space="preserve"> or ‘</w:t>
            </w:r>
            <w:r w:rsidR="00C656AC" w:rsidRPr="00C656AC">
              <w:rPr>
                <w:rFonts w:ascii="Garamond" w:hAnsi="Garamond"/>
                <w:lang w:val="en-AU"/>
              </w:rPr>
              <w:t>blaming the canary</w:t>
            </w:r>
            <w:r w:rsidR="00C656AC">
              <w:rPr>
                <w:rFonts w:ascii="Garamond" w:hAnsi="Garamond"/>
                <w:lang w:val="en-AU"/>
              </w:rPr>
              <w:t xml:space="preserve"> </w:t>
            </w:r>
            <w:r w:rsidR="00C656AC" w:rsidRPr="00C656AC">
              <w:rPr>
                <w:rFonts w:ascii="Garamond" w:hAnsi="Garamond"/>
                <w:lang w:val="en-AU"/>
              </w:rPr>
              <w:t>for not being tough enough?</w:t>
            </w:r>
            <w:r w:rsidR="00C656AC">
              <w:rPr>
                <w:rFonts w:ascii="Garamond" w:hAnsi="Garamond"/>
                <w:lang w:val="en-AU"/>
              </w:rPr>
              <w:t>’</w:t>
            </w:r>
            <w:r>
              <w:rPr>
                <w:rFonts w:ascii="Garamond" w:hAnsi="Garamond"/>
                <w:lang w:val="en-AU"/>
              </w:rPr>
              <w:t xml:space="preserve">. </w:t>
            </w:r>
            <w:r w:rsidR="00B37866">
              <w:rPr>
                <w:rFonts w:ascii="Garamond" w:hAnsi="Garamond"/>
                <w:lang w:val="en-AU"/>
              </w:rPr>
              <w:t>There is</w:t>
            </w:r>
            <w:r>
              <w:rPr>
                <w:rFonts w:ascii="Garamond" w:hAnsi="Garamond"/>
                <w:lang w:val="en-AU"/>
              </w:rPr>
              <w:t xml:space="preserve"> a view that this turn to resilience and resilience training is pushing the onus on to individuals rather than addressing systemic issues.</w:t>
            </w:r>
            <w:r w:rsidR="00C656AC">
              <w:rPr>
                <w:rFonts w:ascii="Garamond" w:hAnsi="Garamond"/>
                <w:lang w:val="en-AU"/>
              </w:rPr>
              <w:t xml:space="preserve"> Here the author suggests that there needs to be a focus on ‘</w:t>
            </w:r>
            <w:r w:rsidR="00C656AC" w:rsidRPr="00C656AC">
              <w:rPr>
                <w:rFonts w:ascii="Garamond" w:hAnsi="Garamond"/>
                <w:lang w:val="en-AU"/>
              </w:rPr>
              <w:t>addressing the underlying</w:t>
            </w:r>
            <w:r w:rsidR="00C656AC">
              <w:rPr>
                <w:rFonts w:ascii="Garamond" w:hAnsi="Garamond"/>
                <w:lang w:val="en-AU"/>
              </w:rPr>
              <w:t xml:space="preserve"> </w:t>
            </w:r>
            <w:r w:rsidR="00C656AC" w:rsidRPr="00C656AC">
              <w:rPr>
                <w:rFonts w:ascii="Garamond" w:hAnsi="Garamond"/>
                <w:lang w:val="en-AU"/>
              </w:rPr>
              <w:t>systems contributors to burnout</w:t>
            </w:r>
            <w:r w:rsidR="00C656AC">
              <w:rPr>
                <w:rFonts w:ascii="Garamond" w:hAnsi="Garamond"/>
                <w:lang w:val="en-AU"/>
              </w:rPr>
              <w:t>’.</w:t>
            </w:r>
          </w:p>
        </w:tc>
      </w:tr>
    </w:tbl>
    <w:p w:rsidR="000F16E8" w:rsidRDefault="000F16E8" w:rsidP="000F16E8">
      <w:pPr>
        <w:rPr>
          <w:rFonts w:ascii="Garamond" w:hAnsi="Garamond"/>
          <w:lang w:val="en-AU"/>
        </w:rPr>
      </w:pPr>
    </w:p>
    <w:p w:rsidR="003A2B42" w:rsidRPr="00BD725F" w:rsidRDefault="00BD725F" w:rsidP="003A2B42">
      <w:pPr>
        <w:keepNext/>
        <w:keepLines/>
        <w:autoSpaceDE w:val="0"/>
        <w:autoSpaceDN w:val="0"/>
        <w:adjustRightInd w:val="0"/>
        <w:rPr>
          <w:rFonts w:ascii="Garamond" w:hAnsi="Garamond"/>
          <w:i/>
          <w:lang w:val="en-AU"/>
        </w:rPr>
      </w:pPr>
      <w:r w:rsidRPr="00BD725F">
        <w:rPr>
          <w:rFonts w:ascii="Garamond" w:hAnsi="Garamond"/>
          <w:i/>
          <w:lang w:val="en-AU"/>
        </w:rPr>
        <w:t>What do consumers with chronic conditions expect from their interactions with general practitioners? A qualitative study of Australian consumer and provider perspectives</w:t>
      </w:r>
    </w:p>
    <w:p w:rsidR="0076405F" w:rsidRDefault="0076405F" w:rsidP="003A2B42">
      <w:pPr>
        <w:keepNext/>
        <w:keepLines/>
        <w:autoSpaceDE w:val="0"/>
        <w:autoSpaceDN w:val="0"/>
        <w:adjustRightInd w:val="0"/>
        <w:rPr>
          <w:rFonts w:ascii="Garamond" w:hAnsi="Garamond"/>
          <w:lang w:val="en-AU"/>
        </w:rPr>
      </w:pPr>
      <w:r w:rsidRPr="0076405F">
        <w:rPr>
          <w:rFonts w:ascii="Garamond" w:hAnsi="Garamond"/>
          <w:lang w:val="en-AU"/>
        </w:rPr>
        <w:t>Song HJ, Dennis S, Levesque J-F, Harris MF</w:t>
      </w:r>
    </w:p>
    <w:p w:rsidR="00BD725F" w:rsidRDefault="0076405F" w:rsidP="003A2B42">
      <w:pPr>
        <w:keepNext/>
        <w:keepLines/>
        <w:autoSpaceDE w:val="0"/>
        <w:autoSpaceDN w:val="0"/>
        <w:adjustRightInd w:val="0"/>
        <w:rPr>
          <w:rFonts w:ascii="Garamond" w:hAnsi="Garamond"/>
          <w:lang w:val="en-AU"/>
        </w:rPr>
      </w:pPr>
      <w:r w:rsidRPr="0076405F">
        <w:rPr>
          <w:rFonts w:ascii="Garamond" w:hAnsi="Garamond"/>
          <w:lang w:val="en-AU"/>
        </w:rPr>
        <w:t>Health Expectations. 2020</w:t>
      </w:r>
      <w:r>
        <w:rPr>
          <w:rFonts w:ascii="Garamond" w:hAnsi="Garamond"/>
          <w:lang w:val="en-AU"/>
        </w:rPr>
        <w:t xml:space="preserve"> [epub]</w:t>
      </w:r>
      <w:r w:rsidRPr="0076405F">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Pr="000170DA" w:rsidRDefault="0076405F" w:rsidP="00F6076D">
            <w:pPr>
              <w:rPr>
                <w:rStyle w:val="Hyperlink"/>
                <w:rFonts w:ascii="Garamond" w:hAnsi="Garamond"/>
                <w:color w:val="auto"/>
                <w:u w:val="none"/>
                <w:lang w:val="en-AU"/>
              </w:rPr>
            </w:pPr>
            <w:hyperlink r:id="rId17" w:history="1">
              <w:r w:rsidRPr="00F83E7B">
                <w:rPr>
                  <w:rStyle w:val="Hyperlink"/>
                  <w:rFonts w:ascii="Garamond" w:hAnsi="Garamond"/>
                  <w:lang w:val="en-AU"/>
                </w:rPr>
                <w:t>https://doi.org/10.1111/hex.13050</w:t>
              </w:r>
            </w:hyperlink>
          </w:p>
        </w:tc>
      </w:tr>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6405F" w:rsidRPr="003F6EE2" w:rsidRDefault="0076405F" w:rsidP="001430F2">
            <w:pPr>
              <w:keepNext/>
              <w:keepLines/>
              <w:autoSpaceDE w:val="0"/>
              <w:autoSpaceDN w:val="0"/>
              <w:adjustRightInd w:val="0"/>
              <w:rPr>
                <w:rFonts w:ascii="Garamond" w:hAnsi="Garamond"/>
                <w:lang w:val="en-AU"/>
              </w:rPr>
            </w:pPr>
            <w:r>
              <w:rPr>
                <w:rFonts w:ascii="Garamond" w:hAnsi="Garamond"/>
                <w:lang w:val="en-AU"/>
              </w:rPr>
              <w:t xml:space="preserve">Consumer (or patients) with chronic conditions have – by definition – prolonged exposure to and engagement with the health system and their clinicians. The nature of these relationships can have a significant bearing on their health. This </w:t>
            </w:r>
            <w:r w:rsidR="001430F2">
              <w:rPr>
                <w:rFonts w:ascii="Garamond" w:hAnsi="Garamond"/>
                <w:lang w:val="en-AU"/>
              </w:rPr>
              <w:t xml:space="preserve">qualitative </w:t>
            </w:r>
            <w:r>
              <w:rPr>
                <w:rFonts w:ascii="Garamond" w:hAnsi="Garamond"/>
                <w:lang w:val="en-AU"/>
              </w:rPr>
              <w:t xml:space="preserve">study </w:t>
            </w:r>
            <w:r w:rsidR="001430F2">
              <w:rPr>
                <w:rFonts w:ascii="Garamond" w:hAnsi="Garamond"/>
                <w:lang w:val="en-AU"/>
              </w:rPr>
              <w:t xml:space="preserve">sought to </w:t>
            </w:r>
            <w:r w:rsidR="001430F2" w:rsidRPr="001430F2">
              <w:rPr>
                <w:rFonts w:ascii="Garamond" w:hAnsi="Garamond"/>
                <w:lang w:val="en-AU"/>
              </w:rPr>
              <w:t>identify key consumer expectations in clinical interactions in Australian general practice</w:t>
            </w:r>
            <w:r w:rsidR="001430F2">
              <w:rPr>
                <w:rFonts w:ascii="Garamond" w:hAnsi="Garamond"/>
                <w:lang w:val="en-AU"/>
              </w:rPr>
              <w:t>. The study used semi-structured interviews with 18 patients (</w:t>
            </w:r>
            <w:r w:rsidR="001430F2" w:rsidRPr="001430F2">
              <w:rPr>
                <w:rFonts w:ascii="Garamond" w:hAnsi="Garamond"/>
                <w:lang w:val="en-AU"/>
              </w:rPr>
              <w:t>patients with one or more chronic (persisting &gt; 6 months) conditions</w:t>
            </w:r>
            <w:r w:rsidR="001430F2">
              <w:rPr>
                <w:rFonts w:ascii="Garamond" w:hAnsi="Garamond"/>
                <w:lang w:val="en-AU"/>
              </w:rPr>
              <w:t>), 10 General Practitioners (GPs) and 3 GP registrars. Having a ‘</w:t>
            </w:r>
            <w:r w:rsidR="001430F2" w:rsidRPr="001430F2">
              <w:rPr>
                <w:rFonts w:ascii="Garamond" w:hAnsi="Garamond"/>
                <w:lang w:val="en-AU"/>
              </w:rPr>
              <w:t>positive, long</w:t>
            </w:r>
            <w:r w:rsidR="001430F2" w:rsidRPr="001430F2">
              <w:rPr>
                <w:lang w:val="en-AU"/>
              </w:rPr>
              <w:t>‐</w:t>
            </w:r>
            <w:r w:rsidR="001430F2" w:rsidRPr="001430F2">
              <w:rPr>
                <w:rFonts w:ascii="Garamond" w:hAnsi="Garamond"/>
                <w:lang w:val="en-AU"/>
              </w:rPr>
              <w:t>term clinical relationship in which they respect one another and can communicate their expectations freely</w:t>
            </w:r>
            <w:r w:rsidR="001430F2">
              <w:rPr>
                <w:rFonts w:ascii="Garamond" w:hAnsi="Garamond"/>
                <w:lang w:val="en-AU"/>
              </w:rPr>
              <w:t>’ was a key priority for the respondents.</w:t>
            </w:r>
          </w:p>
        </w:tc>
      </w:tr>
    </w:tbl>
    <w:p w:rsidR="003A2B42" w:rsidRDefault="003A2B42" w:rsidP="003A2B42">
      <w:pPr>
        <w:rPr>
          <w:rFonts w:ascii="Garamond" w:hAnsi="Garamond"/>
          <w:lang w:val="en-AU"/>
        </w:rPr>
      </w:pPr>
    </w:p>
    <w:p w:rsidR="0076405F" w:rsidRDefault="0076405F" w:rsidP="003A2B42">
      <w:pPr>
        <w:rPr>
          <w:rFonts w:ascii="Garamond" w:hAnsi="Garamond"/>
          <w:lang w:val="en-AU"/>
        </w:rPr>
      </w:pPr>
      <w:r w:rsidRPr="00834C75">
        <w:rPr>
          <w:rFonts w:ascii="Garamond" w:hAnsi="Garamond"/>
          <w:lang w:val="en-AU"/>
        </w:rPr>
        <w:t xml:space="preserve">For information on the Commission’s work on </w:t>
      </w:r>
      <w:r w:rsidR="00A411F8">
        <w:rPr>
          <w:rFonts w:ascii="Garamond" w:hAnsi="Garamond"/>
          <w:lang w:val="en-AU"/>
        </w:rPr>
        <w:t>partnering with consumers, including person-centred care</w:t>
      </w:r>
      <w:r>
        <w:rPr>
          <w:rFonts w:ascii="Garamond" w:hAnsi="Garamond"/>
          <w:lang w:val="en-AU"/>
        </w:rPr>
        <w:t>, see</w:t>
      </w:r>
      <w:r w:rsidR="00A411F8">
        <w:rPr>
          <w:rFonts w:ascii="Garamond" w:hAnsi="Garamond"/>
          <w:lang w:val="en-AU"/>
        </w:rPr>
        <w:t xml:space="preserve"> </w:t>
      </w:r>
      <w:hyperlink r:id="rId18" w:history="1">
        <w:r w:rsidR="00A411F8" w:rsidRPr="00F83E7B">
          <w:rPr>
            <w:rStyle w:val="Hyperlink"/>
            <w:rFonts w:ascii="Garamond" w:hAnsi="Garamond"/>
            <w:lang w:val="en-AU"/>
          </w:rPr>
          <w:t>https://www.safetyandquality.gov.au/our-work/partnering-consumers</w:t>
        </w:r>
      </w:hyperlink>
    </w:p>
    <w:p w:rsidR="003A2B42" w:rsidRDefault="003A2B42" w:rsidP="007444FF">
      <w:pPr>
        <w:keepLines/>
        <w:autoSpaceDE w:val="0"/>
        <w:autoSpaceDN w:val="0"/>
        <w:adjustRightInd w:val="0"/>
        <w:rPr>
          <w:rFonts w:ascii="Garamond" w:hAnsi="Garamond"/>
          <w:lang w:val="en-AU"/>
        </w:rPr>
      </w:pPr>
    </w:p>
    <w:p w:rsidR="00E14157" w:rsidRPr="00E14157" w:rsidRDefault="00E14157" w:rsidP="007444FF">
      <w:pPr>
        <w:keepNext/>
        <w:keepLines/>
        <w:autoSpaceDE w:val="0"/>
        <w:autoSpaceDN w:val="0"/>
        <w:adjustRightInd w:val="0"/>
        <w:rPr>
          <w:rFonts w:ascii="Garamond" w:hAnsi="Garamond"/>
          <w:i/>
          <w:lang w:val="en-AU"/>
        </w:rPr>
      </w:pPr>
      <w:r w:rsidRPr="00E14157">
        <w:rPr>
          <w:rFonts w:ascii="Garamond" w:hAnsi="Garamond"/>
          <w:i/>
          <w:lang w:val="en-AU"/>
        </w:rPr>
        <w:lastRenderedPageBreak/>
        <w:t>How do I tell a colleague they have made a mistake?</w:t>
      </w:r>
    </w:p>
    <w:p w:rsidR="00A411F8" w:rsidRDefault="00A411F8" w:rsidP="007444FF">
      <w:pPr>
        <w:keepNext/>
        <w:keepLines/>
        <w:autoSpaceDE w:val="0"/>
        <w:autoSpaceDN w:val="0"/>
        <w:adjustRightInd w:val="0"/>
        <w:rPr>
          <w:rFonts w:ascii="Garamond" w:hAnsi="Garamond"/>
          <w:lang w:val="en-AU"/>
        </w:rPr>
      </w:pPr>
      <w:r w:rsidRPr="00A411F8">
        <w:rPr>
          <w:rFonts w:ascii="Garamond" w:hAnsi="Garamond"/>
          <w:lang w:val="en-AU"/>
        </w:rPr>
        <w:t>Rimmer A</w:t>
      </w:r>
    </w:p>
    <w:p w:rsidR="00E14157" w:rsidRDefault="00A411F8" w:rsidP="007444FF">
      <w:pPr>
        <w:keepNext/>
        <w:keepLines/>
        <w:autoSpaceDE w:val="0"/>
        <w:autoSpaceDN w:val="0"/>
        <w:adjustRightInd w:val="0"/>
        <w:rPr>
          <w:rFonts w:ascii="Garamond" w:hAnsi="Garamond"/>
          <w:lang w:val="en-AU"/>
        </w:rPr>
      </w:pPr>
      <w:r w:rsidRPr="00A411F8">
        <w:rPr>
          <w:rFonts w:ascii="Garamond" w:hAnsi="Garamond"/>
          <w:lang w:val="en-AU"/>
        </w:rPr>
        <w:t>BMJ. 2020;368:m1035.</w:t>
      </w:r>
    </w:p>
    <w:tbl>
      <w:tblPr>
        <w:tblStyle w:val="TableGrid"/>
        <w:tblW w:w="0" w:type="auto"/>
        <w:tblInd w:w="288" w:type="dxa"/>
        <w:tblLayout w:type="fixed"/>
        <w:tblLook w:val="01E0" w:firstRow="1" w:lastRow="1" w:firstColumn="1" w:lastColumn="1" w:noHBand="0" w:noVBand="0"/>
      </w:tblPr>
      <w:tblGrid>
        <w:gridCol w:w="1080"/>
        <w:gridCol w:w="8280"/>
      </w:tblGrid>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7444FF">
            <w:pPr>
              <w:keepNext/>
              <w:keepLines/>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Pr="000170DA" w:rsidRDefault="007444FF" w:rsidP="007444FF">
            <w:pPr>
              <w:keepNext/>
              <w:keepLines/>
              <w:rPr>
                <w:rStyle w:val="Hyperlink"/>
                <w:rFonts w:ascii="Garamond" w:hAnsi="Garamond"/>
                <w:color w:val="auto"/>
                <w:u w:val="none"/>
                <w:lang w:val="en-AU"/>
              </w:rPr>
            </w:pPr>
            <w:hyperlink r:id="rId19" w:history="1">
              <w:r w:rsidRPr="00F83E7B">
                <w:rPr>
                  <w:rStyle w:val="Hyperlink"/>
                  <w:rFonts w:ascii="Garamond" w:hAnsi="Garamond"/>
                  <w:lang w:val="en-AU"/>
                </w:rPr>
                <w:t>https://doi.org/10.1136/bmj.m1035</w:t>
              </w:r>
            </w:hyperlink>
          </w:p>
        </w:tc>
      </w:tr>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Pr="003F6EE2" w:rsidRDefault="00E14157" w:rsidP="00A411F8">
            <w:pPr>
              <w:keepNext/>
              <w:keepLines/>
              <w:autoSpaceDE w:val="0"/>
              <w:autoSpaceDN w:val="0"/>
              <w:adjustRightInd w:val="0"/>
              <w:rPr>
                <w:rFonts w:ascii="Garamond" w:hAnsi="Garamond"/>
                <w:lang w:val="en-AU"/>
              </w:rPr>
            </w:pPr>
            <w:r>
              <w:rPr>
                <w:rFonts w:ascii="Garamond" w:hAnsi="Garamond"/>
                <w:lang w:val="en-AU"/>
              </w:rPr>
              <w:t xml:space="preserve">Speaking up is a crucial skill in addressing safety issues. </w:t>
            </w:r>
            <w:r w:rsidR="00A411F8">
              <w:rPr>
                <w:rFonts w:ascii="Garamond" w:hAnsi="Garamond"/>
                <w:lang w:val="en-AU"/>
              </w:rPr>
              <w:t>However,</w:t>
            </w:r>
            <w:r>
              <w:rPr>
                <w:rFonts w:ascii="Garamond" w:hAnsi="Garamond"/>
                <w:lang w:val="en-AU"/>
              </w:rPr>
              <w:t xml:space="preserve"> it can be a </w:t>
            </w:r>
            <w:r w:rsidR="00A411F8">
              <w:rPr>
                <w:rFonts w:ascii="Garamond" w:hAnsi="Garamond"/>
                <w:lang w:val="en-AU"/>
              </w:rPr>
              <w:t xml:space="preserve">very </w:t>
            </w:r>
            <w:r>
              <w:rPr>
                <w:rFonts w:ascii="Garamond" w:hAnsi="Garamond"/>
                <w:lang w:val="en-AU"/>
              </w:rPr>
              <w:t xml:space="preserve">difficult conversation to have. </w:t>
            </w:r>
            <w:r w:rsidR="00A411F8">
              <w:rPr>
                <w:rFonts w:ascii="Garamond" w:hAnsi="Garamond"/>
                <w:lang w:val="en-AU"/>
              </w:rPr>
              <w:t xml:space="preserve">This piece in the </w:t>
            </w:r>
            <w:r w:rsidR="00A411F8" w:rsidRPr="00A411F8">
              <w:rPr>
                <w:rFonts w:ascii="Garamond" w:hAnsi="Garamond"/>
                <w:i/>
                <w:lang w:val="en-AU"/>
              </w:rPr>
              <w:t>BMJ</w:t>
            </w:r>
            <w:r w:rsidR="00A411F8">
              <w:rPr>
                <w:rFonts w:ascii="Garamond" w:hAnsi="Garamond"/>
                <w:lang w:val="en-AU"/>
              </w:rPr>
              <w:t xml:space="preserve"> examines some of the approaches to these difficult conversations when they are between colleagues.</w:t>
            </w:r>
            <w:r w:rsidR="00C565F0">
              <w:rPr>
                <w:rFonts w:ascii="Garamond" w:hAnsi="Garamond"/>
                <w:lang w:val="en-AU"/>
              </w:rPr>
              <w:t xml:space="preserve"> Key factors include establishing the facts, learning from what has happened and avoiding blame while retaining accountability.</w:t>
            </w:r>
          </w:p>
        </w:tc>
      </w:tr>
    </w:tbl>
    <w:p w:rsidR="003A2B42" w:rsidRDefault="003A2B42" w:rsidP="00B9408F">
      <w:pPr>
        <w:rPr>
          <w:rFonts w:ascii="Garamond" w:hAnsi="Garamond"/>
          <w:lang w:val="en-AU"/>
        </w:rPr>
      </w:pPr>
    </w:p>
    <w:p w:rsidR="00A411F8" w:rsidRDefault="00A411F8" w:rsidP="003A2B42">
      <w:pPr>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communicating for safety, see </w:t>
      </w:r>
      <w:hyperlink r:id="rId20" w:history="1">
        <w:r w:rsidRPr="00F83E7B">
          <w:rPr>
            <w:rStyle w:val="Hyperlink"/>
            <w:rFonts w:ascii="Garamond" w:hAnsi="Garamond"/>
            <w:lang w:val="en-AU"/>
          </w:rPr>
          <w:t>https://www.safetyandquality.gov.au/our-work/communicating-safety</w:t>
        </w:r>
      </w:hyperlink>
    </w:p>
    <w:p w:rsidR="00A411F8" w:rsidRDefault="00A411F8" w:rsidP="003A2B42">
      <w:pPr>
        <w:rPr>
          <w:rFonts w:ascii="Garamond" w:hAnsi="Garamond"/>
          <w:lang w:val="en-AU"/>
        </w:rPr>
      </w:pPr>
    </w:p>
    <w:p w:rsidR="003A2B42" w:rsidRPr="00A604A6" w:rsidRDefault="00A604A6" w:rsidP="003A2B42">
      <w:pPr>
        <w:keepNext/>
        <w:keepLines/>
        <w:autoSpaceDE w:val="0"/>
        <w:autoSpaceDN w:val="0"/>
        <w:adjustRightInd w:val="0"/>
        <w:rPr>
          <w:rFonts w:ascii="Garamond" w:hAnsi="Garamond"/>
          <w:i/>
          <w:lang w:val="en-AU"/>
        </w:rPr>
      </w:pPr>
      <w:r w:rsidRPr="00A604A6">
        <w:rPr>
          <w:rFonts w:ascii="Garamond" w:hAnsi="Garamond"/>
          <w:i/>
          <w:lang w:val="en-AU"/>
        </w:rPr>
        <w:t>Opioid guidelines for common dental surgical procedures: a multidisciplinary panel consensus</w:t>
      </w:r>
    </w:p>
    <w:p w:rsidR="007444FF" w:rsidRDefault="007444FF" w:rsidP="003A2B42">
      <w:pPr>
        <w:keepNext/>
        <w:keepLines/>
        <w:autoSpaceDE w:val="0"/>
        <w:autoSpaceDN w:val="0"/>
        <w:adjustRightInd w:val="0"/>
        <w:rPr>
          <w:rFonts w:ascii="Garamond" w:hAnsi="Garamond"/>
          <w:lang w:val="en-AU"/>
        </w:rPr>
      </w:pPr>
      <w:r w:rsidRPr="007444FF">
        <w:rPr>
          <w:rFonts w:ascii="Garamond" w:hAnsi="Garamond"/>
          <w:lang w:val="en-AU"/>
        </w:rPr>
        <w:t>Farooqi OA, Bruhn WE, Lecholop MK, Velasquez-Plata D, Maloney JG, Rizwi S, et al</w:t>
      </w:r>
    </w:p>
    <w:p w:rsidR="00A604A6" w:rsidRDefault="007444FF" w:rsidP="003A2B42">
      <w:pPr>
        <w:keepNext/>
        <w:keepLines/>
        <w:autoSpaceDE w:val="0"/>
        <w:autoSpaceDN w:val="0"/>
        <w:adjustRightInd w:val="0"/>
        <w:rPr>
          <w:rFonts w:ascii="Garamond" w:hAnsi="Garamond"/>
          <w:lang w:val="en-AU"/>
        </w:rPr>
      </w:pPr>
      <w:r w:rsidRPr="007444FF">
        <w:rPr>
          <w:rFonts w:ascii="Garamond" w:hAnsi="Garamond"/>
          <w:lang w:val="en-AU"/>
        </w:rPr>
        <w:t>International Journal of Oral and Maxillofacial Surgery. 2020;49(3):397-402.</w:t>
      </w:r>
    </w:p>
    <w:tbl>
      <w:tblPr>
        <w:tblStyle w:val="TableGrid"/>
        <w:tblW w:w="0" w:type="auto"/>
        <w:tblInd w:w="288" w:type="dxa"/>
        <w:tblLayout w:type="fixed"/>
        <w:tblLook w:val="01E0" w:firstRow="1" w:lastRow="1" w:firstColumn="1" w:lastColumn="1" w:noHBand="0" w:noVBand="0"/>
      </w:tblPr>
      <w:tblGrid>
        <w:gridCol w:w="1080"/>
        <w:gridCol w:w="8280"/>
      </w:tblGrid>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Pr="000170DA" w:rsidRDefault="00A563C4" w:rsidP="00A563C4">
            <w:pPr>
              <w:rPr>
                <w:rStyle w:val="Hyperlink"/>
                <w:rFonts w:ascii="Garamond" w:hAnsi="Garamond"/>
                <w:color w:val="auto"/>
                <w:u w:val="none"/>
                <w:lang w:val="en-AU"/>
              </w:rPr>
            </w:pPr>
            <w:hyperlink r:id="rId21" w:history="1">
              <w:r w:rsidRPr="00F83E7B">
                <w:rPr>
                  <w:rStyle w:val="Hyperlink"/>
                  <w:rFonts w:ascii="Garamond" w:hAnsi="Garamond"/>
                  <w:lang w:val="en-AU"/>
                </w:rPr>
                <w:t>https://doi.org/10.1016/j.ijom.2019.09.001</w:t>
              </w:r>
            </w:hyperlink>
          </w:p>
        </w:tc>
      </w:tr>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Default="00C565F0" w:rsidP="00C565F0">
            <w:pPr>
              <w:keepNext/>
              <w:keepLines/>
              <w:autoSpaceDE w:val="0"/>
              <w:autoSpaceDN w:val="0"/>
              <w:adjustRightInd w:val="0"/>
              <w:rPr>
                <w:rFonts w:ascii="Garamond" w:hAnsi="Garamond"/>
                <w:lang w:val="en-AU"/>
              </w:rPr>
            </w:pPr>
            <w:r>
              <w:rPr>
                <w:rFonts w:ascii="Garamond" w:hAnsi="Garamond"/>
                <w:lang w:val="en-AU"/>
              </w:rPr>
              <w:t xml:space="preserve">The potential for opioid misuse after treatment is more appreciated in light of the ‘opioid epidemic’. This piece provides guidelines on opioid use for common dental surgical procedures. Developed by a multidisciplinary panel using a modified Delphi method, the paper reports on their </w:t>
            </w:r>
            <w:r w:rsidRPr="00C565F0">
              <w:rPr>
                <w:rFonts w:ascii="Garamond" w:hAnsi="Garamond"/>
                <w:lang w:val="en-AU"/>
              </w:rPr>
              <w:t>consensus recommendation</w:t>
            </w:r>
            <w:r>
              <w:rPr>
                <w:rFonts w:ascii="Garamond" w:hAnsi="Garamond"/>
                <w:lang w:val="en-AU"/>
              </w:rPr>
              <w:t>s</w:t>
            </w:r>
            <w:r w:rsidRPr="00C565F0">
              <w:rPr>
                <w:rFonts w:ascii="Garamond" w:hAnsi="Garamond"/>
                <w:lang w:val="en-AU"/>
              </w:rPr>
              <w:t xml:space="preserve"> for outpatient opioid prescribing for 14 common dental procedures</w:t>
            </w:r>
            <w:r>
              <w:rPr>
                <w:rFonts w:ascii="Garamond" w:hAnsi="Garamond"/>
                <w:lang w:val="en-AU"/>
              </w:rPr>
              <w:t>. The recommendations (as summarised in the ARHQ PSNet) include:</w:t>
            </w:r>
          </w:p>
          <w:p w:rsidR="00C565F0" w:rsidRPr="00C565F0" w:rsidRDefault="00C565F0" w:rsidP="00C565F0">
            <w:pPr>
              <w:pStyle w:val="ListParagraph"/>
              <w:keepNext/>
              <w:keepLines/>
              <w:numPr>
                <w:ilvl w:val="0"/>
                <w:numId w:val="17"/>
              </w:numPr>
              <w:autoSpaceDE w:val="0"/>
              <w:autoSpaceDN w:val="0"/>
              <w:adjustRightInd w:val="0"/>
              <w:rPr>
                <w:rFonts w:ascii="Garamond" w:hAnsi="Garamond"/>
                <w:lang w:val="en-AU"/>
              </w:rPr>
            </w:pPr>
            <w:r w:rsidRPr="00C565F0">
              <w:rPr>
                <w:rFonts w:ascii="Garamond" w:hAnsi="Garamond"/>
                <w:lang w:val="en-AU"/>
              </w:rPr>
              <w:t>Offer alternatives to opioids after dental surgery to interested patients when clinically appropriate.</w:t>
            </w:r>
          </w:p>
          <w:p w:rsidR="00C565F0" w:rsidRPr="00C565F0" w:rsidRDefault="00C565F0" w:rsidP="00C565F0">
            <w:pPr>
              <w:pStyle w:val="ListParagraph"/>
              <w:keepNext/>
              <w:keepLines/>
              <w:numPr>
                <w:ilvl w:val="0"/>
                <w:numId w:val="17"/>
              </w:numPr>
              <w:autoSpaceDE w:val="0"/>
              <w:autoSpaceDN w:val="0"/>
              <w:adjustRightInd w:val="0"/>
              <w:rPr>
                <w:rFonts w:ascii="Garamond" w:hAnsi="Garamond"/>
                <w:lang w:val="en-AU"/>
              </w:rPr>
            </w:pPr>
            <w:r w:rsidRPr="00C565F0">
              <w:rPr>
                <w:rFonts w:ascii="Garamond" w:hAnsi="Garamond"/>
                <w:lang w:val="en-AU"/>
              </w:rPr>
              <w:t>Avoid prescribing opioids after dental surgery if pain is comfortably management with over-the-counter medication.</w:t>
            </w:r>
          </w:p>
          <w:p w:rsidR="00C565F0" w:rsidRPr="00C565F0" w:rsidRDefault="00C565F0" w:rsidP="00C565F0">
            <w:pPr>
              <w:pStyle w:val="ListParagraph"/>
              <w:keepNext/>
              <w:keepLines/>
              <w:numPr>
                <w:ilvl w:val="0"/>
                <w:numId w:val="17"/>
              </w:numPr>
              <w:autoSpaceDE w:val="0"/>
              <w:autoSpaceDN w:val="0"/>
              <w:adjustRightInd w:val="0"/>
              <w:rPr>
                <w:rFonts w:ascii="Garamond" w:hAnsi="Garamond"/>
                <w:lang w:val="en-AU"/>
              </w:rPr>
            </w:pPr>
            <w:r w:rsidRPr="00C565F0">
              <w:rPr>
                <w:rFonts w:ascii="Garamond" w:hAnsi="Garamond"/>
                <w:lang w:val="en-AU"/>
              </w:rPr>
              <w:t>Advise patients about non-pharmacological therapies (e.g., cold, heat, distraction).</w:t>
            </w:r>
          </w:p>
          <w:p w:rsidR="00C565F0" w:rsidRPr="00C565F0" w:rsidRDefault="00C565F0" w:rsidP="00C565F0">
            <w:pPr>
              <w:pStyle w:val="ListParagraph"/>
              <w:keepNext/>
              <w:keepLines/>
              <w:numPr>
                <w:ilvl w:val="0"/>
                <w:numId w:val="17"/>
              </w:numPr>
              <w:autoSpaceDE w:val="0"/>
              <w:autoSpaceDN w:val="0"/>
              <w:adjustRightInd w:val="0"/>
              <w:rPr>
                <w:rFonts w:ascii="Garamond" w:hAnsi="Garamond"/>
                <w:lang w:val="en-AU"/>
              </w:rPr>
            </w:pPr>
            <w:r w:rsidRPr="00C565F0">
              <w:rPr>
                <w:rFonts w:ascii="Garamond" w:hAnsi="Garamond"/>
                <w:lang w:val="en-AU"/>
              </w:rPr>
              <w:t>Teach patients to maximize non-narcotic (over the counter) pain medication with scheduled dosing unless contraindicated.</w:t>
            </w:r>
          </w:p>
          <w:p w:rsidR="00C565F0" w:rsidRPr="00C565F0" w:rsidRDefault="00C565F0" w:rsidP="00C565F0">
            <w:pPr>
              <w:pStyle w:val="ListParagraph"/>
              <w:keepNext/>
              <w:keepLines/>
              <w:numPr>
                <w:ilvl w:val="0"/>
                <w:numId w:val="17"/>
              </w:numPr>
              <w:autoSpaceDE w:val="0"/>
              <w:autoSpaceDN w:val="0"/>
              <w:adjustRightInd w:val="0"/>
              <w:rPr>
                <w:rFonts w:ascii="Garamond" w:hAnsi="Garamond"/>
                <w:lang w:val="en-AU"/>
              </w:rPr>
            </w:pPr>
            <w:r w:rsidRPr="00C565F0">
              <w:rPr>
                <w:rFonts w:ascii="Garamond" w:hAnsi="Garamond"/>
                <w:lang w:val="en-AU"/>
              </w:rPr>
              <w:t>Engage in shared decision-making with patients.</w:t>
            </w:r>
          </w:p>
          <w:p w:rsidR="00C565F0" w:rsidRPr="00C565F0" w:rsidRDefault="00C565F0" w:rsidP="00C565F0">
            <w:pPr>
              <w:pStyle w:val="ListParagraph"/>
              <w:keepNext/>
              <w:keepLines/>
              <w:numPr>
                <w:ilvl w:val="0"/>
                <w:numId w:val="17"/>
              </w:numPr>
              <w:autoSpaceDE w:val="0"/>
              <w:autoSpaceDN w:val="0"/>
              <w:adjustRightInd w:val="0"/>
              <w:rPr>
                <w:rFonts w:ascii="Garamond" w:hAnsi="Garamond"/>
                <w:lang w:val="en-AU"/>
              </w:rPr>
            </w:pPr>
            <w:r w:rsidRPr="00C565F0">
              <w:rPr>
                <w:rFonts w:ascii="Garamond" w:hAnsi="Garamond"/>
                <w:lang w:val="en-AU"/>
              </w:rPr>
              <w:t>Consider factors such as medical contraindications, risk for addiction, and risk aversion when prescribing opioids.</w:t>
            </w:r>
          </w:p>
        </w:tc>
      </w:tr>
    </w:tbl>
    <w:p w:rsidR="003A2B42" w:rsidRDefault="003A2B42" w:rsidP="003A2B42">
      <w:pPr>
        <w:rPr>
          <w:rFonts w:ascii="Garamond" w:hAnsi="Garamond"/>
          <w:lang w:val="en-AU"/>
        </w:rPr>
      </w:pPr>
    </w:p>
    <w:p w:rsidR="00A604A6" w:rsidRDefault="00A604A6" w:rsidP="00A604A6">
      <w:pPr>
        <w:keepNext/>
        <w:keepLines/>
        <w:autoSpaceDE w:val="0"/>
        <w:autoSpaceDN w:val="0"/>
        <w:adjustRightInd w:val="0"/>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medication safety, see </w:t>
      </w:r>
      <w:hyperlink r:id="rId22" w:history="1">
        <w:r w:rsidRPr="006B4917">
          <w:rPr>
            <w:rStyle w:val="Hyperlink"/>
            <w:rFonts w:ascii="Garamond" w:hAnsi="Garamond"/>
            <w:lang w:val="en-AU"/>
          </w:rPr>
          <w:t>https://www.safetyandquality.gov.au/our-work/medication-safety</w:t>
        </w:r>
      </w:hyperlink>
    </w:p>
    <w:p w:rsidR="00A604A6" w:rsidRDefault="00A604A6" w:rsidP="003A2B42">
      <w:pPr>
        <w:rPr>
          <w:rFonts w:ascii="Garamond" w:hAnsi="Garamond"/>
          <w:lang w:val="en-AU"/>
        </w:rPr>
      </w:pPr>
    </w:p>
    <w:p w:rsidR="003A2B42" w:rsidRPr="00A604A6" w:rsidRDefault="00A604A6" w:rsidP="003A2B42">
      <w:pPr>
        <w:keepNext/>
        <w:keepLines/>
        <w:autoSpaceDE w:val="0"/>
        <w:autoSpaceDN w:val="0"/>
        <w:adjustRightInd w:val="0"/>
        <w:rPr>
          <w:rFonts w:ascii="Garamond" w:hAnsi="Garamond"/>
          <w:i/>
          <w:lang w:val="en-AU"/>
        </w:rPr>
      </w:pPr>
      <w:r w:rsidRPr="00A604A6">
        <w:rPr>
          <w:rFonts w:ascii="Garamond" w:hAnsi="Garamond"/>
          <w:i/>
          <w:lang w:val="en-AU"/>
        </w:rPr>
        <w:t>A protocol for the safe use of hazardous drugs in the OR</w:t>
      </w:r>
    </w:p>
    <w:p w:rsidR="007444FF" w:rsidRDefault="007444FF" w:rsidP="003A2B42">
      <w:pPr>
        <w:keepNext/>
        <w:keepLines/>
        <w:autoSpaceDE w:val="0"/>
        <w:autoSpaceDN w:val="0"/>
        <w:adjustRightInd w:val="0"/>
        <w:rPr>
          <w:rFonts w:ascii="Garamond" w:hAnsi="Garamond"/>
          <w:lang w:val="en-AU"/>
        </w:rPr>
      </w:pPr>
      <w:r w:rsidRPr="007444FF">
        <w:rPr>
          <w:rFonts w:ascii="Garamond" w:hAnsi="Garamond"/>
          <w:lang w:val="en-AU"/>
        </w:rPr>
        <w:t>Hemingway MW, Meleis L, Oliver J, Silvestri S</w:t>
      </w:r>
    </w:p>
    <w:p w:rsidR="00A604A6" w:rsidRDefault="007444FF" w:rsidP="003A2B42">
      <w:pPr>
        <w:keepNext/>
        <w:keepLines/>
        <w:autoSpaceDE w:val="0"/>
        <w:autoSpaceDN w:val="0"/>
        <w:adjustRightInd w:val="0"/>
        <w:rPr>
          <w:rFonts w:ascii="Garamond" w:hAnsi="Garamond"/>
          <w:lang w:val="en-AU"/>
        </w:rPr>
      </w:pPr>
      <w:r w:rsidRPr="007444FF">
        <w:rPr>
          <w:rFonts w:ascii="Garamond" w:hAnsi="Garamond"/>
          <w:lang w:val="en-AU"/>
        </w:rPr>
        <w:t>AORN Journal. 2020;111(3):289-300.</w:t>
      </w:r>
    </w:p>
    <w:tbl>
      <w:tblPr>
        <w:tblStyle w:val="TableGrid"/>
        <w:tblW w:w="0" w:type="auto"/>
        <w:tblInd w:w="288" w:type="dxa"/>
        <w:tblLayout w:type="fixed"/>
        <w:tblLook w:val="01E0" w:firstRow="1" w:lastRow="1" w:firstColumn="1" w:lastColumn="1" w:noHBand="0" w:noVBand="0"/>
      </w:tblPr>
      <w:tblGrid>
        <w:gridCol w:w="1080"/>
        <w:gridCol w:w="8280"/>
      </w:tblGrid>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Pr="000170DA" w:rsidRDefault="00A563C4" w:rsidP="00A563C4">
            <w:pPr>
              <w:rPr>
                <w:rStyle w:val="Hyperlink"/>
                <w:rFonts w:ascii="Garamond" w:hAnsi="Garamond"/>
                <w:color w:val="auto"/>
                <w:u w:val="none"/>
                <w:lang w:val="en-AU"/>
              </w:rPr>
            </w:pPr>
            <w:hyperlink r:id="rId23" w:history="1">
              <w:r w:rsidRPr="00F83E7B">
                <w:rPr>
                  <w:rStyle w:val="Hyperlink"/>
                  <w:rFonts w:ascii="Garamond" w:hAnsi="Garamond"/>
                  <w:lang w:val="en-AU"/>
                </w:rPr>
                <w:t>https://doi.org/10.1002/aorn.12960</w:t>
              </w:r>
            </w:hyperlink>
          </w:p>
        </w:tc>
      </w:tr>
      <w:tr w:rsidR="003A2B42" w:rsidRPr="000170DA" w:rsidTr="00F6076D">
        <w:tc>
          <w:tcPr>
            <w:tcW w:w="1080" w:type="dxa"/>
            <w:tcBorders>
              <w:top w:val="single" w:sz="4" w:space="0" w:color="auto"/>
              <w:left w:val="single" w:sz="4" w:space="0" w:color="auto"/>
              <w:bottom w:val="single" w:sz="4" w:space="0" w:color="auto"/>
              <w:right w:val="single" w:sz="4" w:space="0" w:color="auto"/>
            </w:tcBorders>
            <w:vAlign w:val="center"/>
          </w:tcPr>
          <w:p w:rsidR="003A2B42" w:rsidRPr="000170DA" w:rsidRDefault="003A2B42" w:rsidP="00F6076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2B42" w:rsidRPr="003F6EE2" w:rsidRDefault="00C565F0" w:rsidP="002E60C7">
            <w:pPr>
              <w:keepNext/>
              <w:keepLines/>
              <w:autoSpaceDE w:val="0"/>
              <w:autoSpaceDN w:val="0"/>
              <w:adjustRightInd w:val="0"/>
              <w:rPr>
                <w:rFonts w:ascii="Garamond" w:hAnsi="Garamond"/>
                <w:lang w:val="en-AU"/>
              </w:rPr>
            </w:pPr>
            <w:r>
              <w:rPr>
                <w:rFonts w:ascii="Garamond" w:hAnsi="Garamond"/>
                <w:lang w:val="en-AU"/>
              </w:rPr>
              <w:t xml:space="preserve">The </w:t>
            </w:r>
            <w:r w:rsidRPr="00C565F0">
              <w:rPr>
                <w:rFonts w:ascii="Garamond" w:hAnsi="Garamond"/>
                <w:lang w:val="en-AU"/>
              </w:rPr>
              <w:t xml:space="preserve">United States Pharmacopeial Convention </w:t>
            </w:r>
            <w:r>
              <w:rPr>
                <w:rFonts w:ascii="Garamond" w:hAnsi="Garamond"/>
                <w:lang w:val="en-AU"/>
              </w:rPr>
              <w:t xml:space="preserve">developed </w:t>
            </w:r>
            <w:r w:rsidRPr="00C565F0">
              <w:rPr>
                <w:rFonts w:ascii="Garamond" w:hAnsi="Garamond"/>
                <w:lang w:val="en-AU"/>
              </w:rPr>
              <w:t xml:space="preserve">new standards to address the safe handling and administration of </w:t>
            </w:r>
            <w:r>
              <w:rPr>
                <w:rFonts w:ascii="Garamond" w:hAnsi="Garamond"/>
                <w:lang w:val="en-AU"/>
              </w:rPr>
              <w:t>hazardous drugs</w:t>
            </w:r>
            <w:r w:rsidRPr="00C565F0">
              <w:rPr>
                <w:rFonts w:ascii="Garamond" w:hAnsi="Garamond"/>
                <w:lang w:val="en-AU"/>
              </w:rPr>
              <w:t xml:space="preserve"> by health care workers</w:t>
            </w:r>
            <w:r>
              <w:rPr>
                <w:rFonts w:ascii="Garamond" w:hAnsi="Garamond"/>
                <w:lang w:val="en-AU"/>
              </w:rPr>
              <w:t xml:space="preserve">. This article describes the protocols developed in one US teaching hospital to </w:t>
            </w:r>
            <w:r w:rsidR="002E60C7">
              <w:rPr>
                <w:rFonts w:ascii="Garamond" w:hAnsi="Garamond"/>
                <w:lang w:val="en-AU"/>
              </w:rPr>
              <w:t xml:space="preserve">for the safe use of these hazardous drugs in the operating theatre. The protocol focuses on minimising the exposure of </w:t>
            </w:r>
            <w:r w:rsidR="002E60C7" w:rsidRPr="002E60C7">
              <w:rPr>
                <w:rFonts w:ascii="Garamond" w:hAnsi="Garamond"/>
                <w:lang w:val="en-AU"/>
              </w:rPr>
              <w:t xml:space="preserve">healthcare workers to the harmful effects of hazardous drugs (e.g., neuromuscular blockers). The protocol includes requirements for personal protective equipment </w:t>
            </w:r>
            <w:r w:rsidR="002E60C7">
              <w:rPr>
                <w:rFonts w:ascii="Garamond" w:hAnsi="Garamond"/>
                <w:lang w:val="en-AU"/>
              </w:rPr>
              <w:t xml:space="preserve">(PPE) </w:t>
            </w:r>
            <w:r w:rsidR="002E60C7" w:rsidRPr="002E60C7">
              <w:rPr>
                <w:rFonts w:ascii="Garamond" w:hAnsi="Garamond"/>
                <w:lang w:val="en-AU"/>
              </w:rPr>
              <w:t>for hazardous drugs, the use of spill kits, and proper storage solutions.</w:t>
            </w:r>
          </w:p>
        </w:tc>
      </w:tr>
    </w:tbl>
    <w:p w:rsidR="003A2B42" w:rsidRDefault="003A2B42" w:rsidP="003A2B42">
      <w:pPr>
        <w:rPr>
          <w:rFonts w:ascii="Garamond" w:hAnsi="Garamond"/>
          <w:lang w:val="en-AU"/>
        </w:rPr>
      </w:pPr>
    </w:p>
    <w:p w:rsidR="00980BEA" w:rsidRDefault="00980BEA" w:rsidP="00980BEA">
      <w:pPr>
        <w:keepNext/>
        <w:rPr>
          <w:rFonts w:ascii="Garamond" w:hAnsi="Garamond"/>
          <w:i/>
          <w:lang w:val="en-AU"/>
        </w:rPr>
      </w:pPr>
      <w:r w:rsidRPr="00980BEA">
        <w:rPr>
          <w:rFonts w:ascii="Garamond" w:hAnsi="Garamond"/>
          <w:i/>
          <w:lang w:val="en-AU"/>
        </w:rPr>
        <w:lastRenderedPageBreak/>
        <w:t>American Journal of Medical Quality</w:t>
      </w:r>
    </w:p>
    <w:p w:rsidR="007922C5" w:rsidRPr="00612D3D" w:rsidRDefault="00980BEA" w:rsidP="007922C5">
      <w:pPr>
        <w:keepNext/>
        <w:rPr>
          <w:rFonts w:ascii="Garamond" w:hAnsi="Garamond"/>
          <w:lang w:val="en-AU"/>
        </w:rPr>
      </w:pPr>
      <w:r w:rsidRPr="00980BEA">
        <w:rPr>
          <w:rFonts w:ascii="Garamond" w:hAnsi="Garamond"/>
          <w:lang w:val="en-AU"/>
        </w:rPr>
        <w:t>Volume: 3</w:t>
      </w:r>
      <w:r>
        <w:rPr>
          <w:rFonts w:ascii="Garamond" w:hAnsi="Garamond"/>
          <w:lang w:val="en-AU"/>
        </w:rPr>
        <w:t>5, Number: 2 (March/April 2020)</w:t>
      </w:r>
    </w:p>
    <w:tbl>
      <w:tblPr>
        <w:tblStyle w:val="TableGrid"/>
        <w:tblW w:w="9360" w:type="dxa"/>
        <w:tblInd w:w="288" w:type="dxa"/>
        <w:tblLayout w:type="fixed"/>
        <w:tblLook w:val="01E0" w:firstRow="1" w:lastRow="1" w:firstColumn="1" w:lastColumn="1" w:noHBand="0" w:noVBand="0"/>
      </w:tblPr>
      <w:tblGrid>
        <w:gridCol w:w="1080"/>
        <w:gridCol w:w="8280"/>
      </w:tblGrid>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6706B4" w:rsidRDefault="00B37866" w:rsidP="00787037">
            <w:pPr>
              <w:rPr>
                <w:rStyle w:val="Hyperlink"/>
                <w:rFonts w:ascii="Garamond" w:hAnsi="Garamond"/>
                <w:color w:val="auto"/>
                <w:u w:val="none"/>
                <w:lang w:val="en-AU"/>
              </w:rPr>
            </w:pPr>
            <w:hyperlink r:id="rId24" w:history="1">
              <w:r w:rsidR="00787037" w:rsidRPr="00DF3211">
                <w:rPr>
                  <w:rStyle w:val="Hyperlink"/>
                  <w:rFonts w:ascii="Garamond" w:hAnsi="Garamond"/>
                  <w:lang w:val="en-AU"/>
                </w:rPr>
                <w:t>https://journals.sagepub.com/toc/ajmb/35/2</w:t>
              </w:r>
            </w:hyperlink>
          </w:p>
        </w:tc>
      </w:tr>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7C3778" w:rsidRDefault="007922C5" w:rsidP="00980BEA">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980BEA">
              <w:rPr>
                <w:rFonts w:ascii="Garamond" w:hAnsi="Garamond"/>
                <w:lang w:val="en-AU"/>
              </w:rPr>
              <w:t xml:space="preserve">the </w:t>
            </w:r>
            <w:r w:rsidR="00980BEA" w:rsidRPr="00980BEA">
              <w:rPr>
                <w:rFonts w:ascii="Garamond" w:hAnsi="Garamond"/>
                <w:i/>
                <w:lang w:val="en-AU"/>
              </w:rPr>
              <w:t>American Journal of Medical Quality</w:t>
            </w:r>
            <w:r w:rsidR="00FE0964">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980BEA">
              <w:rPr>
                <w:rFonts w:ascii="Garamond" w:hAnsi="Garamond"/>
                <w:lang w:val="en-AU"/>
              </w:rPr>
              <w:t xml:space="preserve">the </w:t>
            </w:r>
            <w:r w:rsidR="00980BEA" w:rsidRPr="00980BEA">
              <w:rPr>
                <w:rFonts w:ascii="Garamond" w:hAnsi="Garamond"/>
                <w:i/>
                <w:lang w:val="en-AU"/>
              </w:rPr>
              <w:t>American Journal of Medical Quality</w:t>
            </w:r>
            <w:r w:rsidR="00FE0964" w:rsidRPr="00B440ED">
              <w:rPr>
                <w:rFonts w:ascii="Garamond" w:hAnsi="Garamond"/>
                <w:lang w:val="en-AU"/>
              </w:rPr>
              <w:t xml:space="preserve"> </w:t>
            </w:r>
            <w:r w:rsidRPr="00B440ED">
              <w:rPr>
                <w:rFonts w:ascii="Garamond" w:hAnsi="Garamond"/>
                <w:lang w:val="en-AU"/>
              </w:rPr>
              <w:t>include:</w:t>
            </w:r>
          </w:p>
          <w:p w:rsidR="00787037" w:rsidRPr="00787037" w:rsidRDefault="00787037" w:rsidP="00532AE2">
            <w:pPr>
              <w:pStyle w:val="ListParagraph"/>
              <w:numPr>
                <w:ilvl w:val="0"/>
                <w:numId w:val="15"/>
              </w:numPr>
              <w:rPr>
                <w:rFonts w:ascii="Garamond" w:hAnsi="Garamond"/>
                <w:lang w:val="en-AU"/>
              </w:rPr>
            </w:pPr>
            <w:r w:rsidRPr="00787037">
              <w:rPr>
                <w:rFonts w:ascii="Garamond" w:hAnsi="Garamond"/>
                <w:lang w:val="en-AU"/>
              </w:rPr>
              <w:t xml:space="preserve">Primary Care Practice Redesign: Challenges in </w:t>
            </w:r>
            <w:r w:rsidRPr="00787037">
              <w:rPr>
                <w:rFonts w:ascii="Garamond" w:hAnsi="Garamond"/>
                <w:b/>
                <w:lang w:val="en-AU"/>
              </w:rPr>
              <w:t>Improving Behavioral Health Care</w:t>
            </w:r>
            <w:r w:rsidRPr="00787037">
              <w:rPr>
                <w:rFonts w:ascii="Garamond" w:hAnsi="Garamond"/>
                <w:lang w:val="en-AU"/>
              </w:rPr>
              <w:t xml:space="preserve"> for a Vulnerable Patient Population (</w:t>
            </w:r>
            <w:r>
              <w:rPr>
                <w:rFonts w:ascii="Garamond" w:hAnsi="Garamond"/>
                <w:lang w:val="en-AU"/>
              </w:rPr>
              <w:t>Deborah Swavely, David T</w:t>
            </w:r>
            <w:r w:rsidRPr="00787037">
              <w:rPr>
                <w:rFonts w:ascii="Garamond" w:hAnsi="Garamond"/>
                <w:lang w:val="en-AU"/>
              </w:rPr>
              <w:t xml:space="preserve"> O’Gurek, Veronica Whyte, A Schieber, D Yu, A Y Tien, </w:t>
            </w:r>
            <w:r>
              <w:rPr>
                <w:rFonts w:ascii="Garamond" w:hAnsi="Garamond"/>
                <w:lang w:val="en-AU"/>
              </w:rPr>
              <w:t>and S L Freeman)</w:t>
            </w:r>
          </w:p>
          <w:p w:rsidR="00787037" w:rsidRDefault="00787037" w:rsidP="000A5A31">
            <w:pPr>
              <w:pStyle w:val="ListParagraph"/>
              <w:numPr>
                <w:ilvl w:val="0"/>
                <w:numId w:val="15"/>
              </w:numPr>
              <w:rPr>
                <w:rFonts w:ascii="Garamond" w:hAnsi="Garamond"/>
                <w:lang w:val="en-AU"/>
              </w:rPr>
            </w:pPr>
            <w:r w:rsidRPr="00787037">
              <w:rPr>
                <w:rFonts w:ascii="Garamond" w:hAnsi="Garamond"/>
                <w:lang w:val="en-AU"/>
              </w:rPr>
              <w:t xml:space="preserve">Association of Hospital Characteristics With Early </w:t>
            </w:r>
            <w:r w:rsidRPr="00787037">
              <w:rPr>
                <w:rFonts w:ascii="Garamond" w:hAnsi="Garamond"/>
                <w:b/>
                <w:lang w:val="en-AU"/>
              </w:rPr>
              <w:t>SEP-1 Performance</w:t>
            </w:r>
            <w:r w:rsidRPr="00787037">
              <w:rPr>
                <w:rFonts w:ascii="Garamond" w:hAnsi="Garamond"/>
                <w:lang w:val="en-AU"/>
              </w:rPr>
              <w:t xml:space="preserve"> (Jeff Liao, Emily Aaronson, Jungyeon Kim, Xiu Liu, Colleen Snydeman, Ilona Goldfarb, Lauren Black, Michael Filbin, Michael T Phillips, E Mort, and J</w:t>
            </w:r>
            <w:r>
              <w:rPr>
                <w:rFonts w:ascii="Garamond" w:hAnsi="Garamond"/>
                <w:lang w:val="en-AU"/>
              </w:rPr>
              <w:t xml:space="preserve"> Lee)</w:t>
            </w:r>
          </w:p>
          <w:p w:rsidR="00787037" w:rsidRDefault="00787037" w:rsidP="00781825">
            <w:pPr>
              <w:pStyle w:val="ListParagraph"/>
              <w:numPr>
                <w:ilvl w:val="0"/>
                <w:numId w:val="15"/>
              </w:numPr>
              <w:rPr>
                <w:rFonts w:ascii="Garamond" w:hAnsi="Garamond"/>
                <w:lang w:val="en-AU"/>
              </w:rPr>
            </w:pPr>
            <w:r w:rsidRPr="00787037">
              <w:rPr>
                <w:rFonts w:ascii="Garamond" w:hAnsi="Garamond"/>
                <w:lang w:val="en-AU"/>
              </w:rPr>
              <w:t xml:space="preserve">Discordance in </w:t>
            </w:r>
            <w:r w:rsidRPr="00787037">
              <w:rPr>
                <w:rFonts w:ascii="Garamond" w:hAnsi="Garamond"/>
                <w:b/>
                <w:lang w:val="en-AU"/>
              </w:rPr>
              <w:t>Clinical Recommendations Regarding the Use of Imaging</w:t>
            </w:r>
            <w:r w:rsidRPr="00787037">
              <w:rPr>
                <w:rFonts w:ascii="Garamond" w:hAnsi="Garamond"/>
                <w:lang w:val="en-AU"/>
              </w:rPr>
              <w:t xml:space="preserve"> (Adam C Powell, Teresa L Rogstad, David E Winchester, Jon D Shanser, James W Long, Uday U Deshmukh, and Vijay M Rao</w:t>
            </w:r>
            <w:r>
              <w:rPr>
                <w:rFonts w:ascii="Garamond" w:hAnsi="Garamond"/>
                <w:lang w:val="en-AU"/>
              </w:rPr>
              <w:t>)</w:t>
            </w:r>
          </w:p>
          <w:p w:rsidR="00787037" w:rsidRDefault="00787037" w:rsidP="009C156C">
            <w:pPr>
              <w:pStyle w:val="ListParagraph"/>
              <w:numPr>
                <w:ilvl w:val="0"/>
                <w:numId w:val="15"/>
              </w:numPr>
              <w:rPr>
                <w:rFonts w:ascii="Garamond" w:hAnsi="Garamond"/>
                <w:lang w:val="en-AU"/>
              </w:rPr>
            </w:pPr>
            <w:r w:rsidRPr="00787037">
              <w:rPr>
                <w:rFonts w:ascii="Garamond" w:hAnsi="Garamond"/>
                <w:lang w:val="en-AU"/>
              </w:rPr>
              <w:t>Develo</w:t>
            </w:r>
            <w:bookmarkStart w:id="1" w:name="_GoBack"/>
            <w:bookmarkEnd w:id="1"/>
            <w:r w:rsidRPr="00787037">
              <w:rPr>
                <w:rFonts w:ascii="Garamond" w:hAnsi="Garamond"/>
                <w:lang w:val="en-AU"/>
              </w:rPr>
              <w:t xml:space="preserve">pment of a Tool to Assess </w:t>
            </w:r>
            <w:r w:rsidRPr="00787037">
              <w:rPr>
                <w:rFonts w:ascii="Garamond" w:hAnsi="Garamond"/>
                <w:b/>
                <w:lang w:val="en-AU"/>
              </w:rPr>
              <w:t>Trainees’ Ability to Design and Conduct Quality Improvement Projects</w:t>
            </w:r>
            <w:r w:rsidRPr="00787037">
              <w:rPr>
                <w:rFonts w:ascii="Garamond" w:hAnsi="Garamond"/>
                <w:lang w:val="en-AU"/>
              </w:rPr>
              <w:t xml:space="preserve"> (Erika M Steele, Rebecca Butcher, Kathleen L Carluzzo, and Bradley V Watts</w:t>
            </w:r>
            <w:r>
              <w:rPr>
                <w:rFonts w:ascii="Garamond" w:hAnsi="Garamond"/>
                <w:lang w:val="en-AU"/>
              </w:rPr>
              <w:t>)</w:t>
            </w:r>
          </w:p>
          <w:p w:rsidR="00787037" w:rsidRDefault="00787037" w:rsidP="006457D3">
            <w:pPr>
              <w:pStyle w:val="ListParagraph"/>
              <w:numPr>
                <w:ilvl w:val="0"/>
                <w:numId w:val="15"/>
              </w:numPr>
              <w:rPr>
                <w:rFonts w:ascii="Garamond" w:hAnsi="Garamond"/>
                <w:lang w:val="en-AU"/>
              </w:rPr>
            </w:pPr>
            <w:r w:rsidRPr="00787037">
              <w:rPr>
                <w:rFonts w:ascii="Garamond" w:hAnsi="Garamond"/>
                <w:lang w:val="en-AU"/>
              </w:rPr>
              <w:t xml:space="preserve">It’s Complicated: Patient and Informal Caregiver Performance of </w:t>
            </w:r>
            <w:r w:rsidRPr="00787037">
              <w:rPr>
                <w:rFonts w:ascii="Garamond" w:hAnsi="Garamond"/>
                <w:b/>
                <w:lang w:val="en-AU"/>
              </w:rPr>
              <w:t>Outpatient Parenteral Antimicrobial Therapy-Related Tasks</w:t>
            </w:r>
            <w:r w:rsidRPr="00787037">
              <w:rPr>
                <w:rFonts w:ascii="Garamond" w:hAnsi="Garamond"/>
                <w:lang w:val="en-AU"/>
              </w:rPr>
              <w:t xml:space="preserve"> (Sara C Keller, Sara E Cosgrove, A I Arbaje, R H Chang, A Krosche, D Williams, and A P Gurses</w:t>
            </w:r>
            <w:r>
              <w:rPr>
                <w:rFonts w:ascii="Garamond" w:hAnsi="Garamond"/>
                <w:lang w:val="en-AU"/>
              </w:rPr>
              <w:t>)</w:t>
            </w:r>
          </w:p>
          <w:p w:rsidR="00787037" w:rsidRDefault="00787037" w:rsidP="00535D0F">
            <w:pPr>
              <w:pStyle w:val="ListParagraph"/>
              <w:numPr>
                <w:ilvl w:val="0"/>
                <w:numId w:val="15"/>
              </w:numPr>
              <w:rPr>
                <w:rFonts w:ascii="Garamond" w:hAnsi="Garamond"/>
                <w:lang w:val="en-AU"/>
              </w:rPr>
            </w:pPr>
            <w:r w:rsidRPr="00787037">
              <w:rPr>
                <w:rFonts w:ascii="Garamond" w:hAnsi="Garamond"/>
                <w:lang w:val="en-AU"/>
              </w:rPr>
              <w:t xml:space="preserve">Using </w:t>
            </w:r>
            <w:r w:rsidRPr="00787037">
              <w:rPr>
                <w:rFonts w:ascii="Garamond" w:hAnsi="Garamond"/>
                <w:b/>
                <w:lang w:val="en-AU"/>
              </w:rPr>
              <w:t>Safety Barrier Analysis</w:t>
            </w:r>
            <w:r w:rsidRPr="00787037">
              <w:rPr>
                <w:rFonts w:ascii="Garamond" w:hAnsi="Garamond"/>
                <w:lang w:val="en-AU"/>
              </w:rPr>
              <w:t xml:space="preserve"> to Facilitate Quality Improvement in Health Care: Improving Venous Thromboembolism Prophylaxis as a Proof of Concept (Carlton Moore, G C Coleman, J Chang, M Nagle, and M-B Sten</w:t>
            </w:r>
            <w:r>
              <w:rPr>
                <w:rFonts w:ascii="Garamond" w:hAnsi="Garamond"/>
                <w:lang w:val="en-AU"/>
              </w:rPr>
              <w:t>)</w:t>
            </w:r>
          </w:p>
          <w:p w:rsidR="00787037" w:rsidRDefault="00787037" w:rsidP="00942274">
            <w:pPr>
              <w:pStyle w:val="ListParagraph"/>
              <w:numPr>
                <w:ilvl w:val="0"/>
                <w:numId w:val="15"/>
              </w:numPr>
              <w:rPr>
                <w:rFonts w:ascii="Garamond" w:hAnsi="Garamond"/>
                <w:lang w:val="en-AU"/>
              </w:rPr>
            </w:pPr>
            <w:r w:rsidRPr="00787037">
              <w:rPr>
                <w:rFonts w:ascii="Garamond" w:hAnsi="Garamond"/>
                <w:lang w:val="en-AU"/>
              </w:rPr>
              <w:t xml:space="preserve">A Qualitative Analysis of </w:t>
            </w:r>
            <w:r w:rsidRPr="00787037">
              <w:rPr>
                <w:rFonts w:ascii="Garamond" w:hAnsi="Garamond"/>
                <w:b/>
                <w:lang w:val="en-AU"/>
              </w:rPr>
              <w:t>Resident Adverse Event Reporting</w:t>
            </w:r>
            <w:r w:rsidRPr="00787037">
              <w:rPr>
                <w:rFonts w:ascii="Garamond" w:hAnsi="Garamond"/>
                <w:lang w:val="en-AU"/>
              </w:rPr>
              <w:t>: What’s Holding Us Back (J</w:t>
            </w:r>
            <w:r>
              <w:rPr>
                <w:rFonts w:ascii="Garamond" w:hAnsi="Garamond"/>
                <w:lang w:val="en-AU"/>
              </w:rPr>
              <w:t>ohn Szymusiak, Thomas J</w:t>
            </w:r>
            <w:r w:rsidRPr="00787037">
              <w:rPr>
                <w:rFonts w:ascii="Garamond" w:hAnsi="Garamond"/>
                <w:lang w:val="en-AU"/>
              </w:rPr>
              <w:t xml:space="preserve"> Walk, Maggie Benson, Megan Hamm, Susan Zickmund, Alda Maria Gonzaga, and Gregory M Bump</w:t>
            </w:r>
            <w:r>
              <w:rPr>
                <w:rFonts w:ascii="Garamond" w:hAnsi="Garamond"/>
                <w:lang w:val="en-AU"/>
              </w:rPr>
              <w:t>)</w:t>
            </w:r>
          </w:p>
          <w:p w:rsidR="00787037" w:rsidRDefault="00787037" w:rsidP="0079144D">
            <w:pPr>
              <w:pStyle w:val="ListParagraph"/>
              <w:numPr>
                <w:ilvl w:val="0"/>
                <w:numId w:val="15"/>
              </w:numPr>
              <w:rPr>
                <w:rFonts w:ascii="Garamond" w:hAnsi="Garamond"/>
                <w:lang w:val="en-AU"/>
              </w:rPr>
            </w:pPr>
            <w:r w:rsidRPr="00787037">
              <w:rPr>
                <w:rFonts w:ascii="Garamond" w:hAnsi="Garamond"/>
                <w:lang w:val="en-AU"/>
              </w:rPr>
              <w:t xml:space="preserve">Developing and Validating a </w:t>
            </w:r>
            <w:r w:rsidRPr="00787037">
              <w:rPr>
                <w:rFonts w:ascii="Garamond" w:hAnsi="Garamond"/>
                <w:b/>
                <w:lang w:val="en-AU"/>
              </w:rPr>
              <w:t>Pediatric Potentially Avoidable Transfer Quality Metric</w:t>
            </w:r>
            <w:r w:rsidRPr="00787037">
              <w:rPr>
                <w:rFonts w:ascii="Garamond" w:hAnsi="Garamond"/>
                <w:lang w:val="en-AU"/>
              </w:rPr>
              <w:t xml:space="preserve"> (Jennifer L Rosenthal, Oluseun Atolagbe, M Y Hamline, S-T T Li, A Toney, J Witkowski, H McKnight, D J Tancredi, and P S Romano</w:t>
            </w:r>
            <w:r>
              <w:rPr>
                <w:rFonts w:ascii="Garamond" w:hAnsi="Garamond"/>
                <w:lang w:val="en-AU"/>
              </w:rPr>
              <w:t>)</w:t>
            </w:r>
          </w:p>
          <w:p w:rsidR="00787037" w:rsidRDefault="00787037" w:rsidP="00D7355E">
            <w:pPr>
              <w:pStyle w:val="ListParagraph"/>
              <w:numPr>
                <w:ilvl w:val="0"/>
                <w:numId w:val="15"/>
              </w:numPr>
              <w:rPr>
                <w:rFonts w:ascii="Garamond" w:hAnsi="Garamond"/>
                <w:lang w:val="en-AU"/>
              </w:rPr>
            </w:pPr>
            <w:r w:rsidRPr="00787037">
              <w:rPr>
                <w:rFonts w:ascii="Garamond" w:hAnsi="Garamond"/>
                <w:lang w:val="en-AU"/>
              </w:rPr>
              <w:t xml:space="preserve">Experiential Learning Through Local Implementation of a </w:t>
            </w:r>
            <w:r w:rsidRPr="00787037">
              <w:rPr>
                <w:rFonts w:ascii="Garamond" w:hAnsi="Garamond"/>
                <w:b/>
                <w:lang w:val="en-AU"/>
              </w:rPr>
              <w:t>National Chief Resident in Quality and Patient Safety Curriculum</w:t>
            </w:r>
            <w:r w:rsidRPr="00787037">
              <w:rPr>
                <w:rFonts w:ascii="Garamond" w:hAnsi="Garamond"/>
                <w:lang w:val="en-AU"/>
              </w:rPr>
              <w:t xml:space="preserve"> (Matthew V Ronan, Aravind Menon, Lakshman Swamy, and David Thornton</w:t>
            </w:r>
            <w:r>
              <w:rPr>
                <w:rFonts w:ascii="Garamond" w:hAnsi="Garamond"/>
                <w:lang w:val="en-AU"/>
              </w:rPr>
              <w:t>)</w:t>
            </w:r>
          </w:p>
          <w:p w:rsidR="00787037" w:rsidRDefault="00787037" w:rsidP="00594CFD">
            <w:pPr>
              <w:pStyle w:val="ListParagraph"/>
              <w:numPr>
                <w:ilvl w:val="0"/>
                <w:numId w:val="15"/>
              </w:numPr>
              <w:rPr>
                <w:rFonts w:ascii="Garamond" w:hAnsi="Garamond"/>
                <w:lang w:val="en-AU"/>
              </w:rPr>
            </w:pPr>
            <w:r w:rsidRPr="00787037">
              <w:rPr>
                <w:rFonts w:ascii="Garamond" w:hAnsi="Garamond"/>
                <w:lang w:val="en-AU"/>
              </w:rPr>
              <w:t xml:space="preserve">Use of </w:t>
            </w:r>
            <w:r w:rsidRPr="00787037">
              <w:rPr>
                <w:rFonts w:ascii="Garamond" w:hAnsi="Garamond"/>
                <w:b/>
                <w:lang w:val="en-AU"/>
              </w:rPr>
              <w:t>EHR-Based Pediatric Quality Measures</w:t>
            </w:r>
            <w:r w:rsidRPr="00787037">
              <w:rPr>
                <w:rFonts w:ascii="Garamond" w:hAnsi="Garamond"/>
                <w:lang w:val="en-AU"/>
              </w:rPr>
              <w:t>: Views of Health System Leaders and Parents (David M Hartley, Susannah Jonas, Daniel Grossoehme, Amy Kelly, Cassandra Dodds, Shannon M Alford, Elizabeth Shenkman, Jeff Simmons, L Charles Bailey, Hanieh Razzaghi, Levon H Utidjian, Jennifer McCafferty-Fernandez, F S Cole, J Smallwood, L N Werk, and K E Walsh</w:t>
            </w:r>
            <w:r>
              <w:rPr>
                <w:rFonts w:ascii="Garamond" w:hAnsi="Garamond"/>
                <w:lang w:val="en-AU"/>
              </w:rPr>
              <w:t>)</w:t>
            </w:r>
          </w:p>
          <w:p w:rsidR="00787037" w:rsidRDefault="00787037" w:rsidP="00EF7E6B">
            <w:pPr>
              <w:pStyle w:val="ListParagraph"/>
              <w:numPr>
                <w:ilvl w:val="0"/>
                <w:numId w:val="15"/>
              </w:numPr>
              <w:rPr>
                <w:rFonts w:ascii="Garamond" w:hAnsi="Garamond"/>
                <w:lang w:val="en-AU"/>
              </w:rPr>
            </w:pPr>
            <w:r w:rsidRPr="00787037">
              <w:rPr>
                <w:rFonts w:ascii="Garamond" w:hAnsi="Garamond"/>
                <w:lang w:val="en-AU"/>
              </w:rPr>
              <w:t xml:space="preserve">Q-Tip: A </w:t>
            </w:r>
            <w:r w:rsidRPr="00787037">
              <w:rPr>
                <w:rFonts w:ascii="Garamond" w:hAnsi="Garamond"/>
                <w:b/>
                <w:lang w:val="en-AU"/>
              </w:rPr>
              <w:t>Post-Discharge Transition of Care Clinic</w:t>
            </w:r>
            <w:r w:rsidRPr="00787037">
              <w:rPr>
                <w:rFonts w:ascii="Garamond" w:hAnsi="Garamond"/>
                <w:lang w:val="en-AU"/>
              </w:rPr>
              <w:t xml:space="preserve"> and Its Impact on Hospital Readmissions at 30 Days (Michael Baldino, Anne Marie Bonaguro, Sean Burgwardt, Andrea Lombardi, Cagney Cristancho, Chitsimran Mann, David Wright, Christopher Jackson, and Ankur Seth</w:t>
            </w:r>
            <w:r>
              <w:rPr>
                <w:rFonts w:ascii="Garamond" w:hAnsi="Garamond"/>
                <w:lang w:val="en-AU"/>
              </w:rPr>
              <w:t>)</w:t>
            </w:r>
          </w:p>
          <w:p w:rsidR="007922C5" w:rsidRPr="007C3778" w:rsidRDefault="00787037" w:rsidP="00787037">
            <w:pPr>
              <w:pStyle w:val="ListParagraph"/>
              <w:numPr>
                <w:ilvl w:val="0"/>
                <w:numId w:val="15"/>
              </w:numPr>
              <w:rPr>
                <w:rFonts w:ascii="Garamond" w:hAnsi="Garamond"/>
                <w:lang w:val="en-AU"/>
              </w:rPr>
            </w:pPr>
            <w:r w:rsidRPr="00787037">
              <w:rPr>
                <w:rFonts w:ascii="Garamond" w:hAnsi="Garamond"/>
                <w:lang w:val="en-AU"/>
              </w:rPr>
              <w:t xml:space="preserve">Q-Tip: </w:t>
            </w:r>
            <w:r w:rsidRPr="00787037">
              <w:rPr>
                <w:rFonts w:ascii="Garamond" w:hAnsi="Garamond"/>
                <w:b/>
                <w:lang w:val="en-AU"/>
              </w:rPr>
              <w:t>Improving Care for Patients With Diabetes Using a Disease Registry</w:t>
            </w:r>
            <w:r w:rsidRPr="00787037">
              <w:rPr>
                <w:rFonts w:ascii="Garamond" w:hAnsi="Garamond"/>
                <w:lang w:val="en-AU"/>
              </w:rPr>
              <w:t xml:space="preserve"> (Zachary S Williams and Shivajirao P Patil</w:t>
            </w:r>
            <w:r>
              <w:rPr>
                <w:rFonts w:ascii="Garamond" w:hAnsi="Garamond"/>
                <w:lang w:val="en-AU"/>
              </w:rPr>
              <w:t>)</w:t>
            </w:r>
          </w:p>
        </w:tc>
      </w:tr>
    </w:tbl>
    <w:p w:rsidR="000F16E8" w:rsidRDefault="000F16E8" w:rsidP="00B402EF">
      <w:pPr>
        <w:keepNext/>
        <w:rPr>
          <w:rFonts w:ascii="Garamond" w:hAnsi="Garamond"/>
          <w:i/>
          <w:lang w:val="en-AU"/>
        </w:rPr>
      </w:pPr>
    </w:p>
    <w:p w:rsidR="00B9408F" w:rsidRDefault="00B9408F">
      <w:pPr>
        <w:rPr>
          <w:rFonts w:ascii="Garamond" w:hAnsi="Garamond"/>
          <w:i/>
          <w:lang w:val="en-AU"/>
        </w:rPr>
      </w:pPr>
      <w:r>
        <w:rPr>
          <w:rFonts w:ascii="Garamond" w:hAnsi="Garamond"/>
          <w:i/>
          <w:lang w:val="en-AU"/>
        </w:rPr>
        <w:br w:type="page"/>
      </w:r>
    </w:p>
    <w:p w:rsidR="00B402EF" w:rsidRPr="00467B47" w:rsidRDefault="00B402EF" w:rsidP="00B402EF">
      <w:pPr>
        <w:keepNext/>
        <w:rPr>
          <w:rFonts w:ascii="Garamond" w:hAnsi="Garamond"/>
          <w:lang w:val="en-AU"/>
        </w:rPr>
      </w:pPr>
      <w:r w:rsidRPr="00467B47">
        <w:rPr>
          <w:rFonts w:ascii="Garamond" w:hAnsi="Garamond"/>
          <w:i/>
          <w:lang w:val="en-AU"/>
        </w:rPr>
        <w:lastRenderedPageBreak/>
        <w:t xml:space="preserve">BMJ Quality </w:t>
      </w:r>
      <w:r w:rsidR="00964BC8">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B37866" w:rsidP="00B34D6C">
            <w:pPr>
              <w:keepNext/>
              <w:rPr>
                <w:rFonts w:ascii="Garamond" w:hAnsi="Garamond"/>
                <w:lang w:val="en-AU"/>
              </w:rPr>
            </w:pPr>
            <w:hyperlink r:id="rId25"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 xml:space="preserve">BMJ Quality </w:t>
            </w:r>
            <w:r w:rsidR="00964BC8">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4C607E" w:rsidRPr="004C607E" w:rsidRDefault="004C607E" w:rsidP="00A84F3A">
            <w:pPr>
              <w:pStyle w:val="ListParagraph"/>
              <w:numPr>
                <w:ilvl w:val="0"/>
                <w:numId w:val="14"/>
              </w:numPr>
              <w:jc w:val="both"/>
              <w:rPr>
                <w:rFonts w:ascii="Garamond" w:hAnsi="Garamond"/>
                <w:lang w:val="en-AU"/>
              </w:rPr>
            </w:pPr>
            <w:r w:rsidRPr="004C607E">
              <w:rPr>
                <w:rFonts w:ascii="Garamond" w:hAnsi="Garamond"/>
                <w:lang w:val="en-AU"/>
              </w:rPr>
              <w:t>Editorial</w:t>
            </w:r>
            <w:r w:rsidRPr="004C607E">
              <w:rPr>
                <w:rFonts w:ascii="Garamond" w:hAnsi="Garamond"/>
                <w:lang w:val="en-AU"/>
              </w:rPr>
              <w:t xml:space="preserve">: </w:t>
            </w:r>
            <w:r w:rsidRPr="004C607E">
              <w:rPr>
                <w:rFonts w:ascii="Garamond" w:hAnsi="Garamond"/>
                <w:b/>
                <w:lang w:val="en-AU"/>
              </w:rPr>
              <w:t>Social emotion and patient safety</w:t>
            </w:r>
            <w:r w:rsidRPr="004C607E">
              <w:rPr>
                <w:rFonts w:ascii="Garamond" w:hAnsi="Garamond"/>
                <w:lang w:val="en-AU"/>
              </w:rPr>
              <w:t xml:space="preserve">: an important and understudied intersection </w:t>
            </w:r>
            <w:r w:rsidRPr="004C607E">
              <w:rPr>
                <w:rFonts w:ascii="Garamond" w:hAnsi="Garamond"/>
                <w:lang w:val="en-AU"/>
              </w:rPr>
              <w:t>(</w:t>
            </w:r>
            <w:r w:rsidRPr="004C607E">
              <w:rPr>
                <w:rFonts w:ascii="Garamond" w:hAnsi="Garamond"/>
                <w:lang w:val="en-AU"/>
              </w:rPr>
              <w:t>Jane Heyhoe, Rebecca Lawton</w:t>
            </w:r>
            <w:r>
              <w:rPr>
                <w:rFonts w:ascii="Garamond" w:hAnsi="Garamond"/>
                <w:lang w:val="en-AU"/>
              </w:rPr>
              <w:t>)</w:t>
            </w:r>
          </w:p>
          <w:p w:rsidR="004C607E" w:rsidRPr="004C607E" w:rsidRDefault="004C607E" w:rsidP="00741D7F">
            <w:pPr>
              <w:pStyle w:val="ListParagraph"/>
              <w:numPr>
                <w:ilvl w:val="0"/>
                <w:numId w:val="14"/>
              </w:numPr>
              <w:jc w:val="both"/>
              <w:rPr>
                <w:rFonts w:ascii="Garamond" w:hAnsi="Garamond"/>
                <w:lang w:val="en-AU"/>
              </w:rPr>
            </w:pPr>
            <w:r w:rsidRPr="004C607E">
              <w:rPr>
                <w:rFonts w:ascii="Garamond" w:hAnsi="Garamond"/>
                <w:lang w:val="en-AU"/>
              </w:rPr>
              <w:t xml:space="preserve">Evaluation of the impact of an augmented model of The Productive Ward: </w:t>
            </w:r>
            <w:r w:rsidRPr="004C607E">
              <w:rPr>
                <w:rFonts w:ascii="Garamond" w:hAnsi="Garamond"/>
                <w:b/>
                <w:lang w:val="en-AU"/>
              </w:rPr>
              <w:t>Releasing Time to Care on staff and patient outcomes</w:t>
            </w:r>
            <w:r w:rsidRPr="004C607E">
              <w:rPr>
                <w:rFonts w:ascii="Garamond" w:hAnsi="Garamond"/>
                <w:lang w:val="en-AU"/>
              </w:rPr>
              <w:t xml:space="preserve">: a naturalistic stepped-wedge trial </w:t>
            </w:r>
            <w:r w:rsidRPr="004C607E">
              <w:rPr>
                <w:rFonts w:ascii="Garamond" w:hAnsi="Garamond"/>
                <w:lang w:val="en-AU"/>
              </w:rPr>
              <w:t>(</w:t>
            </w:r>
            <w:r w:rsidRPr="004C607E">
              <w:rPr>
                <w:rFonts w:ascii="Garamond" w:hAnsi="Garamond"/>
                <w:lang w:val="en-AU"/>
              </w:rPr>
              <w:t>Brian Williams, Carina Hibberd, Deborah Baldie, Edward A S Duncan, Andrew Elders, Margaret Maxwell, Janice E Rattray, Julie Cowie, Heather Strachan, Martyn C Jones</w:t>
            </w:r>
            <w:r>
              <w:rPr>
                <w:rFonts w:ascii="Garamond" w:hAnsi="Garamond"/>
                <w:lang w:val="en-AU"/>
              </w:rPr>
              <w:t>)</w:t>
            </w:r>
          </w:p>
          <w:p w:rsidR="002A4A0F" w:rsidRPr="00D83413" w:rsidRDefault="004C607E" w:rsidP="004C607E">
            <w:pPr>
              <w:pStyle w:val="ListParagraph"/>
              <w:numPr>
                <w:ilvl w:val="0"/>
                <w:numId w:val="14"/>
              </w:numPr>
              <w:jc w:val="both"/>
              <w:rPr>
                <w:rFonts w:ascii="Garamond" w:hAnsi="Garamond"/>
                <w:lang w:val="en-AU"/>
              </w:rPr>
            </w:pPr>
            <w:r w:rsidRPr="004C607E">
              <w:rPr>
                <w:rFonts w:ascii="Garamond" w:hAnsi="Garamond"/>
                <w:lang w:val="en-AU"/>
              </w:rPr>
              <w:t xml:space="preserve">Costs and consequences of using average demand to plan </w:t>
            </w:r>
            <w:r w:rsidRPr="004C607E">
              <w:rPr>
                <w:rFonts w:ascii="Garamond" w:hAnsi="Garamond"/>
                <w:b/>
                <w:lang w:val="en-AU"/>
              </w:rPr>
              <w:t>baseline nurse staffing levels</w:t>
            </w:r>
            <w:r w:rsidRPr="004C607E">
              <w:rPr>
                <w:rFonts w:ascii="Garamond" w:hAnsi="Garamond"/>
                <w:lang w:val="en-AU"/>
              </w:rPr>
              <w:t xml:space="preserve">: a computer simulation study </w:t>
            </w:r>
            <w:r>
              <w:rPr>
                <w:rFonts w:ascii="Garamond" w:hAnsi="Garamond"/>
                <w:lang w:val="en-AU"/>
              </w:rPr>
              <w:t>(</w:t>
            </w:r>
            <w:r w:rsidRPr="004C607E">
              <w:rPr>
                <w:rFonts w:ascii="Garamond" w:hAnsi="Garamond"/>
                <w:lang w:val="en-AU"/>
              </w:rPr>
              <w:t>Christina Saville, Thomas Monks, Peter Griffiths, Jane Elisabeth Ball</w:t>
            </w:r>
            <w:r>
              <w:rPr>
                <w:rFonts w:ascii="Garamond" w:hAnsi="Garamond"/>
                <w:lang w:val="en-AU"/>
              </w:rPr>
              <w:t>)</w:t>
            </w:r>
          </w:p>
        </w:tc>
      </w:tr>
    </w:tbl>
    <w:p w:rsidR="00B402EF" w:rsidRDefault="00B402EF" w:rsidP="00B402EF">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B37866" w:rsidP="00013842">
            <w:pPr>
              <w:keepNext/>
              <w:rPr>
                <w:rFonts w:ascii="Garamond" w:hAnsi="Garamond"/>
                <w:lang w:val="en-AU"/>
              </w:rPr>
            </w:pPr>
            <w:hyperlink r:id="rId26"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4C607E" w:rsidRPr="004C607E" w:rsidRDefault="004C607E" w:rsidP="004C607E">
            <w:pPr>
              <w:pStyle w:val="ListParagraph"/>
              <w:numPr>
                <w:ilvl w:val="0"/>
                <w:numId w:val="14"/>
              </w:numPr>
              <w:jc w:val="both"/>
              <w:rPr>
                <w:rFonts w:ascii="Garamond" w:hAnsi="Garamond"/>
                <w:lang w:val="en-AU"/>
              </w:rPr>
            </w:pPr>
            <w:r w:rsidRPr="004C607E">
              <w:rPr>
                <w:rFonts w:ascii="Garamond" w:hAnsi="Garamond"/>
                <w:b/>
                <w:lang w:val="en-AU"/>
              </w:rPr>
              <w:t>Implementing and measuring person-centredness</w:t>
            </w:r>
            <w:r w:rsidRPr="004C607E">
              <w:rPr>
                <w:rFonts w:ascii="Garamond" w:hAnsi="Garamond"/>
                <w:lang w:val="en-AU"/>
              </w:rPr>
              <w:t xml:space="preserve"> using an APP for knowledge transfer: the iMPAKT app </w:t>
            </w:r>
            <w:r w:rsidRPr="004C607E">
              <w:rPr>
                <w:rFonts w:ascii="Garamond" w:hAnsi="Garamond"/>
                <w:lang w:val="en-AU"/>
              </w:rPr>
              <w:t>(</w:t>
            </w:r>
            <w:r w:rsidRPr="004C607E">
              <w:rPr>
                <w:rFonts w:ascii="Garamond" w:hAnsi="Garamond"/>
                <w:lang w:val="en-AU"/>
              </w:rPr>
              <w:t>Tanya McCance, Brighide M Lynch, Christine Boomer, Donna Brown, Christopher Nugent</w:t>
            </w:r>
            <w:r>
              <w:rPr>
                <w:rFonts w:ascii="Garamond" w:hAnsi="Garamond"/>
                <w:lang w:val="en-AU"/>
              </w:rPr>
              <w:t xml:space="preserve">, </w:t>
            </w:r>
            <w:r w:rsidRPr="004C607E">
              <w:rPr>
                <w:rFonts w:ascii="Garamond" w:hAnsi="Garamond"/>
                <w:lang w:val="en-AU"/>
              </w:rPr>
              <w:t>Andrew Ennis, Matias Garcia-Constantino, Ian Clelland, Denise Edgar, Emma Radbron, V Wilson</w:t>
            </w:r>
            <w:r>
              <w:rPr>
                <w:rFonts w:ascii="Garamond" w:hAnsi="Garamond"/>
                <w:lang w:val="en-AU"/>
              </w:rPr>
              <w:t>)</w:t>
            </w:r>
          </w:p>
          <w:p w:rsidR="00F91E9D" w:rsidRPr="00721A1B" w:rsidRDefault="004C607E" w:rsidP="004C607E">
            <w:pPr>
              <w:pStyle w:val="ListParagraph"/>
              <w:numPr>
                <w:ilvl w:val="0"/>
                <w:numId w:val="14"/>
              </w:numPr>
              <w:jc w:val="both"/>
              <w:rPr>
                <w:rFonts w:ascii="Garamond" w:hAnsi="Garamond"/>
                <w:lang w:val="en-AU"/>
              </w:rPr>
            </w:pPr>
            <w:r w:rsidRPr="004C607E">
              <w:rPr>
                <w:rFonts w:ascii="Garamond" w:hAnsi="Garamond"/>
                <w:b/>
                <w:lang w:val="en-AU"/>
              </w:rPr>
              <w:t>Patient-reported outcome measures</w:t>
            </w:r>
            <w:r w:rsidRPr="004C607E">
              <w:rPr>
                <w:rFonts w:ascii="Garamond" w:hAnsi="Garamond"/>
                <w:lang w:val="en-AU"/>
              </w:rPr>
              <w:t xml:space="preserve"> for inguinal hernia repair are insufficiently validated: a systematic review </w:t>
            </w:r>
            <w:r>
              <w:rPr>
                <w:rFonts w:ascii="Garamond" w:hAnsi="Garamond"/>
                <w:lang w:val="en-AU"/>
              </w:rPr>
              <w:t>(</w:t>
            </w:r>
            <w:r w:rsidRPr="004C607E">
              <w:rPr>
                <w:rFonts w:ascii="Garamond" w:hAnsi="Garamond"/>
                <w:lang w:val="en-AU"/>
              </w:rPr>
              <w:t>Anders Gram-Hanssen, Anders Tolstrup, Dennis Zetner, Jacob Rosenberg</w:t>
            </w:r>
            <w:r>
              <w:rPr>
                <w:rFonts w:ascii="Garamond" w:hAnsi="Garamond"/>
                <w:lang w:val="en-AU"/>
              </w:rPr>
              <w:t>)</w:t>
            </w:r>
          </w:p>
        </w:tc>
      </w:tr>
    </w:tbl>
    <w:p w:rsidR="00B402EF" w:rsidRDefault="00B402EF" w:rsidP="003F6EE2">
      <w:pPr>
        <w:rPr>
          <w:rFonts w:ascii="Garamond" w:hAnsi="Garamond"/>
          <w:b/>
          <w:lang w:val="en-AU"/>
        </w:rPr>
      </w:pPr>
    </w:p>
    <w:p w:rsidR="00B9408F" w:rsidRDefault="00B9408F" w:rsidP="003F6EE2">
      <w:pPr>
        <w:rPr>
          <w:rFonts w:ascii="Garamond" w:hAnsi="Garamond"/>
          <w:b/>
          <w:lang w:val="en-AU"/>
        </w:rPr>
      </w:pPr>
    </w:p>
    <w:p w:rsidR="00B9408F" w:rsidRDefault="00B9408F" w:rsidP="003F6EE2">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B37866" w:rsidP="00824A93">
      <w:pPr>
        <w:keepNext/>
        <w:keepLines/>
        <w:rPr>
          <w:rFonts w:ascii="Garamond" w:hAnsi="Garamond"/>
          <w:u w:val="single"/>
          <w:lang w:val="en-AU"/>
        </w:rPr>
      </w:pPr>
      <w:hyperlink r:id="rId27"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4C607E" w:rsidRDefault="004C607E" w:rsidP="004C607E">
      <w:pPr>
        <w:pStyle w:val="ListParagraph"/>
        <w:keepNext/>
        <w:keepLines/>
        <w:numPr>
          <w:ilvl w:val="0"/>
          <w:numId w:val="14"/>
        </w:numPr>
        <w:rPr>
          <w:rFonts w:ascii="Garamond" w:hAnsi="Garamond"/>
          <w:lang w:val="en-AU"/>
        </w:rPr>
      </w:pPr>
      <w:r>
        <w:rPr>
          <w:rFonts w:ascii="Garamond" w:hAnsi="Garamond"/>
          <w:lang w:val="en-AU"/>
        </w:rPr>
        <w:t xml:space="preserve">NICE Guideline NG158 </w:t>
      </w:r>
      <w:r w:rsidRPr="004C607E">
        <w:rPr>
          <w:rFonts w:ascii="Garamond" w:hAnsi="Garamond"/>
          <w:b/>
          <w:i/>
          <w:lang w:val="en-AU"/>
        </w:rPr>
        <w:t>Venous thromboembolic diseases</w:t>
      </w:r>
      <w:r w:rsidRPr="004C607E">
        <w:rPr>
          <w:rFonts w:ascii="Garamond" w:hAnsi="Garamond"/>
          <w:i/>
          <w:lang w:val="en-AU"/>
        </w:rPr>
        <w:t>: diagnosis, management and thrombophilia testing</w:t>
      </w:r>
      <w:r>
        <w:rPr>
          <w:rFonts w:ascii="Garamond" w:hAnsi="Garamond"/>
          <w:lang w:val="en-AU"/>
        </w:rPr>
        <w:t xml:space="preserve"> </w:t>
      </w:r>
      <w:hyperlink r:id="rId28" w:history="1">
        <w:r w:rsidRPr="00F83E7B">
          <w:rPr>
            <w:rStyle w:val="Hyperlink"/>
            <w:rFonts w:ascii="Garamond" w:hAnsi="Garamond"/>
            <w:lang w:val="en-AU"/>
          </w:rPr>
          <w:t>https://www.nice.org.uk/guidance/ng158</w:t>
        </w:r>
      </w:hyperlink>
    </w:p>
    <w:p w:rsidR="003A2B42" w:rsidRDefault="003A2B42" w:rsidP="003A2B42">
      <w:pPr>
        <w:pStyle w:val="ListParagraph"/>
        <w:keepNext/>
        <w:keepLines/>
        <w:numPr>
          <w:ilvl w:val="0"/>
          <w:numId w:val="14"/>
        </w:numPr>
        <w:rPr>
          <w:rFonts w:ascii="Garamond" w:hAnsi="Garamond"/>
          <w:lang w:val="en-AU"/>
        </w:rPr>
      </w:pPr>
      <w:r>
        <w:rPr>
          <w:rFonts w:ascii="Garamond" w:hAnsi="Garamond"/>
          <w:lang w:val="en-AU"/>
        </w:rPr>
        <w:t xml:space="preserve">NICE Guideline NG159 </w:t>
      </w:r>
      <w:r w:rsidRPr="003A2B42">
        <w:rPr>
          <w:rFonts w:ascii="Garamond" w:hAnsi="Garamond"/>
          <w:b/>
          <w:i/>
          <w:lang w:val="en-AU"/>
        </w:rPr>
        <w:t>COVID-19</w:t>
      </w:r>
      <w:r w:rsidRPr="003A2B42">
        <w:rPr>
          <w:rFonts w:ascii="Garamond" w:hAnsi="Garamond"/>
          <w:i/>
          <w:lang w:val="en-AU"/>
        </w:rPr>
        <w:t xml:space="preserve"> rapid guideline: </w:t>
      </w:r>
      <w:r w:rsidRPr="003A2B42">
        <w:rPr>
          <w:rFonts w:ascii="Garamond" w:hAnsi="Garamond"/>
          <w:b/>
          <w:i/>
          <w:lang w:val="en-AU"/>
        </w:rPr>
        <w:t>critical care</w:t>
      </w:r>
      <w:r w:rsidRPr="003A2B42">
        <w:rPr>
          <w:rFonts w:ascii="Garamond" w:hAnsi="Garamond"/>
          <w:i/>
          <w:lang w:val="en-AU"/>
        </w:rPr>
        <w:t xml:space="preserve"> </w:t>
      </w:r>
      <w:hyperlink r:id="rId29" w:history="1">
        <w:r w:rsidRPr="00DF3211">
          <w:rPr>
            <w:rStyle w:val="Hyperlink"/>
            <w:rFonts w:ascii="Garamond" w:hAnsi="Garamond"/>
            <w:lang w:val="en-AU"/>
          </w:rPr>
          <w:t>https://www.nice.org.uk/guidance/ng159</w:t>
        </w:r>
      </w:hyperlink>
    </w:p>
    <w:p w:rsidR="003A2B42" w:rsidRDefault="003A2B42" w:rsidP="003A2B42">
      <w:pPr>
        <w:pStyle w:val="ListParagraph"/>
        <w:keepNext/>
        <w:keepLines/>
        <w:numPr>
          <w:ilvl w:val="0"/>
          <w:numId w:val="14"/>
        </w:numPr>
        <w:rPr>
          <w:rFonts w:ascii="Garamond" w:hAnsi="Garamond"/>
          <w:lang w:val="en-AU"/>
        </w:rPr>
      </w:pPr>
      <w:r>
        <w:rPr>
          <w:rFonts w:ascii="Garamond" w:hAnsi="Garamond"/>
          <w:lang w:val="en-AU"/>
        </w:rPr>
        <w:t xml:space="preserve">NICE Guideline NG160 </w:t>
      </w:r>
      <w:r w:rsidRPr="003A2B42">
        <w:rPr>
          <w:rFonts w:ascii="Garamond" w:hAnsi="Garamond"/>
          <w:b/>
          <w:i/>
          <w:lang w:val="en-AU"/>
        </w:rPr>
        <w:t>COVID-19</w:t>
      </w:r>
      <w:r w:rsidRPr="003A2B42">
        <w:rPr>
          <w:rFonts w:ascii="Garamond" w:hAnsi="Garamond"/>
          <w:i/>
          <w:lang w:val="en-AU"/>
        </w:rPr>
        <w:t xml:space="preserve"> rapid guideline: </w:t>
      </w:r>
      <w:r w:rsidRPr="003A2B42">
        <w:rPr>
          <w:rFonts w:ascii="Garamond" w:hAnsi="Garamond"/>
          <w:b/>
          <w:i/>
          <w:lang w:val="en-AU"/>
        </w:rPr>
        <w:t>dialysis</w:t>
      </w:r>
      <w:r w:rsidRPr="003A2B42">
        <w:rPr>
          <w:rFonts w:ascii="Garamond" w:hAnsi="Garamond"/>
          <w:i/>
          <w:lang w:val="en-AU"/>
        </w:rPr>
        <w:t xml:space="preserve"> service delivery </w:t>
      </w:r>
      <w:hyperlink r:id="rId30" w:history="1">
        <w:r w:rsidRPr="00DF3211">
          <w:rPr>
            <w:rStyle w:val="Hyperlink"/>
            <w:rFonts w:ascii="Garamond" w:hAnsi="Garamond"/>
            <w:lang w:val="en-AU"/>
          </w:rPr>
          <w:t>https://www.nice.org.uk/guidance/ng160</w:t>
        </w:r>
      </w:hyperlink>
    </w:p>
    <w:p w:rsidR="000F16E8" w:rsidRDefault="00352952" w:rsidP="003A2B42">
      <w:pPr>
        <w:pStyle w:val="ListParagraph"/>
        <w:keepNext/>
        <w:keepLines/>
        <w:numPr>
          <w:ilvl w:val="0"/>
          <w:numId w:val="14"/>
        </w:numPr>
        <w:rPr>
          <w:rFonts w:ascii="Garamond" w:hAnsi="Garamond"/>
          <w:lang w:val="en-AU"/>
        </w:rPr>
      </w:pPr>
      <w:r>
        <w:rPr>
          <w:rFonts w:ascii="Garamond" w:hAnsi="Garamond"/>
          <w:lang w:val="en-AU"/>
        </w:rPr>
        <w:t>NICE Guideline NG</w:t>
      </w:r>
      <w:r w:rsidR="005454B1">
        <w:rPr>
          <w:rFonts w:ascii="Garamond" w:hAnsi="Garamond"/>
          <w:lang w:val="en-AU"/>
        </w:rPr>
        <w:t>1</w:t>
      </w:r>
      <w:r w:rsidR="003A2B42">
        <w:rPr>
          <w:rFonts w:ascii="Garamond" w:hAnsi="Garamond"/>
          <w:lang w:val="en-AU"/>
        </w:rPr>
        <w:t>61</w:t>
      </w:r>
      <w:r w:rsidR="005454B1">
        <w:rPr>
          <w:rFonts w:ascii="Garamond" w:hAnsi="Garamond"/>
          <w:lang w:val="en-AU"/>
        </w:rPr>
        <w:t xml:space="preserve"> </w:t>
      </w:r>
      <w:r w:rsidR="003A2B42" w:rsidRPr="003A2B42">
        <w:rPr>
          <w:rFonts w:ascii="Garamond" w:hAnsi="Garamond"/>
          <w:b/>
          <w:i/>
          <w:lang w:val="en-AU"/>
        </w:rPr>
        <w:t>COVID-19</w:t>
      </w:r>
      <w:r w:rsidR="003A2B42" w:rsidRPr="003A2B42">
        <w:rPr>
          <w:rFonts w:ascii="Garamond" w:hAnsi="Garamond"/>
          <w:i/>
          <w:lang w:val="en-AU"/>
        </w:rPr>
        <w:t xml:space="preserve"> rapid guideline: delivery of </w:t>
      </w:r>
      <w:r w:rsidR="003A2B42" w:rsidRPr="003A2B42">
        <w:rPr>
          <w:rFonts w:ascii="Garamond" w:hAnsi="Garamond"/>
          <w:b/>
          <w:i/>
          <w:lang w:val="en-AU"/>
        </w:rPr>
        <w:t>systemic anticancer treatments</w:t>
      </w:r>
      <w:r w:rsidR="003A2B42" w:rsidRPr="003A2B42">
        <w:rPr>
          <w:rFonts w:ascii="Garamond" w:hAnsi="Garamond"/>
          <w:i/>
          <w:lang w:val="en-AU"/>
        </w:rPr>
        <w:t xml:space="preserve"> </w:t>
      </w:r>
      <w:hyperlink r:id="rId31" w:history="1">
        <w:r w:rsidR="003A2B42" w:rsidRPr="00DF3211">
          <w:rPr>
            <w:rStyle w:val="Hyperlink"/>
            <w:rFonts w:ascii="Garamond" w:hAnsi="Garamond"/>
            <w:lang w:val="en-AU"/>
          </w:rPr>
          <w:t>https://www.nice.org.uk/guidance/ng161</w:t>
        </w:r>
      </w:hyperlink>
    </w:p>
    <w:p w:rsidR="00352952" w:rsidRDefault="00352952" w:rsidP="003F6EE2">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37866">
      <w:rPr>
        <w:rStyle w:val="PageNumber"/>
        <w:noProof/>
      </w:rPr>
      <w:t>2</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3A2B42">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37866">
      <w:rPr>
        <w:rStyle w:val="PageNumber"/>
        <w:rFonts w:ascii="Garamond" w:hAnsi="Garamond"/>
        <w:noProof/>
      </w:rPr>
      <w:t>1</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3A2B42">
      <w:rPr>
        <w:rFonts w:ascii="Garamond" w:hAnsi="Garamond"/>
      </w:rPr>
      <w:t>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F63F5"/>
    <w:multiLevelType w:val="hybridMultilevel"/>
    <w:tmpl w:val="F046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1"/>
  </w:num>
  <w:num w:numId="16">
    <w:abstractNumId w:val="10"/>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B42"/>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32"/>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3409"/>
    <o:shapelayout v:ext="edit">
      <o:idmap v:ext="edit" data="1"/>
    </o:shapelayout>
  </w:shapeDefaults>
  <w:decimalSymbol w:val="."/>
  <w:listSeparator w:val=","/>
  <w14:docId w14:val="217E0155"/>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EA"/>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partnering-consumers" TargetMode="External"/><Relationship Id="rId26" Type="http://schemas.openxmlformats.org/officeDocument/2006/relationships/hyperlink" Target="https://academic.oup.com/intqhc/advance-articles" TargetMode="External"/><Relationship Id="rId3" Type="http://schemas.openxmlformats.org/officeDocument/2006/relationships/styles" Target="styles.xml"/><Relationship Id="rId21" Type="http://schemas.openxmlformats.org/officeDocument/2006/relationships/hyperlink" Target="https://doi.org/10.1016/j.ijom.2019.09.0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11/hex.13050" TargetMode="External"/><Relationship Id="rId25" Type="http://schemas.openxmlformats.org/officeDocument/2006/relationships/hyperlink" Target="https://qualitysafety.bmj.com/content/early/recen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11/1742-6723.13500" TargetMode="External"/><Relationship Id="rId20" Type="http://schemas.openxmlformats.org/officeDocument/2006/relationships/hyperlink" Target="https://www.safetyandquality.gov.au/our-work/communicating-safety" TargetMode="External"/><Relationship Id="rId29" Type="http://schemas.openxmlformats.org/officeDocument/2006/relationships/hyperlink" Target="https://www.nice.org.uk/guidance/ng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sagepub.com/toc/ajmb/35/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hha.asn.au/publication/health-policy-issue-briefs/deeble-issues-brief-no-34-can-value-based-health-care-support" TargetMode="External"/><Relationship Id="rId23" Type="http://schemas.openxmlformats.org/officeDocument/2006/relationships/hyperlink" Target="https://doi.org/10.1002/aorn.12960" TargetMode="External"/><Relationship Id="rId28" Type="http://schemas.openxmlformats.org/officeDocument/2006/relationships/hyperlink" Target="https://www.nice.org.uk/guidance/ng158"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136/bmj.m1035" TargetMode="External"/><Relationship Id="rId31" Type="http://schemas.openxmlformats.org/officeDocument/2006/relationships/hyperlink" Target="https://www.nice.org.uk/guidance/ng161"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medication-safety" TargetMode="External"/><Relationship Id="rId27" Type="http://schemas.openxmlformats.org/officeDocument/2006/relationships/hyperlink" Target="https://www.nice.org.uk/guidance" TargetMode="External"/><Relationship Id="rId30" Type="http://schemas.openxmlformats.org/officeDocument/2006/relationships/hyperlink" Target="https://www.nice.org.uk/guidance/ng16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DC10-BD92-4B4D-91F5-EEDC7729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On the Radar Issue 457</vt:lpstr>
    </vt:vector>
  </TitlesOfParts>
  <Company>ACSQHC</Company>
  <LinksUpToDate>false</LinksUpToDate>
  <CharactersWithSpaces>14930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457</dc:title>
  <dc:subject/>
  <dc:creator>Dr Niall Johnson</dc:creator>
  <cp:keywords/>
  <dc:description/>
  <cp:lastModifiedBy>Johnson, Niall</cp:lastModifiedBy>
  <cp:revision>19</cp:revision>
  <cp:lastPrinted>2018-03-02T02:34:00Z</cp:lastPrinted>
  <dcterms:created xsi:type="dcterms:W3CDTF">2020-03-22T21:56:00Z</dcterms:created>
  <dcterms:modified xsi:type="dcterms:W3CDTF">2020-03-27T03:11:00Z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