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990D34" w14:textId="795CDA23" w:rsidR="00B93CD5" w:rsidRPr="00B93CD5" w:rsidRDefault="0036588B" w:rsidP="00E604B3">
      <w:pPr>
        <w:pStyle w:val="Subheading"/>
        <w:spacing w:before="120" w:after="0"/>
        <w:jc w:val="right"/>
        <w:rPr>
          <w:color w:val="000000" w:themeColor="text1"/>
          <w:sz w:val="24"/>
          <w:lang w:val="en-US"/>
        </w:rPr>
      </w:pPr>
      <w:bookmarkStart w:id="0" w:name="_Toc476822632"/>
      <w:bookmarkStart w:id="1" w:name="_Toc476822653"/>
      <w:r>
        <w:rPr>
          <w:color w:val="000000" w:themeColor="text1"/>
          <w:sz w:val="24"/>
          <w:lang w:val="en-US"/>
        </w:rPr>
        <w:t>FACT SHEET</w:t>
      </w:r>
      <w:r w:rsidR="00B93CD5" w:rsidRPr="00B93CD5">
        <w:rPr>
          <w:color w:val="000000" w:themeColor="text1"/>
          <w:sz w:val="24"/>
          <w:lang w:val="en-US"/>
        </w:rPr>
        <w:t xml:space="preserve"> </w:t>
      </w:r>
    </w:p>
    <w:p w14:paraId="1F86D526" w14:textId="709C4E71" w:rsidR="00F931D3" w:rsidRPr="00F931D3" w:rsidRDefault="00B93CD5" w:rsidP="00FB6425">
      <w:pPr>
        <w:pStyle w:val="Subheading"/>
        <w:spacing w:before="0" w:after="240"/>
        <w:jc w:val="right"/>
        <w:rPr>
          <w:color w:val="000000" w:themeColor="text1"/>
          <w:sz w:val="24"/>
        </w:rPr>
      </w:pPr>
      <w:proofErr w:type="gramStart"/>
      <w:r w:rsidRPr="00B93CD5">
        <w:rPr>
          <w:color w:val="000000" w:themeColor="text1"/>
          <w:sz w:val="24"/>
          <w:lang w:val="en-US"/>
        </w:rPr>
        <w:t>for</w:t>
      </w:r>
      <w:proofErr w:type="gramEnd"/>
      <w:r w:rsidRPr="00B93CD5">
        <w:rPr>
          <w:color w:val="000000" w:themeColor="text1"/>
          <w:sz w:val="24"/>
          <w:lang w:val="en-US"/>
        </w:rPr>
        <w:t xml:space="preserve"> health service organisations</w:t>
      </w:r>
    </w:p>
    <w:bookmarkEnd w:id="0"/>
    <w:bookmarkEnd w:id="1"/>
    <w:p w14:paraId="2B493F60" w14:textId="77777777" w:rsidR="0036588B" w:rsidRDefault="0036588B" w:rsidP="00E604B3">
      <w:pPr>
        <w:pStyle w:val="Title"/>
        <w:spacing w:after="120"/>
      </w:pPr>
      <w:r>
        <w:t>National tall man lettering:</w:t>
      </w:r>
    </w:p>
    <w:p w14:paraId="34111E84" w14:textId="77777777" w:rsidR="0036588B" w:rsidRDefault="0036588B" w:rsidP="00E604B3">
      <w:pPr>
        <w:pStyle w:val="Heading1"/>
        <w:spacing w:before="120"/>
      </w:pPr>
      <w:r>
        <w:t>Supplementary list of specialised medicines with suffix ‘</w:t>
      </w:r>
      <w:proofErr w:type="spellStart"/>
      <w:r>
        <w:t>mab</w:t>
      </w:r>
      <w:proofErr w:type="spellEnd"/>
      <w:r>
        <w:t>’, ‘nib’ and ‘</w:t>
      </w:r>
      <w:proofErr w:type="spellStart"/>
      <w:r>
        <w:t>gib</w:t>
      </w:r>
      <w:proofErr w:type="spellEnd"/>
      <w:r>
        <w:t>’</w:t>
      </w:r>
    </w:p>
    <w:p w14:paraId="0FCC833A" w14:textId="77777777" w:rsidR="0036588B" w:rsidRDefault="0036588B" w:rsidP="0036588B">
      <w:r>
        <w:t xml:space="preserve">The Australian Commission on Safety and Quality in Health Care (the Commission) is an Australian Government agency that leads and coordinates national improvements in the safety and quality of health care based on the best available evidence. By working in partnership with patients, carers, clinicians, the Australian state and territory health systems, the private sector, managers and healthcare organisations, the Commission aims to ensure that the health system is better informed, supported and organised to deliver safe and high-quality care. </w:t>
      </w:r>
    </w:p>
    <w:p w14:paraId="33D2F04F" w14:textId="77777777" w:rsidR="0036588B" w:rsidRDefault="0036588B" w:rsidP="0036588B">
      <w:r>
        <w:t xml:space="preserve">The Commission is responsible for the development and stewardship of the </w:t>
      </w:r>
      <w:hyperlink r:id="rId8" w:history="1">
        <w:r w:rsidRPr="0036588B">
          <w:rPr>
            <w:rStyle w:val="Hyperlink"/>
          </w:rPr>
          <w:t>National Tall Man Lettering List</w:t>
        </w:r>
      </w:hyperlink>
      <w:r>
        <w:t xml:space="preserve"> (the List).</w:t>
      </w:r>
      <w:r>
        <w:rPr>
          <w:rStyle w:val="Superscript"/>
        </w:rPr>
        <w:t>1</w:t>
      </w:r>
      <w:r>
        <w:t xml:space="preserve"> The List compiles look-alike sound-alike (LASA) medicine names (generic and brand name pairs) that have been predicted to pose the greatest risks to patient safety. The List shows LASA medicine names in pairs or groups. </w:t>
      </w:r>
    </w:p>
    <w:p w14:paraId="3E59CEEE" w14:textId="77777777" w:rsidR="0036588B" w:rsidRDefault="0036588B" w:rsidP="0036588B">
      <w:pPr>
        <w:pStyle w:val="Heading2"/>
      </w:pPr>
      <w:r>
        <w:t>Tall man lettering</w:t>
      </w:r>
    </w:p>
    <w:p w14:paraId="16645E33" w14:textId="77777777" w:rsidR="0036588B" w:rsidRDefault="0036588B" w:rsidP="0036588B">
      <w:r>
        <w:t>Tall man lettering is a typographic technique that uses selective capitalisation to help make similar looking medicine names more easily distinguishable.</w:t>
      </w:r>
      <w:r>
        <w:rPr>
          <w:rStyle w:val="Superscript"/>
        </w:rPr>
        <w:t>2,3,4</w:t>
      </w:r>
      <w:r>
        <w:t xml:space="preserve"> It uses a combination of lower- and upper-case letters to highlight differences. For example: </w:t>
      </w:r>
    </w:p>
    <w:p w14:paraId="237E86EC" w14:textId="77777777" w:rsidR="0036588B" w:rsidRDefault="0036588B" w:rsidP="0036588B">
      <w:pPr>
        <w:ind w:right="57"/>
        <w:jc w:val="center"/>
      </w:pPr>
      <w:proofErr w:type="spellStart"/>
      <w:proofErr w:type="gramStart"/>
      <w:r>
        <w:t>oBINUTUZumab</w:t>
      </w:r>
      <w:proofErr w:type="spellEnd"/>
      <w:proofErr w:type="gramEnd"/>
      <w:r>
        <w:t xml:space="preserve"> and </w:t>
      </w:r>
      <w:proofErr w:type="spellStart"/>
      <w:r>
        <w:t>oFATUMumab</w:t>
      </w:r>
      <w:proofErr w:type="spellEnd"/>
    </w:p>
    <w:p w14:paraId="480ACEA5" w14:textId="77777777" w:rsidR="0036588B" w:rsidRDefault="0036588B" w:rsidP="0036588B">
      <w:r>
        <w:t>Research based on experimental psychology suggests that Tall man lettering purposely disrupts the reading of a medicine name, drawing attention to one or more differentiating syllables, and potentially preventing erroneous selection of a medicine with a similar name.</w:t>
      </w:r>
    </w:p>
    <w:p w14:paraId="61A671A5" w14:textId="77777777" w:rsidR="0036588B" w:rsidRDefault="0036588B" w:rsidP="0036588B">
      <w:r>
        <w:t>The Institute for Safe Medication Practices (ISMP), the International Medication Safety Network (IMSN), the World Health Organization (WHO) and many other organisations have recommended Tall man lettering as a strategy to minimise risk associated with LASA medicine name pairs.</w:t>
      </w:r>
      <w:r>
        <w:rPr>
          <w:rStyle w:val="Superscript"/>
        </w:rPr>
        <w:t>5</w:t>
      </w:r>
      <w:proofErr w:type="gramStart"/>
      <w:r>
        <w:rPr>
          <w:rStyle w:val="Superscript"/>
        </w:rPr>
        <w:t>,6,7,8,9</w:t>
      </w:r>
      <w:proofErr w:type="gramEnd"/>
    </w:p>
    <w:p w14:paraId="4962C1C0" w14:textId="77777777" w:rsidR="0036588B" w:rsidRDefault="0036588B" w:rsidP="0036588B">
      <w:r>
        <w:t xml:space="preserve">This fact sheet contains a supplementary list of specialised medicines to the </w:t>
      </w:r>
      <w:r>
        <w:rPr>
          <w:rFonts w:ascii="Arial-ItalicMT" w:hAnsi="Arial-ItalicMT" w:cs="Arial-ItalicMT"/>
          <w:i/>
          <w:iCs/>
        </w:rPr>
        <w:t>National Tall Man Lettering List</w:t>
      </w:r>
      <w:r>
        <w:t xml:space="preserve"> published in 2017. The medicine names have Tall man lettering applied to them consistent with the national convention and should be used in the form provided.</w:t>
      </w:r>
    </w:p>
    <w:p w14:paraId="6CAFB16C" w14:textId="77777777" w:rsidR="0036588B" w:rsidRDefault="0036588B" w:rsidP="0036588B">
      <w:r>
        <w:t>The supplementary list of specialised medicines contained within this fact sheet, has been produced by the Commission based on the changes to the Australian Register of Therapeutic Goods since 2017, in particular, the multitude of medicine names with the suffixes: ‘</w:t>
      </w:r>
      <w:proofErr w:type="spellStart"/>
      <w:r>
        <w:t>mab</w:t>
      </w:r>
      <w:proofErr w:type="spellEnd"/>
      <w:r>
        <w:t>’; ‘nib’ and ‘</w:t>
      </w:r>
      <w:proofErr w:type="spellStart"/>
      <w:r>
        <w:t>gib</w:t>
      </w:r>
      <w:proofErr w:type="spellEnd"/>
      <w:r>
        <w:t xml:space="preserve">’, and their potential for confusion. </w:t>
      </w:r>
    </w:p>
    <w:p w14:paraId="2B3671CC" w14:textId="77777777" w:rsidR="0036588B" w:rsidRDefault="0036588B" w:rsidP="0036588B">
      <w:r>
        <w:t xml:space="preserve">Consideration was also given to </w:t>
      </w:r>
      <w:r w:rsidRPr="0036588B">
        <w:t>changes</w:t>
      </w:r>
      <w:r>
        <w:t xml:space="preserve"> to Tall man lettering lists published by other countries (United Kingdom,</w:t>
      </w:r>
      <w:r>
        <w:rPr>
          <w:rStyle w:val="Superscript"/>
        </w:rPr>
        <w:t>10</w:t>
      </w:r>
      <w:r>
        <w:t xml:space="preserve"> United States</w:t>
      </w:r>
      <w:r>
        <w:rPr>
          <w:rStyle w:val="Superscript"/>
        </w:rPr>
        <w:t>11</w:t>
      </w:r>
      <w:r>
        <w:t xml:space="preserve"> and Canada,</w:t>
      </w:r>
      <w:r>
        <w:rPr>
          <w:rStyle w:val="Superscript"/>
        </w:rPr>
        <w:t>5,12</w:t>
      </w:r>
      <w:r>
        <w:t xml:space="preserve"> along with reported adverse incidents or near misses from Australian hospital networks involving the following classes of immuno-modulating medicines:</w:t>
      </w:r>
    </w:p>
    <w:p w14:paraId="62B878CC" w14:textId="77777777" w:rsidR="0036588B" w:rsidRDefault="0036588B" w:rsidP="0036588B">
      <w:pPr>
        <w:pStyle w:val="ListParagraph"/>
        <w:numPr>
          <w:ilvl w:val="0"/>
          <w:numId w:val="18"/>
        </w:numPr>
      </w:pPr>
      <w:r>
        <w:t>Monoclonal antibodies (MABs) (commonly ending in the suffix ‘</w:t>
      </w:r>
      <w:proofErr w:type="spellStart"/>
      <w:r>
        <w:t>mab</w:t>
      </w:r>
      <w:proofErr w:type="spellEnd"/>
      <w:r>
        <w:t>’)</w:t>
      </w:r>
    </w:p>
    <w:p w14:paraId="59FF1435" w14:textId="77777777" w:rsidR="0036588B" w:rsidRDefault="0036588B" w:rsidP="0036588B">
      <w:pPr>
        <w:pStyle w:val="ListParagraph"/>
        <w:numPr>
          <w:ilvl w:val="0"/>
          <w:numId w:val="18"/>
        </w:numPr>
      </w:pPr>
      <w:r>
        <w:t>Tyrosine kinase (factor) inhibitors (TKIs) (commonly ending in the suffix ‘nib’).</w:t>
      </w:r>
    </w:p>
    <w:p w14:paraId="29B716E3" w14:textId="77777777" w:rsidR="0036588B" w:rsidRDefault="0036588B" w:rsidP="0036588B">
      <w:pPr>
        <w:pStyle w:val="Heading2"/>
      </w:pPr>
      <w:r>
        <w:lastRenderedPageBreak/>
        <w:t>Background</w:t>
      </w:r>
    </w:p>
    <w:p w14:paraId="6FF5CFF0" w14:textId="77777777" w:rsidR="0036588B" w:rsidRDefault="0036588B" w:rsidP="0036588B">
      <w:r>
        <w:t>Medication errors are one of the most commonly reported clinical incidents in acute healthcare settings. While rates of serious harm are low, the prevalence of medication errors is a concern, particularly as many are preventable. Medication incidents related to LASA medicine names are one of the most common type of medication error.</w:t>
      </w:r>
      <w:r>
        <w:rPr>
          <w:rStyle w:val="Superscript"/>
        </w:rPr>
        <w:t>6</w:t>
      </w:r>
      <w:proofErr w:type="gramStart"/>
      <w:r>
        <w:rPr>
          <w:rStyle w:val="Superscript"/>
        </w:rPr>
        <w:t>,13,14</w:t>
      </w:r>
      <w:proofErr w:type="gramEnd"/>
    </w:p>
    <w:p w14:paraId="44372359" w14:textId="77777777" w:rsidR="0036588B" w:rsidRDefault="0036588B" w:rsidP="0036588B">
      <w:r>
        <w:t>This supplementary list includes a prioritised selection of thirty one (31) LASA medicine name pairs and trios within the MABs (with the suffix ‘</w:t>
      </w:r>
      <w:proofErr w:type="spellStart"/>
      <w:r>
        <w:t>mab</w:t>
      </w:r>
      <w:proofErr w:type="spellEnd"/>
      <w:r>
        <w:t>’) and TKIs (with the suffix ‘nib’) that have been predicted to pose the greatest risks to patient safety. The list also includes one (1) additional anti-cancer medicine with the ‘</w:t>
      </w:r>
      <w:proofErr w:type="spellStart"/>
      <w:r>
        <w:t>gib</w:t>
      </w:r>
      <w:proofErr w:type="spellEnd"/>
      <w:r>
        <w:t xml:space="preserve">’ suffix: </w:t>
      </w:r>
      <w:proofErr w:type="spellStart"/>
      <w:r>
        <w:t>soNIDEGib</w:t>
      </w:r>
      <w:proofErr w:type="spellEnd"/>
      <w:r>
        <w:t>.</w:t>
      </w:r>
    </w:p>
    <w:p w14:paraId="1253DC3C" w14:textId="77777777" w:rsidR="0036588B" w:rsidRDefault="0036588B" w:rsidP="0036588B">
      <w:pPr>
        <w:pStyle w:val="Heading2"/>
      </w:pPr>
      <w:r>
        <w:t>Guidance for use</w:t>
      </w:r>
    </w:p>
    <w:p w14:paraId="3634A78A" w14:textId="77777777" w:rsidR="0036588B" w:rsidRDefault="0036588B" w:rsidP="0036588B">
      <w:r>
        <w:t>This fact sheet has been developed to assist Health service organisations (HSOs) and clinicians involved in medication management, in particular, those involved in the prescribing, dispensing and administration of medicines.</w:t>
      </w:r>
    </w:p>
    <w:p w14:paraId="1D0C2663" w14:textId="77777777" w:rsidR="0036588B" w:rsidRDefault="0036588B" w:rsidP="0036588B">
      <w:r>
        <w:t>Implementation of Tall man lettering should include educating clinicians about the risks associated with LASA medicine name groupings and the purpose of Tall man lettering.</w:t>
      </w:r>
    </w:p>
    <w:p w14:paraId="762961DA" w14:textId="77777777" w:rsidR="0036588B" w:rsidRDefault="0036588B" w:rsidP="0036588B">
      <w:r>
        <w:t xml:space="preserve">The </w:t>
      </w:r>
      <w:hyperlink r:id="rId9" w:history="1">
        <w:r w:rsidRPr="0036588B">
          <w:rPr>
            <w:rStyle w:val="Hyperlink"/>
          </w:rPr>
          <w:t>National guidelines for on-screen display of information</w:t>
        </w:r>
      </w:hyperlink>
      <w:r>
        <w:t xml:space="preserve"> and guidance for implementation of </w:t>
      </w:r>
      <w:hyperlink r:id="rId10" w:history="1">
        <w:r w:rsidRPr="0036588B">
          <w:rPr>
            <w:rStyle w:val="Hyperlink"/>
          </w:rPr>
          <w:t>Electronic medication management systems</w:t>
        </w:r>
      </w:hyperlink>
      <w:r>
        <w:t xml:space="preserve"> published by the Commission recommend using Tall man lettering.</w:t>
      </w:r>
    </w:p>
    <w:p w14:paraId="2C9BE9BF" w14:textId="77777777" w:rsidR="0036588B" w:rsidRDefault="0036588B" w:rsidP="0036588B">
      <w:r>
        <w:t>The Commission supports the use of Tall man lettering as part of a multi-faceted approach to reduce the risk of selection errors by clinicians associated with LASA medicines names. For instance, the risk of selecting an incorrect medicine from a computerised drop down list when a doctor is prescribing, or a pharmacist is dispensing against a medication order.</w:t>
      </w:r>
    </w:p>
    <w:p w14:paraId="74632079" w14:textId="77777777" w:rsidR="0036588B" w:rsidRDefault="0036588B" w:rsidP="0036588B">
      <w:r>
        <w:t>The supplementary list of specialised medicines with the suffix ‘</w:t>
      </w:r>
      <w:proofErr w:type="spellStart"/>
      <w:r>
        <w:t>mab</w:t>
      </w:r>
      <w:proofErr w:type="spellEnd"/>
      <w:r>
        <w:t>’, ‘nib’ and ‘</w:t>
      </w:r>
      <w:proofErr w:type="spellStart"/>
      <w:r>
        <w:t>gib</w:t>
      </w:r>
      <w:proofErr w:type="spellEnd"/>
      <w:r>
        <w:t>’ should be considered for use by HSOs and clinicians in:</w:t>
      </w:r>
    </w:p>
    <w:p w14:paraId="19E1A4DD" w14:textId="77777777" w:rsidR="0036588B" w:rsidRDefault="0036588B" w:rsidP="0036588B">
      <w:pPr>
        <w:pStyle w:val="ListParagraph"/>
        <w:numPr>
          <w:ilvl w:val="0"/>
          <w:numId w:val="19"/>
        </w:numPr>
      </w:pPr>
      <w:r>
        <w:t>Electronic medication management systems, including prescribing, dispensing and administration systems</w:t>
      </w:r>
    </w:p>
    <w:p w14:paraId="007E8323" w14:textId="77777777" w:rsidR="0036588B" w:rsidRDefault="0036588B" w:rsidP="0036588B">
      <w:pPr>
        <w:pStyle w:val="ListParagraph"/>
        <w:numPr>
          <w:ilvl w:val="0"/>
          <w:numId w:val="19"/>
        </w:numPr>
      </w:pPr>
      <w:r>
        <w:t>Printed labels used for inpatient dispensing, shelving in pharmacies, and ward medicines cupboards</w:t>
      </w:r>
    </w:p>
    <w:p w14:paraId="107988D2" w14:textId="77777777" w:rsidR="0036588B" w:rsidRDefault="0036588B" w:rsidP="0036588B">
      <w:pPr>
        <w:pStyle w:val="ListParagraph"/>
        <w:numPr>
          <w:ilvl w:val="0"/>
          <w:numId w:val="19"/>
        </w:numPr>
      </w:pPr>
      <w:r>
        <w:t>Drug libraries for smart pumps</w:t>
      </w:r>
    </w:p>
    <w:p w14:paraId="21828F1F" w14:textId="77777777" w:rsidR="0036588B" w:rsidRDefault="0036588B" w:rsidP="0036588B">
      <w:pPr>
        <w:pStyle w:val="ListParagraph"/>
        <w:numPr>
          <w:ilvl w:val="0"/>
          <w:numId w:val="19"/>
        </w:numPr>
      </w:pPr>
      <w:r>
        <w:t>Automated medicines storage and distribution systems.</w:t>
      </w:r>
    </w:p>
    <w:p w14:paraId="28B96B65" w14:textId="77777777" w:rsidR="0036588B" w:rsidRDefault="0036588B" w:rsidP="0036588B">
      <w:r>
        <w:t xml:space="preserve">Figures 1 and 2 provide the details of the specialised medicine name pairs and trios with Tall man lettering applied. </w:t>
      </w:r>
    </w:p>
    <w:p w14:paraId="4E745013" w14:textId="3392E5F9" w:rsidR="0036588B" w:rsidRDefault="0036588B" w:rsidP="0036588B">
      <w:pPr>
        <w:spacing w:after="360"/>
      </w:pPr>
      <w:r>
        <w:t>HSOs and clinicians should continue to be alert to new medicines that are registered in Australia and changes to the labelling and packaging. In addition, some of the specialised medicines listed in this fact sheet may be discontinued following publication.</w:t>
      </w:r>
    </w:p>
    <w:p w14:paraId="115AE3A9" w14:textId="66DC8536" w:rsidR="003A70CE" w:rsidRDefault="003A70CE">
      <w:pPr>
        <w:spacing w:before="0" w:after="80"/>
      </w:pPr>
      <w:r>
        <w:br w:type="page"/>
      </w:r>
    </w:p>
    <w:tbl>
      <w:tblPr>
        <w:tblStyle w:val="TableGrid"/>
        <w:tblW w:w="5000" w:type="pct"/>
        <w:tblLook w:val="0620" w:firstRow="1" w:lastRow="0" w:firstColumn="0" w:lastColumn="0" w:noHBand="1" w:noVBand="1"/>
        <w:tblDescription w:val="Figure 1: Medicine name pairs and trios with the suffix ‘mab’"/>
      </w:tblPr>
      <w:tblGrid>
        <w:gridCol w:w="4749"/>
        <w:gridCol w:w="4879"/>
      </w:tblGrid>
      <w:tr w:rsidR="0036588B" w14:paraId="6BA91055" w14:textId="77777777" w:rsidTr="003A70CE">
        <w:trPr>
          <w:cnfStyle w:val="100000000000" w:firstRow="1" w:lastRow="0" w:firstColumn="0" w:lastColumn="0" w:oddVBand="0" w:evenVBand="0" w:oddHBand="0" w:evenHBand="0" w:firstRowFirstColumn="0" w:firstRowLastColumn="0" w:lastRowFirstColumn="0" w:lastRowLastColumn="0"/>
          <w:cantSplit/>
          <w:trHeight w:val="60"/>
        </w:trPr>
        <w:tc>
          <w:tcPr>
            <w:tcW w:w="5000" w:type="pct"/>
            <w:gridSpan w:val="2"/>
          </w:tcPr>
          <w:p w14:paraId="5F30BBFF" w14:textId="77777777" w:rsidR="0036588B" w:rsidRDefault="0036588B" w:rsidP="00E604B3">
            <w:pPr>
              <w:spacing w:before="100" w:after="100"/>
            </w:pPr>
            <w:r>
              <w:lastRenderedPageBreak/>
              <w:t>Figure 1: Medicine name pairs and trios with the suffix ‘</w:t>
            </w:r>
            <w:proofErr w:type="spellStart"/>
            <w:r>
              <w:t>mab</w:t>
            </w:r>
            <w:proofErr w:type="spellEnd"/>
            <w:r>
              <w:t>’</w:t>
            </w:r>
          </w:p>
        </w:tc>
      </w:tr>
      <w:tr w:rsidR="0036588B" w14:paraId="61FAAB36" w14:textId="77777777" w:rsidTr="003A70CE">
        <w:trPr>
          <w:cantSplit/>
          <w:trHeight w:val="60"/>
        </w:trPr>
        <w:tc>
          <w:tcPr>
            <w:tcW w:w="2466" w:type="pct"/>
          </w:tcPr>
          <w:p w14:paraId="4FE47FE5" w14:textId="77777777" w:rsidR="0036588B" w:rsidRDefault="0036588B" w:rsidP="00E604B3">
            <w:pPr>
              <w:spacing w:before="100" w:after="100"/>
            </w:pPr>
            <w:proofErr w:type="spellStart"/>
            <w:r>
              <w:t>beNRALizumab</w:t>
            </w:r>
            <w:bookmarkStart w:id="2" w:name="_GoBack"/>
            <w:bookmarkEnd w:id="2"/>
            <w:proofErr w:type="spellEnd"/>
          </w:p>
        </w:tc>
        <w:tc>
          <w:tcPr>
            <w:tcW w:w="2534" w:type="pct"/>
          </w:tcPr>
          <w:p w14:paraId="0C0B4724" w14:textId="77777777" w:rsidR="0036588B" w:rsidRDefault="0036588B" w:rsidP="00E604B3">
            <w:pPr>
              <w:spacing w:before="100" w:after="100"/>
            </w:pPr>
            <w:proofErr w:type="spellStart"/>
            <w:r>
              <w:t>beVACizumab</w:t>
            </w:r>
            <w:proofErr w:type="spellEnd"/>
            <w:r>
              <w:t xml:space="preserve"> </w:t>
            </w:r>
          </w:p>
          <w:p w14:paraId="27B4E67A" w14:textId="77777777" w:rsidR="0036588B" w:rsidRDefault="0036588B" w:rsidP="00E604B3">
            <w:pPr>
              <w:spacing w:before="100" w:after="100"/>
            </w:pPr>
            <w:proofErr w:type="spellStart"/>
            <w:r>
              <w:t>beZLOTOXumab</w:t>
            </w:r>
            <w:proofErr w:type="spellEnd"/>
          </w:p>
        </w:tc>
      </w:tr>
      <w:tr w:rsidR="0036588B" w14:paraId="370718D1" w14:textId="77777777" w:rsidTr="003A70CE">
        <w:trPr>
          <w:cantSplit/>
          <w:trHeight w:val="60"/>
        </w:trPr>
        <w:tc>
          <w:tcPr>
            <w:tcW w:w="2466" w:type="pct"/>
            <w:shd w:val="clear" w:color="auto" w:fill="C5F1FF" w:themeFill="accent2" w:themeFillTint="33"/>
          </w:tcPr>
          <w:p w14:paraId="68872F1A" w14:textId="77777777" w:rsidR="0036588B" w:rsidRDefault="0036588B" w:rsidP="00E604B3">
            <w:pPr>
              <w:spacing w:before="100" w:after="100"/>
            </w:pPr>
            <w:proofErr w:type="spellStart"/>
            <w:r>
              <w:t>eCULizumab</w:t>
            </w:r>
            <w:proofErr w:type="spellEnd"/>
          </w:p>
        </w:tc>
        <w:tc>
          <w:tcPr>
            <w:tcW w:w="2534" w:type="pct"/>
            <w:shd w:val="clear" w:color="auto" w:fill="C5F1FF" w:themeFill="accent2" w:themeFillTint="33"/>
          </w:tcPr>
          <w:p w14:paraId="2526D549" w14:textId="77777777" w:rsidR="0036588B" w:rsidRDefault="0036588B" w:rsidP="00E604B3">
            <w:pPr>
              <w:spacing w:before="100" w:after="100"/>
            </w:pPr>
            <w:proofErr w:type="spellStart"/>
            <w:r>
              <w:t>eFALizumab</w:t>
            </w:r>
            <w:proofErr w:type="spellEnd"/>
          </w:p>
          <w:p w14:paraId="5DD10704" w14:textId="77777777" w:rsidR="0036588B" w:rsidRDefault="0036588B" w:rsidP="00E604B3">
            <w:pPr>
              <w:spacing w:before="100" w:after="100"/>
            </w:pPr>
            <w:proofErr w:type="spellStart"/>
            <w:r>
              <w:t>eMICizumab</w:t>
            </w:r>
            <w:proofErr w:type="spellEnd"/>
          </w:p>
        </w:tc>
      </w:tr>
      <w:tr w:rsidR="0036588B" w14:paraId="4DC7843F" w14:textId="77777777" w:rsidTr="00624057">
        <w:trPr>
          <w:cantSplit/>
          <w:trHeight w:val="60"/>
        </w:trPr>
        <w:tc>
          <w:tcPr>
            <w:tcW w:w="2466" w:type="pct"/>
            <w:shd w:val="clear" w:color="auto" w:fill="auto"/>
          </w:tcPr>
          <w:p w14:paraId="7EA3E78D" w14:textId="77777777" w:rsidR="0036588B" w:rsidRDefault="0036588B" w:rsidP="00E604B3">
            <w:pPr>
              <w:spacing w:before="100" w:after="100"/>
            </w:pPr>
            <w:proofErr w:type="spellStart"/>
            <w:r>
              <w:t>oBINUTUZumab</w:t>
            </w:r>
            <w:proofErr w:type="spellEnd"/>
          </w:p>
        </w:tc>
        <w:tc>
          <w:tcPr>
            <w:tcW w:w="2534" w:type="pct"/>
            <w:shd w:val="clear" w:color="auto" w:fill="auto"/>
          </w:tcPr>
          <w:p w14:paraId="70F6F951" w14:textId="77777777" w:rsidR="0036588B" w:rsidRDefault="0036588B" w:rsidP="00E604B3">
            <w:pPr>
              <w:spacing w:before="100" w:after="100"/>
            </w:pPr>
            <w:proofErr w:type="spellStart"/>
            <w:r>
              <w:t>oFATUMumab</w:t>
            </w:r>
            <w:proofErr w:type="spellEnd"/>
          </w:p>
        </w:tc>
      </w:tr>
      <w:tr w:rsidR="0036588B" w14:paraId="103531A3" w14:textId="77777777" w:rsidTr="00624057">
        <w:trPr>
          <w:cantSplit/>
          <w:trHeight w:val="60"/>
        </w:trPr>
        <w:tc>
          <w:tcPr>
            <w:tcW w:w="2466" w:type="pct"/>
            <w:shd w:val="clear" w:color="auto" w:fill="C5F1FF" w:themeFill="accent2" w:themeFillTint="33"/>
          </w:tcPr>
          <w:p w14:paraId="7A294D69" w14:textId="77777777" w:rsidR="0036588B" w:rsidRDefault="0036588B" w:rsidP="00E604B3">
            <w:pPr>
              <w:spacing w:before="100" w:after="100"/>
            </w:pPr>
            <w:proofErr w:type="spellStart"/>
            <w:r>
              <w:t>oCRELizumab</w:t>
            </w:r>
            <w:proofErr w:type="spellEnd"/>
          </w:p>
        </w:tc>
        <w:tc>
          <w:tcPr>
            <w:tcW w:w="2534" w:type="pct"/>
            <w:shd w:val="clear" w:color="auto" w:fill="C5F1FF" w:themeFill="accent2" w:themeFillTint="33"/>
          </w:tcPr>
          <w:p w14:paraId="1D8B9DE6" w14:textId="77777777" w:rsidR="0036588B" w:rsidRDefault="0036588B" w:rsidP="00E604B3">
            <w:pPr>
              <w:spacing w:before="100" w:after="100"/>
            </w:pPr>
            <w:proofErr w:type="spellStart"/>
            <w:r>
              <w:t>oMALizumab</w:t>
            </w:r>
            <w:proofErr w:type="spellEnd"/>
          </w:p>
        </w:tc>
      </w:tr>
      <w:tr w:rsidR="0036588B" w14:paraId="10EB7945" w14:textId="77777777" w:rsidTr="00624057">
        <w:trPr>
          <w:cantSplit/>
          <w:trHeight w:val="60"/>
        </w:trPr>
        <w:tc>
          <w:tcPr>
            <w:tcW w:w="2466" w:type="pct"/>
            <w:shd w:val="clear" w:color="auto" w:fill="auto"/>
          </w:tcPr>
          <w:p w14:paraId="63BDECB7" w14:textId="77777777" w:rsidR="0036588B" w:rsidRDefault="0036588B" w:rsidP="00E604B3">
            <w:pPr>
              <w:spacing w:before="100" w:after="100"/>
            </w:pPr>
            <w:proofErr w:type="spellStart"/>
            <w:r>
              <w:t>pANITUMumab</w:t>
            </w:r>
            <w:proofErr w:type="spellEnd"/>
          </w:p>
        </w:tc>
        <w:tc>
          <w:tcPr>
            <w:tcW w:w="2534" w:type="pct"/>
            <w:shd w:val="clear" w:color="auto" w:fill="auto"/>
          </w:tcPr>
          <w:p w14:paraId="082F12A8" w14:textId="77777777" w:rsidR="0036588B" w:rsidRDefault="0036588B" w:rsidP="00E604B3">
            <w:pPr>
              <w:spacing w:before="100" w:after="100"/>
            </w:pPr>
            <w:proofErr w:type="spellStart"/>
            <w:r>
              <w:t>pERTUZumab</w:t>
            </w:r>
            <w:proofErr w:type="spellEnd"/>
          </w:p>
        </w:tc>
      </w:tr>
      <w:tr w:rsidR="0036588B" w14:paraId="00DB9817" w14:textId="77777777" w:rsidTr="00624057">
        <w:trPr>
          <w:cantSplit/>
          <w:trHeight w:val="60"/>
        </w:trPr>
        <w:tc>
          <w:tcPr>
            <w:tcW w:w="2466" w:type="pct"/>
            <w:shd w:val="clear" w:color="auto" w:fill="C5F1FF" w:themeFill="accent2" w:themeFillTint="33"/>
          </w:tcPr>
          <w:p w14:paraId="3498156C" w14:textId="77777777" w:rsidR="0036588B" w:rsidRDefault="0036588B" w:rsidP="00E604B3">
            <w:pPr>
              <w:spacing w:before="100" w:after="100"/>
            </w:pPr>
            <w:proofErr w:type="spellStart"/>
            <w:r>
              <w:t>raMUCIRumab</w:t>
            </w:r>
            <w:proofErr w:type="spellEnd"/>
          </w:p>
        </w:tc>
        <w:tc>
          <w:tcPr>
            <w:tcW w:w="2534" w:type="pct"/>
            <w:shd w:val="clear" w:color="auto" w:fill="C5F1FF" w:themeFill="accent2" w:themeFillTint="33"/>
          </w:tcPr>
          <w:p w14:paraId="497AA368" w14:textId="77777777" w:rsidR="0036588B" w:rsidRDefault="0036588B" w:rsidP="00E604B3">
            <w:pPr>
              <w:spacing w:before="100" w:after="100"/>
            </w:pPr>
            <w:proofErr w:type="spellStart"/>
            <w:r>
              <w:t>raNIBIZumab</w:t>
            </w:r>
            <w:proofErr w:type="spellEnd"/>
          </w:p>
        </w:tc>
      </w:tr>
    </w:tbl>
    <w:p w14:paraId="03664C87" w14:textId="77777777" w:rsidR="0036588B" w:rsidRDefault="0036588B" w:rsidP="0036588B">
      <w:pPr>
        <w:spacing w:after="227"/>
      </w:pPr>
    </w:p>
    <w:tbl>
      <w:tblPr>
        <w:tblStyle w:val="TableGrid"/>
        <w:tblW w:w="5000" w:type="pct"/>
        <w:tblLook w:val="0420" w:firstRow="1" w:lastRow="0" w:firstColumn="0" w:lastColumn="0" w:noHBand="0" w:noVBand="1"/>
        <w:tblDescription w:val="Figure 2: Medicine name pairs and trios with the suffix ‘nib’ and ‘gib’"/>
      </w:tblPr>
      <w:tblGrid>
        <w:gridCol w:w="4814"/>
        <w:gridCol w:w="4814"/>
      </w:tblGrid>
      <w:tr w:rsidR="0036588B" w14:paraId="3DDBF8DE" w14:textId="77777777" w:rsidTr="003A70CE">
        <w:trPr>
          <w:cnfStyle w:val="100000000000" w:firstRow="1" w:lastRow="0" w:firstColumn="0" w:lastColumn="0" w:oddVBand="0" w:evenVBand="0" w:oddHBand="0" w:evenHBand="0" w:firstRowFirstColumn="0" w:firstRowLastColumn="0" w:lastRowFirstColumn="0" w:lastRowLastColumn="0"/>
          <w:cantSplit/>
          <w:trHeight w:val="60"/>
        </w:trPr>
        <w:tc>
          <w:tcPr>
            <w:tcW w:w="5000" w:type="pct"/>
            <w:gridSpan w:val="2"/>
          </w:tcPr>
          <w:p w14:paraId="069283EE" w14:textId="77777777" w:rsidR="0036588B" w:rsidRDefault="0036588B" w:rsidP="00E604B3">
            <w:pPr>
              <w:spacing w:before="100" w:after="100"/>
            </w:pPr>
            <w:r>
              <w:t>Figure 2: Medicine name pairs and trios with the suffix ‘nib’ and ‘</w:t>
            </w:r>
            <w:proofErr w:type="spellStart"/>
            <w:r>
              <w:t>gib</w:t>
            </w:r>
            <w:proofErr w:type="spellEnd"/>
            <w:r>
              <w:t>’</w:t>
            </w:r>
          </w:p>
        </w:tc>
      </w:tr>
      <w:tr w:rsidR="0036588B" w14:paraId="09965FEA" w14:textId="77777777" w:rsidTr="0036588B">
        <w:trPr>
          <w:trHeight w:val="60"/>
        </w:trPr>
        <w:tc>
          <w:tcPr>
            <w:tcW w:w="2500" w:type="pct"/>
          </w:tcPr>
          <w:p w14:paraId="3AE72814" w14:textId="77777777" w:rsidR="0036588B" w:rsidRDefault="0036588B" w:rsidP="00E604B3">
            <w:pPr>
              <w:spacing w:before="100" w:after="100"/>
            </w:pPr>
            <w:proofErr w:type="spellStart"/>
            <w:r>
              <w:t>aFATinib</w:t>
            </w:r>
            <w:proofErr w:type="spellEnd"/>
          </w:p>
        </w:tc>
        <w:tc>
          <w:tcPr>
            <w:tcW w:w="2500" w:type="pct"/>
          </w:tcPr>
          <w:p w14:paraId="50F95DF5" w14:textId="77777777" w:rsidR="0036588B" w:rsidRDefault="0036588B" w:rsidP="00E604B3">
            <w:pPr>
              <w:spacing w:before="100" w:after="100"/>
            </w:pPr>
            <w:proofErr w:type="spellStart"/>
            <w:r>
              <w:t>aXITinib</w:t>
            </w:r>
            <w:proofErr w:type="spellEnd"/>
          </w:p>
        </w:tc>
      </w:tr>
      <w:tr w:rsidR="0036588B" w14:paraId="347B1D3E" w14:textId="77777777" w:rsidTr="0036588B">
        <w:trPr>
          <w:trHeight w:val="60"/>
        </w:trPr>
        <w:tc>
          <w:tcPr>
            <w:tcW w:w="2500" w:type="pct"/>
            <w:shd w:val="clear" w:color="auto" w:fill="C5F1FF" w:themeFill="accent2" w:themeFillTint="33"/>
          </w:tcPr>
          <w:p w14:paraId="68EA5AAA" w14:textId="77777777" w:rsidR="0036588B" w:rsidRDefault="0036588B" w:rsidP="00E604B3">
            <w:pPr>
              <w:spacing w:before="100" w:after="100"/>
            </w:pPr>
            <w:proofErr w:type="spellStart"/>
            <w:r>
              <w:t>bARICITinib</w:t>
            </w:r>
            <w:proofErr w:type="spellEnd"/>
          </w:p>
        </w:tc>
        <w:tc>
          <w:tcPr>
            <w:tcW w:w="2500" w:type="pct"/>
            <w:shd w:val="clear" w:color="auto" w:fill="C5F1FF" w:themeFill="accent2" w:themeFillTint="33"/>
          </w:tcPr>
          <w:p w14:paraId="01A5109E" w14:textId="77777777" w:rsidR="0036588B" w:rsidRDefault="0036588B" w:rsidP="00E604B3">
            <w:pPr>
              <w:spacing w:before="100" w:after="100"/>
            </w:pPr>
            <w:proofErr w:type="spellStart"/>
            <w:r>
              <w:t>biNIMEtinib</w:t>
            </w:r>
            <w:proofErr w:type="spellEnd"/>
          </w:p>
        </w:tc>
      </w:tr>
      <w:tr w:rsidR="0036588B" w14:paraId="0503571D" w14:textId="77777777" w:rsidTr="0036588B">
        <w:trPr>
          <w:trHeight w:val="60"/>
        </w:trPr>
        <w:tc>
          <w:tcPr>
            <w:tcW w:w="2500" w:type="pct"/>
          </w:tcPr>
          <w:p w14:paraId="721DB4EE" w14:textId="77777777" w:rsidR="0036588B" w:rsidRDefault="0036588B" w:rsidP="00E604B3">
            <w:pPr>
              <w:spacing w:before="100" w:after="100"/>
            </w:pPr>
            <w:proofErr w:type="spellStart"/>
            <w:r>
              <w:t>cABOZANtinib</w:t>
            </w:r>
            <w:proofErr w:type="spellEnd"/>
          </w:p>
        </w:tc>
        <w:tc>
          <w:tcPr>
            <w:tcW w:w="2500" w:type="pct"/>
          </w:tcPr>
          <w:p w14:paraId="78B2F8E5" w14:textId="77777777" w:rsidR="0036588B" w:rsidRDefault="0036588B" w:rsidP="00E604B3">
            <w:pPr>
              <w:spacing w:before="100" w:after="100"/>
            </w:pPr>
            <w:proofErr w:type="spellStart"/>
            <w:r>
              <w:t>cOBIMEtinib</w:t>
            </w:r>
            <w:proofErr w:type="spellEnd"/>
          </w:p>
        </w:tc>
      </w:tr>
      <w:tr w:rsidR="0036588B" w14:paraId="7D5E2B23" w14:textId="77777777" w:rsidTr="0036588B">
        <w:trPr>
          <w:trHeight w:val="60"/>
        </w:trPr>
        <w:tc>
          <w:tcPr>
            <w:tcW w:w="2500" w:type="pct"/>
            <w:shd w:val="clear" w:color="auto" w:fill="C5F1FF" w:themeFill="accent2" w:themeFillTint="33"/>
          </w:tcPr>
          <w:p w14:paraId="6C31B8FE" w14:textId="77777777" w:rsidR="0036588B" w:rsidRDefault="0036588B" w:rsidP="00E604B3">
            <w:pPr>
              <w:spacing w:before="100" w:after="100"/>
            </w:pPr>
            <w:proofErr w:type="spellStart"/>
            <w:r>
              <w:t>daBRAFEnib</w:t>
            </w:r>
            <w:proofErr w:type="spellEnd"/>
          </w:p>
        </w:tc>
        <w:tc>
          <w:tcPr>
            <w:tcW w:w="2500" w:type="pct"/>
            <w:shd w:val="clear" w:color="auto" w:fill="C5F1FF" w:themeFill="accent2" w:themeFillTint="33"/>
          </w:tcPr>
          <w:p w14:paraId="4A92D0B9" w14:textId="77777777" w:rsidR="0036588B" w:rsidRDefault="0036588B" w:rsidP="00E604B3">
            <w:pPr>
              <w:spacing w:before="100" w:after="100"/>
            </w:pPr>
            <w:proofErr w:type="spellStart"/>
            <w:r>
              <w:t>daSATinib</w:t>
            </w:r>
            <w:proofErr w:type="spellEnd"/>
          </w:p>
        </w:tc>
      </w:tr>
      <w:tr w:rsidR="0036588B" w14:paraId="2B80E07A" w14:textId="77777777" w:rsidTr="0036588B">
        <w:trPr>
          <w:trHeight w:val="60"/>
        </w:trPr>
        <w:tc>
          <w:tcPr>
            <w:tcW w:w="2500" w:type="pct"/>
          </w:tcPr>
          <w:p w14:paraId="20A9C711" w14:textId="77777777" w:rsidR="0036588B" w:rsidRDefault="0036588B" w:rsidP="00E604B3">
            <w:pPr>
              <w:spacing w:before="100" w:after="100"/>
            </w:pPr>
            <w:proofErr w:type="spellStart"/>
            <w:r>
              <w:t>laPAtinib</w:t>
            </w:r>
            <w:proofErr w:type="spellEnd"/>
          </w:p>
        </w:tc>
        <w:tc>
          <w:tcPr>
            <w:tcW w:w="2500" w:type="pct"/>
          </w:tcPr>
          <w:p w14:paraId="2C4699A4" w14:textId="77777777" w:rsidR="0036588B" w:rsidRDefault="0036588B" w:rsidP="00E604B3">
            <w:pPr>
              <w:spacing w:before="100" w:after="100"/>
            </w:pPr>
            <w:proofErr w:type="spellStart"/>
            <w:r>
              <w:t>leNVAtinib</w:t>
            </w:r>
            <w:proofErr w:type="spellEnd"/>
          </w:p>
        </w:tc>
      </w:tr>
      <w:tr w:rsidR="0036588B" w14:paraId="25BCF3D7" w14:textId="77777777" w:rsidTr="0036588B">
        <w:trPr>
          <w:trHeight w:val="60"/>
        </w:trPr>
        <w:tc>
          <w:tcPr>
            <w:tcW w:w="2500" w:type="pct"/>
            <w:shd w:val="clear" w:color="auto" w:fill="C5F1FF" w:themeFill="accent2" w:themeFillTint="33"/>
          </w:tcPr>
          <w:p w14:paraId="0A306F22" w14:textId="77777777" w:rsidR="0036588B" w:rsidRDefault="0036588B" w:rsidP="00E604B3">
            <w:pPr>
              <w:spacing w:before="100" w:after="100"/>
            </w:pPr>
            <w:proofErr w:type="spellStart"/>
            <w:r>
              <w:t>pAZOPanib</w:t>
            </w:r>
            <w:proofErr w:type="spellEnd"/>
          </w:p>
        </w:tc>
        <w:tc>
          <w:tcPr>
            <w:tcW w:w="2500" w:type="pct"/>
            <w:shd w:val="clear" w:color="auto" w:fill="C5F1FF" w:themeFill="accent2" w:themeFillTint="33"/>
          </w:tcPr>
          <w:p w14:paraId="7F241169" w14:textId="77777777" w:rsidR="0036588B" w:rsidRDefault="0036588B" w:rsidP="00E604B3">
            <w:pPr>
              <w:spacing w:before="100" w:after="100"/>
            </w:pPr>
            <w:proofErr w:type="spellStart"/>
            <w:r>
              <w:t>pONATinib</w:t>
            </w:r>
            <w:proofErr w:type="spellEnd"/>
          </w:p>
        </w:tc>
      </w:tr>
      <w:tr w:rsidR="0036588B" w14:paraId="4453B738" w14:textId="77777777" w:rsidTr="0036588B">
        <w:trPr>
          <w:trHeight w:val="60"/>
        </w:trPr>
        <w:tc>
          <w:tcPr>
            <w:tcW w:w="2500" w:type="pct"/>
          </w:tcPr>
          <w:p w14:paraId="5CE33AF9" w14:textId="77777777" w:rsidR="0036588B" w:rsidRDefault="0036588B" w:rsidP="00E604B3">
            <w:pPr>
              <w:spacing w:before="100" w:after="100"/>
            </w:pPr>
            <w:proofErr w:type="spellStart"/>
            <w:r>
              <w:t>soNIDEGib</w:t>
            </w:r>
            <w:proofErr w:type="spellEnd"/>
          </w:p>
        </w:tc>
        <w:tc>
          <w:tcPr>
            <w:tcW w:w="2500" w:type="pct"/>
          </w:tcPr>
          <w:p w14:paraId="145A4152" w14:textId="77777777" w:rsidR="0036588B" w:rsidRDefault="0036588B" w:rsidP="00E604B3">
            <w:pPr>
              <w:spacing w:before="100" w:after="100"/>
            </w:pPr>
            <w:proofErr w:type="spellStart"/>
            <w:r>
              <w:t>soRAFENib</w:t>
            </w:r>
            <w:proofErr w:type="spellEnd"/>
          </w:p>
          <w:p w14:paraId="6588989D" w14:textId="77777777" w:rsidR="0036588B" w:rsidRDefault="0036588B" w:rsidP="00E604B3">
            <w:pPr>
              <w:spacing w:before="100" w:after="100"/>
            </w:pPr>
            <w:proofErr w:type="spellStart"/>
            <w:r>
              <w:t>sUNITinib</w:t>
            </w:r>
            <w:proofErr w:type="spellEnd"/>
          </w:p>
        </w:tc>
      </w:tr>
      <w:tr w:rsidR="0036588B" w14:paraId="33991A19" w14:textId="77777777" w:rsidTr="0036588B">
        <w:trPr>
          <w:trHeight w:val="60"/>
        </w:trPr>
        <w:tc>
          <w:tcPr>
            <w:tcW w:w="2500" w:type="pct"/>
            <w:shd w:val="clear" w:color="auto" w:fill="C5F1FF" w:themeFill="accent2" w:themeFillTint="33"/>
          </w:tcPr>
          <w:p w14:paraId="5AA8C6AB" w14:textId="77777777" w:rsidR="0036588B" w:rsidRDefault="0036588B" w:rsidP="00E604B3">
            <w:pPr>
              <w:spacing w:before="100" w:after="100"/>
            </w:pPr>
            <w:proofErr w:type="spellStart"/>
            <w:r>
              <w:t>tOFACitinib</w:t>
            </w:r>
            <w:proofErr w:type="spellEnd"/>
          </w:p>
        </w:tc>
        <w:tc>
          <w:tcPr>
            <w:tcW w:w="2500" w:type="pct"/>
            <w:shd w:val="clear" w:color="auto" w:fill="C5F1FF" w:themeFill="accent2" w:themeFillTint="33"/>
          </w:tcPr>
          <w:p w14:paraId="17DA7A78" w14:textId="77777777" w:rsidR="0036588B" w:rsidRDefault="0036588B" w:rsidP="00E604B3">
            <w:pPr>
              <w:spacing w:before="100" w:after="100"/>
            </w:pPr>
            <w:proofErr w:type="spellStart"/>
            <w:r>
              <w:t>tRAMEtinib</w:t>
            </w:r>
            <w:proofErr w:type="spellEnd"/>
          </w:p>
        </w:tc>
      </w:tr>
    </w:tbl>
    <w:p w14:paraId="6866F4AC" w14:textId="21FCC4CB" w:rsidR="0036588B" w:rsidRDefault="0036588B" w:rsidP="0036588B">
      <w:pPr>
        <w:pStyle w:val="Heading2"/>
        <w:spacing w:before="360"/>
      </w:pPr>
      <w:r>
        <w:t xml:space="preserve">References </w:t>
      </w:r>
    </w:p>
    <w:p w14:paraId="50C569A3" w14:textId="77777777" w:rsidR="0036588B" w:rsidRDefault="0036588B" w:rsidP="0036588B">
      <w:pPr>
        <w:pStyle w:val="ListParagraph"/>
        <w:numPr>
          <w:ilvl w:val="0"/>
          <w:numId w:val="20"/>
        </w:numPr>
      </w:pPr>
      <w:r>
        <w:t xml:space="preserve">Australian Commission on Safety and Quality in Health Care. National Tall Man lettering list. Sydney, Australia: ACSQHC; 2016. Available from: </w:t>
      </w:r>
      <w:hyperlink r:id="rId11" w:history="1">
        <w:r w:rsidRPr="0036588B">
          <w:rPr>
            <w:rStyle w:val="Hyperlink"/>
          </w:rPr>
          <w:t>https://www.safetyandquality.gov.au/our-work/medication-safety/safer-naming-labelling-and-packaging-of-medicines/national-tall-man-lettering-list/</w:t>
        </w:r>
      </w:hyperlink>
      <w:r>
        <w:t>.</w:t>
      </w:r>
    </w:p>
    <w:p w14:paraId="4072756C" w14:textId="77777777" w:rsidR="0036588B" w:rsidRDefault="0036588B" w:rsidP="0036588B">
      <w:pPr>
        <w:pStyle w:val="ListParagraph"/>
        <w:numPr>
          <w:ilvl w:val="0"/>
          <w:numId w:val="20"/>
        </w:numPr>
      </w:pPr>
      <w:proofErr w:type="spellStart"/>
      <w:r>
        <w:t>Filik</w:t>
      </w:r>
      <w:proofErr w:type="spellEnd"/>
      <w:r>
        <w:t xml:space="preserve"> R, Purdy K, </w:t>
      </w:r>
      <w:proofErr w:type="gramStart"/>
      <w:r>
        <w:t>Gale</w:t>
      </w:r>
      <w:proofErr w:type="gramEnd"/>
      <w:r>
        <w:t xml:space="preserve"> A, </w:t>
      </w:r>
      <w:proofErr w:type="spellStart"/>
      <w:r>
        <w:t>Gerrett</w:t>
      </w:r>
      <w:proofErr w:type="spellEnd"/>
      <w:r>
        <w:t xml:space="preserve"> D. Drug name confusion: evaluating the effectiveness of capital (“Tall Man”) letters using eye movement data. Social science &amp; medicine. 2004</w:t>
      </w:r>
      <w:proofErr w:type="gramStart"/>
      <w:r>
        <w:t>;59</w:t>
      </w:r>
      <w:proofErr w:type="gramEnd"/>
      <w:r>
        <w:t>(12):2597–601.</w:t>
      </w:r>
    </w:p>
    <w:p w14:paraId="020F7699" w14:textId="77777777" w:rsidR="0036588B" w:rsidRDefault="0036588B" w:rsidP="0036588B">
      <w:pPr>
        <w:pStyle w:val="ListParagraph"/>
        <w:numPr>
          <w:ilvl w:val="0"/>
          <w:numId w:val="20"/>
        </w:numPr>
      </w:pPr>
      <w:proofErr w:type="spellStart"/>
      <w:r>
        <w:lastRenderedPageBreak/>
        <w:t>Filik</w:t>
      </w:r>
      <w:proofErr w:type="spellEnd"/>
      <w:r>
        <w:t xml:space="preserve"> R, Purdy K, Gale A, </w:t>
      </w:r>
      <w:proofErr w:type="spellStart"/>
      <w:r>
        <w:t>Gerrett</w:t>
      </w:r>
      <w:proofErr w:type="spellEnd"/>
      <w:r>
        <w:t xml:space="preserve"> D. </w:t>
      </w:r>
      <w:proofErr w:type="spellStart"/>
      <w:r>
        <w:t>Labeling</w:t>
      </w:r>
      <w:proofErr w:type="spellEnd"/>
      <w:r>
        <w:t xml:space="preserve"> of medicines and patient safety: evaluating methods of reducing drug name confusion. Human Factors. 2006</w:t>
      </w:r>
      <w:proofErr w:type="gramStart"/>
      <w:r>
        <w:t>;48</w:t>
      </w:r>
      <w:proofErr w:type="gramEnd"/>
      <w:r>
        <w:t>(1):39–47.</w:t>
      </w:r>
    </w:p>
    <w:p w14:paraId="26456E33" w14:textId="77777777" w:rsidR="0036588B" w:rsidRDefault="0036588B" w:rsidP="0036588B">
      <w:pPr>
        <w:pStyle w:val="ListParagraph"/>
        <w:numPr>
          <w:ilvl w:val="0"/>
          <w:numId w:val="20"/>
        </w:numPr>
      </w:pPr>
      <w:r>
        <w:t xml:space="preserve">Gabriele S. The role of typography in differentiating look-alike/sound-alike drug names. </w:t>
      </w:r>
      <w:proofErr w:type="spellStart"/>
      <w:r>
        <w:t>Healthc</w:t>
      </w:r>
      <w:proofErr w:type="spellEnd"/>
      <w:r>
        <w:t xml:space="preserve"> Q. 2006</w:t>
      </w:r>
      <w:proofErr w:type="gramStart"/>
      <w:r>
        <w:t>;9:88</w:t>
      </w:r>
      <w:proofErr w:type="gramEnd"/>
      <w:r>
        <w:t>–95.</w:t>
      </w:r>
    </w:p>
    <w:p w14:paraId="50A17139" w14:textId="77777777" w:rsidR="0036588B" w:rsidRDefault="0036588B" w:rsidP="0036588B">
      <w:pPr>
        <w:pStyle w:val="ListParagraph"/>
        <w:numPr>
          <w:ilvl w:val="0"/>
          <w:numId w:val="20"/>
        </w:numPr>
      </w:pPr>
      <w:r>
        <w:t xml:space="preserve">The Institute for Safe Medication Practices Canada. Principles for the Application of </w:t>
      </w:r>
      <w:proofErr w:type="spellStart"/>
      <w:r>
        <w:t>TALLman</w:t>
      </w:r>
      <w:proofErr w:type="spellEnd"/>
      <w:r>
        <w:t xml:space="preserve"> Lettering in Canada. 2015 [cited 2019 Nov 9]. </w:t>
      </w:r>
    </w:p>
    <w:p w14:paraId="5C816841" w14:textId="77777777" w:rsidR="0036588B" w:rsidRDefault="0036588B" w:rsidP="0036588B">
      <w:pPr>
        <w:pStyle w:val="ListParagraph"/>
        <w:numPr>
          <w:ilvl w:val="0"/>
          <w:numId w:val="20"/>
        </w:numPr>
      </w:pPr>
      <w:proofErr w:type="spellStart"/>
      <w:r>
        <w:t>DeHenau</w:t>
      </w:r>
      <w:proofErr w:type="spellEnd"/>
      <w:r>
        <w:t xml:space="preserve"> C, Becker MW, Bello NM, Liu S, Bix L. Tallman lettering as a strategy for differentiation in look-alike, sound-alike drug names: the role of familiarity in differentiating drug doppelgangers. Applied ergonomics. 2016</w:t>
      </w:r>
      <w:proofErr w:type="gramStart"/>
      <w:r>
        <w:t>;52:77</w:t>
      </w:r>
      <w:proofErr w:type="gramEnd"/>
      <w:r>
        <w:t>–84.</w:t>
      </w:r>
    </w:p>
    <w:p w14:paraId="6B896991" w14:textId="77777777" w:rsidR="0036588B" w:rsidRDefault="0036588B" w:rsidP="0036588B">
      <w:pPr>
        <w:pStyle w:val="ListParagraph"/>
        <w:numPr>
          <w:ilvl w:val="0"/>
          <w:numId w:val="20"/>
        </w:numPr>
      </w:pPr>
      <w:r>
        <w:t xml:space="preserve">Institute for Safe Medication Practices. ISMP Updates Its List Of Drug Names With Tall Man Letters. 2016 [cited 2019 Nov 9]. Available from: </w:t>
      </w:r>
      <w:hyperlink r:id="rId12" w:history="1">
        <w:r w:rsidRPr="0036588B">
          <w:rPr>
            <w:rStyle w:val="Hyperlink"/>
          </w:rPr>
          <w:t>https://www.ismp.org/newsletters/acutecare/showarticle.aspx?id=1140</w:t>
        </w:r>
      </w:hyperlink>
      <w:r>
        <w:t>.</w:t>
      </w:r>
    </w:p>
    <w:p w14:paraId="11A3C55B" w14:textId="77777777" w:rsidR="0036588B" w:rsidRDefault="0036588B" w:rsidP="0036588B">
      <w:pPr>
        <w:pStyle w:val="ListParagraph"/>
        <w:numPr>
          <w:ilvl w:val="0"/>
          <w:numId w:val="20"/>
        </w:numPr>
      </w:pPr>
      <w:r>
        <w:t xml:space="preserve">Health Quality and Safety Commission New Zealand. Tall Man Lettering List Report. 2013 [cited 2019 Nov 9]. Available from: </w:t>
      </w:r>
      <w:hyperlink r:id="rId13" w:history="1">
        <w:r w:rsidRPr="0036588B">
          <w:rPr>
            <w:rStyle w:val="Hyperlink"/>
          </w:rPr>
          <w:t>https://www.hqsc.govt.nz/assets/Medication-Safety/Tall-Man-lettering/Tall-Man-report-Dec-2013.PDF</w:t>
        </w:r>
      </w:hyperlink>
      <w:r>
        <w:t>.</w:t>
      </w:r>
    </w:p>
    <w:p w14:paraId="1C4BE41D" w14:textId="77777777" w:rsidR="0036588B" w:rsidRDefault="0036588B" w:rsidP="0036588B">
      <w:pPr>
        <w:pStyle w:val="ListParagraph"/>
        <w:numPr>
          <w:ilvl w:val="0"/>
          <w:numId w:val="20"/>
        </w:numPr>
      </w:pPr>
      <w:r>
        <w:t xml:space="preserve">World Health Organization. Patient Safety Solutions: Look-Alike, Sound-Alike Medication Names 2007 [cited 2019 Nov 9]; 1(Solution 1). Available from: </w:t>
      </w:r>
      <w:hyperlink r:id="rId14" w:history="1">
        <w:r w:rsidRPr="0036588B">
          <w:rPr>
            <w:rStyle w:val="Hyperlink"/>
          </w:rPr>
          <w:t>http://www.who.int/patientsafety/solutions/patientsafety/PS-Solution1.pdf?ua=1</w:t>
        </w:r>
      </w:hyperlink>
      <w:r>
        <w:t>.</w:t>
      </w:r>
    </w:p>
    <w:p w14:paraId="267AE51C" w14:textId="77777777" w:rsidR="0036588B" w:rsidRDefault="0036588B" w:rsidP="0036588B">
      <w:pPr>
        <w:pStyle w:val="ListParagraph"/>
        <w:numPr>
          <w:ilvl w:val="0"/>
          <w:numId w:val="20"/>
        </w:numPr>
      </w:pPr>
      <w:r>
        <w:t xml:space="preserve">The National Pharmacy Association. Look-alike sound-alike (LASA) items. October 2018. </w:t>
      </w:r>
      <w:hyperlink r:id="rId15" w:history="1">
        <w:r w:rsidRPr="0036588B">
          <w:rPr>
            <w:rStyle w:val="Hyperlink"/>
          </w:rPr>
          <w:t>https://www.npa.co.uk/wp-content/uploads/2018/10/Look-alike-sound-alike-items.pdf</w:t>
        </w:r>
      </w:hyperlink>
      <w:r>
        <w:t>.</w:t>
      </w:r>
    </w:p>
    <w:p w14:paraId="53B41BF7" w14:textId="1099FFFE" w:rsidR="0036588B" w:rsidRDefault="0036588B" w:rsidP="0036588B">
      <w:pPr>
        <w:pStyle w:val="ListParagraph"/>
        <w:numPr>
          <w:ilvl w:val="0"/>
          <w:numId w:val="20"/>
        </w:numPr>
      </w:pPr>
      <w:r>
        <w:t xml:space="preserve">Institute for Safe Medication Practices. ISMP’s list of confused drug names. 2019 [cited </w:t>
      </w:r>
      <w:r w:rsidR="00E547D6">
        <w:t>2019</w:t>
      </w:r>
      <w:r>
        <w:t xml:space="preserve"> Nov 9]. </w:t>
      </w:r>
      <w:hyperlink r:id="rId16" w:history="1">
        <w:r w:rsidRPr="00316ECA">
          <w:rPr>
            <w:rStyle w:val="Hyperlink"/>
          </w:rPr>
          <w:t>https://www.ismp.org/sites/default/files/attachments/2017-11/confuseddrugnames%2802.2015%29.pdf</w:t>
        </w:r>
      </w:hyperlink>
      <w:r>
        <w:t>.</w:t>
      </w:r>
    </w:p>
    <w:p w14:paraId="3FA1C6CB" w14:textId="77777777" w:rsidR="0036588B" w:rsidRDefault="0036588B" w:rsidP="0036588B">
      <w:pPr>
        <w:pStyle w:val="ListParagraph"/>
        <w:numPr>
          <w:ilvl w:val="0"/>
          <w:numId w:val="20"/>
        </w:numPr>
      </w:pPr>
      <w:r w:rsidRPr="0036588B">
        <w:rPr>
          <w:spacing w:val="-2"/>
        </w:rPr>
        <w:t xml:space="preserve">Application of </w:t>
      </w:r>
      <w:proofErr w:type="spellStart"/>
      <w:r w:rsidRPr="0036588B">
        <w:rPr>
          <w:spacing w:val="-2"/>
        </w:rPr>
        <w:t>TALLman</w:t>
      </w:r>
      <w:proofErr w:type="spellEnd"/>
      <w:r w:rsidRPr="0036588B">
        <w:rPr>
          <w:spacing w:val="-2"/>
        </w:rPr>
        <w:t xml:space="preserve"> lettering for drugs used in oncology. </w:t>
      </w:r>
      <w:r>
        <w:t xml:space="preserve">ISMP Can </w:t>
      </w:r>
      <w:proofErr w:type="spellStart"/>
      <w:r>
        <w:t>Saf</w:t>
      </w:r>
      <w:proofErr w:type="spellEnd"/>
      <w:r>
        <w:t xml:space="preserve"> Bull. 2010 [cited 2019 Nov 9]</w:t>
      </w:r>
      <w:proofErr w:type="gramStart"/>
      <w:r>
        <w:t>;10</w:t>
      </w:r>
      <w:proofErr w:type="gramEnd"/>
      <w:r>
        <w:t xml:space="preserve">(8):1–4. </w:t>
      </w:r>
      <w:hyperlink r:id="rId17" w:history="1">
        <w:r w:rsidRPr="0036588B">
          <w:rPr>
            <w:rStyle w:val="Hyperlink"/>
          </w:rPr>
          <w:t>https://www.ismp-canada.org/download/safetyBulletins/ISMPCSB2010-08-TALLmanforOncology.pdf</w:t>
        </w:r>
      </w:hyperlink>
      <w:r>
        <w:t>.</w:t>
      </w:r>
    </w:p>
    <w:p w14:paraId="3C544173" w14:textId="77777777" w:rsidR="0036588B" w:rsidRDefault="0036588B" w:rsidP="0036588B">
      <w:pPr>
        <w:pStyle w:val="ListParagraph"/>
        <w:numPr>
          <w:ilvl w:val="0"/>
          <w:numId w:val="20"/>
        </w:numPr>
      </w:pPr>
      <w:r>
        <w:t>Lambert BL, Lin S-J, Chang K-Y, Gandhi SK. Similarity as a risk factor in drug-name confusion errors: the look-alike (orthographic) and sound-alike (phonetic) model. Medical care. 1999</w:t>
      </w:r>
      <w:proofErr w:type="gramStart"/>
      <w:r>
        <w:t>;37</w:t>
      </w:r>
      <w:proofErr w:type="gramEnd"/>
      <w:r>
        <w:t>(12):1214–25.</w:t>
      </w:r>
    </w:p>
    <w:p w14:paraId="47AA8D9E" w14:textId="47FF71A3" w:rsidR="0036588B" w:rsidRPr="0036588B" w:rsidRDefault="0036588B" w:rsidP="0036588B">
      <w:pPr>
        <w:pStyle w:val="ListParagraph"/>
        <w:numPr>
          <w:ilvl w:val="0"/>
          <w:numId w:val="20"/>
        </w:numPr>
      </w:pPr>
      <w:proofErr w:type="spellStart"/>
      <w:r>
        <w:t>Phatak</w:t>
      </w:r>
      <w:proofErr w:type="spellEnd"/>
      <w:r>
        <w:t xml:space="preserve"> HM, Cady PS, </w:t>
      </w:r>
      <w:proofErr w:type="spellStart"/>
      <w:r>
        <w:t>Heyneman</w:t>
      </w:r>
      <w:proofErr w:type="spellEnd"/>
      <w:r>
        <w:t xml:space="preserve"> CA, Culbertson VL. Retrospective detection of potential medication errors involving drugs with similar names. Journal of the American Pharmacists Association. 2005</w:t>
      </w:r>
      <w:proofErr w:type="gramStart"/>
      <w:r>
        <w:t>;45</w:t>
      </w:r>
      <w:proofErr w:type="gramEnd"/>
      <w:r>
        <w:t>(5):616–24.</w:t>
      </w:r>
    </w:p>
    <w:p w14:paraId="63FDD94A" w14:textId="77777777" w:rsidR="00195458" w:rsidRDefault="00195458" w:rsidP="0099343F">
      <w:pPr>
        <w:pStyle w:val="Heading2"/>
      </w:pPr>
      <w:r>
        <w:t>Questions?</w:t>
      </w:r>
    </w:p>
    <w:p w14:paraId="1C85E006" w14:textId="5BFD2C83" w:rsidR="00195458" w:rsidRPr="00195458" w:rsidRDefault="00B07615" w:rsidP="00195458">
      <w:r>
        <w:rPr>
          <w:noProof/>
        </w:rPr>
        <w:drawing>
          <wp:anchor distT="0" distB="0" distL="114300" distR="114300" simplePos="0" relativeHeight="251662336" behindDoc="0" locked="0" layoutInCell="1" allowOverlap="1" wp14:anchorId="143CD8C1" wp14:editId="4C9A0AD8">
            <wp:simplePos x="0" y="0"/>
            <wp:positionH relativeFrom="column">
              <wp:posOffset>0</wp:posOffset>
            </wp:positionH>
            <wp:positionV relativeFrom="paragraph">
              <wp:posOffset>3175</wp:posOffset>
            </wp:positionV>
            <wp:extent cx="609600" cy="622300"/>
            <wp:effectExtent l="0" t="0" r="0" b="12700"/>
            <wp:wrapSquare wrapText="bothSides"/>
            <wp:docPr id="11" name="Picture 9" descr="QR 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09600" cy="622300"/>
                    </a:xfrm>
                    <a:prstGeom prst="rect">
                      <a:avLst/>
                    </a:prstGeom>
                    <a:noFill/>
                    <a:ln>
                      <a:noFill/>
                    </a:ln>
                  </pic:spPr>
                </pic:pic>
              </a:graphicData>
            </a:graphic>
            <wp14:sizeRelH relativeFrom="page">
              <wp14:pctWidth>0</wp14:pctWidth>
            </wp14:sizeRelH>
            <wp14:sizeRelV relativeFrom="page">
              <wp14:pctHeight>0</wp14:pctHeight>
            </wp14:sizeRelV>
          </wp:anchor>
        </w:drawing>
      </w:r>
      <w:r w:rsidR="00195458" w:rsidRPr="00195458">
        <w:t>For more information, please visit:</w:t>
      </w:r>
      <w:r w:rsidR="003A70CE">
        <w:t xml:space="preserve"> </w:t>
      </w:r>
      <w:hyperlink r:id="rId19" w:history="1">
        <w:r w:rsidR="003A70CE" w:rsidRPr="003A70CE">
          <w:rPr>
            <w:rStyle w:val="Hyperlink"/>
          </w:rPr>
          <w:t>safetyandquality.gov.au/our-work/medication-safety/safer-naming-labelling-and-packaging-medicines/national-tall-man-lettering-list</w:t>
        </w:r>
      </w:hyperlink>
      <w:r w:rsidR="003A70CE" w:rsidRPr="00195458">
        <w:t xml:space="preserve"> </w:t>
      </w:r>
    </w:p>
    <w:p w14:paraId="29BD5247" w14:textId="6694D7D9" w:rsidR="00195458" w:rsidRPr="0099343F" w:rsidRDefault="00195458" w:rsidP="0099343F">
      <w:pPr>
        <w:rPr>
          <w:rStyle w:val="Roman"/>
        </w:rPr>
      </w:pPr>
      <w:r w:rsidRPr="00195458">
        <w:t xml:space="preserve">You can also contact the Comprehensive Care project team at: </w:t>
      </w:r>
      <w:hyperlink r:id="rId20" w:history="1">
        <w:r w:rsidRPr="00195458">
          <w:rPr>
            <w:rStyle w:val="Hyperlink"/>
          </w:rPr>
          <w:t>mail@safetyandquality.gov.au</w:t>
        </w:r>
      </w:hyperlink>
    </w:p>
    <w:p w14:paraId="26B8D70E" w14:textId="7D97FDE8" w:rsidR="00195458" w:rsidRPr="00195458" w:rsidRDefault="00195458" w:rsidP="00A02BFF">
      <w:pPr>
        <w:ind w:right="-204"/>
        <w:jc w:val="right"/>
        <w:rPr>
          <w:rFonts w:eastAsiaTheme="majorEastAsia"/>
        </w:rPr>
      </w:pPr>
    </w:p>
    <w:p w14:paraId="1F64B81D" w14:textId="69697908" w:rsidR="00195458" w:rsidRDefault="00624057" w:rsidP="00195458">
      <w:hyperlink r:id="rId21" w:history="1">
        <w:r w:rsidR="00195458" w:rsidRPr="00195458">
          <w:rPr>
            <w:rStyle w:val="Hyperlink"/>
          </w:rPr>
          <w:t>safetyandquality.gov.au</w:t>
        </w:r>
      </w:hyperlink>
    </w:p>
    <w:p w14:paraId="4D709544" w14:textId="386FB868" w:rsidR="00F560D5" w:rsidRDefault="001918F7" w:rsidP="00521CC3">
      <w:pPr>
        <w:pStyle w:val="FootnoteText"/>
        <w:spacing w:before="240"/>
      </w:pPr>
      <w:r w:rsidRPr="0036588B">
        <w:rPr>
          <w:noProof/>
        </w:rPr>
        <w:drawing>
          <wp:anchor distT="0" distB="0" distL="114300" distR="114300" simplePos="0" relativeHeight="251663360" behindDoc="0" locked="0" layoutInCell="1" allowOverlap="1" wp14:anchorId="52E40C1F" wp14:editId="2AB9ACB1">
            <wp:simplePos x="0" y="0"/>
            <wp:positionH relativeFrom="column">
              <wp:posOffset>0</wp:posOffset>
            </wp:positionH>
            <wp:positionV relativeFrom="paragraph">
              <wp:posOffset>81280</wp:posOffset>
            </wp:positionV>
            <wp:extent cx="840105" cy="297815"/>
            <wp:effectExtent l="0" t="0" r="0" b="6985"/>
            <wp:wrapSquare wrapText="bothSides"/>
            <wp:docPr id="4" name="Picture 4" descr="Creative Commons Lic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eative Commons Licenc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40105" cy="2978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304FD">
        <w:rPr>
          <w:rStyle w:val="Roman"/>
          <w:rFonts w:eastAsiaTheme="majorEastAsia"/>
        </w:rPr>
        <w:t xml:space="preserve">© Australian Commission on Safety </w:t>
      </w:r>
      <w:r w:rsidR="0099343F">
        <w:rPr>
          <w:rStyle w:val="Roman"/>
          <w:rFonts w:eastAsiaTheme="majorEastAsia"/>
        </w:rPr>
        <w:br/>
      </w:r>
      <w:r w:rsidRPr="00E304FD">
        <w:rPr>
          <w:rStyle w:val="Roman"/>
          <w:rFonts w:eastAsiaTheme="majorEastAsia"/>
        </w:rPr>
        <w:t>and Quality in Health Care 20</w:t>
      </w:r>
      <w:r w:rsidR="003A70CE">
        <w:rPr>
          <w:rStyle w:val="Roman"/>
          <w:rFonts w:eastAsiaTheme="majorEastAsia"/>
        </w:rPr>
        <w:t>20</w:t>
      </w:r>
      <w:r w:rsidR="007B5D1E" w:rsidRPr="007B5D1E">
        <w:t xml:space="preserve"> </w:t>
      </w:r>
      <w:r w:rsidR="007B5D1E" w:rsidRPr="007B5D1E" w:rsidDel="00174535">
        <w:rPr>
          <w:rStyle w:val="Roman"/>
          <w:rFonts w:eastAsiaTheme="majorEastAsia"/>
        </w:rPr>
        <w:t xml:space="preserve"> </w:t>
      </w:r>
    </w:p>
    <w:sectPr w:rsidR="00F560D5" w:rsidSect="00B93CD5">
      <w:headerReference w:type="default" r:id="rId23"/>
      <w:footerReference w:type="default" r:id="rId24"/>
      <w:pgSz w:w="11906" w:h="16838"/>
      <w:pgMar w:top="2126"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27919C" w14:textId="77777777" w:rsidR="0036588B" w:rsidRDefault="0036588B" w:rsidP="000B0274">
      <w:r>
        <w:separator/>
      </w:r>
    </w:p>
  </w:endnote>
  <w:endnote w:type="continuationSeparator" w:id="0">
    <w:p w14:paraId="04C115BB" w14:textId="77777777" w:rsidR="0036588B" w:rsidRDefault="0036588B" w:rsidP="000B0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auto"/>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otham Medium">
    <w:altName w:val="Arial"/>
    <w:panose1 w:val="00000000000000000000"/>
    <w:charset w:val="00"/>
    <w:family w:val="auto"/>
    <w:notTrueType/>
    <w:pitch w:val="variable"/>
    <w:sig w:usb0="00000003" w:usb1="00000000" w:usb2="00000000" w:usb3="00000000" w:csb0="0000000B" w:csb1="00000000"/>
  </w:font>
  <w:font w:name="MinionPro-Regular">
    <w:altName w:val="Minion Pro"/>
    <w:panose1 w:val="00000000000000000000"/>
    <w:charset w:val="4D"/>
    <w:family w:val="auto"/>
    <w:notTrueType/>
    <w:pitch w:val="default"/>
    <w:sig w:usb0="00000003" w:usb1="00000000" w:usb2="00000000" w:usb3="00000000" w:csb0="00000001" w:csb1="00000000"/>
  </w:font>
  <w:font w:name="ArialMT">
    <w:altName w:val="Arial"/>
    <w:panose1 w:val="00000000000000000000"/>
    <w:charset w:val="4D"/>
    <w:family w:val="auto"/>
    <w:notTrueType/>
    <w:pitch w:val="default"/>
    <w:sig w:usb0="00000003" w:usb1="00000000" w:usb2="00000000" w:usb3="00000000" w:csb0="00000001" w:csb1="00000000"/>
  </w:font>
  <w:font w:name="Arial-BoldMT">
    <w:altName w:val="Arial"/>
    <w:panose1 w:val="00000000000000000000"/>
    <w:charset w:val="4D"/>
    <w:family w:val="auto"/>
    <w:notTrueType/>
    <w:pitch w:val="default"/>
    <w:sig w:usb0="00000003" w:usb1="00000000" w:usb2="00000000" w:usb3="00000000" w:csb0="00000001" w:csb1="00000000"/>
  </w:font>
  <w:font w:name="Calluna-It">
    <w:altName w:val="Calluna"/>
    <w:panose1 w:val="00000000000000000000"/>
    <w:charset w:val="4D"/>
    <w:family w:val="auto"/>
    <w:notTrueType/>
    <w:pitch w:val="default"/>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ProximaNova-Bold">
    <w:altName w:val="Proxima Nova"/>
    <w:panose1 w:val="00000000000000000000"/>
    <w:charset w:val="4D"/>
    <w:family w:val="auto"/>
    <w:notTrueType/>
    <w:pitch w:val="default"/>
    <w:sig w:usb0="00000003" w:usb1="00000000" w:usb2="00000000" w:usb3="00000000" w:csb0="00000001" w:csb1="00000000"/>
  </w:font>
  <w:font w:name="Arial-ItalicMT">
    <w:altName w:val="Arial"/>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CBAC6B" w14:textId="3251AA51" w:rsidR="0036588B" w:rsidRPr="00B93CD5" w:rsidRDefault="0036588B" w:rsidP="00A541E1">
    <w:pPr>
      <w:pStyle w:val="Footer"/>
      <w:tabs>
        <w:tab w:val="clear" w:pos="4513"/>
        <w:tab w:val="clear" w:pos="9026"/>
        <w:tab w:val="center" w:pos="5245"/>
        <w:tab w:val="right" w:pos="9639"/>
      </w:tabs>
    </w:pPr>
    <w:r w:rsidRPr="00A541E1">
      <w:rPr>
        <w:lang w:val="en-US"/>
      </w:rPr>
      <w:t>A health IT-related classification system</w:t>
    </w:r>
    <w:r w:rsidRPr="00B93CD5">
      <w:tab/>
    </w:r>
    <w:r w:rsidRPr="00B93CD5">
      <w:tab/>
    </w:r>
    <w:r w:rsidRPr="00B93CD5">
      <w:fldChar w:fldCharType="begin"/>
    </w:r>
    <w:r w:rsidRPr="00B93CD5">
      <w:instrText xml:space="preserve"> PAGE   \* MERGEFORMAT </w:instrText>
    </w:r>
    <w:r w:rsidRPr="00B93CD5">
      <w:fldChar w:fldCharType="separate"/>
    </w:r>
    <w:r w:rsidR="00624057">
      <w:rPr>
        <w:noProof/>
      </w:rPr>
      <w:t>4</w:t>
    </w:r>
    <w:r w:rsidRPr="00B93CD5">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55A7E7" w14:textId="77777777" w:rsidR="0036588B" w:rsidRDefault="0036588B" w:rsidP="000B0274">
      <w:r>
        <w:separator/>
      </w:r>
    </w:p>
  </w:footnote>
  <w:footnote w:type="continuationSeparator" w:id="0">
    <w:p w14:paraId="5EA3ABEE" w14:textId="77777777" w:rsidR="0036588B" w:rsidRDefault="0036588B" w:rsidP="000B02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40E765" w14:textId="7BF15A87" w:rsidR="0036588B" w:rsidRDefault="0036588B">
    <w:pPr>
      <w:pStyle w:val="Header"/>
    </w:pPr>
    <w:r w:rsidRPr="00521CC3">
      <w:rPr>
        <w:rFonts w:eastAsiaTheme="majorEastAsia"/>
        <w:noProof/>
      </w:rPr>
      <w:drawing>
        <wp:inline distT="0" distB="0" distL="0" distR="0" wp14:anchorId="752AEEBE" wp14:editId="0B15D90D">
          <wp:extent cx="4335880" cy="612000"/>
          <wp:effectExtent l="0" t="0" r="0" b="0"/>
          <wp:docPr id="6" name="Picture 6" descr="Australian Commission on Safety and Quality in Health Care logo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CSQHC_logo_inline_CMYK300_JPG (53722) (D15-40815).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35880" cy="612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049FA"/>
    <w:multiLevelType w:val="multilevel"/>
    <w:tmpl w:val="EABE25FA"/>
    <w:styleLink w:val="Listbullets"/>
    <w:lvl w:ilvl="0">
      <w:start w:val="1"/>
      <w:numFmt w:val="bullet"/>
      <w:lvlText w:val=""/>
      <w:lvlJc w:val="left"/>
      <w:pPr>
        <w:ind w:left="360" w:hanging="360"/>
      </w:pPr>
      <w:rPr>
        <w:rFonts w:ascii="Symbol" w:hAnsi="Symbol" w:hint="default"/>
      </w:rPr>
    </w:lvl>
    <w:lvl w:ilvl="1">
      <w:start w:val="1"/>
      <w:numFmt w:val="bullet"/>
      <w:lvlText w:val="-"/>
      <w:lvlJc w:val="left"/>
      <w:pPr>
        <w:ind w:left="567" w:hanging="283"/>
      </w:pPr>
      <w:rPr>
        <w:rFonts w:ascii="Courier New" w:hAnsi="Courier New" w:hint="default"/>
      </w:rPr>
    </w:lvl>
    <w:lvl w:ilvl="2">
      <w:start w:val="1"/>
      <w:numFmt w:val="bullet"/>
      <w:lvlText w:val="-"/>
      <w:lvlJc w:val="left"/>
      <w:pPr>
        <w:ind w:left="1080" w:hanging="360"/>
      </w:pPr>
      <w:rPr>
        <w:rFonts w:ascii="Arial" w:hAnsi="Aria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6105138"/>
    <w:multiLevelType w:val="hybridMultilevel"/>
    <w:tmpl w:val="0E8C4BC4"/>
    <w:lvl w:ilvl="0" w:tplc="EC840366">
      <w:start w:val="1"/>
      <w:numFmt w:val="bullet"/>
      <w:pStyle w:val="Dash"/>
      <w:lvlText w:val="–"/>
      <w:lvlJc w:val="left"/>
      <w:pPr>
        <w:tabs>
          <w:tab w:val="num" w:pos="216"/>
        </w:tabs>
        <w:ind w:left="360" w:firstLine="0"/>
      </w:pPr>
      <w:rPr>
        <w:rFonts w:ascii="Times New Roman" w:hAnsi="Times New Roman" w:cs="Times New Roman"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CB4511"/>
    <w:multiLevelType w:val="multilevel"/>
    <w:tmpl w:val="0C09001D"/>
    <w:styleLink w:val="Bullet"/>
    <w:lvl w:ilvl="0">
      <w:start w:val="1"/>
      <w:numFmt w:val="bullet"/>
      <w:lvlText w:val=""/>
      <w:lvlJc w:val="left"/>
      <w:pPr>
        <w:ind w:left="360" w:hanging="360"/>
      </w:pPr>
      <w:rPr>
        <w:rFonts w:ascii="Symbol" w:hAnsi="Symbol" w:hint="default"/>
        <w:sz w:val="22"/>
      </w:rPr>
    </w:lvl>
    <w:lvl w:ilvl="1">
      <w:start w:val="1"/>
      <w:numFmt w:val="bullet"/>
      <w:lvlText w:val="-"/>
      <w:lvlJc w:val="left"/>
      <w:pPr>
        <w:ind w:left="720" w:hanging="360"/>
      </w:pPr>
      <w:rPr>
        <w:rFonts w:ascii="Arial" w:hAnsi="Arial" w:hint="default"/>
        <w:sz w:val="22"/>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E9C32EB"/>
    <w:multiLevelType w:val="multilevel"/>
    <w:tmpl w:val="D1DCA2EC"/>
    <w:lvl w:ilvl="0">
      <w:start w:val="1"/>
      <w:numFmt w:val="bullet"/>
      <w:pStyle w:val="Bulletlist"/>
      <w:lvlText w:val=""/>
      <w:lvlJc w:val="left"/>
      <w:pPr>
        <w:ind w:left="567" w:hanging="283"/>
      </w:pPr>
      <w:rPr>
        <w:rFonts w:ascii="Symbol" w:hAnsi="Symbol" w:hint="default"/>
        <w:sz w:val="22"/>
      </w:rPr>
    </w:lvl>
    <w:lvl w:ilvl="1">
      <w:start w:val="1"/>
      <w:numFmt w:val="bullet"/>
      <w:lvlText w:val="-"/>
      <w:lvlJc w:val="left"/>
      <w:pPr>
        <w:ind w:left="851" w:hanging="284"/>
      </w:pPr>
      <w:rPr>
        <w:rFonts w:ascii="Arial" w:hAnsi="Arial" w:hint="default"/>
      </w:rPr>
    </w:lvl>
    <w:lvl w:ilvl="2">
      <w:start w:val="1"/>
      <w:numFmt w:val="bullet"/>
      <w:lvlText w:val="-"/>
      <w:lvlJc w:val="left"/>
      <w:pPr>
        <w:ind w:left="1800" w:hanging="360"/>
      </w:pPr>
      <w:rPr>
        <w:rFonts w:ascii="Arial" w:hAnsi="Arial"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4" w15:restartNumberingAfterBreak="0">
    <w:nsid w:val="14552A34"/>
    <w:multiLevelType w:val="hybridMultilevel"/>
    <w:tmpl w:val="77044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AD16D7"/>
    <w:multiLevelType w:val="hybridMultilevel"/>
    <w:tmpl w:val="E4424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BB4224"/>
    <w:multiLevelType w:val="hybridMultilevel"/>
    <w:tmpl w:val="9A809E82"/>
    <w:lvl w:ilvl="0" w:tplc="288E36DA">
      <w:start w:val="1"/>
      <w:numFmt w:val="bullet"/>
      <w:pStyle w:val="BoxBullet"/>
      <w:lvlText w:val=""/>
      <w:lvlJc w:val="left"/>
      <w:pPr>
        <w:tabs>
          <w:tab w:val="num" w:pos="357"/>
        </w:tabs>
        <w:ind w:left="357" w:hanging="35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1D1284"/>
    <w:multiLevelType w:val="hybridMultilevel"/>
    <w:tmpl w:val="92AAF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0B3263"/>
    <w:multiLevelType w:val="hybridMultilevel"/>
    <w:tmpl w:val="7B747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F52A50"/>
    <w:multiLevelType w:val="multilevel"/>
    <w:tmpl w:val="A3CE8E94"/>
    <w:styleLink w:val="Bullets"/>
    <w:lvl w:ilvl="0">
      <w:start w:val="1"/>
      <w:numFmt w:val="bullet"/>
      <w:lvlText w:val=""/>
      <w:lvlJc w:val="left"/>
      <w:pPr>
        <w:ind w:left="1080" w:hanging="360"/>
      </w:pPr>
      <w:rPr>
        <w:rFonts w:ascii="Symbol" w:hAnsi="Symbol" w:hint="default"/>
        <w:sz w:val="22"/>
      </w:rPr>
    </w:lvl>
    <w:lvl w:ilvl="1">
      <w:start w:val="1"/>
      <w:numFmt w:val="bullet"/>
      <w:lvlText w:val="-"/>
      <w:lvlJc w:val="left"/>
      <w:pPr>
        <w:ind w:left="1440" w:hanging="360"/>
      </w:pPr>
      <w:rPr>
        <w:rFonts w:ascii="Arial" w:hAnsi="Arial" w:hint="default"/>
      </w:rPr>
    </w:lvl>
    <w:lvl w:ilvl="2">
      <w:start w:val="1"/>
      <w:numFmt w:val="bullet"/>
      <w:lvlText w:val="-"/>
      <w:lvlJc w:val="left"/>
      <w:pPr>
        <w:ind w:left="1800" w:hanging="360"/>
      </w:pPr>
      <w:rPr>
        <w:rFonts w:ascii="Arial" w:hAnsi="Arial"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0" w15:restartNumberingAfterBreak="0">
    <w:nsid w:val="28A2123D"/>
    <w:multiLevelType w:val="hybridMultilevel"/>
    <w:tmpl w:val="DD7431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A452C3"/>
    <w:multiLevelType w:val="multilevel"/>
    <w:tmpl w:val="3FEA7ED4"/>
    <w:lvl w:ilvl="0">
      <w:start w:val="1"/>
      <w:numFmt w:val="decimal"/>
      <w:pStyle w:val="Numberedlists"/>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9603838"/>
    <w:multiLevelType w:val="hybridMultilevel"/>
    <w:tmpl w:val="057E2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D975F5"/>
    <w:multiLevelType w:val="multilevel"/>
    <w:tmpl w:val="0C09001D"/>
    <w:styleLink w:val="BulletsLevel1"/>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57E35A9F"/>
    <w:multiLevelType w:val="hybridMultilevel"/>
    <w:tmpl w:val="78221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B22C24"/>
    <w:multiLevelType w:val="hybridMultilevel"/>
    <w:tmpl w:val="F73A2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863A06"/>
    <w:multiLevelType w:val="hybridMultilevel"/>
    <w:tmpl w:val="79067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990E3B"/>
    <w:multiLevelType w:val="hybridMultilevel"/>
    <w:tmpl w:val="550C0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553371B"/>
    <w:multiLevelType w:val="hybridMultilevel"/>
    <w:tmpl w:val="8BEAF6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8355D8A"/>
    <w:multiLevelType w:val="hybridMultilevel"/>
    <w:tmpl w:val="9B8CCE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9"/>
  </w:num>
  <w:num w:numId="4">
    <w:abstractNumId w:val="13"/>
  </w:num>
  <w:num w:numId="5">
    <w:abstractNumId w:val="11"/>
  </w:num>
  <w:num w:numId="6">
    <w:abstractNumId w:val="3"/>
  </w:num>
  <w:num w:numId="7">
    <w:abstractNumId w:val="6"/>
  </w:num>
  <w:num w:numId="8">
    <w:abstractNumId w:val="1"/>
  </w:num>
  <w:num w:numId="9">
    <w:abstractNumId w:val="18"/>
  </w:num>
  <w:num w:numId="10">
    <w:abstractNumId w:val="19"/>
  </w:num>
  <w:num w:numId="11">
    <w:abstractNumId w:val="16"/>
  </w:num>
  <w:num w:numId="12">
    <w:abstractNumId w:val="17"/>
  </w:num>
  <w:num w:numId="13">
    <w:abstractNumId w:val="5"/>
  </w:num>
  <w:num w:numId="14">
    <w:abstractNumId w:val="4"/>
  </w:num>
  <w:num w:numId="15">
    <w:abstractNumId w:val="15"/>
  </w:num>
  <w:num w:numId="16">
    <w:abstractNumId w:val="12"/>
  </w:num>
  <w:num w:numId="17">
    <w:abstractNumId w:val="7"/>
  </w:num>
  <w:num w:numId="18">
    <w:abstractNumId w:val="8"/>
  </w:num>
  <w:num w:numId="19">
    <w:abstractNumId w:val="14"/>
  </w:num>
  <w:num w:numId="20">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activeWritingStyle w:appName="MSWord" w:lang="en-AU" w:vendorID="64" w:dllVersion="131078" w:nlCheck="1" w:checkStyle="1"/>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DEE"/>
    <w:rsid w:val="00003743"/>
    <w:rsid w:val="0001053B"/>
    <w:rsid w:val="00012782"/>
    <w:rsid w:val="00020DBD"/>
    <w:rsid w:val="00025A92"/>
    <w:rsid w:val="0003162D"/>
    <w:rsid w:val="00036F5E"/>
    <w:rsid w:val="000406F8"/>
    <w:rsid w:val="00043671"/>
    <w:rsid w:val="00050775"/>
    <w:rsid w:val="00054B74"/>
    <w:rsid w:val="00067456"/>
    <w:rsid w:val="0008065C"/>
    <w:rsid w:val="00090EFF"/>
    <w:rsid w:val="00095DA6"/>
    <w:rsid w:val="000A3F0D"/>
    <w:rsid w:val="000A4C01"/>
    <w:rsid w:val="000B0274"/>
    <w:rsid w:val="000B0BFE"/>
    <w:rsid w:val="000B79D3"/>
    <w:rsid w:val="000C1722"/>
    <w:rsid w:val="000C1DD4"/>
    <w:rsid w:val="000D017D"/>
    <w:rsid w:val="000D6405"/>
    <w:rsid w:val="000E2F2E"/>
    <w:rsid w:val="000F0D77"/>
    <w:rsid w:val="0010673D"/>
    <w:rsid w:val="00106CF5"/>
    <w:rsid w:val="00120FCB"/>
    <w:rsid w:val="00131E52"/>
    <w:rsid w:val="00143A76"/>
    <w:rsid w:val="00145BE3"/>
    <w:rsid w:val="00146A66"/>
    <w:rsid w:val="001507C6"/>
    <w:rsid w:val="00157B31"/>
    <w:rsid w:val="00160453"/>
    <w:rsid w:val="00174535"/>
    <w:rsid w:val="0017675C"/>
    <w:rsid w:val="00183675"/>
    <w:rsid w:val="001852DE"/>
    <w:rsid w:val="001859B5"/>
    <w:rsid w:val="001860B2"/>
    <w:rsid w:val="001918F7"/>
    <w:rsid w:val="001921ED"/>
    <w:rsid w:val="00195458"/>
    <w:rsid w:val="00196AC8"/>
    <w:rsid w:val="001A11A5"/>
    <w:rsid w:val="001B15D1"/>
    <w:rsid w:val="001B3443"/>
    <w:rsid w:val="001E1042"/>
    <w:rsid w:val="001E38B8"/>
    <w:rsid w:val="001E77C4"/>
    <w:rsid w:val="001F6D10"/>
    <w:rsid w:val="0023231A"/>
    <w:rsid w:val="00237ADF"/>
    <w:rsid w:val="00245D81"/>
    <w:rsid w:val="0024767D"/>
    <w:rsid w:val="002503C3"/>
    <w:rsid w:val="00251167"/>
    <w:rsid w:val="00255596"/>
    <w:rsid w:val="00255DCB"/>
    <w:rsid w:val="00261F43"/>
    <w:rsid w:val="00263A63"/>
    <w:rsid w:val="00264A5A"/>
    <w:rsid w:val="002662B4"/>
    <w:rsid w:val="00267635"/>
    <w:rsid w:val="00281FD4"/>
    <w:rsid w:val="00291EBD"/>
    <w:rsid w:val="002C6AF0"/>
    <w:rsid w:val="002D0EB0"/>
    <w:rsid w:val="002E195D"/>
    <w:rsid w:val="002E2DBA"/>
    <w:rsid w:val="002E3986"/>
    <w:rsid w:val="002E6A48"/>
    <w:rsid w:val="002E7082"/>
    <w:rsid w:val="002F3AE3"/>
    <w:rsid w:val="002F7E6F"/>
    <w:rsid w:val="0030786C"/>
    <w:rsid w:val="00312A62"/>
    <w:rsid w:val="00316683"/>
    <w:rsid w:val="00341BEE"/>
    <w:rsid w:val="00343286"/>
    <w:rsid w:val="00350BE1"/>
    <w:rsid w:val="003657DB"/>
    <w:rsid w:val="0036588B"/>
    <w:rsid w:val="00386683"/>
    <w:rsid w:val="003873C6"/>
    <w:rsid w:val="00392002"/>
    <w:rsid w:val="00392A85"/>
    <w:rsid w:val="00396AFB"/>
    <w:rsid w:val="003A70CE"/>
    <w:rsid w:val="003C297A"/>
    <w:rsid w:val="003C540E"/>
    <w:rsid w:val="003D17F9"/>
    <w:rsid w:val="003D437B"/>
    <w:rsid w:val="003D4829"/>
    <w:rsid w:val="003E6E73"/>
    <w:rsid w:val="003E76C8"/>
    <w:rsid w:val="003F3F0B"/>
    <w:rsid w:val="0040152C"/>
    <w:rsid w:val="00402CBA"/>
    <w:rsid w:val="00412E9D"/>
    <w:rsid w:val="00414952"/>
    <w:rsid w:val="00425504"/>
    <w:rsid w:val="0042727E"/>
    <w:rsid w:val="004305D6"/>
    <w:rsid w:val="00440CC0"/>
    <w:rsid w:val="00447D31"/>
    <w:rsid w:val="00455560"/>
    <w:rsid w:val="00470AB8"/>
    <w:rsid w:val="00477E9B"/>
    <w:rsid w:val="00482ECA"/>
    <w:rsid w:val="00485794"/>
    <w:rsid w:val="004867E2"/>
    <w:rsid w:val="00486826"/>
    <w:rsid w:val="004A0670"/>
    <w:rsid w:val="004A4851"/>
    <w:rsid w:val="004A5C81"/>
    <w:rsid w:val="004B2999"/>
    <w:rsid w:val="004C3664"/>
    <w:rsid w:val="004C4927"/>
    <w:rsid w:val="004E067A"/>
    <w:rsid w:val="004E179B"/>
    <w:rsid w:val="004E2389"/>
    <w:rsid w:val="004E50C2"/>
    <w:rsid w:val="004E58C1"/>
    <w:rsid w:val="0051563D"/>
    <w:rsid w:val="0052107C"/>
    <w:rsid w:val="00521CC3"/>
    <w:rsid w:val="005221B7"/>
    <w:rsid w:val="00530100"/>
    <w:rsid w:val="00536E0C"/>
    <w:rsid w:val="005408C7"/>
    <w:rsid w:val="005422E7"/>
    <w:rsid w:val="00544A4E"/>
    <w:rsid w:val="00553E33"/>
    <w:rsid w:val="00562F72"/>
    <w:rsid w:val="00566B97"/>
    <w:rsid w:val="00570C6C"/>
    <w:rsid w:val="00584334"/>
    <w:rsid w:val="0059724C"/>
    <w:rsid w:val="005A1AA7"/>
    <w:rsid w:val="005A4D0B"/>
    <w:rsid w:val="005A735B"/>
    <w:rsid w:val="005B04D8"/>
    <w:rsid w:val="005C1496"/>
    <w:rsid w:val="005C5EF4"/>
    <w:rsid w:val="005C6AAE"/>
    <w:rsid w:val="005D1073"/>
    <w:rsid w:val="005D5D06"/>
    <w:rsid w:val="005E2614"/>
    <w:rsid w:val="00607B0B"/>
    <w:rsid w:val="00614E29"/>
    <w:rsid w:val="0062216A"/>
    <w:rsid w:val="00624057"/>
    <w:rsid w:val="00625634"/>
    <w:rsid w:val="00630199"/>
    <w:rsid w:val="006317C9"/>
    <w:rsid w:val="00632475"/>
    <w:rsid w:val="00632C35"/>
    <w:rsid w:val="00641CB0"/>
    <w:rsid w:val="0064239F"/>
    <w:rsid w:val="00656A90"/>
    <w:rsid w:val="00664F67"/>
    <w:rsid w:val="00670F54"/>
    <w:rsid w:val="006728F9"/>
    <w:rsid w:val="006767BC"/>
    <w:rsid w:val="006803BA"/>
    <w:rsid w:val="006922F5"/>
    <w:rsid w:val="006947D9"/>
    <w:rsid w:val="006A16DD"/>
    <w:rsid w:val="006B3CFC"/>
    <w:rsid w:val="006C0CD8"/>
    <w:rsid w:val="006C5AEE"/>
    <w:rsid w:val="006C679A"/>
    <w:rsid w:val="006D732F"/>
    <w:rsid w:val="006E688D"/>
    <w:rsid w:val="006F1432"/>
    <w:rsid w:val="006F7964"/>
    <w:rsid w:val="007028EC"/>
    <w:rsid w:val="007035D8"/>
    <w:rsid w:val="0070703E"/>
    <w:rsid w:val="00711E21"/>
    <w:rsid w:val="0071637F"/>
    <w:rsid w:val="00722691"/>
    <w:rsid w:val="007238E8"/>
    <w:rsid w:val="007333AD"/>
    <w:rsid w:val="007360BF"/>
    <w:rsid w:val="00747CE1"/>
    <w:rsid w:val="007545C7"/>
    <w:rsid w:val="0076005C"/>
    <w:rsid w:val="0076111D"/>
    <w:rsid w:val="007635C1"/>
    <w:rsid w:val="00766B42"/>
    <w:rsid w:val="0076731D"/>
    <w:rsid w:val="00767650"/>
    <w:rsid w:val="0078070C"/>
    <w:rsid w:val="00784541"/>
    <w:rsid w:val="007968CC"/>
    <w:rsid w:val="00796FB7"/>
    <w:rsid w:val="0079708B"/>
    <w:rsid w:val="007B04A9"/>
    <w:rsid w:val="007B16AC"/>
    <w:rsid w:val="007B5D05"/>
    <w:rsid w:val="007B5D1E"/>
    <w:rsid w:val="007C2217"/>
    <w:rsid w:val="007C471C"/>
    <w:rsid w:val="007C52D3"/>
    <w:rsid w:val="007E000D"/>
    <w:rsid w:val="007F3645"/>
    <w:rsid w:val="007F58DD"/>
    <w:rsid w:val="007F6791"/>
    <w:rsid w:val="00811C26"/>
    <w:rsid w:val="008264EB"/>
    <w:rsid w:val="00827924"/>
    <w:rsid w:val="00830756"/>
    <w:rsid w:val="00857E76"/>
    <w:rsid w:val="00865932"/>
    <w:rsid w:val="00872059"/>
    <w:rsid w:val="00873673"/>
    <w:rsid w:val="008803A1"/>
    <w:rsid w:val="008839CD"/>
    <w:rsid w:val="00892AC8"/>
    <w:rsid w:val="008A07AF"/>
    <w:rsid w:val="008A4AC8"/>
    <w:rsid w:val="008A58F9"/>
    <w:rsid w:val="008D09DE"/>
    <w:rsid w:val="008E5D6A"/>
    <w:rsid w:val="0091137C"/>
    <w:rsid w:val="0091384C"/>
    <w:rsid w:val="0092204C"/>
    <w:rsid w:val="00922DEE"/>
    <w:rsid w:val="009244B8"/>
    <w:rsid w:val="00933B21"/>
    <w:rsid w:val="00941048"/>
    <w:rsid w:val="009424A5"/>
    <w:rsid w:val="00950089"/>
    <w:rsid w:val="0095539D"/>
    <w:rsid w:val="00957E88"/>
    <w:rsid w:val="00961B39"/>
    <w:rsid w:val="00961FBE"/>
    <w:rsid w:val="00964277"/>
    <w:rsid w:val="00977D26"/>
    <w:rsid w:val="00977E26"/>
    <w:rsid w:val="00984227"/>
    <w:rsid w:val="00991AF5"/>
    <w:rsid w:val="0099343F"/>
    <w:rsid w:val="00995094"/>
    <w:rsid w:val="009A007B"/>
    <w:rsid w:val="009A263C"/>
    <w:rsid w:val="009B053D"/>
    <w:rsid w:val="009B64E3"/>
    <w:rsid w:val="009C5964"/>
    <w:rsid w:val="009D0B90"/>
    <w:rsid w:val="009D6852"/>
    <w:rsid w:val="009E0725"/>
    <w:rsid w:val="009E0D48"/>
    <w:rsid w:val="009E1F38"/>
    <w:rsid w:val="009E6B78"/>
    <w:rsid w:val="009E6D37"/>
    <w:rsid w:val="009F4ACF"/>
    <w:rsid w:val="009F5557"/>
    <w:rsid w:val="00A02BFF"/>
    <w:rsid w:val="00A0554C"/>
    <w:rsid w:val="00A1015B"/>
    <w:rsid w:val="00A15082"/>
    <w:rsid w:val="00A16AEE"/>
    <w:rsid w:val="00A369E8"/>
    <w:rsid w:val="00A4199A"/>
    <w:rsid w:val="00A4512D"/>
    <w:rsid w:val="00A541E1"/>
    <w:rsid w:val="00A54775"/>
    <w:rsid w:val="00A5502C"/>
    <w:rsid w:val="00A6672E"/>
    <w:rsid w:val="00A705AF"/>
    <w:rsid w:val="00A75B58"/>
    <w:rsid w:val="00A77349"/>
    <w:rsid w:val="00A931E2"/>
    <w:rsid w:val="00A93A18"/>
    <w:rsid w:val="00A964DB"/>
    <w:rsid w:val="00A96DED"/>
    <w:rsid w:val="00AA0A90"/>
    <w:rsid w:val="00AA3A3E"/>
    <w:rsid w:val="00AA6DC2"/>
    <w:rsid w:val="00AA7B58"/>
    <w:rsid w:val="00AB40AB"/>
    <w:rsid w:val="00AB6ED9"/>
    <w:rsid w:val="00AC637F"/>
    <w:rsid w:val="00AD01B4"/>
    <w:rsid w:val="00AD52A0"/>
    <w:rsid w:val="00AD5717"/>
    <w:rsid w:val="00AF6154"/>
    <w:rsid w:val="00B07615"/>
    <w:rsid w:val="00B163F6"/>
    <w:rsid w:val="00B24DF4"/>
    <w:rsid w:val="00B2665E"/>
    <w:rsid w:val="00B30753"/>
    <w:rsid w:val="00B328AF"/>
    <w:rsid w:val="00B32DD1"/>
    <w:rsid w:val="00B3720C"/>
    <w:rsid w:val="00B37974"/>
    <w:rsid w:val="00B41409"/>
    <w:rsid w:val="00B42851"/>
    <w:rsid w:val="00B456E0"/>
    <w:rsid w:val="00B459E9"/>
    <w:rsid w:val="00B47076"/>
    <w:rsid w:val="00B56B37"/>
    <w:rsid w:val="00B57759"/>
    <w:rsid w:val="00B904EC"/>
    <w:rsid w:val="00B91269"/>
    <w:rsid w:val="00B91454"/>
    <w:rsid w:val="00B93CD5"/>
    <w:rsid w:val="00B9432A"/>
    <w:rsid w:val="00B95A67"/>
    <w:rsid w:val="00BA0015"/>
    <w:rsid w:val="00BA2A5D"/>
    <w:rsid w:val="00BA2DE8"/>
    <w:rsid w:val="00BA4AEE"/>
    <w:rsid w:val="00BC07E4"/>
    <w:rsid w:val="00BD0B57"/>
    <w:rsid w:val="00BD649D"/>
    <w:rsid w:val="00BE6832"/>
    <w:rsid w:val="00BF5905"/>
    <w:rsid w:val="00BF6152"/>
    <w:rsid w:val="00C06314"/>
    <w:rsid w:val="00C23604"/>
    <w:rsid w:val="00C308FA"/>
    <w:rsid w:val="00C31839"/>
    <w:rsid w:val="00C31A7F"/>
    <w:rsid w:val="00C32280"/>
    <w:rsid w:val="00C35287"/>
    <w:rsid w:val="00C35DEC"/>
    <w:rsid w:val="00C436EE"/>
    <w:rsid w:val="00C51BE7"/>
    <w:rsid w:val="00C565EF"/>
    <w:rsid w:val="00C64BBB"/>
    <w:rsid w:val="00C7543A"/>
    <w:rsid w:val="00C911AD"/>
    <w:rsid w:val="00CB0684"/>
    <w:rsid w:val="00CB2190"/>
    <w:rsid w:val="00CB5999"/>
    <w:rsid w:val="00CB5B1A"/>
    <w:rsid w:val="00CB733F"/>
    <w:rsid w:val="00CC4B8E"/>
    <w:rsid w:val="00CC697B"/>
    <w:rsid w:val="00CE3387"/>
    <w:rsid w:val="00CE3A39"/>
    <w:rsid w:val="00CE7355"/>
    <w:rsid w:val="00CF4118"/>
    <w:rsid w:val="00D10D90"/>
    <w:rsid w:val="00D116AD"/>
    <w:rsid w:val="00D13C42"/>
    <w:rsid w:val="00D16B25"/>
    <w:rsid w:val="00D24922"/>
    <w:rsid w:val="00D301EA"/>
    <w:rsid w:val="00D31DC2"/>
    <w:rsid w:val="00D41AE5"/>
    <w:rsid w:val="00D42B9A"/>
    <w:rsid w:val="00D469E4"/>
    <w:rsid w:val="00D4728F"/>
    <w:rsid w:val="00D5354B"/>
    <w:rsid w:val="00D563D0"/>
    <w:rsid w:val="00D73FE2"/>
    <w:rsid w:val="00D7465B"/>
    <w:rsid w:val="00D96327"/>
    <w:rsid w:val="00DB07A4"/>
    <w:rsid w:val="00DB5454"/>
    <w:rsid w:val="00DB5911"/>
    <w:rsid w:val="00DC0477"/>
    <w:rsid w:val="00DC0D24"/>
    <w:rsid w:val="00DD047B"/>
    <w:rsid w:val="00DD5D99"/>
    <w:rsid w:val="00DE75D8"/>
    <w:rsid w:val="00DF515C"/>
    <w:rsid w:val="00E015E6"/>
    <w:rsid w:val="00E13C5C"/>
    <w:rsid w:val="00E236C6"/>
    <w:rsid w:val="00E34F33"/>
    <w:rsid w:val="00E40F95"/>
    <w:rsid w:val="00E4269D"/>
    <w:rsid w:val="00E4312B"/>
    <w:rsid w:val="00E547D6"/>
    <w:rsid w:val="00E604B3"/>
    <w:rsid w:val="00E60650"/>
    <w:rsid w:val="00E60EE1"/>
    <w:rsid w:val="00E708F6"/>
    <w:rsid w:val="00E716B4"/>
    <w:rsid w:val="00E86B67"/>
    <w:rsid w:val="00E9314D"/>
    <w:rsid w:val="00EA33D5"/>
    <w:rsid w:val="00EA5E02"/>
    <w:rsid w:val="00EA5FD0"/>
    <w:rsid w:val="00EA63B1"/>
    <w:rsid w:val="00EC7D3F"/>
    <w:rsid w:val="00ED0DD3"/>
    <w:rsid w:val="00ED648B"/>
    <w:rsid w:val="00EE16DD"/>
    <w:rsid w:val="00EE31B0"/>
    <w:rsid w:val="00EE356F"/>
    <w:rsid w:val="00EE397E"/>
    <w:rsid w:val="00EF1C55"/>
    <w:rsid w:val="00EF1C95"/>
    <w:rsid w:val="00EF2774"/>
    <w:rsid w:val="00EF4059"/>
    <w:rsid w:val="00F078B7"/>
    <w:rsid w:val="00F1278D"/>
    <w:rsid w:val="00F14BFD"/>
    <w:rsid w:val="00F17566"/>
    <w:rsid w:val="00F238F2"/>
    <w:rsid w:val="00F332B3"/>
    <w:rsid w:val="00F34D63"/>
    <w:rsid w:val="00F41C35"/>
    <w:rsid w:val="00F4438C"/>
    <w:rsid w:val="00F46ED7"/>
    <w:rsid w:val="00F549D7"/>
    <w:rsid w:val="00F556DB"/>
    <w:rsid w:val="00F560D5"/>
    <w:rsid w:val="00F73D95"/>
    <w:rsid w:val="00F77044"/>
    <w:rsid w:val="00F8015E"/>
    <w:rsid w:val="00F83598"/>
    <w:rsid w:val="00F85766"/>
    <w:rsid w:val="00F931D3"/>
    <w:rsid w:val="00F95769"/>
    <w:rsid w:val="00FA289A"/>
    <w:rsid w:val="00FB6425"/>
    <w:rsid w:val="00FC7F5D"/>
    <w:rsid w:val="00FD1D84"/>
    <w:rsid w:val="00FD50A4"/>
    <w:rsid w:val="00FE58D5"/>
    <w:rsid w:val="00FE5CA3"/>
    <w:rsid w:val="00FF08C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03F0184B"/>
  <w15:docId w15:val="{F5FBBD84-1F56-4837-8883-A5EFE6C5B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sz w:val="22"/>
        <w:szCs w:val="22"/>
        <w:lang w:val="en-AU" w:eastAsia="en-AU" w:bidi="ar-SA"/>
      </w:rPr>
    </w:rPrDefault>
    <w:pPrDefault>
      <w:pPr>
        <w:spacing w:after="80"/>
      </w:pPr>
    </w:pPrDefault>
  </w:docDefaults>
  <w:latentStyles w:defLockedState="1" w:defUIPriority="98" w:defSemiHidden="0" w:defUnhideWhenUsed="0" w:defQFormat="0" w:count="371">
    <w:lsdException w:name="Normal" w:locked="0" w:uiPriority="0" w:qFormat="1"/>
    <w:lsdException w:name="heading 1" w:locked="0" w:uiPriority="0" w:qFormat="1"/>
    <w:lsdException w:name="heading 2" w:locked="0" w:uiPriority="0" w:qFormat="1"/>
    <w:lsdException w:name="heading 3" w:locked="0" w:semiHidden="1" w:uiPriority="0" w:unhideWhenUsed="1" w:qFormat="1"/>
    <w:lsdException w:name="heading 4" w:locked="0" w:semiHidden="1" w:uiPriority="0" w:unhideWhenUsed="1" w:qFormat="1"/>
    <w:lsdException w:name="heading 5" w:locked="0" w:semiHidden="1" w:uiPriority="0" w:unhideWhenUsed="1" w:qFormat="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0" w:semiHidden="1" w:uiPriority="0" w:unhideWhenUsed="1"/>
    <w:lsdException w:name="annotation text" w:semiHidden="1" w:uiPriority="0" w:unhideWhenUsed="1"/>
    <w:lsdException w:name="header" w:semiHidden="1" w:uiPriority="0" w:unhideWhenUsed="1"/>
    <w:lsdException w:name="footer" w:locked="0"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99" w:qFormat="1"/>
    <w:lsdException w:name="Closing" w:semiHidden="1" w:unhideWhenUsed="1"/>
    <w:lsdException w:name="Signature" w:semiHidden="1" w:unhideWhenUsed="1"/>
    <w:lsdException w:name="Default Paragraph Font" w:locked="0"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iPriority="0" w:unhideWhenUsed="1"/>
    <w:lsdException w:name="Strong" w:locked="0" w:uiPriority="99" w:qFormat="1"/>
    <w:lsdException w:name="Emphasis" w:locked="0" w:uiPriority="0"/>
    <w:lsdException w:name="Document Map" w:semiHidden="1" w:unhideWhenUsed="1"/>
    <w:lsdException w:name="Plain Text" w:semiHidden="1" w:unhideWhenUsed="1"/>
    <w:lsdException w:name="E-mail Signature" w:semiHidden="1" w:unhideWhenUsed="1"/>
    <w:lsdException w:name="HTML Top of Form" w:locked="0" w:semiHidden="1" w:uiPriority="0" w:unhideWhenUsed="1"/>
    <w:lsdException w:name="HTML Bottom of Form" w:locked="0"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iPriority="0" w:unhideWhenUsed="1"/>
    <w:lsdException w:name="annotation subject" w:semiHidden="1" w:unhideWhenUsed="1"/>
    <w:lsdException w:name="No List" w:locked="0"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locked="0"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uiPriority="0"/>
    <w:lsdException w:name="Table Grid" w:uiPriority="0"/>
    <w:lsdException w:name="Table Theme" w:semiHidden="1" w:uiPriority="0"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99" w:qFormat="1"/>
    <w:lsdException w:name="Quote" w:locked="0"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Reference" w:uiPriority="32" w:qFormat="1"/>
    <w:lsdException w:name="Bibliography" w:semiHidden="1" w:unhideWhenUsed="1"/>
    <w:lsdException w:name="TOC Heading" w:locked="0" w:semiHidden="1" w:uiPriority="0" w:unhideWhenUsed="1" w:qFormat="1"/>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rsid w:val="00174535"/>
    <w:pPr>
      <w:spacing w:before="120" w:after="120"/>
    </w:pPr>
  </w:style>
  <w:style w:type="paragraph" w:styleId="Heading1">
    <w:name w:val="heading 1"/>
    <w:basedOn w:val="Normal"/>
    <w:next w:val="Normal"/>
    <w:qFormat/>
    <w:rsid w:val="00A15082"/>
    <w:pPr>
      <w:keepNext/>
      <w:spacing w:before="240" w:after="240"/>
      <w:outlineLvl w:val="0"/>
    </w:pPr>
    <w:rPr>
      <w:rFonts w:cs="Arial"/>
      <w:b/>
      <w:bCs/>
      <w:color w:val="1178A2"/>
      <w:kern w:val="28"/>
      <w:sz w:val="40"/>
      <w:szCs w:val="32"/>
    </w:rPr>
  </w:style>
  <w:style w:type="paragraph" w:styleId="Heading2">
    <w:name w:val="heading 2"/>
    <w:basedOn w:val="Heading1"/>
    <w:next w:val="Normal"/>
    <w:qFormat/>
    <w:rsid w:val="00A15082"/>
    <w:pPr>
      <w:outlineLvl w:val="1"/>
    </w:pPr>
    <w:rPr>
      <w:bCs w:val="0"/>
      <w:iCs/>
      <w:sz w:val="32"/>
      <w:szCs w:val="28"/>
    </w:rPr>
  </w:style>
  <w:style w:type="paragraph" w:styleId="Heading3">
    <w:name w:val="heading 3"/>
    <w:basedOn w:val="Heading2"/>
    <w:next w:val="Normal"/>
    <w:qFormat/>
    <w:rsid w:val="00A15082"/>
    <w:pPr>
      <w:outlineLvl w:val="2"/>
    </w:pPr>
    <w:rPr>
      <w:bCs/>
      <w:sz w:val="28"/>
      <w:szCs w:val="26"/>
    </w:rPr>
  </w:style>
  <w:style w:type="paragraph" w:styleId="Heading4">
    <w:name w:val="heading 4"/>
    <w:basedOn w:val="Normal"/>
    <w:next w:val="Normal"/>
    <w:qFormat/>
    <w:rsid w:val="00A15082"/>
    <w:pPr>
      <w:keepNext/>
      <w:spacing w:before="240" w:after="60"/>
      <w:outlineLvl w:val="3"/>
    </w:pPr>
    <w:rPr>
      <w:b/>
      <w:bCs/>
      <w:color w:val="404040" w:themeColor="text1" w:themeTint="BF"/>
      <w:sz w:val="26"/>
      <w:szCs w:val="26"/>
    </w:rPr>
  </w:style>
  <w:style w:type="paragraph" w:styleId="Heading5">
    <w:name w:val="heading 5"/>
    <w:basedOn w:val="Normal"/>
    <w:next w:val="Normal"/>
    <w:qFormat/>
    <w:rsid w:val="00A15082"/>
    <w:pPr>
      <w:keepNext/>
      <w:spacing w:before="240" w:after="60"/>
      <w:outlineLvl w:val="4"/>
    </w:pPr>
    <w:rPr>
      <w:b/>
      <w:bCs/>
      <w:iCs/>
      <w:color w:val="404040" w:themeColor="text1" w:themeTint="BF"/>
      <w:sz w:val="24"/>
    </w:rPr>
  </w:style>
  <w:style w:type="paragraph" w:styleId="Heading6">
    <w:name w:val="heading 6"/>
    <w:basedOn w:val="Normal"/>
    <w:next w:val="Normal"/>
    <w:uiPriority w:val="98"/>
    <w:locked/>
    <w:rsid w:val="00A705AF"/>
    <w:pPr>
      <w:keepNext/>
      <w:spacing w:before="240" w:after="60"/>
      <w:outlineLvl w:val="5"/>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05AF"/>
    <w:rPr>
      <w:i/>
      <w:iCs/>
    </w:rPr>
  </w:style>
  <w:style w:type="character" w:styleId="Strong">
    <w:name w:val="Strong"/>
    <w:basedOn w:val="DefaultParagraphFont"/>
    <w:uiPriority w:val="99"/>
    <w:qFormat/>
    <w:rsid w:val="00A705AF"/>
    <w:rPr>
      <w:b/>
      <w:bCs/>
    </w:rPr>
  </w:style>
  <w:style w:type="paragraph" w:styleId="Subtitle">
    <w:name w:val="Subtitle"/>
    <w:basedOn w:val="Normal"/>
    <w:next w:val="Normal"/>
    <w:link w:val="SubtitleChar"/>
    <w:uiPriority w:val="98"/>
    <w:locked/>
    <w:rsid w:val="00A75B58"/>
    <w:pPr>
      <w:numPr>
        <w:ilvl w:val="1"/>
      </w:numPr>
      <w:ind w:right="397"/>
    </w:pPr>
    <w:rPr>
      <w:rFonts w:ascii="Franklin Gothic Medium" w:eastAsiaTheme="majorEastAsia" w:hAnsi="Franklin Gothic Medium" w:cstheme="majorBidi"/>
      <w:iCs/>
      <w:color w:val="00A9E5"/>
      <w:spacing w:val="15"/>
      <w:sz w:val="52"/>
    </w:rPr>
  </w:style>
  <w:style w:type="character" w:customStyle="1" w:styleId="SubtitleChar">
    <w:name w:val="Subtitle Char"/>
    <w:basedOn w:val="DefaultParagraphFont"/>
    <w:link w:val="Subtitle"/>
    <w:uiPriority w:val="98"/>
    <w:rsid w:val="007B04A9"/>
    <w:rPr>
      <w:rFonts w:ascii="Franklin Gothic Medium" w:eastAsiaTheme="majorEastAsia" w:hAnsi="Franklin Gothic Medium" w:cstheme="majorBidi"/>
      <w:iCs/>
      <w:color w:val="00A9E5"/>
      <w:spacing w:val="15"/>
      <w:sz w:val="52"/>
    </w:rPr>
  </w:style>
  <w:style w:type="paragraph" w:styleId="Title">
    <w:name w:val="Title"/>
    <w:basedOn w:val="Normal"/>
    <w:next w:val="Normal"/>
    <w:link w:val="TitleChar"/>
    <w:uiPriority w:val="99"/>
    <w:qFormat/>
    <w:rsid w:val="000B0274"/>
    <w:pPr>
      <w:spacing w:after="300"/>
      <w:contextualSpacing/>
    </w:pPr>
    <w:rPr>
      <w:rFonts w:ascii="Arial Bold" w:eastAsiaTheme="majorEastAsia" w:hAnsi="Arial Bold" w:cstheme="majorBidi"/>
      <w:b/>
      <w:color w:val="0A4A63"/>
      <w:kern w:val="28"/>
      <w:sz w:val="56"/>
      <w:szCs w:val="56"/>
    </w:rPr>
  </w:style>
  <w:style w:type="character" w:customStyle="1" w:styleId="TitleChar">
    <w:name w:val="Title Char"/>
    <w:basedOn w:val="DefaultParagraphFont"/>
    <w:link w:val="Title"/>
    <w:uiPriority w:val="10"/>
    <w:rsid w:val="000B0274"/>
    <w:rPr>
      <w:rFonts w:ascii="Arial Bold" w:eastAsiaTheme="majorEastAsia" w:hAnsi="Arial Bold" w:cstheme="majorBidi"/>
      <w:b/>
      <w:color w:val="0A4A63"/>
      <w:kern w:val="28"/>
      <w:sz w:val="56"/>
      <w:szCs w:val="56"/>
      <w:lang w:eastAsia="en-US"/>
    </w:rPr>
  </w:style>
  <w:style w:type="paragraph" w:customStyle="1" w:styleId="Bulletlist">
    <w:name w:val="Bullet list"/>
    <w:qFormat/>
    <w:rsid w:val="00544A4E"/>
    <w:pPr>
      <w:numPr>
        <w:numId w:val="6"/>
      </w:numPr>
      <w:spacing w:after="200"/>
      <w:ind w:left="568" w:hanging="284"/>
      <w:contextualSpacing/>
    </w:pPr>
    <w:rPr>
      <w:rFonts w:ascii="Arial" w:hAnsi="Arial"/>
      <w:color w:val="000000" w:themeColor="text1"/>
      <w:szCs w:val="24"/>
      <w:lang w:eastAsia="en-US"/>
    </w:rPr>
  </w:style>
  <w:style w:type="paragraph" w:customStyle="1" w:styleId="Chaptertitle">
    <w:name w:val="Chapter title"/>
    <w:basedOn w:val="Title"/>
    <w:qFormat/>
    <w:rsid w:val="003873C6"/>
    <w:pPr>
      <w:spacing w:before="240" w:after="240"/>
      <w:contextualSpacing w:val="0"/>
    </w:pPr>
    <w:rPr>
      <w:color w:val="125370" w:themeColor="accent3"/>
      <w:sz w:val="48"/>
      <w:szCs w:val="48"/>
    </w:rPr>
  </w:style>
  <w:style w:type="paragraph" w:styleId="TOC1">
    <w:name w:val="toc 1"/>
    <w:basedOn w:val="Normal"/>
    <w:next w:val="Normal"/>
    <w:autoRedefine/>
    <w:uiPriority w:val="39"/>
    <w:qFormat/>
    <w:rsid w:val="005C1496"/>
    <w:rPr>
      <w:rFonts w:cstheme="minorHAnsi"/>
      <w:b/>
      <w:bCs/>
      <w:color w:val="1178A2" w:themeColor="text2"/>
      <w:sz w:val="24"/>
      <w:szCs w:val="20"/>
    </w:rPr>
  </w:style>
  <w:style w:type="paragraph" w:styleId="Quote">
    <w:name w:val="Quote"/>
    <w:basedOn w:val="Normal"/>
    <w:next w:val="Normal"/>
    <w:link w:val="QuoteChar"/>
    <w:qFormat/>
    <w:rsid w:val="000D017D"/>
    <w:pPr>
      <w:spacing w:before="240" w:after="240"/>
      <w:ind w:left="397"/>
    </w:pPr>
    <w:rPr>
      <w:iCs/>
      <w:sz w:val="20"/>
    </w:rPr>
  </w:style>
  <w:style w:type="character" w:customStyle="1" w:styleId="QuoteChar">
    <w:name w:val="Quote Char"/>
    <w:basedOn w:val="DefaultParagraphFont"/>
    <w:link w:val="Quote"/>
    <w:rsid w:val="007B04A9"/>
    <w:rPr>
      <w:iCs/>
      <w:sz w:val="20"/>
    </w:rPr>
  </w:style>
  <w:style w:type="paragraph" w:styleId="TOC2">
    <w:name w:val="toc 2"/>
    <w:basedOn w:val="Normal"/>
    <w:next w:val="Normal"/>
    <w:autoRedefine/>
    <w:uiPriority w:val="39"/>
    <w:qFormat/>
    <w:rsid w:val="009A263C"/>
    <w:pPr>
      <w:tabs>
        <w:tab w:val="right" w:pos="9016"/>
      </w:tabs>
      <w:ind w:left="221"/>
    </w:pPr>
    <w:rPr>
      <w:rFonts w:cstheme="minorHAnsi"/>
      <w:szCs w:val="20"/>
    </w:rPr>
  </w:style>
  <w:style w:type="paragraph" w:styleId="TOC3">
    <w:name w:val="toc 3"/>
    <w:basedOn w:val="Normal"/>
    <w:next w:val="Normal"/>
    <w:autoRedefine/>
    <w:uiPriority w:val="39"/>
    <w:qFormat/>
    <w:rsid w:val="00747CE1"/>
    <w:pPr>
      <w:tabs>
        <w:tab w:val="left" w:pos="8789"/>
      </w:tabs>
      <w:spacing w:after="0"/>
      <w:ind w:left="442" w:right="-188"/>
    </w:pPr>
    <w:rPr>
      <w:rFonts w:cstheme="minorHAnsi"/>
      <w:iCs/>
      <w:noProof/>
      <w:szCs w:val="20"/>
    </w:rPr>
  </w:style>
  <w:style w:type="paragraph" w:customStyle="1" w:styleId="FigureTitle">
    <w:name w:val="Figure Title"/>
    <w:basedOn w:val="Normal"/>
    <w:qFormat/>
    <w:rsid w:val="005C1496"/>
    <w:pPr>
      <w:contextualSpacing/>
    </w:pPr>
    <w:rPr>
      <w:b/>
    </w:rPr>
  </w:style>
  <w:style w:type="paragraph" w:styleId="FootnoteText">
    <w:name w:val="footnote text"/>
    <w:basedOn w:val="Normal"/>
    <w:link w:val="FootnoteTextChar"/>
    <w:rsid w:val="00C436EE"/>
    <w:pPr>
      <w:spacing w:after="0"/>
    </w:pPr>
    <w:rPr>
      <w:sz w:val="20"/>
      <w:szCs w:val="20"/>
    </w:rPr>
  </w:style>
  <w:style w:type="character" w:customStyle="1" w:styleId="FootnoteTextChar">
    <w:name w:val="Footnote Text Char"/>
    <w:basedOn w:val="DefaultParagraphFont"/>
    <w:link w:val="FootnoteText"/>
    <w:rsid w:val="00C436EE"/>
    <w:rPr>
      <w:rFonts w:ascii="Arial" w:hAnsi="Arial"/>
      <w:color w:val="000000" w:themeColor="text1"/>
      <w:lang w:eastAsia="en-US"/>
    </w:rPr>
  </w:style>
  <w:style w:type="paragraph" w:styleId="BalloonText">
    <w:name w:val="Balloon Text"/>
    <w:basedOn w:val="Normal"/>
    <w:link w:val="BalloonTextChar"/>
    <w:locked/>
    <w:rsid w:val="00A4199A"/>
    <w:pPr>
      <w:spacing w:after="0"/>
    </w:pPr>
    <w:rPr>
      <w:rFonts w:ascii="Tahoma" w:hAnsi="Tahoma" w:cs="Tahoma"/>
      <w:sz w:val="16"/>
      <w:szCs w:val="16"/>
    </w:rPr>
  </w:style>
  <w:style w:type="character" w:styleId="FootnoteReference">
    <w:name w:val="footnote reference"/>
    <w:basedOn w:val="DefaultParagraphFont"/>
    <w:rsid w:val="00E13C5C"/>
    <w:rPr>
      <w:rFonts w:ascii="Arial" w:hAnsi="Arial"/>
      <w:vertAlign w:val="superscript"/>
    </w:rPr>
  </w:style>
  <w:style w:type="table" w:styleId="TableGrid">
    <w:name w:val="Table Grid"/>
    <w:aliases w:val="Commission"/>
    <w:basedOn w:val="TableNormal"/>
    <w:locked/>
    <w:rsid w:val="00BC07E4"/>
    <w:pPr>
      <w:spacing w:after="0"/>
    </w:pPr>
    <w:rPr>
      <w:rFonts w:ascii="Arial" w:hAnsi="Arial"/>
      <w:color w:val="000000" w:themeColor="text1"/>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blStylePr w:type="firstRow">
      <w:pPr>
        <w:wordWrap/>
        <w:jc w:val="center"/>
        <w:outlineLvl w:val="9"/>
      </w:pPr>
      <w:rPr>
        <w:rFonts w:ascii="Arial Bold" w:hAnsi="Arial Bold"/>
        <w:b/>
        <w:color w:val="000000" w:themeColor="text1"/>
        <w:sz w:val="18"/>
      </w:rPr>
      <w:tblPr/>
      <w:tcPr>
        <w:shd w:val="clear" w:color="auto" w:fill="86D3F2" w:themeFill="text2" w:themeFillTint="66"/>
      </w:tcPr>
    </w:tblStylePr>
  </w:style>
  <w:style w:type="character" w:customStyle="1" w:styleId="Underline">
    <w:name w:val="Underline"/>
    <w:basedOn w:val="DefaultParagraphFont"/>
    <w:qFormat/>
    <w:rsid w:val="00E13C5C"/>
    <w:rPr>
      <w:u w:val="single"/>
    </w:rPr>
  </w:style>
  <w:style w:type="character" w:customStyle="1" w:styleId="BalloonTextChar">
    <w:name w:val="Balloon Text Char"/>
    <w:basedOn w:val="DefaultParagraphFont"/>
    <w:link w:val="BalloonText"/>
    <w:rsid w:val="00A4199A"/>
    <w:rPr>
      <w:rFonts w:ascii="Tahoma" w:hAnsi="Tahoma" w:cs="Tahoma"/>
      <w:sz w:val="16"/>
      <w:szCs w:val="16"/>
    </w:rPr>
  </w:style>
  <w:style w:type="paragraph" w:styleId="Header">
    <w:name w:val="header"/>
    <w:basedOn w:val="Normal"/>
    <w:link w:val="HeaderChar"/>
    <w:uiPriority w:val="98"/>
    <w:locked/>
    <w:rsid w:val="009B053D"/>
    <w:pPr>
      <w:tabs>
        <w:tab w:val="center" w:pos="4513"/>
        <w:tab w:val="right" w:pos="9026"/>
      </w:tabs>
      <w:spacing w:after="0"/>
    </w:pPr>
  </w:style>
  <w:style w:type="character" w:styleId="PlaceholderText">
    <w:name w:val="Placeholder Text"/>
    <w:basedOn w:val="DefaultParagraphFont"/>
    <w:uiPriority w:val="98"/>
    <w:semiHidden/>
    <w:locked/>
    <w:rsid w:val="00C51BE7"/>
    <w:rPr>
      <w:color w:val="808080"/>
    </w:rPr>
  </w:style>
  <w:style w:type="character" w:customStyle="1" w:styleId="HeaderChar">
    <w:name w:val="Header Char"/>
    <w:basedOn w:val="DefaultParagraphFont"/>
    <w:link w:val="Header"/>
    <w:uiPriority w:val="98"/>
    <w:rsid w:val="007B04A9"/>
  </w:style>
  <w:style w:type="character" w:styleId="Hyperlink">
    <w:name w:val="Hyperlink"/>
    <w:basedOn w:val="DefaultParagraphFont"/>
    <w:uiPriority w:val="99"/>
    <w:rsid w:val="00B47076"/>
    <w:rPr>
      <w:color w:val="0000FF" w:themeColor="hyperlink"/>
      <w:u w:val="single"/>
    </w:rPr>
  </w:style>
  <w:style w:type="paragraph" w:styleId="Footer">
    <w:name w:val="footer"/>
    <w:basedOn w:val="Normal"/>
    <w:link w:val="FooterChar"/>
    <w:rsid w:val="007635C1"/>
    <w:pPr>
      <w:tabs>
        <w:tab w:val="center" w:pos="4513"/>
        <w:tab w:val="right" w:pos="9026"/>
      </w:tabs>
      <w:spacing w:after="0"/>
    </w:pPr>
    <w:rPr>
      <w:color w:val="404040" w:themeColor="text1" w:themeTint="BF"/>
      <w:sz w:val="20"/>
    </w:rPr>
  </w:style>
  <w:style w:type="character" w:customStyle="1" w:styleId="FooterChar">
    <w:name w:val="Footer Char"/>
    <w:basedOn w:val="DefaultParagraphFont"/>
    <w:link w:val="Footer"/>
    <w:rsid w:val="007B04A9"/>
    <w:rPr>
      <w:color w:val="404040" w:themeColor="text1" w:themeTint="BF"/>
      <w:sz w:val="20"/>
    </w:rPr>
  </w:style>
  <w:style w:type="character" w:styleId="FollowedHyperlink">
    <w:name w:val="FollowedHyperlink"/>
    <w:basedOn w:val="DefaultParagraphFont"/>
    <w:rsid w:val="00F95769"/>
    <w:rPr>
      <w:color w:val="800080" w:themeColor="followedHyperlink"/>
      <w:u w:val="single"/>
    </w:rPr>
  </w:style>
  <w:style w:type="paragraph" w:styleId="TOCHeading">
    <w:name w:val="TOC Heading"/>
    <w:basedOn w:val="Heading1"/>
    <w:next w:val="Normal"/>
    <w:unhideWhenUsed/>
    <w:qFormat/>
    <w:rsid w:val="00255596"/>
    <w:pPr>
      <w:keepLines/>
      <w:spacing w:before="480" w:after="0" w:line="276" w:lineRule="auto"/>
      <w:outlineLvl w:val="9"/>
    </w:pPr>
    <w:rPr>
      <w:rFonts w:asciiTheme="majorHAnsi" w:eastAsiaTheme="majorEastAsia" w:hAnsiTheme="majorHAnsi" w:cstheme="majorBidi"/>
      <w:color w:val="0C5979" w:themeColor="accent1" w:themeShade="BF"/>
      <w:kern w:val="0"/>
      <w:szCs w:val="28"/>
      <w:lang w:val="en-US" w:eastAsia="ja-JP"/>
    </w:rPr>
  </w:style>
  <w:style w:type="paragraph" w:customStyle="1" w:styleId="Captions">
    <w:name w:val="Captions"/>
    <w:basedOn w:val="Normal"/>
    <w:link w:val="CaptionsChar"/>
    <w:qFormat/>
    <w:rsid w:val="00A15082"/>
    <w:rPr>
      <w:sz w:val="20"/>
      <w:szCs w:val="20"/>
    </w:rPr>
  </w:style>
  <w:style w:type="character" w:customStyle="1" w:styleId="CaptionsChar">
    <w:name w:val="Captions Char"/>
    <w:basedOn w:val="DefaultParagraphFont"/>
    <w:link w:val="Captions"/>
    <w:rsid w:val="00A15082"/>
    <w:rPr>
      <w:rFonts w:ascii="Arial" w:hAnsi="Arial"/>
      <w:color w:val="000000" w:themeColor="text1"/>
      <w:lang w:eastAsia="en-US"/>
    </w:rPr>
  </w:style>
  <w:style w:type="numbering" w:customStyle="1" w:styleId="Listbullets">
    <w:name w:val="List bullets"/>
    <w:uiPriority w:val="99"/>
    <w:rsid w:val="000D017D"/>
    <w:pPr>
      <w:numPr>
        <w:numId w:val="1"/>
      </w:numPr>
    </w:pPr>
  </w:style>
  <w:style w:type="paragraph" w:customStyle="1" w:styleId="Numberedlists">
    <w:name w:val="Numbered lists"/>
    <w:basedOn w:val="Normal"/>
    <w:link w:val="NumberedlistsChar"/>
    <w:qFormat/>
    <w:rsid w:val="00A4199A"/>
    <w:pPr>
      <w:numPr>
        <w:numId w:val="5"/>
      </w:numPr>
      <w:contextualSpacing/>
    </w:pPr>
  </w:style>
  <w:style w:type="character" w:customStyle="1" w:styleId="NumberedlistsChar">
    <w:name w:val="Numbered lists Char"/>
    <w:basedOn w:val="DefaultParagraphFont"/>
    <w:link w:val="Numberedlists"/>
    <w:rsid w:val="00A4199A"/>
  </w:style>
  <w:style w:type="paragraph" w:customStyle="1" w:styleId="Subheading">
    <w:name w:val="Subheading"/>
    <w:basedOn w:val="Normal"/>
    <w:next w:val="Normal"/>
    <w:uiPriority w:val="99"/>
    <w:qFormat/>
    <w:rsid w:val="000B0274"/>
    <w:pPr>
      <w:spacing w:before="240"/>
    </w:pPr>
    <w:rPr>
      <w:b/>
      <w:color w:val="00A9E5"/>
      <w:sz w:val="36"/>
      <w:szCs w:val="36"/>
    </w:rPr>
  </w:style>
  <w:style w:type="numbering" w:customStyle="1" w:styleId="Bullet">
    <w:name w:val="Bullet"/>
    <w:uiPriority w:val="99"/>
    <w:locked/>
    <w:rsid w:val="000D017D"/>
    <w:pPr>
      <w:numPr>
        <w:numId w:val="2"/>
      </w:numPr>
    </w:pPr>
  </w:style>
  <w:style w:type="numbering" w:customStyle="1" w:styleId="Bullets">
    <w:name w:val="Bullets"/>
    <w:uiPriority w:val="99"/>
    <w:locked/>
    <w:rsid w:val="000D017D"/>
    <w:pPr>
      <w:numPr>
        <w:numId w:val="3"/>
      </w:numPr>
    </w:pPr>
  </w:style>
  <w:style w:type="numbering" w:customStyle="1" w:styleId="BulletsLevel1">
    <w:name w:val="Bullets Level 1"/>
    <w:uiPriority w:val="99"/>
    <w:locked/>
    <w:rsid w:val="000D017D"/>
    <w:pPr>
      <w:numPr>
        <w:numId w:val="4"/>
      </w:numPr>
    </w:pPr>
  </w:style>
  <w:style w:type="paragraph" w:customStyle="1" w:styleId="PublicationDate">
    <w:name w:val="Publication Date"/>
    <w:basedOn w:val="Normal"/>
    <w:link w:val="PublicationDateChar"/>
    <w:uiPriority w:val="99"/>
    <w:qFormat/>
    <w:rsid w:val="00447D31"/>
    <w:pPr>
      <w:spacing w:before="240" w:after="240"/>
    </w:pPr>
    <w:rPr>
      <w:color w:val="0A4A63"/>
      <w:sz w:val="32"/>
      <w:szCs w:val="40"/>
    </w:rPr>
  </w:style>
  <w:style w:type="character" w:customStyle="1" w:styleId="PublicationDateChar">
    <w:name w:val="Publication Date Char"/>
    <w:basedOn w:val="DefaultParagraphFont"/>
    <w:link w:val="PublicationDate"/>
    <w:rsid w:val="00447D31"/>
    <w:rPr>
      <w:rFonts w:ascii="Arial" w:hAnsi="Arial"/>
      <w:color w:val="0A4A63"/>
      <w:sz w:val="32"/>
      <w:szCs w:val="40"/>
      <w:lang w:eastAsia="en-US"/>
    </w:rPr>
  </w:style>
  <w:style w:type="paragraph" w:customStyle="1" w:styleId="Redtext">
    <w:name w:val="Red text"/>
    <w:basedOn w:val="Normal"/>
    <w:qFormat/>
    <w:rsid w:val="00BC07E4"/>
    <w:pPr>
      <w:spacing w:after="80"/>
    </w:pPr>
    <w:rPr>
      <w:color w:val="FF0000"/>
    </w:rPr>
  </w:style>
  <w:style w:type="paragraph" w:customStyle="1" w:styleId="Normal-beforebullets">
    <w:name w:val="Normal - before bullets"/>
    <w:basedOn w:val="Normal"/>
    <w:qFormat/>
    <w:rsid w:val="00020DBD"/>
    <w:pPr>
      <w:spacing w:after="0"/>
    </w:pPr>
  </w:style>
  <w:style w:type="paragraph" w:styleId="TOC4">
    <w:name w:val="toc 4"/>
    <w:basedOn w:val="Normal"/>
    <w:next w:val="Normal"/>
    <w:autoRedefine/>
    <w:uiPriority w:val="39"/>
    <w:locked/>
    <w:rsid w:val="002E6A48"/>
    <w:pPr>
      <w:tabs>
        <w:tab w:val="right" w:pos="9016"/>
      </w:tabs>
      <w:spacing w:after="0"/>
      <w:ind w:left="658"/>
    </w:pPr>
  </w:style>
  <w:style w:type="table" w:customStyle="1" w:styleId="MDBAsimpletable">
    <w:name w:val="MDBA simple table"/>
    <w:basedOn w:val="TableNormal"/>
    <w:uiPriority w:val="99"/>
    <w:rsid w:val="00B904EC"/>
    <w:pPr>
      <w:spacing w:after="0"/>
    </w:pPr>
    <w:rPr>
      <w:rFonts w:ascii="Arial" w:eastAsia="Calibri" w:hAnsi="Arial"/>
      <w:lang w:eastAsia="en-US"/>
    </w:rPr>
    <w:tblPr>
      <w:tblStyleRowBandSize w:val="1"/>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Pr>
    <w:tcPr>
      <w:shd w:val="clear" w:color="auto" w:fill="auto"/>
    </w:tcPr>
    <w:tblStylePr w:type="firstRow">
      <w:pPr>
        <w:wordWrap/>
        <w:spacing w:beforeLines="0" w:before="240" w:beforeAutospacing="0"/>
      </w:pPr>
      <w:rPr>
        <w:rFonts w:ascii="Arial" w:hAnsi="Arial"/>
        <w:b/>
        <w:color w:val="auto"/>
        <w:sz w:val="22"/>
      </w:rPr>
      <w:tblPr/>
      <w:tcPr>
        <w:shd w:val="clear" w:color="auto" w:fill="95B3D7"/>
      </w:tcPr>
    </w:tblStylePr>
    <w:tblStylePr w:type="lastRow">
      <w:tblPr/>
      <w:tcPr>
        <w:shd w:val="clear" w:color="auto" w:fill="BFBFBF"/>
      </w:tcPr>
    </w:tblStylePr>
    <w:tblStylePr w:type="band1Horz">
      <w:tblPr/>
      <w:tcPr>
        <w:shd w:val="clear" w:color="auto" w:fill="ECECEC"/>
      </w:tcPr>
    </w:tblStylePr>
  </w:style>
  <w:style w:type="table" w:customStyle="1" w:styleId="Commission1">
    <w:name w:val="Commission1"/>
    <w:basedOn w:val="TableNormal"/>
    <w:uiPriority w:val="99"/>
    <w:rsid w:val="00865932"/>
    <w:pPr>
      <w:spacing w:after="0"/>
    </w:pPr>
    <w:rPr>
      <w:rFonts w:ascii="Arial Narrow" w:hAnsi="Arial Narrow"/>
      <w:szCs w:val="20"/>
    </w:rPr>
    <w:tblPr>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Pr>
    <w:tblStylePr w:type="firstRow">
      <w:rPr>
        <w:rFonts w:ascii="Arial Narrow" w:hAnsi="Arial Narrow"/>
        <w:b/>
        <w:color w:val="FFFFFF"/>
        <w:sz w:val="22"/>
      </w:rPr>
      <w:tblPr/>
      <w:tcPr>
        <w:shd w:val="clear" w:color="auto" w:fill="365F91"/>
      </w:tcPr>
    </w:tblStylePr>
  </w:style>
  <w:style w:type="table" w:customStyle="1" w:styleId="Commission2">
    <w:name w:val="Commission2"/>
    <w:basedOn w:val="TableNormal"/>
    <w:uiPriority w:val="99"/>
    <w:rsid w:val="00865932"/>
    <w:pPr>
      <w:spacing w:after="0"/>
    </w:pPr>
    <w:rPr>
      <w:rFonts w:ascii="Arial Narrow" w:hAnsi="Arial Narrow"/>
      <w:szCs w:val="20"/>
    </w:rPr>
    <w:tblPr>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Pr>
    <w:tblStylePr w:type="firstRow">
      <w:rPr>
        <w:rFonts w:ascii="Arial Narrow" w:hAnsi="Arial Narrow"/>
        <w:b/>
        <w:color w:val="FFFFFF"/>
        <w:sz w:val="22"/>
      </w:rPr>
      <w:tblPr/>
      <w:tcPr>
        <w:shd w:val="clear" w:color="auto" w:fill="365F91"/>
      </w:tcPr>
    </w:tblStylePr>
  </w:style>
  <w:style w:type="paragraph" w:customStyle="1" w:styleId="FigureName">
    <w:name w:val="FigureName"/>
    <w:basedOn w:val="Normal"/>
    <w:next w:val="Normal"/>
    <w:rsid w:val="0003162D"/>
    <w:pPr>
      <w:keepNext/>
      <w:keepLines/>
      <w:tabs>
        <w:tab w:val="left" w:pos="1080"/>
      </w:tabs>
      <w:ind w:left="1077" w:hanging="1077"/>
    </w:pPr>
    <w:rPr>
      <w:rFonts w:ascii="Arial" w:hAnsi="Arial"/>
      <w:b/>
      <w:bCs/>
      <w:color w:val="1178A2" w:themeColor="accent1"/>
      <w:szCs w:val="20"/>
    </w:rPr>
  </w:style>
  <w:style w:type="paragraph" w:customStyle="1" w:styleId="TFAbbrevsSpace">
    <w:name w:val="TFAbbrevs+Space"/>
    <w:basedOn w:val="Normal"/>
    <w:next w:val="Normal"/>
    <w:rsid w:val="0003162D"/>
    <w:pPr>
      <w:keepNext/>
      <w:keepLines/>
      <w:spacing w:after="360"/>
    </w:pPr>
    <w:rPr>
      <w:rFonts w:ascii="Arial" w:hAnsi="Arial"/>
      <w:color w:val="000000"/>
      <w:sz w:val="18"/>
      <w:szCs w:val="18"/>
    </w:rPr>
  </w:style>
  <w:style w:type="paragraph" w:customStyle="1" w:styleId="BoxHeading">
    <w:name w:val="BoxHeading"/>
    <w:basedOn w:val="Normal"/>
    <w:rsid w:val="000B79D3"/>
    <w:pPr>
      <w:keepNext/>
      <w:pBdr>
        <w:top w:val="single" w:sz="4" w:space="4" w:color="0C5979" w:themeColor="accent1" w:themeShade="BF"/>
        <w:left w:val="single" w:sz="4" w:space="4" w:color="0C5979" w:themeColor="accent1" w:themeShade="BF"/>
        <w:bottom w:val="single" w:sz="4" w:space="4" w:color="0C5979" w:themeColor="accent1" w:themeShade="BF"/>
        <w:right w:val="single" w:sz="4" w:space="4" w:color="0C5979" w:themeColor="accent1" w:themeShade="BF"/>
      </w:pBdr>
      <w:spacing w:after="60"/>
    </w:pPr>
    <w:rPr>
      <w:rFonts w:ascii="Arial" w:hAnsi="Arial"/>
      <w:b/>
      <w:bCs/>
      <w:color w:val="1178A2" w:themeColor="accent1"/>
      <w:szCs w:val="20"/>
    </w:rPr>
  </w:style>
  <w:style w:type="paragraph" w:customStyle="1" w:styleId="BoxBullet">
    <w:name w:val="BoxBullet"/>
    <w:basedOn w:val="Normal"/>
    <w:link w:val="BoxBulletChar"/>
    <w:rsid w:val="000B79D3"/>
    <w:pPr>
      <w:numPr>
        <w:numId w:val="7"/>
      </w:numPr>
      <w:pBdr>
        <w:top w:val="single" w:sz="4" w:space="4" w:color="0C5979" w:themeColor="accent1" w:themeShade="BF"/>
        <w:left w:val="single" w:sz="4" w:space="4" w:color="0C5979" w:themeColor="accent1" w:themeShade="BF"/>
        <w:bottom w:val="single" w:sz="4" w:space="4" w:color="0C5979" w:themeColor="accent1" w:themeShade="BF"/>
        <w:right w:val="single" w:sz="4" w:space="4" w:color="0C5979" w:themeColor="accent1" w:themeShade="BF"/>
      </w:pBdr>
    </w:pPr>
    <w:rPr>
      <w:rFonts w:ascii="Arial" w:hAnsi="Arial"/>
      <w:color w:val="000000"/>
      <w:szCs w:val="20"/>
    </w:rPr>
  </w:style>
  <w:style w:type="character" w:customStyle="1" w:styleId="BoxBulletChar">
    <w:name w:val="BoxBullet Char"/>
    <w:link w:val="BoxBullet"/>
    <w:rsid w:val="000B79D3"/>
    <w:rPr>
      <w:rFonts w:ascii="Arial" w:hAnsi="Arial"/>
      <w:color w:val="000000"/>
      <w:szCs w:val="20"/>
    </w:rPr>
  </w:style>
  <w:style w:type="paragraph" w:customStyle="1" w:styleId="Dash">
    <w:name w:val="Dash"/>
    <w:basedOn w:val="Normal"/>
    <w:rsid w:val="002E195D"/>
    <w:pPr>
      <w:numPr>
        <w:numId w:val="8"/>
      </w:numPr>
      <w:tabs>
        <w:tab w:val="clear" w:pos="216"/>
        <w:tab w:val="left" w:pos="720"/>
      </w:tabs>
      <w:spacing w:after="0"/>
      <w:ind w:left="754" w:hanging="357"/>
    </w:pPr>
    <w:rPr>
      <w:rFonts w:ascii="Arial" w:hAnsi="Arial"/>
      <w:color w:val="000000"/>
      <w:szCs w:val="20"/>
    </w:rPr>
  </w:style>
  <w:style w:type="paragraph" w:customStyle="1" w:styleId="BoxText">
    <w:name w:val="BoxText"/>
    <w:basedOn w:val="Normal"/>
    <w:qFormat/>
    <w:rsid w:val="002E195D"/>
    <w:pPr>
      <w:pBdr>
        <w:top w:val="single" w:sz="4" w:space="4" w:color="0C5979" w:themeColor="accent1" w:themeShade="BF"/>
        <w:left w:val="single" w:sz="4" w:space="4" w:color="0C5979" w:themeColor="accent1" w:themeShade="BF"/>
        <w:bottom w:val="single" w:sz="4" w:space="4" w:color="0C5979" w:themeColor="accent1" w:themeShade="BF"/>
        <w:right w:val="single" w:sz="4" w:space="4" w:color="0C5979" w:themeColor="accent1" w:themeShade="BF"/>
      </w:pBdr>
    </w:pPr>
    <w:rPr>
      <w:rFonts w:ascii="Arial" w:hAnsi="Arial"/>
      <w:color w:val="000000"/>
      <w:szCs w:val="20"/>
    </w:rPr>
  </w:style>
  <w:style w:type="paragraph" w:customStyle="1" w:styleId="BoxNotes">
    <w:name w:val="BoxNotes"/>
    <w:basedOn w:val="BoxText"/>
    <w:rsid w:val="002E195D"/>
    <w:pPr>
      <w:spacing w:after="60"/>
    </w:pPr>
    <w:rPr>
      <w:sz w:val="18"/>
    </w:rPr>
  </w:style>
  <w:style w:type="paragraph" w:customStyle="1" w:styleId="BoxName">
    <w:name w:val="BoxName"/>
    <w:basedOn w:val="BoxText"/>
    <w:next w:val="BoxText"/>
    <w:rsid w:val="002E195D"/>
    <w:pPr>
      <w:keepNext/>
      <w:spacing w:before="180"/>
      <w:ind w:left="1077" w:hanging="1077"/>
    </w:pPr>
    <w:rPr>
      <w:b/>
      <w:bCs/>
      <w:color w:val="0C5979" w:themeColor="accent1" w:themeShade="BF"/>
      <w:sz w:val="24"/>
    </w:rPr>
  </w:style>
  <w:style w:type="paragraph" w:customStyle="1" w:styleId="BoxDash">
    <w:name w:val="BoxDash"/>
    <w:basedOn w:val="BoxText"/>
    <w:rsid w:val="002E195D"/>
    <w:pPr>
      <w:tabs>
        <w:tab w:val="left" w:pos="357"/>
      </w:tabs>
      <w:ind w:left="720" w:hanging="720"/>
    </w:pPr>
  </w:style>
  <w:style w:type="character" w:styleId="CommentReference">
    <w:name w:val="annotation reference"/>
    <w:basedOn w:val="DefaultParagraphFont"/>
    <w:locked/>
    <w:rsid w:val="001F6D10"/>
    <w:rPr>
      <w:sz w:val="16"/>
      <w:szCs w:val="16"/>
    </w:rPr>
  </w:style>
  <w:style w:type="paragraph" w:styleId="CommentText">
    <w:name w:val="annotation text"/>
    <w:basedOn w:val="Normal"/>
    <w:link w:val="CommentTextChar"/>
    <w:locked/>
    <w:rsid w:val="001F6D10"/>
    <w:rPr>
      <w:sz w:val="20"/>
      <w:szCs w:val="20"/>
    </w:rPr>
  </w:style>
  <w:style w:type="character" w:customStyle="1" w:styleId="CommentTextChar">
    <w:name w:val="Comment Text Char"/>
    <w:basedOn w:val="DefaultParagraphFont"/>
    <w:link w:val="CommentText"/>
    <w:rsid w:val="001F6D10"/>
    <w:rPr>
      <w:sz w:val="20"/>
      <w:szCs w:val="20"/>
    </w:rPr>
  </w:style>
  <w:style w:type="paragraph" w:customStyle="1" w:styleId="Commissionbodytext">
    <w:name w:val="Commission body text"/>
    <w:basedOn w:val="Normal"/>
    <w:link w:val="CommissionbodytextChar"/>
    <w:qFormat/>
    <w:rsid w:val="00BF5905"/>
    <w:pPr>
      <w:spacing w:after="0" w:line="276" w:lineRule="auto"/>
    </w:pPr>
    <w:rPr>
      <w:rFonts w:ascii="Arial" w:hAnsi="Arial" w:cs="Arial"/>
    </w:rPr>
  </w:style>
  <w:style w:type="character" w:customStyle="1" w:styleId="CommissionbodytextChar">
    <w:name w:val="Commission body text Char"/>
    <w:basedOn w:val="DefaultParagraphFont"/>
    <w:link w:val="Commissionbodytext"/>
    <w:rsid w:val="00BF5905"/>
    <w:rPr>
      <w:rFonts w:ascii="Arial" w:hAnsi="Arial" w:cs="Arial"/>
    </w:rPr>
  </w:style>
  <w:style w:type="paragraph" w:styleId="ListParagraph">
    <w:name w:val="List Paragraph"/>
    <w:aliases w:val="NFP GP Bulleted List,List Paragraph1,Recommendation,Bullet table,Bullet point,CV text,Dot pt,F5 List Paragraph,FooterText,L,List Paragraph11,List Paragraph111,List Paragraph2,Medium Grid 1 - Accent 21,NAST Quote,Numbered Paragraph"/>
    <w:basedOn w:val="Normal"/>
    <w:link w:val="ListParagraphChar"/>
    <w:uiPriority w:val="99"/>
    <w:qFormat/>
    <w:locked/>
    <w:rsid w:val="00A6672E"/>
    <w:pPr>
      <w:ind w:left="720"/>
      <w:contextualSpacing/>
    </w:pPr>
  </w:style>
  <w:style w:type="paragraph" w:styleId="CommentSubject">
    <w:name w:val="annotation subject"/>
    <w:basedOn w:val="CommentText"/>
    <w:next w:val="CommentText"/>
    <w:link w:val="CommentSubjectChar"/>
    <w:uiPriority w:val="98"/>
    <w:locked/>
    <w:rsid w:val="00A6672E"/>
    <w:rPr>
      <w:b/>
      <w:bCs/>
    </w:rPr>
  </w:style>
  <w:style w:type="character" w:customStyle="1" w:styleId="CommentSubjectChar">
    <w:name w:val="Comment Subject Char"/>
    <w:basedOn w:val="CommentTextChar"/>
    <w:link w:val="CommentSubject"/>
    <w:uiPriority w:val="98"/>
    <w:rsid w:val="00A6672E"/>
    <w:rPr>
      <w:b/>
      <w:bCs/>
      <w:sz w:val="20"/>
      <w:szCs w:val="20"/>
    </w:rPr>
  </w:style>
  <w:style w:type="paragraph" w:styleId="ListBullet">
    <w:name w:val="List Bullet"/>
    <w:basedOn w:val="Normal"/>
    <w:uiPriority w:val="98"/>
    <w:locked/>
    <w:rsid w:val="00A6672E"/>
    <w:pPr>
      <w:tabs>
        <w:tab w:val="num" w:pos="360"/>
      </w:tabs>
      <w:ind w:left="360" w:hanging="360"/>
      <w:contextualSpacing/>
    </w:pPr>
  </w:style>
  <w:style w:type="character" w:customStyle="1" w:styleId="ListParagraphChar">
    <w:name w:val="List Paragraph Char"/>
    <w:aliases w:val="NFP GP Bulleted List Char,List Paragraph1 Char,Recommendation Char,Bullet table Char,Bullet point Char,CV text Char,Dot pt Char,F5 List Paragraph Char,FooterText Char,L Char,List Paragraph11 Char,List Paragraph111 Char"/>
    <w:basedOn w:val="DefaultParagraphFont"/>
    <w:link w:val="ListParagraph"/>
    <w:uiPriority w:val="34"/>
    <w:rsid w:val="00A6672E"/>
  </w:style>
  <w:style w:type="paragraph" w:styleId="EndnoteText">
    <w:name w:val="endnote text"/>
    <w:basedOn w:val="Normal"/>
    <w:link w:val="EndnoteTextChar"/>
    <w:unhideWhenUsed/>
    <w:locked/>
    <w:rsid w:val="00EA63B1"/>
    <w:pPr>
      <w:spacing w:after="0"/>
    </w:pPr>
    <w:rPr>
      <w:rFonts w:ascii="Arial" w:hAnsi="Arial"/>
      <w:sz w:val="20"/>
      <w:szCs w:val="20"/>
      <w:lang w:val="en-GB" w:eastAsia="en-US"/>
    </w:rPr>
  </w:style>
  <w:style w:type="character" w:customStyle="1" w:styleId="EndnoteTextChar">
    <w:name w:val="Endnote Text Char"/>
    <w:basedOn w:val="DefaultParagraphFont"/>
    <w:link w:val="EndnoteText"/>
    <w:rsid w:val="00EA63B1"/>
    <w:rPr>
      <w:rFonts w:ascii="Arial" w:hAnsi="Arial"/>
      <w:sz w:val="20"/>
      <w:szCs w:val="20"/>
      <w:lang w:val="en-GB" w:eastAsia="en-US"/>
    </w:rPr>
  </w:style>
  <w:style w:type="character" w:styleId="EndnoteReference">
    <w:name w:val="endnote reference"/>
    <w:basedOn w:val="DefaultParagraphFont"/>
    <w:unhideWhenUsed/>
    <w:locked/>
    <w:rsid w:val="00EA63B1"/>
    <w:rPr>
      <w:vertAlign w:val="superscript"/>
    </w:rPr>
  </w:style>
  <w:style w:type="character" w:customStyle="1" w:styleId="meta-citation-journal-name">
    <w:name w:val="meta-citation-journal-name"/>
    <w:basedOn w:val="DefaultParagraphFont"/>
    <w:rsid w:val="008A4AC8"/>
  </w:style>
  <w:style w:type="character" w:customStyle="1" w:styleId="meta-citation">
    <w:name w:val="meta-citation"/>
    <w:basedOn w:val="DefaultParagraphFont"/>
    <w:rsid w:val="008A4AC8"/>
  </w:style>
  <w:style w:type="table" w:customStyle="1" w:styleId="Commission3">
    <w:name w:val="Commission3"/>
    <w:basedOn w:val="TableNormal"/>
    <w:next w:val="TableGrid"/>
    <w:rsid w:val="008A4AC8"/>
    <w:pPr>
      <w:spacing w:after="0"/>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mmission4">
    <w:name w:val="Commission4"/>
    <w:basedOn w:val="TableNormal"/>
    <w:next w:val="TableGrid"/>
    <w:rsid w:val="00632475"/>
    <w:pPr>
      <w:spacing w:after="0"/>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32475"/>
    <w:pPr>
      <w:autoSpaceDE w:val="0"/>
      <w:autoSpaceDN w:val="0"/>
      <w:adjustRightInd w:val="0"/>
      <w:spacing w:after="0"/>
    </w:pPr>
    <w:rPr>
      <w:rFonts w:ascii="Gotham Medium" w:hAnsi="Gotham Medium" w:cs="Gotham Medium"/>
      <w:color w:val="000000"/>
      <w:sz w:val="24"/>
      <w:szCs w:val="24"/>
    </w:rPr>
  </w:style>
  <w:style w:type="table" w:customStyle="1" w:styleId="Commission5">
    <w:name w:val="Commission5"/>
    <w:basedOn w:val="TableNormal"/>
    <w:next w:val="TableGrid"/>
    <w:rsid w:val="0062216A"/>
    <w:pPr>
      <w:spacing w:after="0"/>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4E179B"/>
    <w:pPr>
      <w:spacing w:after="0"/>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IM">
    <w:name w:val="TRIM"/>
    <w:basedOn w:val="Normal"/>
    <w:qFormat/>
    <w:rsid w:val="00174535"/>
    <w:pPr>
      <w:spacing w:before="2000"/>
    </w:pPr>
  </w:style>
  <w:style w:type="paragraph" w:styleId="Revision">
    <w:name w:val="Revision"/>
    <w:hidden/>
    <w:uiPriority w:val="99"/>
    <w:semiHidden/>
    <w:rsid w:val="00174535"/>
    <w:pPr>
      <w:spacing w:after="0"/>
    </w:pPr>
  </w:style>
  <w:style w:type="paragraph" w:customStyle="1" w:styleId="NoParagraphStyle">
    <w:name w:val="[No Paragraph Style]"/>
    <w:rsid w:val="00183675"/>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n-GB" w:eastAsia="en-US"/>
    </w:rPr>
  </w:style>
  <w:style w:type="paragraph" w:customStyle="1" w:styleId="NormalFirstPara">
    <w:name w:val="NormalFirstPara"/>
    <w:basedOn w:val="Normal"/>
    <w:uiPriority w:val="99"/>
    <w:qFormat/>
    <w:rsid w:val="00DD5D99"/>
    <w:rPr>
      <w:b/>
    </w:rPr>
  </w:style>
  <w:style w:type="paragraph" w:customStyle="1" w:styleId="TableTitle">
    <w:name w:val="TableTitle"/>
    <w:basedOn w:val="Normal"/>
    <w:uiPriority w:val="99"/>
    <w:qFormat/>
    <w:rsid w:val="0099343F"/>
    <w:pPr>
      <w:spacing w:before="360" w:after="240"/>
    </w:pPr>
    <w:rPr>
      <w:b/>
      <w:lang w:eastAsia="en-US"/>
    </w:rPr>
  </w:style>
  <w:style w:type="paragraph" w:customStyle="1" w:styleId="NormalWord">
    <w:name w:val="Normal (&gt; Word)"/>
    <w:basedOn w:val="NoParagraphStyle"/>
    <w:uiPriority w:val="99"/>
    <w:rsid w:val="00183675"/>
    <w:pPr>
      <w:spacing w:before="120" w:after="120"/>
    </w:pPr>
    <w:rPr>
      <w:rFonts w:ascii="ArialMT" w:hAnsi="ArialMT" w:cs="ArialMT"/>
      <w:sz w:val="22"/>
      <w:szCs w:val="22"/>
      <w:lang w:val="en-US"/>
    </w:rPr>
  </w:style>
  <w:style w:type="paragraph" w:customStyle="1" w:styleId="Heading1Word">
    <w:name w:val="Heading 1 (&gt; Word)"/>
    <w:basedOn w:val="NormalWord"/>
    <w:next w:val="NormalWord"/>
    <w:uiPriority w:val="99"/>
    <w:rsid w:val="00183675"/>
    <w:pPr>
      <w:keepNext/>
      <w:spacing w:before="240" w:after="240"/>
    </w:pPr>
    <w:rPr>
      <w:rFonts w:ascii="Arial-BoldMT" w:hAnsi="Arial-BoldMT" w:cs="Arial-BoldMT"/>
      <w:b/>
      <w:bCs/>
      <w:color w:val="1178A2"/>
      <w:sz w:val="40"/>
      <w:szCs w:val="40"/>
    </w:rPr>
  </w:style>
  <w:style w:type="paragraph" w:customStyle="1" w:styleId="NormalFirstWord">
    <w:name w:val="NormalFirst (&gt; Word)"/>
    <w:basedOn w:val="Normal"/>
    <w:uiPriority w:val="99"/>
    <w:rsid w:val="00183675"/>
    <w:pPr>
      <w:widowControl w:val="0"/>
      <w:autoSpaceDE w:val="0"/>
      <w:autoSpaceDN w:val="0"/>
      <w:adjustRightInd w:val="0"/>
      <w:spacing w:line="288" w:lineRule="auto"/>
      <w:textAlignment w:val="center"/>
    </w:pPr>
    <w:rPr>
      <w:rFonts w:ascii="Arial-BoldMT" w:hAnsi="Arial-BoldMT" w:cs="Arial-BoldMT"/>
      <w:b/>
      <w:bCs/>
      <w:color w:val="000000"/>
      <w:lang w:val="en-US" w:eastAsia="en-US"/>
    </w:rPr>
  </w:style>
  <w:style w:type="paragraph" w:customStyle="1" w:styleId="ListParagraphWord">
    <w:name w:val="List Paragraph (&gt; Word)"/>
    <w:basedOn w:val="NormalWord"/>
    <w:uiPriority w:val="99"/>
    <w:rsid w:val="00183675"/>
    <w:pPr>
      <w:ind w:left="720"/>
    </w:pPr>
  </w:style>
  <w:style w:type="paragraph" w:customStyle="1" w:styleId="Heading2Word">
    <w:name w:val="Heading 2 (&gt; Word)"/>
    <w:basedOn w:val="Heading1Word"/>
    <w:next w:val="NormalWord"/>
    <w:uiPriority w:val="99"/>
    <w:rsid w:val="00183675"/>
    <w:rPr>
      <w:sz w:val="32"/>
      <w:szCs w:val="32"/>
    </w:rPr>
  </w:style>
  <w:style w:type="paragraph" w:customStyle="1" w:styleId="TableTitleWord">
    <w:name w:val="TableTitle (&gt; Word)"/>
    <w:basedOn w:val="Normal"/>
    <w:uiPriority w:val="99"/>
    <w:rsid w:val="00183675"/>
    <w:pPr>
      <w:widowControl w:val="0"/>
      <w:autoSpaceDE w:val="0"/>
      <w:autoSpaceDN w:val="0"/>
      <w:adjustRightInd w:val="0"/>
      <w:spacing w:line="288" w:lineRule="auto"/>
      <w:textAlignment w:val="center"/>
    </w:pPr>
    <w:rPr>
      <w:rFonts w:ascii="Arial-BoldMT" w:hAnsi="Arial-BoldMT" w:cs="Arial-BoldMT"/>
      <w:b/>
      <w:bCs/>
      <w:color w:val="000000"/>
      <w:lang w:val="en-US" w:eastAsia="en-US"/>
    </w:rPr>
  </w:style>
  <w:style w:type="paragraph" w:customStyle="1" w:styleId="TFIHolderBodystyles">
    <w:name w:val="TFIHolder (#) (Body styles)"/>
    <w:basedOn w:val="NormalWord"/>
    <w:uiPriority w:val="99"/>
    <w:rsid w:val="00183675"/>
    <w:pPr>
      <w:spacing w:before="113" w:after="170"/>
    </w:pPr>
  </w:style>
  <w:style w:type="paragraph" w:customStyle="1" w:styleId="Heading3Word">
    <w:name w:val="Heading 3 (&gt; Word)"/>
    <w:basedOn w:val="Heading2Word"/>
    <w:next w:val="NormalWord"/>
    <w:uiPriority w:val="99"/>
    <w:rsid w:val="00183675"/>
    <w:rPr>
      <w:sz w:val="28"/>
      <w:szCs w:val="28"/>
    </w:rPr>
  </w:style>
  <w:style w:type="paragraph" w:customStyle="1" w:styleId="Heading4Word">
    <w:name w:val="Heading 4 (&gt; Word)"/>
    <w:basedOn w:val="NormalWord"/>
    <w:next w:val="NormalWord"/>
    <w:uiPriority w:val="99"/>
    <w:rsid w:val="00183675"/>
    <w:pPr>
      <w:keepNext/>
      <w:spacing w:before="240" w:after="60"/>
    </w:pPr>
    <w:rPr>
      <w:rFonts w:ascii="Arial-BoldMT" w:hAnsi="Arial-BoldMT" w:cs="Arial-BoldMT"/>
      <w:b/>
      <w:bCs/>
      <w:color w:val="404040"/>
      <w:sz w:val="26"/>
      <w:szCs w:val="26"/>
    </w:rPr>
  </w:style>
  <w:style w:type="paragraph" w:customStyle="1" w:styleId="NumberListLastBulletandNumberlists">
    <w:name w:val="NumberListLast (Bullet and Number lists)"/>
    <w:basedOn w:val="ListParagraphWord"/>
    <w:uiPriority w:val="99"/>
    <w:rsid w:val="00183675"/>
    <w:pPr>
      <w:spacing w:after="170"/>
    </w:pPr>
  </w:style>
  <w:style w:type="paragraph" w:customStyle="1" w:styleId="FootnoteText1">
    <w:name w:val="Footnote Text1"/>
    <w:basedOn w:val="Normal"/>
    <w:uiPriority w:val="99"/>
    <w:rsid w:val="00183675"/>
    <w:pPr>
      <w:widowControl w:val="0"/>
      <w:autoSpaceDE w:val="0"/>
      <w:autoSpaceDN w:val="0"/>
      <w:adjustRightInd w:val="0"/>
      <w:spacing w:line="288" w:lineRule="auto"/>
      <w:textAlignment w:val="center"/>
    </w:pPr>
    <w:rPr>
      <w:rFonts w:ascii="ArialMT" w:hAnsi="ArialMT" w:cs="ArialMT"/>
      <w:color w:val="000000"/>
      <w:sz w:val="20"/>
      <w:szCs w:val="20"/>
      <w:lang w:val="en-US" w:eastAsia="en-US"/>
    </w:rPr>
  </w:style>
  <w:style w:type="paragraph" w:customStyle="1" w:styleId="GlossaryIndex">
    <w:name w:val="Glossary (Index"/>
    <w:aliases w:val="Glossary)"/>
    <w:basedOn w:val="NormalWord"/>
    <w:uiPriority w:val="99"/>
    <w:rsid w:val="00183675"/>
    <w:pPr>
      <w:keepLines/>
    </w:pPr>
  </w:style>
  <w:style w:type="character" w:customStyle="1" w:styleId="Superscript">
    <w:name w:val="Superscript"/>
    <w:uiPriority w:val="99"/>
    <w:rsid w:val="00183675"/>
    <w:rPr>
      <w:u w:val="none"/>
      <w:vertAlign w:val="superscript"/>
    </w:rPr>
  </w:style>
  <w:style w:type="character" w:customStyle="1" w:styleId="H3CAPS">
    <w:name w:val="H3 CAPS"/>
    <w:uiPriority w:val="99"/>
    <w:rsid w:val="00183675"/>
    <w:rPr>
      <w:sz w:val="27"/>
      <w:szCs w:val="27"/>
    </w:rPr>
  </w:style>
  <w:style w:type="character" w:customStyle="1" w:styleId="CallunaItalic">
    <w:name w:val="Calluna Italic"/>
    <w:uiPriority w:val="99"/>
    <w:rsid w:val="00183675"/>
    <w:rPr>
      <w:rFonts w:ascii="Calluna-It" w:hAnsi="Calluna-It" w:cs="Calluna-It"/>
      <w:i/>
      <w:iCs/>
      <w:color w:val="000000"/>
    </w:rPr>
  </w:style>
  <w:style w:type="character" w:customStyle="1" w:styleId="StrongMuseo">
    <w:name w:val="Strong Museo"/>
    <w:uiPriority w:val="99"/>
    <w:rsid w:val="00183675"/>
    <w:rPr>
      <w:u w:val="none" w:color="000000"/>
    </w:rPr>
  </w:style>
  <w:style w:type="paragraph" w:customStyle="1" w:styleId="TFIHolderBodystyles0">
    <w:name w:val="TFIHolder (Body styles)"/>
    <w:basedOn w:val="Normal"/>
    <w:uiPriority w:val="99"/>
    <w:rsid w:val="002E7082"/>
    <w:pPr>
      <w:widowControl w:val="0"/>
      <w:autoSpaceDE w:val="0"/>
      <w:autoSpaceDN w:val="0"/>
      <w:adjustRightInd w:val="0"/>
      <w:spacing w:before="113" w:after="0" w:line="288" w:lineRule="auto"/>
      <w:textAlignment w:val="center"/>
    </w:pPr>
    <w:rPr>
      <w:rFonts w:ascii="ArialMT" w:hAnsi="ArialMT" w:cs="ArialMT"/>
      <w:color w:val="000000"/>
      <w:lang w:val="en-US" w:eastAsia="en-US"/>
    </w:rPr>
  </w:style>
  <w:style w:type="paragraph" w:customStyle="1" w:styleId="CitationImprintpage">
    <w:name w:val="Citation (Imprint page)"/>
    <w:basedOn w:val="Normal"/>
    <w:uiPriority w:val="99"/>
    <w:rsid w:val="002E7082"/>
    <w:pPr>
      <w:widowControl w:val="0"/>
      <w:autoSpaceDE w:val="0"/>
      <w:autoSpaceDN w:val="0"/>
      <w:adjustRightInd w:val="0"/>
      <w:spacing w:line="288" w:lineRule="auto"/>
      <w:ind w:left="567"/>
      <w:textAlignment w:val="center"/>
    </w:pPr>
    <w:rPr>
      <w:rFonts w:ascii="ArialMT" w:hAnsi="ArialMT" w:cs="ArialMT"/>
      <w:color w:val="000000"/>
      <w:lang w:val="en-US" w:eastAsia="en-US"/>
    </w:rPr>
  </w:style>
  <w:style w:type="paragraph" w:styleId="DocumentMap">
    <w:name w:val="Document Map"/>
    <w:basedOn w:val="Normal"/>
    <w:link w:val="DocumentMapChar"/>
    <w:uiPriority w:val="98"/>
    <w:semiHidden/>
    <w:unhideWhenUsed/>
    <w:locked/>
    <w:rsid w:val="006F7964"/>
    <w:pPr>
      <w:spacing w:before="0" w:after="0"/>
    </w:pPr>
    <w:rPr>
      <w:rFonts w:ascii="Lucida Grande" w:hAnsi="Lucida Grande" w:cs="Lucida Grande"/>
      <w:sz w:val="24"/>
      <w:szCs w:val="24"/>
    </w:rPr>
  </w:style>
  <w:style w:type="character" w:customStyle="1" w:styleId="DocumentMapChar">
    <w:name w:val="Document Map Char"/>
    <w:basedOn w:val="DefaultParagraphFont"/>
    <w:link w:val="DocumentMap"/>
    <w:uiPriority w:val="98"/>
    <w:semiHidden/>
    <w:rsid w:val="006F7964"/>
    <w:rPr>
      <w:rFonts w:ascii="Lucida Grande" w:hAnsi="Lucida Grande" w:cs="Lucida Grande"/>
      <w:sz w:val="24"/>
      <w:szCs w:val="24"/>
    </w:rPr>
  </w:style>
  <w:style w:type="character" w:customStyle="1" w:styleId="HyperlinkBlue">
    <w:name w:val="Hyperlink Blue"/>
    <w:uiPriority w:val="99"/>
    <w:rsid w:val="00195458"/>
    <w:rPr>
      <w:color w:val="000000"/>
      <w:u w:val="thick" w:color="00B6F0"/>
    </w:rPr>
  </w:style>
  <w:style w:type="paragraph" w:customStyle="1" w:styleId="CopyrightMasterpages">
    <w:name w:val="Copyright (Master pages)"/>
    <w:basedOn w:val="Normal"/>
    <w:uiPriority w:val="99"/>
    <w:rsid w:val="00195458"/>
    <w:pPr>
      <w:widowControl w:val="0"/>
      <w:suppressAutoHyphens/>
      <w:autoSpaceDE w:val="0"/>
      <w:autoSpaceDN w:val="0"/>
      <w:adjustRightInd w:val="0"/>
      <w:spacing w:before="0" w:after="0" w:line="180" w:lineRule="atLeast"/>
      <w:textAlignment w:val="center"/>
    </w:pPr>
    <w:rPr>
      <w:rFonts w:ascii="ProximaNova-Bold" w:hAnsi="ProximaNova-Bold" w:cs="ProximaNova-Bold"/>
      <w:b/>
      <w:bCs/>
      <w:color w:val="000000"/>
      <w:sz w:val="16"/>
      <w:szCs w:val="16"/>
      <w:lang w:val="en-GB"/>
    </w:rPr>
  </w:style>
  <w:style w:type="character" w:customStyle="1" w:styleId="Roman">
    <w:name w:val="Roman"/>
    <w:uiPriority w:val="99"/>
    <w:rsid w:val="00195458"/>
  </w:style>
  <w:style w:type="paragraph" w:customStyle="1" w:styleId="WebsiteMasterpages">
    <w:name w:val="Website (Master pages)"/>
    <w:basedOn w:val="Normal"/>
    <w:uiPriority w:val="99"/>
    <w:rsid w:val="00195458"/>
    <w:pPr>
      <w:widowControl w:val="0"/>
      <w:suppressAutoHyphens/>
      <w:autoSpaceDE w:val="0"/>
      <w:autoSpaceDN w:val="0"/>
      <w:adjustRightInd w:val="0"/>
      <w:spacing w:before="0" w:after="0" w:line="250" w:lineRule="atLeast"/>
      <w:textAlignment w:val="center"/>
    </w:pPr>
    <w:rPr>
      <w:rFonts w:ascii="ProximaNova-Bold" w:hAnsi="ProximaNova-Bold" w:cs="ProximaNova-Bold"/>
      <w:b/>
      <w:bCs/>
      <w:color w:val="1178A2"/>
      <w:sz w:val="27"/>
      <w:szCs w:val="27"/>
      <w:u w:color="1178A2"/>
      <w:lang w:val="en-US"/>
    </w:rPr>
  </w:style>
  <w:style w:type="character" w:customStyle="1" w:styleId="Italic">
    <w:name w:val="Italic"/>
    <w:uiPriority w:val="99"/>
    <w:rsid w:val="0099343F"/>
    <w:rPr>
      <w:i/>
      <w:iCs/>
    </w:rPr>
  </w:style>
  <w:style w:type="character" w:customStyle="1" w:styleId="H1Asterisk">
    <w:name w:val="H1 Asterisk"/>
    <w:uiPriority w:val="99"/>
    <w:rsid w:val="007B5D05"/>
    <w:rPr>
      <w:position w:val="20"/>
      <w:sz w:val="27"/>
      <w:szCs w:val="27"/>
    </w:rPr>
  </w:style>
  <w:style w:type="paragraph" w:customStyle="1" w:styleId="BulletNumberBulletandNumberlists">
    <w:name w:val="Bullet Number (Bullet and Number lists)"/>
    <w:basedOn w:val="Normal"/>
    <w:uiPriority w:val="99"/>
    <w:rsid w:val="007B5D05"/>
    <w:pPr>
      <w:keepLines/>
      <w:widowControl w:val="0"/>
      <w:autoSpaceDE w:val="0"/>
      <w:autoSpaceDN w:val="0"/>
      <w:adjustRightInd w:val="0"/>
      <w:spacing w:after="57" w:line="288" w:lineRule="auto"/>
      <w:textAlignment w:val="center"/>
    </w:pPr>
    <w:rPr>
      <w:rFonts w:ascii="ArialMT" w:hAnsi="ArialMT" w:cs="ArialMT"/>
      <w:color w:val="000000"/>
      <w:lang w:val="en-US" w:eastAsia="en-US"/>
    </w:rPr>
  </w:style>
  <w:style w:type="paragraph" w:customStyle="1" w:styleId="BulletNumberContBulletandNumberlists">
    <w:name w:val="Bullet Number Cont (Bullet and Number lists)"/>
    <w:basedOn w:val="BulletNumberBulletandNumberlists"/>
    <w:uiPriority w:val="99"/>
    <w:rsid w:val="007B5D05"/>
  </w:style>
  <w:style w:type="paragraph" w:customStyle="1" w:styleId="BulletNumberLastBulletandNumberlists">
    <w:name w:val="Bullet Number Last (Bullet and Number lists)"/>
    <w:basedOn w:val="Normal"/>
    <w:uiPriority w:val="99"/>
    <w:rsid w:val="007B5D05"/>
    <w:pPr>
      <w:keepLines/>
      <w:widowControl w:val="0"/>
      <w:autoSpaceDE w:val="0"/>
      <w:autoSpaceDN w:val="0"/>
      <w:adjustRightInd w:val="0"/>
      <w:spacing w:after="142" w:line="288" w:lineRule="auto"/>
      <w:textAlignment w:val="center"/>
    </w:pPr>
    <w:rPr>
      <w:rFonts w:ascii="ArialMT" w:hAnsi="ArialMT" w:cs="ArialMT"/>
      <w:color w:val="000000"/>
      <w:lang w:val="en-US" w:eastAsia="en-US"/>
    </w:rPr>
  </w:style>
  <w:style w:type="paragraph" w:customStyle="1" w:styleId="NormalBeforeBulletBodystyles">
    <w:name w:val="NormalBeforeBullet (Body styles)"/>
    <w:basedOn w:val="Normal"/>
    <w:next w:val="Normal"/>
    <w:uiPriority w:val="99"/>
    <w:rsid w:val="0036588B"/>
    <w:pPr>
      <w:keepNext/>
      <w:widowControl w:val="0"/>
      <w:suppressAutoHyphens/>
      <w:autoSpaceDE w:val="0"/>
      <w:autoSpaceDN w:val="0"/>
      <w:adjustRightInd w:val="0"/>
      <w:spacing w:after="57" w:line="288" w:lineRule="auto"/>
      <w:textAlignment w:val="center"/>
    </w:pPr>
    <w:rPr>
      <w:rFonts w:ascii="ArialMT" w:hAnsi="ArialMT" w:cs="ArialMT"/>
      <w:color w:val="000000"/>
      <w:sz w:val="18"/>
      <w:szCs w:val="18"/>
      <w:lang w:val="en-US" w:eastAsia="en-US"/>
    </w:rPr>
  </w:style>
  <w:style w:type="paragraph" w:customStyle="1" w:styleId="Heading3andFigsHeadings">
    <w:name w:val="Heading 3 (and Figs) (Headings)"/>
    <w:basedOn w:val="Normal"/>
    <w:uiPriority w:val="99"/>
    <w:rsid w:val="0036588B"/>
    <w:pPr>
      <w:widowControl w:val="0"/>
      <w:suppressAutoHyphens/>
      <w:autoSpaceDE w:val="0"/>
      <w:autoSpaceDN w:val="0"/>
      <w:adjustRightInd w:val="0"/>
      <w:spacing w:before="113" w:after="170" w:line="288" w:lineRule="auto"/>
      <w:textAlignment w:val="center"/>
    </w:pPr>
    <w:rPr>
      <w:rFonts w:ascii="ProximaNova-Bold" w:hAnsi="ProximaNova-Bold" w:cs="ProximaNova-Bold"/>
      <w:b/>
      <w:bCs/>
      <w:color w:val="000000"/>
      <w:sz w:val="24"/>
      <w:szCs w:val="24"/>
      <w:lang w:val="en-GB" w:eastAsia="en-US"/>
    </w:rPr>
  </w:style>
  <w:style w:type="character" w:customStyle="1" w:styleId="Hyperlinkwrd1">
    <w:name w:val="Hyperlink_wrd_1"/>
    <w:uiPriority w:val="99"/>
    <w:rsid w:val="0036588B"/>
    <w:rPr>
      <w:color w:val="0000FF"/>
      <w:w w:val="100"/>
      <w:u w:val="thick"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971472">
      <w:bodyDiv w:val="1"/>
      <w:marLeft w:val="0"/>
      <w:marRight w:val="0"/>
      <w:marTop w:val="0"/>
      <w:marBottom w:val="0"/>
      <w:divBdr>
        <w:top w:val="none" w:sz="0" w:space="0" w:color="auto"/>
        <w:left w:val="none" w:sz="0" w:space="0" w:color="auto"/>
        <w:bottom w:val="none" w:sz="0" w:space="0" w:color="auto"/>
        <w:right w:val="none" w:sz="0" w:space="0" w:color="auto"/>
      </w:divBdr>
      <w:divsChild>
        <w:div w:id="382369097">
          <w:marLeft w:val="0"/>
          <w:marRight w:val="0"/>
          <w:marTop w:val="240"/>
          <w:marBottom w:val="480"/>
          <w:divBdr>
            <w:top w:val="none" w:sz="0" w:space="0" w:color="auto"/>
            <w:left w:val="none" w:sz="0" w:space="0" w:color="auto"/>
            <w:bottom w:val="none" w:sz="0" w:space="0" w:color="auto"/>
            <w:right w:val="none" w:sz="0" w:space="0" w:color="auto"/>
          </w:divBdr>
          <w:divsChild>
            <w:div w:id="87702876">
              <w:marLeft w:val="0"/>
              <w:marRight w:val="0"/>
              <w:marTop w:val="0"/>
              <w:marBottom w:val="0"/>
              <w:divBdr>
                <w:top w:val="none" w:sz="0" w:space="0" w:color="auto"/>
                <w:left w:val="none" w:sz="0" w:space="0" w:color="auto"/>
                <w:bottom w:val="none" w:sz="0" w:space="0" w:color="auto"/>
                <w:right w:val="none" w:sz="0" w:space="0" w:color="auto"/>
              </w:divBdr>
              <w:divsChild>
                <w:div w:id="112749679">
                  <w:marLeft w:val="0"/>
                  <w:marRight w:val="0"/>
                  <w:marTop w:val="0"/>
                  <w:marBottom w:val="0"/>
                  <w:divBdr>
                    <w:top w:val="none" w:sz="0" w:space="0" w:color="auto"/>
                    <w:left w:val="none" w:sz="0" w:space="0" w:color="auto"/>
                    <w:bottom w:val="none" w:sz="0" w:space="0" w:color="auto"/>
                    <w:right w:val="none" w:sz="0" w:space="0" w:color="auto"/>
                  </w:divBdr>
                  <w:divsChild>
                    <w:div w:id="1983850956">
                      <w:marLeft w:val="0"/>
                      <w:marRight w:val="0"/>
                      <w:marTop w:val="0"/>
                      <w:marBottom w:val="0"/>
                      <w:divBdr>
                        <w:top w:val="none" w:sz="0" w:space="0" w:color="auto"/>
                        <w:left w:val="none" w:sz="0" w:space="0" w:color="auto"/>
                        <w:bottom w:val="none" w:sz="0" w:space="0" w:color="auto"/>
                        <w:right w:val="none" w:sz="0" w:space="0" w:color="auto"/>
                      </w:divBdr>
                      <w:divsChild>
                        <w:div w:id="15825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248325">
      <w:bodyDiv w:val="1"/>
      <w:marLeft w:val="0"/>
      <w:marRight w:val="0"/>
      <w:marTop w:val="0"/>
      <w:marBottom w:val="0"/>
      <w:divBdr>
        <w:top w:val="none" w:sz="0" w:space="0" w:color="auto"/>
        <w:left w:val="none" w:sz="0" w:space="0" w:color="auto"/>
        <w:bottom w:val="none" w:sz="0" w:space="0" w:color="auto"/>
        <w:right w:val="none" w:sz="0" w:space="0" w:color="auto"/>
      </w:divBdr>
      <w:divsChild>
        <w:div w:id="794181293">
          <w:marLeft w:val="0"/>
          <w:marRight w:val="0"/>
          <w:marTop w:val="0"/>
          <w:marBottom w:val="0"/>
          <w:divBdr>
            <w:top w:val="none" w:sz="0" w:space="0" w:color="auto"/>
            <w:left w:val="none" w:sz="0" w:space="0" w:color="auto"/>
            <w:bottom w:val="none" w:sz="0" w:space="0" w:color="auto"/>
            <w:right w:val="none" w:sz="0" w:space="0" w:color="auto"/>
          </w:divBdr>
        </w:div>
      </w:divsChild>
    </w:div>
    <w:div w:id="1152867776">
      <w:bodyDiv w:val="1"/>
      <w:marLeft w:val="0"/>
      <w:marRight w:val="0"/>
      <w:marTop w:val="0"/>
      <w:marBottom w:val="0"/>
      <w:divBdr>
        <w:top w:val="none" w:sz="0" w:space="0" w:color="auto"/>
        <w:left w:val="none" w:sz="0" w:space="0" w:color="auto"/>
        <w:bottom w:val="none" w:sz="0" w:space="0" w:color="auto"/>
        <w:right w:val="none" w:sz="0" w:space="0" w:color="auto"/>
      </w:divBdr>
    </w:div>
    <w:div w:id="1350136222">
      <w:bodyDiv w:val="1"/>
      <w:marLeft w:val="0"/>
      <w:marRight w:val="0"/>
      <w:marTop w:val="0"/>
      <w:marBottom w:val="0"/>
      <w:divBdr>
        <w:top w:val="none" w:sz="0" w:space="0" w:color="auto"/>
        <w:left w:val="none" w:sz="0" w:space="0" w:color="auto"/>
        <w:bottom w:val="none" w:sz="0" w:space="0" w:color="auto"/>
        <w:right w:val="none" w:sz="0" w:space="0" w:color="auto"/>
      </w:divBdr>
    </w:div>
    <w:div w:id="1673139811">
      <w:bodyDiv w:val="1"/>
      <w:marLeft w:val="0"/>
      <w:marRight w:val="0"/>
      <w:marTop w:val="0"/>
      <w:marBottom w:val="0"/>
      <w:divBdr>
        <w:top w:val="none" w:sz="0" w:space="0" w:color="auto"/>
        <w:left w:val="none" w:sz="0" w:space="0" w:color="auto"/>
        <w:bottom w:val="none" w:sz="0" w:space="0" w:color="auto"/>
        <w:right w:val="none" w:sz="0" w:space="0" w:color="auto"/>
      </w:divBdr>
      <w:divsChild>
        <w:div w:id="8579632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afetyandquality.gov.au/our-work/medication-safety/safer-naming-labelling-and-packaging-medicines/national-tall-man-lettering-list" TargetMode="External"/><Relationship Id="rId13" Type="http://schemas.openxmlformats.org/officeDocument/2006/relationships/hyperlink" Target="https://www.hqsc.govt.nz/assets/Medication-Safety/Tall-Man-lettering/Tall-Man-report-Dec-2013.PDF" TargetMode="External"/><Relationship Id="rId18" Type="http://schemas.openxmlformats.org/officeDocument/2006/relationships/image" Target="media/image1.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safetyandquality.gov.au" TargetMode="External"/><Relationship Id="rId7" Type="http://schemas.openxmlformats.org/officeDocument/2006/relationships/endnotes" Target="endnotes.xml"/><Relationship Id="rId12" Type="http://schemas.openxmlformats.org/officeDocument/2006/relationships/hyperlink" Target="https://www.ismp.org/newsletters/acutecare/showarticle.aspx?id=1140" TargetMode="External"/><Relationship Id="rId17" Type="http://schemas.openxmlformats.org/officeDocument/2006/relationships/hyperlink" Target="https://www.ismp-canada.org/download/safetyBulletins/ISMPCSB2010-08-TALLmanforOncology.pd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ismp.org/sites/default/files/attachments/2017-11/confuseddrugnames%2802.2015%29.pdf" TargetMode="External"/><Relationship Id="rId20" Type="http://schemas.openxmlformats.org/officeDocument/2006/relationships/hyperlink" Target="mailto:mail@safetyandquality.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afetyandquality.gov.au/our-work/medication-safety/safer-naming-labelling-and-packaging-of-medicines/national-tall-man-lettering-list/"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npa.co.uk/wp-content/uploads/2018/10/Look-alike-sound-alike-items.pdf" TargetMode="External"/><Relationship Id="rId23" Type="http://schemas.openxmlformats.org/officeDocument/2006/relationships/header" Target="header1.xml"/><Relationship Id="rId10" Type="http://schemas.openxmlformats.org/officeDocument/2006/relationships/hyperlink" Target="https://www.safetyandquality.gov.au/publications-and-resources/resource-library/electronic-medication-management-systems-guide-safe-implementation-third-edition" TargetMode="External"/><Relationship Id="rId19" Type="http://schemas.openxmlformats.org/officeDocument/2006/relationships/hyperlink" Target="http://safetyandquality.gov.au/our-work/medication-safety/safer-naming-labelling-and-packaging-medicines/national-tall-man-lettering-list" TargetMode="External"/><Relationship Id="rId4" Type="http://schemas.openxmlformats.org/officeDocument/2006/relationships/settings" Target="settings.xml"/><Relationship Id="rId9" Type="http://schemas.openxmlformats.org/officeDocument/2006/relationships/hyperlink" Target="https://www.safetyandquality.gov.au/publications-and-resources/resource-library/national-guidelines-screen-display-clinical-medicines-information" TargetMode="External"/><Relationship Id="rId14" Type="http://schemas.openxmlformats.org/officeDocument/2006/relationships/hyperlink" Target="http://www.who.int/patientsafety/solutions/patientsafety/PS-Solution1.pdf?ua=1" TargetMode="External"/><Relationship Id="rId22"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Commission">
      <a:dk1>
        <a:sysClr val="windowText" lastClr="000000"/>
      </a:dk1>
      <a:lt1>
        <a:sysClr val="window" lastClr="FFFFFF"/>
      </a:lt1>
      <a:dk2>
        <a:srgbClr val="1178A2"/>
      </a:dk2>
      <a:lt2>
        <a:srgbClr val="EEECE1"/>
      </a:lt2>
      <a:accent1>
        <a:srgbClr val="1178A2"/>
      </a:accent1>
      <a:accent2>
        <a:srgbClr val="00A9DD"/>
      </a:accent2>
      <a:accent3>
        <a:srgbClr val="125370"/>
      </a:accent3>
      <a:accent4>
        <a:srgbClr val="119066"/>
      </a:accent4>
      <a:accent5>
        <a:srgbClr val="DC5827"/>
      </a:accent5>
      <a:accent6>
        <a:srgbClr val="8F278B"/>
      </a:accent6>
      <a:hlink>
        <a:srgbClr val="0000FF"/>
      </a:hlink>
      <a:folHlink>
        <a:srgbClr val="800080"/>
      </a:folHlink>
    </a:clrScheme>
    <a:fontScheme name="Commission">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C5F47B-9ABC-4995-AE94-8CF726C07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1204</Words>
  <Characters>9418</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Australian Commission on Safety and Quality in Health Care Fact Sheet</vt:lpstr>
    </vt:vector>
  </TitlesOfParts>
  <Manager/>
  <Company>Australian Commission on Safety and Quality in Health Care</Company>
  <LinksUpToDate>false</LinksUpToDate>
  <CharactersWithSpaces>10601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Commission on Safety and Quality in Health Care Fact Sheet</dc:title>
  <dc:subject>National tall man lettering</dc:subject>
  <dc:creator>Australian Commission on Safety and Quality in Health Care</dc:creator>
  <cp:keywords/>
  <dc:description/>
  <cp:lastModifiedBy>DOWLING, Helen</cp:lastModifiedBy>
  <cp:revision>4</cp:revision>
  <cp:lastPrinted>2019-04-12T06:46:00Z</cp:lastPrinted>
  <dcterms:created xsi:type="dcterms:W3CDTF">2020-03-25T04:50:00Z</dcterms:created>
  <dcterms:modified xsi:type="dcterms:W3CDTF">2020-04-17T00:37:00Z</dcterms:modified>
  <cp:category/>
</cp:coreProperties>
</file>