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B961A2">
        <w:rPr>
          <w:rFonts w:ascii="Garamond" w:hAnsi="Garamond"/>
          <w:lang w:val="en-AU"/>
        </w:rPr>
        <w:t>58</w:t>
      </w:r>
    </w:p>
    <w:p w:rsidR="00755242" w:rsidRDefault="00B961A2" w:rsidP="00F738B5">
      <w:pPr>
        <w:rPr>
          <w:rFonts w:ascii="Garamond" w:hAnsi="Garamond"/>
          <w:lang w:val="en-AU"/>
        </w:rPr>
      </w:pPr>
      <w:r>
        <w:rPr>
          <w:rFonts w:ascii="Garamond" w:hAnsi="Garamond"/>
          <w:lang w:val="en-AU"/>
        </w:rPr>
        <w:t xml:space="preserve">6 April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8D2809" w:rsidRDefault="008D2809">
      <w:pPr>
        <w:rPr>
          <w:rFonts w:ascii="Garamond" w:hAnsi="Garamond"/>
          <w:b/>
          <w:lang w:val="en-AU"/>
        </w:rPr>
      </w:pPr>
    </w:p>
    <w:p w:rsidR="00F65CA6" w:rsidRDefault="00F65CA6">
      <w:pPr>
        <w:rPr>
          <w:rFonts w:ascii="Garamond" w:hAnsi="Garamond"/>
          <w:b/>
          <w:lang w:val="en-AU"/>
        </w:rPr>
      </w:pPr>
    </w:p>
    <w:p w:rsidR="00F65CA6" w:rsidRDefault="00F65CA6">
      <w:pPr>
        <w:rPr>
          <w:rFonts w:ascii="Garamond" w:hAnsi="Garamond"/>
          <w:b/>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403D1E" w:rsidRPr="00A0593A" w:rsidRDefault="00403D1E" w:rsidP="00403D1E">
      <w:pPr>
        <w:keepNext/>
        <w:keepLines/>
        <w:autoSpaceDE w:val="0"/>
        <w:autoSpaceDN w:val="0"/>
        <w:adjustRightInd w:val="0"/>
        <w:rPr>
          <w:rFonts w:ascii="Garamond" w:hAnsi="Garamond"/>
          <w:i/>
          <w:lang w:val="en-AU"/>
        </w:rPr>
      </w:pPr>
      <w:r w:rsidRPr="00A0593A">
        <w:rPr>
          <w:rFonts w:ascii="Garamond" w:hAnsi="Garamond"/>
          <w:i/>
          <w:lang w:val="en-AU"/>
        </w:rPr>
        <w:t>A qualitative content analysis of retained surgical items: learning from root cause analysis investigations</w:t>
      </w:r>
    </w:p>
    <w:p w:rsidR="00403D1E" w:rsidRDefault="00403D1E" w:rsidP="00403D1E">
      <w:pPr>
        <w:keepNext/>
        <w:keepLines/>
        <w:autoSpaceDE w:val="0"/>
        <w:autoSpaceDN w:val="0"/>
        <w:adjustRightInd w:val="0"/>
        <w:rPr>
          <w:rFonts w:ascii="Garamond" w:hAnsi="Garamond"/>
          <w:lang w:val="en-AU"/>
        </w:rPr>
      </w:pPr>
      <w:r w:rsidRPr="00EF1D98">
        <w:rPr>
          <w:rFonts w:ascii="Garamond" w:hAnsi="Garamond"/>
          <w:lang w:val="en-AU"/>
        </w:rPr>
        <w:t>Hibbert PD, Thomas MJW, Deakin A, Runciman WB, Carson-Stevens A, Braithwaite J</w:t>
      </w:r>
    </w:p>
    <w:p w:rsidR="00403D1E" w:rsidRDefault="00403D1E" w:rsidP="00403D1E">
      <w:pPr>
        <w:keepNext/>
        <w:keepLines/>
        <w:autoSpaceDE w:val="0"/>
        <w:autoSpaceDN w:val="0"/>
        <w:adjustRightInd w:val="0"/>
        <w:rPr>
          <w:rFonts w:ascii="Garamond" w:hAnsi="Garamond"/>
          <w:lang w:val="en-AU"/>
        </w:rPr>
      </w:pPr>
      <w:r w:rsidRPr="00EF1D98">
        <w:rPr>
          <w:rFonts w:ascii="Garamond" w:hAnsi="Garamond"/>
          <w:lang w:val="en-AU"/>
        </w:rPr>
        <w:t>International Journal for Quality in Health Care. 2020</w:t>
      </w:r>
      <w:r>
        <w:rPr>
          <w:rFonts w:ascii="Garamond" w:hAnsi="Garamond"/>
          <w:lang w:val="en-AU"/>
        </w:rPr>
        <w:t xml:space="preserve"> [epub]</w:t>
      </w:r>
      <w:r w:rsidRPr="00EF1D9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403D1E" w:rsidRPr="000170DA" w:rsidTr="003F4FB1">
        <w:tc>
          <w:tcPr>
            <w:tcW w:w="1080" w:type="dxa"/>
            <w:tcBorders>
              <w:top w:val="single" w:sz="4" w:space="0" w:color="auto"/>
              <w:left w:val="single" w:sz="4" w:space="0" w:color="auto"/>
              <w:bottom w:val="single" w:sz="4" w:space="0" w:color="auto"/>
              <w:right w:val="single" w:sz="4" w:space="0" w:color="auto"/>
            </w:tcBorders>
            <w:vAlign w:val="center"/>
          </w:tcPr>
          <w:p w:rsidR="00403D1E" w:rsidRPr="000170DA" w:rsidRDefault="00403D1E" w:rsidP="003F4FB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03D1E" w:rsidRPr="000170DA" w:rsidRDefault="00E45003" w:rsidP="003F4FB1">
            <w:pPr>
              <w:rPr>
                <w:rStyle w:val="Hyperlink"/>
                <w:rFonts w:ascii="Garamond" w:hAnsi="Garamond"/>
                <w:color w:val="auto"/>
                <w:u w:val="none"/>
                <w:lang w:val="en-AU"/>
              </w:rPr>
            </w:pPr>
            <w:hyperlink r:id="rId15" w:history="1">
              <w:r w:rsidR="00403D1E" w:rsidRPr="00384A30">
                <w:rPr>
                  <w:rStyle w:val="Hyperlink"/>
                  <w:rFonts w:ascii="Garamond" w:hAnsi="Garamond"/>
                  <w:lang w:val="en-AU"/>
                </w:rPr>
                <w:t>https://doi.org/10.1093/intqhc/mzaa005</w:t>
              </w:r>
            </w:hyperlink>
          </w:p>
        </w:tc>
      </w:tr>
      <w:tr w:rsidR="00403D1E" w:rsidRPr="000170DA" w:rsidTr="003F4FB1">
        <w:tc>
          <w:tcPr>
            <w:tcW w:w="1080" w:type="dxa"/>
            <w:tcBorders>
              <w:top w:val="single" w:sz="4" w:space="0" w:color="auto"/>
              <w:left w:val="single" w:sz="4" w:space="0" w:color="auto"/>
              <w:bottom w:val="single" w:sz="4" w:space="0" w:color="auto"/>
              <w:right w:val="single" w:sz="4" w:space="0" w:color="auto"/>
            </w:tcBorders>
            <w:vAlign w:val="center"/>
          </w:tcPr>
          <w:p w:rsidR="00403D1E" w:rsidRPr="000170DA" w:rsidRDefault="00403D1E" w:rsidP="003F4FB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03D1E" w:rsidRDefault="00403D1E" w:rsidP="00F65CA6">
            <w:pPr>
              <w:keepLines/>
              <w:autoSpaceDE w:val="0"/>
              <w:autoSpaceDN w:val="0"/>
              <w:adjustRightInd w:val="0"/>
              <w:rPr>
                <w:rFonts w:ascii="Garamond" w:hAnsi="Garamond"/>
                <w:lang w:val="en-AU"/>
              </w:rPr>
            </w:pPr>
            <w:r>
              <w:rPr>
                <w:rFonts w:ascii="Garamond" w:hAnsi="Garamond"/>
                <w:lang w:val="en-AU"/>
              </w:rPr>
              <w:t>Retained surgical items are potentially serious. Indeed, the ‘</w:t>
            </w:r>
            <w:r w:rsidRPr="009E5C0E">
              <w:rPr>
                <w:rFonts w:ascii="Garamond" w:hAnsi="Garamond"/>
                <w:lang w:val="en-AU"/>
              </w:rPr>
              <w:t>Unintended retention of a foreign object in a patient after surgery or other invasive procedure resulting in serious harm or death</w:t>
            </w:r>
            <w:r>
              <w:rPr>
                <w:rFonts w:ascii="Garamond" w:hAnsi="Garamond"/>
                <w:lang w:val="en-AU"/>
              </w:rPr>
              <w:t xml:space="preserve">’ is deemed a sentinel event in Australia. This article used a large cohort of root cause analyses covering many events to glean some insights, </w:t>
            </w:r>
            <w:r w:rsidRPr="009E5C0E">
              <w:rPr>
                <w:rFonts w:ascii="Garamond" w:hAnsi="Garamond"/>
                <w:lang w:val="en-AU"/>
              </w:rPr>
              <w:t>including their characteristics and the circumstances in which they occur</w:t>
            </w:r>
            <w:r>
              <w:rPr>
                <w:rFonts w:ascii="Garamond" w:hAnsi="Garamond"/>
                <w:lang w:val="en-AU"/>
              </w:rPr>
              <w:t>, about the nature of retained surgical item events. Using information from 31 root cause analyses from public health services in Victoria for 2010–2015, the authors found:</w:t>
            </w:r>
          </w:p>
          <w:p w:rsidR="00403D1E" w:rsidRDefault="00403D1E" w:rsidP="00403D1E">
            <w:pPr>
              <w:pStyle w:val="ListParagraph"/>
              <w:keepNext/>
              <w:keepLines/>
              <w:numPr>
                <w:ilvl w:val="0"/>
                <w:numId w:val="20"/>
              </w:numPr>
              <w:autoSpaceDE w:val="0"/>
              <w:autoSpaceDN w:val="0"/>
              <w:adjustRightInd w:val="0"/>
              <w:rPr>
                <w:rFonts w:ascii="Garamond" w:hAnsi="Garamond"/>
                <w:lang w:val="en-AU"/>
              </w:rPr>
            </w:pPr>
            <w:r w:rsidRPr="001D497D">
              <w:rPr>
                <w:rFonts w:ascii="Garamond" w:hAnsi="Garamond"/>
                <w:b/>
                <w:lang w:val="en-AU"/>
              </w:rPr>
              <w:lastRenderedPageBreak/>
              <w:t>Surgical packs</w:t>
            </w:r>
            <w:r w:rsidRPr="001D497D">
              <w:rPr>
                <w:rFonts w:ascii="Garamond" w:hAnsi="Garamond"/>
                <w:lang w:val="en-AU"/>
              </w:rPr>
              <w:t xml:space="preserve">, </w:t>
            </w:r>
            <w:r w:rsidRPr="001D497D">
              <w:rPr>
                <w:rFonts w:ascii="Garamond" w:hAnsi="Garamond"/>
                <w:b/>
                <w:lang w:val="en-AU"/>
              </w:rPr>
              <w:t>drain tubes</w:t>
            </w:r>
            <w:r w:rsidRPr="001D497D">
              <w:rPr>
                <w:rFonts w:ascii="Garamond" w:hAnsi="Garamond"/>
                <w:lang w:val="en-AU"/>
              </w:rPr>
              <w:t xml:space="preserve"> and </w:t>
            </w:r>
            <w:r w:rsidRPr="001D497D">
              <w:rPr>
                <w:rFonts w:ascii="Garamond" w:hAnsi="Garamond"/>
                <w:b/>
                <w:lang w:val="en-AU"/>
              </w:rPr>
              <w:t>vascular devices</w:t>
            </w:r>
            <w:r w:rsidRPr="001D497D">
              <w:rPr>
                <w:rFonts w:ascii="Garamond" w:hAnsi="Garamond"/>
                <w:lang w:val="en-AU"/>
              </w:rPr>
              <w:t xml:space="preserve"> comprised 68% (21/31) of the retained surgical items.</w:t>
            </w:r>
          </w:p>
          <w:p w:rsidR="00403D1E" w:rsidRDefault="00403D1E" w:rsidP="00403D1E">
            <w:pPr>
              <w:pStyle w:val="ListParagraph"/>
              <w:keepNext/>
              <w:keepLines/>
              <w:numPr>
                <w:ilvl w:val="0"/>
                <w:numId w:val="20"/>
              </w:numPr>
              <w:autoSpaceDE w:val="0"/>
              <w:autoSpaceDN w:val="0"/>
              <w:adjustRightInd w:val="0"/>
              <w:rPr>
                <w:rFonts w:ascii="Garamond" w:hAnsi="Garamond"/>
                <w:lang w:val="en-AU"/>
              </w:rPr>
            </w:pPr>
            <w:r w:rsidRPr="001D497D">
              <w:rPr>
                <w:rFonts w:ascii="Garamond" w:hAnsi="Garamond"/>
                <w:lang w:val="en-AU"/>
              </w:rPr>
              <w:t xml:space="preserve">Nearly </w:t>
            </w:r>
            <w:r w:rsidRPr="001D497D">
              <w:rPr>
                <w:rFonts w:ascii="Garamond" w:hAnsi="Garamond"/>
                <w:b/>
                <w:lang w:val="en-AU"/>
              </w:rPr>
              <w:t>one-quarter</w:t>
            </w:r>
            <w:r w:rsidRPr="001D497D">
              <w:rPr>
                <w:rFonts w:ascii="Garamond" w:hAnsi="Garamond"/>
                <w:lang w:val="en-AU"/>
              </w:rPr>
              <w:t xml:space="preserve"> of the retained surgical items were </w:t>
            </w:r>
            <w:r w:rsidRPr="001D497D">
              <w:rPr>
                <w:rFonts w:ascii="Garamond" w:hAnsi="Garamond"/>
                <w:b/>
                <w:lang w:val="en-AU"/>
              </w:rPr>
              <w:t>detected</w:t>
            </w:r>
            <w:r w:rsidRPr="001D497D">
              <w:rPr>
                <w:rFonts w:ascii="Garamond" w:hAnsi="Garamond"/>
                <w:lang w:val="en-AU"/>
              </w:rPr>
              <w:t xml:space="preserve"> either </w:t>
            </w:r>
            <w:r w:rsidRPr="001D497D">
              <w:rPr>
                <w:rFonts w:ascii="Garamond" w:hAnsi="Garamond"/>
                <w:b/>
                <w:lang w:val="en-AU"/>
              </w:rPr>
              <w:t>immediately</w:t>
            </w:r>
            <w:r w:rsidRPr="001D497D">
              <w:rPr>
                <w:rFonts w:ascii="Garamond" w:hAnsi="Garamond"/>
                <w:lang w:val="en-AU"/>
              </w:rPr>
              <w:t xml:space="preserve"> in the post-operative period </w:t>
            </w:r>
            <w:r w:rsidRPr="001D497D">
              <w:rPr>
                <w:rFonts w:ascii="Garamond" w:hAnsi="Garamond"/>
                <w:b/>
                <w:lang w:val="en-AU"/>
              </w:rPr>
              <w:t>or on the day of the procedure</w:t>
            </w:r>
            <w:r w:rsidRPr="001D497D">
              <w:rPr>
                <w:rFonts w:ascii="Garamond" w:hAnsi="Garamond"/>
                <w:lang w:val="en-AU"/>
              </w:rPr>
              <w:t xml:space="preserve"> (7/31).</w:t>
            </w:r>
          </w:p>
          <w:p w:rsidR="00403D1E" w:rsidRDefault="00403D1E" w:rsidP="00403D1E">
            <w:pPr>
              <w:pStyle w:val="ListParagraph"/>
              <w:keepNext/>
              <w:keepLines/>
              <w:numPr>
                <w:ilvl w:val="0"/>
                <w:numId w:val="20"/>
              </w:numPr>
              <w:autoSpaceDE w:val="0"/>
              <w:autoSpaceDN w:val="0"/>
              <w:adjustRightInd w:val="0"/>
              <w:rPr>
                <w:rFonts w:ascii="Garamond" w:hAnsi="Garamond"/>
                <w:lang w:val="en-AU"/>
              </w:rPr>
            </w:pPr>
            <w:r>
              <w:rPr>
                <w:rFonts w:ascii="Garamond" w:hAnsi="Garamond"/>
                <w:lang w:val="en-AU"/>
              </w:rPr>
              <w:t>A</w:t>
            </w:r>
            <w:r w:rsidRPr="001D497D">
              <w:rPr>
                <w:rFonts w:ascii="Garamond" w:hAnsi="Garamond"/>
                <w:lang w:val="en-AU"/>
              </w:rPr>
              <w:t xml:space="preserve">bout </w:t>
            </w:r>
            <w:r w:rsidRPr="001D497D">
              <w:rPr>
                <w:rFonts w:ascii="Garamond" w:hAnsi="Garamond"/>
                <w:b/>
                <w:lang w:val="en-AU"/>
              </w:rPr>
              <w:t>one-sixth</w:t>
            </w:r>
            <w:r w:rsidRPr="001D497D">
              <w:rPr>
                <w:rFonts w:ascii="Garamond" w:hAnsi="Garamond"/>
                <w:lang w:val="en-AU"/>
              </w:rPr>
              <w:t xml:space="preserve"> (5/31) were only </w:t>
            </w:r>
            <w:r w:rsidRPr="001D497D">
              <w:rPr>
                <w:rFonts w:ascii="Garamond" w:hAnsi="Garamond"/>
                <w:b/>
                <w:lang w:val="en-AU"/>
              </w:rPr>
              <w:t>detected after 6 months</w:t>
            </w:r>
            <w:r w:rsidRPr="001D497D">
              <w:rPr>
                <w:rFonts w:ascii="Garamond" w:hAnsi="Garamond"/>
                <w:lang w:val="en-AU"/>
              </w:rPr>
              <w:t xml:space="preserve">, with the </w:t>
            </w:r>
            <w:r>
              <w:rPr>
                <w:rFonts w:ascii="Garamond" w:hAnsi="Garamond"/>
                <w:lang w:val="en-AU"/>
              </w:rPr>
              <w:t>longest period being 18 months.</w:t>
            </w:r>
          </w:p>
          <w:p w:rsidR="00403D1E" w:rsidRPr="003F6EE2" w:rsidRDefault="00403D1E" w:rsidP="00403D1E">
            <w:pPr>
              <w:pStyle w:val="ListParagraph"/>
              <w:keepNext/>
              <w:keepLines/>
              <w:numPr>
                <w:ilvl w:val="0"/>
                <w:numId w:val="20"/>
              </w:numPr>
              <w:autoSpaceDE w:val="0"/>
              <w:autoSpaceDN w:val="0"/>
              <w:adjustRightInd w:val="0"/>
              <w:rPr>
                <w:rFonts w:ascii="Garamond" w:hAnsi="Garamond"/>
                <w:lang w:val="en-AU"/>
              </w:rPr>
            </w:pPr>
            <w:r w:rsidRPr="001D497D">
              <w:rPr>
                <w:rFonts w:ascii="Garamond" w:hAnsi="Garamond"/>
                <w:lang w:val="en-AU"/>
              </w:rPr>
              <w:t xml:space="preserve">Contributing factors included </w:t>
            </w:r>
            <w:r w:rsidRPr="001D497D">
              <w:rPr>
                <w:rFonts w:ascii="Garamond" w:hAnsi="Garamond"/>
                <w:b/>
                <w:lang w:val="en-AU"/>
              </w:rPr>
              <w:t>complex or multistage surgery</w:t>
            </w:r>
            <w:r w:rsidRPr="001D497D">
              <w:rPr>
                <w:rFonts w:ascii="Garamond" w:hAnsi="Garamond"/>
                <w:lang w:val="en-AU"/>
              </w:rPr>
              <w:t xml:space="preserve">; the use of </w:t>
            </w:r>
            <w:r w:rsidRPr="001D497D">
              <w:rPr>
                <w:rFonts w:ascii="Garamond" w:hAnsi="Garamond"/>
                <w:b/>
                <w:lang w:val="en-AU"/>
              </w:rPr>
              <w:t>packs not specific to the purpose of the surgery</w:t>
            </w:r>
            <w:r w:rsidRPr="001D497D">
              <w:rPr>
                <w:rFonts w:ascii="Garamond" w:hAnsi="Garamond"/>
                <w:lang w:val="en-AU"/>
              </w:rPr>
              <w:t xml:space="preserve">; and </w:t>
            </w:r>
            <w:r w:rsidRPr="001D497D">
              <w:rPr>
                <w:rFonts w:ascii="Garamond" w:hAnsi="Garamond"/>
                <w:b/>
                <w:lang w:val="en-AU"/>
              </w:rPr>
              <w:t>design features</w:t>
            </w:r>
            <w:r w:rsidRPr="001D497D">
              <w:rPr>
                <w:rFonts w:ascii="Garamond" w:hAnsi="Garamond"/>
                <w:lang w:val="en-AU"/>
              </w:rPr>
              <w:t xml:space="preserve"> of the surgical items.</w:t>
            </w:r>
          </w:p>
        </w:tc>
      </w:tr>
    </w:tbl>
    <w:p w:rsidR="00403D1E" w:rsidRDefault="00403D1E" w:rsidP="00403D1E">
      <w:pPr>
        <w:rPr>
          <w:rFonts w:ascii="Garamond" w:hAnsi="Garamond"/>
          <w:lang w:val="en-AU"/>
        </w:rPr>
      </w:pPr>
    </w:p>
    <w:p w:rsidR="00403D1E" w:rsidRPr="00A0593A" w:rsidRDefault="00403D1E" w:rsidP="00403D1E">
      <w:pPr>
        <w:keepNext/>
        <w:keepLines/>
        <w:autoSpaceDE w:val="0"/>
        <w:autoSpaceDN w:val="0"/>
        <w:adjustRightInd w:val="0"/>
        <w:rPr>
          <w:rFonts w:ascii="Garamond" w:hAnsi="Garamond"/>
          <w:i/>
          <w:lang w:val="en-AU"/>
        </w:rPr>
      </w:pPr>
      <w:r w:rsidRPr="00A0593A">
        <w:rPr>
          <w:rFonts w:ascii="Garamond" w:hAnsi="Garamond"/>
          <w:i/>
          <w:lang w:val="en-AU"/>
        </w:rPr>
        <w:t>Rate of preventable mortality in hospitalized patients: a systematic review and meta-analysis</w:t>
      </w:r>
    </w:p>
    <w:p w:rsidR="00403D1E" w:rsidRDefault="00403D1E" w:rsidP="00403D1E">
      <w:pPr>
        <w:keepNext/>
        <w:keepLines/>
        <w:autoSpaceDE w:val="0"/>
        <w:autoSpaceDN w:val="0"/>
        <w:adjustRightInd w:val="0"/>
        <w:rPr>
          <w:rFonts w:ascii="Garamond" w:hAnsi="Garamond"/>
          <w:lang w:val="en-AU"/>
        </w:rPr>
      </w:pPr>
      <w:r w:rsidRPr="00C35C60">
        <w:rPr>
          <w:rFonts w:ascii="Garamond" w:hAnsi="Garamond"/>
          <w:lang w:val="en-AU"/>
        </w:rPr>
        <w:t>Rodwin BA, Bilan VP, Merchant NB, Steffens CG, Grimshaw AA, Bastian LA, et al.</w:t>
      </w:r>
    </w:p>
    <w:p w:rsidR="00403D1E" w:rsidRDefault="00403D1E" w:rsidP="00403D1E">
      <w:pPr>
        <w:keepNext/>
        <w:keepLines/>
        <w:autoSpaceDE w:val="0"/>
        <w:autoSpaceDN w:val="0"/>
        <w:adjustRightInd w:val="0"/>
        <w:rPr>
          <w:rFonts w:ascii="Garamond" w:hAnsi="Garamond"/>
          <w:lang w:val="en-AU"/>
        </w:rPr>
      </w:pPr>
      <w:r w:rsidRPr="00C35C60">
        <w:rPr>
          <w:rFonts w:ascii="Garamond" w:hAnsi="Garamond"/>
          <w:lang w:val="en-AU"/>
        </w:rPr>
        <w:t>Journal of General Internal Medicine. 2020</w:t>
      </w:r>
      <w:r>
        <w:rPr>
          <w:rFonts w:ascii="Garamond" w:hAnsi="Garamond"/>
          <w:lang w:val="en-AU"/>
        </w:rPr>
        <w:t xml:space="preserve"> [epub]</w:t>
      </w:r>
      <w:r w:rsidRPr="00C35C60">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403D1E" w:rsidRPr="000170DA" w:rsidTr="003F4FB1">
        <w:tc>
          <w:tcPr>
            <w:tcW w:w="1080" w:type="dxa"/>
            <w:tcBorders>
              <w:top w:val="single" w:sz="4" w:space="0" w:color="auto"/>
              <w:left w:val="single" w:sz="4" w:space="0" w:color="auto"/>
              <w:bottom w:val="single" w:sz="4" w:space="0" w:color="auto"/>
              <w:right w:val="single" w:sz="4" w:space="0" w:color="auto"/>
            </w:tcBorders>
            <w:vAlign w:val="center"/>
          </w:tcPr>
          <w:p w:rsidR="00403D1E" w:rsidRPr="000170DA" w:rsidRDefault="00403D1E" w:rsidP="003F4FB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03D1E" w:rsidRPr="000170DA" w:rsidRDefault="00E45003" w:rsidP="003F4FB1">
            <w:pPr>
              <w:rPr>
                <w:rStyle w:val="Hyperlink"/>
                <w:rFonts w:ascii="Garamond" w:hAnsi="Garamond"/>
                <w:color w:val="auto"/>
                <w:u w:val="none"/>
                <w:lang w:val="en-AU"/>
              </w:rPr>
            </w:pPr>
            <w:hyperlink r:id="rId16" w:history="1">
              <w:r w:rsidR="00403D1E" w:rsidRPr="00384A30">
                <w:rPr>
                  <w:rStyle w:val="Hyperlink"/>
                  <w:rFonts w:ascii="Garamond" w:hAnsi="Garamond"/>
                  <w:lang w:val="en-AU"/>
                </w:rPr>
                <w:t>https://doi.org/10.1007/s11606-019-05592-5</w:t>
              </w:r>
            </w:hyperlink>
          </w:p>
        </w:tc>
      </w:tr>
      <w:tr w:rsidR="00403D1E" w:rsidRPr="000170DA" w:rsidTr="003F4FB1">
        <w:tc>
          <w:tcPr>
            <w:tcW w:w="1080" w:type="dxa"/>
            <w:tcBorders>
              <w:top w:val="single" w:sz="4" w:space="0" w:color="auto"/>
              <w:left w:val="single" w:sz="4" w:space="0" w:color="auto"/>
              <w:bottom w:val="single" w:sz="4" w:space="0" w:color="auto"/>
              <w:right w:val="single" w:sz="4" w:space="0" w:color="auto"/>
            </w:tcBorders>
            <w:vAlign w:val="center"/>
          </w:tcPr>
          <w:p w:rsidR="00403D1E" w:rsidRPr="000170DA" w:rsidRDefault="00403D1E" w:rsidP="003F4FB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03D1E" w:rsidRPr="003F6EE2" w:rsidRDefault="00403D1E" w:rsidP="003F4FB1">
            <w:pPr>
              <w:keepNext/>
              <w:keepLines/>
              <w:autoSpaceDE w:val="0"/>
              <w:autoSpaceDN w:val="0"/>
              <w:adjustRightInd w:val="0"/>
              <w:rPr>
                <w:rFonts w:ascii="Garamond" w:hAnsi="Garamond"/>
                <w:lang w:val="en-AU"/>
              </w:rPr>
            </w:pPr>
            <w:r>
              <w:rPr>
                <w:rFonts w:ascii="Garamond" w:hAnsi="Garamond"/>
                <w:lang w:val="en-AU"/>
              </w:rPr>
              <w:t>The proportion of deaths in hospital that could be deemed ‘preventable’ is a rather contentious figure. This review and meta-analysis sought to estimate the proportion inpatient deaths in US hospitals that could be considered preventable. Based on eight studies covering 12,503 deaths, the authors report that ‘</w:t>
            </w:r>
            <w:r w:rsidRPr="007C270F">
              <w:rPr>
                <w:rFonts w:ascii="Garamond" w:hAnsi="Garamond"/>
                <w:lang w:val="en-AU"/>
              </w:rPr>
              <w:t xml:space="preserve">The pooled </w:t>
            </w:r>
            <w:r w:rsidRPr="007C270F">
              <w:rPr>
                <w:rFonts w:ascii="Garamond" w:hAnsi="Garamond"/>
                <w:b/>
                <w:lang w:val="en-AU"/>
              </w:rPr>
              <w:t>rate of preventable mortality was 3.1%</w:t>
            </w:r>
            <w:r w:rsidRPr="007C270F">
              <w:rPr>
                <w:rFonts w:ascii="Garamond" w:hAnsi="Garamond"/>
                <w:lang w:val="en-AU"/>
              </w:rPr>
              <w:t xml:space="preserve"> (95% CI 2.2–4.1%). Two studies also reported rates of preventable mortality limited to patients expected to live longer than 3 months, ranging from 0.5 to 1.0%. In the USA, these estimates correspond to approximately 22,165 preventable deaths annually and 7150 deaths for patients with greater than 3-month life expectancy.</w:t>
            </w:r>
            <w:r>
              <w:rPr>
                <w:rFonts w:ascii="Garamond" w:hAnsi="Garamond"/>
                <w:lang w:val="en-AU"/>
              </w:rPr>
              <w:t>’ The authors acknowledge that their ‘</w:t>
            </w:r>
            <w:r w:rsidRPr="007C270F">
              <w:rPr>
                <w:rFonts w:ascii="Garamond" w:hAnsi="Garamond"/>
                <w:lang w:val="en-AU"/>
              </w:rPr>
              <w:t>number of deaths due to medical error is lower than previously reported and the majority occur in patients with less than 3-month life expectancy.</w:t>
            </w:r>
            <w:r>
              <w:rPr>
                <w:rFonts w:ascii="Garamond" w:hAnsi="Garamond"/>
                <w:lang w:val="en-AU"/>
              </w:rPr>
              <w:t>’</w:t>
            </w:r>
          </w:p>
        </w:tc>
      </w:tr>
    </w:tbl>
    <w:p w:rsidR="00403D1E" w:rsidRDefault="00403D1E" w:rsidP="00403D1E">
      <w:pPr>
        <w:rPr>
          <w:rFonts w:ascii="Garamond" w:hAnsi="Garamond"/>
          <w:lang w:val="en-AU"/>
        </w:rPr>
      </w:pPr>
    </w:p>
    <w:p w:rsidR="00403D1E" w:rsidRPr="00A0593A" w:rsidRDefault="00403D1E" w:rsidP="00403D1E">
      <w:pPr>
        <w:keepNext/>
        <w:keepLines/>
        <w:autoSpaceDE w:val="0"/>
        <w:autoSpaceDN w:val="0"/>
        <w:adjustRightInd w:val="0"/>
        <w:rPr>
          <w:rFonts w:ascii="Garamond" w:hAnsi="Garamond"/>
          <w:i/>
          <w:lang w:val="en-AU"/>
        </w:rPr>
      </w:pPr>
      <w:r w:rsidRPr="00A0593A">
        <w:rPr>
          <w:rFonts w:ascii="Garamond" w:hAnsi="Garamond"/>
          <w:i/>
          <w:lang w:val="en-AU"/>
        </w:rPr>
        <w:t>Relative contributions of hospital versus skilled nursing facility quality on patient outcomes</w:t>
      </w:r>
    </w:p>
    <w:p w:rsidR="00403D1E" w:rsidRDefault="00403D1E" w:rsidP="00403D1E">
      <w:pPr>
        <w:keepNext/>
        <w:keepLines/>
        <w:autoSpaceDE w:val="0"/>
        <w:autoSpaceDN w:val="0"/>
        <w:adjustRightInd w:val="0"/>
        <w:rPr>
          <w:rFonts w:ascii="Garamond" w:hAnsi="Garamond"/>
          <w:lang w:val="en-AU"/>
        </w:rPr>
      </w:pPr>
      <w:r w:rsidRPr="009D0589">
        <w:rPr>
          <w:rFonts w:ascii="Garamond" w:hAnsi="Garamond"/>
          <w:lang w:val="en-AU"/>
        </w:rPr>
        <w:t>Chatterjee P, Qi M, Werner R</w:t>
      </w:r>
    </w:p>
    <w:p w:rsidR="00403D1E" w:rsidRDefault="00403D1E" w:rsidP="00403D1E">
      <w:pPr>
        <w:keepNext/>
        <w:keepLines/>
        <w:autoSpaceDE w:val="0"/>
        <w:autoSpaceDN w:val="0"/>
        <w:adjustRightInd w:val="0"/>
        <w:rPr>
          <w:rFonts w:ascii="Garamond" w:hAnsi="Garamond"/>
          <w:lang w:val="en-AU"/>
        </w:rPr>
      </w:pPr>
      <w:r w:rsidRPr="009D0589">
        <w:rPr>
          <w:rFonts w:ascii="Garamond" w:hAnsi="Garamond"/>
          <w:lang w:val="en-AU"/>
        </w:rPr>
        <w:t>BMJ Quality &amp; Safety. 2020</w:t>
      </w:r>
      <w:r>
        <w:rPr>
          <w:rFonts w:ascii="Garamond" w:hAnsi="Garamond"/>
          <w:lang w:val="en-AU"/>
        </w:rPr>
        <w:t xml:space="preserve"> [epub]</w:t>
      </w:r>
      <w:r w:rsidRPr="009D058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403D1E" w:rsidRPr="000170DA" w:rsidTr="003F4FB1">
        <w:tc>
          <w:tcPr>
            <w:tcW w:w="1080" w:type="dxa"/>
            <w:tcBorders>
              <w:top w:val="single" w:sz="4" w:space="0" w:color="auto"/>
              <w:left w:val="single" w:sz="4" w:space="0" w:color="auto"/>
              <w:bottom w:val="single" w:sz="4" w:space="0" w:color="auto"/>
              <w:right w:val="single" w:sz="4" w:space="0" w:color="auto"/>
            </w:tcBorders>
            <w:vAlign w:val="center"/>
          </w:tcPr>
          <w:p w:rsidR="00403D1E" w:rsidRPr="000170DA" w:rsidRDefault="00403D1E" w:rsidP="003F4FB1">
            <w:pPr>
              <w:keepNext/>
              <w:keepLines/>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03D1E" w:rsidRPr="000170DA" w:rsidRDefault="00E45003" w:rsidP="003F4FB1">
            <w:pPr>
              <w:keepNext/>
              <w:keepLines/>
              <w:rPr>
                <w:rStyle w:val="Hyperlink"/>
                <w:rFonts w:ascii="Garamond" w:hAnsi="Garamond"/>
                <w:color w:val="auto"/>
                <w:u w:val="none"/>
                <w:lang w:val="en-AU"/>
              </w:rPr>
            </w:pPr>
            <w:hyperlink r:id="rId17" w:history="1">
              <w:r w:rsidR="00403D1E" w:rsidRPr="00384A30">
                <w:rPr>
                  <w:rStyle w:val="Hyperlink"/>
                  <w:rFonts w:ascii="Garamond" w:hAnsi="Garamond"/>
                  <w:lang w:val="en-AU"/>
                </w:rPr>
                <w:t>https://doi.org/10.1136/bmjqs-2019-010660</w:t>
              </w:r>
            </w:hyperlink>
            <w:r w:rsidR="00403D1E">
              <w:rPr>
                <w:rStyle w:val="Hyperlink"/>
                <w:rFonts w:ascii="Garamond" w:hAnsi="Garamond"/>
                <w:color w:val="auto"/>
                <w:u w:val="none"/>
                <w:lang w:val="en-AU"/>
              </w:rPr>
              <w:t xml:space="preserve"> </w:t>
            </w:r>
          </w:p>
        </w:tc>
      </w:tr>
      <w:tr w:rsidR="00403D1E" w:rsidRPr="000170DA" w:rsidTr="003F4FB1">
        <w:tc>
          <w:tcPr>
            <w:tcW w:w="1080" w:type="dxa"/>
            <w:tcBorders>
              <w:top w:val="single" w:sz="4" w:space="0" w:color="auto"/>
              <w:left w:val="single" w:sz="4" w:space="0" w:color="auto"/>
              <w:bottom w:val="single" w:sz="4" w:space="0" w:color="auto"/>
              <w:right w:val="single" w:sz="4" w:space="0" w:color="auto"/>
            </w:tcBorders>
            <w:vAlign w:val="center"/>
          </w:tcPr>
          <w:p w:rsidR="00403D1E" w:rsidRPr="000170DA" w:rsidRDefault="00403D1E" w:rsidP="003F4FB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03D1E" w:rsidRDefault="00403D1E" w:rsidP="003F4FB1">
            <w:pPr>
              <w:keepNext/>
              <w:keepLines/>
              <w:autoSpaceDE w:val="0"/>
              <w:autoSpaceDN w:val="0"/>
              <w:adjustRightInd w:val="0"/>
              <w:rPr>
                <w:rFonts w:ascii="Garamond" w:hAnsi="Garamond"/>
                <w:lang w:val="en-AU"/>
              </w:rPr>
            </w:pPr>
            <w:r>
              <w:rPr>
                <w:rFonts w:ascii="Garamond" w:hAnsi="Garamond"/>
                <w:lang w:val="en-AU"/>
              </w:rPr>
              <w:t xml:space="preserve">Attributing cause (or blame, if you wish) for quality (and safety) in health care is often difficult as there are so many factors and actors involved. This study sought to examine the </w:t>
            </w:r>
            <w:r w:rsidRPr="00AA0347">
              <w:rPr>
                <w:rFonts w:ascii="Garamond" w:hAnsi="Garamond"/>
                <w:lang w:val="en-AU"/>
              </w:rPr>
              <w:t xml:space="preserve">relative contributions of hospital and </w:t>
            </w:r>
            <w:r>
              <w:rPr>
                <w:rFonts w:ascii="Garamond" w:hAnsi="Garamond"/>
                <w:lang w:val="en-AU"/>
              </w:rPr>
              <w:t>skilled nursing facilities</w:t>
            </w:r>
            <w:r w:rsidRPr="00AA0347">
              <w:rPr>
                <w:rFonts w:ascii="Garamond" w:hAnsi="Garamond"/>
                <w:lang w:val="en-AU"/>
              </w:rPr>
              <w:t xml:space="preserve"> </w:t>
            </w:r>
            <w:r>
              <w:rPr>
                <w:rFonts w:ascii="Garamond" w:hAnsi="Garamond"/>
                <w:lang w:val="en-AU"/>
              </w:rPr>
              <w:t xml:space="preserve">(SNF) </w:t>
            </w:r>
            <w:r w:rsidRPr="00AA0347">
              <w:rPr>
                <w:rFonts w:ascii="Garamond" w:hAnsi="Garamond"/>
                <w:lang w:val="en-AU"/>
              </w:rPr>
              <w:t>quality on readmission rates</w:t>
            </w:r>
            <w:r>
              <w:rPr>
                <w:rFonts w:ascii="Garamond" w:hAnsi="Garamond"/>
                <w:lang w:val="en-AU"/>
              </w:rPr>
              <w:t xml:space="preserve">. This study was a retrospective cohort study of US Medicare beneficiaries that focused on those patients </w:t>
            </w:r>
            <w:r w:rsidRPr="00AA0347">
              <w:rPr>
                <w:rFonts w:ascii="Garamond" w:hAnsi="Garamond"/>
                <w:lang w:val="en-AU"/>
              </w:rPr>
              <w:t>with two hospitalisations followed by SNF admissions</w:t>
            </w:r>
            <w:r>
              <w:rPr>
                <w:rFonts w:ascii="Garamond" w:hAnsi="Garamond"/>
                <w:lang w:val="en-AU"/>
              </w:rPr>
              <w:t>. The authors report that:</w:t>
            </w:r>
          </w:p>
          <w:p w:rsidR="00403D1E" w:rsidRPr="00AA0347" w:rsidRDefault="00403D1E" w:rsidP="00403D1E">
            <w:pPr>
              <w:pStyle w:val="ListParagraph"/>
              <w:keepNext/>
              <w:keepLines/>
              <w:numPr>
                <w:ilvl w:val="0"/>
                <w:numId w:val="19"/>
              </w:numPr>
              <w:autoSpaceDE w:val="0"/>
              <w:autoSpaceDN w:val="0"/>
              <w:adjustRightInd w:val="0"/>
              <w:rPr>
                <w:rFonts w:ascii="Garamond" w:hAnsi="Garamond"/>
                <w:lang w:val="en-AU"/>
              </w:rPr>
            </w:pPr>
            <w:r w:rsidRPr="00AA0347">
              <w:rPr>
                <w:rFonts w:ascii="Garamond" w:hAnsi="Garamond"/>
                <w:lang w:val="en-AU"/>
              </w:rPr>
              <w:t>Patients who went to the lowest-performing hospitals (highest 30-day risk-standardised readmission rates (RSRR)) had a 0.9% higher likelihood of readmission (p=0.005) compared with patients who went to the highest-performing hospitals (lowest RSRR).</w:t>
            </w:r>
          </w:p>
          <w:p w:rsidR="00403D1E" w:rsidRPr="00AA0347" w:rsidRDefault="00403D1E" w:rsidP="00403D1E">
            <w:pPr>
              <w:pStyle w:val="ListParagraph"/>
              <w:keepNext/>
              <w:keepLines/>
              <w:numPr>
                <w:ilvl w:val="0"/>
                <w:numId w:val="19"/>
              </w:numPr>
              <w:autoSpaceDE w:val="0"/>
              <w:autoSpaceDN w:val="0"/>
              <w:adjustRightInd w:val="0"/>
              <w:rPr>
                <w:rFonts w:ascii="Garamond" w:hAnsi="Garamond"/>
                <w:lang w:val="en-AU"/>
              </w:rPr>
            </w:pPr>
            <w:r w:rsidRPr="00AA0347">
              <w:rPr>
                <w:rFonts w:ascii="Garamond" w:hAnsi="Garamond"/>
                <w:lang w:val="en-AU"/>
              </w:rPr>
              <w:t>Patients who went to the lowest-performing SNFs had a 2% higher likelihood of readmission (p&lt;0.001) compared with patients to went to the highest-performing SNFs.</w:t>
            </w:r>
          </w:p>
          <w:p w:rsidR="00403D1E" w:rsidRPr="003F6EE2" w:rsidRDefault="00403D1E" w:rsidP="003F4FB1">
            <w:pPr>
              <w:keepNext/>
              <w:keepLines/>
              <w:autoSpaceDE w:val="0"/>
              <w:autoSpaceDN w:val="0"/>
              <w:adjustRightInd w:val="0"/>
              <w:rPr>
                <w:rFonts w:ascii="Garamond" w:hAnsi="Garamond"/>
                <w:lang w:val="en-AU"/>
              </w:rPr>
            </w:pPr>
            <w:r>
              <w:rPr>
                <w:rFonts w:ascii="Garamond" w:hAnsi="Garamond"/>
                <w:lang w:val="en-AU"/>
              </w:rPr>
              <w:t>These findings led to the conclusion that ‘</w:t>
            </w:r>
            <w:r w:rsidRPr="00AA0347">
              <w:rPr>
                <w:rFonts w:ascii="Garamond" w:hAnsi="Garamond"/>
                <w:lang w:val="en-AU"/>
              </w:rPr>
              <w:t>The association between SNF quality and patient outcomes was larger than the association between hospital quality and patient outcomes among postacute care patients.</w:t>
            </w:r>
            <w:r>
              <w:rPr>
                <w:rFonts w:ascii="Garamond" w:hAnsi="Garamond"/>
                <w:lang w:val="en-AU"/>
              </w:rPr>
              <w:t>’</w:t>
            </w:r>
          </w:p>
        </w:tc>
      </w:tr>
    </w:tbl>
    <w:p w:rsidR="00403D1E" w:rsidRDefault="00403D1E" w:rsidP="00403D1E">
      <w:pPr>
        <w:rPr>
          <w:rFonts w:ascii="Garamond" w:hAnsi="Garamond"/>
          <w:lang w:val="en-AU"/>
        </w:rPr>
      </w:pPr>
    </w:p>
    <w:p w:rsidR="00403D1E" w:rsidRPr="00A0593A" w:rsidRDefault="00403D1E" w:rsidP="00403D1E">
      <w:pPr>
        <w:keepNext/>
        <w:keepLines/>
        <w:autoSpaceDE w:val="0"/>
        <w:autoSpaceDN w:val="0"/>
        <w:adjustRightInd w:val="0"/>
        <w:rPr>
          <w:rFonts w:ascii="Garamond" w:hAnsi="Garamond"/>
          <w:i/>
          <w:lang w:val="en-AU"/>
        </w:rPr>
      </w:pPr>
      <w:r w:rsidRPr="00A0593A">
        <w:rPr>
          <w:rFonts w:ascii="Garamond" w:hAnsi="Garamond"/>
          <w:i/>
          <w:lang w:val="en-AU"/>
        </w:rPr>
        <w:lastRenderedPageBreak/>
        <w:t>Health and social care-associated harm amongst vulnerable children in primary care: mixed methods analysis of national safety reports</w:t>
      </w:r>
    </w:p>
    <w:p w:rsidR="00403D1E" w:rsidRDefault="00403D1E" w:rsidP="00403D1E">
      <w:pPr>
        <w:keepNext/>
        <w:keepLines/>
        <w:autoSpaceDE w:val="0"/>
        <w:autoSpaceDN w:val="0"/>
        <w:adjustRightInd w:val="0"/>
        <w:rPr>
          <w:rFonts w:ascii="Garamond" w:hAnsi="Garamond"/>
          <w:lang w:val="en-AU"/>
        </w:rPr>
      </w:pPr>
      <w:r w:rsidRPr="00C35C60">
        <w:rPr>
          <w:rFonts w:ascii="Garamond" w:hAnsi="Garamond"/>
          <w:lang w:val="en-AU"/>
        </w:rPr>
        <w:t>Omar A, Rees P, Cooper A, Evans H, Williams H, Hibbert P, et al.</w:t>
      </w:r>
    </w:p>
    <w:p w:rsidR="00403D1E" w:rsidRDefault="00403D1E" w:rsidP="00403D1E">
      <w:pPr>
        <w:keepNext/>
        <w:keepLines/>
        <w:autoSpaceDE w:val="0"/>
        <w:autoSpaceDN w:val="0"/>
        <w:adjustRightInd w:val="0"/>
        <w:rPr>
          <w:rFonts w:ascii="Garamond" w:hAnsi="Garamond"/>
          <w:lang w:val="en-AU"/>
        </w:rPr>
      </w:pPr>
      <w:r w:rsidRPr="00C35C60">
        <w:rPr>
          <w:rFonts w:ascii="Garamond" w:hAnsi="Garamond"/>
          <w:lang w:val="en-AU"/>
        </w:rPr>
        <w:t>Archives of Disease in Childhood. 2020</w:t>
      </w:r>
      <w:r>
        <w:rPr>
          <w:rFonts w:ascii="Garamond" w:hAnsi="Garamond"/>
          <w:lang w:val="en-AU"/>
        </w:rPr>
        <w:t xml:space="preserve"> [epub]</w:t>
      </w:r>
      <w:r w:rsidRPr="00C35C60">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403D1E" w:rsidRPr="000170DA" w:rsidTr="003F4FB1">
        <w:tc>
          <w:tcPr>
            <w:tcW w:w="1080" w:type="dxa"/>
            <w:tcBorders>
              <w:top w:val="single" w:sz="4" w:space="0" w:color="auto"/>
              <w:left w:val="single" w:sz="4" w:space="0" w:color="auto"/>
              <w:bottom w:val="single" w:sz="4" w:space="0" w:color="auto"/>
              <w:right w:val="single" w:sz="4" w:space="0" w:color="auto"/>
            </w:tcBorders>
            <w:vAlign w:val="center"/>
          </w:tcPr>
          <w:p w:rsidR="00403D1E" w:rsidRPr="000170DA" w:rsidRDefault="00403D1E" w:rsidP="003F4FB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03D1E" w:rsidRPr="000170DA" w:rsidRDefault="00E45003" w:rsidP="003F4FB1">
            <w:pPr>
              <w:keepNext/>
              <w:rPr>
                <w:rStyle w:val="Hyperlink"/>
                <w:rFonts w:ascii="Garamond" w:hAnsi="Garamond"/>
                <w:color w:val="auto"/>
                <w:u w:val="none"/>
                <w:lang w:val="en-AU"/>
              </w:rPr>
            </w:pPr>
            <w:hyperlink r:id="rId18" w:history="1">
              <w:r w:rsidR="00403D1E" w:rsidRPr="00384A30">
                <w:rPr>
                  <w:rStyle w:val="Hyperlink"/>
                  <w:rFonts w:ascii="Garamond" w:hAnsi="Garamond"/>
                  <w:lang w:val="en-AU"/>
                </w:rPr>
                <w:t>https://doi.org/10.1136/archdischild-2019-318406</w:t>
              </w:r>
            </w:hyperlink>
          </w:p>
        </w:tc>
      </w:tr>
      <w:tr w:rsidR="00403D1E" w:rsidRPr="000170DA" w:rsidTr="003F4FB1">
        <w:tc>
          <w:tcPr>
            <w:tcW w:w="1080" w:type="dxa"/>
            <w:tcBorders>
              <w:top w:val="single" w:sz="4" w:space="0" w:color="auto"/>
              <w:left w:val="single" w:sz="4" w:space="0" w:color="auto"/>
              <w:bottom w:val="single" w:sz="4" w:space="0" w:color="auto"/>
              <w:right w:val="single" w:sz="4" w:space="0" w:color="auto"/>
            </w:tcBorders>
            <w:vAlign w:val="center"/>
          </w:tcPr>
          <w:p w:rsidR="00403D1E" w:rsidRPr="000170DA" w:rsidRDefault="00403D1E" w:rsidP="003F4FB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03D1E" w:rsidRPr="003F6EE2" w:rsidRDefault="00403D1E" w:rsidP="003F4FB1">
            <w:pPr>
              <w:keepNext/>
              <w:keepLines/>
              <w:autoSpaceDE w:val="0"/>
              <w:autoSpaceDN w:val="0"/>
              <w:adjustRightInd w:val="0"/>
              <w:rPr>
                <w:rFonts w:ascii="Garamond" w:hAnsi="Garamond"/>
                <w:lang w:val="en-AU"/>
              </w:rPr>
            </w:pPr>
            <w:r>
              <w:rPr>
                <w:rFonts w:ascii="Garamond" w:hAnsi="Garamond"/>
                <w:lang w:val="en-AU"/>
              </w:rPr>
              <w:t xml:space="preserve">Much safety and quality advice and efforts are focused on the general or total population. However, there are various populations whose characteristics or vulnerabilities require specific consideration. This article reports on an analysis of harms affecting vulnerable children in the primary care setting. Based on analysis from the UK’s national patient safety reporting dataset the study identified 1183 reports, of which 48% described </w:t>
            </w:r>
            <w:r w:rsidRPr="00715055">
              <w:rPr>
                <w:rFonts w:ascii="Garamond" w:hAnsi="Garamond"/>
                <w:b/>
                <w:lang w:val="en-AU"/>
              </w:rPr>
              <w:t>harm to vulnerable children</w:t>
            </w:r>
            <w:r w:rsidRPr="00715055">
              <w:rPr>
                <w:rFonts w:ascii="Garamond" w:hAnsi="Garamond"/>
                <w:lang w:val="en-AU"/>
              </w:rPr>
              <w:t>, many of these being deemed to be low harm</w:t>
            </w:r>
            <w:r>
              <w:rPr>
                <w:rFonts w:ascii="Garamond" w:hAnsi="Garamond"/>
                <w:lang w:val="en-AU"/>
              </w:rPr>
              <w:t xml:space="preserve">. The analysis identified a number of priority safety issues, including </w:t>
            </w:r>
            <w:r w:rsidRPr="00715055">
              <w:rPr>
                <w:rFonts w:ascii="Garamond" w:hAnsi="Garamond"/>
                <w:b/>
                <w:lang w:val="en-AU"/>
              </w:rPr>
              <w:t>poor recognition of needs</w:t>
            </w:r>
            <w:r w:rsidRPr="00715055">
              <w:rPr>
                <w:rFonts w:ascii="Garamond" w:hAnsi="Garamond"/>
                <w:lang w:val="en-AU"/>
              </w:rPr>
              <w:t xml:space="preserve"> and subsequent </w:t>
            </w:r>
            <w:r w:rsidRPr="00715055">
              <w:rPr>
                <w:rFonts w:ascii="Garamond" w:hAnsi="Garamond"/>
                <w:b/>
                <w:lang w:val="en-AU"/>
              </w:rPr>
              <w:t>provision of adequate care</w:t>
            </w:r>
            <w:r w:rsidRPr="00715055">
              <w:rPr>
                <w:rFonts w:ascii="Garamond" w:hAnsi="Garamond"/>
                <w:lang w:val="en-AU"/>
              </w:rPr>
              <w:t xml:space="preserve">; insufficient provider access to accurate </w:t>
            </w:r>
            <w:r w:rsidRPr="00715055">
              <w:rPr>
                <w:rFonts w:ascii="Garamond" w:hAnsi="Garamond"/>
                <w:b/>
                <w:lang w:val="en-AU"/>
              </w:rPr>
              <w:t>information</w:t>
            </w:r>
            <w:r w:rsidRPr="00715055">
              <w:rPr>
                <w:rFonts w:ascii="Garamond" w:hAnsi="Garamond"/>
                <w:lang w:val="en-AU"/>
              </w:rPr>
              <w:t xml:space="preserve"> about vulnerable children, and </w:t>
            </w:r>
            <w:r w:rsidRPr="00715055">
              <w:rPr>
                <w:rFonts w:ascii="Garamond" w:hAnsi="Garamond"/>
                <w:b/>
                <w:lang w:val="en-AU"/>
              </w:rPr>
              <w:t>delayed referrals</w:t>
            </w:r>
            <w:r w:rsidRPr="00715055">
              <w:rPr>
                <w:rFonts w:ascii="Garamond" w:hAnsi="Garamond"/>
                <w:lang w:val="en-AU"/>
              </w:rPr>
              <w:t xml:space="preserve"> between providers.</w:t>
            </w:r>
          </w:p>
        </w:tc>
      </w:tr>
    </w:tbl>
    <w:p w:rsidR="00403D1E" w:rsidRDefault="00403D1E" w:rsidP="00403D1E">
      <w:pPr>
        <w:rPr>
          <w:rFonts w:ascii="Garamond" w:hAnsi="Garamond"/>
          <w:lang w:val="en-AU"/>
        </w:rPr>
      </w:pPr>
    </w:p>
    <w:p w:rsidR="00403D1E" w:rsidRPr="00A0593A" w:rsidRDefault="00403D1E" w:rsidP="00403D1E">
      <w:pPr>
        <w:keepNext/>
        <w:keepLines/>
        <w:autoSpaceDE w:val="0"/>
        <w:autoSpaceDN w:val="0"/>
        <w:adjustRightInd w:val="0"/>
        <w:rPr>
          <w:rFonts w:ascii="Garamond" w:hAnsi="Garamond"/>
          <w:i/>
          <w:lang w:val="en-AU"/>
        </w:rPr>
      </w:pPr>
      <w:r w:rsidRPr="00A0593A">
        <w:rPr>
          <w:rFonts w:ascii="Garamond" w:hAnsi="Garamond"/>
          <w:i/>
          <w:lang w:val="en-AU"/>
        </w:rPr>
        <w:t>A systematic review of interventions and programs targeting appropriate prescribing of opioids</w:t>
      </w:r>
    </w:p>
    <w:p w:rsidR="00403D1E" w:rsidRDefault="00403D1E" w:rsidP="00403D1E">
      <w:pPr>
        <w:keepNext/>
        <w:keepLines/>
        <w:autoSpaceDE w:val="0"/>
        <w:autoSpaceDN w:val="0"/>
        <w:adjustRightInd w:val="0"/>
        <w:rPr>
          <w:rFonts w:ascii="Garamond" w:hAnsi="Garamond"/>
          <w:lang w:val="en-AU"/>
        </w:rPr>
      </w:pPr>
      <w:r w:rsidRPr="00153D32">
        <w:rPr>
          <w:rFonts w:ascii="Garamond" w:hAnsi="Garamond"/>
          <w:lang w:val="en-AU"/>
        </w:rPr>
        <w:t>Moride Y, Lemieux-Uresandi D, Castillon G, de Moura CS, Pilote L, Faure M, et al</w:t>
      </w:r>
    </w:p>
    <w:p w:rsidR="00403D1E" w:rsidRDefault="00403D1E" w:rsidP="00403D1E">
      <w:pPr>
        <w:keepNext/>
        <w:keepLines/>
        <w:autoSpaceDE w:val="0"/>
        <w:autoSpaceDN w:val="0"/>
        <w:adjustRightInd w:val="0"/>
        <w:rPr>
          <w:rFonts w:ascii="Garamond" w:hAnsi="Garamond"/>
          <w:lang w:val="en-AU"/>
        </w:rPr>
      </w:pPr>
      <w:r w:rsidRPr="00153D32">
        <w:rPr>
          <w:rFonts w:ascii="Garamond" w:hAnsi="Garamond"/>
          <w:lang w:val="en-AU"/>
        </w:rPr>
        <w:t>Pain Physician. 2019;22(3):229-240.</w:t>
      </w:r>
    </w:p>
    <w:tbl>
      <w:tblPr>
        <w:tblStyle w:val="TableGrid"/>
        <w:tblW w:w="0" w:type="auto"/>
        <w:tblInd w:w="288" w:type="dxa"/>
        <w:tblLayout w:type="fixed"/>
        <w:tblLook w:val="01E0" w:firstRow="1" w:lastRow="1" w:firstColumn="1" w:lastColumn="1" w:noHBand="0" w:noVBand="0"/>
      </w:tblPr>
      <w:tblGrid>
        <w:gridCol w:w="1080"/>
        <w:gridCol w:w="8280"/>
      </w:tblGrid>
      <w:tr w:rsidR="00403D1E" w:rsidRPr="000170DA" w:rsidTr="003F4FB1">
        <w:tc>
          <w:tcPr>
            <w:tcW w:w="1080" w:type="dxa"/>
            <w:tcBorders>
              <w:top w:val="single" w:sz="4" w:space="0" w:color="auto"/>
              <w:left w:val="single" w:sz="4" w:space="0" w:color="auto"/>
              <w:bottom w:val="single" w:sz="4" w:space="0" w:color="auto"/>
              <w:right w:val="single" w:sz="4" w:space="0" w:color="auto"/>
            </w:tcBorders>
            <w:vAlign w:val="center"/>
          </w:tcPr>
          <w:p w:rsidR="00403D1E" w:rsidRPr="000170DA" w:rsidRDefault="00403D1E" w:rsidP="003F4FB1">
            <w:pPr>
              <w:keepNext/>
              <w:keepLines/>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03D1E" w:rsidRPr="000170DA" w:rsidRDefault="00E45003" w:rsidP="003F4FB1">
            <w:pPr>
              <w:keepNext/>
              <w:keepLines/>
              <w:rPr>
                <w:rStyle w:val="Hyperlink"/>
                <w:rFonts w:ascii="Garamond" w:hAnsi="Garamond"/>
                <w:color w:val="auto"/>
                <w:u w:val="none"/>
                <w:lang w:val="en-AU"/>
              </w:rPr>
            </w:pPr>
            <w:hyperlink r:id="rId19" w:history="1">
              <w:r w:rsidR="00403D1E" w:rsidRPr="00384A30">
                <w:rPr>
                  <w:rStyle w:val="Hyperlink"/>
                  <w:rFonts w:ascii="Garamond" w:hAnsi="Garamond"/>
                  <w:lang w:val="en-AU"/>
                </w:rPr>
                <w:t>https://www.painphysicianjournal.com/linkout?issn=1533-3159&amp;vol=22&amp;page=229</w:t>
              </w:r>
            </w:hyperlink>
          </w:p>
        </w:tc>
      </w:tr>
      <w:tr w:rsidR="00403D1E" w:rsidRPr="000170DA" w:rsidTr="003F4FB1">
        <w:tc>
          <w:tcPr>
            <w:tcW w:w="1080" w:type="dxa"/>
            <w:tcBorders>
              <w:top w:val="single" w:sz="4" w:space="0" w:color="auto"/>
              <w:left w:val="single" w:sz="4" w:space="0" w:color="auto"/>
              <w:bottom w:val="single" w:sz="4" w:space="0" w:color="auto"/>
              <w:right w:val="single" w:sz="4" w:space="0" w:color="auto"/>
            </w:tcBorders>
            <w:vAlign w:val="center"/>
          </w:tcPr>
          <w:p w:rsidR="00403D1E" w:rsidRPr="000170DA" w:rsidRDefault="00403D1E" w:rsidP="003F4FB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03D1E" w:rsidRPr="003F6EE2" w:rsidRDefault="00403D1E" w:rsidP="003F4FB1">
            <w:pPr>
              <w:keepNext/>
              <w:keepLines/>
              <w:autoSpaceDE w:val="0"/>
              <w:autoSpaceDN w:val="0"/>
              <w:adjustRightInd w:val="0"/>
              <w:rPr>
                <w:rFonts w:ascii="Garamond" w:hAnsi="Garamond"/>
                <w:lang w:val="en-AU"/>
              </w:rPr>
            </w:pPr>
            <w:r>
              <w:rPr>
                <w:rFonts w:ascii="Garamond" w:hAnsi="Garamond"/>
                <w:lang w:val="en-AU"/>
              </w:rPr>
              <w:t xml:space="preserve">The use (and misuse) of opioids is a recognised issue, with a number of nations enduring an “opioid epidemic”. This review sought identify and evaluate interventions that target opioid prescribing. From the analysis, 95 distinct interventions were identified, of which more than half </w:t>
            </w:r>
            <w:r w:rsidRPr="006F22D7">
              <w:rPr>
                <w:rFonts w:ascii="Garamond" w:hAnsi="Garamond"/>
                <w:lang w:val="en-AU"/>
              </w:rPr>
              <w:t xml:space="preserve">consisted of prescription monitoring programs (PMPs) and mainly targeted </w:t>
            </w:r>
            <w:r>
              <w:rPr>
                <w:rFonts w:ascii="Garamond" w:hAnsi="Garamond"/>
                <w:lang w:val="en-AU"/>
              </w:rPr>
              <w:t>healthcare professionals. The authors observe that ‘</w:t>
            </w:r>
            <w:r w:rsidRPr="006F22D7">
              <w:rPr>
                <w:rFonts w:ascii="Garamond" w:hAnsi="Garamond"/>
                <w:b/>
                <w:lang w:val="en-AU"/>
              </w:rPr>
              <w:t>Evidence of effectiveness of interventions</w:t>
            </w:r>
            <w:r w:rsidRPr="006F22D7">
              <w:rPr>
                <w:rFonts w:ascii="Garamond" w:hAnsi="Garamond"/>
                <w:lang w:val="en-AU"/>
              </w:rPr>
              <w:t xml:space="preserve"> targeting the prescription of opioids </w:t>
            </w:r>
            <w:r w:rsidRPr="006F22D7">
              <w:rPr>
                <w:rFonts w:ascii="Garamond" w:hAnsi="Garamond"/>
                <w:b/>
                <w:lang w:val="en-AU"/>
              </w:rPr>
              <w:t>is scarce</w:t>
            </w:r>
            <w:r w:rsidRPr="006F22D7">
              <w:rPr>
                <w:rFonts w:ascii="Garamond" w:hAnsi="Garamond"/>
                <w:lang w:val="en-AU"/>
              </w:rPr>
              <w:t xml:space="preserve"> in the literature.</w:t>
            </w:r>
            <w:r>
              <w:rPr>
                <w:rFonts w:ascii="Garamond" w:hAnsi="Garamond"/>
                <w:lang w:val="en-AU"/>
              </w:rPr>
              <w:t>’ They go on to note that ‘</w:t>
            </w:r>
            <w:r w:rsidRPr="006F22D7">
              <w:rPr>
                <w:rFonts w:ascii="Garamond" w:hAnsi="Garamond"/>
                <w:lang w:val="en-AU"/>
              </w:rPr>
              <w:t xml:space="preserve">Although PMPs have been associated with a reduction in the overall prescription rates of Schedule II opioids, their </w:t>
            </w:r>
            <w:r w:rsidRPr="006F22D7">
              <w:rPr>
                <w:rFonts w:ascii="Garamond" w:hAnsi="Garamond"/>
                <w:b/>
                <w:lang w:val="en-AU"/>
              </w:rPr>
              <w:t>impact on the appropriateness of use taking into consideration benefits, misuse, legal and illegal use remains elusive</w:t>
            </w:r>
            <w:r w:rsidRPr="006F22D7">
              <w:rPr>
                <w:rFonts w:ascii="Garamond" w:hAnsi="Garamond"/>
                <w:lang w:val="en-AU"/>
              </w:rPr>
              <w:t>. Our review suggests that existing interventions have not addressed all determinants of inappropriate opioid prescribing and usage.</w:t>
            </w:r>
            <w:r>
              <w:rPr>
                <w:rFonts w:ascii="Garamond" w:hAnsi="Garamond"/>
                <w:lang w:val="en-AU"/>
              </w:rPr>
              <w:t>’</w:t>
            </w:r>
          </w:p>
        </w:tc>
      </w:tr>
    </w:tbl>
    <w:p w:rsidR="00403D1E" w:rsidRDefault="00403D1E" w:rsidP="00403D1E">
      <w:pPr>
        <w:rPr>
          <w:rFonts w:ascii="Garamond" w:hAnsi="Garamond"/>
          <w:lang w:val="en-AU"/>
        </w:rPr>
      </w:pPr>
    </w:p>
    <w:p w:rsidR="00403D1E" w:rsidRDefault="00403D1E" w:rsidP="00403D1E">
      <w:pPr>
        <w:keepNext/>
        <w:keepLines/>
        <w:autoSpaceDE w:val="0"/>
        <w:autoSpaceDN w:val="0"/>
        <w:adjustRightInd w:val="0"/>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medication safety, see </w:t>
      </w:r>
      <w:hyperlink r:id="rId20" w:history="1">
        <w:r w:rsidRPr="006B4917">
          <w:rPr>
            <w:rStyle w:val="Hyperlink"/>
            <w:rFonts w:ascii="Garamond" w:hAnsi="Garamond"/>
            <w:lang w:val="en-AU"/>
          </w:rPr>
          <w:t>https://www.safetyandquality.gov.au/our-work/medication-safety</w:t>
        </w:r>
      </w:hyperlink>
    </w:p>
    <w:p w:rsidR="00A0593A" w:rsidRDefault="00A0593A" w:rsidP="00A0593A">
      <w:pPr>
        <w:rPr>
          <w:rFonts w:ascii="Garamond" w:hAnsi="Garamond"/>
          <w:lang w:val="en-AU"/>
        </w:rPr>
      </w:pPr>
    </w:p>
    <w:p w:rsidR="00F65CA6" w:rsidRDefault="00F65CA6">
      <w:pPr>
        <w:rPr>
          <w:rFonts w:ascii="Garamond" w:hAnsi="Garamond"/>
          <w:i/>
          <w:lang w:val="en-AU"/>
        </w:rPr>
      </w:pPr>
      <w:r>
        <w:rPr>
          <w:rFonts w:ascii="Garamond" w:hAnsi="Garamond"/>
          <w:i/>
          <w:lang w:val="en-AU"/>
        </w:rPr>
        <w:br w:type="page"/>
      </w:r>
    </w:p>
    <w:p w:rsidR="00980BEA" w:rsidRDefault="00783A48" w:rsidP="00DF2AD0">
      <w:pPr>
        <w:keepNext/>
        <w:rPr>
          <w:rFonts w:ascii="Garamond" w:hAnsi="Garamond"/>
          <w:i/>
          <w:lang w:val="en-AU"/>
        </w:rPr>
      </w:pPr>
      <w:r>
        <w:rPr>
          <w:rFonts w:ascii="Garamond" w:hAnsi="Garamond"/>
          <w:i/>
          <w:lang w:val="en-AU"/>
        </w:rPr>
        <w:lastRenderedPageBreak/>
        <w:t>BMJ Leader</w:t>
      </w:r>
    </w:p>
    <w:p w:rsidR="007922C5" w:rsidRPr="00612D3D" w:rsidRDefault="00783A48" w:rsidP="00DF2AD0">
      <w:pPr>
        <w:keepNext/>
        <w:rPr>
          <w:rFonts w:ascii="Garamond" w:hAnsi="Garamond"/>
          <w:lang w:val="en-AU"/>
        </w:rPr>
      </w:pPr>
      <w:r>
        <w:rPr>
          <w:rFonts w:ascii="Garamond" w:hAnsi="Garamond"/>
          <w:lang w:val="en-AU"/>
        </w:rPr>
        <w:t>March 2020 – Volume 4 -1</w:t>
      </w:r>
    </w:p>
    <w:tbl>
      <w:tblPr>
        <w:tblStyle w:val="TableGrid"/>
        <w:tblW w:w="9360" w:type="dxa"/>
        <w:tblInd w:w="288" w:type="dxa"/>
        <w:tblLayout w:type="fixed"/>
        <w:tblLook w:val="01E0" w:firstRow="1" w:lastRow="1" w:firstColumn="1" w:lastColumn="1" w:noHBand="0" w:noVBand="0"/>
      </w:tblPr>
      <w:tblGrid>
        <w:gridCol w:w="1080"/>
        <w:gridCol w:w="8280"/>
      </w:tblGrid>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DF2AD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6706B4" w:rsidRDefault="00E45003" w:rsidP="00DF2AD0">
            <w:pPr>
              <w:keepNext/>
              <w:rPr>
                <w:rStyle w:val="Hyperlink"/>
                <w:rFonts w:ascii="Garamond" w:hAnsi="Garamond"/>
                <w:color w:val="auto"/>
                <w:u w:val="none"/>
                <w:lang w:val="en-AU"/>
              </w:rPr>
            </w:pPr>
            <w:hyperlink r:id="rId21" w:history="1">
              <w:r w:rsidR="00783A48" w:rsidRPr="00C77D75">
                <w:rPr>
                  <w:rStyle w:val="Hyperlink"/>
                  <w:rFonts w:ascii="Garamond" w:hAnsi="Garamond"/>
                  <w:lang w:val="en-AU"/>
                </w:rPr>
                <w:t>https://bmjleader.bmj.com/content/4/1</w:t>
              </w:r>
            </w:hyperlink>
          </w:p>
        </w:tc>
      </w:tr>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1A116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7C3778" w:rsidRDefault="007922C5" w:rsidP="00980BEA">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783A48">
              <w:rPr>
                <w:rFonts w:ascii="Garamond" w:hAnsi="Garamond"/>
                <w:i/>
                <w:lang w:val="en-AU"/>
              </w:rPr>
              <w:t>BMJ Leader</w:t>
            </w:r>
            <w:r w:rsidR="00FE0964">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783A48">
              <w:rPr>
                <w:rFonts w:ascii="Garamond" w:hAnsi="Garamond"/>
                <w:i/>
                <w:lang w:val="en-AU"/>
              </w:rPr>
              <w:t>BMJ Leader</w:t>
            </w:r>
            <w:r w:rsidR="00783A48" w:rsidRPr="00B440ED">
              <w:rPr>
                <w:rFonts w:ascii="Garamond" w:hAnsi="Garamond"/>
                <w:lang w:val="en-AU"/>
              </w:rPr>
              <w:t xml:space="preserve"> </w:t>
            </w:r>
            <w:r w:rsidRPr="00B440ED">
              <w:rPr>
                <w:rFonts w:ascii="Garamond" w:hAnsi="Garamond"/>
                <w:lang w:val="en-AU"/>
              </w:rPr>
              <w:t>include:</w:t>
            </w:r>
          </w:p>
          <w:p w:rsidR="00783A48" w:rsidRPr="00DF2AD0" w:rsidRDefault="00783A48" w:rsidP="00CC1F66">
            <w:pPr>
              <w:pStyle w:val="ListParagraph"/>
              <w:numPr>
                <w:ilvl w:val="0"/>
                <w:numId w:val="15"/>
              </w:numPr>
              <w:rPr>
                <w:rFonts w:ascii="Garamond" w:hAnsi="Garamond"/>
                <w:lang w:val="en-AU"/>
              </w:rPr>
            </w:pPr>
            <w:r w:rsidRPr="00DF2AD0">
              <w:rPr>
                <w:rFonts w:ascii="Garamond" w:hAnsi="Garamond"/>
                <w:b/>
                <w:lang w:val="en-AU"/>
              </w:rPr>
              <w:t>Developing physician leaders</w:t>
            </w:r>
            <w:r w:rsidRPr="00DF2AD0">
              <w:rPr>
                <w:rFonts w:ascii="Garamond" w:hAnsi="Garamond"/>
                <w:lang w:val="en-AU"/>
              </w:rPr>
              <w:t>: does it work?</w:t>
            </w:r>
            <w:r w:rsidR="00DF2AD0" w:rsidRPr="00DF2AD0">
              <w:rPr>
                <w:rFonts w:ascii="Garamond" w:hAnsi="Garamond"/>
                <w:lang w:val="en-AU"/>
              </w:rPr>
              <w:t xml:space="preserve"> (</w:t>
            </w:r>
            <w:r w:rsidRPr="00DF2AD0">
              <w:rPr>
                <w:rFonts w:ascii="Garamond" w:hAnsi="Garamond"/>
                <w:lang w:val="en-AU"/>
              </w:rPr>
              <w:t>James K Stoller</w:t>
            </w:r>
            <w:r w:rsidR="00DF2AD0">
              <w:rPr>
                <w:rFonts w:ascii="Garamond" w:hAnsi="Garamond"/>
                <w:lang w:val="en-AU"/>
              </w:rPr>
              <w:t>)</w:t>
            </w:r>
          </w:p>
          <w:p w:rsidR="00783A48" w:rsidRPr="00DF2AD0" w:rsidRDefault="00783A48" w:rsidP="007930A5">
            <w:pPr>
              <w:pStyle w:val="ListParagraph"/>
              <w:numPr>
                <w:ilvl w:val="0"/>
                <w:numId w:val="15"/>
              </w:numPr>
              <w:rPr>
                <w:rFonts w:ascii="Garamond" w:hAnsi="Garamond"/>
                <w:lang w:val="en-AU"/>
              </w:rPr>
            </w:pPr>
            <w:r w:rsidRPr="00DF2AD0">
              <w:rPr>
                <w:rFonts w:ascii="Garamond" w:hAnsi="Garamond"/>
                <w:b/>
                <w:lang w:val="en-AU"/>
              </w:rPr>
              <w:t>Unlocking medical leadership’s potential</w:t>
            </w:r>
            <w:r w:rsidRPr="00DF2AD0">
              <w:rPr>
                <w:rFonts w:ascii="Garamond" w:hAnsi="Garamond"/>
                <w:lang w:val="en-AU"/>
              </w:rPr>
              <w:t>: a multilevel virtuous circle? (Wouter Keijser, Graeme Martin</w:t>
            </w:r>
            <w:r w:rsidR="00DF2AD0">
              <w:rPr>
                <w:rFonts w:ascii="Garamond" w:hAnsi="Garamond"/>
                <w:lang w:val="en-AU"/>
              </w:rPr>
              <w:t>)</w:t>
            </w:r>
          </w:p>
          <w:p w:rsidR="00783A48" w:rsidRPr="00DF2AD0" w:rsidRDefault="00783A48" w:rsidP="00ED243A">
            <w:pPr>
              <w:pStyle w:val="ListParagraph"/>
              <w:numPr>
                <w:ilvl w:val="0"/>
                <w:numId w:val="15"/>
              </w:numPr>
              <w:rPr>
                <w:rFonts w:ascii="Garamond" w:hAnsi="Garamond"/>
                <w:lang w:val="en-AU"/>
              </w:rPr>
            </w:pPr>
            <w:r w:rsidRPr="00DF2AD0">
              <w:rPr>
                <w:rFonts w:ascii="Garamond" w:hAnsi="Garamond"/>
                <w:lang w:val="en-AU"/>
              </w:rPr>
              <w:t xml:space="preserve">Enacting </w:t>
            </w:r>
            <w:r w:rsidRPr="00DF2AD0">
              <w:rPr>
                <w:rFonts w:ascii="Garamond" w:hAnsi="Garamond"/>
                <w:b/>
                <w:lang w:val="en-AU"/>
              </w:rPr>
              <w:t>medical leadership to address wicked problems</w:t>
            </w:r>
            <w:r w:rsidRPr="00DF2AD0">
              <w:rPr>
                <w:rFonts w:ascii="Garamond" w:hAnsi="Garamond"/>
                <w:lang w:val="en-AU"/>
              </w:rPr>
              <w:t xml:space="preserve"> (Wouter Keijser, Jo-Louise Huq, Trish Reay</w:t>
            </w:r>
            <w:r w:rsidR="00DF2AD0">
              <w:rPr>
                <w:rFonts w:ascii="Garamond" w:hAnsi="Garamond"/>
                <w:lang w:val="en-AU"/>
              </w:rPr>
              <w:t>)</w:t>
            </w:r>
          </w:p>
          <w:p w:rsidR="00783A48" w:rsidRPr="00DF2AD0" w:rsidRDefault="00783A48" w:rsidP="00A3048F">
            <w:pPr>
              <w:pStyle w:val="ListParagraph"/>
              <w:numPr>
                <w:ilvl w:val="0"/>
                <w:numId w:val="15"/>
              </w:numPr>
              <w:rPr>
                <w:rFonts w:ascii="Garamond" w:hAnsi="Garamond"/>
                <w:lang w:val="en-AU"/>
              </w:rPr>
            </w:pPr>
            <w:r w:rsidRPr="00DF2AD0">
              <w:rPr>
                <w:rFonts w:ascii="Garamond" w:hAnsi="Garamond"/>
                <w:lang w:val="en-AU"/>
              </w:rPr>
              <w:t xml:space="preserve">From what we know to what we do: enhancing absorptive capacity in </w:t>
            </w:r>
            <w:r w:rsidRPr="00DF2AD0">
              <w:rPr>
                <w:rFonts w:ascii="Garamond" w:hAnsi="Garamond"/>
                <w:b/>
                <w:lang w:val="en-AU"/>
              </w:rPr>
              <w:t>translational health research</w:t>
            </w:r>
            <w:r w:rsidRPr="00DF2AD0">
              <w:rPr>
                <w:rFonts w:ascii="Garamond" w:hAnsi="Garamond"/>
                <w:lang w:val="en-AU"/>
              </w:rPr>
              <w:t xml:space="preserve"> (Graeme Currie, Tina Kiefer, Dimitrios Spyridonidis</w:t>
            </w:r>
            <w:r w:rsidR="00DF2AD0">
              <w:rPr>
                <w:rFonts w:ascii="Garamond" w:hAnsi="Garamond"/>
                <w:lang w:val="en-AU"/>
              </w:rPr>
              <w:t>)</w:t>
            </w:r>
          </w:p>
          <w:p w:rsidR="00783A48" w:rsidRPr="00DF2AD0" w:rsidRDefault="00783A48" w:rsidP="002A575B">
            <w:pPr>
              <w:pStyle w:val="ListParagraph"/>
              <w:numPr>
                <w:ilvl w:val="0"/>
                <w:numId w:val="15"/>
              </w:numPr>
              <w:rPr>
                <w:rFonts w:ascii="Garamond" w:hAnsi="Garamond"/>
                <w:lang w:val="en-AU"/>
              </w:rPr>
            </w:pPr>
            <w:r w:rsidRPr="00DF2AD0">
              <w:rPr>
                <w:rFonts w:ascii="Garamond" w:hAnsi="Garamond"/>
                <w:lang w:val="en-AU"/>
              </w:rPr>
              <w:t xml:space="preserve">What benefits do healthcare organisations receive from </w:t>
            </w:r>
            <w:r w:rsidRPr="00DF2AD0">
              <w:rPr>
                <w:rFonts w:ascii="Garamond" w:hAnsi="Garamond"/>
                <w:b/>
                <w:lang w:val="en-AU"/>
              </w:rPr>
              <w:t>leadership and management development programmes</w:t>
            </w:r>
            <w:r w:rsidRPr="00DF2AD0">
              <w:rPr>
                <w:rFonts w:ascii="Garamond" w:hAnsi="Garamond"/>
                <w:lang w:val="en-AU"/>
              </w:rPr>
              <w:t>? A systematic review of the evidence (Gabriel Seidman, Laurie Pascal, John McDonough</w:t>
            </w:r>
            <w:r w:rsidR="00DF2AD0">
              <w:rPr>
                <w:rFonts w:ascii="Garamond" w:hAnsi="Garamond"/>
                <w:lang w:val="en-AU"/>
              </w:rPr>
              <w:t>)</w:t>
            </w:r>
          </w:p>
          <w:p w:rsidR="007922C5" w:rsidRPr="007C3778" w:rsidRDefault="00783A48" w:rsidP="00DF2AD0">
            <w:pPr>
              <w:pStyle w:val="ListParagraph"/>
              <w:numPr>
                <w:ilvl w:val="0"/>
                <w:numId w:val="15"/>
              </w:numPr>
              <w:rPr>
                <w:rFonts w:ascii="Garamond" w:hAnsi="Garamond"/>
                <w:lang w:val="en-AU"/>
              </w:rPr>
            </w:pPr>
            <w:r w:rsidRPr="00DF2AD0">
              <w:rPr>
                <w:rFonts w:ascii="Garamond" w:hAnsi="Garamond"/>
                <w:b/>
                <w:lang w:val="en-AU"/>
              </w:rPr>
              <w:t>Improving communication lines</w:t>
            </w:r>
            <w:r w:rsidRPr="00783A48">
              <w:rPr>
                <w:rFonts w:ascii="Garamond" w:hAnsi="Garamond"/>
                <w:lang w:val="en-AU"/>
              </w:rPr>
              <w:t>: quality improvement project moving a department away from outdated paging (Neil John Jones, Sachi Shah, Shibby Robati, Michael Thilagarajah</w:t>
            </w:r>
            <w:r w:rsidR="00DF2AD0">
              <w:rPr>
                <w:rFonts w:ascii="Garamond" w:hAnsi="Garamond"/>
                <w:lang w:val="en-AU"/>
              </w:rPr>
              <w:t>)</w:t>
            </w:r>
          </w:p>
        </w:tc>
      </w:tr>
    </w:tbl>
    <w:p w:rsidR="000F16E8" w:rsidRDefault="000F16E8" w:rsidP="00B402EF">
      <w:pPr>
        <w:keepNext/>
        <w:rPr>
          <w:rFonts w:ascii="Garamond" w:hAnsi="Garamond"/>
          <w:i/>
          <w:lang w:val="en-AU"/>
        </w:rPr>
      </w:pPr>
    </w:p>
    <w:p w:rsidR="004607C5" w:rsidRDefault="00DA4E9F" w:rsidP="004607C5">
      <w:pPr>
        <w:keepNext/>
        <w:rPr>
          <w:rFonts w:ascii="Garamond" w:hAnsi="Garamond"/>
          <w:i/>
          <w:lang w:val="en-AU"/>
        </w:rPr>
      </w:pPr>
      <w:r>
        <w:rPr>
          <w:rFonts w:ascii="Garamond" w:hAnsi="Garamond"/>
          <w:i/>
          <w:lang w:val="en-AU"/>
        </w:rPr>
        <w:t>Healthcare Quarterly</w:t>
      </w:r>
    </w:p>
    <w:p w:rsidR="004607C5" w:rsidRPr="00612D3D" w:rsidRDefault="004607C5" w:rsidP="004607C5">
      <w:pPr>
        <w:keepNext/>
        <w:rPr>
          <w:rFonts w:ascii="Garamond" w:hAnsi="Garamond"/>
          <w:lang w:val="en-AU"/>
        </w:rPr>
      </w:pPr>
      <w:r w:rsidRPr="00980BEA">
        <w:rPr>
          <w:rFonts w:ascii="Garamond" w:hAnsi="Garamond"/>
          <w:lang w:val="en-AU"/>
        </w:rPr>
        <w:t>Volume</w:t>
      </w:r>
      <w:r w:rsidR="00DA4E9F">
        <w:rPr>
          <w:rFonts w:ascii="Garamond" w:hAnsi="Garamond"/>
          <w:lang w:val="en-AU"/>
        </w:rPr>
        <w:t xml:space="preserve"> 23</w:t>
      </w:r>
      <w:r>
        <w:rPr>
          <w:rFonts w:ascii="Garamond" w:hAnsi="Garamond"/>
          <w:lang w:val="en-AU"/>
        </w:rPr>
        <w:t xml:space="preserve">, Number: </w:t>
      </w:r>
      <w:r w:rsidR="00DA4E9F">
        <w:rPr>
          <w:rFonts w:ascii="Garamond" w:hAnsi="Garamond"/>
          <w:lang w:val="en-AU"/>
        </w:rPr>
        <w:t>1</w:t>
      </w:r>
      <w:r>
        <w:rPr>
          <w:rFonts w:ascii="Garamond" w:hAnsi="Garamond"/>
          <w:lang w:val="en-AU"/>
        </w:rPr>
        <w:t xml:space="preserve"> </w:t>
      </w:r>
      <w:r w:rsidR="00DA4E9F">
        <w:rPr>
          <w:rFonts w:ascii="Garamond" w:hAnsi="Garamond"/>
          <w:lang w:val="en-AU"/>
        </w:rPr>
        <w:t>April 2020</w:t>
      </w:r>
    </w:p>
    <w:tbl>
      <w:tblPr>
        <w:tblStyle w:val="TableGrid"/>
        <w:tblW w:w="9360" w:type="dxa"/>
        <w:tblInd w:w="288" w:type="dxa"/>
        <w:tblLayout w:type="fixed"/>
        <w:tblLook w:val="01E0" w:firstRow="1" w:lastRow="1" w:firstColumn="1" w:lastColumn="1" w:noHBand="0" w:noVBand="0"/>
      </w:tblPr>
      <w:tblGrid>
        <w:gridCol w:w="1080"/>
        <w:gridCol w:w="8280"/>
      </w:tblGrid>
      <w:tr w:rsidR="004607C5" w:rsidRPr="000170DA" w:rsidTr="009B3BB9">
        <w:tc>
          <w:tcPr>
            <w:tcW w:w="1080" w:type="dxa"/>
            <w:tcBorders>
              <w:top w:val="single" w:sz="4" w:space="0" w:color="auto"/>
              <w:left w:val="single" w:sz="4" w:space="0" w:color="auto"/>
              <w:bottom w:val="single" w:sz="4" w:space="0" w:color="auto"/>
              <w:right w:val="single" w:sz="4" w:space="0" w:color="auto"/>
            </w:tcBorders>
            <w:vAlign w:val="center"/>
          </w:tcPr>
          <w:p w:rsidR="004607C5" w:rsidRPr="000170DA" w:rsidRDefault="004607C5" w:rsidP="009B3BB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607C5" w:rsidRPr="006706B4" w:rsidRDefault="00E45003" w:rsidP="00DA4E9F">
            <w:pPr>
              <w:rPr>
                <w:rStyle w:val="Hyperlink"/>
                <w:rFonts w:ascii="Garamond" w:hAnsi="Garamond"/>
                <w:color w:val="auto"/>
                <w:u w:val="none"/>
                <w:lang w:val="en-AU"/>
              </w:rPr>
            </w:pPr>
            <w:hyperlink r:id="rId22" w:history="1">
              <w:r w:rsidR="00DA4E9F" w:rsidRPr="00CF6C14">
                <w:rPr>
                  <w:rStyle w:val="Hyperlink"/>
                  <w:rFonts w:ascii="Garamond" w:hAnsi="Garamond"/>
                  <w:lang w:val="en-AU"/>
                </w:rPr>
                <w:t>https://www.longwoods.com/publications/healthcare-quarterly/26137/1/vol.-23-no.-1-2020</w:t>
              </w:r>
            </w:hyperlink>
          </w:p>
        </w:tc>
      </w:tr>
      <w:tr w:rsidR="004607C5" w:rsidRPr="000170DA" w:rsidTr="009B3BB9">
        <w:tc>
          <w:tcPr>
            <w:tcW w:w="1080" w:type="dxa"/>
            <w:tcBorders>
              <w:top w:val="single" w:sz="4" w:space="0" w:color="auto"/>
              <w:left w:val="single" w:sz="4" w:space="0" w:color="auto"/>
              <w:bottom w:val="single" w:sz="4" w:space="0" w:color="auto"/>
              <w:right w:val="single" w:sz="4" w:space="0" w:color="auto"/>
            </w:tcBorders>
            <w:vAlign w:val="center"/>
          </w:tcPr>
          <w:p w:rsidR="004607C5" w:rsidRPr="000170DA" w:rsidRDefault="004607C5" w:rsidP="009B3BB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607C5" w:rsidRPr="007C3778" w:rsidRDefault="004607C5" w:rsidP="009B3BB9">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DA4E9F">
              <w:rPr>
                <w:rFonts w:ascii="Garamond" w:hAnsi="Garamond"/>
                <w:i/>
                <w:lang w:val="en-AU"/>
              </w:rPr>
              <w:t>Healthcare Quarterly</w:t>
            </w:r>
            <w:r w:rsidR="00DA4E9F"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DA4E9F">
              <w:rPr>
                <w:rFonts w:ascii="Garamond" w:hAnsi="Garamond"/>
                <w:i/>
                <w:lang w:val="en-AU"/>
              </w:rPr>
              <w:t>Healthcare Quarterly</w:t>
            </w:r>
            <w:r w:rsidR="00DA4E9F" w:rsidRPr="00B440ED">
              <w:rPr>
                <w:rFonts w:ascii="Garamond" w:hAnsi="Garamond"/>
                <w:lang w:val="en-AU"/>
              </w:rPr>
              <w:t xml:space="preserve"> </w:t>
            </w:r>
            <w:r w:rsidRPr="00B440ED">
              <w:rPr>
                <w:rFonts w:ascii="Garamond" w:hAnsi="Garamond"/>
                <w:lang w:val="en-AU"/>
              </w:rPr>
              <w:t>include:</w:t>
            </w:r>
          </w:p>
          <w:p w:rsidR="00DA4E9F" w:rsidRPr="00DA4E9F" w:rsidRDefault="00DA4E9F" w:rsidP="007D247D">
            <w:pPr>
              <w:pStyle w:val="ListParagraph"/>
              <w:numPr>
                <w:ilvl w:val="0"/>
                <w:numId w:val="15"/>
              </w:numPr>
              <w:rPr>
                <w:rFonts w:ascii="Garamond" w:hAnsi="Garamond"/>
                <w:lang w:val="en-AU"/>
              </w:rPr>
            </w:pPr>
            <w:r w:rsidRPr="00DA4E9F">
              <w:rPr>
                <w:rFonts w:ascii="Garamond" w:hAnsi="Garamond"/>
                <w:lang w:val="en-AU"/>
              </w:rPr>
              <w:t xml:space="preserve">Improving </w:t>
            </w:r>
            <w:r w:rsidRPr="001E5BD9">
              <w:rPr>
                <w:rFonts w:ascii="Garamond" w:hAnsi="Garamond"/>
                <w:b/>
                <w:lang w:val="en-AU"/>
              </w:rPr>
              <w:t>Health and Healthcare Access for People who Experience Imprisonment</w:t>
            </w:r>
            <w:r w:rsidRPr="00DA4E9F">
              <w:rPr>
                <w:rFonts w:ascii="Garamond" w:hAnsi="Garamond"/>
                <w:lang w:val="en-AU"/>
              </w:rPr>
              <w:t xml:space="preserve"> in Ontario (Fiona G Kouyoumdjian and Aaron M Orkin</w:t>
            </w:r>
            <w:r>
              <w:rPr>
                <w:rFonts w:ascii="Garamond" w:hAnsi="Garamond"/>
                <w:lang w:val="en-AU"/>
              </w:rPr>
              <w:t>)</w:t>
            </w:r>
          </w:p>
          <w:p w:rsidR="00DA4E9F" w:rsidRPr="00DA4E9F" w:rsidRDefault="00DA4E9F" w:rsidP="005B7443">
            <w:pPr>
              <w:pStyle w:val="ListParagraph"/>
              <w:numPr>
                <w:ilvl w:val="0"/>
                <w:numId w:val="15"/>
              </w:numPr>
              <w:rPr>
                <w:rFonts w:ascii="Garamond" w:hAnsi="Garamond"/>
                <w:lang w:val="en-AU"/>
              </w:rPr>
            </w:pPr>
            <w:r w:rsidRPr="001E5BD9">
              <w:rPr>
                <w:rFonts w:ascii="Garamond" w:hAnsi="Garamond"/>
                <w:b/>
                <w:lang w:val="en-AU"/>
              </w:rPr>
              <w:t>Prescribed Drug Spending in Canada</w:t>
            </w:r>
            <w:r w:rsidRPr="00DA4E9F">
              <w:rPr>
                <w:rFonts w:ascii="Garamond" w:hAnsi="Garamond"/>
                <w:lang w:val="en-AU"/>
              </w:rPr>
              <w:t>, 2019: A Focus on Public Drug Program (Kathy Lee, Trupti Jani, Roger Cheng and Jordan Hunt</w:t>
            </w:r>
            <w:r>
              <w:rPr>
                <w:rFonts w:ascii="Garamond" w:hAnsi="Garamond"/>
                <w:lang w:val="en-AU"/>
              </w:rPr>
              <w:t>)</w:t>
            </w:r>
          </w:p>
          <w:p w:rsidR="00DA4E9F" w:rsidRDefault="00DA4E9F" w:rsidP="00F66A70">
            <w:pPr>
              <w:pStyle w:val="ListParagraph"/>
              <w:numPr>
                <w:ilvl w:val="0"/>
                <w:numId w:val="15"/>
              </w:numPr>
              <w:rPr>
                <w:rFonts w:ascii="Garamond" w:hAnsi="Garamond"/>
                <w:lang w:val="en-AU"/>
              </w:rPr>
            </w:pPr>
            <w:r w:rsidRPr="00DA4E9F">
              <w:rPr>
                <w:rFonts w:ascii="Garamond" w:hAnsi="Garamond"/>
                <w:lang w:val="en-AU"/>
              </w:rPr>
              <w:t xml:space="preserve">Connecting Data to Insight: A Pan-Canadian Study on </w:t>
            </w:r>
            <w:r w:rsidRPr="001E5BD9">
              <w:rPr>
                <w:rFonts w:ascii="Garamond" w:hAnsi="Garamond"/>
                <w:b/>
                <w:lang w:val="en-AU"/>
              </w:rPr>
              <w:t>AI in Healthcare</w:t>
            </w:r>
            <w:r w:rsidRPr="00DA4E9F">
              <w:rPr>
                <w:rFonts w:ascii="Garamond" w:hAnsi="Garamond"/>
                <w:lang w:val="en-AU"/>
              </w:rPr>
              <w:t xml:space="preserve"> (Zaki Hakim, Terra Ierasts, Irfan Hakim, Andre D'Penha, Kevin P D Smith and Michael C W Caesa</w:t>
            </w:r>
            <w:r>
              <w:rPr>
                <w:rFonts w:ascii="Garamond" w:hAnsi="Garamond"/>
                <w:lang w:val="en-AU"/>
              </w:rPr>
              <w:t>r)</w:t>
            </w:r>
          </w:p>
          <w:p w:rsidR="00DA4E9F" w:rsidRPr="00DA4E9F" w:rsidRDefault="00DA4E9F" w:rsidP="00494F25">
            <w:pPr>
              <w:pStyle w:val="ListParagraph"/>
              <w:numPr>
                <w:ilvl w:val="0"/>
                <w:numId w:val="15"/>
              </w:numPr>
              <w:rPr>
                <w:rFonts w:ascii="Garamond" w:hAnsi="Garamond"/>
                <w:lang w:val="en-AU"/>
              </w:rPr>
            </w:pPr>
            <w:r w:rsidRPr="00DA4E9F">
              <w:rPr>
                <w:rFonts w:ascii="Garamond" w:hAnsi="Garamond"/>
                <w:lang w:val="en-AU"/>
              </w:rPr>
              <w:t xml:space="preserve">Connecting Data to Value: An Operating Model for </w:t>
            </w:r>
            <w:r w:rsidRPr="001E5BD9">
              <w:rPr>
                <w:rFonts w:ascii="Garamond" w:hAnsi="Garamond"/>
                <w:b/>
                <w:lang w:val="en-AU"/>
              </w:rPr>
              <w:t>Healthcare Advanced Analytics</w:t>
            </w:r>
            <w:r w:rsidRPr="00DA4E9F">
              <w:rPr>
                <w:rFonts w:ascii="Garamond" w:hAnsi="Garamond"/>
                <w:lang w:val="en-AU"/>
              </w:rPr>
              <w:t xml:space="preserve"> (Michael C W Caesar, Zaki Hakim and Terra Ierasts</w:t>
            </w:r>
            <w:r>
              <w:rPr>
                <w:rFonts w:ascii="Garamond" w:hAnsi="Garamond"/>
                <w:lang w:val="en-AU"/>
              </w:rPr>
              <w:t>)</w:t>
            </w:r>
          </w:p>
          <w:p w:rsidR="00DA4E9F" w:rsidRPr="00DA4E9F" w:rsidRDefault="00DA4E9F" w:rsidP="00B712F7">
            <w:pPr>
              <w:pStyle w:val="ListParagraph"/>
              <w:numPr>
                <w:ilvl w:val="0"/>
                <w:numId w:val="15"/>
              </w:numPr>
              <w:rPr>
                <w:rFonts w:ascii="Garamond" w:hAnsi="Garamond"/>
                <w:lang w:val="en-AU"/>
              </w:rPr>
            </w:pPr>
            <w:r w:rsidRPr="00DA4E9F">
              <w:rPr>
                <w:rFonts w:ascii="Garamond" w:hAnsi="Garamond"/>
                <w:lang w:val="en-AU"/>
              </w:rPr>
              <w:t xml:space="preserve">Evaluating the </w:t>
            </w:r>
            <w:r w:rsidRPr="001E5BD9">
              <w:rPr>
                <w:rFonts w:ascii="Garamond" w:hAnsi="Garamond"/>
                <w:b/>
                <w:lang w:val="en-AU"/>
              </w:rPr>
              <w:t>Patient Family Advisor Experience</w:t>
            </w:r>
            <w:r w:rsidRPr="00DA4E9F">
              <w:rPr>
                <w:rFonts w:ascii="Garamond" w:hAnsi="Garamond"/>
                <w:lang w:val="en-AU"/>
              </w:rPr>
              <w:t xml:space="preserve"> in Patient Oriented Research (Michelle Flowers, Janet Gunderson and Dale Hall</w:t>
            </w:r>
            <w:r>
              <w:rPr>
                <w:rFonts w:ascii="Garamond" w:hAnsi="Garamond"/>
                <w:lang w:val="en-AU"/>
              </w:rPr>
              <w:t>)</w:t>
            </w:r>
          </w:p>
          <w:p w:rsidR="00DA4E9F" w:rsidRPr="00DA4E9F" w:rsidRDefault="00DA4E9F" w:rsidP="008C6F96">
            <w:pPr>
              <w:pStyle w:val="ListParagraph"/>
              <w:numPr>
                <w:ilvl w:val="0"/>
                <w:numId w:val="15"/>
              </w:numPr>
              <w:rPr>
                <w:rFonts w:ascii="Garamond" w:hAnsi="Garamond"/>
                <w:lang w:val="en-AU"/>
              </w:rPr>
            </w:pPr>
            <w:r w:rsidRPr="00DA4E9F">
              <w:rPr>
                <w:rFonts w:ascii="Garamond" w:hAnsi="Garamond"/>
                <w:lang w:val="en-AU"/>
              </w:rPr>
              <w:t xml:space="preserve">The Creation of a Tool to </w:t>
            </w:r>
            <w:r w:rsidRPr="001E5BD9">
              <w:rPr>
                <w:rFonts w:ascii="Garamond" w:hAnsi="Garamond"/>
                <w:b/>
                <w:lang w:val="en-AU"/>
              </w:rPr>
              <w:t xml:space="preserve">Measure Engagement in Patient-Oriented Research </w:t>
            </w:r>
            <w:r w:rsidRPr="00DA4E9F">
              <w:rPr>
                <w:rFonts w:ascii="Garamond" w:hAnsi="Garamond"/>
                <w:lang w:val="en-AU"/>
              </w:rPr>
              <w:t xml:space="preserve">(Malori Keller, Christopher Plishka, Malcolm King, Janet Gunderson, Christine Andrews Stobart, Kate </w:t>
            </w:r>
            <w:r>
              <w:rPr>
                <w:rFonts w:ascii="Garamond" w:hAnsi="Garamond"/>
                <w:lang w:val="en-AU"/>
              </w:rPr>
              <w:t>Dunn and Charlene R A Haver)</w:t>
            </w:r>
          </w:p>
          <w:p w:rsidR="00DA4E9F" w:rsidRPr="00DA4E9F" w:rsidRDefault="00DA4E9F" w:rsidP="00DD27DA">
            <w:pPr>
              <w:pStyle w:val="ListParagraph"/>
              <w:numPr>
                <w:ilvl w:val="0"/>
                <w:numId w:val="15"/>
              </w:numPr>
              <w:rPr>
                <w:rFonts w:ascii="Garamond" w:hAnsi="Garamond"/>
                <w:lang w:val="en-AU"/>
              </w:rPr>
            </w:pPr>
            <w:r w:rsidRPr="001E5BD9">
              <w:rPr>
                <w:rFonts w:ascii="Garamond" w:hAnsi="Garamond"/>
                <w:b/>
                <w:lang w:val="en-AU"/>
              </w:rPr>
              <w:t>Adverse Drug Reactions in Canada</w:t>
            </w:r>
            <w:r w:rsidRPr="00DA4E9F">
              <w:rPr>
                <w:rFonts w:ascii="Garamond" w:hAnsi="Garamond"/>
                <w:lang w:val="en-AU"/>
              </w:rPr>
              <w:t xml:space="preserve"> (2009–2018): Insights from the Canada Vigilance Database  (Tuhin S Maity and Christopher J Longo</w:t>
            </w:r>
            <w:r>
              <w:rPr>
                <w:rFonts w:ascii="Garamond" w:hAnsi="Garamond"/>
                <w:lang w:val="en-AU"/>
              </w:rPr>
              <w:t>)</w:t>
            </w:r>
          </w:p>
          <w:p w:rsidR="00DA4E9F" w:rsidRPr="00DA4E9F" w:rsidRDefault="00DA4E9F" w:rsidP="00E312EA">
            <w:pPr>
              <w:pStyle w:val="ListParagraph"/>
              <w:numPr>
                <w:ilvl w:val="0"/>
                <w:numId w:val="15"/>
              </w:numPr>
              <w:rPr>
                <w:rFonts w:ascii="Garamond" w:hAnsi="Garamond"/>
                <w:lang w:val="en-AU"/>
              </w:rPr>
            </w:pPr>
            <w:r w:rsidRPr="00DA4E9F">
              <w:rPr>
                <w:rFonts w:ascii="Garamond" w:hAnsi="Garamond"/>
                <w:lang w:val="en-AU"/>
              </w:rPr>
              <w:t xml:space="preserve">Analysis of </w:t>
            </w:r>
            <w:r w:rsidRPr="001E5BD9">
              <w:rPr>
                <w:rFonts w:ascii="Garamond" w:hAnsi="Garamond"/>
                <w:b/>
                <w:lang w:val="en-AU"/>
              </w:rPr>
              <w:t xml:space="preserve">Extreme Length of Stay Hospitalizations for Children and Youth </w:t>
            </w:r>
            <w:r w:rsidRPr="00DA4E9F">
              <w:rPr>
                <w:rFonts w:ascii="Garamond" w:hAnsi="Garamond"/>
                <w:lang w:val="en-AU"/>
              </w:rPr>
              <w:t>in a Quaternary Care Hospital (Elisabeth Yorke, Lennox Huang, Julia Orkin, Tyler Chalk, Farrah Ladha and Alene Toulany</w:t>
            </w:r>
            <w:r>
              <w:rPr>
                <w:rFonts w:ascii="Garamond" w:hAnsi="Garamond"/>
                <w:lang w:val="en-AU"/>
              </w:rPr>
              <w:t>)</w:t>
            </w:r>
          </w:p>
          <w:p w:rsidR="004607C5" w:rsidRPr="007C3778" w:rsidRDefault="00DA4E9F" w:rsidP="00DA4E9F">
            <w:pPr>
              <w:pStyle w:val="ListParagraph"/>
              <w:numPr>
                <w:ilvl w:val="0"/>
                <w:numId w:val="15"/>
              </w:numPr>
              <w:rPr>
                <w:rFonts w:ascii="Garamond" w:hAnsi="Garamond"/>
                <w:lang w:val="en-AU"/>
              </w:rPr>
            </w:pPr>
            <w:r w:rsidRPr="00DA4E9F">
              <w:rPr>
                <w:rFonts w:ascii="Garamond" w:hAnsi="Garamond"/>
                <w:lang w:val="en-AU"/>
              </w:rPr>
              <w:t xml:space="preserve">From </w:t>
            </w:r>
            <w:r w:rsidRPr="001E5BD9">
              <w:rPr>
                <w:rFonts w:ascii="Garamond" w:hAnsi="Garamond"/>
                <w:b/>
                <w:lang w:val="en-AU"/>
              </w:rPr>
              <w:t>Measurement to Improvement in Ontario’s Cancer System</w:t>
            </w:r>
            <w:r w:rsidRPr="00DA4E9F">
              <w:rPr>
                <w:rFonts w:ascii="Garamond" w:hAnsi="Garamond"/>
                <w:lang w:val="en-AU"/>
              </w:rPr>
              <w:t xml:space="preserve">: Analyzing the Performance of 28 Provincial Indicators over 15 years </w:t>
            </w:r>
            <w:r>
              <w:rPr>
                <w:rFonts w:ascii="Garamond" w:hAnsi="Garamond"/>
                <w:lang w:val="en-AU"/>
              </w:rPr>
              <w:t>(</w:t>
            </w:r>
            <w:r w:rsidRPr="00DA4E9F">
              <w:rPr>
                <w:rFonts w:ascii="Garamond" w:hAnsi="Garamond"/>
                <w:lang w:val="en-AU"/>
              </w:rPr>
              <w:t>Victoria Hagens, Cristina Tassone, Jenna M Evans, Diane Burns, Vicky Simanovski and Garth Matheson</w:t>
            </w:r>
            <w:r>
              <w:rPr>
                <w:rFonts w:ascii="Garamond" w:hAnsi="Garamond"/>
                <w:lang w:val="en-AU"/>
              </w:rPr>
              <w:t>)</w:t>
            </w:r>
          </w:p>
        </w:tc>
      </w:tr>
    </w:tbl>
    <w:p w:rsidR="00DA41AB" w:rsidRPr="00467B47" w:rsidRDefault="00DA41AB" w:rsidP="00DA41AB">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E45003" w:rsidP="00013842">
            <w:pPr>
              <w:keepNext/>
              <w:rPr>
                <w:rFonts w:ascii="Garamond" w:hAnsi="Garamond"/>
                <w:lang w:val="en-AU"/>
              </w:rPr>
            </w:pPr>
            <w:hyperlink r:id="rId23" w:history="1">
              <w:r w:rsidR="00DA41AB" w:rsidRPr="00D31E10">
                <w:rPr>
                  <w:rStyle w:val="Hyperlink"/>
                  <w:rFonts w:ascii="Garamond" w:hAnsi="Garamond"/>
                  <w:lang w:val="en-AU"/>
                </w:rPr>
                <w:t>https://academic.oup.com/intqhc/advance-articles</w:t>
              </w:r>
            </w:hyperlink>
          </w:p>
        </w:tc>
      </w:tr>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4607C5" w:rsidRPr="004607C5" w:rsidRDefault="004607C5" w:rsidP="00FB4EEB">
            <w:pPr>
              <w:pStyle w:val="ListParagraph"/>
              <w:numPr>
                <w:ilvl w:val="0"/>
                <w:numId w:val="14"/>
              </w:numPr>
              <w:jc w:val="both"/>
              <w:rPr>
                <w:rFonts w:ascii="Garamond" w:hAnsi="Garamond"/>
                <w:lang w:val="en-AU"/>
              </w:rPr>
            </w:pPr>
            <w:r w:rsidRPr="004607C5">
              <w:rPr>
                <w:rFonts w:ascii="Garamond" w:hAnsi="Garamond"/>
                <w:lang w:val="en-AU"/>
              </w:rPr>
              <w:t xml:space="preserve">Evaluating </w:t>
            </w:r>
            <w:r w:rsidRPr="004607C5">
              <w:rPr>
                <w:rFonts w:ascii="Garamond" w:hAnsi="Garamond"/>
                <w:b/>
                <w:lang w:val="en-AU"/>
              </w:rPr>
              <w:t>hospital tools and services that were co-produced with patients</w:t>
            </w:r>
            <w:r w:rsidRPr="004607C5">
              <w:rPr>
                <w:rFonts w:ascii="Garamond" w:hAnsi="Garamond"/>
                <w:lang w:val="en-AU"/>
              </w:rPr>
              <w:t>: A rapid review (Siew Lim, Heather Morris, Bengianni Pizzirani, Duncan Kajewski, Wai Kit Lee, Helen Skouteris</w:t>
            </w:r>
            <w:r>
              <w:rPr>
                <w:rFonts w:ascii="Garamond" w:hAnsi="Garamond"/>
                <w:lang w:val="en-AU"/>
              </w:rPr>
              <w:t>)</w:t>
            </w:r>
          </w:p>
          <w:p w:rsidR="00065E6E" w:rsidRDefault="00065E6E" w:rsidP="00065E6E">
            <w:pPr>
              <w:pStyle w:val="ListParagraph"/>
              <w:numPr>
                <w:ilvl w:val="0"/>
                <w:numId w:val="14"/>
              </w:numPr>
              <w:jc w:val="both"/>
              <w:rPr>
                <w:rFonts w:ascii="Garamond" w:hAnsi="Garamond"/>
                <w:lang w:val="en-AU"/>
              </w:rPr>
            </w:pPr>
            <w:r w:rsidRPr="00065E6E">
              <w:rPr>
                <w:rFonts w:ascii="Garamond" w:hAnsi="Garamond"/>
                <w:lang w:val="en-AU"/>
              </w:rPr>
              <w:t xml:space="preserve">Evaluation and characterization of </w:t>
            </w:r>
            <w:r w:rsidRPr="00065E6E">
              <w:rPr>
                <w:rFonts w:ascii="Garamond" w:hAnsi="Garamond"/>
                <w:b/>
                <w:lang w:val="en-AU"/>
              </w:rPr>
              <w:t>multimorbidity profiles, resource consumption and healthcare needs in extremely elderly people</w:t>
            </w:r>
            <w:r w:rsidRPr="00065E6E">
              <w:rPr>
                <w:rFonts w:ascii="Garamond" w:hAnsi="Garamond"/>
                <w:lang w:val="en-AU"/>
              </w:rPr>
              <w:t xml:space="preserve"> (Laisa Socorro Briongos-Figuero, Marta Cobos-Siles, Miriam Gabella-Martín, Jesica Abadía-Otero, Rosa Lobo-Valentin, Ana Aguado-De-La-Fuente, Beatriz Vargas-Ruiz, Juan Carlos Martín-Escudero</w:t>
            </w:r>
            <w:r>
              <w:rPr>
                <w:rFonts w:ascii="Garamond" w:hAnsi="Garamond"/>
                <w:lang w:val="en-AU"/>
              </w:rPr>
              <w:t>)</w:t>
            </w:r>
          </w:p>
          <w:p w:rsidR="00065E6E" w:rsidRPr="00065E6E" w:rsidRDefault="00065E6E" w:rsidP="00440399">
            <w:pPr>
              <w:pStyle w:val="ListParagraph"/>
              <w:numPr>
                <w:ilvl w:val="0"/>
                <w:numId w:val="14"/>
              </w:numPr>
              <w:jc w:val="both"/>
              <w:rPr>
                <w:rFonts w:ascii="Garamond" w:hAnsi="Garamond"/>
                <w:lang w:val="en-AU"/>
              </w:rPr>
            </w:pPr>
            <w:r w:rsidRPr="00065E6E">
              <w:rPr>
                <w:rFonts w:ascii="Garamond" w:hAnsi="Garamond"/>
                <w:lang w:val="en-AU"/>
              </w:rPr>
              <w:t xml:space="preserve">A systematic review of factors that enable </w:t>
            </w:r>
            <w:r w:rsidRPr="00065E6E">
              <w:rPr>
                <w:rFonts w:ascii="Garamond" w:hAnsi="Garamond"/>
                <w:b/>
                <w:lang w:val="en-AU"/>
              </w:rPr>
              <w:t>psychological safety in healthcare teams</w:t>
            </w:r>
            <w:r w:rsidRPr="00065E6E">
              <w:rPr>
                <w:rFonts w:ascii="Garamond" w:hAnsi="Garamond"/>
                <w:lang w:val="en-AU"/>
              </w:rPr>
              <w:t xml:space="preserve"> (Róisín O’donovan, Eilish Mcauliffe</w:t>
            </w:r>
            <w:r>
              <w:rPr>
                <w:rFonts w:ascii="Garamond" w:hAnsi="Garamond"/>
                <w:lang w:val="en-AU"/>
              </w:rPr>
              <w:t>)</w:t>
            </w:r>
          </w:p>
          <w:p w:rsidR="00065E6E" w:rsidRPr="00065E6E" w:rsidRDefault="00065E6E" w:rsidP="00816C28">
            <w:pPr>
              <w:pStyle w:val="ListParagraph"/>
              <w:numPr>
                <w:ilvl w:val="0"/>
                <w:numId w:val="14"/>
              </w:numPr>
              <w:jc w:val="both"/>
              <w:rPr>
                <w:rFonts w:ascii="Garamond" w:hAnsi="Garamond"/>
                <w:lang w:val="en-AU"/>
              </w:rPr>
            </w:pPr>
            <w:r w:rsidRPr="00065E6E">
              <w:rPr>
                <w:rFonts w:ascii="Garamond" w:hAnsi="Garamond"/>
                <w:lang w:val="en-AU"/>
              </w:rPr>
              <w:t xml:space="preserve">Identification of relevant </w:t>
            </w:r>
            <w:r w:rsidRPr="00065E6E">
              <w:rPr>
                <w:rFonts w:ascii="Garamond" w:hAnsi="Garamond"/>
                <w:b/>
                <w:lang w:val="en-AU"/>
              </w:rPr>
              <w:t xml:space="preserve">performance indicators for district healthcare systems </w:t>
            </w:r>
            <w:r w:rsidRPr="00065E6E">
              <w:rPr>
                <w:rFonts w:ascii="Garamond" w:hAnsi="Garamond"/>
                <w:lang w:val="en-AU"/>
              </w:rPr>
              <w:t>in Ethiopia: a systematic review and expert opinion (Elias Ali Yesuf, Mirkuzie Woldie, Damen Haile-Mariam, Da</w:t>
            </w:r>
            <w:r>
              <w:rPr>
                <w:rFonts w:ascii="Garamond" w:hAnsi="Garamond"/>
                <w:lang w:val="en-AU"/>
              </w:rPr>
              <w:t>niela Koller, G Früschl, E Grill)</w:t>
            </w:r>
          </w:p>
          <w:p w:rsidR="00065E6E" w:rsidRDefault="00065E6E" w:rsidP="00065E6E">
            <w:pPr>
              <w:pStyle w:val="ListParagraph"/>
              <w:numPr>
                <w:ilvl w:val="0"/>
                <w:numId w:val="14"/>
              </w:numPr>
              <w:jc w:val="both"/>
              <w:rPr>
                <w:rFonts w:ascii="Garamond" w:hAnsi="Garamond"/>
                <w:lang w:val="en-AU"/>
              </w:rPr>
            </w:pPr>
            <w:r w:rsidRPr="00065E6E">
              <w:rPr>
                <w:rFonts w:ascii="Garamond" w:hAnsi="Garamond"/>
                <w:b/>
                <w:lang w:val="en-AU"/>
              </w:rPr>
              <w:t>What Ibero-American hospitals do when things go wrong?</w:t>
            </w:r>
            <w:r w:rsidRPr="00065E6E">
              <w:rPr>
                <w:rFonts w:ascii="Garamond" w:hAnsi="Garamond"/>
                <w:lang w:val="en-AU"/>
              </w:rPr>
              <w:t xml:space="preserve"> A cross-sectional international study (José Joaquín Mira, Irene Carrillo, Ezequiel García-Elorrio, Daniela Campos D E Andrade-Lourenção, Patricia Campos Pavan-Baptista</w:t>
            </w:r>
            <w:r>
              <w:rPr>
                <w:rFonts w:ascii="Garamond" w:hAnsi="Garamond"/>
                <w:lang w:val="en-AU"/>
              </w:rPr>
              <w:t xml:space="preserve">, </w:t>
            </w:r>
            <w:r w:rsidRPr="00065E6E">
              <w:rPr>
                <w:rFonts w:ascii="Garamond" w:hAnsi="Garamond"/>
                <w:lang w:val="en-AU"/>
              </w:rPr>
              <w:t>Astolfo León Franco-Herrera, Esther Mahuina Campos-Castolo, Rodrigo Poblete, Juan Limo, Hugo Siu, Paulo Sousa</w:t>
            </w:r>
            <w:r>
              <w:rPr>
                <w:rFonts w:ascii="Garamond" w:hAnsi="Garamond"/>
                <w:lang w:val="en-AU"/>
              </w:rPr>
              <w:t>)</w:t>
            </w:r>
          </w:p>
          <w:p w:rsidR="00065E6E" w:rsidRDefault="00065E6E" w:rsidP="00065E6E">
            <w:pPr>
              <w:pStyle w:val="ListParagraph"/>
              <w:numPr>
                <w:ilvl w:val="0"/>
                <w:numId w:val="14"/>
              </w:numPr>
              <w:jc w:val="both"/>
              <w:rPr>
                <w:rFonts w:ascii="Garamond" w:hAnsi="Garamond"/>
                <w:lang w:val="en-AU"/>
              </w:rPr>
            </w:pPr>
            <w:r w:rsidRPr="00065E6E">
              <w:rPr>
                <w:rFonts w:ascii="Garamond" w:hAnsi="Garamond"/>
                <w:lang w:val="en-AU"/>
              </w:rPr>
              <w:t xml:space="preserve">Health system capacity for </w:t>
            </w:r>
            <w:r w:rsidRPr="00065E6E">
              <w:rPr>
                <w:rFonts w:ascii="Garamond" w:hAnsi="Garamond"/>
                <w:b/>
                <w:lang w:val="en-AU"/>
              </w:rPr>
              <w:t>tuberculosis care in Ethiopia</w:t>
            </w:r>
            <w:r w:rsidRPr="00065E6E">
              <w:rPr>
                <w:rFonts w:ascii="Garamond" w:hAnsi="Garamond"/>
                <w:lang w:val="en-AU"/>
              </w:rPr>
              <w:t>: evidence from national representative survey (Amare Deribew, Tariku Dejene, Atkure Defar, Della Berhanu, Sibhatu Biadgilign</w:t>
            </w:r>
            <w:r>
              <w:rPr>
                <w:rFonts w:ascii="Garamond" w:hAnsi="Garamond"/>
                <w:lang w:val="en-AU"/>
              </w:rPr>
              <w:t xml:space="preserve">, </w:t>
            </w:r>
            <w:r w:rsidRPr="00065E6E">
              <w:rPr>
                <w:rFonts w:ascii="Garamond" w:hAnsi="Garamond"/>
                <w:lang w:val="en-AU"/>
              </w:rPr>
              <w:t>Ephrem Tekle, K Asheber, K Deribe</w:t>
            </w:r>
            <w:r>
              <w:rPr>
                <w:rFonts w:ascii="Garamond" w:hAnsi="Garamond"/>
                <w:lang w:val="en-AU"/>
              </w:rPr>
              <w:t>)</w:t>
            </w:r>
          </w:p>
          <w:p w:rsidR="00065E6E" w:rsidRPr="00065E6E" w:rsidRDefault="00065E6E" w:rsidP="00BC5F94">
            <w:pPr>
              <w:pStyle w:val="ListParagraph"/>
              <w:numPr>
                <w:ilvl w:val="0"/>
                <w:numId w:val="14"/>
              </w:numPr>
              <w:jc w:val="both"/>
              <w:rPr>
                <w:rFonts w:ascii="Garamond" w:hAnsi="Garamond"/>
                <w:lang w:val="en-AU"/>
              </w:rPr>
            </w:pPr>
            <w:r w:rsidRPr="00065E6E">
              <w:rPr>
                <w:rFonts w:ascii="Garamond" w:hAnsi="Garamond"/>
                <w:lang w:val="en-AU"/>
              </w:rPr>
              <w:t xml:space="preserve">Comparing outcome measures of persons with </w:t>
            </w:r>
            <w:r w:rsidRPr="00065E6E">
              <w:rPr>
                <w:rFonts w:ascii="Garamond" w:hAnsi="Garamond"/>
                <w:b/>
                <w:lang w:val="en-AU"/>
              </w:rPr>
              <w:t>severe mental illness in vocational rehabilitation programs</w:t>
            </w:r>
            <w:r w:rsidRPr="00065E6E">
              <w:rPr>
                <w:rFonts w:ascii="Garamond" w:hAnsi="Garamond"/>
                <w:lang w:val="en-AU"/>
              </w:rPr>
              <w:t>: a dual perspective of consumers and providers (Gilad Gal, Efrat Shadmi, Gili Hoter-Ishay, Marc Gelkopf, D Roe</w:t>
            </w:r>
            <w:r>
              <w:rPr>
                <w:rFonts w:ascii="Garamond" w:hAnsi="Garamond"/>
                <w:lang w:val="en-AU"/>
              </w:rPr>
              <w:t>)</w:t>
            </w:r>
          </w:p>
          <w:p w:rsidR="00F91E9D" w:rsidRPr="00721A1B" w:rsidRDefault="00065E6E" w:rsidP="00065E6E">
            <w:pPr>
              <w:pStyle w:val="ListParagraph"/>
              <w:numPr>
                <w:ilvl w:val="0"/>
                <w:numId w:val="14"/>
              </w:numPr>
              <w:jc w:val="both"/>
              <w:rPr>
                <w:rFonts w:ascii="Garamond" w:hAnsi="Garamond"/>
                <w:lang w:val="en-AU"/>
              </w:rPr>
            </w:pPr>
            <w:r w:rsidRPr="00065E6E">
              <w:rPr>
                <w:rFonts w:ascii="Garamond" w:hAnsi="Garamond"/>
                <w:lang w:val="en-AU"/>
              </w:rPr>
              <w:t xml:space="preserve">A qualitative content analysis of </w:t>
            </w:r>
            <w:r w:rsidRPr="00403D1E">
              <w:rPr>
                <w:rFonts w:ascii="Garamond" w:hAnsi="Garamond"/>
                <w:b/>
                <w:lang w:val="en-AU"/>
              </w:rPr>
              <w:t>retained surgical items</w:t>
            </w:r>
            <w:r w:rsidRPr="00065E6E">
              <w:rPr>
                <w:rFonts w:ascii="Garamond" w:hAnsi="Garamond"/>
                <w:lang w:val="en-AU"/>
              </w:rPr>
              <w:t xml:space="preserve">: learning from root cause analysis investigations </w:t>
            </w:r>
            <w:r>
              <w:rPr>
                <w:rFonts w:ascii="Garamond" w:hAnsi="Garamond"/>
                <w:lang w:val="en-AU"/>
              </w:rPr>
              <w:t>(</w:t>
            </w:r>
            <w:r w:rsidRPr="00065E6E">
              <w:rPr>
                <w:rFonts w:ascii="Garamond" w:hAnsi="Garamond"/>
                <w:lang w:val="en-AU"/>
              </w:rPr>
              <w:t>Peter D Hibbert, Matthew J W Thomas, Anita Deakin, William B Runciman, Andrew Carson-Stevens, Jeffrey Braithwaite</w:t>
            </w:r>
            <w:r>
              <w:rPr>
                <w:rFonts w:ascii="Garamond" w:hAnsi="Garamond"/>
                <w:lang w:val="en-AU"/>
              </w:rPr>
              <w:t>)</w:t>
            </w:r>
          </w:p>
        </w:tc>
      </w:tr>
    </w:tbl>
    <w:p w:rsidR="00B402EF" w:rsidRDefault="00B402EF" w:rsidP="003F6EE2">
      <w:pPr>
        <w:rPr>
          <w:rFonts w:ascii="Garamond" w:hAnsi="Garamond"/>
          <w:b/>
          <w:lang w:val="en-AU"/>
        </w:rPr>
      </w:pPr>
    </w:p>
    <w:p w:rsidR="00F65CA6" w:rsidRPr="00467B47" w:rsidRDefault="00F65CA6" w:rsidP="00F65CA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65CA6" w:rsidRPr="00467B47" w:rsidTr="003F4FB1">
        <w:trPr>
          <w:cantSplit/>
        </w:trPr>
        <w:tc>
          <w:tcPr>
            <w:tcW w:w="1080" w:type="dxa"/>
            <w:tcBorders>
              <w:top w:val="single" w:sz="4" w:space="0" w:color="auto"/>
              <w:left w:val="single" w:sz="4" w:space="0" w:color="auto"/>
              <w:bottom w:val="single" w:sz="4" w:space="0" w:color="auto"/>
              <w:right w:val="single" w:sz="4" w:space="0" w:color="auto"/>
            </w:tcBorders>
            <w:vAlign w:val="center"/>
          </w:tcPr>
          <w:p w:rsidR="00F65CA6" w:rsidRPr="00467B47" w:rsidRDefault="00F65CA6" w:rsidP="003F4FB1">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F65CA6" w:rsidRPr="00467B47" w:rsidRDefault="00E45003" w:rsidP="003F4FB1">
            <w:pPr>
              <w:keepNext/>
              <w:rPr>
                <w:rFonts w:ascii="Garamond" w:hAnsi="Garamond"/>
                <w:lang w:val="en-AU"/>
              </w:rPr>
            </w:pPr>
            <w:hyperlink r:id="rId24" w:history="1">
              <w:r w:rsidR="00F65CA6" w:rsidRPr="00467B47">
                <w:rPr>
                  <w:rStyle w:val="Hyperlink"/>
                  <w:rFonts w:ascii="Garamond" w:hAnsi="Garamond"/>
                  <w:lang w:val="en-AU"/>
                </w:rPr>
                <w:t>https://qualitysafety.bmj.com/content/early/recent</w:t>
              </w:r>
            </w:hyperlink>
          </w:p>
        </w:tc>
      </w:tr>
      <w:tr w:rsidR="00F65CA6" w:rsidRPr="00467B47" w:rsidTr="003F4FB1">
        <w:tc>
          <w:tcPr>
            <w:tcW w:w="1080" w:type="dxa"/>
            <w:tcBorders>
              <w:top w:val="single" w:sz="4" w:space="0" w:color="auto"/>
              <w:left w:val="single" w:sz="4" w:space="0" w:color="auto"/>
              <w:bottom w:val="single" w:sz="4" w:space="0" w:color="auto"/>
              <w:right w:val="single" w:sz="4" w:space="0" w:color="auto"/>
            </w:tcBorders>
            <w:vAlign w:val="center"/>
          </w:tcPr>
          <w:p w:rsidR="00F65CA6" w:rsidRPr="00467B47" w:rsidRDefault="00F65CA6" w:rsidP="003F4FB1">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F65CA6" w:rsidRPr="00D84575" w:rsidRDefault="00F65CA6" w:rsidP="003F4FB1">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F65CA6" w:rsidRPr="00065E6E" w:rsidRDefault="00F65CA6" w:rsidP="00F65CA6">
            <w:pPr>
              <w:pStyle w:val="ListParagraph"/>
              <w:numPr>
                <w:ilvl w:val="0"/>
                <w:numId w:val="14"/>
              </w:numPr>
              <w:jc w:val="both"/>
              <w:rPr>
                <w:rFonts w:ascii="Garamond" w:hAnsi="Garamond"/>
                <w:lang w:val="en-AU"/>
              </w:rPr>
            </w:pPr>
            <w:r w:rsidRPr="00065E6E">
              <w:rPr>
                <w:rFonts w:ascii="Garamond" w:hAnsi="Garamond"/>
                <w:lang w:val="en-AU"/>
              </w:rPr>
              <w:t xml:space="preserve">Resilience and regulation, an odd couple? Consequences of Safety-II on governmental </w:t>
            </w:r>
            <w:r w:rsidRPr="00065E6E">
              <w:rPr>
                <w:rFonts w:ascii="Garamond" w:hAnsi="Garamond"/>
                <w:b/>
                <w:lang w:val="en-AU"/>
              </w:rPr>
              <w:t>regulation of healthcare quality</w:t>
            </w:r>
            <w:r w:rsidRPr="00065E6E">
              <w:rPr>
                <w:rFonts w:ascii="Garamond" w:hAnsi="Garamond"/>
                <w:lang w:val="en-AU"/>
              </w:rPr>
              <w:t xml:space="preserve"> (Ian Leistikow, Roland A Bal</w:t>
            </w:r>
            <w:r>
              <w:rPr>
                <w:rFonts w:ascii="Garamond" w:hAnsi="Garamond"/>
                <w:lang w:val="en-AU"/>
              </w:rPr>
              <w:t>)</w:t>
            </w:r>
          </w:p>
          <w:p w:rsidR="00F65CA6" w:rsidRPr="00065E6E" w:rsidRDefault="00F65CA6" w:rsidP="00F65CA6">
            <w:pPr>
              <w:pStyle w:val="ListParagraph"/>
              <w:numPr>
                <w:ilvl w:val="0"/>
                <w:numId w:val="14"/>
              </w:numPr>
              <w:jc w:val="both"/>
              <w:rPr>
                <w:rFonts w:ascii="Garamond" w:hAnsi="Garamond"/>
                <w:lang w:val="en-AU"/>
              </w:rPr>
            </w:pPr>
            <w:r w:rsidRPr="00065E6E">
              <w:rPr>
                <w:rFonts w:ascii="Garamond" w:hAnsi="Garamond"/>
                <w:lang w:val="en-AU"/>
              </w:rPr>
              <w:t xml:space="preserve">Relative contributions of </w:t>
            </w:r>
            <w:r w:rsidRPr="00065E6E">
              <w:rPr>
                <w:rFonts w:ascii="Garamond" w:hAnsi="Garamond"/>
                <w:b/>
                <w:lang w:val="en-AU"/>
              </w:rPr>
              <w:t>hospital versus skilled nursing facility quality on patient outcomes</w:t>
            </w:r>
            <w:r w:rsidRPr="00065E6E">
              <w:rPr>
                <w:rFonts w:ascii="Garamond" w:hAnsi="Garamond"/>
                <w:lang w:val="en-AU"/>
              </w:rPr>
              <w:t xml:space="preserve"> (Paula Chatterjee, Mingyu Qi, Rachel Werner</w:t>
            </w:r>
            <w:r>
              <w:rPr>
                <w:rFonts w:ascii="Garamond" w:hAnsi="Garamond"/>
                <w:lang w:val="en-AU"/>
              </w:rPr>
              <w:t>)</w:t>
            </w:r>
          </w:p>
          <w:p w:rsidR="00F65CA6" w:rsidRPr="00065E6E" w:rsidRDefault="00F65CA6" w:rsidP="00F65CA6">
            <w:pPr>
              <w:pStyle w:val="ListParagraph"/>
              <w:numPr>
                <w:ilvl w:val="0"/>
                <w:numId w:val="14"/>
              </w:numPr>
              <w:jc w:val="both"/>
              <w:rPr>
                <w:rFonts w:ascii="Garamond" w:hAnsi="Garamond"/>
                <w:lang w:val="en-AU"/>
              </w:rPr>
            </w:pPr>
            <w:r w:rsidRPr="00065E6E">
              <w:rPr>
                <w:rFonts w:ascii="Garamond" w:hAnsi="Garamond"/>
                <w:lang w:val="en-AU"/>
              </w:rPr>
              <w:t xml:space="preserve">Evaluating the influence of </w:t>
            </w:r>
            <w:r w:rsidRPr="00065E6E">
              <w:rPr>
                <w:rFonts w:ascii="Garamond" w:hAnsi="Garamond"/>
                <w:b/>
                <w:lang w:val="en-AU"/>
              </w:rPr>
              <w:t>data collector training</w:t>
            </w:r>
            <w:r w:rsidRPr="00065E6E">
              <w:rPr>
                <w:rFonts w:ascii="Garamond" w:hAnsi="Garamond"/>
                <w:lang w:val="en-AU"/>
              </w:rPr>
              <w:t xml:space="preserve"> for predictive risk of death models: an observational study (Arvind Rajamani, Stephen Huang, Ashwin Subramaniam, Michele Thomson, Andrew Simpson, Anthony McLean, Anders Aneman, Thodur Vinodh Madapusi, Ramanathan Lakshmanan, Gordon Flynn, Latesh Poojara, Jonathan Gatward, Raju Pusapati, Adam Howard, D Odlum</w:t>
            </w:r>
            <w:r>
              <w:rPr>
                <w:rFonts w:ascii="Garamond" w:hAnsi="Garamond"/>
                <w:lang w:val="en-AU"/>
              </w:rPr>
              <w:t>)</w:t>
            </w:r>
          </w:p>
          <w:p w:rsidR="00F65CA6" w:rsidRPr="004607C5" w:rsidRDefault="00F65CA6" w:rsidP="00F65CA6">
            <w:pPr>
              <w:pStyle w:val="ListParagraph"/>
              <w:numPr>
                <w:ilvl w:val="0"/>
                <w:numId w:val="14"/>
              </w:numPr>
              <w:jc w:val="both"/>
              <w:rPr>
                <w:rFonts w:ascii="Garamond" w:hAnsi="Garamond"/>
                <w:lang w:val="en-AU"/>
              </w:rPr>
            </w:pPr>
            <w:r w:rsidRPr="004607C5">
              <w:rPr>
                <w:rFonts w:ascii="Garamond" w:hAnsi="Garamond"/>
                <w:lang w:val="en-AU"/>
              </w:rPr>
              <w:t xml:space="preserve">Challenges of </w:t>
            </w:r>
            <w:r w:rsidRPr="004607C5">
              <w:rPr>
                <w:rFonts w:ascii="Garamond" w:hAnsi="Garamond"/>
                <w:b/>
                <w:lang w:val="en-AU"/>
              </w:rPr>
              <w:t>opioid deprescribing</w:t>
            </w:r>
            <w:r w:rsidRPr="004607C5">
              <w:rPr>
                <w:rFonts w:ascii="Garamond" w:hAnsi="Garamond"/>
                <w:lang w:val="en-AU"/>
              </w:rPr>
              <w:t xml:space="preserve"> and factors to be considered in the development of opioid deprescribing guidelines: a qualitative analysis (Aili V Langford, Danijela Gnjidic, Chung-Wei Christine Lin, Lisa Bero, Jonathan Penm, Fiona M Blyth, Carl R Schneider</w:t>
            </w:r>
            <w:r>
              <w:rPr>
                <w:rFonts w:ascii="Garamond" w:hAnsi="Garamond"/>
                <w:lang w:val="en-AU"/>
              </w:rPr>
              <w:t>)</w:t>
            </w:r>
          </w:p>
          <w:p w:rsidR="00F65CA6" w:rsidRPr="004607C5" w:rsidRDefault="00F65CA6" w:rsidP="00F65CA6">
            <w:pPr>
              <w:pStyle w:val="ListParagraph"/>
              <w:numPr>
                <w:ilvl w:val="0"/>
                <w:numId w:val="14"/>
              </w:numPr>
              <w:jc w:val="both"/>
              <w:rPr>
                <w:rFonts w:ascii="Garamond" w:hAnsi="Garamond"/>
                <w:lang w:val="en-AU"/>
              </w:rPr>
            </w:pPr>
            <w:r w:rsidRPr="004607C5">
              <w:rPr>
                <w:rFonts w:ascii="Garamond" w:hAnsi="Garamond"/>
                <w:lang w:val="en-AU"/>
              </w:rPr>
              <w:t xml:space="preserve">Editorial: Making MAGIC: how to improve the use of </w:t>
            </w:r>
            <w:r w:rsidRPr="004607C5">
              <w:rPr>
                <w:rFonts w:ascii="Garamond" w:hAnsi="Garamond"/>
                <w:b/>
                <w:lang w:val="en-AU"/>
              </w:rPr>
              <w:t>peripherally inserted central catheters</w:t>
            </w:r>
            <w:r w:rsidRPr="004607C5">
              <w:rPr>
                <w:rFonts w:ascii="Garamond" w:hAnsi="Garamond"/>
                <w:lang w:val="en-AU"/>
              </w:rPr>
              <w:t xml:space="preserve"> (Vineet Chopra</w:t>
            </w:r>
            <w:r>
              <w:rPr>
                <w:rFonts w:ascii="Garamond" w:hAnsi="Garamond"/>
                <w:lang w:val="en-AU"/>
              </w:rPr>
              <w:t>)</w:t>
            </w:r>
          </w:p>
          <w:p w:rsidR="00F65CA6" w:rsidRPr="004607C5" w:rsidRDefault="00F65CA6" w:rsidP="00F65CA6">
            <w:pPr>
              <w:pStyle w:val="ListParagraph"/>
              <w:numPr>
                <w:ilvl w:val="0"/>
                <w:numId w:val="14"/>
              </w:numPr>
              <w:jc w:val="both"/>
              <w:rPr>
                <w:rFonts w:ascii="Garamond" w:hAnsi="Garamond"/>
                <w:lang w:val="en-AU"/>
              </w:rPr>
            </w:pPr>
            <w:r w:rsidRPr="004607C5">
              <w:rPr>
                <w:rFonts w:ascii="Garamond" w:hAnsi="Garamond"/>
                <w:b/>
                <w:lang w:val="en-AU"/>
              </w:rPr>
              <w:lastRenderedPageBreak/>
              <w:t>Valuing hospital investments in nursing</w:t>
            </w:r>
            <w:r w:rsidRPr="004607C5">
              <w:rPr>
                <w:rFonts w:ascii="Garamond" w:hAnsi="Garamond"/>
                <w:lang w:val="en-AU"/>
              </w:rPr>
              <w:t>: multistate matched-cohort study of surgical patients (Karen B Lasater, Matthew McHugh, Paul R Rosenbaum, Linda H Aiken, Herbert Smith, Joseph G Reiter, Bijan A Niknam, Alexander S Hill, Lauren L Hochman, Siddharth Jain, Jeffrey H Silber</w:t>
            </w:r>
            <w:r>
              <w:rPr>
                <w:rFonts w:ascii="Garamond" w:hAnsi="Garamond"/>
                <w:lang w:val="en-AU"/>
              </w:rPr>
              <w:t>)</w:t>
            </w:r>
          </w:p>
          <w:p w:rsidR="00F65CA6" w:rsidRPr="00D83413" w:rsidRDefault="00F65CA6" w:rsidP="00F65CA6">
            <w:pPr>
              <w:pStyle w:val="ListParagraph"/>
              <w:numPr>
                <w:ilvl w:val="0"/>
                <w:numId w:val="14"/>
              </w:numPr>
              <w:jc w:val="both"/>
              <w:rPr>
                <w:rFonts w:ascii="Garamond" w:hAnsi="Garamond"/>
                <w:lang w:val="en-AU"/>
              </w:rPr>
            </w:pPr>
            <w:r w:rsidRPr="004607C5">
              <w:rPr>
                <w:rFonts w:ascii="Garamond" w:hAnsi="Garamond"/>
                <w:b/>
                <w:lang w:val="en-AU"/>
              </w:rPr>
              <w:t>Physician-level variation</w:t>
            </w:r>
            <w:r w:rsidRPr="004607C5">
              <w:rPr>
                <w:rFonts w:ascii="Garamond" w:hAnsi="Garamond"/>
                <w:lang w:val="en-AU"/>
              </w:rPr>
              <w:t xml:space="preserve"> in clinical outcomes and resource use in inpatient general internal medicine: an observational study</w:t>
            </w:r>
            <w:r>
              <w:rPr>
                <w:rFonts w:ascii="Garamond" w:hAnsi="Garamond"/>
                <w:lang w:val="en-AU"/>
              </w:rPr>
              <w:t xml:space="preserve"> (</w:t>
            </w:r>
            <w:r w:rsidRPr="004607C5">
              <w:rPr>
                <w:rFonts w:ascii="Garamond" w:hAnsi="Garamond"/>
                <w:lang w:val="en-AU"/>
              </w:rPr>
              <w:t>Amol A Verma, Yishan Guo, Hae Young Jung, Andreas Laupacis, Muhammad Mamdani, Allan S Detsky, Adina Weinerman, Terence Tang, Shail Rawal, Lauren Lapointe-Shaw, Janice L Kwan, Fahad Razak</w:t>
            </w:r>
            <w:r>
              <w:rPr>
                <w:rFonts w:ascii="Garamond" w:hAnsi="Garamond"/>
                <w:lang w:val="en-AU"/>
              </w:rPr>
              <w:t>)</w:t>
            </w:r>
          </w:p>
        </w:tc>
      </w:tr>
    </w:tbl>
    <w:p w:rsidR="00F65CA6" w:rsidRDefault="00F65CA6" w:rsidP="00F65CA6">
      <w:pPr>
        <w:keepNext/>
        <w:rPr>
          <w:rFonts w:ascii="Garamond" w:hAnsi="Garamond"/>
          <w:i/>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7B2166">
      <w:pPr>
        <w:keepNext/>
        <w:keepLines/>
        <w:rPr>
          <w:rFonts w:ascii="Garamond" w:hAnsi="Garamond"/>
          <w:i/>
          <w:lang w:val="en-AU"/>
        </w:rPr>
      </w:pPr>
    </w:p>
    <w:p w:rsidR="00824A93" w:rsidRPr="000170DA" w:rsidRDefault="00824A93" w:rsidP="00824A93">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24A93" w:rsidRDefault="00E45003" w:rsidP="00824A93">
      <w:pPr>
        <w:keepNext/>
        <w:keepLines/>
        <w:rPr>
          <w:rFonts w:ascii="Garamond" w:hAnsi="Garamond"/>
          <w:u w:val="single"/>
          <w:lang w:val="en-AU"/>
        </w:rPr>
      </w:pPr>
      <w:hyperlink r:id="rId25" w:history="1">
        <w:r w:rsidR="00824A93" w:rsidRPr="00131E90">
          <w:rPr>
            <w:rStyle w:val="Hyperlink"/>
            <w:rFonts w:ascii="Garamond" w:hAnsi="Garamond"/>
            <w:lang w:val="en-AU"/>
          </w:rPr>
          <w:t>https://www.nice.org.uk/guidance</w:t>
        </w:r>
      </w:hyperlink>
    </w:p>
    <w:p w:rsidR="00824A93" w:rsidRPr="000170DA" w:rsidRDefault="00824A93" w:rsidP="00824A9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B961A2" w:rsidRPr="00E87253" w:rsidRDefault="004C607E" w:rsidP="004607C5">
      <w:pPr>
        <w:pStyle w:val="ListParagraph"/>
        <w:keepNext/>
        <w:keepLines/>
        <w:numPr>
          <w:ilvl w:val="0"/>
          <w:numId w:val="14"/>
        </w:numPr>
        <w:rPr>
          <w:rStyle w:val="Hyperlink"/>
          <w:rFonts w:ascii="Garamond" w:hAnsi="Garamond"/>
          <w:color w:val="auto"/>
          <w:u w:val="none"/>
          <w:lang w:val="en-AU"/>
        </w:rPr>
      </w:pPr>
      <w:r>
        <w:rPr>
          <w:rFonts w:ascii="Garamond" w:hAnsi="Garamond"/>
          <w:lang w:val="en-AU"/>
        </w:rPr>
        <w:t>NICE Guideline NG</w:t>
      </w:r>
      <w:r w:rsidR="004607C5">
        <w:rPr>
          <w:rFonts w:ascii="Garamond" w:hAnsi="Garamond"/>
          <w:lang w:val="en-AU"/>
        </w:rPr>
        <w:t>162</w:t>
      </w:r>
      <w:r w:rsidR="004607C5" w:rsidRPr="004607C5">
        <w:t xml:space="preserve"> </w:t>
      </w:r>
      <w:r w:rsidR="004607C5" w:rsidRPr="004607C5">
        <w:rPr>
          <w:rFonts w:ascii="Garamond" w:hAnsi="Garamond"/>
          <w:b/>
          <w:i/>
          <w:lang w:val="en-AU"/>
        </w:rPr>
        <w:t>COVID</w:t>
      </w:r>
      <w:r w:rsidR="004607C5" w:rsidRPr="004607C5">
        <w:rPr>
          <w:rFonts w:ascii="Garamond" w:hAnsi="Garamond"/>
          <w:i/>
          <w:lang w:val="en-AU"/>
        </w:rPr>
        <w:t xml:space="preserve">-19 rapid guideline: delivery of </w:t>
      </w:r>
      <w:r w:rsidR="004607C5" w:rsidRPr="004607C5">
        <w:rPr>
          <w:rFonts w:ascii="Garamond" w:hAnsi="Garamond"/>
          <w:b/>
          <w:i/>
          <w:lang w:val="en-AU"/>
        </w:rPr>
        <w:t>radiotherapy</w:t>
      </w:r>
      <w:r w:rsidR="004607C5" w:rsidRPr="004607C5">
        <w:rPr>
          <w:rFonts w:ascii="Garamond" w:hAnsi="Garamond"/>
          <w:i/>
          <w:lang w:val="en-AU"/>
        </w:rPr>
        <w:t xml:space="preserve"> </w:t>
      </w:r>
      <w:hyperlink r:id="rId26" w:history="1">
        <w:r w:rsidR="004607C5" w:rsidRPr="00C77D75">
          <w:rPr>
            <w:rStyle w:val="Hyperlink"/>
            <w:rFonts w:ascii="Garamond" w:hAnsi="Garamond"/>
            <w:lang w:val="en-AU"/>
          </w:rPr>
          <w:t>https://www.nice.org.uk/guidance/ng162</w:t>
        </w:r>
      </w:hyperlink>
    </w:p>
    <w:p w:rsidR="00E87253" w:rsidRDefault="00E87253" w:rsidP="00E87253">
      <w:pPr>
        <w:pStyle w:val="ListParagraph"/>
        <w:keepNext/>
        <w:keepLines/>
        <w:numPr>
          <w:ilvl w:val="0"/>
          <w:numId w:val="14"/>
        </w:numPr>
        <w:rPr>
          <w:rFonts w:ascii="Garamond" w:hAnsi="Garamond"/>
          <w:lang w:val="en-AU"/>
        </w:rPr>
      </w:pPr>
      <w:r>
        <w:rPr>
          <w:rFonts w:ascii="Garamond" w:hAnsi="Garamond"/>
          <w:lang w:val="en-AU"/>
        </w:rPr>
        <w:t>NICE Guideline NG164</w:t>
      </w:r>
      <w:r w:rsidRPr="004607C5">
        <w:t xml:space="preserve"> </w:t>
      </w:r>
      <w:r w:rsidRPr="004607C5">
        <w:rPr>
          <w:rFonts w:ascii="Garamond" w:hAnsi="Garamond"/>
          <w:b/>
          <w:i/>
          <w:lang w:val="en-AU"/>
        </w:rPr>
        <w:t>COVID</w:t>
      </w:r>
      <w:r w:rsidRPr="004607C5">
        <w:rPr>
          <w:rFonts w:ascii="Garamond" w:hAnsi="Garamond"/>
          <w:i/>
          <w:lang w:val="en-AU"/>
        </w:rPr>
        <w:t>-19 rapid guideline:</w:t>
      </w:r>
      <w:r>
        <w:rPr>
          <w:rFonts w:ascii="Garamond" w:hAnsi="Garamond"/>
          <w:i/>
          <w:lang w:val="en-AU"/>
        </w:rPr>
        <w:t xml:space="preserve"> </w:t>
      </w:r>
      <w:r w:rsidRPr="00E87253">
        <w:rPr>
          <w:rFonts w:ascii="Garamond" w:hAnsi="Garamond"/>
          <w:b/>
          <w:i/>
          <w:lang w:val="en-AU"/>
        </w:rPr>
        <w:t>haematopoietic stem cell transplantation</w:t>
      </w:r>
      <w:r>
        <w:rPr>
          <w:rFonts w:ascii="Garamond" w:hAnsi="Garamond"/>
          <w:i/>
          <w:lang w:val="en-AU"/>
        </w:rPr>
        <w:t xml:space="preserve"> </w:t>
      </w:r>
      <w:hyperlink r:id="rId27" w:history="1">
        <w:r w:rsidRPr="00384A30">
          <w:rPr>
            <w:rStyle w:val="Hyperlink"/>
            <w:rFonts w:ascii="Garamond" w:hAnsi="Garamond"/>
            <w:lang w:val="en-AU"/>
          </w:rPr>
          <w:t>https://www.nice.org.uk/guidance/ng164</w:t>
        </w:r>
      </w:hyperlink>
    </w:p>
    <w:p w:rsidR="00352952" w:rsidRDefault="00352952" w:rsidP="003F6EE2">
      <w:pPr>
        <w:rPr>
          <w:rFonts w:ascii="Garamond" w:hAnsi="Garamond"/>
          <w:i/>
          <w:lang w:val="en-AU"/>
        </w:rPr>
      </w:pPr>
    </w:p>
    <w:p w:rsidR="003A2AA2" w:rsidRPr="003A6F1C" w:rsidRDefault="003A2AA2" w:rsidP="003A2AA2">
      <w:pPr>
        <w:keepNext/>
        <w:keepLines/>
        <w:rPr>
          <w:rFonts w:ascii="Garamond" w:hAnsi="Garamond"/>
          <w:i/>
          <w:lang w:val="en-AU"/>
        </w:rPr>
      </w:pPr>
      <w:r w:rsidRPr="003A6F1C">
        <w:rPr>
          <w:rFonts w:ascii="Garamond" w:hAnsi="Garamond"/>
          <w:i/>
          <w:lang w:val="en-AU"/>
        </w:rPr>
        <w:t>[UK] National Institute for Health Research</w:t>
      </w:r>
    </w:p>
    <w:p w:rsidR="003A2AA2" w:rsidRPr="003A6F1C" w:rsidRDefault="00E45003" w:rsidP="003A2AA2">
      <w:pPr>
        <w:keepNext/>
        <w:keepLines/>
        <w:rPr>
          <w:rStyle w:val="Hyperlink"/>
          <w:rFonts w:ascii="Garamond" w:hAnsi="Garamond"/>
          <w:lang w:val="en-AU"/>
        </w:rPr>
      </w:pPr>
      <w:hyperlink r:id="rId28" w:history="1">
        <w:r w:rsidR="003A2AA2" w:rsidRPr="003A6F1C">
          <w:rPr>
            <w:rStyle w:val="Hyperlink"/>
            <w:rFonts w:ascii="Garamond" w:hAnsi="Garamond"/>
            <w:lang w:val="en-AU"/>
          </w:rPr>
          <w:t>https://discover.dc.nihr.ac.uk/portal/search/signals</w:t>
        </w:r>
      </w:hyperlink>
    </w:p>
    <w:p w:rsidR="003A2AA2" w:rsidRPr="003A6F1C" w:rsidRDefault="003A2AA2" w:rsidP="003A2AA2">
      <w:pPr>
        <w:keepNext/>
        <w:keepLines/>
        <w:rPr>
          <w:rFonts w:ascii="Garamond" w:hAnsi="Garamond"/>
          <w:lang w:val="en-AU"/>
        </w:rPr>
      </w:pPr>
      <w:r w:rsidRPr="003A6F1C">
        <w:rPr>
          <w:rFonts w:ascii="Garamond" w:hAnsi="Garamond"/>
          <w:lang w:val="en-AU"/>
        </w:rPr>
        <w:t>The UK’s National Institute for Health Research (NIHR) Dissemination Centre has released the latest ‘Signals’ research summaries. This latest release includes:</w:t>
      </w:r>
    </w:p>
    <w:p w:rsidR="003A2AA2" w:rsidRPr="003A2AA2" w:rsidRDefault="003A2AA2" w:rsidP="003A2AA2">
      <w:pPr>
        <w:pStyle w:val="ListParagraph"/>
        <w:keepLines/>
        <w:numPr>
          <w:ilvl w:val="0"/>
          <w:numId w:val="14"/>
        </w:numPr>
        <w:rPr>
          <w:rFonts w:ascii="Garamond" w:hAnsi="Garamond"/>
          <w:lang w:val="en-AU"/>
        </w:rPr>
      </w:pPr>
      <w:r w:rsidRPr="003A2AA2">
        <w:rPr>
          <w:rFonts w:ascii="Garamond" w:hAnsi="Garamond"/>
          <w:lang w:val="en-AU"/>
        </w:rPr>
        <w:t xml:space="preserve">Eplerenone does not improve vision in people with </w:t>
      </w:r>
      <w:r w:rsidRPr="003A2AA2">
        <w:rPr>
          <w:rFonts w:ascii="Garamond" w:hAnsi="Garamond"/>
          <w:b/>
          <w:lang w:val="en-AU"/>
        </w:rPr>
        <w:t>central serous chorioretinopathy</w:t>
      </w:r>
    </w:p>
    <w:p w:rsidR="003A2AA2" w:rsidRPr="003A2AA2" w:rsidRDefault="003A2AA2" w:rsidP="003A2AA2">
      <w:pPr>
        <w:pStyle w:val="ListParagraph"/>
        <w:keepLines/>
        <w:numPr>
          <w:ilvl w:val="0"/>
          <w:numId w:val="14"/>
        </w:numPr>
        <w:rPr>
          <w:rFonts w:ascii="Garamond" w:hAnsi="Garamond"/>
          <w:lang w:val="en-AU"/>
        </w:rPr>
      </w:pPr>
      <w:r w:rsidRPr="003A2AA2">
        <w:rPr>
          <w:rFonts w:ascii="Garamond" w:hAnsi="Garamond"/>
          <w:lang w:val="en-AU"/>
        </w:rPr>
        <w:t xml:space="preserve">Functional braces are effective alternatives to plaster casts for </w:t>
      </w:r>
      <w:r w:rsidRPr="003A2AA2">
        <w:rPr>
          <w:rFonts w:ascii="Garamond" w:hAnsi="Garamond"/>
          <w:b/>
          <w:lang w:val="en-AU"/>
        </w:rPr>
        <w:t>ruptured Achilles tendons</w:t>
      </w:r>
    </w:p>
    <w:p w:rsidR="003A2AA2" w:rsidRPr="003A2AA2" w:rsidRDefault="003A2AA2" w:rsidP="003A2AA2">
      <w:pPr>
        <w:pStyle w:val="ListParagraph"/>
        <w:keepLines/>
        <w:numPr>
          <w:ilvl w:val="0"/>
          <w:numId w:val="14"/>
        </w:numPr>
        <w:rPr>
          <w:rFonts w:ascii="Garamond" w:hAnsi="Garamond"/>
          <w:lang w:val="en-AU"/>
        </w:rPr>
      </w:pPr>
      <w:r w:rsidRPr="003A2AA2">
        <w:rPr>
          <w:rFonts w:ascii="Garamond" w:hAnsi="Garamond"/>
          <w:lang w:val="en-AU"/>
        </w:rPr>
        <w:t xml:space="preserve">Plasma and blood cell injections have not shown a benefit for </w:t>
      </w:r>
      <w:r w:rsidRPr="003A2AA2">
        <w:rPr>
          <w:rFonts w:ascii="Garamond" w:hAnsi="Garamond"/>
          <w:b/>
          <w:lang w:val="en-AU"/>
        </w:rPr>
        <w:t>Achilles tendon injury</w:t>
      </w:r>
    </w:p>
    <w:p w:rsidR="003A2AA2" w:rsidRPr="003A2AA2" w:rsidRDefault="003A2AA2" w:rsidP="003A2AA2">
      <w:pPr>
        <w:pStyle w:val="ListParagraph"/>
        <w:keepLines/>
        <w:numPr>
          <w:ilvl w:val="0"/>
          <w:numId w:val="14"/>
        </w:numPr>
        <w:rPr>
          <w:rFonts w:ascii="Garamond" w:hAnsi="Garamond"/>
          <w:lang w:val="en-AU"/>
        </w:rPr>
      </w:pPr>
      <w:r w:rsidRPr="003A2AA2">
        <w:rPr>
          <w:rFonts w:ascii="Garamond" w:hAnsi="Garamond"/>
          <w:lang w:val="en-AU"/>
        </w:rPr>
        <w:t xml:space="preserve">Using wires to fix </w:t>
      </w:r>
      <w:r w:rsidRPr="003A2AA2">
        <w:rPr>
          <w:rFonts w:ascii="Garamond" w:hAnsi="Garamond"/>
          <w:b/>
          <w:lang w:val="en-AU"/>
        </w:rPr>
        <w:t>wrist fracture</w:t>
      </w:r>
      <w:r w:rsidRPr="003A2AA2">
        <w:rPr>
          <w:rFonts w:ascii="Garamond" w:hAnsi="Garamond"/>
          <w:lang w:val="en-AU"/>
        </w:rPr>
        <w:t xml:space="preserve"> has good long-term outcome</w:t>
      </w:r>
    </w:p>
    <w:p w:rsidR="003A2AA2" w:rsidRPr="003A2AA2" w:rsidRDefault="003A2AA2" w:rsidP="003A2AA2">
      <w:pPr>
        <w:pStyle w:val="ListParagraph"/>
        <w:keepLines/>
        <w:numPr>
          <w:ilvl w:val="0"/>
          <w:numId w:val="14"/>
        </w:numPr>
        <w:rPr>
          <w:rFonts w:ascii="Garamond" w:hAnsi="Garamond"/>
          <w:lang w:val="en-AU"/>
        </w:rPr>
      </w:pPr>
      <w:r w:rsidRPr="003A2AA2">
        <w:rPr>
          <w:rFonts w:ascii="Garamond" w:hAnsi="Garamond"/>
          <w:lang w:val="en-AU"/>
        </w:rPr>
        <w:t>Conventional fillings may not add much to standard pre</w:t>
      </w:r>
      <w:r>
        <w:rPr>
          <w:rFonts w:ascii="Garamond" w:hAnsi="Garamond"/>
          <w:lang w:val="en-AU"/>
        </w:rPr>
        <w:t xml:space="preserve">vention for </w:t>
      </w:r>
      <w:r w:rsidRPr="003A2AA2">
        <w:rPr>
          <w:rFonts w:ascii="Garamond" w:hAnsi="Garamond"/>
          <w:b/>
          <w:lang w:val="en-AU"/>
        </w:rPr>
        <w:t>decay in baby teeth</w:t>
      </w:r>
    </w:p>
    <w:p w:rsidR="003A2AA2" w:rsidRPr="003A2AA2" w:rsidRDefault="003A2AA2" w:rsidP="003A2AA2">
      <w:pPr>
        <w:pStyle w:val="ListParagraph"/>
        <w:keepLines/>
        <w:numPr>
          <w:ilvl w:val="0"/>
          <w:numId w:val="14"/>
        </w:numPr>
        <w:rPr>
          <w:rFonts w:ascii="Garamond" w:hAnsi="Garamond"/>
          <w:lang w:val="en-AU"/>
        </w:rPr>
      </w:pPr>
      <w:r w:rsidRPr="003A2AA2">
        <w:rPr>
          <w:rFonts w:ascii="Garamond" w:hAnsi="Garamond"/>
          <w:lang w:val="en-AU"/>
        </w:rPr>
        <w:t xml:space="preserve">A lifestyle change programme not effective for those at </w:t>
      </w:r>
      <w:r w:rsidRPr="003A2AA2">
        <w:rPr>
          <w:rFonts w:ascii="Garamond" w:hAnsi="Garamond"/>
          <w:b/>
          <w:lang w:val="en-AU"/>
        </w:rPr>
        <w:t>risk of heart disease or stroke</w:t>
      </w:r>
    </w:p>
    <w:p w:rsidR="003A2AA2" w:rsidRPr="003A2AA2" w:rsidRDefault="003A2AA2" w:rsidP="003A2AA2">
      <w:pPr>
        <w:pStyle w:val="ListParagraph"/>
        <w:keepLines/>
        <w:numPr>
          <w:ilvl w:val="0"/>
          <w:numId w:val="14"/>
        </w:numPr>
        <w:rPr>
          <w:rFonts w:ascii="Garamond" w:hAnsi="Garamond"/>
          <w:lang w:val="en-AU"/>
        </w:rPr>
      </w:pPr>
      <w:r w:rsidRPr="003A2AA2">
        <w:rPr>
          <w:rFonts w:ascii="Garamond" w:hAnsi="Garamond"/>
          <w:b/>
          <w:lang w:val="en-AU"/>
        </w:rPr>
        <w:t>Decision aids</w:t>
      </w:r>
      <w:r w:rsidRPr="003A2AA2">
        <w:rPr>
          <w:rFonts w:ascii="Garamond" w:hAnsi="Garamond"/>
          <w:lang w:val="en-AU"/>
        </w:rPr>
        <w:t xml:space="preserve"> including leaflets and computer programs help patients make treatment choices</w:t>
      </w:r>
      <w:r>
        <w:rPr>
          <w:rFonts w:ascii="Garamond" w:hAnsi="Garamond"/>
          <w:lang w:val="en-AU"/>
        </w:rPr>
        <w:t>.</w:t>
      </w:r>
    </w:p>
    <w:p w:rsidR="004607C5" w:rsidRDefault="004607C5" w:rsidP="003F6EE2">
      <w:pPr>
        <w:rPr>
          <w:rFonts w:ascii="Garamond" w:hAnsi="Garamond"/>
          <w:i/>
          <w:lang w:val="en-AU"/>
        </w:rPr>
      </w:pPr>
    </w:p>
    <w:p w:rsidR="00651BCE" w:rsidRPr="000170DA" w:rsidRDefault="00651BCE" w:rsidP="00651BCE">
      <w:pPr>
        <w:keepNext/>
        <w:keepLines/>
        <w:rPr>
          <w:rFonts w:ascii="Garamond" w:hAnsi="Garamond"/>
          <w:i/>
          <w:lang w:val="en-AU"/>
        </w:rPr>
      </w:pPr>
      <w:r w:rsidRPr="000170DA">
        <w:rPr>
          <w:rFonts w:ascii="Garamond" w:hAnsi="Garamond"/>
          <w:i/>
          <w:lang w:val="en-AU"/>
        </w:rPr>
        <w:t>[USA] Effective Health Care Program reports</w:t>
      </w:r>
    </w:p>
    <w:p w:rsidR="00651BCE" w:rsidRPr="000170DA" w:rsidRDefault="00E45003" w:rsidP="00651BCE">
      <w:pPr>
        <w:keepNext/>
        <w:keepLines/>
        <w:rPr>
          <w:rFonts w:ascii="Garamond" w:hAnsi="Garamond"/>
          <w:u w:val="single"/>
          <w:lang w:val="en-AU"/>
        </w:rPr>
      </w:pPr>
      <w:hyperlink r:id="rId29" w:history="1">
        <w:r w:rsidR="00651BCE" w:rsidRPr="000170DA">
          <w:rPr>
            <w:rStyle w:val="Hyperlink"/>
            <w:rFonts w:ascii="Garamond" w:hAnsi="Garamond"/>
            <w:lang w:val="en-AU"/>
          </w:rPr>
          <w:t>https://effectivehealthcare.ahrq.gov/</w:t>
        </w:r>
      </w:hyperlink>
    </w:p>
    <w:p w:rsidR="00651BCE" w:rsidRDefault="00651BCE" w:rsidP="00651BCE">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B961A2" w:rsidRPr="00AF4C97" w:rsidRDefault="00AF4C97" w:rsidP="00AF4C97">
      <w:pPr>
        <w:pStyle w:val="ListParagraph"/>
        <w:numPr>
          <w:ilvl w:val="0"/>
          <w:numId w:val="18"/>
        </w:numPr>
        <w:rPr>
          <w:rFonts w:ascii="Garamond" w:hAnsi="Garamond"/>
          <w:i/>
          <w:lang w:val="en-AU"/>
        </w:rPr>
      </w:pPr>
      <w:r w:rsidRPr="00AF4C97">
        <w:rPr>
          <w:rFonts w:ascii="Garamond" w:hAnsi="Garamond"/>
          <w:i/>
          <w:lang w:val="en-AU"/>
        </w:rPr>
        <w:t xml:space="preserve">Impact of </w:t>
      </w:r>
      <w:r w:rsidRPr="00AF4C97">
        <w:rPr>
          <w:rFonts w:ascii="Garamond" w:hAnsi="Garamond"/>
          <w:b/>
          <w:i/>
          <w:lang w:val="en-AU"/>
        </w:rPr>
        <w:t>Community Health Worker Certification</w:t>
      </w:r>
      <w:r w:rsidRPr="00AF4C97">
        <w:rPr>
          <w:rFonts w:ascii="Garamond" w:hAnsi="Garamond"/>
          <w:i/>
          <w:lang w:val="en-AU"/>
        </w:rPr>
        <w:t xml:space="preserve"> on Workforce and Service Delivery for Asthma and Other Selected Chronic Diseases</w:t>
      </w:r>
      <w:r>
        <w:rPr>
          <w:rFonts w:ascii="Garamond" w:hAnsi="Garamond"/>
          <w:i/>
          <w:lang w:val="en-AU"/>
        </w:rPr>
        <w:t xml:space="preserve"> </w:t>
      </w:r>
      <w:r>
        <w:rPr>
          <w:rFonts w:ascii="Garamond" w:hAnsi="Garamond"/>
          <w:i/>
          <w:lang w:val="en-AU"/>
        </w:rPr>
        <w:br/>
      </w:r>
      <w:hyperlink r:id="rId30" w:history="1">
        <w:r w:rsidRPr="00CF6C14">
          <w:rPr>
            <w:rStyle w:val="Hyperlink"/>
            <w:rFonts w:ascii="Garamond" w:hAnsi="Garamond"/>
            <w:lang w:val="en-AU"/>
          </w:rPr>
          <w:t>https://effectivehealthcare.ahrq.gov/products/health-worker-certification/technical-brief</w:t>
        </w:r>
      </w:hyperlink>
    </w:p>
    <w:p w:rsidR="00AF4C97" w:rsidRPr="00AF4C97" w:rsidRDefault="00AF4C97" w:rsidP="00AF4C97">
      <w:pPr>
        <w:pStyle w:val="ListParagraph"/>
        <w:numPr>
          <w:ilvl w:val="0"/>
          <w:numId w:val="18"/>
        </w:numPr>
        <w:rPr>
          <w:rFonts w:ascii="Garamond" w:hAnsi="Garamond"/>
          <w:i/>
          <w:lang w:val="en-AU"/>
        </w:rPr>
      </w:pPr>
      <w:r w:rsidRPr="00AF4C97">
        <w:rPr>
          <w:rFonts w:ascii="Garamond" w:hAnsi="Garamond"/>
          <w:b/>
          <w:i/>
          <w:lang w:val="en-AU"/>
        </w:rPr>
        <w:t>Integrating Health System Data With Systematic Reviews</w:t>
      </w:r>
      <w:r w:rsidRPr="00AF4C97">
        <w:rPr>
          <w:rFonts w:ascii="Garamond" w:hAnsi="Garamond"/>
          <w:i/>
          <w:lang w:val="en-AU"/>
        </w:rPr>
        <w:t>: A Framework for When and How Unpublished Health System Data Can Be Used With Systematic Reviews</w:t>
      </w:r>
      <w:r>
        <w:rPr>
          <w:rFonts w:ascii="Garamond" w:hAnsi="Garamond"/>
          <w:i/>
          <w:lang w:val="en-AU"/>
        </w:rPr>
        <w:br/>
      </w:r>
      <w:hyperlink r:id="rId31" w:history="1">
        <w:r w:rsidRPr="00CF6C14">
          <w:rPr>
            <w:rStyle w:val="Hyperlink"/>
            <w:rFonts w:ascii="Garamond" w:hAnsi="Garamond"/>
            <w:lang w:val="en-AU"/>
          </w:rPr>
          <w:t>https://effectivehealthcare.ahrq.gov/products/unpublished-health-data/methods-report</w:t>
        </w:r>
      </w:hyperlink>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headerReference w:type="even" r:id="rId32"/>
      <w:headerReference w:type="default" r:id="rId33"/>
      <w:footerReference w:type="even" r:id="rId34"/>
      <w:footerReference w:type="default" r:id="rId35"/>
      <w:headerReference w:type="first" r:id="rId36"/>
      <w:footerReference w:type="firs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45003">
      <w:rPr>
        <w:rStyle w:val="PageNumber"/>
        <w:noProof/>
      </w:rPr>
      <w:t>2</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02EF">
      <w:rPr>
        <w:rFonts w:ascii="Garamond" w:hAnsi="Garamond"/>
      </w:rPr>
      <w:t xml:space="preserve"> Issue 45</w:t>
    </w:r>
    <w:r w:rsidR="00E45003">
      <w:rPr>
        <w:rFonts w:ascii="Garamond" w:hAnsi="Garamond"/>
      </w:rPr>
      <w:t>8</w:t>
    </w:r>
    <w:bookmarkStart w:id="1" w:name="_GoBack"/>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45003">
      <w:rPr>
        <w:rStyle w:val="PageNumber"/>
        <w:rFonts w:ascii="Garamond" w:hAnsi="Garamond"/>
        <w:noProof/>
      </w:rPr>
      <w:t>5</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E45003">
      <w:rPr>
        <w:rFonts w:ascii="Garamond" w:hAnsi="Garamond"/>
      </w:rPr>
      <w:t>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03" w:rsidRDefault="00E45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03" w:rsidRDefault="00E45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03" w:rsidRDefault="00E45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03" w:rsidRDefault="00E45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E692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F63F5"/>
    <w:multiLevelType w:val="hybridMultilevel"/>
    <w:tmpl w:val="F046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3"/>
  </w:num>
  <w:num w:numId="16">
    <w:abstractNumId w:val="10"/>
  </w:num>
  <w:num w:numId="17">
    <w:abstractNumId w:val="17"/>
  </w:num>
  <w:num w:numId="18">
    <w:abstractNumId w:val="11"/>
  </w:num>
  <w:num w:numId="19">
    <w:abstractNumId w:val="19"/>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B69"/>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312"/>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3649"/>
    <o:shapelayout v:ext="edit">
      <o:idmap v:ext="edit" data="1"/>
    </o:shapelayout>
  </w:shapeDefaults>
  <w:decimalSymbol w:val="."/>
  <w:listSeparator w:val=","/>
  <w14:docId w14:val="5293F329"/>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1A2"/>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136/archdischild-2019-318406" TargetMode="External"/><Relationship Id="rId26" Type="http://schemas.openxmlformats.org/officeDocument/2006/relationships/hyperlink" Target="https://www.nice.org.uk/guidance/ng16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mjleader.bmj.com/content/4/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136/bmjqs-2019-010660" TargetMode="External"/><Relationship Id="rId25" Type="http://schemas.openxmlformats.org/officeDocument/2006/relationships/hyperlink" Target="https://www.nice.org.uk/guidanc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1606-019-05592-5" TargetMode="External"/><Relationship Id="rId20" Type="http://schemas.openxmlformats.org/officeDocument/2006/relationships/hyperlink" Target="https://www.safetyandquality.gov.au/our-work/medication-safety" TargetMode="External"/><Relationship Id="rId29" Type="http://schemas.openxmlformats.org/officeDocument/2006/relationships/hyperlink" Target="https://effectivehealthcare.ahrq.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93/intqhc/mzaa005" TargetMode="External"/><Relationship Id="rId23" Type="http://schemas.openxmlformats.org/officeDocument/2006/relationships/hyperlink" Target="https://academic.oup.com/intqhc/advance-articles" TargetMode="External"/><Relationship Id="rId28" Type="http://schemas.openxmlformats.org/officeDocument/2006/relationships/hyperlink" Target="https://discover.dc.nihr.ac.uk/portal/search/signals" TargetMode="External"/><Relationship Id="rId36" Type="http://schemas.openxmlformats.org/officeDocument/2006/relationships/header" Target="header3.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painphysicianjournal.com/linkout?issn=1533-3159&amp;vol=22&amp;page=229" TargetMode="External"/><Relationship Id="rId31" Type="http://schemas.openxmlformats.org/officeDocument/2006/relationships/hyperlink" Target="https://effectivehealthcare.ahrq.gov/products/unpublished-health-data/methods-repor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longwoods.com/publications/healthcare-quarterly/26137/1/vol.-23-no.-1-2020" TargetMode="External"/><Relationship Id="rId27" Type="http://schemas.openxmlformats.org/officeDocument/2006/relationships/hyperlink" Target="https://www.nice.org.uk/guidance/ng164" TargetMode="External"/><Relationship Id="rId30" Type="http://schemas.openxmlformats.org/officeDocument/2006/relationships/hyperlink" Target="https://effectivehealthcare.ahrq.gov/products/health-worker-certification/technical-brief"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726C-A0C8-445B-B12E-C37243F7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2491</Words>
  <Characters>15822</Characters>
  <Application>Microsoft Office Word</Application>
  <DocSecurity>0</DocSecurity>
  <Lines>322</Lines>
  <Paragraphs>163</Paragraphs>
  <ScaleCrop>false</ScaleCrop>
  <HeadingPairs>
    <vt:vector size="2" baseType="variant">
      <vt:variant>
        <vt:lpstr>Title</vt:lpstr>
      </vt:variant>
      <vt:variant>
        <vt:i4>1</vt:i4>
      </vt:variant>
    </vt:vector>
  </HeadingPairs>
  <TitlesOfParts>
    <vt:vector size="1" baseType="lpstr">
      <vt:lpstr>On the Radar Issue 458</vt:lpstr>
    </vt:vector>
  </TitlesOfParts>
  <Company>ACSQHC</Company>
  <LinksUpToDate>false</LinksUpToDate>
  <CharactersWithSpaces>18150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458</dc:title>
  <dc:subject/>
  <dc:creator>Dr Niall Johnson</dc:creator>
  <cp:keywords/>
  <dc:description/>
  <cp:lastModifiedBy>Johnson, Niall</cp:lastModifiedBy>
  <cp:revision>20</cp:revision>
  <cp:lastPrinted>2018-03-02T02:34:00Z</cp:lastPrinted>
  <dcterms:created xsi:type="dcterms:W3CDTF">2020-03-29T20:31:00Z</dcterms:created>
  <dcterms:modified xsi:type="dcterms:W3CDTF">2020-04-02T23:12:00Z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