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752E83">
        <w:rPr>
          <w:rFonts w:ascii="Garamond" w:hAnsi="Garamond"/>
          <w:lang w:val="en-AU"/>
        </w:rPr>
        <w:t>65</w:t>
      </w:r>
    </w:p>
    <w:p w:rsidR="00755242" w:rsidRDefault="00752E83" w:rsidP="00F738B5">
      <w:pPr>
        <w:rPr>
          <w:rFonts w:ascii="Garamond" w:hAnsi="Garamond"/>
          <w:lang w:val="en-AU"/>
        </w:rPr>
      </w:pPr>
      <w:r>
        <w:rPr>
          <w:rFonts w:ascii="Garamond" w:hAnsi="Garamond"/>
          <w:lang w:val="en-AU"/>
        </w:rPr>
        <w:t>25</w:t>
      </w:r>
      <w:r w:rsidR="006C6583">
        <w:rPr>
          <w:rFonts w:ascii="Garamond" w:hAnsi="Garamond"/>
          <w:lang w:val="en-AU"/>
        </w:rPr>
        <w:t xml:space="preserve"> </w:t>
      </w:r>
      <w:r w:rsidR="00BB3BE3">
        <w:rPr>
          <w:rFonts w:ascii="Garamond" w:hAnsi="Garamond"/>
          <w:lang w:val="en-AU"/>
        </w:rPr>
        <w:t xml:space="preserve">May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6C7857" w:rsidRPr="006C7857" w:rsidRDefault="006C7857" w:rsidP="00E62541">
      <w:pPr>
        <w:pStyle w:val="ListParagraph"/>
        <w:numPr>
          <w:ilvl w:val="0"/>
          <w:numId w:val="23"/>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16"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Nebulisation and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lastRenderedPageBreak/>
        <w:t>Ongoing medicines management in high-risk patients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Medicines shortages</w:t>
      </w:r>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7" w:history="1">
        <w:r w:rsidRPr="00504597">
          <w:rPr>
            <w:rStyle w:val="Hyperlink"/>
            <w:rFonts w:ascii="Garamond" w:hAnsi="Garamond"/>
            <w:lang w:val="en-AU"/>
          </w:rPr>
          <w:t>https://www.safetyandquality.gov.au/publications-and-resources/resource-library/break-chain-poster-a3</w:t>
        </w:r>
      </w:hyperlink>
    </w:p>
    <w:p w:rsidR="00504597" w:rsidRPr="009A6069"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1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clinicians on elective surgery </w:t>
      </w:r>
      <w:hyperlink r:id="rId1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consumers on elective surgery </w:t>
      </w:r>
      <w:hyperlink r:id="rId20" w:history="1">
        <w:r w:rsidRPr="0015250A">
          <w:rPr>
            <w:rStyle w:val="Hyperlink"/>
            <w:rFonts w:ascii="Garamond" w:hAnsi="Garamond"/>
            <w:lang w:val="en-AU"/>
          </w:rPr>
          <w:t>https://www.safetyandquality.gov.au/node/5725</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1"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2" w:history="1">
        <w:r w:rsidRPr="00504597">
          <w:rPr>
            <w:rStyle w:val="Hyperlink"/>
            <w:rFonts w:ascii="Garamond" w:hAnsi="Garamond"/>
            <w:lang w:val="en-AU"/>
          </w:rPr>
          <w:t>https://www.safetyandquality.gov.au/publications-and-resources/resource-library/special-precautions-covid-19-designated-zones</w:t>
        </w:r>
      </w:hyperlink>
    </w:p>
    <w:p w:rsidR="007D33D7" w:rsidRDefault="007D33D7" w:rsidP="00736DAE">
      <w:pPr>
        <w:ind w:left="720" w:hanging="720"/>
        <w:rPr>
          <w:rFonts w:ascii="Garamond" w:hAnsi="Garamond"/>
          <w:b/>
          <w:lang w:val="en-AU"/>
        </w:rPr>
      </w:pPr>
    </w:p>
    <w:p w:rsidR="00504597" w:rsidRDefault="00504597" w:rsidP="001966EC">
      <w:pPr>
        <w:ind w:left="720" w:hanging="720"/>
        <w:rPr>
          <w:rFonts w:ascii="Garamond" w:hAnsi="Garamond"/>
          <w:b/>
          <w:lang w:val="en-AU"/>
        </w:rPr>
      </w:pPr>
    </w:p>
    <w:p w:rsidR="00BB3BE3" w:rsidRDefault="00BB3BE3" w:rsidP="00C17C82">
      <w:pPr>
        <w:keepNext/>
        <w:ind w:left="720" w:hanging="720"/>
        <w:rPr>
          <w:rFonts w:ascii="Garamond" w:hAnsi="Garamond"/>
          <w:b/>
          <w:lang w:val="en-AU"/>
        </w:rPr>
      </w:pPr>
      <w:r>
        <w:rPr>
          <w:rFonts w:ascii="Garamond" w:hAnsi="Garamond"/>
          <w:b/>
          <w:lang w:val="en-AU"/>
        </w:rPr>
        <w:t>Reports</w:t>
      </w:r>
    </w:p>
    <w:p w:rsidR="00BB3BE3" w:rsidRDefault="00BB3BE3" w:rsidP="00BB3BE3">
      <w:pPr>
        <w:keepNext/>
        <w:keepLines/>
        <w:autoSpaceDE w:val="0"/>
        <w:autoSpaceDN w:val="0"/>
        <w:adjustRightInd w:val="0"/>
        <w:rPr>
          <w:rFonts w:ascii="Garamond" w:hAnsi="Garamond"/>
          <w:lang w:val="en-AU"/>
        </w:rPr>
      </w:pPr>
    </w:p>
    <w:p w:rsidR="006E3A82" w:rsidRPr="00EE7A97" w:rsidRDefault="00EE7A97" w:rsidP="006E3A82">
      <w:pPr>
        <w:keepNext/>
        <w:keepLines/>
        <w:autoSpaceDE w:val="0"/>
        <w:autoSpaceDN w:val="0"/>
        <w:adjustRightInd w:val="0"/>
        <w:rPr>
          <w:rFonts w:ascii="Garamond" w:hAnsi="Garamond"/>
          <w:i/>
          <w:lang w:val="en-AU"/>
        </w:rPr>
      </w:pPr>
      <w:r w:rsidRPr="00EE7A97">
        <w:rPr>
          <w:rFonts w:ascii="Garamond" w:hAnsi="Garamond"/>
          <w:i/>
          <w:lang w:val="en-AU"/>
        </w:rPr>
        <w:t>Mental Health Conditions and Substance Use: Comparing U.S. Needs and Treatment Capacity with Those in Other High-Income Countries</w:t>
      </w:r>
    </w:p>
    <w:p w:rsidR="00EE7A97" w:rsidRDefault="00EE7A97" w:rsidP="00EE7A97">
      <w:pPr>
        <w:keepNext/>
        <w:keepLines/>
        <w:autoSpaceDE w:val="0"/>
        <w:autoSpaceDN w:val="0"/>
        <w:adjustRightInd w:val="0"/>
        <w:rPr>
          <w:rFonts w:ascii="Garamond" w:hAnsi="Garamond"/>
          <w:lang w:val="en-AU"/>
        </w:rPr>
      </w:pPr>
      <w:r w:rsidRPr="00EE7A97">
        <w:rPr>
          <w:rFonts w:ascii="Garamond" w:hAnsi="Garamond"/>
          <w:lang w:val="en-AU"/>
        </w:rPr>
        <w:t>Data Brief</w:t>
      </w:r>
    </w:p>
    <w:p w:rsidR="00EE7A97" w:rsidRDefault="00EE7A97" w:rsidP="006E3A82">
      <w:pPr>
        <w:keepNext/>
        <w:keepLines/>
        <w:autoSpaceDE w:val="0"/>
        <w:autoSpaceDN w:val="0"/>
        <w:adjustRightInd w:val="0"/>
        <w:rPr>
          <w:rFonts w:ascii="Garamond" w:hAnsi="Garamond"/>
          <w:lang w:val="en-AU"/>
        </w:rPr>
      </w:pPr>
      <w:r w:rsidRPr="00EE7A97">
        <w:rPr>
          <w:rFonts w:ascii="Garamond" w:hAnsi="Garamond"/>
          <w:lang w:val="en-AU"/>
        </w:rPr>
        <w:t>Tikkanen R, Fields K, Williams II RD, Abrams MK</w:t>
      </w:r>
    </w:p>
    <w:p w:rsidR="00EE7A97" w:rsidRDefault="00EE7A97" w:rsidP="006E3A82">
      <w:pPr>
        <w:keepNext/>
        <w:keepLines/>
        <w:autoSpaceDE w:val="0"/>
        <w:autoSpaceDN w:val="0"/>
        <w:adjustRightInd w:val="0"/>
        <w:rPr>
          <w:rFonts w:ascii="Garamond" w:hAnsi="Garamond"/>
          <w:lang w:val="en-AU"/>
        </w:rPr>
      </w:pPr>
      <w:r w:rsidRPr="00EE7A97">
        <w:rPr>
          <w:rFonts w:ascii="Garamond" w:hAnsi="Garamond"/>
          <w:lang w:val="en-AU"/>
        </w:rPr>
        <w:t>New York: The Commonwealth Fund; 2020. p. 16.</w:t>
      </w:r>
    </w:p>
    <w:tbl>
      <w:tblPr>
        <w:tblStyle w:val="TableGrid"/>
        <w:tblW w:w="0" w:type="auto"/>
        <w:tblInd w:w="288" w:type="dxa"/>
        <w:tblLayout w:type="fixed"/>
        <w:tblLook w:val="01E0" w:firstRow="1" w:lastRow="1" w:firstColumn="1" w:lastColumn="1" w:noHBand="0" w:noVBand="0"/>
      </w:tblPr>
      <w:tblGrid>
        <w:gridCol w:w="1080"/>
        <w:gridCol w:w="8280"/>
      </w:tblGrid>
      <w:tr w:rsidR="00967E3C"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967E3C" w:rsidRPr="000170DA" w:rsidRDefault="0071694C" w:rsidP="00DC09B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F17B0" w:rsidRPr="000170DA" w:rsidRDefault="00DF6568" w:rsidP="00931BC0">
            <w:pPr>
              <w:rPr>
                <w:rStyle w:val="Hyperlink"/>
                <w:rFonts w:ascii="Garamond" w:hAnsi="Garamond"/>
                <w:color w:val="auto"/>
                <w:u w:val="none"/>
                <w:lang w:val="en-AU"/>
              </w:rPr>
            </w:pPr>
            <w:hyperlink r:id="rId23" w:history="1">
              <w:r w:rsidR="00EE7A97" w:rsidRPr="00B53558">
                <w:rPr>
                  <w:rStyle w:val="Hyperlink"/>
                  <w:rFonts w:ascii="Garamond" w:hAnsi="Garamond"/>
                  <w:lang w:val="en-AU"/>
                </w:rPr>
                <w:t>https://www.commonwealthfund.org/publications/issue-briefs/2020/may/mental-health-conditions-substance-use-comparing-us-other-countries</w:t>
              </w:r>
            </w:hyperlink>
          </w:p>
        </w:tc>
      </w:tr>
      <w:tr w:rsidR="00967E3C"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967E3C" w:rsidRPr="00E8520B" w:rsidRDefault="00967E3C" w:rsidP="00DC09BF">
            <w:pPr>
              <w:rPr>
                <w:rFonts w:ascii="Garamond" w:hAnsi="Garamond"/>
                <w:lang w:val="en-AU" w:eastAsia="en-AU"/>
              </w:rPr>
            </w:pPr>
            <w:r w:rsidRPr="00E8520B">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25263" w:rsidRDefault="00EE7A97" w:rsidP="00225263">
            <w:pPr>
              <w:keepNext/>
              <w:keepLines/>
              <w:autoSpaceDE w:val="0"/>
              <w:autoSpaceDN w:val="0"/>
              <w:adjustRightInd w:val="0"/>
              <w:rPr>
                <w:rFonts w:ascii="Garamond" w:hAnsi="Garamond"/>
                <w:lang w:val="en-AU"/>
              </w:rPr>
            </w:pPr>
            <w:r>
              <w:rPr>
                <w:rFonts w:ascii="Garamond" w:hAnsi="Garamond"/>
                <w:lang w:val="en-AU"/>
              </w:rPr>
              <w:t xml:space="preserve">While this data brief from The Commonwealth Fund in the USA, focuses on the comparison between the USA and ten other high income nations (including Australia), it can also illuminate the situation in those other nations. </w:t>
            </w:r>
            <w:r w:rsidR="00225263">
              <w:rPr>
                <w:rFonts w:ascii="Garamond" w:hAnsi="Garamond"/>
                <w:lang w:val="en-AU"/>
              </w:rPr>
              <w:t xml:space="preserve">The report looks </w:t>
            </w:r>
            <w:r w:rsidR="00225263" w:rsidRPr="00225263">
              <w:rPr>
                <w:rFonts w:ascii="Garamond" w:hAnsi="Garamond"/>
                <w:lang w:val="en-AU"/>
              </w:rPr>
              <w:t>at the relationship between mental health burden and social determinants of health, differences in seeking care, access and affordability of care, mental health and substance use disorder outcomes, and health system capacity.</w:t>
            </w:r>
            <w:r w:rsidR="00225263">
              <w:rPr>
                <w:rFonts w:ascii="Garamond" w:hAnsi="Garamond"/>
                <w:lang w:val="en-AU"/>
              </w:rPr>
              <w:t xml:space="preserve"> As is often the case with these comparative reports from The Commonwealth Fund, Australia tends to fall somewhere in the middle, with some aspects looking better, others less so.</w:t>
            </w:r>
          </w:p>
          <w:p w:rsidR="00225263" w:rsidRPr="007A13C1" w:rsidRDefault="00225263" w:rsidP="00225263">
            <w:pPr>
              <w:keepNext/>
              <w:keepLines/>
              <w:autoSpaceDE w:val="0"/>
              <w:autoSpaceDN w:val="0"/>
              <w:adjustRightInd w:val="0"/>
              <w:jc w:val="center"/>
              <w:rPr>
                <w:rFonts w:ascii="Garamond" w:hAnsi="Garamond"/>
                <w:lang w:val="en-AU"/>
              </w:rPr>
            </w:pPr>
            <w:r>
              <w:rPr>
                <w:rFonts w:ascii="Garamond" w:hAnsi="Garamond"/>
                <w:noProof/>
                <w:lang w:val="en-AU" w:eastAsia="en-AU"/>
              </w:rPr>
              <w:drawing>
                <wp:inline distT="0" distB="0" distL="0" distR="0">
                  <wp:extent cx="4386469" cy="2636456"/>
                  <wp:effectExtent l="0" t="0" r="0" b="0"/>
                  <wp:docPr id="1" name="Picture 1" title="Bar chart showing rates of subjective experience of emotional distress in 11 high income nati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distress 201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8863" cy="2649916"/>
                          </a:xfrm>
                          <a:prstGeom prst="rect">
                            <a:avLst/>
                          </a:prstGeom>
                          <a:noFill/>
                          <a:ln>
                            <a:noFill/>
                          </a:ln>
                        </pic:spPr>
                      </pic:pic>
                    </a:graphicData>
                  </a:graphic>
                </wp:inline>
              </w:drawing>
            </w:r>
          </w:p>
        </w:tc>
      </w:tr>
    </w:tbl>
    <w:p w:rsidR="00282D29" w:rsidRDefault="005C2504" w:rsidP="00C17C82">
      <w:pPr>
        <w:keepNext/>
        <w:ind w:left="720" w:hanging="720"/>
        <w:rPr>
          <w:rFonts w:ascii="Garamond" w:hAnsi="Garamond"/>
          <w:b/>
          <w:lang w:val="en-AU"/>
        </w:rPr>
      </w:pPr>
      <w:r>
        <w:rPr>
          <w:rFonts w:ascii="Garamond" w:hAnsi="Garamond"/>
          <w:b/>
          <w:lang w:val="en-AU"/>
        </w:rPr>
        <w:lastRenderedPageBreak/>
        <w:t>J</w:t>
      </w:r>
      <w:r w:rsidR="00282D29">
        <w:rPr>
          <w:rFonts w:ascii="Garamond" w:hAnsi="Garamond"/>
          <w:b/>
          <w:lang w:val="en-AU"/>
        </w:rPr>
        <w:t>ournal articles</w:t>
      </w:r>
    </w:p>
    <w:p w:rsidR="008D314F" w:rsidRDefault="008D314F" w:rsidP="008D314F">
      <w:pPr>
        <w:rPr>
          <w:rFonts w:ascii="Garamond" w:hAnsi="Garamond"/>
          <w:lang w:val="en-AU"/>
        </w:rPr>
      </w:pPr>
    </w:p>
    <w:p w:rsidR="00E927D8" w:rsidRPr="00D941C1" w:rsidRDefault="00D941C1" w:rsidP="002037CA">
      <w:pPr>
        <w:keepNext/>
        <w:keepLines/>
        <w:autoSpaceDE w:val="0"/>
        <w:autoSpaceDN w:val="0"/>
        <w:adjustRightInd w:val="0"/>
        <w:rPr>
          <w:rFonts w:ascii="Garamond" w:hAnsi="Garamond"/>
          <w:i/>
          <w:lang w:val="en-AU"/>
        </w:rPr>
      </w:pPr>
      <w:r w:rsidRPr="00D941C1">
        <w:rPr>
          <w:rFonts w:ascii="Garamond" w:hAnsi="Garamond"/>
          <w:i/>
          <w:lang w:val="en-AU"/>
        </w:rPr>
        <w:t>The effects of harm events on 30-day readmission in surgical patients</w:t>
      </w:r>
    </w:p>
    <w:p w:rsidR="00F21DA2" w:rsidRDefault="00F21DA2" w:rsidP="002037CA">
      <w:pPr>
        <w:keepNext/>
        <w:keepLines/>
        <w:autoSpaceDE w:val="0"/>
        <w:autoSpaceDN w:val="0"/>
        <w:adjustRightInd w:val="0"/>
        <w:rPr>
          <w:rFonts w:ascii="Garamond" w:hAnsi="Garamond"/>
          <w:lang w:val="en-AU"/>
        </w:rPr>
      </w:pPr>
      <w:r w:rsidRPr="00F21DA2">
        <w:rPr>
          <w:rFonts w:ascii="Garamond" w:hAnsi="Garamond"/>
          <w:lang w:val="en-AU"/>
        </w:rPr>
        <w:t>Kandagatla P, Su W-TK, Adrianto I, Jordan J, Haeusler J, Rubinfeld I</w:t>
      </w:r>
    </w:p>
    <w:p w:rsidR="00D941C1" w:rsidRDefault="00F21DA2" w:rsidP="002037CA">
      <w:pPr>
        <w:keepNext/>
        <w:keepLines/>
        <w:autoSpaceDE w:val="0"/>
        <w:autoSpaceDN w:val="0"/>
        <w:adjustRightInd w:val="0"/>
        <w:rPr>
          <w:rFonts w:ascii="Garamond" w:hAnsi="Garamond"/>
          <w:lang w:val="en-AU"/>
        </w:rPr>
      </w:pPr>
      <w:r w:rsidRPr="00F21DA2">
        <w:rPr>
          <w:rFonts w:ascii="Garamond" w:hAnsi="Garamond"/>
          <w:lang w:val="en-AU"/>
        </w:rPr>
        <w:t>The Journal for Healthcare Quality. 2020</w:t>
      </w:r>
      <w:r>
        <w:rPr>
          <w:rFonts w:ascii="Garamond" w:hAnsi="Garamond"/>
          <w:lang w:val="en-AU"/>
        </w:rPr>
        <w:t xml:space="preserve"> [epub]</w:t>
      </w:r>
      <w:r w:rsidRPr="00F21DA2">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037CA"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DC09B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769BA" w:rsidRPr="000170DA" w:rsidRDefault="00DF6568" w:rsidP="009769BA">
            <w:pPr>
              <w:rPr>
                <w:rStyle w:val="Hyperlink"/>
                <w:rFonts w:ascii="Garamond" w:hAnsi="Garamond"/>
                <w:color w:val="auto"/>
                <w:u w:val="none"/>
                <w:lang w:val="en-AU"/>
              </w:rPr>
            </w:pPr>
            <w:hyperlink r:id="rId25" w:history="1">
              <w:r w:rsidR="00225263" w:rsidRPr="00423853">
                <w:rPr>
                  <w:rStyle w:val="Hyperlink"/>
                  <w:rFonts w:ascii="Garamond" w:hAnsi="Garamond"/>
                  <w:lang w:val="en-AU"/>
                </w:rPr>
                <w:t>http://doi.org/10.1097/jhq.0000000000000261</w:t>
              </w:r>
            </w:hyperlink>
          </w:p>
        </w:tc>
      </w:tr>
      <w:tr w:rsidR="002037CA"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70DE" w:rsidRPr="00752E83" w:rsidRDefault="00986497" w:rsidP="00F21DA2">
            <w:pPr>
              <w:keepNext/>
              <w:keepLines/>
              <w:autoSpaceDE w:val="0"/>
              <w:autoSpaceDN w:val="0"/>
              <w:adjustRightInd w:val="0"/>
              <w:rPr>
                <w:rFonts w:ascii="Garamond" w:hAnsi="Garamond"/>
                <w:lang w:val="en-AU"/>
              </w:rPr>
            </w:pPr>
            <w:r>
              <w:rPr>
                <w:rFonts w:ascii="Garamond" w:hAnsi="Garamond"/>
                <w:lang w:val="en-AU"/>
              </w:rPr>
              <w:t xml:space="preserve">Harms caused to patients can have many impacts, ranging from increased length of stay through to death. This study looked at one particular impact that can occur – the need for readmission among surgical patients who experienced </w:t>
            </w:r>
            <w:r w:rsidR="00F21DA2">
              <w:rPr>
                <w:rFonts w:ascii="Garamond" w:hAnsi="Garamond"/>
                <w:lang w:val="en-AU"/>
              </w:rPr>
              <w:t xml:space="preserve">inpatient </w:t>
            </w:r>
            <w:r>
              <w:rPr>
                <w:rFonts w:ascii="Garamond" w:hAnsi="Garamond"/>
                <w:lang w:val="en-AU"/>
              </w:rPr>
              <w:t xml:space="preserve">harm. This study was </w:t>
            </w:r>
            <w:r w:rsidRPr="00986497">
              <w:rPr>
                <w:rFonts w:ascii="Garamond" w:hAnsi="Garamond"/>
                <w:lang w:val="en-AU"/>
              </w:rPr>
              <w:t>a retrospective analysis of adult surgical patients in a single heath system over a two year period</w:t>
            </w:r>
            <w:r w:rsidR="00003B69">
              <w:rPr>
                <w:rFonts w:ascii="Garamond" w:hAnsi="Garamond"/>
                <w:lang w:val="en-AU"/>
              </w:rPr>
              <w:t xml:space="preserve"> covering 37,048 ‘surgical patient encounters’</w:t>
            </w:r>
            <w:r>
              <w:rPr>
                <w:rFonts w:ascii="Garamond" w:hAnsi="Garamond"/>
                <w:lang w:val="en-AU"/>
              </w:rPr>
              <w:t xml:space="preserve">. </w:t>
            </w:r>
            <w:r w:rsidR="00003B69">
              <w:rPr>
                <w:rFonts w:ascii="Garamond" w:hAnsi="Garamond"/>
                <w:lang w:val="en-AU"/>
              </w:rPr>
              <w:t>2,887 patients (7.69%) were readmitted</w:t>
            </w:r>
            <w:r w:rsidR="00F21DA2">
              <w:rPr>
                <w:rFonts w:ascii="Garamond" w:hAnsi="Garamond"/>
                <w:lang w:val="en-AU"/>
              </w:rPr>
              <w:t xml:space="preserve">. The </w:t>
            </w:r>
            <w:r w:rsidR="00F21DA2" w:rsidRPr="00F21DA2">
              <w:rPr>
                <w:rFonts w:ascii="Garamond" w:hAnsi="Garamond"/>
                <w:lang w:val="en-AU"/>
              </w:rPr>
              <w:t xml:space="preserve">harms with the highest 30-day readmission rates were </w:t>
            </w:r>
            <w:r w:rsidR="00F21DA2">
              <w:rPr>
                <w:rFonts w:ascii="Garamond" w:hAnsi="Garamond"/>
                <w:lang w:val="en-AU"/>
              </w:rPr>
              <w:t xml:space="preserve">mucosal </w:t>
            </w:r>
            <w:r w:rsidR="00F21DA2" w:rsidRPr="00F21DA2">
              <w:rPr>
                <w:rFonts w:ascii="Garamond" w:hAnsi="Garamond"/>
                <w:lang w:val="en-AU"/>
              </w:rPr>
              <w:t>pressure ulcers, central line-associated bloodstream infections (</w:t>
            </w:r>
            <w:r w:rsidR="00F21DA2">
              <w:rPr>
                <w:rFonts w:ascii="Garamond" w:hAnsi="Garamond"/>
                <w:lang w:val="en-AU"/>
              </w:rPr>
              <w:t>CLABSI</w:t>
            </w:r>
            <w:r w:rsidR="00F21DA2" w:rsidRPr="00F21DA2">
              <w:rPr>
                <w:rFonts w:ascii="Garamond" w:hAnsi="Garamond"/>
                <w:lang w:val="en-AU"/>
              </w:rPr>
              <w:t xml:space="preserve">), </w:t>
            </w:r>
            <w:r w:rsidR="00F21DA2" w:rsidRPr="00F21DA2">
              <w:rPr>
                <w:rFonts w:ascii="Garamond" w:hAnsi="Garamond"/>
                <w:i/>
                <w:lang w:val="en-AU"/>
              </w:rPr>
              <w:t>Clostridium difficile</w:t>
            </w:r>
            <w:r w:rsidR="00F21DA2" w:rsidRPr="00F21DA2">
              <w:rPr>
                <w:rFonts w:ascii="Garamond" w:hAnsi="Garamond"/>
                <w:lang w:val="en-AU"/>
              </w:rPr>
              <w:t xml:space="preserve"> infections, international normalized ratio &gt;5 for patients taking Warfarin, and catheter-associated urinary tract infections</w:t>
            </w:r>
            <w:r w:rsidR="00F21DA2">
              <w:rPr>
                <w:rFonts w:ascii="Garamond" w:hAnsi="Garamond"/>
                <w:lang w:val="en-AU"/>
              </w:rPr>
              <w:t xml:space="preserve"> (CAUTI)</w:t>
            </w:r>
            <w:r w:rsidR="00F21DA2" w:rsidRPr="00F21DA2">
              <w:rPr>
                <w:rFonts w:ascii="Garamond" w:hAnsi="Garamond"/>
                <w:lang w:val="en-AU"/>
              </w:rPr>
              <w:t>.</w:t>
            </w:r>
          </w:p>
        </w:tc>
      </w:tr>
    </w:tbl>
    <w:p w:rsidR="006C6583" w:rsidRDefault="006C6583" w:rsidP="006C6583">
      <w:pPr>
        <w:keepNext/>
        <w:keepLines/>
        <w:autoSpaceDE w:val="0"/>
        <w:autoSpaceDN w:val="0"/>
        <w:adjustRightInd w:val="0"/>
        <w:rPr>
          <w:rFonts w:ascii="Garamond" w:hAnsi="Garamond"/>
          <w:lang w:val="en-AU"/>
        </w:rPr>
      </w:pPr>
    </w:p>
    <w:p w:rsidR="00752E83" w:rsidRPr="00D941C1" w:rsidRDefault="00D941C1" w:rsidP="00752E83">
      <w:pPr>
        <w:keepNext/>
        <w:keepLines/>
        <w:autoSpaceDE w:val="0"/>
        <w:autoSpaceDN w:val="0"/>
        <w:adjustRightInd w:val="0"/>
        <w:rPr>
          <w:rFonts w:ascii="Garamond" w:hAnsi="Garamond"/>
          <w:i/>
          <w:lang w:val="en-AU"/>
        </w:rPr>
      </w:pPr>
      <w:r w:rsidRPr="00D941C1">
        <w:rPr>
          <w:rFonts w:ascii="Garamond" w:hAnsi="Garamond"/>
          <w:i/>
          <w:lang w:val="en-AU"/>
        </w:rPr>
        <w:t>Demonstration of high value care to improve oral health of a remote Indigenous community in Australia</w:t>
      </w:r>
    </w:p>
    <w:p w:rsidR="0018665D" w:rsidRDefault="0018665D" w:rsidP="00752E83">
      <w:pPr>
        <w:keepNext/>
        <w:keepLines/>
        <w:autoSpaceDE w:val="0"/>
        <w:autoSpaceDN w:val="0"/>
        <w:adjustRightInd w:val="0"/>
        <w:rPr>
          <w:rFonts w:ascii="Garamond" w:hAnsi="Garamond"/>
          <w:lang w:val="en-AU"/>
        </w:rPr>
      </w:pPr>
      <w:r w:rsidRPr="0018665D">
        <w:rPr>
          <w:rFonts w:ascii="Garamond" w:hAnsi="Garamond"/>
          <w:lang w:val="en-AU"/>
        </w:rPr>
        <w:t>Kularatna S, Lalloo R, Kroon J, Tadakamadla SKK, Scuffham PA, Johnson NW</w:t>
      </w:r>
    </w:p>
    <w:p w:rsidR="00D941C1" w:rsidRDefault="0018665D" w:rsidP="00752E83">
      <w:pPr>
        <w:keepNext/>
        <w:keepLines/>
        <w:autoSpaceDE w:val="0"/>
        <w:autoSpaceDN w:val="0"/>
        <w:adjustRightInd w:val="0"/>
        <w:rPr>
          <w:rFonts w:ascii="Garamond" w:hAnsi="Garamond"/>
          <w:lang w:val="en-AU"/>
        </w:rPr>
      </w:pPr>
      <w:r w:rsidRPr="0018665D">
        <w:rPr>
          <w:rFonts w:ascii="Garamond" w:hAnsi="Garamond"/>
          <w:lang w:val="en-AU"/>
        </w:rPr>
        <w:t>Health and Quality of Life Outcomes. 2020;18(1):43.</w:t>
      </w:r>
    </w:p>
    <w:p w:rsidR="002F1F2E" w:rsidRDefault="002F1F2E" w:rsidP="00752E83">
      <w:pPr>
        <w:keepNext/>
        <w:keepLines/>
        <w:autoSpaceDE w:val="0"/>
        <w:autoSpaceDN w:val="0"/>
        <w:adjustRightInd w:val="0"/>
        <w:rPr>
          <w:rFonts w:ascii="Garamond" w:hAnsi="Garamond"/>
          <w:lang w:val="en-AU"/>
        </w:rPr>
      </w:pPr>
    </w:p>
    <w:p w:rsidR="002F1F2E" w:rsidRPr="00D941C1" w:rsidRDefault="002F1F2E" w:rsidP="002F1F2E">
      <w:pPr>
        <w:keepNext/>
        <w:keepLines/>
        <w:autoSpaceDE w:val="0"/>
        <w:autoSpaceDN w:val="0"/>
        <w:adjustRightInd w:val="0"/>
        <w:rPr>
          <w:rFonts w:ascii="Garamond" w:hAnsi="Garamond"/>
          <w:i/>
          <w:lang w:val="en-AU"/>
        </w:rPr>
      </w:pPr>
      <w:r w:rsidRPr="00D941C1">
        <w:rPr>
          <w:rFonts w:ascii="Garamond" w:hAnsi="Garamond"/>
          <w:i/>
          <w:lang w:val="en-AU"/>
        </w:rPr>
        <w:t>Trust, culture and communication: determinants of eye health and care among Indigenous people with diabetes in Australia</w:t>
      </w:r>
    </w:p>
    <w:p w:rsidR="002F1F2E" w:rsidRDefault="002F1F2E" w:rsidP="002F1F2E">
      <w:pPr>
        <w:keepNext/>
        <w:keepLines/>
        <w:autoSpaceDE w:val="0"/>
        <w:autoSpaceDN w:val="0"/>
        <w:adjustRightInd w:val="0"/>
        <w:rPr>
          <w:rFonts w:ascii="Garamond" w:hAnsi="Garamond"/>
          <w:lang w:val="en-AU"/>
        </w:rPr>
      </w:pPr>
      <w:r w:rsidRPr="0018665D">
        <w:rPr>
          <w:rFonts w:ascii="Garamond" w:hAnsi="Garamond"/>
          <w:lang w:val="en-AU"/>
        </w:rPr>
        <w:t>Yashadhana A, Fields T, Blitner G, Stanley R, Zwi AB</w:t>
      </w:r>
    </w:p>
    <w:p w:rsidR="002F1F2E" w:rsidRDefault="002F1F2E" w:rsidP="002F1F2E">
      <w:pPr>
        <w:keepNext/>
        <w:keepLines/>
        <w:autoSpaceDE w:val="0"/>
        <w:autoSpaceDN w:val="0"/>
        <w:adjustRightInd w:val="0"/>
        <w:rPr>
          <w:rFonts w:ascii="Garamond" w:hAnsi="Garamond"/>
          <w:lang w:val="en-AU"/>
        </w:rPr>
      </w:pPr>
      <w:r w:rsidRPr="0018665D">
        <w:rPr>
          <w:rFonts w:ascii="Garamond" w:hAnsi="Garamond"/>
          <w:lang w:val="en-AU"/>
        </w:rPr>
        <w:t>BMJ Global Health. 2020;5(1):e001999.</w:t>
      </w:r>
    </w:p>
    <w:tbl>
      <w:tblPr>
        <w:tblStyle w:val="TableGrid"/>
        <w:tblW w:w="9360" w:type="dxa"/>
        <w:tblInd w:w="288" w:type="dxa"/>
        <w:tblLayout w:type="fixed"/>
        <w:tblLook w:val="01E0" w:firstRow="1" w:lastRow="1" w:firstColumn="1" w:lastColumn="1" w:noHBand="0" w:noVBand="0"/>
      </w:tblPr>
      <w:tblGrid>
        <w:gridCol w:w="1080"/>
        <w:gridCol w:w="8280"/>
      </w:tblGrid>
      <w:tr w:rsidR="00752E83" w:rsidRPr="000170DA" w:rsidTr="002F1F2E">
        <w:tc>
          <w:tcPr>
            <w:tcW w:w="1080" w:type="dxa"/>
            <w:tcBorders>
              <w:top w:val="single" w:sz="4" w:space="0" w:color="auto"/>
              <w:left w:val="single" w:sz="4" w:space="0" w:color="auto"/>
              <w:bottom w:val="single" w:sz="4" w:space="0" w:color="auto"/>
              <w:right w:val="single" w:sz="4" w:space="0" w:color="auto"/>
            </w:tcBorders>
            <w:vAlign w:val="center"/>
          </w:tcPr>
          <w:p w:rsidR="00752E83" w:rsidRPr="000170DA" w:rsidRDefault="00752E83" w:rsidP="00727FE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52E83" w:rsidRDefault="002F1F2E" w:rsidP="00727FE4">
            <w:pPr>
              <w:rPr>
                <w:rStyle w:val="Hyperlink"/>
                <w:rFonts w:ascii="Garamond" w:hAnsi="Garamond"/>
                <w:lang w:val="en-AU"/>
              </w:rPr>
            </w:pPr>
            <w:r w:rsidRPr="0018665D">
              <w:rPr>
                <w:rFonts w:ascii="Garamond" w:hAnsi="Garamond"/>
                <w:lang w:val="en-AU"/>
              </w:rPr>
              <w:t xml:space="preserve">Kularatna </w:t>
            </w:r>
            <w:r>
              <w:rPr>
                <w:rFonts w:ascii="Garamond" w:hAnsi="Garamond"/>
                <w:lang w:val="en-AU"/>
              </w:rPr>
              <w:t xml:space="preserve"> et al </w:t>
            </w:r>
            <w:hyperlink r:id="rId26" w:history="1">
              <w:r w:rsidR="00D941C1" w:rsidRPr="00423853">
                <w:rPr>
                  <w:rStyle w:val="Hyperlink"/>
                  <w:rFonts w:ascii="Garamond" w:hAnsi="Garamond"/>
                  <w:lang w:val="en-AU"/>
                </w:rPr>
                <w:t>https://doi.org/10.1186/s12955-020-01300-8</w:t>
              </w:r>
            </w:hyperlink>
          </w:p>
          <w:p w:rsidR="002F1F2E" w:rsidRPr="000170DA" w:rsidRDefault="002F1F2E" w:rsidP="00727FE4">
            <w:pPr>
              <w:rPr>
                <w:rStyle w:val="Hyperlink"/>
                <w:rFonts w:ascii="Garamond" w:hAnsi="Garamond"/>
                <w:color w:val="auto"/>
                <w:u w:val="none"/>
                <w:lang w:val="en-AU"/>
              </w:rPr>
            </w:pPr>
            <w:r w:rsidRPr="0018665D">
              <w:rPr>
                <w:rFonts w:ascii="Garamond" w:hAnsi="Garamond"/>
                <w:lang w:val="en-AU"/>
              </w:rPr>
              <w:t>Yashadhana</w:t>
            </w:r>
            <w:r>
              <w:rPr>
                <w:rFonts w:ascii="Garamond" w:hAnsi="Garamond"/>
                <w:lang w:val="en-AU"/>
              </w:rPr>
              <w:t xml:space="preserve"> et al </w:t>
            </w:r>
            <w:hyperlink r:id="rId27" w:history="1">
              <w:r w:rsidRPr="00423853">
                <w:rPr>
                  <w:rStyle w:val="Hyperlink"/>
                  <w:rFonts w:ascii="Garamond" w:hAnsi="Garamond"/>
                  <w:lang w:val="en-AU"/>
                </w:rPr>
                <w:t>http://dx.doi.org/10.1136/bmjgh-2019-001999</w:t>
              </w:r>
            </w:hyperlink>
          </w:p>
        </w:tc>
      </w:tr>
      <w:tr w:rsidR="00752E83" w:rsidRPr="000170DA" w:rsidTr="002F1F2E">
        <w:tc>
          <w:tcPr>
            <w:tcW w:w="1080" w:type="dxa"/>
            <w:tcBorders>
              <w:top w:val="single" w:sz="4" w:space="0" w:color="auto"/>
              <w:left w:val="single" w:sz="4" w:space="0" w:color="auto"/>
              <w:bottom w:val="single" w:sz="4" w:space="0" w:color="auto"/>
              <w:right w:val="single" w:sz="4" w:space="0" w:color="auto"/>
            </w:tcBorders>
            <w:vAlign w:val="center"/>
          </w:tcPr>
          <w:p w:rsidR="00752E83" w:rsidRPr="000170DA" w:rsidRDefault="00752E83" w:rsidP="00727FE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F1F2E" w:rsidRDefault="002F1F2E" w:rsidP="002F1F2E">
            <w:pPr>
              <w:keepNext/>
              <w:keepLines/>
              <w:autoSpaceDE w:val="0"/>
              <w:autoSpaceDN w:val="0"/>
              <w:adjustRightInd w:val="0"/>
              <w:rPr>
                <w:rFonts w:ascii="Garamond" w:hAnsi="Garamond"/>
                <w:lang w:val="en-AU"/>
              </w:rPr>
            </w:pPr>
            <w:r>
              <w:rPr>
                <w:rFonts w:ascii="Garamond" w:hAnsi="Garamond"/>
                <w:lang w:val="en-AU"/>
              </w:rPr>
              <w:t>The provision of care to remote communities can be challenging. These two papers each examined care delivery to Indigenous Australians living in remote locations.</w:t>
            </w:r>
          </w:p>
          <w:p w:rsidR="00752E83" w:rsidRDefault="002F1F2E" w:rsidP="002F1F2E">
            <w:pPr>
              <w:keepNext/>
              <w:keepLines/>
              <w:autoSpaceDE w:val="0"/>
              <w:autoSpaceDN w:val="0"/>
              <w:adjustRightInd w:val="0"/>
              <w:rPr>
                <w:rFonts w:ascii="Garamond" w:hAnsi="Garamond"/>
                <w:lang w:val="en-AU"/>
              </w:rPr>
            </w:pPr>
            <w:r w:rsidRPr="0018665D">
              <w:rPr>
                <w:rFonts w:ascii="Garamond" w:hAnsi="Garamond"/>
                <w:lang w:val="en-AU"/>
              </w:rPr>
              <w:t xml:space="preserve">Kularatna </w:t>
            </w:r>
            <w:r>
              <w:rPr>
                <w:rFonts w:ascii="Garamond" w:hAnsi="Garamond"/>
                <w:lang w:val="en-AU"/>
              </w:rPr>
              <w:t xml:space="preserve">et al sought to examine the cost-effectiveness of an intervention providing oral health to children in a remote Indigenous community. </w:t>
            </w:r>
            <w:r w:rsidRPr="002F1F2E">
              <w:rPr>
                <w:rFonts w:ascii="Garamond" w:hAnsi="Garamond"/>
                <w:lang w:val="en-AU"/>
              </w:rPr>
              <w:t>Th</w:t>
            </w:r>
            <w:r>
              <w:rPr>
                <w:rFonts w:ascii="Garamond" w:hAnsi="Garamond"/>
                <w:lang w:val="en-AU"/>
              </w:rPr>
              <w:t>e</w:t>
            </w:r>
            <w:r w:rsidRPr="002F1F2E">
              <w:rPr>
                <w:rFonts w:ascii="Garamond" w:hAnsi="Garamond"/>
                <w:lang w:val="en-AU"/>
              </w:rPr>
              <w:t xml:space="preserve"> study included an intervention group and a natural comparison group</w:t>
            </w:r>
            <w:r>
              <w:rPr>
                <w:rFonts w:ascii="Garamond" w:hAnsi="Garamond"/>
                <w:lang w:val="en-AU"/>
              </w:rPr>
              <w:t xml:space="preserve">, with </w:t>
            </w:r>
            <w:r w:rsidRPr="002F1F2E">
              <w:rPr>
                <w:rFonts w:ascii="Garamond" w:hAnsi="Garamond"/>
                <w:lang w:val="en-AU"/>
              </w:rPr>
              <w:t>both groups followed-up for 2 years after the initial preventive intervention.</w:t>
            </w:r>
            <w:r>
              <w:rPr>
                <w:rFonts w:ascii="Garamond" w:hAnsi="Garamond"/>
                <w:lang w:val="en-AU"/>
              </w:rPr>
              <w:t xml:space="preserve"> The authors report that the ‘</w:t>
            </w:r>
            <w:r w:rsidRPr="002F1F2E">
              <w:rPr>
                <w:rFonts w:ascii="Garamond" w:hAnsi="Garamond"/>
                <w:lang w:val="en-AU"/>
              </w:rPr>
              <w:t>preventive intervention was found to be highly cost-effective</w:t>
            </w:r>
            <w:r>
              <w:rPr>
                <w:rFonts w:ascii="Garamond" w:hAnsi="Garamond"/>
                <w:lang w:val="en-AU"/>
              </w:rPr>
              <w:t xml:space="preserve">’ with the </w:t>
            </w:r>
            <w:r w:rsidRPr="002F1F2E">
              <w:rPr>
                <w:rFonts w:ascii="Garamond" w:hAnsi="Garamond"/>
                <w:lang w:val="en-AU"/>
              </w:rPr>
              <w:t xml:space="preserve">incremental cost per </w:t>
            </w:r>
            <w:r>
              <w:rPr>
                <w:rFonts w:ascii="Garamond" w:hAnsi="Garamond"/>
                <w:lang w:val="en-AU"/>
              </w:rPr>
              <w:t>quality-adjusted life year (</w:t>
            </w:r>
            <w:r w:rsidRPr="002F1F2E">
              <w:rPr>
                <w:rFonts w:ascii="Garamond" w:hAnsi="Garamond"/>
                <w:lang w:val="en-AU"/>
              </w:rPr>
              <w:t>QALY</w:t>
            </w:r>
            <w:r>
              <w:rPr>
                <w:rFonts w:ascii="Garamond" w:hAnsi="Garamond"/>
                <w:lang w:val="en-AU"/>
              </w:rPr>
              <w:t>)</w:t>
            </w:r>
            <w:r w:rsidRPr="002F1F2E">
              <w:rPr>
                <w:rFonts w:ascii="Garamond" w:hAnsi="Garamond"/>
                <w:lang w:val="en-AU"/>
              </w:rPr>
              <w:t xml:space="preserve"> gained AU$3747.</w:t>
            </w:r>
          </w:p>
          <w:p w:rsidR="002F1F2E" w:rsidRPr="00752E83" w:rsidRDefault="002F1F2E" w:rsidP="0009368F">
            <w:pPr>
              <w:keepNext/>
              <w:keepLines/>
              <w:autoSpaceDE w:val="0"/>
              <w:autoSpaceDN w:val="0"/>
              <w:adjustRightInd w:val="0"/>
              <w:rPr>
                <w:rFonts w:ascii="Garamond" w:hAnsi="Garamond"/>
                <w:lang w:val="en-AU"/>
              </w:rPr>
            </w:pPr>
            <w:r w:rsidRPr="0018665D">
              <w:rPr>
                <w:rFonts w:ascii="Garamond" w:hAnsi="Garamond"/>
                <w:lang w:val="en-AU"/>
              </w:rPr>
              <w:t>Yashadhana</w:t>
            </w:r>
            <w:r>
              <w:rPr>
                <w:rFonts w:ascii="Garamond" w:hAnsi="Garamond"/>
                <w:lang w:val="en-AU"/>
              </w:rPr>
              <w:t xml:space="preserve"> et al examined eye care and outcomes for </w:t>
            </w:r>
            <w:r w:rsidRPr="002F1F2E">
              <w:rPr>
                <w:rFonts w:ascii="Garamond" w:hAnsi="Garamond"/>
                <w:lang w:val="en-AU"/>
              </w:rPr>
              <w:t>remote Indigenous Australians living with diabetes.</w:t>
            </w:r>
            <w:r w:rsidR="0009368F">
              <w:rPr>
                <w:rFonts w:ascii="Garamond" w:hAnsi="Garamond"/>
                <w:lang w:val="en-AU"/>
              </w:rPr>
              <w:t xml:space="preserve"> This qualitative study was u</w:t>
            </w:r>
            <w:r w:rsidR="0009368F" w:rsidRPr="0009368F">
              <w:rPr>
                <w:rFonts w:ascii="Garamond" w:hAnsi="Garamond"/>
                <w:lang w:val="en-AU"/>
              </w:rPr>
              <w:t>ndertaken in four remote communities</w:t>
            </w:r>
            <w:r w:rsidR="0009368F">
              <w:rPr>
                <w:rFonts w:ascii="Garamond" w:hAnsi="Garamond"/>
                <w:lang w:val="en-AU"/>
              </w:rPr>
              <w:t xml:space="preserve"> with i</w:t>
            </w:r>
            <w:r w:rsidR="0009368F" w:rsidRPr="0009368F">
              <w:rPr>
                <w:rFonts w:ascii="Garamond" w:hAnsi="Garamond"/>
                <w:lang w:val="en-AU"/>
              </w:rPr>
              <w:t>nterviews and focus groups with Indigenous adults aged ≥40 years living with diabetes (n=110), and primary care clinicians working in Aboriginal Community Controlled Health Services (n=37)</w:t>
            </w:r>
            <w:r w:rsidR="0009368F">
              <w:rPr>
                <w:rFonts w:ascii="Garamond" w:hAnsi="Garamond"/>
                <w:lang w:val="en-AU"/>
              </w:rPr>
              <w:t>. These revealed that m</w:t>
            </w:r>
            <w:r w:rsidR="0009368F" w:rsidRPr="0009368F">
              <w:rPr>
                <w:rFonts w:ascii="Garamond" w:hAnsi="Garamond"/>
                <w:lang w:val="en-AU"/>
              </w:rPr>
              <w:t xml:space="preserve">ore than one-third of all patients had little to no knowledge of how diabetes affects eye health. </w:t>
            </w:r>
            <w:r w:rsidR="0009368F">
              <w:rPr>
                <w:rFonts w:ascii="Garamond" w:hAnsi="Garamond"/>
                <w:lang w:val="en-AU"/>
              </w:rPr>
              <w:t>Factors identified included l</w:t>
            </w:r>
            <w:r w:rsidR="0009368F" w:rsidRPr="0009368F">
              <w:rPr>
                <w:rFonts w:ascii="Garamond" w:hAnsi="Garamond"/>
                <w:lang w:val="en-AU"/>
              </w:rPr>
              <w:t>imited access to health information and interpreters, language barriers, distrust of health providers and services, and limited cultural responsivity among non-Indigenous clinicians.</w:t>
            </w:r>
            <w:r w:rsidR="0009368F">
              <w:rPr>
                <w:rFonts w:ascii="Garamond" w:hAnsi="Garamond"/>
                <w:lang w:val="en-AU"/>
              </w:rPr>
              <w:t xml:space="preserve"> The authors ‘outline </w:t>
            </w:r>
            <w:r w:rsidR="0009368F" w:rsidRPr="0009368F">
              <w:rPr>
                <w:rFonts w:ascii="Garamond" w:hAnsi="Garamond"/>
                <w:lang w:val="en-AU"/>
              </w:rPr>
              <w:t>a need to address gaps in trust and communication, through increased access to and resourcing of Indigenous language interpreters and cultural brokers, understandable and culturally sensitive diabetic eye health information and cultural responsivity training for non-Indigenous clinicians.</w:t>
            </w:r>
            <w:r w:rsidR="0009368F">
              <w:rPr>
                <w:rFonts w:ascii="Garamond" w:hAnsi="Garamond"/>
                <w:lang w:val="en-AU"/>
              </w:rPr>
              <w:t>’ The hope is that ‘</w:t>
            </w:r>
            <w:r w:rsidR="0009368F" w:rsidRPr="0009368F">
              <w:rPr>
                <w:rFonts w:ascii="Garamond" w:hAnsi="Garamond"/>
                <w:lang w:val="en-AU"/>
              </w:rPr>
              <w:t>Centring Indigenous cultures in healthcare practice will enable a shared understanding between clinicians and Indigenous patients, and subsequently more equitable eye health outcomes.</w:t>
            </w:r>
            <w:r w:rsidR="0009368F">
              <w:rPr>
                <w:rFonts w:ascii="Garamond" w:hAnsi="Garamond"/>
                <w:lang w:val="en-AU"/>
              </w:rPr>
              <w:t>’</w:t>
            </w:r>
          </w:p>
        </w:tc>
      </w:tr>
    </w:tbl>
    <w:p w:rsidR="00752E83" w:rsidRPr="00D941C1" w:rsidRDefault="00D941C1" w:rsidP="00752E83">
      <w:pPr>
        <w:keepNext/>
        <w:keepLines/>
        <w:autoSpaceDE w:val="0"/>
        <w:autoSpaceDN w:val="0"/>
        <w:adjustRightInd w:val="0"/>
        <w:rPr>
          <w:rFonts w:ascii="Garamond" w:hAnsi="Garamond"/>
          <w:i/>
          <w:lang w:val="en-AU"/>
        </w:rPr>
      </w:pPr>
      <w:r w:rsidRPr="00D941C1">
        <w:rPr>
          <w:rFonts w:ascii="Garamond" w:hAnsi="Garamond"/>
          <w:i/>
          <w:lang w:val="en-AU"/>
        </w:rPr>
        <w:lastRenderedPageBreak/>
        <w:t>Missed, rationed or unfinished nursing care: a scoping review of patient outcomes</w:t>
      </w:r>
    </w:p>
    <w:p w:rsidR="0018665D" w:rsidRDefault="0018665D" w:rsidP="00752E83">
      <w:pPr>
        <w:keepNext/>
        <w:keepLines/>
        <w:autoSpaceDE w:val="0"/>
        <w:autoSpaceDN w:val="0"/>
        <w:adjustRightInd w:val="0"/>
        <w:rPr>
          <w:rFonts w:ascii="Garamond" w:hAnsi="Garamond"/>
          <w:lang w:val="en-AU"/>
        </w:rPr>
      </w:pPr>
      <w:r w:rsidRPr="0018665D">
        <w:rPr>
          <w:rFonts w:ascii="Garamond" w:hAnsi="Garamond"/>
          <w:lang w:val="en-AU"/>
        </w:rPr>
        <w:t>Kalánková D, Kirwan M, Bartoníčková D, Cubelo F, Žiaková K, Kurucová R</w:t>
      </w:r>
    </w:p>
    <w:p w:rsidR="00D941C1" w:rsidRDefault="0018665D" w:rsidP="00752E83">
      <w:pPr>
        <w:keepNext/>
        <w:keepLines/>
        <w:autoSpaceDE w:val="0"/>
        <w:autoSpaceDN w:val="0"/>
        <w:adjustRightInd w:val="0"/>
        <w:rPr>
          <w:rFonts w:ascii="Garamond" w:hAnsi="Garamond"/>
          <w:lang w:val="en-AU"/>
        </w:rPr>
      </w:pPr>
      <w:r w:rsidRPr="0018665D">
        <w:rPr>
          <w:rFonts w:ascii="Garamond" w:hAnsi="Garamond"/>
          <w:lang w:val="en-AU"/>
        </w:rPr>
        <w:t>Journal of Nursing Management. 2020</w:t>
      </w:r>
      <w:r>
        <w:rPr>
          <w:rFonts w:ascii="Garamond" w:hAnsi="Garamond"/>
          <w:lang w:val="en-AU"/>
        </w:rPr>
        <w:t xml:space="preserve"> [epub]</w:t>
      </w:r>
      <w:r w:rsidRPr="0018665D">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752E83" w:rsidRPr="000170DA" w:rsidTr="00727FE4">
        <w:tc>
          <w:tcPr>
            <w:tcW w:w="1080" w:type="dxa"/>
            <w:tcBorders>
              <w:top w:val="single" w:sz="4" w:space="0" w:color="auto"/>
              <w:left w:val="single" w:sz="4" w:space="0" w:color="auto"/>
              <w:bottom w:val="single" w:sz="4" w:space="0" w:color="auto"/>
              <w:right w:val="single" w:sz="4" w:space="0" w:color="auto"/>
            </w:tcBorders>
            <w:vAlign w:val="center"/>
          </w:tcPr>
          <w:p w:rsidR="00752E83" w:rsidRPr="000170DA" w:rsidRDefault="00752E83" w:rsidP="00727FE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52E83" w:rsidRPr="000170DA" w:rsidRDefault="00DF6568" w:rsidP="00727FE4">
            <w:pPr>
              <w:rPr>
                <w:rStyle w:val="Hyperlink"/>
                <w:rFonts w:ascii="Garamond" w:hAnsi="Garamond"/>
                <w:color w:val="auto"/>
                <w:u w:val="none"/>
                <w:lang w:val="en-AU"/>
              </w:rPr>
            </w:pPr>
            <w:hyperlink r:id="rId28" w:history="1">
              <w:r w:rsidR="00D941C1" w:rsidRPr="00423853">
                <w:rPr>
                  <w:rStyle w:val="Hyperlink"/>
                  <w:rFonts w:ascii="Garamond" w:hAnsi="Garamond"/>
                  <w:lang w:val="en-AU"/>
                </w:rPr>
                <w:t>http://doi.org/10.1111/jonm.12978</w:t>
              </w:r>
            </w:hyperlink>
            <w:r w:rsidR="00D941C1">
              <w:rPr>
                <w:rStyle w:val="Hyperlink"/>
                <w:rFonts w:ascii="Garamond" w:hAnsi="Garamond"/>
                <w:color w:val="auto"/>
                <w:u w:val="none"/>
                <w:lang w:val="en-AU"/>
              </w:rPr>
              <w:t xml:space="preserve"> </w:t>
            </w:r>
          </w:p>
        </w:tc>
      </w:tr>
      <w:tr w:rsidR="00752E83" w:rsidRPr="000170DA" w:rsidTr="00727FE4">
        <w:tc>
          <w:tcPr>
            <w:tcW w:w="1080" w:type="dxa"/>
            <w:tcBorders>
              <w:top w:val="single" w:sz="4" w:space="0" w:color="auto"/>
              <w:left w:val="single" w:sz="4" w:space="0" w:color="auto"/>
              <w:bottom w:val="single" w:sz="4" w:space="0" w:color="auto"/>
              <w:right w:val="single" w:sz="4" w:space="0" w:color="auto"/>
            </w:tcBorders>
            <w:vAlign w:val="center"/>
          </w:tcPr>
          <w:p w:rsidR="00752E83" w:rsidRPr="000170DA" w:rsidRDefault="00752E83" w:rsidP="00727FE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2E83" w:rsidRPr="00752E83" w:rsidRDefault="0009368F" w:rsidP="003D300D">
            <w:pPr>
              <w:keepNext/>
              <w:keepLines/>
              <w:autoSpaceDE w:val="0"/>
              <w:autoSpaceDN w:val="0"/>
              <w:adjustRightInd w:val="0"/>
              <w:rPr>
                <w:rFonts w:ascii="Garamond" w:hAnsi="Garamond"/>
                <w:lang w:val="en-AU"/>
              </w:rPr>
            </w:pPr>
            <w:r>
              <w:rPr>
                <w:rFonts w:ascii="Garamond" w:hAnsi="Garamond"/>
                <w:lang w:val="en-AU"/>
              </w:rPr>
              <w:t xml:space="preserve">This review sought to </w:t>
            </w:r>
            <w:r w:rsidR="003D300D">
              <w:rPr>
                <w:rFonts w:ascii="Garamond" w:hAnsi="Garamond"/>
                <w:lang w:val="en-AU"/>
              </w:rPr>
              <w:t>examine the literature on the impacts of nursing care lapses on patient outcomes. The review found that of 44 studies, 9 focused on the patient safety outcomes. The authors report that ‘</w:t>
            </w:r>
            <w:r w:rsidR="003D300D" w:rsidRPr="003D300D">
              <w:rPr>
                <w:rFonts w:ascii="Garamond" w:hAnsi="Garamond"/>
                <w:lang w:val="en-AU"/>
              </w:rPr>
              <w:t>Missed, rationed and unfinished care negatively influence the patient outcomes in the context of patient safety and quality of nursing care.</w:t>
            </w:r>
            <w:r w:rsidR="003D300D">
              <w:rPr>
                <w:rFonts w:ascii="Garamond" w:hAnsi="Garamond"/>
                <w:lang w:val="en-AU"/>
              </w:rPr>
              <w:t>’ M</w:t>
            </w:r>
            <w:r w:rsidR="003D300D" w:rsidRPr="003D300D">
              <w:rPr>
                <w:rFonts w:ascii="Garamond" w:hAnsi="Garamond"/>
                <w:lang w:val="en-AU"/>
              </w:rPr>
              <w:t xml:space="preserve">edication errors </w:t>
            </w:r>
            <w:r w:rsidR="003D300D">
              <w:rPr>
                <w:rFonts w:ascii="Garamond" w:hAnsi="Garamond"/>
                <w:lang w:val="en-AU"/>
              </w:rPr>
              <w:t xml:space="preserve">are reported </w:t>
            </w:r>
            <w:r w:rsidR="003D300D" w:rsidRPr="003D300D">
              <w:rPr>
                <w:rFonts w:ascii="Garamond" w:hAnsi="Garamond"/>
                <w:lang w:val="en-AU"/>
              </w:rPr>
              <w:t xml:space="preserve">as the </w:t>
            </w:r>
            <w:r w:rsidR="003D300D">
              <w:rPr>
                <w:rFonts w:ascii="Garamond" w:hAnsi="Garamond"/>
                <w:lang w:val="en-AU"/>
              </w:rPr>
              <w:t xml:space="preserve">major </w:t>
            </w:r>
            <w:r w:rsidR="003D300D" w:rsidRPr="003D300D">
              <w:rPr>
                <w:rFonts w:ascii="Garamond" w:hAnsi="Garamond"/>
                <w:lang w:val="en-AU"/>
              </w:rPr>
              <w:t xml:space="preserve">threat to patient safety </w:t>
            </w:r>
            <w:r w:rsidR="003D300D">
              <w:rPr>
                <w:rFonts w:ascii="Garamond" w:hAnsi="Garamond"/>
                <w:lang w:val="en-AU"/>
              </w:rPr>
              <w:t xml:space="preserve">as a consequence of </w:t>
            </w:r>
            <w:r w:rsidR="003D300D" w:rsidRPr="003D300D">
              <w:rPr>
                <w:rFonts w:ascii="Garamond" w:hAnsi="Garamond"/>
                <w:lang w:val="en-AU"/>
              </w:rPr>
              <w:t xml:space="preserve">missed, rationed or unfinished care, </w:t>
            </w:r>
            <w:r w:rsidR="003D300D">
              <w:rPr>
                <w:rFonts w:ascii="Garamond" w:hAnsi="Garamond"/>
                <w:lang w:val="en-AU"/>
              </w:rPr>
              <w:t xml:space="preserve">while </w:t>
            </w:r>
            <w:r w:rsidR="003D300D" w:rsidRPr="003D300D">
              <w:rPr>
                <w:rFonts w:ascii="Garamond" w:hAnsi="Garamond"/>
                <w:lang w:val="en-AU"/>
              </w:rPr>
              <w:t>falls (with or without injury) and hospital-acquired infections are the most common adverse events</w:t>
            </w:r>
            <w:r w:rsidR="003D300D">
              <w:rPr>
                <w:rFonts w:ascii="Garamond" w:hAnsi="Garamond"/>
                <w:lang w:val="en-AU"/>
              </w:rPr>
              <w:t xml:space="preserve"> that result</w:t>
            </w:r>
            <w:r w:rsidR="003D300D" w:rsidRPr="003D300D">
              <w:rPr>
                <w:rFonts w:ascii="Garamond" w:hAnsi="Garamond"/>
                <w:lang w:val="en-AU"/>
              </w:rPr>
              <w:t>. The</w:t>
            </w:r>
            <w:r w:rsidR="003D300D">
              <w:rPr>
                <w:rFonts w:ascii="Garamond" w:hAnsi="Garamond"/>
                <w:lang w:val="en-AU"/>
              </w:rPr>
              <w:t xml:space="preserve">y also note that </w:t>
            </w:r>
            <w:r w:rsidR="003D300D" w:rsidRPr="003D300D">
              <w:rPr>
                <w:rFonts w:ascii="Garamond" w:hAnsi="Garamond"/>
                <w:lang w:val="en-AU"/>
              </w:rPr>
              <w:t>the omission of preventive nursing care activities, such as handwashing, patient education and maintaining a safe environment</w:t>
            </w:r>
            <w:r w:rsidR="003D300D">
              <w:rPr>
                <w:rFonts w:ascii="Garamond" w:hAnsi="Garamond"/>
                <w:lang w:val="en-AU"/>
              </w:rPr>
              <w:t>, are of importance</w:t>
            </w:r>
            <w:r w:rsidR="003D300D" w:rsidRPr="003D300D">
              <w:rPr>
                <w:rFonts w:ascii="Garamond" w:hAnsi="Garamond"/>
                <w:lang w:val="en-AU"/>
              </w:rPr>
              <w:t>.</w:t>
            </w:r>
          </w:p>
        </w:tc>
      </w:tr>
    </w:tbl>
    <w:p w:rsidR="00752E83" w:rsidRDefault="00752E83" w:rsidP="00752E83">
      <w:pPr>
        <w:keepNext/>
        <w:keepLines/>
        <w:autoSpaceDE w:val="0"/>
        <w:autoSpaceDN w:val="0"/>
        <w:adjustRightInd w:val="0"/>
        <w:rPr>
          <w:rFonts w:ascii="Garamond" w:hAnsi="Garamond"/>
          <w:lang w:val="en-AU"/>
        </w:rPr>
      </w:pPr>
    </w:p>
    <w:p w:rsidR="00752E83" w:rsidRPr="00D941C1" w:rsidRDefault="00D941C1" w:rsidP="00752E83">
      <w:pPr>
        <w:keepNext/>
        <w:keepLines/>
        <w:autoSpaceDE w:val="0"/>
        <w:autoSpaceDN w:val="0"/>
        <w:adjustRightInd w:val="0"/>
        <w:rPr>
          <w:rFonts w:ascii="Garamond" w:hAnsi="Garamond"/>
          <w:i/>
          <w:lang w:val="en-AU"/>
        </w:rPr>
      </w:pPr>
      <w:r w:rsidRPr="00D941C1">
        <w:rPr>
          <w:rFonts w:ascii="Garamond" w:hAnsi="Garamond"/>
          <w:i/>
          <w:lang w:val="en-AU"/>
        </w:rPr>
        <w:t>Making communication and resolution programmes mission critical in healthcare organisations</w:t>
      </w:r>
    </w:p>
    <w:p w:rsidR="0018665D" w:rsidRDefault="0018665D" w:rsidP="00752E83">
      <w:pPr>
        <w:keepNext/>
        <w:keepLines/>
        <w:autoSpaceDE w:val="0"/>
        <w:autoSpaceDN w:val="0"/>
        <w:adjustRightInd w:val="0"/>
        <w:rPr>
          <w:rFonts w:ascii="Garamond" w:hAnsi="Garamond"/>
          <w:lang w:val="en-AU"/>
        </w:rPr>
      </w:pPr>
      <w:r w:rsidRPr="0018665D">
        <w:rPr>
          <w:rFonts w:ascii="Garamond" w:hAnsi="Garamond"/>
          <w:lang w:val="en-AU"/>
        </w:rPr>
        <w:t>Gallagher TH, Boothman RC, Schweitzer L, Benjamin EM</w:t>
      </w:r>
    </w:p>
    <w:p w:rsidR="00D941C1" w:rsidRDefault="0018665D" w:rsidP="00752E83">
      <w:pPr>
        <w:keepNext/>
        <w:keepLines/>
        <w:autoSpaceDE w:val="0"/>
        <w:autoSpaceDN w:val="0"/>
        <w:adjustRightInd w:val="0"/>
        <w:rPr>
          <w:rFonts w:ascii="Garamond" w:hAnsi="Garamond"/>
          <w:lang w:val="en-AU"/>
        </w:rPr>
      </w:pPr>
      <w:r w:rsidRPr="0018665D">
        <w:rPr>
          <w:rFonts w:ascii="Garamond" w:hAnsi="Garamond"/>
          <w:lang w:val="en-AU"/>
        </w:rPr>
        <w:t>BMJ Quality &amp; Safety. 2020.</w:t>
      </w:r>
    </w:p>
    <w:tbl>
      <w:tblPr>
        <w:tblStyle w:val="TableGrid"/>
        <w:tblW w:w="0" w:type="auto"/>
        <w:tblInd w:w="288" w:type="dxa"/>
        <w:tblLayout w:type="fixed"/>
        <w:tblLook w:val="01E0" w:firstRow="1" w:lastRow="1" w:firstColumn="1" w:lastColumn="1" w:noHBand="0" w:noVBand="0"/>
      </w:tblPr>
      <w:tblGrid>
        <w:gridCol w:w="1080"/>
        <w:gridCol w:w="8280"/>
      </w:tblGrid>
      <w:tr w:rsidR="00752E83" w:rsidRPr="000170DA" w:rsidTr="00727FE4">
        <w:tc>
          <w:tcPr>
            <w:tcW w:w="1080" w:type="dxa"/>
            <w:tcBorders>
              <w:top w:val="single" w:sz="4" w:space="0" w:color="auto"/>
              <w:left w:val="single" w:sz="4" w:space="0" w:color="auto"/>
              <w:bottom w:val="single" w:sz="4" w:space="0" w:color="auto"/>
              <w:right w:val="single" w:sz="4" w:space="0" w:color="auto"/>
            </w:tcBorders>
            <w:vAlign w:val="center"/>
          </w:tcPr>
          <w:p w:rsidR="00752E83" w:rsidRPr="000170DA" w:rsidRDefault="00752E83" w:rsidP="00727FE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52E83" w:rsidRPr="000170DA" w:rsidRDefault="00DF6568" w:rsidP="00727FE4">
            <w:pPr>
              <w:rPr>
                <w:rStyle w:val="Hyperlink"/>
                <w:rFonts w:ascii="Garamond" w:hAnsi="Garamond"/>
                <w:color w:val="auto"/>
                <w:u w:val="none"/>
                <w:lang w:val="en-AU"/>
              </w:rPr>
            </w:pPr>
            <w:hyperlink r:id="rId29" w:history="1">
              <w:r w:rsidR="00D941C1" w:rsidRPr="00423853">
                <w:rPr>
                  <w:rStyle w:val="Hyperlink"/>
                  <w:rFonts w:ascii="Garamond" w:hAnsi="Garamond"/>
                  <w:lang w:val="en-AU"/>
                </w:rPr>
                <w:t>http://dx.doi.org/10.1136/bmjqs-2020-010855</w:t>
              </w:r>
            </w:hyperlink>
          </w:p>
        </w:tc>
      </w:tr>
      <w:tr w:rsidR="00752E83" w:rsidRPr="000170DA" w:rsidTr="00727FE4">
        <w:tc>
          <w:tcPr>
            <w:tcW w:w="1080" w:type="dxa"/>
            <w:tcBorders>
              <w:top w:val="single" w:sz="4" w:space="0" w:color="auto"/>
              <w:left w:val="single" w:sz="4" w:space="0" w:color="auto"/>
              <w:bottom w:val="single" w:sz="4" w:space="0" w:color="auto"/>
              <w:right w:val="single" w:sz="4" w:space="0" w:color="auto"/>
            </w:tcBorders>
            <w:vAlign w:val="center"/>
          </w:tcPr>
          <w:p w:rsidR="00752E83" w:rsidRPr="000170DA" w:rsidRDefault="00752E83" w:rsidP="00727FE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2E83" w:rsidRDefault="003D300D" w:rsidP="00727FE4">
            <w:pPr>
              <w:keepNext/>
              <w:keepLines/>
              <w:autoSpaceDE w:val="0"/>
              <w:autoSpaceDN w:val="0"/>
              <w:adjustRightInd w:val="0"/>
              <w:rPr>
                <w:rFonts w:ascii="Garamond" w:hAnsi="Garamond"/>
                <w:lang w:val="en-AU"/>
              </w:rPr>
            </w:pPr>
            <w:r>
              <w:rPr>
                <w:rFonts w:ascii="Garamond" w:hAnsi="Garamond"/>
                <w:lang w:val="en-AU"/>
              </w:rPr>
              <w:t xml:space="preserve">Editorial </w:t>
            </w:r>
            <w:r w:rsidR="003142A4">
              <w:rPr>
                <w:rFonts w:ascii="Garamond" w:hAnsi="Garamond"/>
                <w:lang w:val="en-AU"/>
              </w:rPr>
              <w:t>summarising a number of the arguments for why communication and resolution programmes (CRPs) in the event of patient harm should be seen as a vital and necessary. The editorial, prompted by two papers in the same issue of the journal, reviews a number of strategies for ‘realising the vision of authentic CRPs’. The strategies include:</w:t>
            </w:r>
          </w:p>
          <w:p w:rsidR="003142A4" w:rsidRDefault="003142A4" w:rsidP="003142A4">
            <w:pPr>
              <w:pStyle w:val="ListParagraph"/>
              <w:keepNext/>
              <w:keepLines/>
              <w:numPr>
                <w:ilvl w:val="0"/>
                <w:numId w:val="28"/>
              </w:numPr>
              <w:autoSpaceDE w:val="0"/>
              <w:autoSpaceDN w:val="0"/>
              <w:adjustRightInd w:val="0"/>
              <w:rPr>
                <w:rFonts w:ascii="Garamond" w:hAnsi="Garamond"/>
                <w:lang w:val="en-AU"/>
              </w:rPr>
            </w:pPr>
            <w:r w:rsidRPr="003142A4">
              <w:rPr>
                <w:rFonts w:ascii="Garamond" w:hAnsi="Garamond"/>
                <w:lang w:val="en-AU"/>
              </w:rPr>
              <w:t>Making CRPs a critical organisational priority grounded in the clinical mission</w:t>
            </w:r>
          </w:p>
          <w:p w:rsidR="003142A4" w:rsidRDefault="003142A4" w:rsidP="003142A4">
            <w:pPr>
              <w:pStyle w:val="ListParagraph"/>
              <w:keepNext/>
              <w:keepLines/>
              <w:numPr>
                <w:ilvl w:val="0"/>
                <w:numId w:val="28"/>
              </w:numPr>
              <w:autoSpaceDE w:val="0"/>
              <w:autoSpaceDN w:val="0"/>
              <w:adjustRightInd w:val="0"/>
              <w:rPr>
                <w:rFonts w:ascii="Garamond" w:hAnsi="Garamond"/>
                <w:lang w:val="en-AU"/>
              </w:rPr>
            </w:pPr>
            <w:r>
              <w:rPr>
                <w:rFonts w:ascii="Garamond" w:hAnsi="Garamond"/>
                <w:lang w:val="en-AU"/>
              </w:rPr>
              <w:t>C</w:t>
            </w:r>
            <w:r w:rsidRPr="003142A4">
              <w:rPr>
                <w:rFonts w:ascii="Garamond" w:hAnsi="Garamond"/>
                <w:lang w:val="en-AU"/>
              </w:rPr>
              <w:t>ompe</w:t>
            </w:r>
            <w:r>
              <w:rPr>
                <w:rFonts w:ascii="Garamond" w:hAnsi="Garamond"/>
                <w:lang w:val="en-AU"/>
              </w:rPr>
              <w:t>l</w:t>
            </w:r>
            <w:r w:rsidRPr="003142A4">
              <w:rPr>
                <w:rFonts w:ascii="Garamond" w:hAnsi="Garamond"/>
                <w:lang w:val="en-AU"/>
              </w:rPr>
              <w:t>l</w:t>
            </w:r>
            <w:r>
              <w:rPr>
                <w:rFonts w:ascii="Garamond" w:hAnsi="Garamond"/>
                <w:lang w:val="en-AU"/>
              </w:rPr>
              <w:t>ing</w:t>
            </w:r>
            <w:r w:rsidRPr="003142A4">
              <w:rPr>
                <w:rFonts w:ascii="Garamond" w:hAnsi="Garamond"/>
                <w:lang w:val="en-AU"/>
              </w:rPr>
              <w:t xml:space="preserve"> institutional leaders to recognise the critical importance of CRP</w:t>
            </w:r>
          </w:p>
          <w:p w:rsidR="003142A4" w:rsidRDefault="003142A4" w:rsidP="003142A4">
            <w:pPr>
              <w:pStyle w:val="ListParagraph"/>
              <w:keepNext/>
              <w:keepLines/>
              <w:numPr>
                <w:ilvl w:val="0"/>
                <w:numId w:val="28"/>
              </w:numPr>
              <w:autoSpaceDE w:val="0"/>
              <w:autoSpaceDN w:val="0"/>
              <w:adjustRightInd w:val="0"/>
              <w:rPr>
                <w:rFonts w:ascii="Garamond" w:hAnsi="Garamond"/>
                <w:lang w:val="en-AU"/>
              </w:rPr>
            </w:pPr>
            <w:r>
              <w:rPr>
                <w:rFonts w:ascii="Garamond" w:hAnsi="Garamond"/>
                <w:lang w:val="en-AU"/>
              </w:rPr>
              <w:t>I</w:t>
            </w:r>
            <w:r w:rsidRPr="003142A4">
              <w:rPr>
                <w:rFonts w:ascii="Garamond" w:hAnsi="Garamond"/>
                <w:lang w:val="en-AU"/>
              </w:rPr>
              <w:t>nvest</w:t>
            </w:r>
            <w:r>
              <w:rPr>
                <w:rFonts w:ascii="Garamond" w:hAnsi="Garamond"/>
                <w:lang w:val="en-AU"/>
              </w:rPr>
              <w:t>ing</w:t>
            </w:r>
            <w:r w:rsidRPr="003142A4">
              <w:rPr>
                <w:rFonts w:ascii="Garamond" w:hAnsi="Garamond"/>
                <w:lang w:val="en-AU"/>
              </w:rPr>
              <w:t xml:space="preserve"> in CRP implementation tools and resources</w:t>
            </w:r>
          </w:p>
          <w:p w:rsidR="003142A4" w:rsidRPr="003142A4" w:rsidRDefault="003142A4" w:rsidP="003142A4">
            <w:pPr>
              <w:pStyle w:val="ListParagraph"/>
              <w:keepNext/>
              <w:keepLines/>
              <w:numPr>
                <w:ilvl w:val="0"/>
                <w:numId w:val="28"/>
              </w:numPr>
              <w:autoSpaceDE w:val="0"/>
              <w:autoSpaceDN w:val="0"/>
              <w:adjustRightInd w:val="0"/>
              <w:rPr>
                <w:rFonts w:ascii="Garamond" w:hAnsi="Garamond"/>
                <w:lang w:val="en-AU"/>
              </w:rPr>
            </w:pPr>
            <w:r>
              <w:rPr>
                <w:rFonts w:ascii="Garamond" w:hAnsi="Garamond"/>
                <w:lang w:val="en-AU"/>
              </w:rPr>
              <w:t>D</w:t>
            </w:r>
            <w:r w:rsidRPr="003142A4">
              <w:rPr>
                <w:rFonts w:ascii="Garamond" w:hAnsi="Garamond"/>
                <w:lang w:val="en-AU"/>
              </w:rPr>
              <w:t>eploy</w:t>
            </w:r>
            <w:r>
              <w:rPr>
                <w:rFonts w:ascii="Garamond" w:hAnsi="Garamond"/>
                <w:lang w:val="en-AU"/>
              </w:rPr>
              <w:t>ing</w:t>
            </w:r>
            <w:r w:rsidRPr="003142A4">
              <w:rPr>
                <w:rFonts w:ascii="Garamond" w:hAnsi="Garamond"/>
                <w:lang w:val="en-AU"/>
              </w:rPr>
              <w:t xml:space="preserve"> CRP metrics to govern CRP and track progress</w:t>
            </w:r>
            <w:r>
              <w:rPr>
                <w:rFonts w:ascii="Garamond" w:hAnsi="Garamond"/>
                <w:lang w:val="en-AU"/>
              </w:rPr>
              <w:t>.</w:t>
            </w:r>
          </w:p>
          <w:p w:rsidR="003142A4" w:rsidRPr="00752E83" w:rsidRDefault="003142A4" w:rsidP="003142A4">
            <w:pPr>
              <w:keepNext/>
              <w:keepLines/>
              <w:autoSpaceDE w:val="0"/>
              <w:autoSpaceDN w:val="0"/>
              <w:adjustRightInd w:val="0"/>
              <w:rPr>
                <w:rFonts w:ascii="Garamond" w:hAnsi="Garamond"/>
                <w:lang w:val="en-AU"/>
              </w:rPr>
            </w:pPr>
            <w:r>
              <w:rPr>
                <w:rFonts w:ascii="Garamond" w:hAnsi="Garamond"/>
                <w:lang w:val="en-AU"/>
              </w:rPr>
              <w:t>The authors exhort healthcare organisations to be authentic: ‘</w:t>
            </w:r>
            <w:r w:rsidRPr="003142A4">
              <w:rPr>
                <w:rFonts w:ascii="Garamond" w:hAnsi="Garamond"/>
                <w:lang w:val="en-AU"/>
              </w:rPr>
              <w:t xml:space="preserve">When patients are harmed, CRPs honour patients’ trust and caregivers’ selfless dedication with honesty, transparency, best efforts at reconciliation for all and relentless determination to improve. One thing is clear: shedding ‘deny and defend’ in favour of a transition to an authentic CRP undoubtedly requires leadership </w:t>
            </w:r>
            <w:r>
              <w:rPr>
                <w:rFonts w:ascii="Garamond" w:hAnsi="Garamond"/>
                <w:lang w:val="en-AU"/>
              </w:rPr>
              <w:t>…</w:t>
            </w:r>
            <w:r w:rsidRPr="003142A4">
              <w:rPr>
                <w:rFonts w:ascii="Garamond" w:hAnsi="Garamond"/>
                <w:lang w:val="en-AU"/>
              </w:rPr>
              <w:t>focused on their organisations’ clinical mission. If healthcare organisations are sincere in striving to attain their clinical goals, they will insist on nothing less than elevating their CRPs to mission-critical status and using the requisite tools and resources to ensure consistent application of this model.</w:t>
            </w:r>
            <w:r>
              <w:rPr>
                <w:rFonts w:ascii="Garamond" w:hAnsi="Garamond"/>
                <w:lang w:val="en-AU"/>
              </w:rPr>
              <w:t>’</w:t>
            </w:r>
          </w:p>
        </w:tc>
      </w:tr>
    </w:tbl>
    <w:p w:rsidR="00752E83" w:rsidRDefault="00752E83" w:rsidP="00752E83">
      <w:pPr>
        <w:keepNext/>
        <w:keepLines/>
        <w:autoSpaceDE w:val="0"/>
        <w:autoSpaceDN w:val="0"/>
        <w:adjustRightInd w:val="0"/>
        <w:rPr>
          <w:rFonts w:ascii="Garamond" w:hAnsi="Garamond"/>
          <w:lang w:val="en-AU"/>
        </w:rPr>
      </w:pPr>
    </w:p>
    <w:p w:rsidR="00D941C1" w:rsidRDefault="00D941C1" w:rsidP="00D941C1">
      <w:pPr>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communicating for safety, see </w:t>
      </w:r>
      <w:hyperlink r:id="rId30" w:history="1">
        <w:r w:rsidRPr="00016467">
          <w:rPr>
            <w:rStyle w:val="Hyperlink"/>
            <w:rFonts w:ascii="Garamond" w:hAnsi="Garamond"/>
            <w:lang w:val="en-AU"/>
          </w:rPr>
          <w:t>https://www.safetyandquality.gov.au/our-work/communicating-safety</w:t>
        </w:r>
      </w:hyperlink>
    </w:p>
    <w:p w:rsidR="00D941C1" w:rsidRDefault="00D941C1" w:rsidP="00D941C1">
      <w:pPr>
        <w:rPr>
          <w:rFonts w:ascii="Garamond" w:hAnsi="Garamond"/>
          <w:lang w:val="en-AU"/>
        </w:rPr>
      </w:pPr>
    </w:p>
    <w:p w:rsidR="00D941C1" w:rsidRDefault="00D941C1" w:rsidP="00D941C1">
      <w:pPr>
        <w:rPr>
          <w:rFonts w:ascii="Garamond" w:hAnsi="Garamond"/>
          <w:lang w:val="en-AU"/>
        </w:rPr>
      </w:pPr>
      <w:r>
        <w:rPr>
          <w:rFonts w:ascii="Garamond" w:hAnsi="Garamond"/>
          <w:lang w:val="en-AU"/>
        </w:rPr>
        <w:t xml:space="preserve">For resources, see the Communicating for Safety resource portal at </w:t>
      </w:r>
      <w:hyperlink r:id="rId31" w:history="1">
        <w:r w:rsidRPr="00016467">
          <w:rPr>
            <w:rStyle w:val="Hyperlink"/>
            <w:rFonts w:ascii="Garamond" w:hAnsi="Garamond"/>
            <w:lang w:val="en-AU"/>
          </w:rPr>
          <w:t>https://c4sportal.safetyandquality.gov.au/</w:t>
        </w:r>
      </w:hyperlink>
    </w:p>
    <w:p w:rsidR="00D941C1" w:rsidRDefault="00D941C1" w:rsidP="00D941C1">
      <w:pPr>
        <w:keepNext/>
        <w:keepLines/>
        <w:autoSpaceDE w:val="0"/>
        <w:autoSpaceDN w:val="0"/>
        <w:adjustRightInd w:val="0"/>
        <w:rPr>
          <w:rFonts w:ascii="Garamond" w:hAnsi="Garamond"/>
          <w:lang w:val="en-AU"/>
        </w:rPr>
      </w:pPr>
    </w:p>
    <w:p w:rsidR="00D941C1" w:rsidRDefault="00D941C1" w:rsidP="00D941C1">
      <w:pPr>
        <w:keepNext/>
        <w:keepLines/>
        <w:autoSpaceDE w:val="0"/>
        <w:autoSpaceDN w:val="0"/>
        <w:adjustRightInd w:val="0"/>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open disclosure, including the </w:t>
      </w:r>
      <w:r w:rsidRPr="0093643F">
        <w:rPr>
          <w:rFonts w:ascii="Garamond" w:hAnsi="Garamond"/>
          <w:i/>
          <w:lang w:val="en-AU"/>
        </w:rPr>
        <w:t>Australian Open Disclosure Framework</w:t>
      </w:r>
      <w:r>
        <w:rPr>
          <w:rFonts w:ascii="Garamond" w:hAnsi="Garamond"/>
          <w:lang w:val="en-AU"/>
        </w:rPr>
        <w:t xml:space="preserve">, see </w:t>
      </w:r>
      <w:hyperlink r:id="rId32" w:history="1">
        <w:r w:rsidRPr="00016467">
          <w:rPr>
            <w:rStyle w:val="Hyperlink"/>
            <w:rFonts w:ascii="Garamond" w:hAnsi="Garamond"/>
            <w:lang w:val="en-AU"/>
          </w:rPr>
          <w:t>https://www.safetyandquality.gov.au/our-work/clinical-governance/open-disclosure</w:t>
        </w:r>
      </w:hyperlink>
    </w:p>
    <w:p w:rsidR="00752E83" w:rsidRDefault="00752E83" w:rsidP="00752E83">
      <w:pPr>
        <w:keepNext/>
        <w:keepLines/>
        <w:autoSpaceDE w:val="0"/>
        <w:autoSpaceDN w:val="0"/>
        <w:adjustRightInd w:val="0"/>
        <w:rPr>
          <w:rFonts w:ascii="Garamond" w:hAnsi="Garamond"/>
          <w:lang w:val="en-AU"/>
        </w:rPr>
      </w:pPr>
    </w:p>
    <w:p w:rsidR="003142A4" w:rsidRDefault="003142A4">
      <w:pPr>
        <w:rPr>
          <w:rFonts w:ascii="Garamond" w:hAnsi="Garamond"/>
          <w:i/>
          <w:lang w:val="en-AU"/>
        </w:rPr>
      </w:pPr>
      <w:r>
        <w:rPr>
          <w:rFonts w:ascii="Garamond" w:hAnsi="Garamond"/>
          <w:i/>
          <w:lang w:val="en-AU"/>
        </w:rPr>
        <w:br w:type="page"/>
      </w:r>
    </w:p>
    <w:p w:rsidR="00F910CE" w:rsidRDefault="00F910CE" w:rsidP="00E809F6">
      <w:pPr>
        <w:keepNext/>
        <w:rPr>
          <w:rFonts w:ascii="Garamond" w:hAnsi="Garamond"/>
          <w:i/>
          <w:lang w:val="en-AU"/>
        </w:rPr>
      </w:pPr>
      <w:r>
        <w:rPr>
          <w:rFonts w:ascii="Garamond" w:hAnsi="Garamond"/>
          <w:i/>
          <w:lang w:val="en-AU"/>
        </w:rPr>
        <w:lastRenderedPageBreak/>
        <w:t>BMJ Quality &amp; Safety</w:t>
      </w:r>
    </w:p>
    <w:p w:rsidR="00F910CE" w:rsidRPr="00D65371" w:rsidRDefault="00F910CE" w:rsidP="00E809F6">
      <w:pPr>
        <w:keepNext/>
        <w:rPr>
          <w:rFonts w:ascii="Garamond" w:hAnsi="Garamond"/>
          <w:lang w:val="en-AU"/>
        </w:rPr>
      </w:pPr>
      <w:r>
        <w:rPr>
          <w:rFonts w:ascii="Garamond" w:hAnsi="Garamond"/>
          <w:lang w:val="en-AU"/>
        </w:rPr>
        <w:t>June 2020 - Volume 29 - 6</w:t>
      </w:r>
    </w:p>
    <w:tbl>
      <w:tblPr>
        <w:tblStyle w:val="TableGrid"/>
        <w:tblW w:w="0" w:type="auto"/>
        <w:tblInd w:w="288" w:type="dxa"/>
        <w:tblLayout w:type="fixed"/>
        <w:tblLook w:val="01E0" w:firstRow="1" w:lastRow="1" w:firstColumn="1" w:lastColumn="1" w:noHBand="0" w:noVBand="0"/>
      </w:tblPr>
      <w:tblGrid>
        <w:gridCol w:w="1080"/>
        <w:gridCol w:w="8280"/>
      </w:tblGrid>
      <w:tr w:rsidR="00F910CE" w:rsidRPr="000170DA" w:rsidTr="00E70971">
        <w:tc>
          <w:tcPr>
            <w:tcW w:w="1080" w:type="dxa"/>
            <w:tcBorders>
              <w:top w:val="single" w:sz="4" w:space="0" w:color="auto"/>
              <w:left w:val="single" w:sz="4" w:space="0" w:color="auto"/>
              <w:bottom w:val="single" w:sz="4" w:space="0" w:color="auto"/>
              <w:right w:val="single" w:sz="4" w:space="0" w:color="auto"/>
            </w:tcBorders>
            <w:vAlign w:val="center"/>
          </w:tcPr>
          <w:p w:rsidR="00F910CE" w:rsidRPr="000170DA" w:rsidRDefault="00F910CE" w:rsidP="00E7097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910CE" w:rsidRPr="000170DA" w:rsidRDefault="00DF6568" w:rsidP="00F910CE">
            <w:pPr>
              <w:rPr>
                <w:rStyle w:val="Hyperlink"/>
                <w:rFonts w:ascii="Garamond" w:hAnsi="Garamond"/>
                <w:color w:val="auto"/>
                <w:u w:val="none"/>
                <w:lang w:val="en-AU"/>
              </w:rPr>
            </w:pPr>
            <w:hyperlink r:id="rId33" w:history="1">
              <w:r w:rsidR="00F910CE" w:rsidRPr="00B53558">
                <w:rPr>
                  <w:rStyle w:val="Hyperlink"/>
                  <w:rFonts w:ascii="Garamond" w:hAnsi="Garamond"/>
                  <w:lang w:val="en-AU"/>
                </w:rPr>
                <w:t>https://qualitysafety.bmj.com/content/29/6</w:t>
              </w:r>
            </w:hyperlink>
          </w:p>
        </w:tc>
      </w:tr>
      <w:tr w:rsidR="00F910CE" w:rsidRPr="000170DA" w:rsidTr="00E70971">
        <w:tc>
          <w:tcPr>
            <w:tcW w:w="1080" w:type="dxa"/>
            <w:tcBorders>
              <w:top w:val="single" w:sz="4" w:space="0" w:color="auto"/>
              <w:left w:val="single" w:sz="4" w:space="0" w:color="auto"/>
              <w:bottom w:val="single" w:sz="4" w:space="0" w:color="auto"/>
              <w:right w:val="single" w:sz="4" w:space="0" w:color="auto"/>
            </w:tcBorders>
            <w:vAlign w:val="center"/>
          </w:tcPr>
          <w:p w:rsidR="00F910CE" w:rsidRPr="000170DA" w:rsidRDefault="00F910CE" w:rsidP="00E709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10CE" w:rsidRPr="007C3778" w:rsidRDefault="00F910CE" w:rsidP="00E70971">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F910CE" w:rsidRPr="00F910CE" w:rsidRDefault="00F910CE" w:rsidP="003C0D1B">
            <w:pPr>
              <w:pStyle w:val="ListParagraph"/>
              <w:numPr>
                <w:ilvl w:val="0"/>
                <w:numId w:val="15"/>
              </w:numPr>
              <w:rPr>
                <w:rFonts w:ascii="Garamond" w:hAnsi="Garamond"/>
                <w:lang w:val="en-AU"/>
              </w:rPr>
            </w:pPr>
            <w:r w:rsidRPr="00F910CE">
              <w:rPr>
                <w:rFonts w:ascii="Garamond" w:hAnsi="Garamond"/>
                <w:lang w:val="en-AU"/>
              </w:rPr>
              <w:t xml:space="preserve">Editorial: </w:t>
            </w:r>
            <w:r w:rsidRPr="00F910CE">
              <w:rPr>
                <w:rFonts w:ascii="Garamond" w:hAnsi="Garamond"/>
                <w:b/>
                <w:lang w:val="en-AU"/>
              </w:rPr>
              <w:t>Inappropriate ED visits</w:t>
            </w:r>
            <w:r w:rsidRPr="00F910CE">
              <w:rPr>
                <w:rFonts w:ascii="Garamond" w:hAnsi="Garamond"/>
                <w:lang w:val="en-AU"/>
              </w:rPr>
              <w:t>: patient responsibility or an attribution bias? (Krisda Chaiyachati, Shreya Kangovi</w:t>
            </w:r>
            <w:r>
              <w:rPr>
                <w:rFonts w:ascii="Garamond" w:hAnsi="Garamond"/>
                <w:lang w:val="en-AU"/>
              </w:rPr>
              <w:t>)</w:t>
            </w:r>
          </w:p>
          <w:p w:rsidR="00F910CE" w:rsidRPr="00F910CE" w:rsidRDefault="00F910CE" w:rsidP="007606B0">
            <w:pPr>
              <w:pStyle w:val="ListParagraph"/>
              <w:numPr>
                <w:ilvl w:val="0"/>
                <w:numId w:val="15"/>
              </w:numPr>
              <w:rPr>
                <w:rFonts w:ascii="Garamond" w:hAnsi="Garamond"/>
                <w:lang w:val="en-AU"/>
              </w:rPr>
            </w:pPr>
            <w:r w:rsidRPr="00F910CE">
              <w:rPr>
                <w:rFonts w:ascii="Garamond" w:hAnsi="Garamond"/>
                <w:lang w:val="en-AU"/>
              </w:rPr>
              <w:t xml:space="preserve">Editorial: </w:t>
            </w:r>
            <w:r w:rsidRPr="00F910CE">
              <w:rPr>
                <w:rFonts w:ascii="Garamond" w:hAnsi="Garamond"/>
                <w:b/>
                <w:lang w:val="en-AU"/>
              </w:rPr>
              <w:t>Emergency department shifts and decision to admit</w:t>
            </w:r>
            <w:r w:rsidRPr="00F910CE">
              <w:rPr>
                <w:rFonts w:ascii="Garamond" w:hAnsi="Garamond"/>
                <w:lang w:val="en-AU"/>
              </w:rPr>
              <w:t>: is there a lever to pull to address crowding? (Emily L Aaronson, Brian J Yun</w:t>
            </w:r>
            <w:r>
              <w:rPr>
                <w:rFonts w:ascii="Garamond" w:hAnsi="Garamond"/>
                <w:lang w:val="en-AU"/>
              </w:rPr>
              <w:t>)</w:t>
            </w:r>
          </w:p>
          <w:p w:rsidR="00F910CE" w:rsidRPr="00F910CE" w:rsidRDefault="00F910CE" w:rsidP="00CE039D">
            <w:pPr>
              <w:pStyle w:val="ListParagraph"/>
              <w:numPr>
                <w:ilvl w:val="0"/>
                <w:numId w:val="15"/>
              </w:numPr>
              <w:rPr>
                <w:rFonts w:ascii="Garamond" w:hAnsi="Garamond"/>
                <w:lang w:val="en-AU"/>
              </w:rPr>
            </w:pPr>
            <w:r w:rsidRPr="00F910CE">
              <w:rPr>
                <w:rFonts w:ascii="Garamond" w:hAnsi="Garamond"/>
                <w:lang w:val="en-AU"/>
              </w:rPr>
              <w:t xml:space="preserve">Editorial: Applying rigour to the interpretation of </w:t>
            </w:r>
            <w:r w:rsidRPr="00F910CE">
              <w:rPr>
                <w:rFonts w:ascii="Garamond" w:hAnsi="Garamond"/>
                <w:b/>
                <w:lang w:val="en-AU"/>
              </w:rPr>
              <w:t>surgical site infection rates</w:t>
            </w:r>
            <w:r w:rsidRPr="00F910CE">
              <w:rPr>
                <w:rFonts w:ascii="Garamond" w:hAnsi="Garamond"/>
                <w:lang w:val="en-AU"/>
              </w:rPr>
              <w:t xml:space="preserve"> (Victoria Williams, Jerome A Leis</w:t>
            </w:r>
            <w:r>
              <w:rPr>
                <w:rFonts w:ascii="Garamond" w:hAnsi="Garamond"/>
                <w:lang w:val="en-AU"/>
              </w:rPr>
              <w:t>)</w:t>
            </w:r>
          </w:p>
          <w:p w:rsidR="00F910CE" w:rsidRPr="00F910CE" w:rsidRDefault="00F910CE" w:rsidP="004B23CD">
            <w:pPr>
              <w:pStyle w:val="ListParagraph"/>
              <w:numPr>
                <w:ilvl w:val="0"/>
                <w:numId w:val="15"/>
              </w:numPr>
              <w:rPr>
                <w:rFonts w:ascii="Garamond" w:hAnsi="Garamond"/>
                <w:lang w:val="en-AU"/>
              </w:rPr>
            </w:pPr>
            <w:r w:rsidRPr="00F910CE">
              <w:rPr>
                <w:rFonts w:ascii="Garamond" w:hAnsi="Garamond"/>
                <w:lang w:val="en-AU"/>
              </w:rPr>
              <w:t xml:space="preserve">Factors associated with </w:t>
            </w:r>
            <w:r w:rsidRPr="00F910CE">
              <w:rPr>
                <w:rFonts w:ascii="Garamond" w:hAnsi="Garamond"/>
                <w:b/>
                <w:lang w:val="en-AU"/>
              </w:rPr>
              <w:t>inappropriate use of emergency departments</w:t>
            </w:r>
            <w:r w:rsidRPr="00F910CE">
              <w:rPr>
                <w:rFonts w:ascii="Garamond" w:hAnsi="Garamond"/>
                <w:lang w:val="en-AU"/>
              </w:rPr>
              <w:t>: findings from a cross-sectional national study in France (Diane Naouri, Guillaume Ranchon, Albert Vuagnat, J Schmidt, C El Khoury, Y Yordanov</w:t>
            </w:r>
            <w:r>
              <w:rPr>
                <w:rFonts w:ascii="Garamond" w:hAnsi="Garamond"/>
                <w:lang w:val="en-AU"/>
              </w:rPr>
              <w:t>)</w:t>
            </w:r>
          </w:p>
          <w:p w:rsidR="00F910CE" w:rsidRPr="00F910CE" w:rsidRDefault="00F910CE" w:rsidP="003C5F48">
            <w:pPr>
              <w:pStyle w:val="ListParagraph"/>
              <w:numPr>
                <w:ilvl w:val="0"/>
                <w:numId w:val="15"/>
              </w:numPr>
              <w:rPr>
                <w:rFonts w:ascii="Garamond" w:hAnsi="Garamond"/>
                <w:lang w:val="en-AU"/>
              </w:rPr>
            </w:pPr>
            <w:r w:rsidRPr="00F910CE">
              <w:rPr>
                <w:rFonts w:ascii="Garamond" w:hAnsi="Garamond"/>
                <w:lang w:val="en-AU"/>
              </w:rPr>
              <w:t xml:space="preserve">Later </w:t>
            </w:r>
            <w:r w:rsidRPr="00F910CE">
              <w:rPr>
                <w:rFonts w:ascii="Garamond" w:hAnsi="Garamond"/>
                <w:b/>
                <w:lang w:val="en-AU"/>
              </w:rPr>
              <w:t>emergency provider shift hour</w:t>
            </w:r>
            <w:r w:rsidRPr="00F910CE">
              <w:rPr>
                <w:rFonts w:ascii="Garamond" w:hAnsi="Garamond"/>
                <w:lang w:val="en-AU"/>
              </w:rPr>
              <w:t xml:space="preserve"> is associated with increased risk of admission: a retrospective cohort study (Patrick D Tyler, Alan Fossa, Joshua W Joseph, Leon D Sanchez</w:t>
            </w:r>
            <w:r>
              <w:rPr>
                <w:rFonts w:ascii="Garamond" w:hAnsi="Garamond"/>
                <w:lang w:val="en-AU"/>
              </w:rPr>
              <w:t>)</w:t>
            </w:r>
          </w:p>
          <w:p w:rsidR="00F910CE" w:rsidRPr="00F910CE" w:rsidRDefault="00F910CE" w:rsidP="00B872D0">
            <w:pPr>
              <w:pStyle w:val="ListParagraph"/>
              <w:numPr>
                <w:ilvl w:val="0"/>
                <w:numId w:val="15"/>
              </w:numPr>
              <w:rPr>
                <w:rFonts w:ascii="Garamond" w:hAnsi="Garamond"/>
                <w:lang w:val="en-AU"/>
              </w:rPr>
            </w:pPr>
            <w:r w:rsidRPr="00F910CE">
              <w:rPr>
                <w:rFonts w:ascii="Garamond" w:hAnsi="Garamond"/>
                <w:lang w:val="en-AU"/>
              </w:rPr>
              <w:t xml:space="preserve">Large-scale empirical optimisation of statistical control charts to detect clinically relevant increases in </w:t>
            </w:r>
            <w:r w:rsidRPr="00F910CE">
              <w:rPr>
                <w:rFonts w:ascii="Garamond" w:hAnsi="Garamond"/>
                <w:b/>
                <w:lang w:val="en-AU"/>
              </w:rPr>
              <w:t>surgical site infection rates</w:t>
            </w:r>
            <w:r w:rsidRPr="00F910CE">
              <w:rPr>
                <w:rFonts w:ascii="Garamond" w:hAnsi="Garamond"/>
                <w:lang w:val="en-AU"/>
              </w:rPr>
              <w:t xml:space="preserve"> (Iulian Ilieş, Deverick J Anderson, Joseph Salem, A W Baker, M Jacobsen, J C Benneyan</w:t>
            </w:r>
            <w:r>
              <w:rPr>
                <w:rFonts w:ascii="Garamond" w:hAnsi="Garamond"/>
                <w:lang w:val="en-AU"/>
              </w:rPr>
              <w:t>)</w:t>
            </w:r>
          </w:p>
          <w:p w:rsidR="00F910CE" w:rsidRPr="00F910CE" w:rsidRDefault="00F910CE" w:rsidP="006E1B6F">
            <w:pPr>
              <w:pStyle w:val="ListParagraph"/>
              <w:numPr>
                <w:ilvl w:val="0"/>
                <w:numId w:val="15"/>
              </w:numPr>
              <w:rPr>
                <w:rFonts w:ascii="Garamond" w:hAnsi="Garamond"/>
                <w:lang w:val="en-AU"/>
              </w:rPr>
            </w:pPr>
            <w:r w:rsidRPr="00F910CE">
              <w:rPr>
                <w:rFonts w:ascii="Garamond" w:hAnsi="Garamond"/>
                <w:lang w:val="en-AU"/>
              </w:rPr>
              <w:t xml:space="preserve">Why </w:t>
            </w:r>
            <w:r w:rsidRPr="00F910CE">
              <w:rPr>
                <w:rFonts w:ascii="Garamond" w:hAnsi="Garamond"/>
                <w:b/>
                <w:lang w:val="en-AU"/>
              </w:rPr>
              <w:t>colorectal screening</w:t>
            </w:r>
            <w:r w:rsidRPr="00F910CE">
              <w:rPr>
                <w:rFonts w:ascii="Garamond" w:hAnsi="Garamond"/>
                <w:lang w:val="en-AU"/>
              </w:rPr>
              <w:t xml:space="preserve"> fails to achieve the uptake rates of breast and cervical cancer screening: a comparative qualitative study (Marie Kotzur, Colin McCowan, Sara Macdonald, Sally Wyke, Lauren Gatting, Christine Campbell, David Weller, Emilia Crighton, Robert J C Steele, Kathryn A Robb</w:t>
            </w:r>
            <w:r>
              <w:rPr>
                <w:rFonts w:ascii="Garamond" w:hAnsi="Garamond"/>
                <w:lang w:val="en-AU"/>
              </w:rPr>
              <w:t>)</w:t>
            </w:r>
          </w:p>
          <w:p w:rsidR="00F910CE" w:rsidRPr="00F910CE" w:rsidRDefault="00F910CE" w:rsidP="00ED7355">
            <w:pPr>
              <w:pStyle w:val="ListParagraph"/>
              <w:numPr>
                <w:ilvl w:val="0"/>
                <w:numId w:val="15"/>
              </w:numPr>
              <w:rPr>
                <w:rFonts w:ascii="Garamond" w:hAnsi="Garamond"/>
                <w:lang w:val="en-AU"/>
              </w:rPr>
            </w:pPr>
            <w:r w:rsidRPr="00F910CE">
              <w:rPr>
                <w:rFonts w:ascii="Garamond" w:hAnsi="Garamond"/>
                <w:lang w:val="en-AU"/>
              </w:rPr>
              <w:t xml:space="preserve">Using standardised patients to assess the </w:t>
            </w:r>
            <w:r w:rsidRPr="00F910CE">
              <w:rPr>
                <w:rFonts w:ascii="Garamond" w:hAnsi="Garamond"/>
                <w:b/>
                <w:lang w:val="en-AU"/>
              </w:rPr>
              <w:t>quality of medical records</w:t>
            </w:r>
            <w:r w:rsidRPr="00F910CE">
              <w:rPr>
                <w:rFonts w:ascii="Garamond" w:hAnsi="Garamond"/>
                <w:lang w:val="en-AU"/>
              </w:rPr>
              <w:t>: an application and evidence from rural China (Yuju Wu, Huan Zhou, Xiao Ma, Yaojiang Shi, Hao Xue, Chengchao Zhou, H Yi, A Medina, J Li, S Sylvia</w:t>
            </w:r>
            <w:r>
              <w:rPr>
                <w:rFonts w:ascii="Garamond" w:hAnsi="Garamond"/>
                <w:lang w:val="en-AU"/>
              </w:rPr>
              <w:t>)</w:t>
            </w:r>
          </w:p>
          <w:p w:rsidR="00F910CE" w:rsidRPr="00F910CE" w:rsidRDefault="00F910CE" w:rsidP="00F36DFA">
            <w:pPr>
              <w:pStyle w:val="ListParagraph"/>
              <w:numPr>
                <w:ilvl w:val="0"/>
                <w:numId w:val="15"/>
              </w:numPr>
              <w:rPr>
                <w:rFonts w:ascii="Garamond" w:hAnsi="Garamond"/>
                <w:lang w:val="en-AU"/>
              </w:rPr>
            </w:pPr>
            <w:r w:rsidRPr="00F910CE">
              <w:rPr>
                <w:rFonts w:ascii="Garamond" w:hAnsi="Garamond"/>
                <w:lang w:val="en-AU"/>
              </w:rPr>
              <w:t xml:space="preserve">A mixed methods study examining </w:t>
            </w:r>
            <w:r w:rsidRPr="00F910CE">
              <w:rPr>
                <w:rFonts w:ascii="Garamond" w:hAnsi="Garamond"/>
                <w:b/>
                <w:lang w:val="en-AU"/>
              </w:rPr>
              <w:t>teamwork</w:t>
            </w:r>
            <w:r w:rsidRPr="00F910CE">
              <w:rPr>
                <w:rFonts w:ascii="Garamond" w:hAnsi="Garamond"/>
                <w:lang w:val="en-AU"/>
              </w:rPr>
              <w:t xml:space="preserve"> shared mental models of interprofessional teams </w:t>
            </w:r>
            <w:r w:rsidRPr="00F910CE">
              <w:rPr>
                <w:rFonts w:ascii="Garamond" w:hAnsi="Garamond"/>
                <w:b/>
                <w:lang w:val="en-AU"/>
              </w:rPr>
              <w:t>during hospital discharge</w:t>
            </w:r>
            <w:r w:rsidRPr="00F910CE">
              <w:rPr>
                <w:rFonts w:ascii="Garamond" w:hAnsi="Garamond"/>
                <w:lang w:val="en-AU"/>
              </w:rPr>
              <w:t xml:space="preserve"> (Kirstin Manges, Patricia S Groves, Amany Farag, Ryan Peterson, Joanna Harton, S Ryan Greysen</w:t>
            </w:r>
            <w:r>
              <w:rPr>
                <w:rFonts w:ascii="Garamond" w:hAnsi="Garamond"/>
                <w:lang w:val="en-AU"/>
              </w:rPr>
              <w:t>)</w:t>
            </w:r>
          </w:p>
          <w:p w:rsidR="00F910CE" w:rsidRPr="00F910CE" w:rsidRDefault="00F910CE" w:rsidP="00907D33">
            <w:pPr>
              <w:pStyle w:val="ListParagraph"/>
              <w:numPr>
                <w:ilvl w:val="0"/>
                <w:numId w:val="15"/>
              </w:numPr>
              <w:rPr>
                <w:rFonts w:ascii="Garamond" w:hAnsi="Garamond"/>
                <w:lang w:val="en-AU"/>
              </w:rPr>
            </w:pPr>
            <w:r w:rsidRPr="00F910CE">
              <w:rPr>
                <w:rFonts w:ascii="Garamond" w:hAnsi="Garamond"/>
                <w:lang w:val="en-AU"/>
              </w:rPr>
              <w:t xml:space="preserve">Quality of care for </w:t>
            </w:r>
            <w:r w:rsidRPr="00F910CE">
              <w:rPr>
                <w:rFonts w:ascii="Garamond" w:hAnsi="Garamond"/>
                <w:b/>
                <w:lang w:val="en-AU"/>
              </w:rPr>
              <w:t>acute abdominal pain in children</w:t>
            </w:r>
            <w:r w:rsidRPr="00F910CE">
              <w:rPr>
                <w:rFonts w:ascii="Garamond" w:hAnsi="Garamond"/>
                <w:lang w:val="en-AU"/>
              </w:rPr>
              <w:t xml:space="preserve"> (Yvonne Zurynski, Kate Churruca, Gaston Arnolda, Sarah Dalton, Hsuen P Ting, Peter Damian Hibbert, Charlotte Molloy, Louise K Wiles, Carl de Wet, Jeffrey Braithwaite</w:t>
            </w:r>
            <w:r>
              <w:rPr>
                <w:rFonts w:ascii="Garamond" w:hAnsi="Garamond"/>
                <w:lang w:val="en-AU"/>
              </w:rPr>
              <w:t>)</w:t>
            </w:r>
          </w:p>
          <w:p w:rsidR="00F910CE" w:rsidRPr="00F910CE" w:rsidRDefault="00F910CE" w:rsidP="00742739">
            <w:pPr>
              <w:pStyle w:val="ListParagraph"/>
              <w:numPr>
                <w:ilvl w:val="0"/>
                <w:numId w:val="15"/>
              </w:numPr>
              <w:rPr>
                <w:rFonts w:ascii="Garamond" w:hAnsi="Garamond"/>
                <w:lang w:val="en-AU"/>
              </w:rPr>
            </w:pPr>
            <w:r w:rsidRPr="00F910CE">
              <w:rPr>
                <w:rFonts w:ascii="Garamond" w:hAnsi="Garamond"/>
                <w:lang w:val="en-AU"/>
              </w:rPr>
              <w:t xml:space="preserve">Use of optimised dual statistical process control charts for early detection of </w:t>
            </w:r>
            <w:r w:rsidRPr="00F910CE">
              <w:rPr>
                <w:rFonts w:ascii="Garamond" w:hAnsi="Garamond"/>
                <w:b/>
                <w:lang w:val="en-AU"/>
              </w:rPr>
              <w:t>surgical site infection</w:t>
            </w:r>
            <w:r w:rsidRPr="00F910CE">
              <w:rPr>
                <w:rFonts w:ascii="Garamond" w:hAnsi="Garamond"/>
                <w:lang w:val="en-AU"/>
              </w:rPr>
              <w:t xml:space="preserve"> outbreaks (Arthur W Baker, Nicole Nehls, Iulian Ilieş, James C Benneyan, Deverick J Anderson</w:t>
            </w:r>
            <w:r>
              <w:rPr>
                <w:rFonts w:ascii="Garamond" w:hAnsi="Garamond"/>
                <w:lang w:val="en-AU"/>
              </w:rPr>
              <w:t>)</w:t>
            </w:r>
          </w:p>
          <w:p w:rsidR="00F910CE" w:rsidRPr="007C3778" w:rsidRDefault="00F910CE" w:rsidP="00F910CE">
            <w:pPr>
              <w:pStyle w:val="ListParagraph"/>
              <w:numPr>
                <w:ilvl w:val="0"/>
                <w:numId w:val="15"/>
              </w:numPr>
              <w:rPr>
                <w:rFonts w:ascii="Garamond" w:hAnsi="Garamond"/>
                <w:lang w:val="en-AU"/>
              </w:rPr>
            </w:pPr>
            <w:r w:rsidRPr="00F910CE">
              <w:rPr>
                <w:rFonts w:ascii="Garamond" w:hAnsi="Garamond"/>
                <w:b/>
                <w:lang w:val="en-AU"/>
              </w:rPr>
              <w:t>When evidence says no</w:t>
            </w:r>
            <w:r w:rsidRPr="00F910CE">
              <w:rPr>
                <w:rFonts w:ascii="Garamond" w:hAnsi="Garamond"/>
                <w:lang w:val="en-AU"/>
              </w:rPr>
              <w:t>: gynaecologists’ reasons for (not) recommending ineffective ovarian cancer screening (Odette Wegwarth, Nora Pashayan</w:t>
            </w:r>
            <w:r>
              <w:rPr>
                <w:rFonts w:ascii="Garamond" w:hAnsi="Garamond"/>
                <w:lang w:val="en-AU"/>
              </w:rPr>
              <w:t>)</w:t>
            </w:r>
          </w:p>
        </w:tc>
      </w:tr>
    </w:tbl>
    <w:p w:rsidR="00F910CE" w:rsidRDefault="00F910CE" w:rsidP="00F910CE">
      <w:pPr>
        <w:rPr>
          <w:rFonts w:ascii="Garamond" w:hAnsi="Garamond"/>
          <w:lang w:val="en-AU"/>
        </w:rPr>
      </w:pPr>
    </w:p>
    <w:p w:rsidR="003142A4" w:rsidRDefault="003142A4">
      <w:pPr>
        <w:rPr>
          <w:rFonts w:ascii="Garamond" w:hAnsi="Garamond"/>
          <w:i/>
          <w:lang w:val="en-AU"/>
        </w:rPr>
      </w:pPr>
      <w:r>
        <w:rPr>
          <w:rFonts w:ascii="Garamond" w:hAnsi="Garamond"/>
          <w:i/>
          <w:lang w:val="en-AU"/>
        </w:rPr>
        <w:br w:type="page"/>
      </w:r>
    </w:p>
    <w:p w:rsidR="00BB3BE3" w:rsidRPr="00467B47" w:rsidRDefault="00BB3BE3" w:rsidP="00BB3BE3">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DF6568" w:rsidP="00DC09BF">
            <w:pPr>
              <w:keepNext/>
              <w:rPr>
                <w:rFonts w:ascii="Garamond" w:hAnsi="Garamond"/>
                <w:lang w:val="en-AU"/>
              </w:rPr>
            </w:pPr>
            <w:hyperlink r:id="rId34"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C4428F" w:rsidRDefault="004120B9" w:rsidP="004120B9">
            <w:pPr>
              <w:pStyle w:val="ListParagraph"/>
              <w:numPr>
                <w:ilvl w:val="0"/>
                <w:numId w:val="14"/>
              </w:numPr>
              <w:jc w:val="both"/>
              <w:rPr>
                <w:rFonts w:ascii="Garamond" w:hAnsi="Garamond"/>
                <w:lang w:val="en-AU"/>
              </w:rPr>
            </w:pPr>
            <w:r w:rsidRPr="004120B9">
              <w:rPr>
                <w:rFonts w:ascii="Garamond" w:hAnsi="Garamond"/>
                <w:b/>
                <w:lang w:val="en-AU"/>
              </w:rPr>
              <w:t>Unnecessary antibiotic prescribing</w:t>
            </w:r>
            <w:r w:rsidRPr="004120B9">
              <w:rPr>
                <w:rFonts w:ascii="Garamond" w:hAnsi="Garamond"/>
                <w:lang w:val="en-AU"/>
              </w:rPr>
              <w:t xml:space="preserve"> in children hospitalised for </w:t>
            </w:r>
            <w:r w:rsidRPr="004120B9">
              <w:rPr>
                <w:rFonts w:ascii="Garamond" w:hAnsi="Garamond"/>
                <w:b/>
                <w:lang w:val="en-AU"/>
              </w:rPr>
              <w:t>asthma exacerbation</w:t>
            </w:r>
            <w:r w:rsidRPr="004120B9">
              <w:rPr>
                <w:rFonts w:ascii="Garamond" w:hAnsi="Garamond"/>
                <w:lang w:val="en-AU"/>
              </w:rPr>
              <w:t>: a retrospective national cohort study</w:t>
            </w:r>
            <w:r>
              <w:rPr>
                <w:rFonts w:ascii="Garamond" w:hAnsi="Garamond"/>
                <w:lang w:val="en-AU"/>
              </w:rPr>
              <w:t xml:space="preserve"> (</w:t>
            </w:r>
            <w:r w:rsidRPr="004120B9">
              <w:rPr>
                <w:rFonts w:ascii="Garamond" w:hAnsi="Garamond"/>
                <w:lang w:val="en-AU"/>
              </w:rPr>
              <w:t>Marcella J Jewell, JoAnna Leyenaar, Meng-Shiou Shieh, Penelope S Pekow, Mihaela Stefan, Peter K Lindenauer</w:t>
            </w:r>
            <w:r>
              <w:rPr>
                <w:rFonts w:ascii="Garamond" w:hAnsi="Garamond"/>
                <w:lang w:val="en-AU"/>
              </w:rPr>
              <w:t>)</w:t>
            </w:r>
          </w:p>
          <w:p w:rsidR="006D4547" w:rsidRPr="00543B3B" w:rsidRDefault="006D4547" w:rsidP="006D4547">
            <w:pPr>
              <w:pStyle w:val="ListParagraph"/>
              <w:numPr>
                <w:ilvl w:val="0"/>
                <w:numId w:val="14"/>
              </w:numPr>
              <w:jc w:val="both"/>
              <w:rPr>
                <w:rFonts w:ascii="Garamond" w:hAnsi="Garamond"/>
                <w:lang w:val="en-AU"/>
              </w:rPr>
            </w:pPr>
            <w:r w:rsidRPr="006D4547">
              <w:rPr>
                <w:rFonts w:ascii="Garamond" w:hAnsi="Garamond"/>
                <w:b/>
                <w:lang w:val="en-AU"/>
              </w:rPr>
              <w:t>Medication-related interventions</w:t>
            </w:r>
            <w:r w:rsidRPr="006D4547">
              <w:rPr>
                <w:rFonts w:ascii="Garamond" w:hAnsi="Garamond"/>
                <w:lang w:val="en-AU"/>
              </w:rPr>
              <w:t xml:space="preserve"> delivered both in hospital and </w:t>
            </w:r>
            <w:r w:rsidRPr="00DB3C4E">
              <w:rPr>
                <w:rFonts w:ascii="Garamond" w:hAnsi="Garamond"/>
                <w:b/>
                <w:lang w:val="en-AU"/>
              </w:rPr>
              <w:t>following discharge</w:t>
            </w:r>
            <w:r w:rsidRPr="006D4547">
              <w:rPr>
                <w:rFonts w:ascii="Garamond" w:hAnsi="Garamond"/>
                <w:lang w:val="en-AU"/>
              </w:rPr>
              <w:t>: a systematic review and meta-analysis</w:t>
            </w:r>
            <w:r>
              <w:rPr>
                <w:rFonts w:ascii="Garamond" w:hAnsi="Garamond"/>
                <w:lang w:val="en-AU"/>
              </w:rPr>
              <w:t xml:space="preserve"> (</w:t>
            </w:r>
            <w:r w:rsidRPr="006D4547">
              <w:rPr>
                <w:rFonts w:ascii="Garamond" w:hAnsi="Garamond"/>
                <w:lang w:val="en-AU"/>
              </w:rPr>
              <w:t>Sara Daliri, Samira Boujarfi, Asma el Mokaddam, Wilma J M Scholte op Reimer, Gerben ter Riet, Chantal den Haan, Bianca M Buurman, Fatma Karapinar-Çarkit</w:t>
            </w:r>
            <w:r>
              <w:rPr>
                <w:rFonts w:ascii="Garamond" w:hAnsi="Garamond"/>
                <w:lang w:val="en-AU"/>
              </w:rPr>
              <w:t>)</w:t>
            </w:r>
          </w:p>
        </w:tc>
      </w:tr>
    </w:tbl>
    <w:p w:rsidR="00BB3BE3" w:rsidRDefault="00BB3BE3" w:rsidP="00BB3BE3">
      <w:pPr>
        <w:keepNext/>
        <w:rPr>
          <w:rFonts w:ascii="Garamond" w:hAnsi="Garamond"/>
          <w:b/>
          <w:lang w:val="en-AU"/>
        </w:rPr>
      </w:pPr>
    </w:p>
    <w:p w:rsidR="00E4098B" w:rsidRPr="00467B47" w:rsidRDefault="00E4098B" w:rsidP="00E4098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DF6568" w:rsidP="00DC09BF">
            <w:pPr>
              <w:keepNext/>
              <w:rPr>
                <w:rFonts w:ascii="Garamond" w:hAnsi="Garamond"/>
                <w:lang w:val="en-AU"/>
              </w:rPr>
            </w:pPr>
            <w:hyperlink r:id="rId35" w:history="1">
              <w:r w:rsidR="00E4098B" w:rsidRPr="00D31E10">
                <w:rPr>
                  <w:rStyle w:val="Hyperlink"/>
                  <w:rFonts w:ascii="Garamond" w:hAnsi="Garamond"/>
                  <w:lang w:val="en-AU"/>
                </w:rPr>
                <w:t>https://academic.oup.com/intqhc/advance-articles</w:t>
              </w:r>
            </w:hyperlink>
          </w:p>
        </w:tc>
      </w:tr>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AA0D18" w:rsidRPr="00AA0D18" w:rsidRDefault="00AA0D18" w:rsidP="00562A64">
            <w:pPr>
              <w:pStyle w:val="ListParagraph"/>
              <w:numPr>
                <w:ilvl w:val="0"/>
                <w:numId w:val="14"/>
              </w:numPr>
              <w:jc w:val="both"/>
              <w:rPr>
                <w:rFonts w:ascii="Garamond" w:hAnsi="Garamond"/>
                <w:lang w:val="en-AU"/>
              </w:rPr>
            </w:pPr>
            <w:r w:rsidRPr="00AA0D18">
              <w:rPr>
                <w:rFonts w:ascii="Garamond" w:hAnsi="Garamond"/>
                <w:b/>
                <w:lang w:val="en-AU"/>
              </w:rPr>
              <w:t>Patient Inventory</w:t>
            </w:r>
            <w:r w:rsidRPr="00AA0D18">
              <w:rPr>
                <w:rFonts w:ascii="Garamond" w:hAnsi="Garamond"/>
                <w:lang w:val="en-AU"/>
              </w:rPr>
              <w:t>: a quality improvement method (Søren Valgreen Knudsen, Sabina Bay Hermansen, Jens Holmskov, Søren Paaske Johnsen, Jan Mainz</w:t>
            </w:r>
            <w:r>
              <w:rPr>
                <w:rFonts w:ascii="Garamond" w:hAnsi="Garamond"/>
                <w:lang w:val="en-AU"/>
              </w:rPr>
              <w:t>)</w:t>
            </w:r>
          </w:p>
          <w:p w:rsidR="004120B9" w:rsidRDefault="004120B9" w:rsidP="004120B9">
            <w:pPr>
              <w:pStyle w:val="ListParagraph"/>
              <w:numPr>
                <w:ilvl w:val="0"/>
                <w:numId w:val="14"/>
              </w:numPr>
              <w:jc w:val="both"/>
              <w:rPr>
                <w:rFonts w:ascii="Garamond" w:hAnsi="Garamond"/>
                <w:lang w:val="en-AU"/>
              </w:rPr>
            </w:pPr>
            <w:r w:rsidRPr="004120B9">
              <w:rPr>
                <w:rFonts w:ascii="Garamond" w:hAnsi="Garamond"/>
                <w:lang w:val="en-AU"/>
              </w:rPr>
              <w:t xml:space="preserve">Development of a guideline for the treatment of </w:t>
            </w:r>
            <w:r w:rsidRPr="004120B9">
              <w:rPr>
                <w:rFonts w:ascii="Garamond" w:hAnsi="Garamond"/>
                <w:b/>
                <w:lang w:val="en-AU"/>
              </w:rPr>
              <w:t>Generalized Anxiety Disorder</w:t>
            </w:r>
            <w:r w:rsidRPr="004120B9">
              <w:rPr>
                <w:rFonts w:ascii="Garamond" w:hAnsi="Garamond"/>
                <w:lang w:val="en-AU"/>
              </w:rPr>
              <w:t xml:space="preserve"> with the ADAPTE method. (María M Hurtado, Eva V Nogueras, Nazaret Cantero, Luis Gálvez, José M García-Herrera</w:t>
            </w:r>
            <w:r>
              <w:rPr>
                <w:rFonts w:ascii="Garamond" w:hAnsi="Garamond"/>
                <w:lang w:val="en-AU"/>
              </w:rPr>
              <w:t xml:space="preserve">, </w:t>
            </w:r>
            <w:r w:rsidRPr="004120B9">
              <w:rPr>
                <w:rFonts w:ascii="Garamond" w:hAnsi="Garamond"/>
                <w:lang w:val="en-AU"/>
              </w:rPr>
              <w:t>José M Morales-Asencio</w:t>
            </w:r>
            <w:r>
              <w:rPr>
                <w:rFonts w:ascii="Garamond" w:hAnsi="Garamond"/>
                <w:lang w:val="en-AU"/>
              </w:rPr>
              <w:t>)</w:t>
            </w:r>
          </w:p>
          <w:p w:rsidR="009A6069" w:rsidRDefault="004120B9" w:rsidP="004120B9">
            <w:pPr>
              <w:pStyle w:val="ListParagraph"/>
              <w:numPr>
                <w:ilvl w:val="0"/>
                <w:numId w:val="14"/>
              </w:numPr>
              <w:jc w:val="both"/>
              <w:rPr>
                <w:rFonts w:ascii="Garamond" w:hAnsi="Garamond"/>
                <w:lang w:val="en-AU"/>
              </w:rPr>
            </w:pPr>
            <w:r>
              <w:rPr>
                <w:rFonts w:ascii="Garamond" w:hAnsi="Garamond"/>
                <w:lang w:val="en-AU"/>
              </w:rPr>
              <w:t xml:space="preserve">Editorial: </w:t>
            </w:r>
            <w:r w:rsidRPr="004120B9">
              <w:rPr>
                <w:rFonts w:ascii="Garamond" w:hAnsi="Garamond"/>
                <w:b/>
                <w:lang w:val="en-AU"/>
              </w:rPr>
              <w:t>Responding to COVID-19</w:t>
            </w:r>
            <w:r w:rsidRPr="004120B9">
              <w:rPr>
                <w:rFonts w:ascii="Garamond" w:hAnsi="Garamond"/>
                <w:lang w:val="en-AU"/>
              </w:rPr>
              <w:t>: The experience from Italy an</w:t>
            </w:r>
            <w:r>
              <w:rPr>
                <w:rFonts w:ascii="Garamond" w:hAnsi="Garamond"/>
                <w:lang w:val="en-AU"/>
              </w:rPr>
              <w:t>d recommendations for management and prevention</w:t>
            </w:r>
          </w:p>
          <w:p w:rsidR="006D4547" w:rsidRDefault="006D4547" w:rsidP="006D4547">
            <w:pPr>
              <w:pStyle w:val="ListParagraph"/>
              <w:numPr>
                <w:ilvl w:val="0"/>
                <w:numId w:val="14"/>
              </w:numPr>
              <w:jc w:val="both"/>
              <w:rPr>
                <w:rFonts w:ascii="Garamond" w:hAnsi="Garamond"/>
                <w:lang w:val="en-AU"/>
              </w:rPr>
            </w:pPr>
            <w:r w:rsidRPr="006D4547">
              <w:rPr>
                <w:rFonts w:ascii="Garamond" w:hAnsi="Garamond"/>
                <w:lang w:val="en-AU"/>
              </w:rPr>
              <w:t xml:space="preserve">Associations of Types of Primary Care Facilities with </w:t>
            </w:r>
            <w:r w:rsidRPr="006D4547">
              <w:rPr>
                <w:rFonts w:ascii="Garamond" w:hAnsi="Garamond"/>
                <w:b/>
                <w:lang w:val="en-AU"/>
              </w:rPr>
              <w:t xml:space="preserve">Adult Vaccination </w:t>
            </w:r>
            <w:r w:rsidRPr="006D4547">
              <w:rPr>
                <w:rFonts w:ascii="Garamond" w:hAnsi="Garamond"/>
                <w:lang w:val="en-AU"/>
              </w:rPr>
              <w:t>and</w:t>
            </w:r>
            <w:r w:rsidRPr="006D4547">
              <w:rPr>
                <w:rFonts w:ascii="Garamond" w:hAnsi="Garamond"/>
                <w:b/>
                <w:lang w:val="en-AU"/>
              </w:rPr>
              <w:t xml:space="preserve"> Cancer Screening</w:t>
            </w:r>
            <w:r w:rsidRPr="006D4547">
              <w:rPr>
                <w:rFonts w:ascii="Garamond" w:hAnsi="Garamond"/>
                <w:lang w:val="en-AU"/>
              </w:rPr>
              <w:t xml:space="preserve"> in Japan </w:t>
            </w:r>
            <w:r>
              <w:rPr>
                <w:rFonts w:ascii="Garamond" w:hAnsi="Garamond"/>
                <w:lang w:val="en-AU"/>
              </w:rPr>
              <w:t>(</w:t>
            </w:r>
            <w:r w:rsidRPr="006D4547">
              <w:rPr>
                <w:rFonts w:ascii="Garamond" w:hAnsi="Garamond"/>
                <w:lang w:val="en-AU"/>
              </w:rPr>
              <w:t>Takuya Aoki, Shunichi Fukuhara</w:t>
            </w:r>
            <w:r>
              <w:rPr>
                <w:rFonts w:ascii="Garamond" w:hAnsi="Garamond"/>
                <w:lang w:val="en-AU"/>
              </w:rPr>
              <w:t>)</w:t>
            </w:r>
          </w:p>
          <w:p w:rsidR="00C05F0D" w:rsidRPr="00C05F0D" w:rsidRDefault="00C05F0D" w:rsidP="00464F8A">
            <w:pPr>
              <w:pStyle w:val="ListParagraph"/>
              <w:numPr>
                <w:ilvl w:val="0"/>
                <w:numId w:val="14"/>
              </w:numPr>
              <w:jc w:val="both"/>
              <w:rPr>
                <w:rFonts w:ascii="Garamond" w:hAnsi="Garamond"/>
                <w:lang w:val="en-AU"/>
              </w:rPr>
            </w:pPr>
            <w:r w:rsidRPr="00C05F0D">
              <w:rPr>
                <w:rFonts w:ascii="Garamond" w:hAnsi="Garamond"/>
                <w:lang w:val="en-AU"/>
              </w:rPr>
              <w:t xml:space="preserve">Implementing a quick Sequential (Sepsis-Related) Organ Failure Assessment </w:t>
            </w:r>
            <w:r w:rsidRPr="00C05F0D">
              <w:rPr>
                <w:rFonts w:ascii="Garamond" w:hAnsi="Garamond"/>
                <w:b/>
                <w:lang w:val="en-AU"/>
              </w:rPr>
              <w:t>sepsis screening</w:t>
            </w:r>
            <w:r w:rsidRPr="00C05F0D">
              <w:rPr>
                <w:rFonts w:ascii="Garamond" w:hAnsi="Garamond"/>
                <w:lang w:val="en-AU"/>
              </w:rPr>
              <w:t xml:space="preserve"> tool: an interrupted times series study (Laura Alberto, Leanne M Aitken, Rachel Walker, Fernando Pálizas, Andrea P Marshall</w:t>
            </w:r>
            <w:r>
              <w:rPr>
                <w:rFonts w:ascii="Garamond" w:hAnsi="Garamond"/>
                <w:lang w:val="en-AU"/>
              </w:rPr>
              <w:t>)</w:t>
            </w:r>
          </w:p>
          <w:p w:rsidR="00C05F0D" w:rsidRDefault="00C05F0D" w:rsidP="00C05F0D">
            <w:pPr>
              <w:pStyle w:val="ListParagraph"/>
              <w:numPr>
                <w:ilvl w:val="0"/>
                <w:numId w:val="14"/>
              </w:numPr>
              <w:jc w:val="both"/>
              <w:rPr>
                <w:rFonts w:ascii="Garamond" w:hAnsi="Garamond"/>
                <w:lang w:val="en-AU"/>
              </w:rPr>
            </w:pPr>
            <w:r w:rsidRPr="00C05F0D">
              <w:rPr>
                <w:rFonts w:ascii="Garamond" w:hAnsi="Garamond"/>
                <w:lang w:val="en-AU"/>
              </w:rPr>
              <w:t xml:space="preserve">Meta-analysis of </w:t>
            </w:r>
            <w:r w:rsidRPr="00C05F0D">
              <w:rPr>
                <w:rFonts w:ascii="Garamond" w:hAnsi="Garamond"/>
                <w:b/>
                <w:lang w:val="en-AU"/>
              </w:rPr>
              <w:t>proton pump inhibitors induced risk of community-acquired pneumonia</w:t>
            </w:r>
            <w:r w:rsidRPr="00C05F0D">
              <w:rPr>
                <w:rFonts w:ascii="Garamond" w:hAnsi="Garamond"/>
                <w:lang w:val="en-AU"/>
              </w:rPr>
              <w:t xml:space="preserve"> (Phung Anh Nguyen, Mohaimenul Islam, Cooper J Galvin, Chih-Cheng Chang, Soo Yeon An</w:t>
            </w:r>
            <w:r>
              <w:rPr>
                <w:rFonts w:ascii="Garamond" w:hAnsi="Garamond"/>
                <w:lang w:val="en-AU"/>
              </w:rPr>
              <w:t xml:space="preserve">, </w:t>
            </w:r>
            <w:r w:rsidRPr="00C05F0D">
              <w:rPr>
                <w:rFonts w:ascii="Garamond" w:hAnsi="Garamond"/>
                <w:lang w:val="en-AU"/>
              </w:rPr>
              <w:t>Hsuan-Chia Yang, Chih-Wei Huang, Yu-Chuan (Jack) Li, Usman Iqbal</w:t>
            </w:r>
            <w:r>
              <w:rPr>
                <w:rFonts w:ascii="Garamond" w:hAnsi="Garamond"/>
                <w:lang w:val="en-AU"/>
              </w:rPr>
              <w:t>)</w:t>
            </w:r>
          </w:p>
          <w:p w:rsidR="00C05F0D" w:rsidRPr="00721A1B" w:rsidRDefault="00C05F0D" w:rsidP="00C05F0D">
            <w:pPr>
              <w:pStyle w:val="ListParagraph"/>
              <w:numPr>
                <w:ilvl w:val="0"/>
                <w:numId w:val="14"/>
              </w:numPr>
              <w:jc w:val="both"/>
              <w:rPr>
                <w:rFonts w:ascii="Garamond" w:hAnsi="Garamond"/>
                <w:lang w:val="en-AU"/>
              </w:rPr>
            </w:pPr>
            <w:r w:rsidRPr="00C05F0D">
              <w:rPr>
                <w:rFonts w:ascii="Garamond" w:hAnsi="Garamond"/>
                <w:lang w:val="en-AU"/>
              </w:rPr>
              <w:t xml:space="preserve">The prevalence and characteristics of </w:t>
            </w:r>
            <w:r w:rsidRPr="00C05F0D">
              <w:rPr>
                <w:rFonts w:ascii="Garamond" w:hAnsi="Garamond"/>
                <w:b/>
                <w:lang w:val="en-AU"/>
              </w:rPr>
              <w:t>rapid response systems</w:t>
            </w:r>
            <w:r w:rsidRPr="00C05F0D">
              <w:rPr>
                <w:rFonts w:ascii="Garamond" w:hAnsi="Garamond"/>
                <w:lang w:val="en-AU"/>
              </w:rPr>
              <w:t xml:space="preserve"> in hospitals with pediatric intensive care units in Japan and barriers to their use </w:t>
            </w:r>
            <w:r>
              <w:rPr>
                <w:rFonts w:ascii="Garamond" w:hAnsi="Garamond"/>
                <w:lang w:val="en-AU"/>
              </w:rPr>
              <w:t>(</w:t>
            </w:r>
            <w:r w:rsidRPr="00C05F0D">
              <w:rPr>
                <w:rFonts w:ascii="Garamond" w:hAnsi="Garamond"/>
                <w:lang w:val="en-AU"/>
              </w:rPr>
              <w:t>Taiki Haga, Hiroshi Kurosawa, Junji Maruyama</w:t>
            </w:r>
            <w:r>
              <w:rPr>
                <w:rFonts w:ascii="Garamond" w:hAnsi="Garamond"/>
                <w:lang w:val="en-AU"/>
              </w:rPr>
              <w:t xml:space="preserve">, Katsuko Sakamoto, Ryo Ikebe, </w:t>
            </w:r>
            <w:r w:rsidRPr="00C05F0D">
              <w:rPr>
                <w:rFonts w:ascii="Garamond" w:hAnsi="Garamond"/>
                <w:lang w:val="en-AU"/>
              </w:rPr>
              <w:t>Natsuko Tokuhira, Muneyuki Takeuchi</w:t>
            </w:r>
            <w:r>
              <w:rPr>
                <w:rFonts w:ascii="Garamond" w:hAnsi="Garamond"/>
                <w:lang w:val="en-AU"/>
              </w:rPr>
              <w:t>)</w:t>
            </w:r>
          </w:p>
        </w:tc>
      </w:tr>
    </w:tbl>
    <w:p w:rsidR="00E4098B" w:rsidRDefault="00E4098B" w:rsidP="00E4098B">
      <w:pPr>
        <w:rPr>
          <w:rFonts w:ascii="Garamond" w:hAnsi="Garamond"/>
          <w:b/>
          <w:lang w:val="en-AU"/>
        </w:rPr>
      </w:pPr>
    </w:p>
    <w:p w:rsidR="001B384D" w:rsidRDefault="001B384D" w:rsidP="00E4098B">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6C051D" w:rsidRDefault="006C051D" w:rsidP="00824A93">
      <w:pPr>
        <w:keepNext/>
        <w:keepLines/>
        <w:rPr>
          <w:rFonts w:ascii="Garamond" w:hAnsi="Garamond"/>
          <w:i/>
          <w:lang w:val="en-AU"/>
        </w:rPr>
      </w:pPr>
      <w:r>
        <w:rPr>
          <w:rFonts w:ascii="Garamond" w:hAnsi="Garamond"/>
          <w:i/>
          <w:lang w:val="en-AU"/>
        </w:rPr>
        <w:t>National COVID-19 Clinical Evidence Taskforce</w:t>
      </w:r>
    </w:p>
    <w:p w:rsidR="006C051D" w:rsidRDefault="00DF6568" w:rsidP="00824A93">
      <w:pPr>
        <w:keepNext/>
        <w:keepLines/>
        <w:rPr>
          <w:rFonts w:ascii="Garamond" w:hAnsi="Garamond"/>
          <w:lang w:val="en-AU"/>
        </w:rPr>
      </w:pPr>
      <w:hyperlink r:id="rId36" w:history="1">
        <w:r w:rsidR="00B14CBA" w:rsidRPr="00423853">
          <w:rPr>
            <w:rStyle w:val="Hyperlink"/>
            <w:rFonts w:ascii="Garamond" w:hAnsi="Garamond"/>
            <w:lang w:val="en-AU"/>
          </w:rPr>
          <w:t>https://covid19evidence.net.au/</w:t>
        </w:r>
      </w:hyperlink>
    </w:p>
    <w:p w:rsidR="001966EC" w:rsidRPr="001966EC" w:rsidRDefault="001966EC" w:rsidP="001966EC">
      <w:pPr>
        <w:keepNext/>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1966EC" w:rsidRDefault="001966EC" w:rsidP="003142A4">
      <w:pPr>
        <w:keepLines/>
        <w:rPr>
          <w:rFonts w:ascii="Garamond" w:hAnsi="Garamond"/>
          <w:highlight w:val="yellow"/>
          <w:lang w:val="en-AU"/>
        </w:rPr>
      </w:pPr>
    </w:p>
    <w:p w:rsidR="00C45C28" w:rsidRDefault="00C45C28" w:rsidP="00824A93">
      <w:pPr>
        <w:keepNext/>
        <w:keepLines/>
        <w:rPr>
          <w:rFonts w:ascii="Garamond" w:hAnsi="Garamond"/>
          <w:i/>
          <w:lang w:val="en-AU"/>
        </w:rPr>
      </w:pPr>
      <w:r>
        <w:rPr>
          <w:rFonts w:ascii="Garamond" w:hAnsi="Garamond"/>
          <w:i/>
          <w:lang w:val="en-AU"/>
        </w:rPr>
        <w:lastRenderedPageBreak/>
        <w:t>COVID-19 Critical Intelligence Unit</w:t>
      </w:r>
    </w:p>
    <w:p w:rsidR="00C45C28" w:rsidRDefault="00DF6568" w:rsidP="00824A93">
      <w:pPr>
        <w:keepNext/>
        <w:keepLines/>
        <w:rPr>
          <w:rFonts w:ascii="Garamond" w:hAnsi="Garamond"/>
          <w:lang w:val="en-AU"/>
        </w:rPr>
      </w:pPr>
      <w:hyperlink r:id="rId37" w:history="1">
        <w:r w:rsidR="00C45C28" w:rsidRPr="00E11CC6">
          <w:rPr>
            <w:rStyle w:val="Hyperlink"/>
            <w:rFonts w:ascii="Garamond" w:hAnsi="Garamond"/>
            <w:lang w:val="en-AU"/>
          </w:rPr>
          <w:t>https://www.aci.health.nsw.gov.au/covid-19/critical-intelligence-unit</w:t>
        </w:r>
      </w:hyperlink>
    </w:p>
    <w:p w:rsidR="00C45C28" w:rsidRDefault="00C45C28" w:rsidP="00824A93">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6170CF">
        <w:rPr>
          <w:rFonts w:ascii="Garamond" w:hAnsi="Garamond"/>
          <w:lang w:val="en-AU"/>
        </w:rPr>
        <w:t xml:space="preserve"> </w:t>
      </w:r>
      <w:r w:rsidR="00644CA7">
        <w:rPr>
          <w:rFonts w:ascii="Garamond" w:hAnsi="Garamond"/>
          <w:lang w:val="en-AU"/>
        </w:rPr>
        <w:t>Recent e</w:t>
      </w:r>
      <w:r w:rsidR="006170CF">
        <w:rPr>
          <w:rFonts w:ascii="Garamond" w:hAnsi="Garamond"/>
          <w:lang w:val="en-AU"/>
        </w:rPr>
        <w:t>vidence checks date include:</w:t>
      </w:r>
    </w:p>
    <w:p w:rsidR="00EF3309" w:rsidRPr="00EF3309" w:rsidRDefault="00EF3309" w:rsidP="00EF3309">
      <w:pPr>
        <w:pStyle w:val="ListParagraph"/>
        <w:keepNext/>
        <w:keepLines/>
        <w:numPr>
          <w:ilvl w:val="0"/>
          <w:numId w:val="14"/>
        </w:numPr>
        <w:rPr>
          <w:rFonts w:ascii="Garamond" w:hAnsi="Garamond"/>
          <w:b/>
          <w:i/>
          <w:lang w:val="en-AU"/>
        </w:rPr>
      </w:pPr>
      <w:r w:rsidRPr="00EF3309">
        <w:rPr>
          <w:rFonts w:ascii="Garamond" w:hAnsi="Garamond"/>
          <w:b/>
          <w:i/>
          <w:lang w:val="en-AU"/>
        </w:rPr>
        <w:t>Renal replacement therapies for COVID-19 positive patients in ICU</w:t>
      </w:r>
    </w:p>
    <w:p w:rsidR="00EF3309" w:rsidRPr="00EF3309" w:rsidRDefault="00EF3309" w:rsidP="00EF3309">
      <w:pPr>
        <w:pStyle w:val="ListParagraph"/>
        <w:keepNext/>
        <w:keepLines/>
        <w:numPr>
          <w:ilvl w:val="0"/>
          <w:numId w:val="14"/>
        </w:numPr>
        <w:rPr>
          <w:rFonts w:ascii="Garamond" w:hAnsi="Garamond"/>
          <w:b/>
          <w:i/>
          <w:lang w:val="en-AU"/>
        </w:rPr>
      </w:pPr>
      <w:r w:rsidRPr="00EF3309">
        <w:rPr>
          <w:rFonts w:ascii="Garamond" w:hAnsi="Garamond"/>
          <w:b/>
          <w:i/>
          <w:lang w:val="en-AU"/>
        </w:rPr>
        <w:t>Sanitising and covering large medical imaging equipment</w:t>
      </w:r>
    </w:p>
    <w:p w:rsidR="00EF3309" w:rsidRPr="00EF3309" w:rsidRDefault="00EF3309" w:rsidP="00EF3309">
      <w:pPr>
        <w:pStyle w:val="ListParagraph"/>
        <w:keepNext/>
        <w:keepLines/>
        <w:numPr>
          <w:ilvl w:val="0"/>
          <w:numId w:val="14"/>
        </w:numPr>
        <w:rPr>
          <w:rFonts w:ascii="Garamond" w:hAnsi="Garamond"/>
          <w:b/>
          <w:i/>
          <w:lang w:val="en-AU"/>
        </w:rPr>
      </w:pPr>
      <w:r w:rsidRPr="00EF3309">
        <w:rPr>
          <w:rFonts w:ascii="Garamond" w:hAnsi="Garamond"/>
          <w:b/>
          <w:i/>
          <w:lang w:val="en-AU"/>
        </w:rPr>
        <w:t>Immunosuppression and COVID-19</w:t>
      </w:r>
    </w:p>
    <w:p w:rsidR="006E4574" w:rsidRPr="00EF3309" w:rsidRDefault="00EF3309" w:rsidP="00EF3309">
      <w:pPr>
        <w:pStyle w:val="ListParagraph"/>
        <w:keepNext/>
        <w:keepLines/>
        <w:numPr>
          <w:ilvl w:val="0"/>
          <w:numId w:val="14"/>
        </w:numPr>
        <w:rPr>
          <w:rFonts w:ascii="Garamond" w:hAnsi="Garamond"/>
          <w:b/>
          <w:i/>
          <w:lang w:val="en-AU"/>
        </w:rPr>
      </w:pPr>
      <w:r w:rsidRPr="00EF3309">
        <w:rPr>
          <w:rFonts w:ascii="Garamond" w:hAnsi="Garamond"/>
          <w:b/>
          <w:i/>
          <w:lang w:val="en-AU"/>
        </w:rPr>
        <w:t>Telehealth and COVID-19.</w:t>
      </w:r>
    </w:p>
    <w:p w:rsidR="003142A4" w:rsidRPr="003142A4" w:rsidRDefault="003142A4" w:rsidP="00AA0D18">
      <w:pPr>
        <w:keepNext/>
        <w:keepLines/>
        <w:rPr>
          <w:rFonts w:ascii="Garamond" w:hAnsi="Garamond"/>
          <w:lang w:val="en-AU"/>
        </w:rPr>
      </w:pPr>
    </w:p>
    <w:p w:rsidR="00AA0D18" w:rsidRPr="000170DA" w:rsidRDefault="00AA0D18" w:rsidP="00AA0D18">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AA0D18" w:rsidRDefault="00DF6568" w:rsidP="00AA0D18">
      <w:pPr>
        <w:keepNext/>
        <w:keepLines/>
        <w:rPr>
          <w:rFonts w:ascii="Garamond" w:hAnsi="Garamond"/>
          <w:u w:val="single"/>
          <w:lang w:val="en-AU"/>
        </w:rPr>
      </w:pPr>
      <w:hyperlink r:id="rId38" w:history="1">
        <w:r w:rsidR="00AA0D18" w:rsidRPr="00131E90">
          <w:rPr>
            <w:rStyle w:val="Hyperlink"/>
            <w:rFonts w:ascii="Garamond" w:hAnsi="Garamond"/>
            <w:lang w:val="en-AU"/>
          </w:rPr>
          <w:t>https://www.nice.org.uk/guidance</w:t>
        </w:r>
      </w:hyperlink>
    </w:p>
    <w:p w:rsidR="00AA0D18" w:rsidRPr="000170DA" w:rsidRDefault="00AA0D18" w:rsidP="00AA0D18">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AA0D18" w:rsidRDefault="00AA0D18" w:rsidP="00AA0D18">
      <w:pPr>
        <w:pStyle w:val="ListParagraph"/>
        <w:keepNext/>
        <w:keepLines/>
        <w:numPr>
          <w:ilvl w:val="0"/>
          <w:numId w:val="14"/>
        </w:numPr>
        <w:rPr>
          <w:rFonts w:ascii="Garamond" w:hAnsi="Garamond"/>
          <w:i/>
          <w:lang w:val="en-AU"/>
        </w:rPr>
      </w:pPr>
      <w:r w:rsidRPr="00E4098B">
        <w:rPr>
          <w:rFonts w:ascii="Garamond" w:hAnsi="Garamond"/>
          <w:i/>
          <w:lang w:val="en-AU"/>
        </w:rPr>
        <w:t>NICE Guideline NG1</w:t>
      </w:r>
      <w:r>
        <w:rPr>
          <w:rFonts w:ascii="Garamond" w:hAnsi="Garamond"/>
          <w:i/>
          <w:lang w:val="en-AU"/>
        </w:rPr>
        <w:t>76</w:t>
      </w:r>
      <w:r w:rsidRPr="00E4098B">
        <w:rPr>
          <w:rFonts w:ascii="Garamond" w:hAnsi="Garamond"/>
          <w:i/>
          <w:lang w:val="en-AU"/>
        </w:rPr>
        <w:t xml:space="preserve"> </w:t>
      </w:r>
      <w:r w:rsidRPr="00E4098B">
        <w:rPr>
          <w:rFonts w:ascii="Garamond" w:hAnsi="Garamond"/>
          <w:b/>
          <w:i/>
          <w:lang w:val="en-AU"/>
        </w:rPr>
        <w:t>COVID-19</w:t>
      </w:r>
      <w:r w:rsidRPr="00E4098B">
        <w:rPr>
          <w:rFonts w:ascii="Garamond" w:hAnsi="Garamond"/>
          <w:i/>
          <w:lang w:val="en-AU"/>
        </w:rPr>
        <w:t xml:space="preserve"> rapid guideline: </w:t>
      </w:r>
      <w:r w:rsidRPr="00AA0D18">
        <w:rPr>
          <w:rFonts w:ascii="Garamond" w:hAnsi="Garamond"/>
          <w:b/>
          <w:i/>
          <w:lang w:val="en-AU"/>
        </w:rPr>
        <w:t>chronic kidney disease</w:t>
      </w:r>
      <w:r>
        <w:rPr>
          <w:rFonts w:ascii="Garamond" w:hAnsi="Garamond"/>
          <w:i/>
          <w:lang w:val="en-AU"/>
        </w:rPr>
        <w:t xml:space="preserve"> </w:t>
      </w:r>
      <w:hyperlink r:id="rId39" w:history="1">
        <w:r w:rsidRPr="00DD3206">
          <w:rPr>
            <w:rStyle w:val="Hyperlink"/>
            <w:rFonts w:ascii="Garamond" w:hAnsi="Garamond"/>
            <w:lang w:val="en-AU"/>
          </w:rPr>
          <w:t>https://www.nice.org.uk/guidance/ng176</w:t>
        </w:r>
      </w:hyperlink>
      <w:r>
        <w:rPr>
          <w:rFonts w:ascii="Garamond" w:hAnsi="Garamond"/>
          <w:lang w:val="en-AU"/>
        </w:rPr>
        <w:t xml:space="preserve"> </w:t>
      </w:r>
    </w:p>
    <w:p w:rsidR="00AA0D18" w:rsidRPr="002D4F76" w:rsidRDefault="00AA0D18" w:rsidP="00933BE3">
      <w:pPr>
        <w:pStyle w:val="ListParagraph"/>
        <w:keepNext/>
        <w:keepLines/>
        <w:numPr>
          <w:ilvl w:val="0"/>
          <w:numId w:val="14"/>
        </w:numPr>
        <w:rPr>
          <w:rFonts w:ascii="Garamond" w:hAnsi="Garamond"/>
          <w:i/>
          <w:lang w:val="en-AU"/>
        </w:rPr>
      </w:pPr>
      <w:r w:rsidRPr="00AA0D18">
        <w:rPr>
          <w:rFonts w:ascii="Garamond" w:hAnsi="Garamond"/>
          <w:i/>
          <w:lang w:val="en-AU"/>
        </w:rPr>
        <w:t xml:space="preserve">NICE Guideline NG177 </w:t>
      </w:r>
      <w:r w:rsidRPr="00AA0D18">
        <w:rPr>
          <w:rFonts w:ascii="Garamond" w:hAnsi="Garamond"/>
          <w:b/>
          <w:i/>
          <w:lang w:val="en-AU"/>
        </w:rPr>
        <w:t>COVID-19</w:t>
      </w:r>
      <w:r w:rsidRPr="00AA0D18">
        <w:rPr>
          <w:rFonts w:ascii="Garamond" w:hAnsi="Garamond"/>
          <w:i/>
          <w:lang w:val="en-AU"/>
        </w:rPr>
        <w:t xml:space="preserve"> rapid guideline: </w:t>
      </w:r>
      <w:r w:rsidRPr="00AA0D18">
        <w:rPr>
          <w:rFonts w:ascii="Garamond" w:hAnsi="Garamond"/>
          <w:b/>
          <w:i/>
          <w:lang w:val="en-AU"/>
        </w:rPr>
        <w:t>interstitial lung disease</w:t>
      </w:r>
      <w:r w:rsidRPr="00AA0D18">
        <w:rPr>
          <w:rFonts w:ascii="Garamond" w:hAnsi="Garamond"/>
          <w:i/>
          <w:lang w:val="en-AU"/>
        </w:rPr>
        <w:t xml:space="preserve"> </w:t>
      </w:r>
      <w:hyperlink r:id="rId40" w:history="1">
        <w:r w:rsidRPr="00DD3206">
          <w:rPr>
            <w:rStyle w:val="Hyperlink"/>
            <w:rFonts w:ascii="Garamond" w:hAnsi="Garamond"/>
            <w:lang w:val="en-AU"/>
          </w:rPr>
          <w:t>https://www.nice.org.uk/guidance/ng177</w:t>
        </w:r>
      </w:hyperlink>
    </w:p>
    <w:p w:rsidR="002D4F76" w:rsidRDefault="002D4F76" w:rsidP="002D4F76">
      <w:pPr>
        <w:pStyle w:val="ListParagraph"/>
        <w:keepNext/>
        <w:keepLines/>
        <w:numPr>
          <w:ilvl w:val="0"/>
          <w:numId w:val="14"/>
        </w:numPr>
        <w:rPr>
          <w:rFonts w:ascii="Garamond" w:hAnsi="Garamond"/>
          <w:i/>
          <w:lang w:val="en-AU"/>
        </w:rPr>
      </w:pPr>
      <w:r w:rsidRPr="00AA0D18">
        <w:rPr>
          <w:rFonts w:ascii="Garamond" w:hAnsi="Garamond"/>
          <w:i/>
          <w:lang w:val="en-AU"/>
        </w:rPr>
        <w:t>NICE Guideline NG1</w:t>
      </w:r>
      <w:r>
        <w:rPr>
          <w:rFonts w:ascii="Garamond" w:hAnsi="Garamond"/>
          <w:i/>
          <w:lang w:val="en-AU"/>
        </w:rPr>
        <w:t>60</w:t>
      </w:r>
      <w:r w:rsidRPr="00AA0D18">
        <w:rPr>
          <w:rFonts w:ascii="Garamond" w:hAnsi="Garamond"/>
          <w:i/>
          <w:lang w:val="en-AU"/>
        </w:rPr>
        <w:t xml:space="preserve"> </w:t>
      </w:r>
      <w:r w:rsidRPr="00AA0D18">
        <w:rPr>
          <w:rFonts w:ascii="Garamond" w:hAnsi="Garamond"/>
          <w:b/>
          <w:i/>
          <w:lang w:val="en-AU"/>
        </w:rPr>
        <w:t>COVID-19</w:t>
      </w:r>
      <w:r w:rsidRPr="00AA0D18">
        <w:rPr>
          <w:rFonts w:ascii="Garamond" w:hAnsi="Garamond"/>
          <w:i/>
          <w:lang w:val="en-AU"/>
        </w:rPr>
        <w:t xml:space="preserve"> rapid guideline:</w:t>
      </w:r>
      <w:r>
        <w:rPr>
          <w:rFonts w:ascii="Garamond" w:hAnsi="Garamond"/>
          <w:i/>
          <w:lang w:val="en-AU"/>
        </w:rPr>
        <w:t xml:space="preserve"> </w:t>
      </w:r>
      <w:r w:rsidRPr="002D4F76">
        <w:rPr>
          <w:rFonts w:ascii="Garamond" w:hAnsi="Garamond"/>
          <w:b/>
          <w:i/>
          <w:lang w:val="en-AU"/>
        </w:rPr>
        <w:t>dialysis</w:t>
      </w:r>
      <w:r w:rsidRPr="002D4F76">
        <w:rPr>
          <w:rFonts w:ascii="Garamond" w:hAnsi="Garamond"/>
          <w:i/>
          <w:lang w:val="en-AU"/>
        </w:rPr>
        <w:t xml:space="preserve"> service delivery</w:t>
      </w:r>
      <w:r>
        <w:rPr>
          <w:rFonts w:ascii="Garamond" w:hAnsi="Garamond"/>
          <w:i/>
          <w:lang w:val="en-AU"/>
        </w:rPr>
        <w:t xml:space="preserve"> </w:t>
      </w:r>
      <w:hyperlink r:id="rId41" w:history="1">
        <w:r w:rsidRPr="00B53558">
          <w:rPr>
            <w:rStyle w:val="Hyperlink"/>
            <w:rFonts w:ascii="Garamond" w:hAnsi="Garamond"/>
            <w:lang w:val="en-AU"/>
          </w:rPr>
          <w:t>https://www.nice.org.uk/guidance/ng160</w:t>
        </w:r>
      </w:hyperlink>
    </w:p>
    <w:p w:rsidR="002D4F76" w:rsidRDefault="002D4F76" w:rsidP="002D4F76">
      <w:pPr>
        <w:pStyle w:val="ListParagraph"/>
        <w:keepNext/>
        <w:keepLines/>
        <w:numPr>
          <w:ilvl w:val="0"/>
          <w:numId w:val="14"/>
        </w:numPr>
        <w:rPr>
          <w:rFonts w:ascii="Garamond" w:hAnsi="Garamond"/>
          <w:i/>
          <w:lang w:val="en-AU"/>
        </w:rPr>
      </w:pPr>
      <w:r w:rsidRPr="00AA0D18">
        <w:rPr>
          <w:rFonts w:ascii="Garamond" w:hAnsi="Garamond"/>
          <w:i/>
          <w:lang w:val="en-AU"/>
        </w:rPr>
        <w:t>NICE Guideline NG1</w:t>
      </w:r>
      <w:r>
        <w:rPr>
          <w:rFonts w:ascii="Garamond" w:hAnsi="Garamond"/>
          <w:i/>
          <w:lang w:val="en-AU"/>
        </w:rPr>
        <w:t>6</w:t>
      </w:r>
      <w:r w:rsidRPr="00AA0D18">
        <w:rPr>
          <w:rFonts w:ascii="Garamond" w:hAnsi="Garamond"/>
          <w:i/>
          <w:lang w:val="en-AU"/>
        </w:rPr>
        <w:t xml:space="preserve">7 </w:t>
      </w:r>
      <w:r w:rsidRPr="00AA0D18">
        <w:rPr>
          <w:rFonts w:ascii="Garamond" w:hAnsi="Garamond"/>
          <w:b/>
          <w:i/>
          <w:lang w:val="en-AU"/>
        </w:rPr>
        <w:t>COVID-19</w:t>
      </w:r>
      <w:r w:rsidRPr="00AA0D18">
        <w:rPr>
          <w:rFonts w:ascii="Garamond" w:hAnsi="Garamond"/>
          <w:i/>
          <w:lang w:val="en-AU"/>
        </w:rPr>
        <w:t xml:space="preserve"> rapid guideline:</w:t>
      </w:r>
      <w:r w:rsidRPr="002D4F76">
        <w:t xml:space="preserve"> </w:t>
      </w:r>
      <w:r w:rsidRPr="002D4F76">
        <w:rPr>
          <w:rFonts w:ascii="Garamond" w:hAnsi="Garamond"/>
          <w:b/>
          <w:i/>
          <w:lang w:val="en-AU"/>
        </w:rPr>
        <w:t>rheumatological autoimmune, inflammatory and metabolic bone disorders</w:t>
      </w:r>
      <w:r>
        <w:rPr>
          <w:rFonts w:ascii="Garamond" w:hAnsi="Garamond"/>
          <w:i/>
          <w:lang w:val="en-AU"/>
        </w:rPr>
        <w:t xml:space="preserve"> </w:t>
      </w:r>
      <w:hyperlink r:id="rId42" w:history="1">
        <w:r w:rsidRPr="00B53558">
          <w:rPr>
            <w:rStyle w:val="Hyperlink"/>
            <w:rFonts w:ascii="Garamond" w:hAnsi="Garamond"/>
            <w:lang w:val="en-AU"/>
          </w:rPr>
          <w:t>https://www.nice.org.uk/guidance/ng167</w:t>
        </w:r>
      </w:hyperlink>
    </w:p>
    <w:p w:rsidR="002D4F76" w:rsidRPr="00AA0D18" w:rsidRDefault="002D4F76" w:rsidP="002D4F76">
      <w:pPr>
        <w:pStyle w:val="ListParagraph"/>
        <w:keepNext/>
        <w:keepLines/>
        <w:numPr>
          <w:ilvl w:val="0"/>
          <w:numId w:val="14"/>
        </w:numPr>
        <w:rPr>
          <w:rFonts w:ascii="Garamond" w:hAnsi="Garamond"/>
          <w:i/>
          <w:lang w:val="en-AU"/>
        </w:rPr>
      </w:pPr>
      <w:r w:rsidRPr="00AA0D18">
        <w:rPr>
          <w:rFonts w:ascii="Garamond" w:hAnsi="Garamond"/>
          <w:i/>
          <w:lang w:val="en-AU"/>
        </w:rPr>
        <w:t>NICE Guideline NG17</w:t>
      </w:r>
      <w:r>
        <w:rPr>
          <w:rFonts w:ascii="Garamond" w:hAnsi="Garamond"/>
          <w:i/>
          <w:lang w:val="en-AU"/>
        </w:rPr>
        <w:t>4</w:t>
      </w:r>
      <w:r w:rsidRPr="00AA0D18">
        <w:rPr>
          <w:rFonts w:ascii="Garamond" w:hAnsi="Garamond"/>
          <w:i/>
          <w:lang w:val="en-AU"/>
        </w:rPr>
        <w:t xml:space="preserve"> </w:t>
      </w:r>
      <w:r w:rsidRPr="00AA0D18">
        <w:rPr>
          <w:rFonts w:ascii="Garamond" w:hAnsi="Garamond"/>
          <w:b/>
          <w:i/>
          <w:lang w:val="en-AU"/>
        </w:rPr>
        <w:t>COVID-19</w:t>
      </w:r>
      <w:r w:rsidRPr="00AA0D18">
        <w:rPr>
          <w:rFonts w:ascii="Garamond" w:hAnsi="Garamond"/>
          <w:i/>
          <w:lang w:val="en-AU"/>
        </w:rPr>
        <w:t xml:space="preserve"> rapid guideline:</w:t>
      </w:r>
      <w:r>
        <w:rPr>
          <w:rFonts w:ascii="Garamond" w:hAnsi="Garamond"/>
          <w:i/>
          <w:lang w:val="en-AU"/>
        </w:rPr>
        <w:t xml:space="preserve"> </w:t>
      </w:r>
      <w:r w:rsidRPr="002D4F76">
        <w:rPr>
          <w:rFonts w:ascii="Garamond" w:hAnsi="Garamond"/>
          <w:i/>
          <w:lang w:val="en-AU"/>
        </w:rPr>
        <w:t xml:space="preserve">children and young people who are </w:t>
      </w:r>
      <w:r w:rsidRPr="002D4F76">
        <w:rPr>
          <w:rFonts w:ascii="Garamond" w:hAnsi="Garamond"/>
          <w:b/>
          <w:i/>
          <w:lang w:val="en-AU"/>
        </w:rPr>
        <w:t>immunocompromised</w:t>
      </w:r>
      <w:r>
        <w:rPr>
          <w:rFonts w:ascii="Garamond" w:hAnsi="Garamond"/>
          <w:i/>
          <w:lang w:val="en-AU"/>
        </w:rPr>
        <w:t xml:space="preserve"> </w:t>
      </w:r>
      <w:hyperlink r:id="rId43" w:history="1">
        <w:r w:rsidRPr="00B53558">
          <w:rPr>
            <w:rStyle w:val="Hyperlink"/>
            <w:rFonts w:ascii="Garamond" w:hAnsi="Garamond"/>
            <w:lang w:val="en-AU"/>
          </w:rPr>
          <w:t>https://www.nice.org.uk/guidance/ng174</w:t>
        </w:r>
      </w:hyperlink>
    </w:p>
    <w:p w:rsidR="00752E83" w:rsidRDefault="00752E83" w:rsidP="00AA0D18">
      <w:pPr>
        <w:keepLines/>
        <w:rPr>
          <w:rFonts w:ascii="Garamond" w:hAnsi="Garamond"/>
          <w:i/>
          <w:lang w:val="en-AU"/>
        </w:rPr>
      </w:pPr>
    </w:p>
    <w:p w:rsidR="003E5AF8" w:rsidRPr="00B5521E" w:rsidRDefault="003E5AF8" w:rsidP="003E5AF8">
      <w:pPr>
        <w:keepNext/>
        <w:rPr>
          <w:rFonts w:ascii="Garamond" w:hAnsi="Garamond"/>
          <w:i/>
          <w:lang w:val="en-AU"/>
        </w:rPr>
      </w:pPr>
      <w:r w:rsidRPr="00B5521E">
        <w:rPr>
          <w:rFonts w:ascii="Garamond" w:hAnsi="Garamond"/>
          <w:i/>
          <w:lang w:val="en-AU"/>
        </w:rPr>
        <w:t>[USA] Patient Safety Primers</w:t>
      </w:r>
    </w:p>
    <w:p w:rsidR="003E5AF8" w:rsidRPr="00B5521E" w:rsidRDefault="00DF6568" w:rsidP="003E5AF8">
      <w:pPr>
        <w:keepNext/>
        <w:rPr>
          <w:rFonts w:ascii="Garamond" w:hAnsi="Garamond"/>
          <w:lang w:val="en-AU"/>
        </w:rPr>
      </w:pPr>
      <w:hyperlink r:id="rId44" w:history="1">
        <w:r w:rsidR="003E5AF8" w:rsidRPr="00B5521E">
          <w:rPr>
            <w:rStyle w:val="Hyperlink"/>
            <w:rFonts w:ascii="Garamond" w:hAnsi="Garamond"/>
            <w:lang w:val="en-AU"/>
          </w:rPr>
          <w:t>https://psnet.ahrq.gov/primers/</w:t>
        </w:r>
      </w:hyperlink>
    </w:p>
    <w:p w:rsidR="003E5AF8" w:rsidRPr="00B5521E" w:rsidRDefault="003E5AF8" w:rsidP="003E5AF8">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3E5AF8" w:rsidRPr="003E5AF8" w:rsidRDefault="003E5AF8" w:rsidP="003E5AF8">
      <w:pPr>
        <w:pStyle w:val="ListParagraph"/>
        <w:numPr>
          <w:ilvl w:val="0"/>
          <w:numId w:val="21"/>
        </w:numPr>
        <w:rPr>
          <w:rFonts w:ascii="Garamond" w:hAnsi="Garamond"/>
          <w:i/>
          <w:lang w:val="en-AU"/>
        </w:rPr>
      </w:pPr>
      <w:r w:rsidRPr="003E5AF8">
        <w:rPr>
          <w:rFonts w:ascii="Garamond" w:hAnsi="Garamond"/>
          <w:b/>
          <w:i/>
          <w:lang w:val="en-AU"/>
        </w:rPr>
        <w:t>Discharge Planning</w:t>
      </w:r>
      <w:r w:rsidRPr="003E5AF8">
        <w:rPr>
          <w:rFonts w:ascii="Garamond" w:hAnsi="Garamond"/>
          <w:i/>
          <w:lang w:val="en-AU"/>
        </w:rPr>
        <w:t xml:space="preserve"> and Transitions of Care</w:t>
      </w:r>
      <w:r>
        <w:rPr>
          <w:rFonts w:ascii="Garamond" w:hAnsi="Garamond"/>
          <w:i/>
          <w:lang w:val="en-AU"/>
        </w:rPr>
        <w:t xml:space="preserve"> </w:t>
      </w:r>
      <w:r>
        <w:rPr>
          <w:rFonts w:ascii="Garamond" w:hAnsi="Garamond"/>
          <w:i/>
          <w:lang w:val="en-AU"/>
        </w:rPr>
        <w:br/>
      </w:r>
      <w:hyperlink r:id="rId45" w:history="1">
        <w:r w:rsidRPr="00423853">
          <w:rPr>
            <w:rStyle w:val="Hyperlink"/>
            <w:rFonts w:ascii="Garamond" w:hAnsi="Garamond"/>
            <w:lang w:val="en-AU"/>
          </w:rPr>
          <w:t>https://psnet.ahrq.gov/primer/discharge-planning-and-transitions-care</w:t>
        </w:r>
      </w:hyperlink>
      <w:r>
        <w:rPr>
          <w:rFonts w:ascii="Garamond" w:hAnsi="Garamond"/>
          <w:lang w:val="en-AU"/>
        </w:rPr>
        <w:t xml:space="preserve"> </w:t>
      </w:r>
      <w:r>
        <w:rPr>
          <w:rFonts w:ascii="Garamond" w:hAnsi="Garamond"/>
          <w:lang w:val="en-AU"/>
        </w:rPr>
        <w:br/>
        <w:t>E</w:t>
      </w:r>
      <w:r w:rsidRPr="003E5AF8">
        <w:rPr>
          <w:rFonts w:ascii="Garamond" w:hAnsi="Garamond"/>
          <w:lang w:val="en-AU"/>
        </w:rPr>
        <w:t>ffective discharge planning</w:t>
      </w:r>
      <w:r>
        <w:rPr>
          <w:rFonts w:ascii="Garamond" w:hAnsi="Garamond"/>
          <w:lang w:val="en-AU"/>
        </w:rPr>
        <w:t xml:space="preserve"> </w:t>
      </w:r>
      <w:r w:rsidRPr="003E5AF8">
        <w:rPr>
          <w:rFonts w:ascii="Garamond" w:hAnsi="Garamond"/>
          <w:lang w:val="en-AU"/>
        </w:rPr>
        <w:t xml:space="preserve">can </w:t>
      </w:r>
      <w:r>
        <w:rPr>
          <w:rFonts w:ascii="Garamond" w:hAnsi="Garamond"/>
          <w:lang w:val="en-AU"/>
        </w:rPr>
        <w:t xml:space="preserve">aid </w:t>
      </w:r>
      <w:r w:rsidRPr="003E5AF8">
        <w:rPr>
          <w:rFonts w:ascii="Garamond" w:hAnsi="Garamond"/>
          <w:lang w:val="en-AU"/>
        </w:rPr>
        <w:t xml:space="preserve">patients </w:t>
      </w:r>
      <w:r>
        <w:rPr>
          <w:rFonts w:ascii="Garamond" w:hAnsi="Garamond"/>
          <w:lang w:val="en-AU"/>
        </w:rPr>
        <w:t xml:space="preserve">to </w:t>
      </w:r>
      <w:r w:rsidRPr="003E5AF8">
        <w:rPr>
          <w:rFonts w:ascii="Garamond" w:hAnsi="Garamond"/>
          <w:lang w:val="en-AU"/>
        </w:rPr>
        <w:t xml:space="preserve">successfully transition to home care. </w:t>
      </w:r>
      <w:r>
        <w:rPr>
          <w:rFonts w:ascii="Garamond" w:hAnsi="Garamond"/>
          <w:lang w:val="en-AU"/>
        </w:rPr>
        <w:t>P</w:t>
      </w:r>
      <w:r w:rsidRPr="003E5AF8">
        <w:rPr>
          <w:rFonts w:ascii="Garamond" w:hAnsi="Garamond"/>
          <w:lang w:val="en-AU"/>
        </w:rPr>
        <w:t xml:space="preserve">oor transitions increase the risk of readmissions and adverse drug events after discharge, </w:t>
      </w:r>
      <w:r>
        <w:rPr>
          <w:rFonts w:ascii="Garamond" w:hAnsi="Garamond"/>
          <w:lang w:val="en-AU"/>
        </w:rPr>
        <w:t xml:space="preserve">but </w:t>
      </w:r>
      <w:r w:rsidRPr="003E5AF8">
        <w:rPr>
          <w:rFonts w:ascii="Garamond" w:hAnsi="Garamond"/>
          <w:lang w:val="en-AU"/>
        </w:rPr>
        <w:t>early discharge preparation can significantly decrease hospital length of stay, readmission risk, and mortality risk, according to the authors. The primer includes recommendations and resources to support discharge preparation efforts and identifies risk factors for poor transitions.</w:t>
      </w:r>
    </w:p>
    <w:p w:rsidR="003E5AF8" w:rsidRDefault="003E5AF8" w:rsidP="00AA0D18">
      <w:pPr>
        <w:keepLines/>
        <w:rPr>
          <w:rFonts w:ascii="Garamond" w:hAnsi="Garamond"/>
          <w:i/>
          <w:lang w:val="en-AU"/>
        </w:rPr>
      </w:pPr>
    </w:p>
    <w:p w:rsidR="00051719" w:rsidRPr="000170DA" w:rsidRDefault="00051719" w:rsidP="00051719">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051719" w:rsidRPr="000170DA" w:rsidRDefault="00DF6568" w:rsidP="00051719">
      <w:pPr>
        <w:keepNext/>
        <w:keepLines/>
        <w:rPr>
          <w:rFonts w:ascii="Garamond" w:hAnsi="Garamond"/>
          <w:u w:val="single"/>
          <w:lang w:val="en-AU"/>
        </w:rPr>
      </w:pPr>
      <w:r>
        <w:fldChar w:fldCharType="begin"/>
      </w:r>
      <w:r>
        <w:instrText xml:space="preserve"> HYPERLINK "https://effectivehealthcare.ahrq.gov/" </w:instrText>
      </w:r>
      <w:r>
        <w:fldChar w:fldCharType="separate"/>
      </w:r>
      <w:r w:rsidR="00051719" w:rsidRPr="000170DA">
        <w:rPr>
          <w:rStyle w:val="Hyperlink"/>
          <w:rFonts w:ascii="Garamond" w:hAnsi="Garamond"/>
          <w:lang w:val="en-AU"/>
        </w:rPr>
        <w:t>https://effectivehealthcare.ahrq.gov/</w:t>
      </w:r>
      <w:r>
        <w:rPr>
          <w:rStyle w:val="Hyperlink"/>
          <w:rFonts w:ascii="Garamond" w:hAnsi="Garamond"/>
          <w:lang w:val="en-AU"/>
        </w:rPr>
        <w:fldChar w:fldCharType="end"/>
      </w:r>
    </w:p>
    <w:p w:rsidR="00051719" w:rsidRDefault="00051719" w:rsidP="00051719">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68331B" w:rsidRPr="0068331B" w:rsidRDefault="0068331B" w:rsidP="0068331B">
      <w:pPr>
        <w:pStyle w:val="ListParagraph"/>
        <w:numPr>
          <w:ilvl w:val="0"/>
          <w:numId w:val="18"/>
        </w:numPr>
        <w:rPr>
          <w:rFonts w:ascii="Garamond" w:hAnsi="Garamond"/>
          <w:i/>
          <w:lang w:val="en-AU"/>
        </w:rPr>
      </w:pPr>
      <w:r w:rsidRPr="0068331B">
        <w:rPr>
          <w:rFonts w:ascii="Garamond" w:hAnsi="Garamond"/>
          <w:b/>
          <w:i/>
          <w:lang w:val="en-AU"/>
        </w:rPr>
        <w:t>Labor Dystocia</w:t>
      </w:r>
      <w:r>
        <w:rPr>
          <w:rFonts w:ascii="Garamond" w:hAnsi="Garamond"/>
          <w:i/>
          <w:lang w:val="en-AU"/>
        </w:rPr>
        <w:t xml:space="preserve"> </w:t>
      </w:r>
      <w:hyperlink r:id="rId46" w:history="1">
        <w:r w:rsidRPr="0068331B">
          <w:rPr>
            <w:rStyle w:val="Hyperlink"/>
            <w:rFonts w:ascii="Garamond" w:hAnsi="Garamond"/>
            <w:lang w:val="en-AU"/>
          </w:rPr>
          <w:t>https://effectivehealthcare.ahrq.gov/products/labor-dystocia/research</w:t>
        </w:r>
      </w:hyperlink>
      <w:r>
        <w:rPr>
          <w:rFonts w:ascii="Garamond" w:hAnsi="Garamond"/>
          <w:i/>
          <w:lang w:val="en-AU"/>
        </w:rPr>
        <w:t xml:space="preserve"> </w:t>
      </w:r>
    </w:p>
    <w:p w:rsidR="00AA0D18" w:rsidRDefault="0068331B" w:rsidP="0068331B">
      <w:pPr>
        <w:pStyle w:val="ListParagraph"/>
        <w:numPr>
          <w:ilvl w:val="0"/>
          <w:numId w:val="18"/>
        </w:numPr>
        <w:rPr>
          <w:rFonts w:ascii="Garamond" w:hAnsi="Garamond"/>
          <w:i/>
          <w:lang w:val="en-AU"/>
        </w:rPr>
      </w:pPr>
      <w:r w:rsidRPr="0068331B">
        <w:rPr>
          <w:rFonts w:ascii="Garamond" w:hAnsi="Garamond"/>
          <w:i/>
          <w:lang w:val="en-AU"/>
        </w:rPr>
        <w:t xml:space="preserve">The Evidence Base for </w:t>
      </w:r>
      <w:r w:rsidRPr="0068331B">
        <w:rPr>
          <w:rFonts w:ascii="Garamond" w:hAnsi="Garamond"/>
          <w:b/>
          <w:i/>
          <w:lang w:val="en-AU"/>
        </w:rPr>
        <w:t>Telehealth</w:t>
      </w:r>
      <w:r w:rsidRPr="0068331B">
        <w:rPr>
          <w:rFonts w:ascii="Garamond" w:hAnsi="Garamond"/>
          <w:i/>
          <w:lang w:val="en-AU"/>
        </w:rPr>
        <w:t>: Reassurance in the Face of Rapid Expansion</w:t>
      </w:r>
      <w:r>
        <w:rPr>
          <w:rFonts w:ascii="Garamond" w:hAnsi="Garamond"/>
          <w:i/>
          <w:lang w:val="en-AU"/>
        </w:rPr>
        <w:t xml:space="preserve"> During the COVID-19 Pandemic </w:t>
      </w:r>
      <w:hyperlink r:id="rId47" w:history="1">
        <w:r w:rsidRPr="00DD3206">
          <w:rPr>
            <w:rStyle w:val="Hyperlink"/>
            <w:rFonts w:ascii="Garamond" w:hAnsi="Garamond"/>
            <w:lang w:val="en-AU"/>
          </w:rPr>
          <w:t>https://effectivehealthcare.ahrq.gov/products/telehealth-expansion/white-paper</w:t>
        </w:r>
      </w:hyperlink>
    </w:p>
    <w:bookmarkEnd w:id="1"/>
    <w:p w:rsidR="006C6583" w:rsidRDefault="006C6583" w:rsidP="007A13C1">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lastRenderedPageBreak/>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8"/>
      <w:footerReference w:type="defaul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BF" w:rsidRDefault="00DC09BF">
      <w:r>
        <w:separator/>
      </w:r>
    </w:p>
  </w:endnote>
  <w:endnote w:type="continuationSeparator" w:id="0">
    <w:p w:rsidR="00DC09BF" w:rsidRDefault="00DC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Default="00DC09B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F6568">
      <w:rPr>
        <w:rStyle w:val="PageNumber"/>
        <w:noProof/>
      </w:rPr>
      <w:t>8</w:t>
    </w:r>
    <w:r>
      <w:rPr>
        <w:rStyle w:val="PageNumber"/>
      </w:rPr>
      <w:fldChar w:fldCharType="end"/>
    </w:r>
  </w:p>
  <w:p w:rsidR="00DC09BF" w:rsidRPr="001E78F0" w:rsidRDefault="00DC09B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46</w:t>
    </w:r>
    <w:r w:rsidR="00752E83">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Pr="001E78F0" w:rsidRDefault="00DC09B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DF6568">
      <w:rPr>
        <w:rStyle w:val="PageNumber"/>
        <w:rFonts w:ascii="Garamond" w:hAnsi="Garamond"/>
        <w:noProof/>
      </w:rPr>
      <w:t>7</w:t>
    </w:r>
    <w:r w:rsidRPr="001E78F0">
      <w:rPr>
        <w:rStyle w:val="PageNumber"/>
        <w:rFonts w:ascii="Garamond" w:hAnsi="Garamond"/>
      </w:rPr>
      <w:fldChar w:fldCharType="end"/>
    </w:r>
  </w:p>
  <w:p w:rsidR="00DC09BF" w:rsidRPr="001E78F0" w:rsidRDefault="00DC09B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752E83">
      <w:rPr>
        <w:rFonts w:ascii="Garamond" w:hAnsi="Garamond"/>
      </w:rPr>
      <w:t xml:space="preserve"> Issue 465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BF" w:rsidRDefault="00DC09BF">
      <w:r>
        <w:separator/>
      </w:r>
    </w:p>
  </w:footnote>
  <w:footnote w:type="continuationSeparator" w:id="0">
    <w:p w:rsidR="00DC09BF" w:rsidRDefault="00DC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E692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497FF0"/>
    <w:multiLevelType w:val="hybridMultilevel"/>
    <w:tmpl w:val="039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DF213A"/>
    <w:multiLevelType w:val="hybridMultilevel"/>
    <w:tmpl w:val="ADB2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B26176"/>
    <w:multiLevelType w:val="hybridMultilevel"/>
    <w:tmpl w:val="623A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15"/>
  </w:num>
  <w:num w:numId="16">
    <w:abstractNumId w:val="11"/>
  </w:num>
  <w:num w:numId="17">
    <w:abstractNumId w:val="23"/>
  </w:num>
  <w:num w:numId="18">
    <w:abstractNumId w:val="12"/>
  </w:num>
  <w:num w:numId="19">
    <w:abstractNumId w:val="27"/>
  </w:num>
  <w:num w:numId="20">
    <w:abstractNumId w:val="13"/>
  </w:num>
  <w:num w:numId="21">
    <w:abstractNumId w:val="10"/>
  </w:num>
  <w:num w:numId="22">
    <w:abstractNumId w:val="14"/>
  </w:num>
  <w:num w:numId="23">
    <w:abstractNumId w:val="21"/>
  </w:num>
  <w:num w:numId="24">
    <w:abstractNumId w:val="24"/>
  </w:num>
  <w:num w:numId="25">
    <w:abstractNumId w:val="17"/>
  </w:num>
  <w:num w:numId="26">
    <w:abstractNumId w:val="16"/>
  </w:num>
  <w:num w:numId="27">
    <w:abstractNumId w:val="26"/>
  </w:num>
  <w:num w:numId="2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59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AF8"/>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597"/>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A3E"/>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3DE4"/>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46B"/>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C1"/>
    <w:rsid w:val="00AD5CD7"/>
    <w:rsid w:val="00AD5EBB"/>
    <w:rsid w:val="00AD6312"/>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13E"/>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568"/>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9425"/>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F2E"/>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covid-19-elective-surgery-and-infection-prevention-and-control-precautions" TargetMode="External"/><Relationship Id="rId26" Type="http://schemas.openxmlformats.org/officeDocument/2006/relationships/hyperlink" Target="https://doi.org/10.1186/s12955-020-01300-8" TargetMode="External"/><Relationship Id="rId39" Type="http://schemas.openxmlformats.org/officeDocument/2006/relationships/hyperlink" Target="https://www.nice.org.uk/guidance/ng176"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infection-prevention-and-control-covid-19-personal-protective-equipment" TargetMode="External"/><Relationship Id="rId34" Type="http://schemas.openxmlformats.org/officeDocument/2006/relationships/hyperlink" Target="https://qualitysafety.bmj.com/content/early/recent" TargetMode="External"/><Relationship Id="rId42" Type="http://schemas.openxmlformats.org/officeDocument/2006/relationships/hyperlink" Target="https://www.nice.org.uk/guidance/ng167" TargetMode="External"/><Relationship Id="rId47" Type="http://schemas.openxmlformats.org/officeDocument/2006/relationships/hyperlink" Target="https://effectivehealthcare.ahrq.gov/products/telehealth-expansion/white-paper"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break-chain-poster-a3" TargetMode="External"/><Relationship Id="rId25" Type="http://schemas.openxmlformats.org/officeDocument/2006/relationships/hyperlink" Target="http://doi.org/10.1097/jhq.0000000000000261" TargetMode="External"/><Relationship Id="rId33" Type="http://schemas.openxmlformats.org/officeDocument/2006/relationships/hyperlink" Target="https://qualitysafety.bmj.com/content/29/6" TargetMode="External"/><Relationship Id="rId38" Type="http://schemas.openxmlformats.org/officeDocument/2006/relationships/hyperlink" Target="https://www.nice.org.uk/guidance" TargetMode="External"/><Relationship Id="rId46" Type="http://schemas.openxmlformats.org/officeDocument/2006/relationships/hyperlink" Target="https://effectivehealthcare.ahrq.gov/products/labor-dystocia/research"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medicines-management-covid-19" TargetMode="External"/><Relationship Id="rId20" Type="http://schemas.openxmlformats.org/officeDocument/2006/relationships/hyperlink" Target="https://www.safetyandquality.gov.au/node/5725" TargetMode="External"/><Relationship Id="rId29" Type="http://schemas.openxmlformats.org/officeDocument/2006/relationships/hyperlink" Target="http://dx.doi.org/10.1136/bmjqs-2020-010855" TargetMode="External"/><Relationship Id="rId41" Type="http://schemas.openxmlformats.org/officeDocument/2006/relationships/hyperlink" Target="https://www.nice.org.uk/guidance/ng1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image" Target="media/image2.png"/><Relationship Id="rId32" Type="http://schemas.openxmlformats.org/officeDocument/2006/relationships/hyperlink" Target="https://www.safetyandquality.gov.au/our-work/clinical-governance/open-disclosure" TargetMode="External"/><Relationship Id="rId37" Type="http://schemas.openxmlformats.org/officeDocument/2006/relationships/hyperlink" Target="https://www.aci.health.nsw.gov.au/covid-19/critical-intelligence-unit" TargetMode="External"/><Relationship Id="rId40" Type="http://schemas.openxmlformats.org/officeDocument/2006/relationships/hyperlink" Target="https://www.nice.org.uk/guidance/ng177" TargetMode="External"/><Relationship Id="rId45" Type="http://schemas.openxmlformats.org/officeDocument/2006/relationships/hyperlink" Target="https://psnet.ahrq.gov/primer/discharge-planning-and-transitions-care"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commonwealthfund.org/publications/issue-briefs/2020/may/mental-health-conditions-substance-use-comparing-us-other-countries" TargetMode="External"/><Relationship Id="rId28" Type="http://schemas.openxmlformats.org/officeDocument/2006/relationships/hyperlink" Target="http://doi.org/10.1111/jonm.12978" TargetMode="External"/><Relationship Id="rId36" Type="http://schemas.openxmlformats.org/officeDocument/2006/relationships/hyperlink" Target="https://covid19evidence.net.au/" TargetMode="External"/><Relationship Id="rId49"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node/5724" TargetMode="External"/><Relationship Id="rId31" Type="http://schemas.openxmlformats.org/officeDocument/2006/relationships/hyperlink" Target="https://c4sportal.safetyandquality.gov.au/" TargetMode="External"/><Relationship Id="rId44" Type="http://schemas.openxmlformats.org/officeDocument/2006/relationships/hyperlink" Target="https://psnet.ahrq.gov/primers/"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special-precautions-covid-19-designated-zones" TargetMode="External"/><Relationship Id="rId27" Type="http://schemas.openxmlformats.org/officeDocument/2006/relationships/hyperlink" Target="http://dx.doi.org/10.1136/bmjgh-2019-001999" TargetMode="External"/><Relationship Id="rId30" Type="http://schemas.openxmlformats.org/officeDocument/2006/relationships/hyperlink" Target="https://www.safetyandquality.gov.au/our-work/communicating-safety" TargetMode="External"/><Relationship Id="rId35" Type="http://schemas.openxmlformats.org/officeDocument/2006/relationships/hyperlink" Target="https://academic.oup.com/intqhc/advance-articles" TargetMode="External"/><Relationship Id="rId43" Type="http://schemas.openxmlformats.org/officeDocument/2006/relationships/hyperlink" Target="https://www.nice.org.uk/guidance/ng174" TargetMode="External"/><Relationship Id="rId48"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905A-D504-4AE0-8618-58452473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8</Pages>
  <Words>3428</Words>
  <Characters>19542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On the Radar Issue 465</vt:lpstr>
    </vt:vector>
  </TitlesOfParts>
  <Company>ACSQHC</Company>
  <LinksUpToDate>false</LinksUpToDate>
  <CharactersWithSpaces>22925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465</dc:title>
  <dc:subject/>
  <dc:creator>Dr Niall Johnson</dc:creator>
  <cp:keywords/>
  <dc:description/>
  <cp:lastModifiedBy>Johnson, Niall</cp:lastModifiedBy>
  <cp:revision>21</cp:revision>
  <cp:lastPrinted>2018-03-02T02:34:00Z</cp:lastPrinted>
  <dcterms:created xsi:type="dcterms:W3CDTF">2020-05-17T22:11:00Z</dcterms:created>
  <dcterms:modified xsi:type="dcterms:W3CDTF">2020-05-22T03:11:00Z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