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5E782C">
        <w:rPr>
          <w:rFonts w:ascii="Garamond" w:hAnsi="Garamond"/>
          <w:lang w:val="en-AU"/>
        </w:rPr>
        <w:t>66</w:t>
      </w:r>
    </w:p>
    <w:p w:rsidR="00755242" w:rsidRDefault="005E782C" w:rsidP="00F738B5">
      <w:pPr>
        <w:rPr>
          <w:rFonts w:ascii="Garamond" w:hAnsi="Garamond"/>
          <w:lang w:val="en-AU"/>
        </w:rPr>
      </w:pPr>
      <w:r>
        <w:rPr>
          <w:rFonts w:ascii="Garamond" w:hAnsi="Garamond"/>
          <w:lang w:val="en-AU"/>
        </w:rPr>
        <w:t>1 June</w:t>
      </w:r>
      <w:r w:rsidR="00BB3BE3">
        <w:rPr>
          <w:rFonts w:ascii="Garamond" w:hAnsi="Garamond"/>
          <w:lang w:val="en-AU"/>
        </w:rPr>
        <w:t xml:space="preserve">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6C7857" w:rsidRPr="006C7857" w:rsidRDefault="006C7857" w:rsidP="00E62541">
      <w:pPr>
        <w:pStyle w:val="ListParagraph"/>
        <w:numPr>
          <w:ilvl w:val="0"/>
          <w:numId w:val="23"/>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16"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Nebulisation and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lastRenderedPageBreak/>
        <w:t>Ongoing medicines management in high-risk patients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Medicines shortages</w:t>
      </w:r>
    </w:p>
    <w:p w:rsidR="00510BCD" w:rsidRPr="00504597" w:rsidRDefault="00510BCD"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17" w:history="1">
        <w:r w:rsidRPr="00504597">
          <w:rPr>
            <w:rStyle w:val="Hyperlink"/>
            <w:rFonts w:ascii="Garamond" w:hAnsi="Garamond"/>
            <w:lang w:val="en-AU"/>
          </w:rPr>
          <w:t>https://www.safetyandquality.gov.au/publications-and-resources/resource-library/break-chain-poster-a3</w:t>
        </w:r>
      </w:hyperlink>
    </w:p>
    <w:p w:rsidR="00504597" w:rsidRPr="009A6069"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1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clinicians on elective surgery </w:t>
      </w:r>
      <w:hyperlink r:id="rId1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consumers on elective surgery </w:t>
      </w:r>
      <w:hyperlink r:id="rId20" w:history="1">
        <w:r w:rsidRPr="0015250A">
          <w:rPr>
            <w:rStyle w:val="Hyperlink"/>
            <w:rFonts w:ascii="Garamond" w:hAnsi="Garamond"/>
            <w:lang w:val="en-AU"/>
          </w:rPr>
          <w:t>https://www.safetyandquality.gov.au/node/5725</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1"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2" w:history="1">
        <w:r w:rsidRPr="00504597">
          <w:rPr>
            <w:rStyle w:val="Hyperlink"/>
            <w:rFonts w:ascii="Garamond" w:hAnsi="Garamond"/>
            <w:lang w:val="en-AU"/>
          </w:rPr>
          <w:t>https://www.safetyandquality.gov.au/publications-and-resources/resource-library/special-precautions-covid-19-designated-zones</w:t>
        </w:r>
      </w:hyperlink>
    </w:p>
    <w:p w:rsidR="007D33D7" w:rsidRDefault="007D33D7" w:rsidP="00736DAE">
      <w:pPr>
        <w:ind w:left="720" w:hanging="720"/>
        <w:rPr>
          <w:rFonts w:ascii="Garamond" w:hAnsi="Garamond"/>
          <w:b/>
          <w:lang w:val="en-AU"/>
        </w:rPr>
      </w:pPr>
    </w:p>
    <w:p w:rsidR="00504597" w:rsidRDefault="00310503" w:rsidP="00310503">
      <w:pPr>
        <w:ind w:left="720" w:hanging="720"/>
        <w:jc w:val="center"/>
        <w:rPr>
          <w:rFonts w:ascii="Garamond" w:hAnsi="Garamond"/>
          <w:b/>
          <w:lang w:val="en-AU"/>
        </w:rPr>
      </w:pPr>
      <w:r>
        <w:rPr>
          <w:rFonts w:ascii="Garamond" w:hAnsi="Garamond"/>
          <w:b/>
          <w:noProof/>
          <w:lang w:val="en-AU" w:eastAsia="en-AU"/>
        </w:rPr>
        <w:drawing>
          <wp:inline distT="0" distB="0" distL="0" distR="0">
            <wp:extent cx="3909695" cy="5526405"/>
            <wp:effectExtent l="0" t="0" r="0" b="0"/>
            <wp:docPr id="1" name="Picture 1" descr="\\central.health\DfsUserEnv\Users\User_07\JOHNNI\Downloads\thumbnail-poster-break-the-chain-plus-nsw-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9695" cy="5526405"/>
                    </a:xfrm>
                    <a:prstGeom prst="rect">
                      <a:avLst/>
                    </a:prstGeom>
                    <a:noFill/>
                    <a:ln>
                      <a:noFill/>
                    </a:ln>
                  </pic:spPr>
                </pic:pic>
              </a:graphicData>
            </a:graphic>
          </wp:inline>
        </w:drawing>
      </w:r>
    </w:p>
    <w:p w:rsidR="00BB3BE3" w:rsidRDefault="00BB3BE3" w:rsidP="00C17C82">
      <w:pPr>
        <w:keepNext/>
        <w:ind w:left="720" w:hanging="720"/>
        <w:rPr>
          <w:rFonts w:ascii="Garamond" w:hAnsi="Garamond"/>
          <w:b/>
          <w:lang w:val="en-AU"/>
        </w:rPr>
      </w:pPr>
      <w:r>
        <w:rPr>
          <w:rFonts w:ascii="Garamond" w:hAnsi="Garamond"/>
          <w:b/>
          <w:lang w:val="en-AU"/>
        </w:rPr>
        <w:lastRenderedPageBreak/>
        <w:t>Reports</w:t>
      </w:r>
    </w:p>
    <w:p w:rsidR="00BB3BE3" w:rsidRDefault="00BB3BE3" w:rsidP="00BB3BE3">
      <w:pPr>
        <w:keepNext/>
        <w:keepLines/>
        <w:autoSpaceDE w:val="0"/>
        <w:autoSpaceDN w:val="0"/>
        <w:adjustRightInd w:val="0"/>
        <w:rPr>
          <w:rFonts w:ascii="Garamond" w:hAnsi="Garamond"/>
          <w:lang w:val="en-AU"/>
        </w:rPr>
      </w:pPr>
    </w:p>
    <w:p w:rsidR="00EE7A97" w:rsidRPr="00307A53" w:rsidRDefault="00307A53" w:rsidP="006E3A82">
      <w:pPr>
        <w:keepNext/>
        <w:keepLines/>
        <w:autoSpaceDE w:val="0"/>
        <w:autoSpaceDN w:val="0"/>
        <w:adjustRightInd w:val="0"/>
        <w:rPr>
          <w:rFonts w:ascii="Garamond" w:hAnsi="Garamond"/>
          <w:i/>
          <w:lang w:val="en-AU"/>
        </w:rPr>
      </w:pPr>
      <w:r w:rsidRPr="00307A53">
        <w:rPr>
          <w:rFonts w:ascii="Garamond" w:hAnsi="Garamond"/>
          <w:i/>
          <w:lang w:val="en-AU"/>
        </w:rPr>
        <w:t>Developmental Language Disorder: A disability, health and education challenge</w:t>
      </w:r>
    </w:p>
    <w:p w:rsidR="00307A53" w:rsidRDefault="00307A53" w:rsidP="00307A53">
      <w:pPr>
        <w:keepNext/>
        <w:keepLines/>
        <w:autoSpaceDE w:val="0"/>
        <w:autoSpaceDN w:val="0"/>
        <w:adjustRightInd w:val="0"/>
        <w:rPr>
          <w:rFonts w:ascii="Garamond" w:hAnsi="Garamond"/>
          <w:lang w:val="en-AU"/>
        </w:rPr>
      </w:pPr>
      <w:r w:rsidRPr="00307A53">
        <w:rPr>
          <w:rFonts w:ascii="Garamond" w:hAnsi="Garamond"/>
          <w:lang w:val="en-AU"/>
        </w:rPr>
        <w:t>Deeble Institute Evidence Brief No. 20</w:t>
      </w:r>
    </w:p>
    <w:p w:rsidR="00307A53" w:rsidRDefault="00307A53" w:rsidP="006E3A82">
      <w:pPr>
        <w:keepNext/>
        <w:keepLines/>
        <w:autoSpaceDE w:val="0"/>
        <w:autoSpaceDN w:val="0"/>
        <w:adjustRightInd w:val="0"/>
        <w:rPr>
          <w:rFonts w:ascii="Garamond" w:hAnsi="Garamond"/>
          <w:lang w:val="en-AU"/>
        </w:rPr>
      </w:pPr>
      <w:r w:rsidRPr="00307A53">
        <w:rPr>
          <w:rFonts w:ascii="Garamond" w:hAnsi="Garamond"/>
          <w:lang w:val="en-AU"/>
        </w:rPr>
        <w:t>Walker C, Haddock R</w:t>
      </w:r>
    </w:p>
    <w:p w:rsidR="00307A53" w:rsidRDefault="00307A53" w:rsidP="006E3A82">
      <w:pPr>
        <w:keepNext/>
        <w:keepLines/>
        <w:autoSpaceDE w:val="0"/>
        <w:autoSpaceDN w:val="0"/>
        <w:adjustRightInd w:val="0"/>
        <w:rPr>
          <w:rFonts w:ascii="Garamond" w:hAnsi="Garamond"/>
          <w:lang w:val="en-AU"/>
        </w:rPr>
      </w:pPr>
      <w:r w:rsidRPr="00307A53">
        <w:rPr>
          <w:rFonts w:ascii="Garamond" w:hAnsi="Garamond"/>
          <w:lang w:val="en-AU"/>
        </w:rPr>
        <w:t>Canberra: Australian Healthcare and Hospitals Association; 2020. p. 12.</w:t>
      </w:r>
    </w:p>
    <w:tbl>
      <w:tblPr>
        <w:tblStyle w:val="TableGrid"/>
        <w:tblW w:w="0" w:type="auto"/>
        <w:tblInd w:w="288" w:type="dxa"/>
        <w:tblLayout w:type="fixed"/>
        <w:tblLook w:val="01E0" w:firstRow="1" w:lastRow="1" w:firstColumn="1" w:lastColumn="1" w:noHBand="0" w:noVBand="0"/>
      </w:tblPr>
      <w:tblGrid>
        <w:gridCol w:w="1080"/>
        <w:gridCol w:w="8280"/>
      </w:tblGrid>
      <w:tr w:rsidR="00967E3C"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967E3C" w:rsidRPr="000170DA" w:rsidRDefault="0071694C" w:rsidP="00DC09B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E782C" w:rsidRPr="005E782C" w:rsidRDefault="0082759F" w:rsidP="00307A53">
            <w:pPr>
              <w:rPr>
                <w:rStyle w:val="Hyperlink"/>
                <w:rFonts w:ascii="Garamond" w:hAnsi="Garamond"/>
                <w:lang w:val="en-AU"/>
              </w:rPr>
            </w:pPr>
            <w:hyperlink r:id="rId24" w:history="1">
              <w:r w:rsidR="00307A53" w:rsidRPr="00F951BB">
                <w:rPr>
                  <w:rStyle w:val="Hyperlink"/>
                </w:rPr>
                <w:t>https://ahha.asn.au/publication/health-policy-evidence-briefs/evidence-brief-no-20-developmental-language-disorder</w:t>
              </w:r>
            </w:hyperlink>
            <w:hyperlink r:id="rId25" w:history="1"/>
          </w:p>
        </w:tc>
      </w:tr>
      <w:tr w:rsidR="00967E3C"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967E3C" w:rsidRPr="00E8520B" w:rsidRDefault="00967E3C" w:rsidP="00DC09BF">
            <w:pPr>
              <w:rPr>
                <w:rFonts w:ascii="Garamond" w:hAnsi="Garamond"/>
                <w:lang w:val="en-AU" w:eastAsia="en-AU"/>
              </w:rPr>
            </w:pPr>
            <w:r w:rsidRPr="00E8520B">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78E6" w:rsidRPr="007A13C1" w:rsidRDefault="00307A53" w:rsidP="003057D6">
            <w:pPr>
              <w:keepNext/>
              <w:keepLines/>
              <w:autoSpaceDE w:val="0"/>
              <w:autoSpaceDN w:val="0"/>
              <w:adjustRightInd w:val="0"/>
              <w:rPr>
                <w:rFonts w:ascii="Garamond" w:hAnsi="Garamond"/>
                <w:lang w:val="en-AU"/>
              </w:rPr>
            </w:pPr>
            <w:r w:rsidRPr="00307A53">
              <w:rPr>
                <w:rFonts w:ascii="Garamond" w:hAnsi="Garamond"/>
                <w:lang w:val="en-AU"/>
              </w:rPr>
              <w:t>This evidence brief published by the Australian Healthcare and Hospitals Association’s Deeble Institute</w:t>
            </w:r>
            <w:r>
              <w:rPr>
                <w:rFonts w:ascii="Garamond" w:hAnsi="Garamond"/>
                <w:lang w:val="en-AU"/>
              </w:rPr>
              <w:t xml:space="preserve"> – and developed with Speech and Language Development Australia (SALDA) – provides an overview of the issue of developmental language disorder (DLD) in Australia. DLD is characterised as ‘</w:t>
            </w:r>
            <w:r w:rsidRPr="00307A53">
              <w:rPr>
                <w:rFonts w:ascii="Garamond" w:hAnsi="Garamond"/>
                <w:lang w:val="en-AU"/>
              </w:rPr>
              <w:t>a life-long condition characterised by difficulties with understanding and/or using spoken language. DLD is a neurodevelopmental condition that cannot be explained by known biomedical conditions; it is likely the result of a number of biological, genetic and environmental risk factors</w:t>
            </w:r>
            <w:r>
              <w:rPr>
                <w:rFonts w:ascii="Garamond" w:hAnsi="Garamond"/>
                <w:lang w:val="en-AU"/>
              </w:rPr>
              <w:t>’.</w:t>
            </w:r>
            <w:r w:rsidR="003057D6">
              <w:rPr>
                <w:rFonts w:ascii="Garamond" w:hAnsi="Garamond"/>
                <w:lang w:val="en-AU"/>
              </w:rPr>
              <w:t xml:space="preserve"> The authors of this Evidence Brief suggest that </w:t>
            </w:r>
            <w:r w:rsidR="003057D6" w:rsidRPr="003057D6">
              <w:rPr>
                <w:rFonts w:ascii="Garamond" w:hAnsi="Garamond"/>
                <w:lang w:val="en-AU"/>
              </w:rPr>
              <w:t xml:space="preserve">the prevalence </w:t>
            </w:r>
            <w:r w:rsidR="003057D6">
              <w:rPr>
                <w:rFonts w:ascii="Garamond" w:hAnsi="Garamond"/>
                <w:lang w:val="en-AU"/>
              </w:rPr>
              <w:t xml:space="preserve">of DLD </w:t>
            </w:r>
            <w:r w:rsidR="003057D6" w:rsidRPr="003057D6">
              <w:rPr>
                <w:rFonts w:ascii="Garamond" w:hAnsi="Garamond"/>
                <w:lang w:val="en-AU"/>
              </w:rPr>
              <w:t>may be as high as 17 percent</w:t>
            </w:r>
            <w:r w:rsidR="003057D6">
              <w:rPr>
                <w:rFonts w:ascii="Garamond" w:hAnsi="Garamond"/>
                <w:lang w:val="en-AU"/>
              </w:rPr>
              <w:t xml:space="preserve">. The brief </w:t>
            </w:r>
            <w:r w:rsidR="003057D6" w:rsidRPr="003057D6">
              <w:rPr>
                <w:rFonts w:ascii="Garamond" w:hAnsi="Garamond"/>
                <w:lang w:val="en-AU"/>
              </w:rPr>
              <w:t xml:space="preserve">examines the impact of </w:t>
            </w:r>
            <w:r w:rsidR="003057D6">
              <w:rPr>
                <w:rFonts w:ascii="Garamond" w:hAnsi="Garamond"/>
                <w:lang w:val="en-AU"/>
              </w:rPr>
              <w:t xml:space="preserve">DLD </w:t>
            </w:r>
            <w:r w:rsidR="003057D6" w:rsidRPr="003057D6">
              <w:rPr>
                <w:rFonts w:ascii="Garamond" w:hAnsi="Garamond"/>
                <w:lang w:val="en-AU"/>
              </w:rPr>
              <w:t>in Australia across health, education and disability policy settings.</w:t>
            </w:r>
          </w:p>
        </w:tc>
      </w:tr>
    </w:tbl>
    <w:p w:rsidR="005E782C" w:rsidRDefault="005E782C" w:rsidP="00C17C82">
      <w:pPr>
        <w:keepNext/>
        <w:ind w:left="720" w:hanging="720"/>
        <w:rPr>
          <w:rFonts w:ascii="Garamond" w:hAnsi="Garamond"/>
          <w:b/>
          <w:lang w:val="en-AU"/>
        </w:rPr>
      </w:pPr>
    </w:p>
    <w:p w:rsidR="005E782C" w:rsidRDefault="005E782C" w:rsidP="00C17C82">
      <w:pPr>
        <w:keepNext/>
        <w:ind w:left="720" w:hanging="720"/>
        <w:rPr>
          <w:rFonts w:ascii="Garamond" w:hAnsi="Garamond"/>
          <w:b/>
          <w:lang w:val="en-AU"/>
        </w:rPr>
      </w:pPr>
    </w:p>
    <w:p w:rsidR="005E782C" w:rsidRDefault="005E782C" w:rsidP="00C17C82">
      <w:pPr>
        <w:keepNext/>
        <w:ind w:left="720" w:hanging="720"/>
        <w:rPr>
          <w:rFonts w:ascii="Garamond" w:hAnsi="Garamond"/>
          <w:b/>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D941C1" w:rsidRPr="00310503" w:rsidRDefault="00310503" w:rsidP="002037CA">
      <w:pPr>
        <w:keepNext/>
        <w:keepLines/>
        <w:autoSpaceDE w:val="0"/>
        <w:autoSpaceDN w:val="0"/>
        <w:adjustRightInd w:val="0"/>
        <w:rPr>
          <w:rFonts w:ascii="Garamond" w:hAnsi="Garamond"/>
          <w:i/>
          <w:lang w:val="en-AU"/>
        </w:rPr>
      </w:pPr>
      <w:r w:rsidRPr="00310503">
        <w:rPr>
          <w:rFonts w:ascii="Garamond" w:hAnsi="Garamond"/>
          <w:i/>
          <w:lang w:val="en-AU"/>
        </w:rPr>
        <w:t>Reducing the risk of diagnostic error in the COVID-19 era</w:t>
      </w:r>
    </w:p>
    <w:p w:rsidR="008B6438" w:rsidRDefault="008B6438" w:rsidP="002037CA">
      <w:pPr>
        <w:keepNext/>
        <w:keepLines/>
        <w:autoSpaceDE w:val="0"/>
        <w:autoSpaceDN w:val="0"/>
        <w:adjustRightInd w:val="0"/>
        <w:rPr>
          <w:rFonts w:ascii="Garamond" w:hAnsi="Garamond"/>
          <w:lang w:val="en-AU"/>
        </w:rPr>
      </w:pPr>
      <w:r w:rsidRPr="008B6438">
        <w:rPr>
          <w:rFonts w:ascii="Garamond" w:hAnsi="Garamond"/>
          <w:lang w:val="en-AU"/>
        </w:rPr>
        <w:t>Gandhi TK, Singh H</w:t>
      </w:r>
    </w:p>
    <w:p w:rsidR="00310503" w:rsidRDefault="008B6438" w:rsidP="002037CA">
      <w:pPr>
        <w:keepNext/>
        <w:keepLines/>
        <w:autoSpaceDE w:val="0"/>
        <w:autoSpaceDN w:val="0"/>
        <w:adjustRightInd w:val="0"/>
        <w:rPr>
          <w:rFonts w:ascii="Garamond" w:hAnsi="Garamond"/>
          <w:lang w:val="en-AU"/>
        </w:rPr>
      </w:pPr>
      <w:r w:rsidRPr="008B6438">
        <w:rPr>
          <w:rFonts w:ascii="Garamond" w:hAnsi="Garamond"/>
          <w:lang w:val="en-AU"/>
        </w:rPr>
        <w:t>Journal of Hospital Medicine. 2020</w:t>
      </w:r>
      <w:r>
        <w:rPr>
          <w:rFonts w:ascii="Garamond" w:hAnsi="Garamond"/>
          <w:lang w:val="en-AU"/>
        </w:rPr>
        <w:t xml:space="preserve"> [epub]</w:t>
      </w:r>
      <w:r w:rsidRPr="008B643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037CA"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DC09B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769BA" w:rsidRPr="000170DA" w:rsidRDefault="0082759F" w:rsidP="009769BA">
            <w:pPr>
              <w:rPr>
                <w:rStyle w:val="Hyperlink"/>
                <w:rFonts w:ascii="Garamond" w:hAnsi="Garamond"/>
                <w:color w:val="auto"/>
                <w:u w:val="none"/>
                <w:lang w:val="en-AU"/>
              </w:rPr>
            </w:pPr>
            <w:hyperlink r:id="rId26" w:history="1">
              <w:r w:rsidR="008B6438" w:rsidRPr="00392AF4">
                <w:rPr>
                  <w:rStyle w:val="Hyperlink"/>
                  <w:rFonts w:ascii="Garamond" w:hAnsi="Garamond"/>
                  <w:lang w:val="en-AU"/>
                </w:rPr>
                <w:t>https://doi.org/10.12788/jhm.3461</w:t>
              </w:r>
            </w:hyperlink>
          </w:p>
        </w:tc>
      </w:tr>
      <w:tr w:rsidR="002037CA"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70DE" w:rsidRPr="00752E83" w:rsidRDefault="00712AFB" w:rsidP="00712AFB">
            <w:pPr>
              <w:keepNext/>
              <w:keepLines/>
              <w:autoSpaceDE w:val="0"/>
              <w:autoSpaceDN w:val="0"/>
              <w:adjustRightInd w:val="0"/>
              <w:rPr>
                <w:rFonts w:ascii="Garamond" w:hAnsi="Garamond"/>
                <w:lang w:val="en-AU"/>
              </w:rPr>
            </w:pPr>
            <w:r>
              <w:rPr>
                <w:rFonts w:ascii="Garamond" w:hAnsi="Garamond"/>
                <w:lang w:val="en-AU"/>
              </w:rPr>
              <w:t xml:space="preserve">Diagnosis is a task requiring skill, judgement and knowledge. It has been demonstrated that diagnoses can be erroneous in various ways – </w:t>
            </w:r>
            <w:r w:rsidRPr="00712AFB">
              <w:rPr>
                <w:rFonts w:ascii="Garamond" w:hAnsi="Garamond"/>
                <w:lang w:val="en-AU"/>
              </w:rPr>
              <w:t xml:space="preserve"> missed, delayed, </w:t>
            </w:r>
            <w:r>
              <w:rPr>
                <w:rFonts w:ascii="Garamond" w:hAnsi="Garamond"/>
                <w:lang w:val="en-AU"/>
              </w:rPr>
              <w:t>or</w:t>
            </w:r>
            <w:r w:rsidRPr="00712AFB">
              <w:rPr>
                <w:rFonts w:ascii="Garamond" w:hAnsi="Garamond"/>
                <w:lang w:val="en-AU"/>
              </w:rPr>
              <w:t xml:space="preserve"> incorrect</w:t>
            </w:r>
            <w:r>
              <w:rPr>
                <w:rFonts w:ascii="Garamond" w:hAnsi="Garamond"/>
                <w:lang w:val="en-AU"/>
              </w:rPr>
              <w:t xml:space="preserve"> – even in the best of times. In the current pandemic the pressures upon clinicians making diagnoses are heightened. This article reviews the various types of diagnostic error that could be anticipated and suggests strategies to assist in reducing preventable harms. The types of diagnostic error are classified as </w:t>
            </w:r>
            <w:r w:rsidRPr="00712AFB">
              <w:rPr>
                <w:rFonts w:ascii="Garamond" w:hAnsi="Garamond"/>
                <w:lang w:val="en-AU"/>
              </w:rPr>
              <w:t>classic, anomalous, anchor, secondary, acute collateral, chronic collateral, strain</w:t>
            </w:r>
            <w:r>
              <w:rPr>
                <w:rFonts w:ascii="Garamond" w:hAnsi="Garamond"/>
                <w:lang w:val="en-AU"/>
              </w:rPr>
              <w:t xml:space="preserve"> and unintended. Mitigation strategies include technology for cognitive support, optimising workflow and communication, organisational approaches and regulatory changes.</w:t>
            </w:r>
          </w:p>
        </w:tc>
      </w:tr>
    </w:tbl>
    <w:p w:rsidR="006C6583" w:rsidRDefault="006C6583" w:rsidP="006C6583">
      <w:pPr>
        <w:keepNext/>
        <w:keepLines/>
        <w:autoSpaceDE w:val="0"/>
        <w:autoSpaceDN w:val="0"/>
        <w:adjustRightInd w:val="0"/>
        <w:rPr>
          <w:rFonts w:ascii="Garamond" w:hAnsi="Garamond"/>
          <w:lang w:val="en-AU"/>
        </w:rPr>
      </w:pPr>
    </w:p>
    <w:p w:rsidR="00310503" w:rsidRPr="00310503" w:rsidRDefault="00310503" w:rsidP="00310503">
      <w:pPr>
        <w:keepNext/>
        <w:keepLines/>
        <w:autoSpaceDE w:val="0"/>
        <w:autoSpaceDN w:val="0"/>
        <w:adjustRightInd w:val="0"/>
        <w:rPr>
          <w:rFonts w:ascii="Garamond" w:hAnsi="Garamond"/>
          <w:i/>
          <w:lang w:val="en-AU"/>
        </w:rPr>
      </w:pPr>
      <w:r w:rsidRPr="00310503">
        <w:rPr>
          <w:rFonts w:ascii="Garamond" w:hAnsi="Garamond"/>
          <w:i/>
          <w:lang w:val="en-AU"/>
        </w:rPr>
        <w:t>What Constitutes Effective Team Communication After an Error?</w:t>
      </w:r>
    </w:p>
    <w:p w:rsidR="00310503" w:rsidRDefault="00310503" w:rsidP="005E782C">
      <w:pPr>
        <w:keepNext/>
        <w:keepLines/>
        <w:autoSpaceDE w:val="0"/>
        <w:autoSpaceDN w:val="0"/>
        <w:adjustRightInd w:val="0"/>
        <w:rPr>
          <w:rFonts w:ascii="Garamond" w:hAnsi="Garamond"/>
          <w:lang w:val="en-AU"/>
        </w:rPr>
      </w:pPr>
      <w:r w:rsidRPr="00310503">
        <w:rPr>
          <w:rFonts w:ascii="Garamond" w:hAnsi="Garamond"/>
          <w:lang w:val="en-AU"/>
        </w:rPr>
        <w:t>Hart WM, Doerr P, Qian Y, McNaull PM</w:t>
      </w:r>
    </w:p>
    <w:p w:rsidR="005E782C" w:rsidRDefault="00310503" w:rsidP="005E782C">
      <w:pPr>
        <w:keepNext/>
        <w:keepLines/>
        <w:autoSpaceDE w:val="0"/>
        <w:autoSpaceDN w:val="0"/>
        <w:adjustRightInd w:val="0"/>
        <w:rPr>
          <w:rFonts w:ascii="Garamond" w:hAnsi="Garamond"/>
          <w:lang w:val="en-AU"/>
        </w:rPr>
      </w:pPr>
      <w:r w:rsidRPr="00310503">
        <w:rPr>
          <w:rFonts w:ascii="Garamond" w:hAnsi="Garamond"/>
          <w:lang w:val="en-AU"/>
        </w:rPr>
        <w:t>AMA Journal of Ethics. 2020;22(4):e298-304.</w:t>
      </w:r>
    </w:p>
    <w:tbl>
      <w:tblPr>
        <w:tblStyle w:val="TableGrid"/>
        <w:tblW w:w="0" w:type="auto"/>
        <w:tblInd w:w="288" w:type="dxa"/>
        <w:tblLayout w:type="fixed"/>
        <w:tblLook w:val="01E0" w:firstRow="1" w:lastRow="1" w:firstColumn="1" w:lastColumn="1" w:noHBand="0" w:noVBand="0"/>
      </w:tblPr>
      <w:tblGrid>
        <w:gridCol w:w="1080"/>
        <w:gridCol w:w="8280"/>
      </w:tblGrid>
      <w:tr w:rsidR="005E782C" w:rsidRPr="000170DA" w:rsidTr="001B1FED">
        <w:tc>
          <w:tcPr>
            <w:tcW w:w="1080" w:type="dxa"/>
            <w:tcBorders>
              <w:top w:val="single" w:sz="4" w:space="0" w:color="auto"/>
              <w:left w:val="single" w:sz="4" w:space="0" w:color="auto"/>
              <w:bottom w:val="single" w:sz="4" w:space="0" w:color="auto"/>
              <w:right w:val="single" w:sz="4" w:space="0" w:color="auto"/>
            </w:tcBorders>
            <w:vAlign w:val="center"/>
          </w:tcPr>
          <w:p w:rsidR="005E782C" w:rsidRPr="000170DA" w:rsidRDefault="005E782C" w:rsidP="001B1FE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E782C" w:rsidRPr="000170DA" w:rsidRDefault="0082759F" w:rsidP="00310503">
            <w:pPr>
              <w:rPr>
                <w:rStyle w:val="Hyperlink"/>
                <w:rFonts w:ascii="Garamond" w:hAnsi="Garamond"/>
                <w:color w:val="auto"/>
                <w:u w:val="none"/>
                <w:lang w:val="en-AU"/>
              </w:rPr>
            </w:pPr>
            <w:hyperlink r:id="rId27" w:history="1">
              <w:r w:rsidR="008B6438" w:rsidRPr="00392AF4">
                <w:rPr>
                  <w:rStyle w:val="Hyperlink"/>
                  <w:rFonts w:ascii="Garamond" w:hAnsi="Garamond"/>
                  <w:lang w:val="en-AU"/>
                </w:rPr>
                <w:t>https://doi.org/10.1001/amajethics.2020.298</w:t>
              </w:r>
            </w:hyperlink>
          </w:p>
        </w:tc>
      </w:tr>
      <w:tr w:rsidR="005E782C" w:rsidRPr="000170DA" w:rsidTr="001B1FED">
        <w:tc>
          <w:tcPr>
            <w:tcW w:w="1080" w:type="dxa"/>
            <w:tcBorders>
              <w:top w:val="single" w:sz="4" w:space="0" w:color="auto"/>
              <w:left w:val="single" w:sz="4" w:space="0" w:color="auto"/>
              <w:bottom w:val="single" w:sz="4" w:space="0" w:color="auto"/>
              <w:right w:val="single" w:sz="4" w:space="0" w:color="auto"/>
            </w:tcBorders>
            <w:vAlign w:val="center"/>
          </w:tcPr>
          <w:p w:rsidR="005E782C" w:rsidRPr="000170DA" w:rsidRDefault="005E782C" w:rsidP="001B1FE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E782C" w:rsidRPr="00752E83" w:rsidRDefault="00310503" w:rsidP="00712AFB">
            <w:pPr>
              <w:keepNext/>
              <w:keepLines/>
              <w:autoSpaceDE w:val="0"/>
              <w:autoSpaceDN w:val="0"/>
              <w:adjustRightInd w:val="0"/>
              <w:rPr>
                <w:rFonts w:ascii="Garamond" w:hAnsi="Garamond"/>
                <w:lang w:val="en-AU"/>
              </w:rPr>
            </w:pPr>
            <w:r>
              <w:rPr>
                <w:rFonts w:ascii="Garamond" w:hAnsi="Garamond"/>
                <w:lang w:val="en-AU"/>
              </w:rPr>
              <w:t xml:space="preserve">This commentary piece uses a scenario based on a </w:t>
            </w:r>
            <w:r w:rsidR="008B6438">
              <w:rPr>
                <w:rFonts w:ascii="Garamond" w:hAnsi="Garamond"/>
                <w:lang w:val="en-AU"/>
              </w:rPr>
              <w:t>complication during surgery to illustrate and examine ‘</w:t>
            </w:r>
            <w:r w:rsidR="008B6438" w:rsidRPr="008B6438">
              <w:rPr>
                <w:rFonts w:ascii="Garamond" w:hAnsi="Garamond"/>
                <w:lang w:val="en-AU"/>
              </w:rPr>
              <w:t>how transparency in communication, cooperative disclosure, and working collaboratively to restore an injured patient’s health support clinicians’ common purpose, long-standing work relationships, and collegiality.</w:t>
            </w:r>
            <w:r w:rsidR="008B6438">
              <w:rPr>
                <w:rFonts w:ascii="Garamond" w:hAnsi="Garamond"/>
                <w:lang w:val="en-AU"/>
              </w:rPr>
              <w:t>’ The case highlights the importance of communication among health care teams, as well as with the patient and their family/carers, when errors occur.</w:t>
            </w:r>
          </w:p>
        </w:tc>
      </w:tr>
    </w:tbl>
    <w:p w:rsidR="00310503" w:rsidRDefault="00310503" w:rsidP="00310503">
      <w:pPr>
        <w:keepNext/>
        <w:keepLines/>
        <w:autoSpaceDE w:val="0"/>
        <w:autoSpaceDN w:val="0"/>
        <w:adjustRightInd w:val="0"/>
        <w:rPr>
          <w:rFonts w:ascii="Garamond" w:hAnsi="Garamond"/>
          <w:lang w:val="en-AU"/>
        </w:rPr>
      </w:pPr>
    </w:p>
    <w:p w:rsidR="00310503" w:rsidRDefault="00310503" w:rsidP="00310503">
      <w:pPr>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communicating for safety, see </w:t>
      </w:r>
      <w:hyperlink r:id="rId28" w:history="1">
        <w:r w:rsidRPr="00016467">
          <w:rPr>
            <w:rStyle w:val="Hyperlink"/>
            <w:rFonts w:ascii="Garamond" w:hAnsi="Garamond"/>
            <w:lang w:val="en-AU"/>
          </w:rPr>
          <w:t>https://www.safetyandquality.gov.au/our-work/communicating-safety</w:t>
        </w:r>
      </w:hyperlink>
    </w:p>
    <w:p w:rsidR="00310503" w:rsidRDefault="00310503" w:rsidP="00310503">
      <w:pPr>
        <w:rPr>
          <w:rFonts w:ascii="Garamond" w:hAnsi="Garamond"/>
          <w:lang w:val="en-AU"/>
        </w:rPr>
      </w:pPr>
    </w:p>
    <w:p w:rsidR="00310503" w:rsidRDefault="00310503" w:rsidP="00310503">
      <w:pPr>
        <w:rPr>
          <w:rFonts w:ascii="Garamond" w:hAnsi="Garamond"/>
          <w:lang w:val="en-AU"/>
        </w:rPr>
      </w:pPr>
      <w:r>
        <w:rPr>
          <w:rFonts w:ascii="Garamond" w:hAnsi="Garamond"/>
          <w:lang w:val="en-AU"/>
        </w:rPr>
        <w:lastRenderedPageBreak/>
        <w:t xml:space="preserve">For resources, see the Communicating for Safety resource portal at </w:t>
      </w:r>
      <w:hyperlink r:id="rId29" w:history="1">
        <w:r w:rsidRPr="00016467">
          <w:rPr>
            <w:rStyle w:val="Hyperlink"/>
            <w:rFonts w:ascii="Garamond" w:hAnsi="Garamond"/>
            <w:lang w:val="en-AU"/>
          </w:rPr>
          <w:t>https://c4sportal.safetyandquality.gov.au/</w:t>
        </w:r>
      </w:hyperlink>
    </w:p>
    <w:p w:rsidR="00310503" w:rsidRDefault="00310503" w:rsidP="00310503">
      <w:pPr>
        <w:keepNext/>
        <w:keepLines/>
        <w:autoSpaceDE w:val="0"/>
        <w:autoSpaceDN w:val="0"/>
        <w:adjustRightInd w:val="0"/>
        <w:rPr>
          <w:rFonts w:ascii="Garamond" w:hAnsi="Garamond"/>
          <w:lang w:val="en-AU"/>
        </w:rPr>
      </w:pPr>
    </w:p>
    <w:p w:rsidR="00310503" w:rsidRDefault="00310503" w:rsidP="00310503">
      <w:pPr>
        <w:keepNext/>
        <w:keepLines/>
        <w:autoSpaceDE w:val="0"/>
        <w:autoSpaceDN w:val="0"/>
        <w:adjustRightInd w:val="0"/>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open disclosure, including the </w:t>
      </w:r>
      <w:r w:rsidRPr="0093643F">
        <w:rPr>
          <w:rFonts w:ascii="Garamond" w:hAnsi="Garamond"/>
          <w:i/>
          <w:lang w:val="en-AU"/>
        </w:rPr>
        <w:t>Australian Open Disclosure Framework</w:t>
      </w:r>
      <w:r>
        <w:rPr>
          <w:rFonts w:ascii="Garamond" w:hAnsi="Garamond"/>
          <w:lang w:val="en-AU"/>
        </w:rPr>
        <w:t xml:space="preserve">, see </w:t>
      </w:r>
      <w:hyperlink r:id="rId30" w:history="1">
        <w:r w:rsidRPr="00016467">
          <w:rPr>
            <w:rStyle w:val="Hyperlink"/>
            <w:rFonts w:ascii="Garamond" w:hAnsi="Garamond"/>
            <w:lang w:val="en-AU"/>
          </w:rPr>
          <w:t>https://www.safetyandquality.gov.au/our-work/clinical-governance/open-disclosure</w:t>
        </w:r>
      </w:hyperlink>
    </w:p>
    <w:p w:rsidR="00310503" w:rsidRDefault="00310503" w:rsidP="00310503">
      <w:pPr>
        <w:keepNext/>
        <w:keepLines/>
        <w:autoSpaceDE w:val="0"/>
        <w:autoSpaceDN w:val="0"/>
        <w:adjustRightInd w:val="0"/>
        <w:rPr>
          <w:rFonts w:ascii="Garamond" w:hAnsi="Garamond"/>
          <w:lang w:val="en-AU"/>
        </w:rPr>
      </w:pPr>
    </w:p>
    <w:p w:rsidR="005E782C" w:rsidRPr="003E45D9" w:rsidRDefault="00CB547A" w:rsidP="005E782C">
      <w:pPr>
        <w:keepNext/>
        <w:keepLines/>
        <w:autoSpaceDE w:val="0"/>
        <w:autoSpaceDN w:val="0"/>
        <w:adjustRightInd w:val="0"/>
        <w:rPr>
          <w:rFonts w:ascii="Garamond" w:hAnsi="Garamond"/>
          <w:i/>
          <w:lang w:val="en-AU"/>
        </w:rPr>
      </w:pPr>
      <w:r w:rsidRPr="003E45D9">
        <w:rPr>
          <w:rFonts w:ascii="Garamond" w:hAnsi="Garamond"/>
          <w:i/>
          <w:lang w:val="en-AU"/>
        </w:rPr>
        <w:t>Patient feedback: Listening and responding to patient voices</w:t>
      </w:r>
    </w:p>
    <w:p w:rsidR="003E45D9" w:rsidRDefault="003E45D9" w:rsidP="005E782C">
      <w:pPr>
        <w:keepNext/>
        <w:keepLines/>
        <w:autoSpaceDE w:val="0"/>
        <w:autoSpaceDN w:val="0"/>
        <w:adjustRightInd w:val="0"/>
        <w:rPr>
          <w:rFonts w:ascii="Garamond" w:hAnsi="Garamond"/>
          <w:lang w:val="en-AU"/>
        </w:rPr>
      </w:pPr>
      <w:r w:rsidRPr="003E45D9">
        <w:rPr>
          <w:rFonts w:ascii="Garamond" w:hAnsi="Garamond"/>
          <w:lang w:val="en-AU"/>
        </w:rPr>
        <w:t>Radmore SJ, Eljiz K, Greenfield D</w:t>
      </w:r>
    </w:p>
    <w:p w:rsidR="00CB547A" w:rsidRDefault="003E45D9" w:rsidP="005E782C">
      <w:pPr>
        <w:keepNext/>
        <w:keepLines/>
        <w:autoSpaceDE w:val="0"/>
        <w:autoSpaceDN w:val="0"/>
        <w:adjustRightInd w:val="0"/>
        <w:rPr>
          <w:rFonts w:ascii="Garamond" w:hAnsi="Garamond"/>
          <w:lang w:val="en-AU"/>
        </w:rPr>
      </w:pPr>
      <w:r w:rsidRPr="003E45D9">
        <w:rPr>
          <w:rFonts w:ascii="Garamond" w:hAnsi="Garamond"/>
          <w:lang w:val="en-AU"/>
        </w:rPr>
        <w:t>Patient Experience Journal. 2020;7(1):13-19.</w:t>
      </w:r>
    </w:p>
    <w:tbl>
      <w:tblPr>
        <w:tblStyle w:val="TableGrid"/>
        <w:tblW w:w="0" w:type="auto"/>
        <w:tblInd w:w="288" w:type="dxa"/>
        <w:tblLayout w:type="fixed"/>
        <w:tblLook w:val="01E0" w:firstRow="1" w:lastRow="1" w:firstColumn="1" w:lastColumn="1" w:noHBand="0" w:noVBand="0"/>
      </w:tblPr>
      <w:tblGrid>
        <w:gridCol w:w="1080"/>
        <w:gridCol w:w="8280"/>
      </w:tblGrid>
      <w:tr w:rsidR="005E782C" w:rsidRPr="000170DA" w:rsidTr="001B1FED">
        <w:tc>
          <w:tcPr>
            <w:tcW w:w="1080" w:type="dxa"/>
            <w:tcBorders>
              <w:top w:val="single" w:sz="4" w:space="0" w:color="auto"/>
              <w:left w:val="single" w:sz="4" w:space="0" w:color="auto"/>
              <w:bottom w:val="single" w:sz="4" w:space="0" w:color="auto"/>
              <w:right w:val="single" w:sz="4" w:space="0" w:color="auto"/>
            </w:tcBorders>
            <w:vAlign w:val="center"/>
          </w:tcPr>
          <w:p w:rsidR="005E782C" w:rsidRPr="000170DA" w:rsidRDefault="005E782C" w:rsidP="001B1FE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E782C" w:rsidRPr="000170DA" w:rsidRDefault="0082759F" w:rsidP="001B1FED">
            <w:pPr>
              <w:rPr>
                <w:rStyle w:val="Hyperlink"/>
                <w:rFonts w:ascii="Garamond" w:hAnsi="Garamond"/>
                <w:color w:val="auto"/>
                <w:u w:val="none"/>
                <w:lang w:val="en-AU"/>
              </w:rPr>
            </w:pPr>
            <w:hyperlink r:id="rId31" w:history="1">
              <w:r w:rsidR="003E45D9" w:rsidRPr="00392AF4">
                <w:rPr>
                  <w:rStyle w:val="Hyperlink"/>
                  <w:rFonts w:ascii="Garamond" w:hAnsi="Garamond"/>
                  <w:lang w:val="en-AU"/>
                </w:rPr>
                <w:t>https://doi.org/10.35680/2372-0247.1370</w:t>
              </w:r>
            </w:hyperlink>
          </w:p>
        </w:tc>
      </w:tr>
      <w:tr w:rsidR="005E782C" w:rsidRPr="000170DA" w:rsidTr="001B1FED">
        <w:tc>
          <w:tcPr>
            <w:tcW w:w="1080" w:type="dxa"/>
            <w:tcBorders>
              <w:top w:val="single" w:sz="4" w:space="0" w:color="auto"/>
              <w:left w:val="single" w:sz="4" w:space="0" w:color="auto"/>
              <w:bottom w:val="single" w:sz="4" w:space="0" w:color="auto"/>
              <w:right w:val="single" w:sz="4" w:space="0" w:color="auto"/>
            </w:tcBorders>
            <w:vAlign w:val="center"/>
          </w:tcPr>
          <w:p w:rsidR="005E782C" w:rsidRPr="000170DA" w:rsidRDefault="005E782C" w:rsidP="001B1FE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E782C" w:rsidRPr="00752E83" w:rsidRDefault="00CB547A" w:rsidP="003E45D9">
            <w:pPr>
              <w:keepNext/>
              <w:keepLines/>
              <w:autoSpaceDE w:val="0"/>
              <w:autoSpaceDN w:val="0"/>
              <w:adjustRightInd w:val="0"/>
              <w:rPr>
                <w:rFonts w:ascii="Garamond" w:hAnsi="Garamond"/>
                <w:lang w:val="en-AU"/>
              </w:rPr>
            </w:pPr>
            <w:r>
              <w:rPr>
                <w:rFonts w:ascii="Garamond" w:hAnsi="Garamond"/>
                <w:lang w:val="en-AU"/>
              </w:rPr>
              <w:t xml:space="preserve">Australian study recounting the experience of a </w:t>
            </w:r>
            <w:r w:rsidRPr="00CB547A">
              <w:rPr>
                <w:rFonts w:ascii="Garamond" w:hAnsi="Garamond"/>
                <w:lang w:val="en-AU"/>
              </w:rPr>
              <w:t>large metropolitan Local Health District in Sydney</w:t>
            </w:r>
            <w:r>
              <w:rPr>
                <w:rFonts w:ascii="Garamond" w:hAnsi="Garamond"/>
                <w:lang w:val="en-AU"/>
              </w:rPr>
              <w:t xml:space="preserve"> in using patient feedback to </w:t>
            </w:r>
            <w:r w:rsidRPr="00CB547A">
              <w:rPr>
                <w:rFonts w:ascii="Garamond" w:hAnsi="Garamond"/>
                <w:lang w:val="en-AU"/>
              </w:rPr>
              <w:t>improve organisational systems and care experiences</w:t>
            </w:r>
            <w:r>
              <w:rPr>
                <w:rFonts w:ascii="Garamond" w:hAnsi="Garamond"/>
                <w:lang w:val="en-AU"/>
              </w:rPr>
              <w:t>. The authors report that ‘</w:t>
            </w:r>
            <w:r w:rsidRPr="00CB547A">
              <w:rPr>
                <w:rFonts w:ascii="Garamond" w:hAnsi="Garamond"/>
                <w:lang w:val="en-AU"/>
              </w:rPr>
              <w:t>key to achieving an effective patient feedback system is to utilise a multifaceted approach</w:t>
            </w:r>
            <w:r>
              <w:rPr>
                <w:rFonts w:ascii="Garamond" w:hAnsi="Garamond"/>
                <w:lang w:val="en-AU"/>
              </w:rPr>
              <w:t>’</w:t>
            </w:r>
            <w:r w:rsidR="003E45D9">
              <w:rPr>
                <w:rFonts w:ascii="Garamond" w:hAnsi="Garamond"/>
                <w:lang w:val="en-AU"/>
              </w:rPr>
              <w:t>, but with central guidance and coordination being important if ‘</w:t>
            </w:r>
            <w:r w:rsidR="003E45D9" w:rsidRPr="003E45D9">
              <w:rPr>
                <w:rFonts w:ascii="Garamond" w:hAnsi="Garamond"/>
                <w:lang w:val="en-AU"/>
              </w:rPr>
              <w:t>improvement is to be integrated and effective across a large organisation</w:t>
            </w:r>
            <w:r w:rsidR="003E45D9">
              <w:rPr>
                <w:rFonts w:ascii="Garamond" w:hAnsi="Garamond"/>
                <w:lang w:val="en-AU"/>
              </w:rPr>
              <w:t>’</w:t>
            </w:r>
            <w:r w:rsidRPr="00CB547A">
              <w:rPr>
                <w:rFonts w:ascii="Garamond" w:hAnsi="Garamond"/>
                <w:lang w:val="en-AU"/>
              </w:rPr>
              <w:t>.</w:t>
            </w:r>
            <w:r>
              <w:rPr>
                <w:rFonts w:ascii="Garamond" w:hAnsi="Garamond"/>
                <w:lang w:val="en-AU"/>
              </w:rPr>
              <w:t xml:space="preserve"> Processes that aligned with </w:t>
            </w:r>
            <w:r w:rsidRPr="00CB547A">
              <w:rPr>
                <w:rFonts w:ascii="Garamond" w:hAnsi="Garamond"/>
                <w:lang w:val="en-AU"/>
              </w:rPr>
              <w:t>patient centred care principles</w:t>
            </w:r>
            <w:r>
              <w:rPr>
                <w:rFonts w:ascii="Garamond" w:hAnsi="Garamond"/>
                <w:lang w:val="en-AU"/>
              </w:rPr>
              <w:t xml:space="preserve"> encouraged timely feedback were, perhaps unsurprisingly, most useful. </w:t>
            </w:r>
            <w:r w:rsidR="003E45D9">
              <w:rPr>
                <w:rFonts w:ascii="Garamond" w:hAnsi="Garamond"/>
                <w:lang w:val="en-AU"/>
              </w:rPr>
              <w:t>Feedback on resourcing and process improvements was found to be of value.</w:t>
            </w:r>
          </w:p>
        </w:tc>
      </w:tr>
    </w:tbl>
    <w:p w:rsidR="005E782C" w:rsidRDefault="005E782C" w:rsidP="005E782C">
      <w:pPr>
        <w:keepNext/>
        <w:keepLines/>
        <w:autoSpaceDE w:val="0"/>
        <w:autoSpaceDN w:val="0"/>
        <w:adjustRightInd w:val="0"/>
        <w:rPr>
          <w:rFonts w:ascii="Garamond" w:hAnsi="Garamond"/>
          <w:lang w:val="en-AU"/>
        </w:rPr>
      </w:pPr>
    </w:p>
    <w:p w:rsidR="003E45D9" w:rsidRDefault="003E45D9" w:rsidP="005E782C">
      <w:pPr>
        <w:keepNext/>
        <w:keepLines/>
        <w:autoSpaceDE w:val="0"/>
        <w:autoSpaceDN w:val="0"/>
        <w:adjustRightInd w:val="0"/>
        <w:rPr>
          <w:rFonts w:ascii="Garamond" w:hAnsi="Garamond"/>
          <w:lang w:val="en-AU"/>
        </w:rPr>
      </w:pPr>
      <w:r w:rsidRPr="00834C75">
        <w:rPr>
          <w:rFonts w:ascii="Garamond" w:hAnsi="Garamond"/>
          <w:lang w:val="en-AU"/>
        </w:rPr>
        <w:t>For information on the Commission’s work on</w:t>
      </w:r>
      <w:r>
        <w:rPr>
          <w:rFonts w:ascii="Garamond" w:hAnsi="Garamond"/>
          <w:lang w:val="en-AU"/>
        </w:rPr>
        <w:t xml:space="preserve"> partnering with consumers, see </w:t>
      </w:r>
      <w:hyperlink r:id="rId32" w:history="1">
        <w:r w:rsidRPr="00392AF4">
          <w:rPr>
            <w:rStyle w:val="Hyperlink"/>
            <w:rFonts w:ascii="Garamond" w:hAnsi="Garamond"/>
            <w:lang w:val="en-AU"/>
          </w:rPr>
          <w:t>https://www.safetyandquality.gov.au/our-work/partnering-consumers</w:t>
        </w:r>
      </w:hyperlink>
    </w:p>
    <w:p w:rsidR="003E45D9" w:rsidRDefault="003E45D9" w:rsidP="005E782C">
      <w:pPr>
        <w:keepNext/>
        <w:keepLines/>
        <w:autoSpaceDE w:val="0"/>
        <w:autoSpaceDN w:val="0"/>
        <w:adjustRightInd w:val="0"/>
        <w:rPr>
          <w:rFonts w:ascii="Garamond" w:hAnsi="Garamond"/>
          <w:lang w:val="en-AU"/>
        </w:rPr>
      </w:pPr>
    </w:p>
    <w:p w:rsidR="00ED1179" w:rsidRDefault="00ED1179" w:rsidP="00ED1179">
      <w:pPr>
        <w:keepNext/>
        <w:rPr>
          <w:rFonts w:ascii="Garamond" w:hAnsi="Garamond"/>
          <w:i/>
          <w:lang w:val="en-AU"/>
        </w:rPr>
      </w:pPr>
      <w:r w:rsidRPr="00006638">
        <w:rPr>
          <w:rFonts w:ascii="Garamond" w:hAnsi="Garamond"/>
          <w:i/>
          <w:lang w:val="en-AU"/>
        </w:rPr>
        <w:t>International Journal for Quality in Health</w:t>
      </w:r>
    </w:p>
    <w:p w:rsidR="00ED1179" w:rsidRPr="00612D3D" w:rsidRDefault="00ED1179" w:rsidP="00ED1179">
      <w:pPr>
        <w:keepNext/>
        <w:rPr>
          <w:rFonts w:ascii="Garamond" w:hAnsi="Garamond"/>
          <w:lang w:val="en-AU"/>
        </w:rPr>
      </w:pPr>
      <w:r>
        <w:rPr>
          <w:rFonts w:ascii="Garamond" w:hAnsi="Garamond"/>
          <w:lang w:val="en-AU"/>
        </w:rPr>
        <w:t xml:space="preserve">Volume 32 Issue 3, April </w:t>
      </w:r>
      <w:r w:rsidRPr="00006638">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ED1179" w:rsidRPr="000170DA" w:rsidTr="001B1FED">
        <w:tc>
          <w:tcPr>
            <w:tcW w:w="1080" w:type="dxa"/>
            <w:tcBorders>
              <w:top w:val="single" w:sz="4" w:space="0" w:color="auto"/>
              <w:left w:val="single" w:sz="4" w:space="0" w:color="auto"/>
              <w:bottom w:val="single" w:sz="4" w:space="0" w:color="auto"/>
              <w:right w:val="single" w:sz="4" w:space="0" w:color="auto"/>
            </w:tcBorders>
            <w:vAlign w:val="center"/>
          </w:tcPr>
          <w:p w:rsidR="00ED1179" w:rsidRPr="000170DA" w:rsidRDefault="00ED1179" w:rsidP="001B1FE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D1179" w:rsidRPr="006706B4" w:rsidRDefault="0082759F" w:rsidP="00ED1179">
            <w:pPr>
              <w:keepNext/>
              <w:rPr>
                <w:rStyle w:val="Hyperlink"/>
                <w:rFonts w:ascii="Garamond" w:hAnsi="Garamond"/>
                <w:color w:val="auto"/>
                <w:u w:val="none"/>
                <w:lang w:val="en-AU"/>
              </w:rPr>
            </w:pPr>
            <w:hyperlink r:id="rId33" w:history="1">
              <w:r w:rsidR="00ED1179" w:rsidRPr="00C8169F">
                <w:rPr>
                  <w:rStyle w:val="Hyperlink"/>
                  <w:rFonts w:ascii="Garamond" w:hAnsi="Garamond"/>
                  <w:lang w:val="en-AU"/>
                </w:rPr>
                <w:t>https://academic.oup.com/intqhc/issue/32/3</w:t>
              </w:r>
            </w:hyperlink>
          </w:p>
        </w:tc>
      </w:tr>
      <w:tr w:rsidR="00ED1179" w:rsidRPr="000170DA" w:rsidTr="001B1FED">
        <w:tc>
          <w:tcPr>
            <w:tcW w:w="1080" w:type="dxa"/>
            <w:tcBorders>
              <w:top w:val="single" w:sz="4" w:space="0" w:color="auto"/>
              <w:left w:val="single" w:sz="4" w:space="0" w:color="auto"/>
              <w:bottom w:val="single" w:sz="4" w:space="0" w:color="auto"/>
              <w:right w:val="single" w:sz="4" w:space="0" w:color="auto"/>
            </w:tcBorders>
            <w:vAlign w:val="center"/>
          </w:tcPr>
          <w:p w:rsidR="00ED1179" w:rsidRPr="000170DA" w:rsidRDefault="00ED1179" w:rsidP="001B1FE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D1179" w:rsidRPr="007C3778" w:rsidRDefault="00ED1179" w:rsidP="001B1FED">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has been published.</w:t>
            </w:r>
            <w:r>
              <w:rPr>
                <w:rFonts w:ascii="Garamond" w:hAnsi="Garamond"/>
                <w:lang w:val="en-AU"/>
              </w:rPr>
              <w:t xml:space="preserve">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include:</w:t>
            </w:r>
          </w:p>
          <w:p w:rsidR="00ED1179" w:rsidRPr="00ED1179" w:rsidRDefault="00ED1179" w:rsidP="00AB286D">
            <w:pPr>
              <w:pStyle w:val="ListParagraph"/>
              <w:numPr>
                <w:ilvl w:val="0"/>
                <w:numId w:val="15"/>
              </w:numPr>
              <w:rPr>
                <w:rFonts w:ascii="Garamond" w:hAnsi="Garamond"/>
                <w:lang w:val="en-AU"/>
              </w:rPr>
            </w:pPr>
            <w:r w:rsidRPr="00ED1179">
              <w:rPr>
                <w:rFonts w:ascii="Garamond" w:hAnsi="Garamond"/>
                <w:lang w:val="en-AU"/>
              </w:rPr>
              <w:t xml:space="preserve">Identification of relevant </w:t>
            </w:r>
            <w:r w:rsidRPr="00ED1179">
              <w:rPr>
                <w:rFonts w:ascii="Garamond" w:hAnsi="Garamond"/>
                <w:b/>
                <w:lang w:val="en-AU"/>
              </w:rPr>
              <w:t>performance indicators</w:t>
            </w:r>
            <w:r w:rsidRPr="00ED1179">
              <w:rPr>
                <w:rFonts w:ascii="Garamond" w:hAnsi="Garamond"/>
                <w:lang w:val="en-AU"/>
              </w:rPr>
              <w:t xml:space="preserve"> for district healthcare systems in Ethiopia: a systematic review and expert opinion (Elias Ali Yesuf, Mirkuzie Woldie, Damen Haile-Mariam, Daniela Koller, G Früschl</w:t>
            </w:r>
            <w:r w:rsidR="002D06B1">
              <w:rPr>
                <w:rFonts w:ascii="Garamond" w:hAnsi="Garamond"/>
                <w:lang w:val="en-AU"/>
              </w:rPr>
              <w:t>, E Grill)</w:t>
            </w:r>
          </w:p>
          <w:p w:rsidR="00ED1179" w:rsidRPr="00ED1179" w:rsidRDefault="00ED1179" w:rsidP="00136F72">
            <w:pPr>
              <w:pStyle w:val="ListParagraph"/>
              <w:numPr>
                <w:ilvl w:val="0"/>
                <w:numId w:val="15"/>
              </w:numPr>
              <w:rPr>
                <w:rFonts w:ascii="Garamond" w:hAnsi="Garamond"/>
                <w:lang w:val="en-AU"/>
              </w:rPr>
            </w:pPr>
            <w:r w:rsidRPr="00ED1179">
              <w:rPr>
                <w:rFonts w:ascii="Garamond" w:hAnsi="Garamond"/>
                <w:lang w:val="en-AU"/>
              </w:rPr>
              <w:t xml:space="preserve">Measuring quality and impact of </w:t>
            </w:r>
            <w:r w:rsidRPr="002D06B1">
              <w:rPr>
                <w:rFonts w:ascii="Garamond" w:hAnsi="Garamond"/>
                <w:b/>
                <w:lang w:val="en-AU"/>
              </w:rPr>
              <w:t>telehealth services</w:t>
            </w:r>
            <w:r w:rsidRPr="00ED1179">
              <w:rPr>
                <w:rFonts w:ascii="Garamond" w:hAnsi="Garamond"/>
                <w:lang w:val="en-AU"/>
              </w:rPr>
              <w:t xml:space="preserve"> in home dialysis patients (Susie Q Lew</w:t>
            </w:r>
            <w:r>
              <w:rPr>
                <w:rFonts w:ascii="Garamond" w:hAnsi="Garamond"/>
                <w:lang w:val="en-AU"/>
              </w:rPr>
              <w:t>)</w:t>
            </w:r>
          </w:p>
          <w:p w:rsidR="00ED1179" w:rsidRPr="00ED1179" w:rsidRDefault="00ED1179" w:rsidP="001F58ED">
            <w:pPr>
              <w:pStyle w:val="ListParagraph"/>
              <w:numPr>
                <w:ilvl w:val="0"/>
                <w:numId w:val="15"/>
              </w:numPr>
              <w:rPr>
                <w:rFonts w:ascii="Garamond" w:hAnsi="Garamond"/>
                <w:lang w:val="en-AU"/>
              </w:rPr>
            </w:pPr>
            <w:r w:rsidRPr="002D06B1">
              <w:rPr>
                <w:rFonts w:ascii="Garamond" w:hAnsi="Garamond"/>
                <w:b/>
                <w:lang w:val="en-AU"/>
              </w:rPr>
              <w:t>Public health</w:t>
            </w:r>
            <w:r w:rsidRPr="00ED1179">
              <w:rPr>
                <w:rFonts w:ascii="Garamond" w:hAnsi="Garamond"/>
                <w:lang w:val="en-AU"/>
              </w:rPr>
              <w:t>: The voice of professionals (Pedro L Ferreira, Rui Passadouro</w:t>
            </w:r>
            <w:r>
              <w:rPr>
                <w:rFonts w:ascii="Garamond" w:hAnsi="Garamond"/>
                <w:lang w:val="en-AU"/>
              </w:rPr>
              <w:t>)</w:t>
            </w:r>
          </w:p>
          <w:p w:rsidR="00ED1179" w:rsidRPr="00ED1179" w:rsidRDefault="00ED1179" w:rsidP="000155CC">
            <w:pPr>
              <w:pStyle w:val="ListParagraph"/>
              <w:numPr>
                <w:ilvl w:val="0"/>
                <w:numId w:val="15"/>
              </w:numPr>
              <w:rPr>
                <w:rFonts w:ascii="Garamond" w:hAnsi="Garamond"/>
                <w:lang w:val="en-AU"/>
              </w:rPr>
            </w:pPr>
            <w:r w:rsidRPr="00ED1179">
              <w:rPr>
                <w:rFonts w:ascii="Garamond" w:hAnsi="Garamond"/>
                <w:lang w:val="en-AU"/>
              </w:rPr>
              <w:t xml:space="preserve">A qualitative content analysis of </w:t>
            </w:r>
            <w:r w:rsidRPr="002D06B1">
              <w:rPr>
                <w:rFonts w:ascii="Garamond" w:hAnsi="Garamond"/>
                <w:b/>
                <w:lang w:val="en-AU"/>
              </w:rPr>
              <w:t>retained surgical items</w:t>
            </w:r>
            <w:r w:rsidRPr="00ED1179">
              <w:rPr>
                <w:rFonts w:ascii="Garamond" w:hAnsi="Garamond"/>
                <w:lang w:val="en-AU"/>
              </w:rPr>
              <w:t>: learning from root cause analysis investigations (Peter D Hibbert, Matthew J W Thomas, Anita Deakin, William B Run</w:t>
            </w:r>
            <w:r w:rsidR="002D06B1">
              <w:rPr>
                <w:rFonts w:ascii="Garamond" w:hAnsi="Garamond"/>
                <w:lang w:val="en-AU"/>
              </w:rPr>
              <w:t>ciman, Andrew Carson-Stevens, J Braithwaite)</w:t>
            </w:r>
          </w:p>
          <w:p w:rsidR="00ED1179" w:rsidRPr="00ED1179" w:rsidRDefault="00ED1179" w:rsidP="002D06B1">
            <w:pPr>
              <w:pStyle w:val="ListParagraph"/>
              <w:numPr>
                <w:ilvl w:val="0"/>
                <w:numId w:val="15"/>
              </w:numPr>
              <w:rPr>
                <w:rFonts w:ascii="Garamond" w:hAnsi="Garamond"/>
                <w:lang w:val="en-AU"/>
              </w:rPr>
            </w:pPr>
            <w:r w:rsidRPr="002D06B1">
              <w:rPr>
                <w:rFonts w:ascii="Garamond" w:hAnsi="Garamond"/>
                <w:b/>
                <w:lang w:val="en-AU"/>
              </w:rPr>
              <w:t>Regional variation in hospital care at the end-of-life</w:t>
            </w:r>
            <w:r w:rsidRPr="00ED1179">
              <w:rPr>
                <w:rFonts w:ascii="Garamond" w:hAnsi="Garamond"/>
                <w:lang w:val="en-AU"/>
              </w:rPr>
              <w:t xml:space="preserve"> of Dutch patients with lung cancer exists and is not correlated with primary and long-term care (Yvonne de Man, Stef Groenewoud, Mariska G Oosterveld-Vlug, Linda Brom, </w:t>
            </w:r>
            <w:r w:rsidR="002D06B1">
              <w:rPr>
                <w:rFonts w:ascii="Garamond" w:hAnsi="Garamond"/>
                <w:lang w:val="en-AU"/>
              </w:rPr>
              <w:t xml:space="preserve">Bregje D Onwuteaka-Philipsen, </w:t>
            </w:r>
            <w:r w:rsidR="002D06B1" w:rsidRPr="002D06B1">
              <w:rPr>
                <w:rFonts w:ascii="Garamond" w:hAnsi="Garamond"/>
                <w:lang w:val="en-AU"/>
              </w:rPr>
              <w:t>Gert P Westert, Femke Atsma</w:t>
            </w:r>
            <w:r w:rsidR="002D06B1">
              <w:rPr>
                <w:rFonts w:ascii="Garamond" w:hAnsi="Garamond"/>
                <w:lang w:val="en-AU"/>
              </w:rPr>
              <w:t>)</w:t>
            </w:r>
          </w:p>
          <w:p w:rsidR="00ED1179" w:rsidRPr="00ED1179" w:rsidRDefault="00ED1179" w:rsidP="003E1DA1">
            <w:pPr>
              <w:pStyle w:val="ListParagraph"/>
              <w:numPr>
                <w:ilvl w:val="0"/>
                <w:numId w:val="15"/>
              </w:numPr>
              <w:rPr>
                <w:rFonts w:ascii="Garamond" w:hAnsi="Garamond"/>
                <w:lang w:val="en-AU"/>
              </w:rPr>
            </w:pPr>
            <w:r w:rsidRPr="00ED1179">
              <w:rPr>
                <w:rFonts w:ascii="Garamond" w:hAnsi="Garamond"/>
                <w:lang w:val="en-AU"/>
              </w:rPr>
              <w:t xml:space="preserve">Using Safety-II and resilient healthcare principles to </w:t>
            </w:r>
            <w:r w:rsidRPr="002D06B1">
              <w:rPr>
                <w:rFonts w:ascii="Garamond" w:hAnsi="Garamond"/>
                <w:b/>
                <w:lang w:val="en-AU"/>
              </w:rPr>
              <w:t>learn from Never Events</w:t>
            </w:r>
            <w:r w:rsidRPr="00ED1179">
              <w:rPr>
                <w:rFonts w:ascii="Garamond" w:hAnsi="Garamond"/>
                <w:lang w:val="en-AU"/>
              </w:rPr>
              <w:t xml:space="preserve"> (Janet E Anderson, Alison J Watt</w:t>
            </w:r>
            <w:r>
              <w:rPr>
                <w:rFonts w:ascii="Garamond" w:hAnsi="Garamond"/>
                <w:lang w:val="en-AU"/>
              </w:rPr>
              <w:t>)</w:t>
            </w:r>
          </w:p>
          <w:p w:rsidR="00ED1179" w:rsidRPr="00ED1179" w:rsidRDefault="00ED1179" w:rsidP="002D06B1">
            <w:pPr>
              <w:pStyle w:val="ListParagraph"/>
              <w:numPr>
                <w:ilvl w:val="0"/>
                <w:numId w:val="15"/>
              </w:numPr>
              <w:rPr>
                <w:rFonts w:ascii="Garamond" w:hAnsi="Garamond"/>
                <w:lang w:val="en-AU"/>
              </w:rPr>
            </w:pPr>
            <w:r w:rsidRPr="00ED1179">
              <w:rPr>
                <w:rFonts w:ascii="Garamond" w:hAnsi="Garamond"/>
                <w:lang w:val="en-AU"/>
              </w:rPr>
              <w:t xml:space="preserve">Beyond ‘find and fix’: </w:t>
            </w:r>
            <w:r w:rsidRPr="002D06B1">
              <w:rPr>
                <w:rFonts w:ascii="Garamond" w:hAnsi="Garamond"/>
                <w:b/>
                <w:lang w:val="en-AU"/>
              </w:rPr>
              <w:t>improving quality and safety through resilient healthcare systems</w:t>
            </w:r>
            <w:r w:rsidRPr="00ED1179">
              <w:rPr>
                <w:rFonts w:ascii="Garamond" w:hAnsi="Garamond"/>
                <w:lang w:val="en-AU"/>
              </w:rPr>
              <w:t xml:space="preserve"> (J E Anderson, A J Ross, J Back, M Duncan, P Snell</w:t>
            </w:r>
            <w:r w:rsidR="002D06B1">
              <w:rPr>
                <w:rFonts w:ascii="Garamond" w:hAnsi="Garamond"/>
                <w:lang w:val="en-AU"/>
              </w:rPr>
              <w:t xml:space="preserve">, </w:t>
            </w:r>
            <w:r w:rsidR="002D06B1" w:rsidRPr="002D06B1">
              <w:rPr>
                <w:rFonts w:ascii="Garamond" w:hAnsi="Garamond"/>
                <w:lang w:val="en-AU"/>
              </w:rPr>
              <w:t>A Hopper, P Jaye</w:t>
            </w:r>
            <w:r w:rsidR="002D06B1">
              <w:rPr>
                <w:rFonts w:ascii="Garamond" w:hAnsi="Garamond"/>
                <w:lang w:val="en-AU"/>
              </w:rPr>
              <w:t>)</w:t>
            </w:r>
          </w:p>
          <w:p w:rsidR="00ED1179" w:rsidRPr="00ED1179" w:rsidRDefault="00ED1179" w:rsidP="00D244E9">
            <w:pPr>
              <w:pStyle w:val="ListParagraph"/>
              <w:numPr>
                <w:ilvl w:val="0"/>
                <w:numId w:val="15"/>
              </w:numPr>
              <w:rPr>
                <w:rFonts w:ascii="Garamond" w:hAnsi="Garamond"/>
                <w:lang w:val="en-AU"/>
              </w:rPr>
            </w:pPr>
            <w:r w:rsidRPr="00ED1179">
              <w:rPr>
                <w:rFonts w:ascii="Garamond" w:hAnsi="Garamond"/>
                <w:lang w:val="en-AU"/>
              </w:rPr>
              <w:t xml:space="preserve">A case-controlled study of </w:t>
            </w:r>
            <w:r w:rsidRPr="002D06B1">
              <w:rPr>
                <w:rFonts w:ascii="Garamond" w:hAnsi="Garamond"/>
                <w:b/>
                <w:lang w:val="en-AU"/>
              </w:rPr>
              <w:t>relatives’ complaints concerning patients who died in hospital</w:t>
            </w:r>
            <w:r w:rsidRPr="00ED1179">
              <w:rPr>
                <w:rFonts w:ascii="Garamond" w:hAnsi="Garamond"/>
                <w:lang w:val="en-AU"/>
              </w:rPr>
              <w:t>: The role of treatment escalation/limitation planning (D Robin Taylor, Janet Bouttell, Jonathan N Campbell, Calvin J Lightbody</w:t>
            </w:r>
            <w:r>
              <w:rPr>
                <w:rFonts w:ascii="Garamond" w:hAnsi="Garamond"/>
                <w:lang w:val="en-AU"/>
              </w:rPr>
              <w:t>)</w:t>
            </w:r>
          </w:p>
          <w:p w:rsidR="00ED1179" w:rsidRPr="00ED1179" w:rsidRDefault="00ED1179" w:rsidP="002B051D">
            <w:pPr>
              <w:pStyle w:val="ListParagraph"/>
              <w:numPr>
                <w:ilvl w:val="0"/>
                <w:numId w:val="15"/>
              </w:numPr>
              <w:rPr>
                <w:rFonts w:ascii="Garamond" w:hAnsi="Garamond"/>
                <w:lang w:val="en-AU"/>
              </w:rPr>
            </w:pPr>
            <w:r w:rsidRPr="00ED1179">
              <w:rPr>
                <w:rFonts w:ascii="Garamond" w:hAnsi="Garamond"/>
                <w:lang w:val="en-AU"/>
              </w:rPr>
              <w:lastRenderedPageBreak/>
              <w:t xml:space="preserve">Psychometric evaluation of </w:t>
            </w:r>
            <w:r w:rsidRPr="002D06B1">
              <w:rPr>
                <w:rFonts w:ascii="Garamond" w:hAnsi="Garamond"/>
                <w:b/>
                <w:lang w:val="en-AU"/>
              </w:rPr>
              <w:t>patient-reported experience measures</w:t>
            </w:r>
            <w:r w:rsidRPr="00ED1179">
              <w:rPr>
                <w:rFonts w:ascii="Garamond" w:hAnsi="Garamond"/>
                <w:lang w:val="en-AU"/>
              </w:rPr>
              <w:t>: is it valid? (Steve Sizmur, Chris Graham, Nanne Bos</w:t>
            </w:r>
            <w:r>
              <w:rPr>
                <w:rFonts w:ascii="Garamond" w:hAnsi="Garamond"/>
                <w:lang w:val="en-AU"/>
              </w:rPr>
              <w:t>)</w:t>
            </w:r>
          </w:p>
          <w:p w:rsidR="00ED1179" w:rsidRPr="007C3778" w:rsidRDefault="00ED1179" w:rsidP="00ED1179">
            <w:pPr>
              <w:pStyle w:val="ListParagraph"/>
              <w:numPr>
                <w:ilvl w:val="0"/>
                <w:numId w:val="15"/>
              </w:numPr>
              <w:rPr>
                <w:rFonts w:ascii="Garamond" w:hAnsi="Garamond"/>
                <w:lang w:val="en-AU"/>
              </w:rPr>
            </w:pPr>
            <w:r w:rsidRPr="002D06B1">
              <w:rPr>
                <w:rFonts w:ascii="Garamond" w:hAnsi="Garamond"/>
                <w:b/>
                <w:lang w:val="en-AU"/>
              </w:rPr>
              <w:t>World Patient Safety Day</w:t>
            </w:r>
            <w:r w:rsidRPr="00ED1179">
              <w:rPr>
                <w:rFonts w:ascii="Garamond" w:hAnsi="Garamond"/>
                <w:lang w:val="en-AU"/>
              </w:rPr>
              <w:t xml:space="preserve">: the Tuscany region at the forefront of quality of care </w:t>
            </w:r>
            <w:r>
              <w:rPr>
                <w:rFonts w:ascii="Garamond" w:hAnsi="Garamond"/>
                <w:lang w:val="en-AU"/>
              </w:rPr>
              <w:t>(</w:t>
            </w:r>
            <w:r w:rsidRPr="00ED1179">
              <w:rPr>
                <w:rFonts w:ascii="Garamond" w:hAnsi="Garamond"/>
                <w:lang w:val="en-AU"/>
              </w:rPr>
              <w:t>Sara Albolino, Giulia Dagliana</w:t>
            </w:r>
            <w:r>
              <w:rPr>
                <w:rFonts w:ascii="Garamond" w:hAnsi="Garamond"/>
                <w:lang w:val="en-AU"/>
              </w:rPr>
              <w:t>)</w:t>
            </w:r>
          </w:p>
        </w:tc>
      </w:tr>
    </w:tbl>
    <w:p w:rsidR="00ED1179" w:rsidRDefault="00ED1179" w:rsidP="00ED1179">
      <w:pPr>
        <w:keepNext/>
        <w:rPr>
          <w:rFonts w:ascii="Garamond" w:hAnsi="Garamond"/>
          <w:i/>
          <w:lang w:val="en-AU"/>
        </w:rPr>
      </w:pPr>
    </w:p>
    <w:p w:rsidR="00BB3BE3" w:rsidRPr="00467B47" w:rsidRDefault="00BB3BE3" w:rsidP="005E782C">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82759F" w:rsidP="00DC09BF">
            <w:pPr>
              <w:keepNext/>
              <w:rPr>
                <w:rFonts w:ascii="Garamond" w:hAnsi="Garamond"/>
                <w:lang w:val="en-AU"/>
              </w:rPr>
            </w:pPr>
            <w:hyperlink r:id="rId34"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D502C7" w:rsidRPr="00D502C7" w:rsidRDefault="00D502C7" w:rsidP="007B5C3B">
            <w:pPr>
              <w:pStyle w:val="ListParagraph"/>
              <w:numPr>
                <w:ilvl w:val="0"/>
                <w:numId w:val="14"/>
              </w:numPr>
              <w:jc w:val="both"/>
              <w:rPr>
                <w:rFonts w:ascii="Garamond" w:hAnsi="Garamond"/>
                <w:lang w:val="en-AU"/>
              </w:rPr>
            </w:pPr>
            <w:r w:rsidRPr="00D502C7">
              <w:rPr>
                <w:rFonts w:ascii="Garamond" w:hAnsi="Garamond"/>
                <w:lang w:val="en-AU"/>
              </w:rPr>
              <w:t xml:space="preserve">Associations of </w:t>
            </w:r>
            <w:r w:rsidRPr="00D502C7">
              <w:rPr>
                <w:rFonts w:ascii="Garamond" w:hAnsi="Garamond"/>
                <w:b/>
                <w:lang w:val="en-AU"/>
              </w:rPr>
              <w:t>workflow disruptions in the operating room with surgical outcomes</w:t>
            </w:r>
            <w:r w:rsidRPr="00D502C7">
              <w:rPr>
                <w:rFonts w:ascii="Garamond" w:hAnsi="Garamond"/>
                <w:lang w:val="en-AU"/>
              </w:rPr>
              <w:t>: a systematic review and narrative synthesis (Amelie Koch, Jacob Burns, Ken Catchpole, Matthias Weigl</w:t>
            </w:r>
            <w:r>
              <w:rPr>
                <w:rFonts w:ascii="Garamond" w:hAnsi="Garamond"/>
                <w:lang w:val="en-AU"/>
              </w:rPr>
              <w:t>)</w:t>
            </w:r>
          </w:p>
          <w:p w:rsidR="00D502C7" w:rsidRDefault="00D502C7" w:rsidP="00D502C7">
            <w:pPr>
              <w:pStyle w:val="ListParagraph"/>
              <w:numPr>
                <w:ilvl w:val="0"/>
                <w:numId w:val="14"/>
              </w:numPr>
              <w:jc w:val="both"/>
              <w:rPr>
                <w:rFonts w:ascii="Garamond" w:hAnsi="Garamond"/>
                <w:lang w:val="en-AU"/>
              </w:rPr>
            </w:pPr>
            <w:r w:rsidRPr="00D502C7">
              <w:rPr>
                <w:rFonts w:ascii="Garamond" w:hAnsi="Garamond"/>
                <w:b/>
                <w:lang w:val="en-AU"/>
              </w:rPr>
              <w:t>Less is more, now more than ever</w:t>
            </w:r>
            <w:r>
              <w:rPr>
                <w:rFonts w:ascii="Garamond" w:hAnsi="Garamond"/>
                <w:lang w:val="en-AU"/>
              </w:rPr>
              <w:t xml:space="preserve"> (</w:t>
            </w:r>
            <w:r w:rsidRPr="00D502C7">
              <w:rPr>
                <w:rFonts w:ascii="Garamond" w:hAnsi="Garamond"/>
                <w:lang w:val="en-AU"/>
              </w:rPr>
              <w:t>Christine Soong, Karen B Born, Wendy Levinson</w:t>
            </w:r>
            <w:r>
              <w:rPr>
                <w:rFonts w:ascii="Garamond" w:hAnsi="Garamond"/>
                <w:lang w:val="en-AU"/>
              </w:rPr>
              <w:t>)</w:t>
            </w:r>
          </w:p>
          <w:p w:rsidR="00CD19C8" w:rsidRDefault="00CD19C8" w:rsidP="00CD19C8">
            <w:pPr>
              <w:pStyle w:val="ListParagraph"/>
              <w:numPr>
                <w:ilvl w:val="0"/>
                <w:numId w:val="14"/>
              </w:numPr>
              <w:jc w:val="both"/>
              <w:rPr>
                <w:rFonts w:ascii="Garamond" w:hAnsi="Garamond"/>
                <w:lang w:val="en-AU"/>
              </w:rPr>
            </w:pPr>
            <w:r w:rsidRPr="00CD19C8">
              <w:rPr>
                <w:rFonts w:ascii="Garamond" w:hAnsi="Garamond"/>
                <w:b/>
                <w:lang w:val="en-AU"/>
              </w:rPr>
              <w:t>Work effort, readability and quality of pharmacy transcription of patient directions from electronic prescriptions</w:t>
            </w:r>
            <w:r w:rsidRPr="00CD19C8">
              <w:rPr>
                <w:rFonts w:ascii="Garamond" w:hAnsi="Garamond"/>
                <w:lang w:val="en-AU"/>
              </w:rPr>
              <w:t xml:space="preserve">: a retrospective observational cohort analysis </w:t>
            </w:r>
            <w:r>
              <w:rPr>
                <w:rFonts w:ascii="Garamond" w:hAnsi="Garamond"/>
                <w:lang w:val="en-AU"/>
              </w:rPr>
              <w:t>(</w:t>
            </w:r>
            <w:r w:rsidRPr="00CD19C8">
              <w:rPr>
                <w:rFonts w:ascii="Garamond" w:hAnsi="Garamond"/>
                <w:lang w:val="en-AU"/>
              </w:rPr>
              <w:t>Yifan Zheng, Yun Jiang, Michael P Dorsch, Yuting Ding, V G Vinod Vydiswaran, Corey A Lester</w:t>
            </w:r>
            <w:r>
              <w:rPr>
                <w:rFonts w:ascii="Garamond" w:hAnsi="Garamond"/>
                <w:lang w:val="en-AU"/>
              </w:rPr>
              <w:t>)</w:t>
            </w:r>
          </w:p>
          <w:p w:rsidR="00EF5393" w:rsidRPr="00543B3B" w:rsidRDefault="00EF5393" w:rsidP="004C3C89">
            <w:pPr>
              <w:pStyle w:val="ListParagraph"/>
              <w:numPr>
                <w:ilvl w:val="0"/>
                <w:numId w:val="14"/>
              </w:numPr>
              <w:rPr>
                <w:rFonts w:ascii="Garamond" w:hAnsi="Garamond"/>
                <w:lang w:val="en-AU"/>
              </w:rPr>
            </w:pPr>
            <w:r w:rsidRPr="00EF5393">
              <w:rPr>
                <w:rFonts w:ascii="Garamond" w:hAnsi="Garamond"/>
                <w:b/>
                <w:lang w:val="en-AU"/>
              </w:rPr>
              <w:t>Limiting surveillance imaging</w:t>
            </w:r>
            <w:r w:rsidRPr="00EF5393">
              <w:rPr>
                <w:rFonts w:ascii="Garamond" w:hAnsi="Garamond"/>
                <w:lang w:val="en-AU"/>
              </w:rPr>
              <w:t xml:space="preserve"> for patients with lymphoma in remission: a mixed methods study leading to</w:t>
            </w:r>
            <w:r w:rsidR="004C3C89">
              <w:rPr>
                <w:rFonts w:ascii="Garamond" w:hAnsi="Garamond"/>
                <w:lang w:val="en-AU"/>
              </w:rPr>
              <w:t xml:space="preserve"> </w:t>
            </w:r>
            <w:r w:rsidRPr="00EF5393">
              <w:rPr>
                <w:rFonts w:ascii="Garamond" w:hAnsi="Garamond"/>
                <w:lang w:val="en-AU"/>
              </w:rPr>
              <w:t>a Choosing Wisely recommendation</w:t>
            </w:r>
            <w:r>
              <w:rPr>
                <w:rFonts w:ascii="Garamond" w:hAnsi="Garamond"/>
                <w:lang w:val="en-AU"/>
              </w:rPr>
              <w:t xml:space="preserve"> (</w:t>
            </w:r>
            <w:r w:rsidRPr="00EF5393">
              <w:rPr>
                <w:rFonts w:ascii="Garamond" w:hAnsi="Garamond"/>
                <w:lang w:val="en-AU"/>
              </w:rPr>
              <w:t>Ora Paltiel, Galor Raviv Sharabi</w:t>
            </w:r>
            <w:r>
              <w:rPr>
                <w:rFonts w:ascii="Garamond" w:hAnsi="Garamond"/>
                <w:lang w:val="en-AU"/>
              </w:rPr>
              <w:t>, Reut Tzemach, Talya Rechavi</w:t>
            </w:r>
            <w:r w:rsidRPr="00EF5393">
              <w:rPr>
                <w:rFonts w:ascii="Garamond" w:hAnsi="Garamond"/>
                <w:lang w:val="en-AU"/>
              </w:rPr>
              <w:t>, Estherina Trachtenberg</w:t>
            </w:r>
            <w:r>
              <w:rPr>
                <w:rFonts w:ascii="Garamond" w:hAnsi="Garamond"/>
                <w:lang w:val="en-AU"/>
              </w:rPr>
              <w:t>, Neta Goldschmidt</w:t>
            </w:r>
            <w:r w:rsidRPr="00EF5393">
              <w:rPr>
                <w:rFonts w:ascii="Garamond" w:hAnsi="Garamond"/>
                <w:lang w:val="en-AU"/>
              </w:rPr>
              <w:t>, Eldad J Dann, Rachel Bar-Shalom</w:t>
            </w:r>
            <w:r>
              <w:rPr>
                <w:rFonts w:ascii="Garamond" w:hAnsi="Garamond"/>
                <w:lang w:val="en-AU"/>
              </w:rPr>
              <w:t>)</w:t>
            </w:r>
          </w:p>
        </w:tc>
      </w:tr>
    </w:tbl>
    <w:p w:rsidR="00BB3BE3" w:rsidRDefault="00BB3BE3" w:rsidP="00BB3BE3">
      <w:pPr>
        <w:keepNext/>
        <w:rPr>
          <w:rFonts w:ascii="Garamond" w:hAnsi="Garamond"/>
          <w:b/>
          <w:lang w:val="en-AU"/>
        </w:rPr>
      </w:pPr>
    </w:p>
    <w:p w:rsidR="00E4098B" w:rsidRPr="00467B47" w:rsidRDefault="00E4098B" w:rsidP="00E4098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82759F" w:rsidP="00DC09BF">
            <w:pPr>
              <w:keepNext/>
              <w:rPr>
                <w:rFonts w:ascii="Garamond" w:hAnsi="Garamond"/>
                <w:lang w:val="en-AU"/>
              </w:rPr>
            </w:pPr>
            <w:hyperlink r:id="rId35" w:history="1">
              <w:r w:rsidR="00E4098B" w:rsidRPr="00D31E10">
                <w:rPr>
                  <w:rStyle w:val="Hyperlink"/>
                  <w:rFonts w:ascii="Garamond" w:hAnsi="Garamond"/>
                  <w:lang w:val="en-AU"/>
                </w:rPr>
                <w:t>https://academic.oup.com/intqhc/advance-articles</w:t>
              </w:r>
            </w:hyperlink>
          </w:p>
        </w:tc>
      </w:tr>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E21AC6" w:rsidRDefault="00EF5393" w:rsidP="00E176F9">
            <w:pPr>
              <w:pStyle w:val="ListParagraph"/>
              <w:numPr>
                <w:ilvl w:val="0"/>
                <w:numId w:val="14"/>
              </w:numPr>
              <w:jc w:val="both"/>
              <w:rPr>
                <w:rFonts w:ascii="Garamond" w:hAnsi="Garamond"/>
                <w:lang w:val="en-AU"/>
              </w:rPr>
            </w:pPr>
            <w:r>
              <w:rPr>
                <w:rFonts w:ascii="Garamond" w:hAnsi="Garamond"/>
                <w:lang w:val="en-AU"/>
              </w:rPr>
              <w:t>Editorial</w:t>
            </w:r>
            <w:r w:rsidR="00E21AC6" w:rsidRPr="00E21AC6">
              <w:rPr>
                <w:rFonts w:ascii="Garamond" w:hAnsi="Garamond"/>
                <w:lang w:val="en-AU"/>
              </w:rPr>
              <w:t xml:space="preserve">: </w:t>
            </w:r>
            <w:r w:rsidR="00E21AC6" w:rsidRPr="00307A53">
              <w:rPr>
                <w:rFonts w:ascii="Garamond" w:hAnsi="Garamond"/>
                <w:b/>
                <w:lang w:val="en-AU"/>
              </w:rPr>
              <w:t>COVID-19: patient safety and quality improvement skills</w:t>
            </w:r>
            <w:r w:rsidR="00E21AC6" w:rsidRPr="00E21AC6">
              <w:rPr>
                <w:rFonts w:ascii="Garamond" w:hAnsi="Garamond"/>
                <w:lang w:val="en-AU"/>
              </w:rPr>
              <w:t xml:space="preserve"> to deploy during the surge (Anthony Staines, Ren</w:t>
            </w:r>
            <w:r w:rsidR="00E21AC6">
              <w:rPr>
                <w:rFonts w:ascii="Garamond" w:hAnsi="Garamond"/>
                <w:lang w:val="en-AU"/>
              </w:rPr>
              <w:t>é</w:t>
            </w:r>
            <w:r w:rsidR="00E21AC6" w:rsidRPr="00E21AC6">
              <w:rPr>
                <w:rFonts w:ascii="Garamond" w:hAnsi="Garamond"/>
                <w:lang w:val="en-AU"/>
              </w:rPr>
              <w:t xml:space="preserve"> Amalberti, Donald M Berwick, Jeffrey Braithwaite, Peter Lachman</w:t>
            </w:r>
            <w:r w:rsidR="00E21AC6">
              <w:rPr>
                <w:rFonts w:ascii="Garamond" w:hAnsi="Garamond"/>
                <w:lang w:val="en-AU"/>
              </w:rPr>
              <w:t>, Charles A Vincent)</w:t>
            </w:r>
          </w:p>
          <w:p w:rsidR="00EF5393" w:rsidRPr="00EF5393" w:rsidRDefault="00EF5393" w:rsidP="00585414">
            <w:pPr>
              <w:pStyle w:val="ListParagraph"/>
              <w:numPr>
                <w:ilvl w:val="0"/>
                <w:numId w:val="14"/>
              </w:numPr>
              <w:jc w:val="both"/>
              <w:rPr>
                <w:rFonts w:ascii="Garamond" w:hAnsi="Garamond"/>
                <w:lang w:val="en-AU"/>
              </w:rPr>
            </w:pPr>
            <w:r w:rsidRPr="00EF5393">
              <w:rPr>
                <w:rFonts w:ascii="Garamond" w:hAnsi="Garamond"/>
                <w:b/>
                <w:lang w:val="en-AU"/>
              </w:rPr>
              <w:t>Human factors and ergonomics</w:t>
            </w:r>
            <w:r w:rsidRPr="00EF5393">
              <w:rPr>
                <w:rFonts w:ascii="Garamond" w:hAnsi="Garamond"/>
                <w:lang w:val="en-AU"/>
              </w:rPr>
              <w:t xml:space="preserve"> at time of crises: the Italian experience coping with </w:t>
            </w:r>
            <w:r w:rsidRPr="00EF5393">
              <w:rPr>
                <w:rFonts w:ascii="Garamond" w:hAnsi="Garamond"/>
                <w:b/>
                <w:lang w:val="en-AU"/>
              </w:rPr>
              <w:t>COVID-19</w:t>
            </w:r>
            <w:r w:rsidRPr="00EF5393">
              <w:rPr>
                <w:rFonts w:ascii="Garamond" w:hAnsi="Garamond"/>
                <w:lang w:val="en-AU"/>
              </w:rPr>
              <w:t xml:space="preserve"> (Sara Albolino, Giulia Dagliana, Michela Tanzini, Giulio Toccafondi, Elena Beleffi, Francesco Ranzani, Elisabetta Flore</w:t>
            </w:r>
            <w:r>
              <w:rPr>
                <w:rFonts w:ascii="Garamond" w:hAnsi="Garamond"/>
                <w:lang w:val="en-AU"/>
              </w:rPr>
              <w:t>)</w:t>
            </w:r>
          </w:p>
          <w:p w:rsidR="00C05F0D" w:rsidRPr="00721A1B" w:rsidRDefault="00E21AC6" w:rsidP="00E21AC6">
            <w:pPr>
              <w:pStyle w:val="ListParagraph"/>
              <w:numPr>
                <w:ilvl w:val="0"/>
                <w:numId w:val="14"/>
              </w:numPr>
              <w:jc w:val="both"/>
              <w:rPr>
                <w:rFonts w:ascii="Garamond" w:hAnsi="Garamond"/>
                <w:lang w:val="en-AU"/>
              </w:rPr>
            </w:pPr>
            <w:r w:rsidRPr="00E21AC6">
              <w:rPr>
                <w:rFonts w:ascii="Garamond" w:hAnsi="Garamond"/>
                <w:lang w:val="en-AU"/>
              </w:rPr>
              <w:t xml:space="preserve">Quality assessment of </w:t>
            </w:r>
            <w:r w:rsidRPr="00E21AC6">
              <w:rPr>
                <w:rFonts w:ascii="Garamond" w:hAnsi="Garamond"/>
                <w:b/>
                <w:lang w:val="en-AU"/>
              </w:rPr>
              <w:t>weekend discharge</w:t>
            </w:r>
            <w:r w:rsidRPr="00E21AC6">
              <w:rPr>
                <w:rFonts w:ascii="Garamond" w:hAnsi="Garamond"/>
                <w:lang w:val="en-AU"/>
              </w:rPr>
              <w:t xml:space="preserve">: a systematic review and meta-analysis </w:t>
            </w:r>
            <w:r>
              <w:rPr>
                <w:rFonts w:ascii="Garamond" w:hAnsi="Garamond"/>
                <w:lang w:val="en-AU"/>
              </w:rPr>
              <w:t>(</w:t>
            </w:r>
            <w:r w:rsidRPr="00E21AC6">
              <w:rPr>
                <w:rFonts w:ascii="Garamond" w:hAnsi="Garamond"/>
                <w:lang w:val="en-AU"/>
              </w:rPr>
              <w:t>Chia-Yu Chiu, David Oria, Peter Yangga, Dasol Kang</w:t>
            </w:r>
            <w:r>
              <w:rPr>
                <w:rFonts w:ascii="Garamond" w:hAnsi="Garamond"/>
                <w:lang w:val="en-AU"/>
              </w:rPr>
              <w:t>)</w:t>
            </w:r>
          </w:p>
        </w:tc>
      </w:tr>
    </w:tbl>
    <w:p w:rsidR="00E4098B" w:rsidRDefault="00E4098B" w:rsidP="00E4098B">
      <w:pPr>
        <w:rPr>
          <w:rFonts w:ascii="Garamond" w:hAnsi="Garamond"/>
          <w:b/>
          <w:lang w:val="en-AU"/>
        </w:rPr>
      </w:pPr>
    </w:p>
    <w:p w:rsidR="001B384D" w:rsidRDefault="001B384D" w:rsidP="00E4098B">
      <w:pPr>
        <w:rPr>
          <w:rFonts w:ascii="Garamond" w:hAnsi="Garamond"/>
          <w:b/>
          <w:lang w:val="en-AU"/>
        </w:rPr>
      </w:pPr>
    </w:p>
    <w:p w:rsidR="00B36EA8" w:rsidRDefault="00B36EA8" w:rsidP="00E4098B">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CC3CE6">
      <w:pPr>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82759F" w:rsidP="00310503">
      <w:pPr>
        <w:keepNext/>
        <w:keepLines/>
        <w:rPr>
          <w:rFonts w:ascii="Garamond" w:hAnsi="Garamond"/>
          <w:lang w:val="en-AU"/>
        </w:rPr>
      </w:pPr>
      <w:hyperlink r:id="rId36" w:history="1">
        <w:r w:rsidR="00310503" w:rsidRPr="00423853">
          <w:rPr>
            <w:rStyle w:val="Hyperlink"/>
            <w:rFonts w:ascii="Garamond" w:hAnsi="Garamond"/>
            <w:lang w:val="en-AU"/>
          </w:rPr>
          <w:t>https://covid19evidence.net.au/</w:t>
        </w:r>
      </w:hyperlink>
    </w:p>
    <w:p w:rsidR="00310503" w:rsidRPr="001966EC" w:rsidRDefault="00310503" w:rsidP="00310503">
      <w:pPr>
        <w:keepNext/>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310503" w:rsidRDefault="00310503" w:rsidP="00CC3CE6">
      <w:pPr>
        <w:keepLines/>
        <w:rPr>
          <w:rFonts w:ascii="Garamond" w:hAnsi="Garamond"/>
          <w:i/>
          <w:lang w:val="en-AU"/>
        </w:rPr>
      </w:pPr>
    </w:p>
    <w:p w:rsidR="00C45C28" w:rsidRDefault="00C45C28" w:rsidP="00824A93">
      <w:pPr>
        <w:keepNext/>
        <w:keepLines/>
        <w:rPr>
          <w:rFonts w:ascii="Garamond" w:hAnsi="Garamond"/>
          <w:i/>
          <w:lang w:val="en-AU"/>
        </w:rPr>
      </w:pPr>
      <w:r>
        <w:rPr>
          <w:rFonts w:ascii="Garamond" w:hAnsi="Garamond"/>
          <w:i/>
          <w:lang w:val="en-AU"/>
        </w:rPr>
        <w:lastRenderedPageBreak/>
        <w:t>COVID-19 Critical Intelligence Unit</w:t>
      </w:r>
    </w:p>
    <w:p w:rsidR="00C45C28" w:rsidRDefault="0082759F" w:rsidP="00824A93">
      <w:pPr>
        <w:keepNext/>
        <w:keepLines/>
        <w:rPr>
          <w:rFonts w:ascii="Garamond" w:hAnsi="Garamond"/>
          <w:lang w:val="en-AU"/>
        </w:rPr>
      </w:pPr>
      <w:hyperlink r:id="rId37" w:history="1">
        <w:r w:rsidR="00C45C28" w:rsidRPr="00E11CC6">
          <w:rPr>
            <w:rStyle w:val="Hyperlink"/>
            <w:rFonts w:ascii="Garamond" w:hAnsi="Garamond"/>
            <w:lang w:val="en-AU"/>
          </w:rPr>
          <w:t>https://www.aci.health.nsw.gov.au/covid-19/critical-intelligence-unit</w:t>
        </w:r>
      </w:hyperlink>
    </w:p>
    <w:p w:rsidR="00C45C28" w:rsidRDefault="00C45C28" w:rsidP="00824A93">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6170CF">
        <w:rPr>
          <w:rFonts w:ascii="Garamond" w:hAnsi="Garamond"/>
          <w:lang w:val="en-AU"/>
        </w:rPr>
        <w:t xml:space="preserve"> </w:t>
      </w:r>
      <w:r w:rsidR="00644CA7">
        <w:rPr>
          <w:rFonts w:ascii="Garamond" w:hAnsi="Garamond"/>
          <w:lang w:val="en-AU"/>
        </w:rPr>
        <w:t>Recent e</w:t>
      </w:r>
      <w:r w:rsidR="006170CF">
        <w:rPr>
          <w:rFonts w:ascii="Garamond" w:hAnsi="Garamond"/>
          <w:lang w:val="en-AU"/>
        </w:rPr>
        <w:t>vidence checks date include:</w:t>
      </w:r>
    </w:p>
    <w:p w:rsidR="00CD19C8" w:rsidRDefault="00CD19C8" w:rsidP="00CD19C8">
      <w:pPr>
        <w:pStyle w:val="ListParagraph"/>
        <w:keepNext/>
        <w:keepLines/>
        <w:numPr>
          <w:ilvl w:val="0"/>
          <w:numId w:val="14"/>
        </w:numPr>
        <w:rPr>
          <w:rFonts w:ascii="Garamond" w:hAnsi="Garamond"/>
          <w:b/>
          <w:i/>
          <w:lang w:val="en-AU"/>
        </w:rPr>
      </w:pPr>
      <w:r w:rsidRPr="00CD19C8">
        <w:rPr>
          <w:rFonts w:ascii="Garamond" w:hAnsi="Garamond"/>
          <w:b/>
          <w:i/>
          <w:lang w:val="en-AU"/>
        </w:rPr>
        <w:t>Assessment and management of COVID-19 patients in the emergency department (ED)</w:t>
      </w:r>
    </w:p>
    <w:p w:rsidR="00ED1179" w:rsidRPr="00ED1179" w:rsidRDefault="00ED1179" w:rsidP="00ED1179">
      <w:pPr>
        <w:pStyle w:val="ListParagraph"/>
        <w:keepNext/>
        <w:keepLines/>
        <w:numPr>
          <w:ilvl w:val="0"/>
          <w:numId w:val="14"/>
        </w:numPr>
        <w:rPr>
          <w:rFonts w:ascii="Garamond" w:hAnsi="Garamond"/>
          <w:b/>
          <w:i/>
          <w:lang w:val="en-AU"/>
        </w:rPr>
      </w:pPr>
      <w:r w:rsidRPr="00ED1179">
        <w:rPr>
          <w:rFonts w:ascii="Garamond" w:hAnsi="Garamond"/>
          <w:b/>
          <w:i/>
          <w:lang w:val="en-AU"/>
        </w:rPr>
        <w:t>Homelessness and COVID-19</w:t>
      </w:r>
    </w:p>
    <w:p w:rsidR="005E782C" w:rsidRDefault="00ED1179" w:rsidP="00ED1179">
      <w:pPr>
        <w:pStyle w:val="ListParagraph"/>
        <w:keepNext/>
        <w:keepLines/>
        <w:numPr>
          <w:ilvl w:val="0"/>
          <w:numId w:val="14"/>
        </w:numPr>
        <w:rPr>
          <w:rFonts w:ascii="Garamond" w:hAnsi="Garamond"/>
          <w:b/>
          <w:i/>
          <w:lang w:val="en-AU"/>
        </w:rPr>
      </w:pPr>
      <w:r w:rsidRPr="00ED1179">
        <w:rPr>
          <w:rFonts w:ascii="Garamond" w:hAnsi="Garamond"/>
          <w:b/>
          <w:i/>
          <w:lang w:val="en-AU"/>
        </w:rPr>
        <w:t>Guidance and underlying evidence about personal protective equipment (PPE) use during COVID-19</w:t>
      </w:r>
    </w:p>
    <w:p w:rsidR="00E21AC6" w:rsidRPr="00E21AC6" w:rsidRDefault="00E21AC6" w:rsidP="00E21AC6">
      <w:pPr>
        <w:pStyle w:val="ListParagraph"/>
        <w:keepNext/>
        <w:keepLines/>
        <w:numPr>
          <w:ilvl w:val="0"/>
          <w:numId w:val="14"/>
        </w:numPr>
        <w:rPr>
          <w:rFonts w:ascii="Garamond" w:hAnsi="Garamond"/>
          <w:b/>
          <w:i/>
          <w:lang w:val="en-AU"/>
        </w:rPr>
      </w:pPr>
      <w:r w:rsidRPr="00E21AC6">
        <w:rPr>
          <w:rFonts w:ascii="Garamond" w:hAnsi="Garamond"/>
          <w:b/>
          <w:i/>
          <w:lang w:val="en-AU"/>
        </w:rPr>
        <w:t>Large vessel occlusion strokes in COVID-19 patients</w:t>
      </w:r>
    </w:p>
    <w:p w:rsidR="00E21AC6" w:rsidRDefault="00E21AC6" w:rsidP="00E21AC6">
      <w:pPr>
        <w:pStyle w:val="ListParagraph"/>
        <w:keepNext/>
        <w:keepLines/>
        <w:numPr>
          <w:ilvl w:val="0"/>
          <w:numId w:val="14"/>
        </w:numPr>
        <w:rPr>
          <w:rFonts w:ascii="Garamond" w:hAnsi="Garamond"/>
          <w:b/>
          <w:i/>
          <w:lang w:val="en-AU"/>
        </w:rPr>
      </w:pPr>
      <w:r w:rsidRPr="00E21AC6">
        <w:rPr>
          <w:rFonts w:ascii="Garamond" w:hAnsi="Garamond"/>
          <w:b/>
          <w:i/>
          <w:lang w:val="en-AU"/>
        </w:rPr>
        <w:t>Reducing adverse impacts of people with a lived experience of severe mental health issues during COVID-19</w:t>
      </w:r>
    </w:p>
    <w:p w:rsidR="00931576" w:rsidRP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Validated tools to diagnose respiratory illness via telehealth</w:t>
      </w:r>
    </w:p>
    <w:p w:rsidR="00931576" w:rsidRP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Rehabilitation needs of post-acute COVID-19 patients</w:t>
      </w:r>
    </w:p>
    <w:p w:rsidR="00931576" w:rsidRP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Intubation in the emergency department during COVID-19</w:t>
      </w:r>
    </w:p>
    <w:p w:rsidR="00931576" w:rsidRP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Diabetes care during COVID-19</w:t>
      </w:r>
    </w:p>
    <w:p w:rsidR="00931576" w:rsidRP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Ventilation use for COVID-19 patients</w:t>
      </w:r>
    </w:p>
    <w:p w:rsidR="00931576" w:rsidRP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Thermal imaging for detection of fever</w:t>
      </w:r>
    </w:p>
    <w:p w:rsidR="00931576" w:rsidRP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Testing before surgery</w:t>
      </w:r>
    </w:p>
    <w:p w:rsid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Inpatient management of COVID-19</w:t>
      </w:r>
    </w:p>
    <w:p w:rsidR="00931576" w:rsidRP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Neonates and COVID-19</w:t>
      </w:r>
    </w:p>
    <w:p w:rsidR="00931576" w:rsidRP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Fibrinolysis and PCI for STEMI</w:t>
      </w:r>
    </w:p>
    <w:p w:rsidR="00931576" w:rsidRP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Pulmonary rehabilitation and COVID-19</w:t>
      </w:r>
    </w:p>
    <w:p w:rsidR="00931576" w:rsidRDefault="00931576" w:rsidP="00931576">
      <w:pPr>
        <w:pStyle w:val="ListParagraph"/>
        <w:keepNext/>
        <w:keepLines/>
        <w:numPr>
          <w:ilvl w:val="0"/>
          <w:numId w:val="14"/>
        </w:numPr>
        <w:rPr>
          <w:rFonts w:ascii="Garamond" w:hAnsi="Garamond"/>
          <w:b/>
          <w:i/>
          <w:lang w:val="en-AU"/>
        </w:rPr>
      </w:pPr>
      <w:r w:rsidRPr="00931576">
        <w:rPr>
          <w:rFonts w:ascii="Garamond" w:hAnsi="Garamond"/>
          <w:b/>
          <w:i/>
          <w:lang w:val="en-AU"/>
        </w:rPr>
        <w:t>Reducing adverse impacts of people with a lived experience of severe mental health issues during COVID-19</w:t>
      </w:r>
      <w:r w:rsidR="0082759F">
        <w:rPr>
          <w:rFonts w:ascii="Garamond" w:hAnsi="Garamond"/>
          <w:b/>
          <w:i/>
          <w:lang w:val="en-AU"/>
        </w:rPr>
        <w:t>.</w:t>
      </w:r>
    </w:p>
    <w:p w:rsidR="005E782C" w:rsidRDefault="005E782C" w:rsidP="00CC3CE6">
      <w:pPr>
        <w:keepLines/>
        <w:rPr>
          <w:rFonts w:ascii="Garamond" w:hAnsi="Garamond"/>
          <w:i/>
          <w:lang w:val="en-AU"/>
        </w:rPr>
      </w:pPr>
    </w:p>
    <w:p w:rsidR="004F7D1B" w:rsidRPr="00B5521E" w:rsidRDefault="004F7D1B" w:rsidP="004F7D1B">
      <w:pPr>
        <w:keepNext/>
        <w:rPr>
          <w:rFonts w:ascii="Garamond" w:hAnsi="Garamond"/>
          <w:i/>
          <w:lang w:val="en-AU"/>
        </w:rPr>
      </w:pPr>
      <w:r w:rsidRPr="00B5521E">
        <w:rPr>
          <w:rFonts w:ascii="Garamond" w:hAnsi="Garamond"/>
          <w:i/>
          <w:lang w:val="en-AU"/>
        </w:rPr>
        <w:t>[USA] Patient Safety Primers</w:t>
      </w:r>
    </w:p>
    <w:p w:rsidR="004F7D1B" w:rsidRPr="00B5521E" w:rsidRDefault="0082759F" w:rsidP="004F7D1B">
      <w:pPr>
        <w:keepNext/>
        <w:rPr>
          <w:rFonts w:ascii="Garamond" w:hAnsi="Garamond"/>
          <w:lang w:val="en-AU"/>
        </w:rPr>
      </w:pPr>
      <w:hyperlink r:id="rId38" w:history="1">
        <w:r w:rsidR="004F7D1B" w:rsidRPr="00B5521E">
          <w:rPr>
            <w:rStyle w:val="Hyperlink"/>
            <w:rFonts w:ascii="Garamond" w:hAnsi="Garamond"/>
            <w:lang w:val="en-AU"/>
          </w:rPr>
          <w:t>https://psnet.ahrq.gov/primers/</w:t>
        </w:r>
      </w:hyperlink>
    </w:p>
    <w:p w:rsidR="004F7D1B" w:rsidRPr="00B5521E" w:rsidRDefault="004F7D1B" w:rsidP="004F7D1B">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4F7D1B" w:rsidRDefault="004F7D1B" w:rsidP="004F7D1B">
      <w:pPr>
        <w:pStyle w:val="ListParagraph"/>
        <w:numPr>
          <w:ilvl w:val="0"/>
          <w:numId w:val="21"/>
        </w:numPr>
        <w:rPr>
          <w:rFonts w:ascii="Garamond" w:hAnsi="Garamond"/>
          <w:i/>
          <w:lang w:val="en-AU"/>
        </w:rPr>
      </w:pPr>
      <w:r w:rsidRPr="0082759F">
        <w:rPr>
          <w:rFonts w:ascii="Garamond" w:hAnsi="Garamond"/>
          <w:b/>
          <w:i/>
          <w:lang w:val="en-AU"/>
        </w:rPr>
        <w:t>COVID-19: Team and Human Factors to Improve Safety</w:t>
      </w:r>
      <w:r w:rsidRPr="0082759F">
        <w:rPr>
          <w:rFonts w:ascii="Garamond" w:hAnsi="Garamond"/>
          <w:b/>
          <w:i/>
          <w:lang w:val="en-AU"/>
        </w:rPr>
        <w:br/>
      </w:r>
      <w:hyperlink r:id="rId39" w:history="1">
        <w:r w:rsidRPr="004F7D1B">
          <w:rPr>
            <w:rStyle w:val="Hyperlink"/>
            <w:rFonts w:ascii="Garamond" w:hAnsi="Garamond"/>
            <w:lang w:val="en-AU"/>
          </w:rPr>
          <w:t>https://psnet.ahrq.gov/primer/covid-19-team-and-human-factors-improve-safety</w:t>
        </w:r>
      </w:hyperlink>
      <w:r>
        <w:rPr>
          <w:rFonts w:ascii="Garamond" w:hAnsi="Garamond"/>
          <w:lang w:val="en-AU"/>
        </w:rPr>
        <w:br/>
        <w:t xml:space="preserve">This </w:t>
      </w:r>
      <w:r w:rsidRPr="004F7D1B">
        <w:rPr>
          <w:rFonts w:ascii="Garamond" w:hAnsi="Garamond"/>
          <w:lang w:val="en-AU"/>
        </w:rPr>
        <w:t xml:space="preserve">primer describes how human factors engineering </w:t>
      </w:r>
      <w:r w:rsidR="00031224">
        <w:rPr>
          <w:rFonts w:ascii="Garamond" w:hAnsi="Garamond"/>
          <w:lang w:val="en-AU"/>
        </w:rPr>
        <w:t xml:space="preserve">may </w:t>
      </w:r>
      <w:r w:rsidRPr="004F7D1B">
        <w:rPr>
          <w:rFonts w:ascii="Garamond" w:hAnsi="Garamond"/>
          <w:lang w:val="en-AU"/>
        </w:rPr>
        <w:t xml:space="preserve">help healthcare teams reduce patient safety risks that arise from stresses caused by the COVID-19 pandemic. In times of stress, failures such as misdiagnoses and adverse events may increase due to factors such as fatigue and burnout, absence of team trust, time constraints and medical illness among staff, according to the primer. </w:t>
      </w:r>
      <w:r>
        <w:rPr>
          <w:rFonts w:ascii="Garamond" w:hAnsi="Garamond"/>
          <w:lang w:val="en-AU"/>
        </w:rPr>
        <w:t>The a</w:t>
      </w:r>
      <w:r w:rsidRPr="004F7D1B">
        <w:rPr>
          <w:rFonts w:ascii="Garamond" w:hAnsi="Garamond"/>
          <w:lang w:val="en-AU"/>
        </w:rPr>
        <w:t>uthors highlight several patient safety strategies – effective use of signage, workflow review and redesign, safety checklists and simulation training – whose implementation is regarded as essential for keeping patients and healthcare providers safe in the age of COVID-19.</w:t>
      </w:r>
    </w:p>
    <w:p w:rsidR="004F7D1B" w:rsidRDefault="004F7D1B" w:rsidP="004F7D1B">
      <w:pPr>
        <w:keepLines/>
        <w:rPr>
          <w:rFonts w:ascii="Garamond" w:hAnsi="Garamond"/>
          <w:i/>
          <w:lang w:val="en-AU"/>
        </w:rPr>
      </w:pPr>
    </w:p>
    <w:p w:rsidR="00051719" w:rsidRPr="000170DA" w:rsidRDefault="00051719" w:rsidP="00051719">
      <w:pPr>
        <w:keepNext/>
        <w:keepLines/>
        <w:rPr>
          <w:rFonts w:ascii="Garamond" w:hAnsi="Garamond"/>
          <w:i/>
          <w:lang w:val="en-AU"/>
        </w:rPr>
      </w:pPr>
      <w:r w:rsidRPr="000170DA">
        <w:rPr>
          <w:rFonts w:ascii="Garamond" w:hAnsi="Garamond"/>
          <w:i/>
          <w:lang w:val="en-AU"/>
        </w:rPr>
        <w:lastRenderedPageBreak/>
        <w:t>[USA] Effective Health Care Program reports</w:t>
      </w:r>
    </w:p>
    <w:p w:rsidR="00051719" w:rsidRPr="000170DA" w:rsidRDefault="0082759F" w:rsidP="00051719">
      <w:pPr>
        <w:keepNext/>
        <w:keepLines/>
        <w:rPr>
          <w:rFonts w:ascii="Garamond" w:hAnsi="Garamond"/>
          <w:u w:val="single"/>
          <w:lang w:val="en-AU"/>
        </w:rPr>
      </w:pPr>
      <w:hyperlink r:id="rId40" w:history="1">
        <w:r w:rsidR="00051719" w:rsidRPr="000170DA">
          <w:rPr>
            <w:rStyle w:val="Hyperlink"/>
            <w:rFonts w:ascii="Garamond" w:hAnsi="Garamond"/>
            <w:lang w:val="en-AU"/>
          </w:rPr>
          <w:t>https://effectivehealthcare.ahrq.gov/</w:t>
        </w:r>
      </w:hyperlink>
    </w:p>
    <w:p w:rsidR="00051719" w:rsidRDefault="00051719" w:rsidP="00051719">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5E782C" w:rsidRPr="005E782C" w:rsidRDefault="00AD7CD4" w:rsidP="00AD7CD4">
      <w:pPr>
        <w:pStyle w:val="ListParagraph"/>
        <w:numPr>
          <w:ilvl w:val="0"/>
          <w:numId w:val="18"/>
        </w:numPr>
        <w:rPr>
          <w:rFonts w:ascii="Garamond" w:hAnsi="Garamond"/>
          <w:i/>
          <w:lang w:val="en-AU"/>
        </w:rPr>
      </w:pPr>
      <w:r w:rsidRPr="00AD7CD4">
        <w:rPr>
          <w:rFonts w:ascii="Garamond" w:hAnsi="Garamond"/>
          <w:i/>
          <w:lang w:val="en-AU"/>
        </w:rPr>
        <w:t xml:space="preserve">Interventions for </w:t>
      </w:r>
      <w:r w:rsidRPr="00AD7CD4">
        <w:rPr>
          <w:rFonts w:ascii="Garamond" w:hAnsi="Garamond"/>
          <w:b/>
          <w:i/>
          <w:lang w:val="en-AU"/>
        </w:rPr>
        <w:t>Substance Use Disorders in Adolescents</w:t>
      </w:r>
      <w:r w:rsidRPr="00AD7CD4">
        <w:rPr>
          <w:rFonts w:ascii="Garamond" w:hAnsi="Garamond"/>
          <w:i/>
          <w:lang w:val="en-AU"/>
        </w:rPr>
        <w:t>: A Systematic Review</w:t>
      </w:r>
      <w:r>
        <w:rPr>
          <w:rFonts w:ascii="Garamond" w:hAnsi="Garamond"/>
          <w:i/>
          <w:lang w:val="en-AU"/>
        </w:rPr>
        <w:t xml:space="preserve"> </w:t>
      </w:r>
      <w:hyperlink r:id="rId41" w:history="1">
        <w:r w:rsidRPr="00856410">
          <w:rPr>
            <w:rStyle w:val="Hyperlink"/>
            <w:rFonts w:ascii="Garamond" w:hAnsi="Garamond"/>
            <w:lang w:val="en-AU"/>
          </w:rPr>
          <w:t>https://effectivehealthcare.ahrq.gov/products/substance-use-disorders-adolescents/research</w:t>
        </w:r>
      </w:hyperlink>
    </w:p>
    <w:p w:rsidR="006C6583" w:rsidRDefault="006C6583" w:rsidP="007A13C1">
      <w:pPr>
        <w:rPr>
          <w:rFonts w:ascii="Garamond" w:hAnsi="Garamond"/>
          <w:i/>
          <w:lang w:val="en-AU"/>
        </w:rPr>
      </w:pPr>
    </w:p>
    <w:p w:rsidR="005E782C" w:rsidRDefault="00EF5393" w:rsidP="007A13C1">
      <w:pPr>
        <w:rPr>
          <w:rFonts w:ascii="Garamond" w:hAnsi="Garamond"/>
          <w:i/>
          <w:lang w:val="en-AU"/>
        </w:rPr>
      </w:pPr>
      <w:r>
        <w:rPr>
          <w:rFonts w:ascii="Garamond" w:hAnsi="Garamond"/>
          <w:i/>
          <w:lang w:val="en-AU"/>
        </w:rPr>
        <w:t>[UK] NIHR Evidence alert</w:t>
      </w:r>
      <w:r w:rsidR="0082759F">
        <w:rPr>
          <w:rFonts w:ascii="Garamond" w:hAnsi="Garamond"/>
          <w:i/>
          <w:lang w:val="en-AU"/>
        </w:rPr>
        <w:t>s</w:t>
      </w:r>
    </w:p>
    <w:bookmarkStart w:id="1" w:name="_GoBack"/>
    <w:p w:rsidR="005E782C" w:rsidRDefault="0082759F" w:rsidP="007A13C1">
      <w:pPr>
        <w:rPr>
          <w:rFonts w:ascii="Garamond" w:hAnsi="Garamond"/>
          <w:lang w:val="en-AU"/>
        </w:rPr>
      </w:pPr>
      <w:r>
        <w:fldChar w:fldCharType="begin"/>
      </w:r>
      <w:r>
        <w:instrText xml:space="preserve"> HYPERLINK "https://evidence.nihr.ac.uk/" </w:instrText>
      </w:r>
      <w:r>
        <w:fldChar w:fldCharType="separate"/>
      </w:r>
      <w:r w:rsidR="00EF5393" w:rsidRPr="00392AF4">
        <w:rPr>
          <w:rStyle w:val="Hyperlink"/>
          <w:rFonts w:ascii="Garamond" w:hAnsi="Garamond"/>
          <w:lang w:val="en-AU"/>
        </w:rPr>
        <w:t>https://evidence.nihr.ac.uk/</w:t>
      </w:r>
      <w:r>
        <w:rPr>
          <w:rStyle w:val="Hyperlink"/>
          <w:rFonts w:ascii="Garamond" w:hAnsi="Garamond"/>
          <w:lang w:val="en-AU"/>
        </w:rPr>
        <w:fldChar w:fldCharType="end"/>
      </w:r>
    </w:p>
    <w:p w:rsidR="00EF5393" w:rsidRDefault="00EF5393" w:rsidP="007A13C1">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EF5393" w:rsidRPr="00EF5393" w:rsidRDefault="00EF5393" w:rsidP="00EF5393">
      <w:pPr>
        <w:pStyle w:val="ListParagraph"/>
        <w:numPr>
          <w:ilvl w:val="0"/>
          <w:numId w:val="18"/>
        </w:numPr>
        <w:rPr>
          <w:rFonts w:ascii="Garamond" w:hAnsi="Garamond"/>
          <w:lang w:val="en-AU"/>
        </w:rPr>
      </w:pPr>
      <w:r w:rsidRPr="00EF5393">
        <w:rPr>
          <w:rFonts w:ascii="Garamond" w:hAnsi="Garamond"/>
          <w:b/>
          <w:lang w:val="en-AU"/>
        </w:rPr>
        <w:t>Social prescribing</w:t>
      </w:r>
      <w:r w:rsidRPr="00EF5393">
        <w:rPr>
          <w:rFonts w:ascii="Garamond" w:hAnsi="Garamond"/>
          <w:lang w:val="en-AU"/>
        </w:rPr>
        <w:t xml:space="preserve"> could empower patients to address non-medical problems in their lives</w:t>
      </w:r>
    </w:p>
    <w:p w:rsidR="00EF5393" w:rsidRPr="00EF5393" w:rsidRDefault="00EF5393" w:rsidP="00EF5393">
      <w:pPr>
        <w:pStyle w:val="ListParagraph"/>
        <w:numPr>
          <w:ilvl w:val="0"/>
          <w:numId w:val="18"/>
        </w:numPr>
        <w:rPr>
          <w:rFonts w:ascii="Garamond" w:hAnsi="Garamond"/>
          <w:lang w:val="en-AU"/>
        </w:rPr>
      </w:pPr>
      <w:r w:rsidRPr="00EF5393">
        <w:rPr>
          <w:rFonts w:ascii="Garamond" w:hAnsi="Garamond"/>
          <w:b/>
          <w:lang w:val="en-AU"/>
        </w:rPr>
        <w:t>Cancer screening</w:t>
      </w:r>
      <w:r w:rsidRPr="00EF5393">
        <w:rPr>
          <w:rFonts w:ascii="Garamond" w:hAnsi="Garamond"/>
          <w:lang w:val="en-AU"/>
        </w:rPr>
        <w:t xml:space="preserve"> across the world is failing people with mental illness</w:t>
      </w:r>
    </w:p>
    <w:p w:rsidR="00EF5393" w:rsidRPr="00EF5393" w:rsidRDefault="00EF5393" w:rsidP="00EF5393">
      <w:pPr>
        <w:pStyle w:val="ListParagraph"/>
        <w:numPr>
          <w:ilvl w:val="0"/>
          <w:numId w:val="18"/>
        </w:numPr>
        <w:rPr>
          <w:rFonts w:ascii="Garamond" w:hAnsi="Garamond"/>
          <w:lang w:val="en-AU"/>
        </w:rPr>
      </w:pPr>
      <w:r w:rsidRPr="00EF5393">
        <w:rPr>
          <w:rFonts w:ascii="Garamond" w:hAnsi="Garamond"/>
          <w:lang w:val="en-AU"/>
        </w:rPr>
        <w:t xml:space="preserve">Support programme for GP practices increases referrals for </w:t>
      </w:r>
      <w:r w:rsidRPr="00EF5393">
        <w:rPr>
          <w:rFonts w:ascii="Garamond" w:hAnsi="Garamond"/>
          <w:b/>
          <w:lang w:val="en-AU"/>
        </w:rPr>
        <w:t>domestic abuse</w:t>
      </w:r>
    </w:p>
    <w:p w:rsidR="00EF5393" w:rsidRPr="00EF5393" w:rsidRDefault="00EF5393" w:rsidP="00EF5393">
      <w:pPr>
        <w:pStyle w:val="ListParagraph"/>
        <w:numPr>
          <w:ilvl w:val="0"/>
          <w:numId w:val="18"/>
        </w:numPr>
        <w:rPr>
          <w:rFonts w:ascii="Garamond" w:hAnsi="Garamond"/>
          <w:lang w:val="en-AU"/>
        </w:rPr>
      </w:pPr>
      <w:r w:rsidRPr="00EF5393">
        <w:rPr>
          <w:rFonts w:ascii="Garamond" w:hAnsi="Garamond"/>
          <w:lang w:val="en-AU"/>
        </w:rPr>
        <w:t xml:space="preserve">Largest ever trial into a rare </w:t>
      </w:r>
      <w:r w:rsidRPr="00EF5393">
        <w:rPr>
          <w:rFonts w:ascii="Garamond" w:hAnsi="Garamond"/>
          <w:b/>
          <w:lang w:val="en-AU"/>
        </w:rPr>
        <w:t>cancer of the urinary system</w:t>
      </w:r>
      <w:r w:rsidRPr="00EF5393">
        <w:rPr>
          <w:rFonts w:ascii="Garamond" w:hAnsi="Garamond"/>
          <w:lang w:val="en-AU"/>
        </w:rPr>
        <w:t xml:space="preserve"> shows clear benefits of chemotherapy after surgery</w:t>
      </w:r>
    </w:p>
    <w:p w:rsidR="00EF5393" w:rsidRPr="00EF5393" w:rsidRDefault="00EF5393" w:rsidP="00EF5393">
      <w:pPr>
        <w:pStyle w:val="ListParagraph"/>
        <w:numPr>
          <w:ilvl w:val="0"/>
          <w:numId w:val="18"/>
        </w:numPr>
        <w:rPr>
          <w:rFonts w:ascii="Garamond" w:hAnsi="Garamond"/>
          <w:lang w:val="en-AU"/>
        </w:rPr>
      </w:pPr>
      <w:r w:rsidRPr="00EF5393">
        <w:rPr>
          <w:rFonts w:ascii="Garamond" w:hAnsi="Garamond"/>
          <w:lang w:val="en-AU"/>
        </w:rPr>
        <w:t xml:space="preserve">Loneliness, but not social isolation, predicts development of </w:t>
      </w:r>
      <w:r w:rsidRPr="00EF5393">
        <w:rPr>
          <w:rFonts w:ascii="Garamond" w:hAnsi="Garamond"/>
          <w:b/>
          <w:lang w:val="en-AU"/>
        </w:rPr>
        <w:t>dementia</w:t>
      </w:r>
      <w:r w:rsidRPr="00EF5393">
        <w:rPr>
          <w:rFonts w:ascii="Garamond" w:hAnsi="Garamond"/>
          <w:lang w:val="en-AU"/>
        </w:rPr>
        <w:t xml:space="preserve"> in older people.</w:t>
      </w:r>
    </w:p>
    <w:bookmarkEnd w:id="1"/>
    <w:p w:rsidR="00EF5393" w:rsidRDefault="00EF5393" w:rsidP="007A13C1">
      <w:pPr>
        <w:rPr>
          <w:rFonts w:ascii="Garamond" w:hAnsi="Garamond"/>
          <w:lang w:val="en-AU"/>
        </w:rPr>
      </w:pPr>
    </w:p>
    <w:p w:rsidR="00EF5393" w:rsidRPr="00EF5393" w:rsidRDefault="00EF5393" w:rsidP="007A13C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BF" w:rsidRDefault="00DC09BF">
      <w:r>
        <w:separator/>
      </w:r>
    </w:p>
  </w:endnote>
  <w:endnote w:type="continuationSeparator" w:id="0">
    <w:p w:rsidR="00DC09BF" w:rsidRDefault="00DC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Default="00DC09B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2759F">
      <w:rPr>
        <w:rStyle w:val="PageNumber"/>
        <w:noProof/>
      </w:rPr>
      <w:t>6</w:t>
    </w:r>
    <w:r>
      <w:rPr>
        <w:rStyle w:val="PageNumber"/>
      </w:rPr>
      <w:fldChar w:fldCharType="end"/>
    </w:r>
  </w:p>
  <w:p w:rsidR="00DC09BF" w:rsidRPr="001E78F0" w:rsidRDefault="00DC09B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46</w:t>
    </w:r>
    <w:r w:rsidR="005E782C">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Pr="001E78F0" w:rsidRDefault="00DC09B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2759F">
      <w:rPr>
        <w:rStyle w:val="PageNumber"/>
        <w:rFonts w:ascii="Garamond" w:hAnsi="Garamond"/>
        <w:noProof/>
      </w:rPr>
      <w:t>7</w:t>
    </w:r>
    <w:r w:rsidRPr="001E78F0">
      <w:rPr>
        <w:rStyle w:val="PageNumber"/>
        <w:rFonts w:ascii="Garamond" w:hAnsi="Garamond"/>
      </w:rPr>
      <w:fldChar w:fldCharType="end"/>
    </w:r>
  </w:p>
  <w:p w:rsidR="00DC09BF" w:rsidRPr="001E78F0" w:rsidRDefault="00DC09B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5E782C">
      <w:rPr>
        <w:rFonts w:ascii="Garamond" w:hAnsi="Garamond"/>
      </w:rPr>
      <w:t xml:space="preserve"> Issue 466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BF" w:rsidRDefault="00DC09BF">
      <w:r>
        <w:separator/>
      </w:r>
    </w:p>
  </w:footnote>
  <w:footnote w:type="continuationSeparator" w:id="0">
    <w:p w:rsidR="00DC09BF" w:rsidRDefault="00DC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497FF0"/>
    <w:multiLevelType w:val="hybridMultilevel"/>
    <w:tmpl w:val="0390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DF213A"/>
    <w:multiLevelType w:val="hybridMultilevel"/>
    <w:tmpl w:val="ADB2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AD5EA7"/>
    <w:multiLevelType w:val="hybridMultilevel"/>
    <w:tmpl w:val="F22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B26176"/>
    <w:multiLevelType w:val="hybridMultilevel"/>
    <w:tmpl w:val="623AE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15"/>
  </w:num>
  <w:num w:numId="16">
    <w:abstractNumId w:val="11"/>
  </w:num>
  <w:num w:numId="17">
    <w:abstractNumId w:val="23"/>
  </w:num>
  <w:num w:numId="18">
    <w:abstractNumId w:val="12"/>
  </w:num>
  <w:num w:numId="19">
    <w:abstractNumId w:val="27"/>
  </w:num>
  <w:num w:numId="20">
    <w:abstractNumId w:val="13"/>
  </w:num>
  <w:num w:numId="21">
    <w:abstractNumId w:val="10"/>
  </w:num>
  <w:num w:numId="22">
    <w:abstractNumId w:val="14"/>
  </w:num>
  <w:num w:numId="23">
    <w:abstractNumId w:val="21"/>
  </w:num>
  <w:num w:numId="24">
    <w:abstractNumId w:val="24"/>
  </w:num>
  <w:num w:numId="25">
    <w:abstractNumId w:val="17"/>
  </w:num>
  <w:num w:numId="26">
    <w:abstractNumId w:val="16"/>
  </w:num>
  <w:num w:numId="27">
    <w:abstractNumId w:val="26"/>
  </w:num>
  <w:num w:numId="2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69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0BA"/>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29"/>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5D9"/>
    <w:rsid w:val="003E48FE"/>
    <w:rsid w:val="003E4CAC"/>
    <w:rsid w:val="003E5172"/>
    <w:rsid w:val="003E5188"/>
    <w:rsid w:val="003E54CA"/>
    <w:rsid w:val="003E557A"/>
    <w:rsid w:val="003E5717"/>
    <w:rsid w:val="003E5A44"/>
    <w:rsid w:val="003E5AF8"/>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597"/>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B3B"/>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59F"/>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46B"/>
    <w:rsid w:val="009B2643"/>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C1"/>
    <w:rsid w:val="00AD5CD7"/>
    <w:rsid w:val="00AD5EBB"/>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13E"/>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9665"/>
    <o:shapelayout v:ext="edit">
      <o:idmap v:ext="edit" data="1"/>
    </o:shapelayout>
  </w:shapeDefaults>
  <w:decimalSymbol w:val="."/>
  <w:listSeparator w:val=","/>
  <w14:docId w14:val="39F125C6"/>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82C"/>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covid-19-elective-surgery-and-infection-prevention-and-control-precautions" TargetMode="External"/><Relationship Id="rId26" Type="http://schemas.openxmlformats.org/officeDocument/2006/relationships/hyperlink" Target="https://doi.org/10.12788/jhm.3461" TargetMode="External"/><Relationship Id="rId39" Type="http://schemas.openxmlformats.org/officeDocument/2006/relationships/hyperlink" Target="https://psnet.ahrq.gov/primer/covid-19-team-and-human-factors-improve-safety" TargetMode="External"/><Relationship Id="rId3" Type="http://schemas.openxmlformats.org/officeDocument/2006/relationships/styles" Target="styles.xml"/><Relationship Id="rId21" Type="http://schemas.openxmlformats.org/officeDocument/2006/relationships/hyperlink" Target="https://www.safetyandquality.gov.au/publications-and-resources/resource-library/infection-prevention-and-control-covid-19-personal-protective-equipment" TargetMode="External"/><Relationship Id="rId34" Type="http://schemas.openxmlformats.org/officeDocument/2006/relationships/hyperlink" Target="https://qualitysafety.bmj.com/content/early/recent"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break-chain-poster-a3" TargetMode="External"/><Relationship Id="rId25" Type="http://schemas.openxmlformats.org/officeDocument/2006/relationships/hyperlink" Target="https://www.commonwealthfund.org/publications/issue-briefs/2020/may/mental-health-conditions-substance-use-comparing-us-other-countries" TargetMode="External"/><Relationship Id="rId33" Type="http://schemas.openxmlformats.org/officeDocument/2006/relationships/hyperlink" Target="https://academic.oup.com/intqhc/issue/32/3" TargetMode="External"/><Relationship Id="rId38" Type="http://schemas.openxmlformats.org/officeDocument/2006/relationships/hyperlink" Target="https://psnet.ahrq.gov/primers/" TargetMode="External"/><Relationship Id="rId2" Type="http://schemas.openxmlformats.org/officeDocument/2006/relationships/numbering" Target="numbering.xml"/><Relationship Id="rId16" Type="http://schemas.openxmlformats.org/officeDocument/2006/relationships/hyperlink" Target="https://www.safetyandquality.gov.au/our-work/medication-safety/medicines-management-covid-19" TargetMode="External"/><Relationship Id="rId20" Type="http://schemas.openxmlformats.org/officeDocument/2006/relationships/hyperlink" Target="https://www.safetyandquality.gov.au/node/5725" TargetMode="External"/><Relationship Id="rId29" Type="http://schemas.openxmlformats.org/officeDocument/2006/relationships/hyperlink" Target="https://c4sportal.safetyandquality.gov.au/" TargetMode="External"/><Relationship Id="rId41" Type="http://schemas.openxmlformats.org/officeDocument/2006/relationships/hyperlink" Target="https://effectivehealthcare.ahrq.gov/products/substance-use-disorders-adolescents/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hha.asn.au/publication/health-policy-evidence-briefs/evidence-brief-no-20-developmental-language-disorder" TargetMode="External"/><Relationship Id="rId32" Type="http://schemas.openxmlformats.org/officeDocument/2006/relationships/hyperlink" Target="https://www.safetyandquality.gov.au/our-work/partnering-consumers" TargetMode="External"/><Relationship Id="rId37" Type="http://schemas.openxmlformats.org/officeDocument/2006/relationships/hyperlink" Target="https://www.aci.health.nsw.gov.au/covid-19/critical-intelligence-unit" TargetMode="External"/><Relationship Id="rId40" Type="http://schemas.openxmlformats.org/officeDocument/2006/relationships/hyperlink" Target="https://effectivehealthcare.ahrq.go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image" Target="media/image2.png"/><Relationship Id="rId28" Type="http://schemas.openxmlformats.org/officeDocument/2006/relationships/hyperlink" Target="https://www.safetyandquality.gov.au/our-work/communicating-safety" TargetMode="External"/><Relationship Id="rId36"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node/5724" TargetMode="External"/><Relationship Id="rId31" Type="http://schemas.openxmlformats.org/officeDocument/2006/relationships/hyperlink" Target="https://doi.org/10.35680/2372-0247.137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special-precautions-covid-19-designated-zones" TargetMode="External"/><Relationship Id="rId27" Type="http://schemas.openxmlformats.org/officeDocument/2006/relationships/hyperlink" Target="https://doi.org/10.1001/amajethics.2020.298" TargetMode="External"/><Relationship Id="rId30" Type="http://schemas.openxmlformats.org/officeDocument/2006/relationships/hyperlink" Target="https://www.safetyandquality.gov.au/our-work/clinical-governance/open-disclosure" TargetMode="External"/><Relationship Id="rId35" Type="http://schemas.openxmlformats.org/officeDocument/2006/relationships/hyperlink" Target="https://academic.oup.com/intqhc/advance-articles"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7A7D-5CA7-49FF-A152-B8BFD822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7</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On the Radar Issue 466</vt:lpstr>
    </vt:vector>
  </TitlesOfParts>
  <Company>ACSQHC</Company>
  <LinksUpToDate>false</LinksUpToDate>
  <CharactersWithSpaces>19137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466</dc:title>
  <dc:subject/>
  <dc:creator>Dr Niall Johnson</dc:creator>
  <cp:keywords/>
  <dc:description/>
  <cp:lastModifiedBy>Johnson, Niall</cp:lastModifiedBy>
  <cp:revision>15</cp:revision>
  <cp:lastPrinted>2018-03-02T02:34:00Z</cp:lastPrinted>
  <dcterms:created xsi:type="dcterms:W3CDTF">2020-05-24T21:29:00Z</dcterms:created>
  <dcterms:modified xsi:type="dcterms:W3CDTF">2020-05-29T02:13:00Z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