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163CA2">
        <w:rPr>
          <w:rFonts w:ascii="Garamond" w:hAnsi="Garamond"/>
          <w:lang w:val="en-AU"/>
        </w:rPr>
        <w:t>68</w:t>
      </w:r>
    </w:p>
    <w:p w:rsidR="00755242" w:rsidRDefault="00163CA2" w:rsidP="00F738B5">
      <w:pPr>
        <w:rPr>
          <w:rFonts w:ascii="Garamond" w:hAnsi="Garamond"/>
          <w:lang w:val="en-AU"/>
        </w:rPr>
      </w:pPr>
      <w:r>
        <w:rPr>
          <w:rFonts w:ascii="Garamond" w:hAnsi="Garamond"/>
          <w:lang w:val="en-AU"/>
        </w:rPr>
        <w:t>15</w:t>
      </w:r>
      <w:r w:rsidR="00A86F60">
        <w:rPr>
          <w:rFonts w:ascii="Garamond" w:hAnsi="Garamond"/>
          <w:lang w:val="en-AU"/>
        </w:rPr>
        <w:t xml:space="preserve"> </w:t>
      </w:r>
      <w:r w:rsidR="005E782C">
        <w:rPr>
          <w:rFonts w:ascii="Garamond" w:hAnsi="Garamond"/>
          <w:lang w:val="en-AU"/>
        </w:rPr>
        <w:t>June</w:t>
      </w:r>
      <w:r w:rsidR="00BB3BE3">
        <w:rPr>
          <w:rFonts w:ascii="Garamond" w:hAnsi="Garamond"/>
          <w:lang w:val="en-AU"/>
        </w:rPr>
        <w:t xml:space="preserve">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460719">
        <w:rPr>
          <w:rFonts w:ascii="Garamond" w:hAnsi="Garamond"/>
          <w:bCs/>
          <w:lang w:val="en-AU"/>
        </w:rPr>
        <w:t>, Kim Stewart</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lastRenderedPageBreak/>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0F7B68">
      <w:pPr>
        <w:pStyle w:val="ListParagraph"/>
        <w:numPr>
          <w:ilvl w:val="0"/>
          <w:numId w:val="23"/>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(updated) </w:t>
      </w:r>
      <w:hyperlink r:id="rId17"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8"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9"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20"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1"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3" w:history="1">
        <w:r w:rsidRPr="00504597">
          <w:rPr>
            <w:rStyle w:val="Hyperlink"/>
            <w:rFonts w:ascii="Garamond" w:hAnsi="Garamond"/>
            <w:lang w:val="en-AU"/>
          </w:rPr>
          <w:t>https://www.safetyandquality.gov.au/publications-and-resources/resource-library/special-precautions-covid-19-designated-zones</w:t>
        </w:r>
      </w:hyperlink>
      <w:r w:rsidR="00EB7DBF">
        <w:rPr>
          <w:rStyle w:val="Hyperlink"/>
          <w:rFonts w:ascii="Garamond" w:hAnsi="Garamond"/>
          <w:lang w:val="en-AU"/>
        </w:rPr>
        <w:br/>
      </w:r>
    </w:p>
    <w:p w:rsidR="00504597" w:rsidRDefault="00310503" w:rsidP="00310503">
      <w:pPr>
        <w:ind w:left="720" w:hanging="720"/>
        <w:jc w:val="center"/>
        <w:rPr>
          <w:rFonts w:ascii="Garamond" w:hAnsi="Garamond"/>
          <w:b/>
          <w:lang w:val="en-AU"/>
        </w:rPr>
      </w:pPr>
      <w:r>
        <w:rPr>
          <w:rFonts w:ascii="Garamond" w:hAnsi="Garamond"/>
          <w:b/>
          <w:noProof/>
          <w:lang w:val="en-AU" w:eastAsia="en-AU"/>
        </w:rPr>
        <w:drawing>
          <wp:inline distT="0" distB="0" distL="0" distR="0">
            <wp:extent cx="3657600" cy="5170065"/>
            <wp:effectExtent l="19050" t="19050" r="19050" b="12065"/>
            <wp:docPr id="1" name="Picture 1" title="Break the chain of infection: Stopping COVID-19 post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65323" cy="5180982"/>
                    </a:xfrm>
                    <a:prstGeom prst="rect">
                      <a:avLst/>
                    </a:prstGeom>
                    <a:noFill/>
                    <a:ln>
                      <a:solidFill>
                        <a:schemeClr val="accent1"/>
                      </a:solidFill>
                    </a:ln>
                  </pic:spPr>
                </pic:pic>
              </a:graphicData>
            </a:graphic>
          </wp:inline>
        </w:drawing>
      </w:r>
    </w:p>
    <w:p w:rsidR="00CE3813" w:rsidRDefault="00CE3813" w:rsidP="00C17C82">
      <w:pPr>
        <w:keepNext/>
        <w:ind w:left="720" w:hanging="720"/>
        <w:rPr>
          <w:rFonts w:ascii="Garamond" w:hAnsi="Garamond"/>
          <w:b/>
          <w:lang w:val="en-AU"/>
        </w:rPr>
      </w:pPr>
      <w:r w:rsidRPr="00CE3813">
        <w:rPr>
          <w:rFonts w:ascii="Garamond" w:hAnsi="Garamond"/>
          <w:b/>
          <w:lang w:val="en-AU"/>
        </w:rPr>
        <w:lastRenderedPageBreak/>
        <w:t>Safe care for people with cognitive impairment during COVID-19</w:t>
      </w:r>
    </w:p>
    <w:p w:rsidR="00CE3813" w:rsidRDefault="00186D8B" w:rsidP="00CE3813">
      <w:pPr>
        <w:rPr>
          <w:rFonts w:ascii="Garamond" w:hAnsi="Garamond"/>
          <w:lang w:val="en-AU"/>
        </w:rPr>
      </w:pPr>
      <w:hyperlink r:id="rId26" w:history="1">
        <w:r w:rsidR="00792937" w:rsidRPr="00387855">
          <w:rPr>
            <w:rStyle w:val="Hyperlink"/>
            <w:rFonts w:ascii="Garamond" w:hAnsi="Garamond"/>
            <w:lang w:val="en-AU"/>
          </w:rPr>
          <w:t>https://www.safetyandquality.gov.au/our-work/cognitive-impairment/cognitive-impairment-and-covid-19</w:t>
        </w:r>
      </w:hyperlink>
    </w:p>
    <w:p w:rsidR="00CE3813" w:rsidRPr="00CE3813" w:rsidRDefault="00CE3813" w:rsidP="00CE3813">
      <w:pPr>
        <w:rPr>
          <w:rFonts w:ascii="Garamond" w:hAnsi="Garamond"/>
          <w:lang w:val="en-AU"/>
        </w:rPr>
      </w:pPr>
      <w:r w:rsidRPr="00CE3813">
        <w:rPr>
          <w:rFonts w:ascii="Garamond" w:hAnsi="Garamond"/>
          <w:lang w:val="en-AU"/>
        </w:rPr>
        <w:t>During COVID-19, people with cognitive impairment may find hospital even more frightening than usual. At this time, clinicians and visitors are using personal protective equipment (PPE) and there may be restrictions on family and carers who are usually there to support them.</w:t>
      </w:r>
    </w:p>
    <w:p w:rsidR="00792937" w:rsidRDefault="00792937" w:rsidP="00CE3813">
      <w:pPr>
        <w:rPr>
          <w:rFonts w:ascii="Garamond" w:hAnsi="Garamond"/>
          <w:lang w:val="en-AU"/>
        </w:rPr>
      </w:pPr>
    </w:p>
    <w:p w:rsidR="00792937" w:rsidRDefault="00CE3813" w:rsidP="00CE3813">
      <w:pPr>
        <w:rPr>
          <w:rFonts w:ascii="Garamond" w:hAnsi="Garamond"/>
          <w:lang w:val="en-AU"/>
        </w:rPr>
      </w:pPr>
      <w:r w:rsidRPr="00CE3813">
        <w:rPr>
          <w:rFonts w:ascii="Garamond" w:hAnsi="Garamond"/>
          <w:lang w:val="en-AU"/>
        </w:rPr>
        <w:t>In recognition of this changed environment, the Australian Commission on Safety and Quality in Health Care has developed new resources to support health service organisations to provide safe care for people with cognitive impairment during COVID-19.</w:t>
      </w:r>
      <w:r w:rsidR="00792937">
        <w:rPr>
          <w:rFonts w:ascii="Garamond" w:hAnsi="Garamond"/>
          <w:lang w:val="en-AU"/>
        </w:rPr>
        <w:t xml:space="preserve">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The resources include a fact sheet for clin</w:t>
      </w:r>
      <w:r w:rsidR="00792937">
        <w:rPr>
          <w:rFonts w:ascii="Garamond" w:hAnsi="Garamond"/>
          <w:lang w:val="en-AU"/>
        </w:rPr>
        <w:t>i</w:t>
      </w:r>
      <w:r w:rsidRPr="00CE3813">
        <w:rPr>
          <w:rFonts w:ascii="Garamond" w:hAnsi="Garamond"/>
          <w:lang w:val="en-AU"/>
        </w:rPr>
        <w:t xml:space="preserve">cians and a poster, which provide an important reminder of key actions in the National Safety and Quality Health Service (NSQHS) Standards that remain crucial at this time. These key actions include: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Goals of care discussions with the patient, support person or, if required, the substitute decision maker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involvement of carers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Delirium prevention strategies, and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use of antipsychotics only as a last resort.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 xml:space="preserve">To reduce the risk of harm, it is important that clinicians continue to use the strategies of their hospital or health service organisation to keep people with cognitive impairment safe. </w:t>
      </w:r>
    </w:p>
    <w:p w:rsidR="00CE3813" w:rsidRDefault="00CE3813" w:rsidP="00792937">
      <w:pPr>
        <w:rPr>
          <w:rFonts w:ascii="Garamond" w:hAnsi="Garamond"/>
          <w:b/>
          <w:lang w:val="en-AU"/>
        </w:rPr>
      </w:pPr>
      <w:r w:rsidRPr="00CE3813">
        <w:rPr>
          <w:rFonts w:ascii="Garamond" w:hAnsi="Garamond"/>
          <w:lang w:val="en-AU"/>
        </w:rPr>
        <w:t>The Commission acknowledges the contribution of people living with dementia, carers, clinicians and researchers in the development of these resources.</w:t>
      </w:r>
    </w:p>
    <w:p w:rsidR="00792937" w:rsidRDefault="00792937" w:rsidP="00EB7DBF">
      <w:pPr>
        <w:ind w:left="720" w:hanging="720"/>
        <w:jc w:val="right"/>
        <w:rPr>
          <w:rFonts w:ascii="Garamond" w:hAnsi="Garamond"/>
          <w:b/>
          <w:lang w:val="en-AU"/>
        </w:rPr>
      </w:pPr>
      <w:r>
        <w:rPr>
          <w:rFonts w:ascii="Garamond" w:hAnsi="Garamond"/>
          <w:b/>
          <w:noProof/>
          <w:lang w:val="en-AU" w:eastAsia="en-AU"/>
        </w:rPr>
        <w:drawing>
          <wp:inline distT="0" distB="0" distL="0" distR="0">
            <wp:extent cx="3333936" cy="4717774"/>
            <wp:effectExtent l="19050" t="19050" r="19050" b="26035"/>
            <wp:docPr id="2" name="Picture 2" title="Safe care for people with cognitive impairment dur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poster_-_cognitive_impairment_and_covid_19_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7923" cy="4751718"/>
                    </a:xfrm>
                    <a:prstGeom prst="rect">
                      <a:avLst/>
                    </a:prstGeom>
                    <a:noFill/>
                    <a:ln>
                      <a:solidFill>
                        <a:schemeClr val="accent1"/>
                      </a:solidFill>
                    </a:ln>
                  </pic:spPr>
                </pic:pic>
              </a:graphicData>
            </a:graphic>
          </wp:inline>
        </w:drawing>
      </w:r>
    </w:p>
    <w:p w:rsidR="00163CA2" w:rsidRDefault="00163CA2" w:rsidP="00C17C82">
      <w:pPr>
        <w:keepNext/>
        <w:ind w:left="720" w:hanging="720"/>
        <w:rPr>
          <w:rFonts w:ascii="Garamond" w:hAnsi="Garamond"/>
          <w:b/>
          <w:lang w:val="en-AU"/>
        </w:rPr>
      </w:pPr>
      <w:r>
        <w:rPr>
          <w:rFonts w:ascii="Garamond" w:hAnsi="Garamond"/>
          <w:b/>
          <w:lang w:val="en-AU"/>
        </w:rPr>
        <w:lastRenderedPageBreak/>
        <w:t>Reports</w:t>
      </w:r>
    </w:p>
    <w:p w:rsidR="00163CA2" w:rsidRDefault="00163CA2" w:rsidP="00163CA2">
      <w:pPr>
        <w:rPr>
          <w:rFonts w:ascii="Garamond" w:hAnsi="Garamond"/>
          <w:lang w:val="en-AU"/>
        </w:rPr>
      </w:pPr>
    </w:p>
    <w:p w:rsidR="00C47024" w:rsidRPr="00C47024" w:rsidRDefault="00C47024" w:rsidP="00163CA2">
      <w:pPr>
        <w:keepNext/>
        <w:keepLines/>
        <w:autoSpaceDE w:val="0"/>
        <w:autoSpaceDN w:val="0"/>
        <w:adjustRightInd w:val="0"/>
        <w:rPr>
          <w:rFonts w:ascii="Garamond" w:hAnsi="Garamond"/>
          <w:i/>
          <w:lang w:val="en-AU"/>
        </w:rPr>
      </w:pPr>
      <w:r w:rsidRPr="00C47024">
        <w:rPr>
          <w:rFonts w:ascii="Garamond" w:hAnsi="Garamond"/>
          <w:i/>
          <w:lang w:val="en-AU"/>
        </w:rPr>
        <w:t>2019 CARAlert Annual Report</w:t>
      </w:r>
    </w:p>
    <w:p w:rsidR="00460719" w:rsidRDefault="00460719" w:rsidP="00163CA2">
      <w:pPr>
        <w:keepNext/>
        <w:keepLines/>
        <w:autoSpaceDE w:val="0"/>
        <w:autoSpaceDN w:val="0"/>
        <w:adjustRightInd w:val="0"/>
        <w:rPr>
          <w:rFonts w:ascii="Garamond" w:hAnsi="Garamond"/>
          <w:lang w:val="en-AU"/>
        </w:rPr>
      </w:pPr>
      <w:r w:rsidRPr="00460719">
        <w:rPr>
          <w:rFonts w:ascii="Garamond" w:hAnsi="Garamond"/>
          <w:lang w:val="en-AU"/>
        </w:rPr>
        <w:t>Australian Commission on Safety and Quality in Health Care</w:t>
      </w:r>
    </w:p>
    <w:p w:rsidR="00C47024" w:rsidRDefault="00460719" w:rsidP="00163CA2">
      <w:pPr>
        <w:keepNext/>
        <w:keepLines/>
        <w:autoSpaceDE w:val="0"/>
        <w:autoSpaceDN w:val="0"/>
        <w:adjustRightInd w:val="0"/>
        <w:rPr>
          <w:rFonts w:ascii="Garamond" w:hAnsi="Garamond"/>
          <w:lang w:val="en-AU"/>
        </w:rPr>
      </w:pPr>
      <w:r w:rsidRPr="00460719">
        <w:rPr>
          <w:rFonts w:ascii="Garamond" w:hAnsi="Garamond"/>
          <w:lang w:val="en-AU"/>
        </w:rPr>
        <w:t>Sydney: ACSQHC; 2020. p. 41.</w:t>
      </w:r>
    </w:p>
    <w:p w:rsidR="00460719" w:rsidRDefault="00460719" w:rsidP="00163CA2">
      <w:pPr>
        <w:keepNext/>
        <w:keepLines/>
        <w:autoSpaceDE w:val="0"/>
        <w:autoSpaceDN w:val="0"/>
        <w:adjustRightInd w:val="0"/>
        <w:rPr>
          <w:rFonts w:ascii="Garamond" w:hAnsi="Garamond"/>
          <w:lang w:val="en-AU"/>
        </w:rPr>
      </w:pPr>
    </w:p>
    <w:p w:rsidR="00460719" w:rsidRDefault="00460719" w:rsidP="00163CA2">
      <w:pPr>
        <w:keepNext/>
        <w:keepLines/>
        <w:autoSpaceDE w:val="0"/>
        <w:autoSpaceDN w:val="0"/>
        <w:adjustRightInd w:val="0"/>
        <w:rPr>
          <w:rFonts w:ascii="Garamond" w:hAnsi="Garamond"/>
          <w:i/>
          <w:lang w:val="en-AU"/>
        </w:rPr>
      </w:pPr>
      <w:r w:rsidRPr="00460719">
        <w:rPr>
          <w:rFonts w:ascii="Garamond" w:hAnsi="Garamond"/>
          <w:i/>
          <w:lang w:val="en-AU"/>
        </w:rPr>
        <w:t>CARAlert Data Update 16: 1 January 2020 - 29 February 2020</w:t>
      </w:r>
    </w:p>
    <w:p w:rsidR="00460719" w:rsidRDefault="00460719" w:rsidP="00460719">
      <w:pPr>
        <w:keepNext/>
        <w:keepLines/>
        <w:autoSpaceDE w:val="0"/>
        <w:autoSpaceDN w:val="0"/>
        <w:adjustRightInd w:val="0"/>
        <w:rPr>
          <w:rFonts w:ascii="Garamond" w:hAnsi="Garamond"/>
          <w:lang w:val="en-AU"/>
        </w:rPr>
      </w:pPr>
      <w:r w:rsidRPr="00460719">
        <w:rPr>
          <w:rFonts w:ascii="Garamond" w:hAnsi="Garamond"/>
          <w:lang w:val="en-AU"/>
        </w:rPr>
        <w:t>Australian Commission on Safety and Quality in Health Care</w:t>
      </w:r>
    </w:p>
    <w:p w:rsidR="00460719" w:rsidRDefault="00460719" w:rsidP="00163CA2">
      <w:pPr>
        <w:keepNext/>
        <w:keepLines/>
        <w:autoSpaceDE w:val="0"/>
        <w:autoSpaceDN w:val="0"/>
        <w:adjustRightInd w:val="0"/>
        <w:rPr>
          <w:rFonts w:ascii="Garamond" w:hAnsi="Garamond"/>
          <w:lang w:val="en-AU"/>
        </w:rPr>
      </w:pPr>
      <w:r w:rsidRPr="00460719">
        <w:rPr>
          <w:rFonts w:ascii="Garamond" w:hAnsi="Garamond"/>
          <w:lang w:val="en-AU"/>
        </w:rPr>
        <w:t xml:space="preserve">Sydney: ACSQHC; 2020. p. </w:t>
      </w:r>
      <w:r>
        <w:rPr>
          <w:rFonts w:ascii="Garamond" w:hAnsi="Garamond"/>
          <w:lang w:val="en-AU"/>
        </w:rPr>
        <w:t>26</w:t>
      </w:r>
      <w:r w:rsidRPr="0046071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63CA2" w:rsidRPr="000170DA" w:rsidTr="00600A47">
        <w:tc>
          <w:tcPr>
            <w:tcW w:w="1080" w:type="dxa"/>
            <w:tcBorders>
              <w:top w:val="single" w:sz="4" w:space="0" w:color="auto"/>
              <w:left w:val="single" w:sz="4" w:space="0" w:color="auto"/>
              <w:bottom w:val="single" w:sz="4" w:space="0" w:color="auto"/>
              <w:right w:val="single" w:sz="4" w:space="0" w:color="auto"/>
            </w:tcBorders>
            <w:vAlign w:val="center"/>
          </w:tcPr>
          <w:p w:rsidR="00163CA2" w:rsidRPr="000170DA" w:rsidRDefault="00460719" w:rsidP="00600A4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565F5" w:rsidRDefault="00E565F5" w:rsidP="00E565F5">
            <w:pPr>
              <w:rPr>
                <w:rStyle w:val="Hyperlink"/>
                <w:rFonts w:ascii="Garamond" w:hAnsi="Garamond"/>
                <w:color w:val="auto"/>
                <w:u w:val="none"/>
                <w:lang w:val="en-AU"/>
              </w:rPr>
            </w:pPr>
            <w:r>
              <w:rPr>
                <w:rStyle w:val="Hyperlink"/>
                <w:rFonts w:ascii="Garamond" w:hAnsi="Garamond"/>
                <w:color w:val="auto"/>
                <w:u w:val="none"/>
                <w:lang w:val="en-AU"/>
              </w:rPr>
              <w:t xml:space="preserve">Annual Report </w:t>
            </w:r>
            <w:hyperlink r:id="rId28" w:history="1">
              <w:r w:rsidRPr="002A6708">
                <w:rPr>
                  <w:rStyle w:val="Hyperlink"/>
                  <w:rFonts w:ascii="Garamond" w:hAnsi="Garamond"/>
                  <w:lang w:val="en-AU"/>
                </w:rPr>
                <w:t>https://www.safetyandquality.gov.au/publications-and-resources/resource-library/caralert-annual-report-2019</w:t>
              </w:r>
            </w:hyperlink>
            <w:r>
              <w:rPr>
                <w:rStyle w:val="Hyperlink"/>
                <w:rFonts w:ascii="Garamond" w:hAnsi="Garamond"/>
                <w:color w:val="auto"/>
                <w:u w:val="none"/>
                <w:lang w:val="en-AU"/>
              </w:rPr>
              <w:t xml:space="preserve"> </w:t>
            </w:r>
          </w:p>
          <w:p w:rsidR="00E565F5" w:rsidRPr="000170DA" w:rsidRDefault="00E565F5" w:rsidP="00E565F5">
            <w:pPr>
              <w:rPr>
                <w:rStyle w:val="Hyperlink"/>
                <w:rFonts w:ascii="Garamond" w:hAnsi="Garamond"/>
                <w:color w:val="auto"/>
                <w:u w:val="none"/>
                <w:lang w:val="en-AU"/>
              </w:rPr>
            </w:pPr>
            <w:r>
              <w:rPr>
                <w:rStyle w:val="Hyperlink"/>
                <w:rFonts w:ascii="Garamond" w:hAnsi="Garamond"/>
                <w:color w:val="auto"/>
                <w:u w:val="none"/>
                <w:lang w:val="en-AU"/>
              </w:rPr>
              <w:t xml:space="preserve">Data Update 16 </w:t>
            </w:r>
            <w:hyperlink r:id="rId29" w:history="1">
              <w:r w:rsidRPr="002A6708">
                <w:rPr>
                  <w:rStyle w:val="Hyperlink"/>
                  <w:rFonts w:ascii="Garamond" w:hAnsi="Garamond"/>
                  <w:lang w:val="en-AU"/>
                </w:rPr>
                <w:t>https://www.safetyandquality.gov.au/publications-and-resources/resource-library/caralert-data-update-16-1-january-2020-29-february-2020</w:t>
              </w:r>
            </w:hyperlink>
          </w:p>
        </w:tc>
      </w:tr>
      <w:tr w:rsidR="00163CA2" w:rsidRPr="000170DA" w:rsidTr="00600A47">
        <w:tc>
          <w:tcPr>
            <w:tcW w:w="1080" w:type="dxa"/>
            <w:tcBorders>
              <w:top w:val="single" w:sz="4" w:space="0" w:color="auto"/>
              <w:left w:val="single" w:sz="4" w:space="0" w:color="auto"/>
              <w:bottom w:val="single" w:sz="4" w:space="0" w:color="auto"/>
              <w:right w:val="single" w:sz="4" w:space="0" w:color="auto"/>
            </w:tcBorders>
            <w:vAlign w:val="center"/>
          </w:tcPr>
          <w:p w:rsidR="00163CA2" w:rsidRPr="000170DA" w:rsidRDefault="00163CA2" w:rsidP="00600A4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0719" w:rsidRDefault="007D16A6" w:rsidP="00460719">
            <w:pPr>
              <w:keepNext/>
              <w:keepLines/>
              <w:autoSpaceDE w:val="0"/>
              <w:autoSpaceDN w:val="0"/>
              <w:adjustRightInd w:val="0"/>
              <w:rPr>
                <w:rFonts w:ascii="Garamond" w:hAnsi="Garamond"/>
                <w:lang w:val="en-AU"/>
              </w:rPr>
            </w:pPr>
            <w:r>
              <w:rPr>
                <w:rFonts w:ascii="Garamond" w:hAnsi="Garamond"/>
                <w:lang w:val="en-AU"/>
              </w:rPr>
              <w:t xml:space="preserve">The </w:t>
            </w:r>
            <w:r w:rsidRPr="00C47024">
              <w:rPr>
                <w:rFonts w:ascii="Garamond" w:hAnsi="Garamond"/>
                <w:i/>
                <w:lang w:val="en-AU"/>
              </w:rPr>
              <w:t>2019 CARAlert Annual Report</w:t>
            </w:r>
            <w:r w:rsidR="00460719" w:rsidRPr="00460719">
              <w:rPr>
                <w:rFonts w:ascii="Garamond" w:hAnsi="Garamond"/>
                <w:lang w:val="en-AU"/>
              </w:rPr>
              <w:t xml:space="preserve"> provides analysis of data on confirmed critical antimicrobial resistances (CARs) submitted to the National Alert System for Critical Antimicrobial Resistances (CARAlert) for 2019, and trend data for 2017 to 2019. </w:t>
            </w:r>
          </w:p>
          <w:p w:rsidR="00460719" w:rsidRPr="00460719" w:rsidRDefault="00460719" w:rsidP="00460719">
            <w:pPr>
              <w:keepNext/>
              <w:keepLines/>
              <w:autoSpaceDE w:val="0"/>
              <w:autoSpaceDN w:val="0"/>
              <w:adjustRightInd w:val="0"/>
              <w:rPr>
                <w:rFonts w:ascii="Garamond" w:hAnsi="Garamond"/>
                <w:lang w:val="en-AU"/>
              </w:rPr>
            </w:pPr>
            <w:r w:rsidRPr="00460719">
              <w:rPr>
                <w:rFonts w:ascii="Garamond" w:hAnsi="Garamond"/>
                <w:lang w:val="en-AU"/>
              </w:rPr>
              <w:t>There was an overall increase of 27% in CARs reported in 2019 compared to 2018, excluding new CARs introduced in 2019. Carbapenemase-producing Enterobacterales (CPE) are of most concern, because the number of reports and distribution has increased annually since 2016. This CAR poses a significant risk to patient safety, because bacteria that produce carbapenemase enzymes are almost always resistant to other important antibiotic classes, such as other ß-lactams, ß-lactamase inhibitor combinations, fluoroquinolones and aminoglycosides. This means that effective treatment options for infections may be limited, and lengths of hospital admissions may increase.</w:t>
            </w:r>
          </w:p>
          <w:p w:rsidR="00460719" w:rsidRPr="00460719" w:rsidRDefault="00460719" w:rsidP="00460719">
            <w:pPr>
              <w:keepNext/>
              <w:keepLines/>
              <w:autoSpaceDE w:val="0"/>
              <w:autoSpaceDN w:val="0"/>
              <w:adjustRightInd w:val="0"/>
              <w:rPr>
                <w:rFonts w:ascii="Garamond" w:hAnsi="Garamond"/>
                <w:lang w:val="en-AU"/>
              </w:rPr>
            </w:pPr>
            <w:r w:rsidRPr="00460719">
              <w:rPr>
                <w:rFonts w:ascii="Garamond" w:hAnsi="Garamond"/>
                <w:lang w:val="en-AU"/>
              </w:rPr>
              <w:t xml:space="preserve">The number of reports of multidrug-resistant (MDR) </w:t>
            </w:r>
            <w:r w:rsidRPr="00460719">
              <w:rPr>
                <w:rFonts w:ascii="Garamond" w:hAnsi="Garamond"/>
                <w:i/>
                <w:lang w:val="en-AU"/>
              </w:rPr>
              <w:t>Shigella</w:t>
            </w:r>
            <w:r w:rsidRPr="00460719">
              <w:rPr>
                <w:rFonts w:ascii="Garamond" w:hAnsi="Garamond"/>
                <w:lang w:val="en-AU"/>
              </w:rPr>
              <w:t xml:space="preserve"> species increased by 218% in 2019 (n = 331 versus n = 104), which is concerning because empirical antimicrobial therapy choices for shigellosis may not be reliable. The proportion of shigellosis notifications that were MDR increased in all jurisdictions in 2019 compared to 2018, most notably in Victoria, Queensland and the Australian Capital Territory. </w:t>
            </w:r>
          </w:p>
          <w:p w:rsidR="00460719" w:rsidRPr="00460719" w:rsidRDefault="00460719" w:rsidP="00460719">
            <w:pPr>
              <w:keepNext/>
              <w:keepLines/>
              <w:autoSpaceDE w:val="0"/>
              <w:autoSpaceDN w:val="0"/>
              <w:adjustRightInd w:val="0"/>
              <w:rPr>
                <w:rFonts w:ascii="Garamond" w:hAnsi="Garamond"/>
                <w:lang w:val="en-AU"/>
              </w:rPr>
            </w:pPr>
            <w:r w:rsidRPr="00460719">
              <w:rPr>
                <w:rFonts w:ascii="Garamond" w:hAnsi="Garamond"/>
                <w:lang w:val="en-AU"/>
              </w:rPr>
              <w:t>Other patient safety issues identified by the analyses include:</w:t>
            </w:r>
          </w:p>
          <w:p w:rsidR="00460719" w:rsidRPr="00460719" w:rsidRDefault="00460719" w:rsidP="00460719">
            <w:pPr>
              <w:pStyle w:val="ListParagraph"/>
              <w:keepNext/>
              <w:keepLines/>
              <w:numPr>
                <w:ilvl w:val="0"/>
                <w:numId w:val="33"/>
              </w:numPr>
              <w:autoSpaceDE w:val="0"/>
              <w:autoSpaceDN w:val="0"/>
              <w:adjustRightInd w:val="0"/>
              <w:rPr>
                <w:rFonts w:ascii="Garamond" w:hAnsi="Garamond"/>
                <w:lang w:val="en-AU"/>
              </w:rPr>
            </w:pPr>
            <w:r w:rsidRPr="00460719">
              <w:rPr>
                <w:rFonts w:ascii="Garamond" w:hAnsi="Garamond"/>
                <w:lang w:val="en-AU"/>
              </w:rPr>
              <w:t xml:space="preserve">Reports of CARs from aged care homes - the majority of these were daptomycin-nonsusceptible </w:t>
            </w:r>
            <w:r w:rsidRPr="00460719">
              <w:rPr>
                <w:rFonts w:ascii="Garamond" w:hAnsi="Garamond"/>
                <w:i/>
                <w:lang w:val="en-AU"/>
              </w:rPr>
              <w:t>Staphylococcus aureus</w:t>
            </w:r>
            <w:r w:rsidRPr="00460719">
              <w:rPr>
                <w:rFonts w:ascii="Garamond" w:hAnsi="Garamond"/>
                <w:lang w:val="en-AU"/>
              </w:rPr>
              <w:t>, followed by CPE</w:t>
            </w:r>
          </w:p>
          <w:p w:rsidR="00163CA2" w:rsidRDefault="00460719" w:rsidP="00460719">
            <w:pPr>
              <w:pStyle w:val="ListParagraph"/>
              <w:keepNext/>
              <w:keepLines/>
              <w:numPr>
                <w:ilvl w:val="0"/>
                <w:numId w:val="33"/>
              </w:numPr>
              <w:autoSpaceDE w:val="0"/>
              <w:autoSpaceDN w:val="0"/>
              <w:adjustRightInd w:val="0"/>
              <w:rPr>
                <w:rFonts w:ascii="Garamond" w:hAnsi="Garamond"/>
                <w:lang w:val="en-AU"/>
              </w:rPr>
            </w:pPr>
            <w:r w:rsidRPr="00460719">
              <w:rPr>
                <w:rFonts w:ascii="Garamond" w:hAnsi="Garamond"/>
                <w:lang w:val="en-AU"/>
              </w:rPr>
              <w:t xml:space="preserve">Emerging CARs, specifically an increase in reports of linezolid non-susceptible </w:t>
            </w:r>
            <w:r w:rsidRPr="00460719">
              <w:rPr>
                <w:rFonts w:ascii="Garamond" w:hAnsi="Garamond"/>
                <w:i/>
                <w:lang w:val="en-AU"/>
              </w:rPr>
              <w:t>Enterococcus</w:t>
            </w:r>
            <w:r w:rsidRPr="00460719">
              <w:rPr>
                <w:rFonts w:ascii="Garamond" w:hAnsi="Garamond"/>
                <w:lang w:val="en-AU"/>
              </w:rPr>
              <w:t xml:space="preserve"> species increased</w:t>
            </w:r>
            <w:r>
              <w:rPr>
                <w:rFonts w:ascii="Garamond" w:hAnsi="Garamond"/>
                <w:lang w:val="en-AU"/>
              </w:rPr>
              <w:t>.</w:t>
            </w:r>
          </w:p>
          <w:p w:rsidR="00460719" w:rsidRDefault="00460719" w:rsidP="00460719">
            <w:pPr>
              <w:keepNext/>
              <w:keepLines/>
              <w:autoSpaceDE w:val="0"/>
              <w:autoSpaceDN w:val="0"/>
              <w:adjustRightInd w:val="0"/>
              <w:rPr>
                <w:rFonts w:ascii="Garamond" w:hAnsi="Garamond"/>
                <w:lang w:val="en-AU"/>
              </w:rPr>
            </w:pPr>
          </w:p>
          <w:p w:rsidR="005048D0" w:rsidRDefault="00460719" w:rsidP="005048D0">
            <w:pPr>
              <w:keepNext/>
              <w:keepLines/>
              <w:autoSpaceDE w:val="0"/>
              <w:autoSpaceDN w:val="0"/>
              <w:adjustRightInd w:val="0"/>
              <w:rPr>
                <w:rFonts w:ascii="Garamond" w:hAnsi="Garamond"/>
                <w:lang w:val="en-AU"/>
              </w:rPr>
            </w:pPr>
            <w:r>
              <w:rPr>
                <w:rFonts w:ascii="Garamond" w:hAnsi="Garamond"/>
                <w:lang w:val="en-AU"/>
              </w:rPr>
              <w:t xml:space="preserve">The Commission has also released the </w:t>
            </w:r>
            <w:r w:rsidRPr="00460719">
              <w:rPr>
                <w:rFonts w:ascii="Garamond" w:hAnsi="Garamond"/>
                <w:i/>
                <w:lang w:val="en-AU"/>
              </w:rPr>
              <w:t>CARAlert Data Update 16: 1 January 2020 - 29 February 2020</w:t>
            </w:r>
            <w:r w:rsidR="005048D0">
              <w:rPr>
                <w:rFonts w:ascii="Garamond" w:hAnsi="Garamond"/>
                <w:lang w:val="en-AU"/>
              </w:rPr>
              <w:t xml:space="preserve">. </w:t>
            </w:r>
            <w:r w:rsidR="005048D0" w:rsidRPr="005048D0">
              <w:rPr>
                <w:rFonts w:ascii="Garamond" w:hAnsi="Garamond"/>
                <w:lang w:val="en-AU"/>
              </w:rPr>
              <w:t>This update</w:t>
            </w:r>
            <w:r w:rsidR="005048D0">
              <w:rPr>
                <w:rFonts w:ascii="Garamond" w:hAnsi="Garamond"/>
                <w:i/>
                <w:lang w:val="en-AU"/>
              </w:rPr>
              <w:t xml:space="preserve"> </w:t>
            </w:r>
            <w:r w:rsidR="005048D0">
              <w:rPr>
                <w:rFonts w:ascii="Garamond" w:hAnsi="Garamond"/>
                <w:lang w:val="en-AU"/>
              </w:rPr>
              <w:t xml:space="preserve">showed </w:t>
            </w:r>
            <w:r w:rsidR="005048D0" w:rsidRPr="005048D0">
              <w:rPr>
                <w:rFonts w:ascii="Garamond" w:hAnsi="Garamond"/>
                <w:lang w:val="en-AU"/>
              </w:rPr>
              <w:t xml:space="preserve">a 10.8% increase in critical antimicrobial resistances (CARs) reported compared to the previous two-month reporting period (n = 369). </w:t>
            </w:r>
          </w:p>
          <w:p w:rsidR="00460719" w:rsidRPr="005048D0" w:rsidRDefault="005048D0" w:rsidP="005048D0">
            <w:pPr>
              <w:keepNext/>
              <w:keepLines/>
              <w:autoSpaceDE w:val="0"/>
              <w:autoSpaceDN w:val="0"/>
              <w:adjustRightInd w:val="0"/>
              <w:rPr>
                <w:rFonts w:ascii="Garamond" w:hAnsi="Garamond"/>
                <w:lang w:val="en-AU"/>
              </w:rPr>
            </w:pPr>
            <w:r w:rsidRPr="005048D0">
              <w:rPr>
                <w:rFonts w:ascii="Garamond" w:hAnsi="Garamond"/>
                <w:lang w:val="en-AU"/>
              </w:rPr>
              <w:t xml:space="preserve">CPE (including those with ribosomal methyltransferase or transmissible resistance to colistin) remained the most frequently reported CAR (n = 135, 36.6%), followed by MDR </w:t>
            </w:r>
            <w:r w:rsidRPr="005048D0">
              <w:rPr>
                <w:rFonts w:ascii="Garamond" w:hAnsi="Garamond"/>
                <w:i/>
                <w:lang w:val="en-AU"/>
              </w:rPr>
              <w:t>Shigella</w:t>
            </w:r>
            <w:r w:rsidRPr="005048D0">
              <w:rPr>
                <w:rFonts w:ascii="Garamond" w:hAnsi="Garamond"/>
                <w:lang w:val="en-AU"/>
              </w:rPr>
              <w:t xml:space="preserve"> species (n = 102, 27.6%). The number of MDR </w:t>
            </w:r>
            <w:r w:rsidRPr="002F5A68">
              <w:rPr>
                <w:rFonts w:ascii="Garamond" w:hAnsi="Garamond"/>
                <w:i/>
                <w:lang w:val="en-AU"/>
              </w:rPr>
              <w:t>Shigella</w:t>
            </w:r>
            <w:r w:rsidRPr="005048D0">
              <w:rPr>
                <w:rFonts w:ascii="Garamond" w:hAnsi="Garamond"/>
                <w:lang w:val="en-AU"/>
              </w:rPr>
              <w:t xml:space="preserve"> species (n = 102) increased by 64.5% compared to the previous two-month reporting period. The majority of MDR </w:t>
            </w:r>
            <w:r w:rsidRPr="002F5A68">
              <w:rPr>
                <w:rFonts w:ascii="Garamond" w:hAnsi="Garamond"/>
                <w:i/>
                <w:lang w:val="en-AU"/>
              </w:rPr>
              <w:t>Shigella</w:t>
            </w:r>
            <w:r w:rsidRPr="005048D0">
              <w:rPr>
                <w:rFonts w:ascii="Garamond" w:hAnsi="Garamond"/>
                <w:lang w:val="en-AU"/>
              </w:rPr>
              <w:t xml:space="preserve"> species were reported from New South Wales (n = 53, 52%) and Victoria (n = 28, 27%). The vast majority (91%, 93/102) were </w:t>
            </w:r>
            <w:r w:rsidRPr="005048D0">
              <w:rPr>
                <w:rFonts w:ascii="Garamond" w:hAnsi="Garamond"/>
                <w:i/>
                <w:lang w:val="en-AU"/>
              </w:rPr>
              <w:t>S. sonnei</w:t>
            </w:r>
            <w:r w:rsidRPr="005048D0">
              <w:rPr>
                <w:rFonts w:ascii="Garamond" w:hAnsi="Garamond"/>
                <w:lang w:val="en-AU"/>
              </w:rPr>
              <w:t xml:space="preserve">. ESBL types were detected in 71% (20/28) of mdr </w:t>
            </w:r>
            <w:r w:rsidRPr="005048D0">
              <w:rPr>
                <w:rFonts w:ascii="Garamond" w:hAnsi="Garamond"/>
                <w:i/>
                <w:lang w:val="en-AU"/>
              </w:rPr>
              <w:t>Shigella</w:t>
            </w:r>
            <w:r w:rsidRPr="005048D0">
              <w:rPr>
                <w:rFonts w:ascii="Garamond" w:hAnsi="Garamond"/>
                <w:lang w:val="en-AU"/>
              </w:rPr>
              <w:t xml:space="preserve"> species reported from Victoria and 49% (26/53) from NSW. Where ESBL type was known, the vast majority (93%, n = 42/45) were CTX-M-27 </w:t>
            </w:r>
            <w:r w:rsidRPr="005048D0">
              <w:rPr>
                <w:rFonts w:ascii="Garamond" w:hAnsi="Garamond"/>
                <w:i/>
                <w:lang w:val="en-AU"/>
              </w:rPr>
              <w:t>S. sonnei</w:t>
            </w:r>
            <w:r w:rsidRPr="005048D0">
              <w:rPr>
                <w:rFonts w:ascii="Garamond" w:hAnsi="Garamond"/>
                <w:lang w:val="en-AU"/>
              </w:rPr>
              <w:t>.</w:t>
            </w:r>
          </w:p>
        </w:tc>
      </w:tr>
    </w:tbl>
    <w:p w:rsidR="00CC29E5" w:rsidRPr="00C47024" w:rsidRDefault="00C47024" w:rsidP="00CC29E5">
      <w:pPr>
        <w:keepNext/>
        <w:keepLines/>
        <w:autoSpaceDE w:val="0"/>
        <w:autoSpaceDN w:val="0"/>
        <w:adjustRightInd w:val="0"/>
        <w:rPr>
          <w:rFonts w:ascii="Garamond" w:hAnsi="Garamond"/>
          <w:i/>
          <w:lang w:val="en-AU"/>
        </w:rPr>
      </w:pPr>
      <w:r w:rsidRPr="00C47024">
        <w:rPr>
          <w:rFonts w:ascii="Garamond" w:hAnsi="Garamond"/>
          <w:i/>
          <w:lang w:val="en-AU"/>
        </w:rPr>
        <w:lastRenderedPageBreak/>
        <w:t>Realising the Potential of Primary Health Care</w:t>
      </w:r>
    </w:p>
    <w:p w:rsidR="00D6176C" w:rsidRDefault="00D6176C" w:rsidP="00CC29E5">
      <w:pPr>
        <w:keepNext/>
        <w:keepLines/>
        <w:autoSpaceDE w:val="0"/>
        <w:autoSpaceDN w:val="0"/>
        <w:adjustRightInd w:val="0"/>
        <w:rPr>
          <w:rFonts w:ascii="Garamond" w:hAnsi="Garamond"/>
          <w:lang w:val="en-AU"/>
        </w:rPr>
      </w:pPr>
      <w:r w:rsidRPr="00D6176C">
        <w:rPr>
          <w:rFonts w:ascii="Garamond" w:hAnsi="Garamond"/>
          <w:lang w:val="en-AU"/>
        </w:rPr>
        <w:t>OECD</w:t>
      </w:r>
    </w:p>
    <w:p w:rsidR="00C47024" w:rsidRDefault="00D6176C" w:rsidP="00CC29E5">
      <w:pPr>
        <w:keepNext/>
        <w:keepLines/>
        <w:autoSpaceDE w:val="0"/>
        <w:autoSpaceDN w:val="0"/>
        <w:adjustRightInd w:val="0"/>
        <w:rPr>
          <w:rFonts w:ascii="Garamond" w:hAnsi="Garamond"/>
          <w:lang w:val="en-AU"/>
        </w:rPr>
      </w:pPr>
      <w:r w:rsidRPr="00D6176C">
        <w:rPr>
          <w:rFonts w:ascii="Garamond" w:hAnsi="Garamond"/>
          <w:lang w:val="en-AU"/>
        </w:rPr>
        <w:t>Paris: OECD Publishing; 2020.</w:t>
      </w:r>
      <w:r w:rsidR="00772220">
        <w:rPr>
          <w:rFonts w:ascii="Garamond" w:hAnsi="Garamond"/>
          <w:lang w:val="en-AU"/>
        </w:rPr>
        <w:t xml:space="preserve"> p. 208.</w:t>
      </w:r>
    </w:p>
    <w:tbl>
      <w:tblPr>
        <w:tblStyle w:val="TableGrid"/>
        <w:tblW w:w="0" w:type="auto"/>
        <w:tblInd w:w="288" w:type="dxa"/>
        <w:tblLayout w:type="fixed"/>
        <w:tblLook w:val="01E0" w:firstRow="1" w:lastRow="1" w:firstColumn="1" w:lastColumn="1" w:noHBand="0" w:noVBand="0"/>
      </w:tblPr>
      <w:tblGrid>
        <w:gridCol w:w="1080"/>
        <w:gridCol w:w="8280"/>
      </w:tblGrid>
      <w:tr w:rsidR="00CC29E5" w:rsidRPr="000170DA" w:rsidTr="00EE1B94">
        <w:tc>
          <w:tcPr>
            <w:tcW w:w="1080" w:type="dxa"/>
            <w:tcBorders>
              <w:top w:val="single" w:sz="4" w:space="0" w:color="auto"/>
              <w:left w:val="single" w:sz="4" w:space="0" w:color="auto"/>
              <w:bottom w:val="single" w:sz="4" w:space="0" w:color="auto"/>
              <w:right w:val="single" w:sz="4" w:space="0" w:color="auto"/>
            </w:tcBorders>
            <w:vAlign w:val="center"/>
          </w:tcPr>
          <w:p w:rsidR="00CC29E5" w:rsidRPr="000170DA" w:rsidRDefault="00D6176C" w:rsidP="00D617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29E5" w:rsidRPr="000170DA" w:rsidRDefault="00186D8B" w:rsidP="00D6176C">
            <w:pPr>
              <w:rPr>
                <w:rStyle w:val="Hyperlink"/>
                <w:rFonts w:ascii="Garamond" w:hAnsi="Garamond"/>
                <w:color w:val="auto"/>
                <w:u w:val="none"/>
                <w:lang w:val="en-AU"/>
              </w:rPr>
            </w:pPr>
            <w:hyperlink r:id="rId30" w:history="1">
              <w:r w:rsidR="00D6176C" w:rsidRPr="002A6708">
                <w:rPr>
                  <w:rStyle w:val="Hyperlink"/>
                  <w:rFonts w:ascii="Garamond" w:hAnsi="Garamond"/>
                  <w:lang w:val="en-AU"/>
                </w:rPr>
                <w:t>https://doi.org/10.1787/a92adee4-en</w:t>
              </w:r>
            </w:hyperlink>
          </w:p>
        </w:tc>
      </w:tr>
      <w:tr w:rsidR="00CC29E5" w:rsidRPr="000170DA" w:rsidTr="00EE1B94">
        <w:tc>
          <w:tcPr>
            <w:tcW w:w="1080" w:type="dxa"/>
            <w:tcBorders>
              <w:top w:val="single" w:sz="4" w:space="0" w:color="auto"/>
              <w:left w:val="single" w:sz="4" w:space="0" w:color="auto"/>
              <w:bottom w:val="single" w:sz="4" w:space="0" w:color="auto"/>
              <w:right w:val="single" w:sz="4" w:space="0" w:color="auto"/>
            </w:tcBorders>
            <w:vAlign w:val="center"/>
          </w:tcPr>
          <w:p w:rsidR="00CC29E5" w:rsidRPr="000170DA" w:rsidRDefault="00CC29E5" w:rsidP="00EE1B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451" w:rsidRPr="00752E83" w:rsidRDefault="006E04E3" w:rsidP="009A4451">
            <w:pPr>
              <w:keepNext/>
              <w:keepLines/>
              <w:autoSpaceDE w:val="0"/>
              <w:autoSpaceDN w:val="0"/>
              <w:adjustRightInd w:val="0"/>
              <w:rPr>
                <w:rFonts w:ascii="Garamond" w:hAnsi="Garamond"/>
                <w:lang w:val="en-AU"/>
              </w:rPr>
            </w:pPr>
            <w:r>
              <w:rPr>
                <w:rFonts w:ascii="Garamond" w:hAnsi="Garamond"/>
                <w:lang w:val="en-AU"/>
              </w:rPr>
              <w:t xml:space="preserve">Primary health care is where so much of health care delivery happens. Appropriate, timely and effective primary care can mean further, often more expensive, care is not required. </w:t>
            </w:r>
            <w:r w:rsidR="009A4451" w:rsidRPr="009A4451">
              <w:rPr>
                <w:rFonts w:ascii="Garamond" w:hAnsi="Garamond"/>
                <w:lang w:val="en-AU"/>
              </w:rPr>
              <w:t xml:space="preserve">This report </w:t>
            </w:r>
            <w:r w:rsidR="009A4451">
              <w:rPr>
                <w:rFonts w:ascii="Garamond" w:hAnsi="Garamond"/>
                <w:lang w:val="en-AU"/>
              </w:rPr>
              <w:t xml:space="preserve">from the OECD </w:t>
            </w:r>
            <w:r w:rsidR="009A4451" w:rsidRPr="009A4451">
              <w:rPr>
                <w:rFonts w:ascii="Garamond" w:hAnsi="Garamond"/>
                <w:lang w:val="en-AU"/>
              </w:rPr>
              <w:t xml:space="preserve">examines primary health care across OECD countries and draws attention to how primary health care is not living up to its full potential. </w:t>
            </w:r>
            <w:r w:rsidR="009A4451">
              <w:rPr>
                <w:rFonts w:ascii="Garamond" w:hAnsi="Garamond"/>
                <w:lang w:val="en-AU"/>
              </w:rPr>
              <w:t>The report argues that d</w:t>
            </w:r>
            <w:r w:rsidR="009A4451" w:rsidRPr="009A4451">
              <w:rPr>
                <w:rFonts w:ascii="Garamond" w:hAnsi="Garamond"/>
                <w:lang w:val="en-AU"/>
              </w:rPr>
              <w:t xml:space="preserve">oing things differently – through new models of organising services, better co-ordination among providers, better use of digital technology, and better use of resources and incentives – </w:t>
            </w:r>
            <w:r w:rsidR="009A4451">
              <w:rPr>
                <w:rFonts w:ascii="Garamond" w:hAnsi="Garamond"/>
                <w:lang w:val="en-AU"/>
              </w:rPr>
              <w:t xml:space="preserve">can </w:t>
            </w:r>
            <w:r w:rsidR="009A4451" w:rsidRPr="009A4451">
              <w:rPr>
                <w:rFonts w:ascii="Garamond" w:hAnsi="Garamond"/>
                <w:lang w:val="en-AU"/>
              </w:rPr>
              <w:t>help to improve care, reduce the need for hospitalisations, and mitigate health inequalities. Th</w:t>
            </w:r>
            <w:r w:rsidR="009A4451">
              <w:rPr>
                <w:rFonts w:ascii="Garamond" w:hAnsi="Garamond"/>
                <w:lang w:val="en-AU"/>
              </w:rPr>
              <w:t>e</w:t>
            </w:r>
            <w:r w:rsidR="009A4451" w:rsidRPr="009A4451">
              <w:rPr>
                <w:rFonts w:ascii="Garamond" w:hAnsi="Garamond"/>
                <w:lang w:val="en-AU"/>
              </w:rPr>
              <w:t xml:space="preserve"> report identifies policy challenges that OECD countries </w:t>
            </w:r>
            <w:r w:rsidR="009A4451">
              <w:rPr>
                <w:rFonts w:ascii="Garamond" w:hAnsi="Garamond"/>
                <w:lang w:val="en-AU"/>
              </w:rPr>
              <w:t xml:space="preserve">may </w:t>
            </w:r>
            <w:r w:rsidR="009A4451" w:rsidRPr="009A4451">
              <w:rPr>
                <w:rFonts w:ascii="Garamond" w:hAnsi="Garamond"/>
                <w:lang w:val="en-AU"/>
              </w:rPr>
              <w:t>address to realise the full potential of primary health care, and reviews progress and innovations towards transforming primary health care.</w:t>
            </w:r>
          </w:p>
        </w:tc>
      </w:tr>
    </w:tbl>
    <w:p w:rsidR="00CC29E5" w:rsidRDefault="00CC29E5" w:rsidP="00CC29E5">
      <w:pPr>
        <w:keepNext/>
        <w:keepLines/>
        <w:autoSpaceDE w:val="0"/>
        <w:autoSpaceDN w:val="0"/>
        <w:adjustRightInd w:val="0"/>
        <w:rPr>
          <w:rFonts w:ascii="Garamond" w:hAnsi="Garamond"/>
          <w:lang w:val="en-AU"/>
        </w:rPr>
      </w:pPr>
    </w:p>
    <w:p w:rsidR="00453434" w:rsidRDefault="00453434" w:rsidP="00CC29E5">
      <w:pPr>
        <w:keepNext/>
        <w:keepLines/>
        <w:autoSpaceDE w:val="0"/>
        <w:autoSpaceDN w:val="0"/>
        <w:adjustRightInd w:val="0"/>
        <w:rPr>
          <w:rFonts w:ascii="Garamond" w:hAnsi="Garamond"/>
          <w:lang w:val="en-AU"/>
        </w:rPr>
      </w:pPr>
      <w:r w:rsidRPr="00453434">
        <w:rPr>
          <w:rFonts w:ascii="Garamond" w:hAnsi="Garamond"/>
          <w:lang w:val="en-AU"/>
        </w:rPr>
        <w:t xml:space="preserve">For information on the Commission’s work on </w:t>
      </w:r>
      <w:r>
        <w:rPr>
          <w:rFonts w:ascii="Garamond" w:hAnsi="Garamond"/>
          <w:lang w:val="en-AU"/>
        </w:rPr>
        <w:t>primary care</w:t>
      </w:r>
      <w:r w:rsidRPr="00453434">
        <w:rPr>
          <w:rFonts w:ascii="Garamond" w:hAnsi="Garamond"/>
          <w:lang w:val="en-AU"/>
        </w:rPr>
        <w:t xml:space="preserve">, see </w:t>
      </w:r>
      <w:hyperlink r:id="rId31" w:history="1">
        <w:r w:rsidRPr="00B10A1D">
          <w:rPr>
            <w:rStyle w:val="Hyperlink"/>
            <w:rFonts w:ascii="Garamond" w:hAnsi="Garamond"/>
            <w:lang w:val="en-AU"/>
          </w:rPr>
          <w:t>https://www.safetyandquality.gov.au/our-work/primary-health-care</w:t>
        </w:r>
      </w:hyperlink>
      <w:r>
        <w:rPr>
          <w:rFonts w:ascii="Garamond" w:hAnsi="Garamond"/>
          <w:lang w:val="en-AU"/>
        </w:rPr>
        <w:t xml:space="preserve"> </w:t>
      </w:r>
    </w:p>
    <w:p w:rsidR="00453434" w:rsidRDefault="00453434" w:rsidP="00CC29E5">
      <w:pPr>
        <w:keepNext/>
        <w:keepLines/>
        <w:autoSpaceDE w:val="0"/>
        <w:autoSpaceDN w:val="0"/>
        <w:adjustRightInd w:val="0"/>
        <w:rPr>
          <w:rFonts w:ascii="Garamond" w:hAnsi="Garamond"/>
          <w:lang w:val="en-AU"/>
        </w:rPr>
      </w:pPr>
    </w:p>
    <w:p w:rsidR="00D6176C" w:rsidRPr="00D6176C" w:rsidRDefault="00D6176C" w:rsidP="00D6176C">
      <w:pPr>
        <w:keepNext/>
        <w:keepLines/>
        <w:autoSpaceDE w:val="0"/>
        <w:autoSpaceDN w:val="0"/>
        <w:adjustRightInd w:val="0"/>
        <w:rPr>
          <w:rFonts w:ascii="Garamond" w:hAnsi="Garamond"/>
          <w:i/>
          <w:lang w:val="en-AU"/>
        </w:rPr>
      </w:pPr>
      <w:r w:rsidRPr="00D6176C">
        <w:rPr>
          <w:rFonts w:ascii="Garamond" w:hAnsi="Garamond"/>
          <w:i/>
          <w:lang w:val="en-AU"/>
        </w:rPr>
        <w:t>Culture as a cure: Assessments of patient safety culture in OECD countries</w:t>
      </w:r>
    </w:p>
    <w:p w:rsidR="00D6176C" w:rsidRDefault="00D6176C" w:rsidP="00D6176C">
      <w:pPr>
        <w:keepNext/>
        <w:keepLines/>
        <w:autoSpaceDE w:val="0"/>
        <w:autoSpaceDN w:val="0"/>
        <w:adjustRightInd w:val="0"/>
        <w:rPr>
          <w:rFonts w:ascii="Garamond" w:hAnsi="Garamond"/>
          <w:lang w:val="en-AU"/>
        </w:rPr>
      </w:pPr>
      <w:r w:rsidRPr="00D6176C">
        <w:rPr>
          <w:rFonts w:ascii="Garamond" w:hAnsi="Garamond"/>
          <w:lang w:val="en-AU"/>
        </w:rPr>
        <w:t>OECD Health Working Papers No. 119</w:t>
      </w:r>
    </w:p>
    <w:p w:rsidR="00D6176C" w:rsidRDefault="004212C7" w:rsidP="00CC29E5">
      <w:pPr>
        <w:keepNext/>
        <w:keepLines/>
        <w:autoSpaceDE w:val="0"/>
        <w:autoSpaceDN w:val="0"/>
        <w:adjustRightInd w:val="0"/>
        <w:rPr>
          <w:rFonts w:ascii="Garamond" w:hAnsi="Garamond"/>
          <w:lang w:val="en-AU"/>
        </w:rPr>
      </w:pPr>
      <w:r>
        <w:rPr>
          <w:rFonts w:ascii="Garamond" w:hAnsi="Garamond"/>
          <w:lang w:val="en-AU"/>
        </w:rPr>
        <w:t xml:space="preserve">de </w:t>
      </w:r>
      <w:r w:rsidR="00D6176C" w:rsidRPr="00D6176C">
        <w:rPr>
          <w:rFonts w:ascii="Garamond" w:hAnsi="Garamond"/>
          <w:lang w:val="en-AU"/>
        </w:rPr>
        <w:t>Bienassis K, Kristensen S, Burtscher M, Brownwood I, Klazinga NS</w:t>
      </w:r>
    </w:p>
    <w:p w:rsidR="00C47024" w:rsidRDefault="00D6176C" w:rsidP="00CC29E5">
      <w:pPr>
        <w:keepNext/>
        <w:keepLines/>
        <w:autoSpaceDE w:val="0"/>
        <w:autoSpaceDN w:val="0"/>
        <w:adjustRightInd w:val="0"/>
        <w:rPr>
          <w:rFonts w:ascii="Garamond" w:hAnsi="Garamond"/>
          <w:lang w:val="en-AU"/>
        </w:rPr>
      </w:pPr>
      <w:r w:rsidRPr="00D6176C">
        <w:rPr>
          <w:rFonts w:ascii="Garamond" w:hAnsi="Garamond"/>
          <w:lang w:val="en-AU"/>
        </w:rPr>
        <w:t>Paris: OECD Publishing; 2020.</w:t>
      </w:r>
      <w:r w:rsidR="00772220">
        <w:rPr>
          <w:rFonts w:ascii="Garamond" w:hAnsi="Garamond"/>
          <w:lang w:val="en-AU"/>
        </w:rPr>
        <w:t xml:space="preserve"> p. 103.</w:t>
      </w:r>
    </w:p>
    <w:tbl>
      <w:tblPr>
        <w:tblStyle w:val="TableGrid"/>
        <w:tblW w:w="0" w:type="auto"/>
        <w:tblInd w:w="288" w:type="dxa"/>
        <w:tblLayout w:type="fixed"/>
        <w:tblLook w:val="01E0" w:firstRow="1" w:lastRow="1" w:firstColumn="1" w:lastColumn="1" w:noHBand="0" w:noVBand="0"/>
      </w:tblPr>
      <w:tblGrid>
        <w:gridCol w:w="1080"/>
        <w:gridCol w:w="8280"/>
      </w:tblGrid>
      <w:tr w:rsidR="00CC29E5" w:rsidRPr="000170DA" w:rsidTr="00EE1B94">
        <w:tc>
          <w:tcPr>
            <w:tcW w:w="1080" w:type="dxa"/>
            <w:tcBorders>
              <w:top w:val="single" w:sz="4" w:space="0" w:color="auto"/>
              <w:left w:val="single" w:sz="4" w:space="0" w:color="auto"/>
              <w:bottom w:val="single" w:sz="4" w:space="0" w:color="auto"/>
              <w:right w:val="single" w:sz="4" w:space="0" w:color="auto"/>
            </w:tcBorders>
            <w:vAlign w:val="center"/>
          </w:tcPr>
          <w:p w:rsidR="00CC29E5" w:rsidRPr="000170DA" w:rsidRDefault="00CC29E5" w:rsidP="00EE1B9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176C" w:rsidRPr="000170DA" w:rsidRDefault="002F5A68" w:rsidP="00D6176C">
            <w:pPr>
              <w:rPr>
                <w:rStyle w:val="Hyperlink"/>
                <w:rFonts w:ascii="Garamond" w:hAnsi="Garamond"/>
                <w:color w:val="auto"/>
                <w:u w:val="none"/>
                <w:lang w:val="en-AU"/>
              </w:rPr>
            </w:pPr>
            <w:hyperlink r:id="rId32" w:history="1">
              <w:r w:rsidRPr="00B10A1D">
                <w:rPr>
                  <w:rStyle w:val="Hyperlink"/>
                  <w:rFonts w:ascii="Garamond" w:hAnsi="Garamond"/>
                  <w:lang w:val="en-AU"/>
                </w:rPr>
                <w:t>https://</w:t>
              </w:r>
              <w:r w:rsidRPr="00B10A1D">
                <w:rPr>
                  <w:rStyle w:val="Hyperlink"/>
                  <w:rFonts w:ascii="Garamond" w:hAnsi="Garamond"/>
                  <w:lang w:val="en-AU"/>
                </w:rPr>
                <w:t>d</w:t>
              </w:r>
              <w:r w:rsidRPr="00B10A1D">
                <w:rPr>
                  <w:rStyle w:val="Hyperlink"/>
                  <w:rFonts w:ascii="Garamond" w:hAnsi="Garamond"/>
                  <w:lang w:val="en-AU"/>
                </w:rPr>
                <w:t>oi.org/10.1787/6ee1aeae-en</w:t>
              </w:r>
            </w:hyperlink>
          </w:p>
        </w:tc>
      </w:tr>
      <w:tr w:rsidR="00CC29E5" w:rsidRPr="000170DA" w:rsidTr="00EE1B94">
        <w:tc>
          <w:tcPr>
            <w:tcW w:w="1080" w:type="dxa"/>
            <w:tcBorders>
              <w:top w:val="single" w:sz="4" w:space="0" w:color="auto"/>
              <w:left w:val="single" w:sz="4" w:space="0" w:color="auto"/>
              <w:bottom w:val="single" w:sz="4" w:space="0" w:color="auto"/>
              <w:right w:val="single" w:sz="4" w:space="0" w:color="auto"/>
            </w:tcBorders>
            <w:vAlign w:val="center"/>
          </w:tcPr>
          <w:p w:rsidR="00CC29E5" w:rsidRPr="000170DA" w:rsidRDefault="00CC29E5" w:rsidP="00EE1B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451" w:rsidRPr="00752E83" w:rsidRDefault="006E04E3" w:rsidP="003F1F5B">
            <w:pPr>
              <w:keepNext/>
              <w:keepLines/>
              <w:autoSpaceDE w:val="0"/>
              <w:autoSpaceDN w:val="0"/>
              <w:adjustRightInd w:val="0"/>
              <w:rPr>
                <w:rFonts w:ascii="Garamond" w:hAnsi="Garamond"/>
                <w:lang w:val="en-AU"/>
              </w:rPr>
            </w:pPr>
            <w:r>
              <w:rPr>
                <w:rFonts w:ascii="Garamond" w:hAnsi="Garamond"/>
                <w:lang w:val="en-AU"/>
              </w:rPr>
              <w:t xml:space="preserve">The culture within which care is delivered is a key factor in whether that care is safe, of good quality, appropriate and effective. </w:t>
            </w:r>
            <w:r w:rsidR="009A4451">
              <w:rPr>
                <w:rFonts w:ascii="Garamond" w:hAnsi="Garamond"/>
                <w:lang w:val="en-AU"/>
              </w:rPr>
              <w:t xml:space="preserve">As the authors of this </w:t>
            </w:r>
            <w:r>
              <w:rPr>
                <w:rFonts w:ascii="Garamond" w:hAnsi="Garamond"/>
                <w:lang w:val="en-AU"/>
              </w:rPr>
              <w:t>report fr</w:t>
            </w:r>
            <w:r w:rsidR="009A4451">
              <w:rPr>
                <w:rFonts w:ascii="Garamond" w:hAnsi="Garamond"/>
                <w:lang w:val="en-AU"/>
              </w:rPr>
              <w:t>o</w:t>
            </w:r>
            <w:r>
              <w:rPr>
                <w:rFonts w:ascii="Garamond" w:hAnsi="Garamond"/>
                <w:lang w:val="en-AU"/>
              </w:rPr>
              <w:t xml:space="preserve">m the OECD </w:t>
            </w:r>
            <w:r w:rsidR="009A4451">
              <w:rPr>
                <w:rFonts w:ascii="Garamond" w:hAnsi="Garamond"/>
                <w:lang w:val="en-AU"/>
              </w:rPr>
              <w:t xml:space="preserve">observe, </w:t>
            </w:r>
            <w:r w:rsidR="003F1F5B">
              <w:rPr>
                <w:rFonts w:ascii="Garamond" w:hAnsi="Garamond"/>
                <w:lang w:val="en-AU"/>
              </w:rPr>
              <w:t>‘</w:t>
            </w:r>
            <w:r w:rsidR="009A4451" w:rsidRPr="009A4451">
              <w:rPr>
                <w:rFonts w:ascii="Garamond" w:hAnsi="Garamond"/>
                <w:lang w:val="en-AU"/>
              </w:rPr>
              <w:t>A growing research body has found that PSC</w:t>
            </w:r>
            <w:r w:rsidR="003F1F5B">
              <w:rPr>
                <w:rFonts w:ascii="Garamond" w:hAnsi="Garamond"/>
                <w:lang w:val="en-AU"/>
              </w:rPr>
              <w:t xml:space="preserve"> [patient safety culture] </w:t>
            </w:r>
            <w:r w:rsidR="009A4451" w:rsidRPr="009A4451">
              <w:rPr>
                <w:rFonts w:ascii="Garamond" w:hAnsi="Garamond"/>
                <w:lang w:val="en-AU"/>
              </w:rPr>
              <w:t>is associated with numerous positive outcomes, including improved health outcomes, improved</w:t>
            </w:r>
            <w:r w:rsidR="003F1F5B">
              <w:rPr>
                <w:rFonts w:ascii="Garamond" w:hAnsi="Garamond"/>
                <w:lang w:val="en-AU"/>
              </w:rPr>
              <w:t xml:space="preserve"> </w:t>
            </w:r>
            <w:r w:rsidR="009A4451" w:rsidRPr="009A4451">
              <w:rPr>
                <w:rFonts w:ascii="Garamond" w:hAnsi="Garamond"/>
                <w:lang w:val="en-AU"/>
              </w:rPr>
              <w:t>patient experience, and organisational produ</w:t>
            </w:r>
            <w:r w:rsidR="003F1F5B">
              <w:rPr>
                <w:rFonts w:ascii="Garamond" w:hAnsi="Garamond"/>
                <w:lang w:val="en-AU"/>
              </w:rPr>
              <w:t>ctivity and staff satisfaction.’ They suggest that ‘</w:t>
            </w:r>
            <w:r w:rsidR="009A4451" w:rsidRPr="009A4451">
              <w:rPr>
                <w:rFonts w:ascii="Garamond" w:hAnsi="Garamond"/>
                <w:lang w:val="en-AU"/>
              </w:rPr>
              <w:t>Meaningful information</w:t>
            </w:r>
            <w:r w:rsidR="003F1F5B">
              <w:rPr>
                <w:rFonts w:ascii="Garamond" w:hAnsi="Garamond"/>
                <w:lang w:val="en-AU"/>
              </w:rPr>
              <w:t xml:space="preserve"> </w:t>
            </w:r>
            <w:r w:rsidR="009A4451" w:rsidRPr="009A4451">
              <w:rPr>
                <w:rFonts w:ascii="Garamond" w:hAnsi="Garamond"/>
                <w:lang w:val="en-AU"/>
              </w:rPr>
              <w:t>about PSC can guide policy makers, hospital mangers, and staff in improving and strengthening their</w:t>
            </w:r>
            <w:r w:rsidR="003F1F5B">
              <w:rPr>
                <w:rFonts w:ascii="Garamond" w:hAnsi="Garamond"/>
                <w:lang w:val="en-AU"/>
              </w:rPr>
              <w:t xml:space="preserve"> </w:t>
            </w:r>
            <w:r w:rsidR="009A4451" w:rsidRPr="009A4451">
              <w:rPr>
                <w:rFonts w:ascii="Garamond" w:hAnsi="Garamond"/>
                <w:lang w:val="en-AU"/>
              </w:rPr>
              <w:t>cultures and improving safety outcomes</w:t>
            </w:r>
            <w:r w:rsidR="003F1F5B">
              <w:rPr>
                <w:rFonts w:ascii="Garamond" w:hAnsi="Garamond"/>
                <w:lang w:val="en-AU"/>
              </w:rPr>
              <w:t>’ and note that the measuring of PSC with various tools has become quite common</w:t>
            </w:r>
            <w:r w:rsidR="009A4451" w:rsidRPr="009A4451">
              <w:rPr>
                <w:rFonts w:ascii="Garamond" w:hAnsi="Garamond"/>
                <w:lang w:val="en-AU"/>
              </w:rPr>
              <w:t>.</w:t>
            </w:r>
            <w:r w:rsidR="003F1F5B">
              <w:rPr>
                <w:rFonts w:ascii="Garamond" w:hAnsi="Garamond"/>
                <w:lang w:val="en-AU"/>
              </w:rPr>
              <w:t xml:space="preserve"> To date, most of this measurement is taking place in </w:t>
            </w:r>
            <w:r w:rsidR="009A4451" w:rsidRPr="009A4451">
              <w:rPr>
                <w:rFonts w:ascii="Garamond" w:hAnsi="Garamond"/>
                <w:lang w:val="en-AU"/>
              </w:rPr>
              <w:t>hospital setting</w:t>
            </w:r>
            <w:r w:rsidR="003F1F5B">
              <w:rPr>
                <w:rFonts w:ascii="Garamond" w:hAnsi="Garamond"/>
                <w:lang w:val="en-AU"/>
              </w:rPr>
              <w:t xml:space="preserve">s with </w:t>
            </w:r>
            <w:r w:rsidR="009A4451" w:rsidRPr="009A4451">
              <w:rPr>
                <w:rFonts w:ascii="Garamond" w:hAnsi="Garamond"/>
                <w:lang w:val="en-AU"/>
              </w:rPr>
              <w:t xml:space="preserve">measures </w:t>
            </w:r>
            <w:r w:rsidR="003F1F5B">
              <w:rPr>
                <w:rFonts w:ascii="Garamond" w:hAnsi="Garamond"/>
                <w:lang w:val="en-AU"/>
              </w:rPr>
              <w:t>‘</w:t>
            </w:r>
            <w:r w:rsidR="009A4451" w:rsidRPr="009A4451">
              <w:rPr>
                <w:rFonts w:ascii="Garamond" w:hAnsi="Garamond"/>
                <w:lang w:val="en-AU"/>
              </w:rPr>
              <w:t>primarily used to inform internal learning</w:t>
            </w:r>
            <w:r w:rsidR="003F1F5B">
              <w:rPr>
                <w:rFonts w:ascii="Garamond" w:hAnsi="Garamond"/>
                <w:lang w:val="en-AU"/>
              </w:rPr>
              <w:t xml:space="preserve"> </w:t>
            </w:r>
            <w:r w:rsidR="009A4451" w:rsidRPr="009A4451">
              <w:rPr>
                <w:rFonts w:ascii="Garamond" w:hAnsi="Garamond"/>
                <w:lang w:val="en-AU"/>
              </w:rPr>
              <w:t>and improvement</w:t>
            </w:r>
            <w:r w:rsidR="003F1F5B">
              <w:rPr>
                <w:rFonts w:ascii="Garamond" w:hAnsi="Garamond"/>
                <w:lang w:val="en-AU"/>
              </w:rPr>
              <w:t>’</w:t>
            </w:r>
            <w:r w:rsidR="009A4451" w:rsidRPr="009A4451">
              <w:rPr>
                <w:rFonts w:ascii="Garamond" w:hAnsi="Garamond"/>
                <w:lang w:val="en-AU"/>
              </w:rPr>
              <w:t xml:space="preserve">, and </w:t>
            </w:r>
            <w:r w:rsidR="003F1F5B">
              <w:rPr>
                <w:rFonts w:ascii="Garamond" w:hAnsi="Garamond"/>
                <w:lang w:val="en-AU"/>
              </w:rPr>
              <w:t>‘</w:t>
            </w:r>
            <w:r w:rsidR="009A4451" w:rsidRPr="009A4451">
              <w:rPr>
                <w:rFonts w:ascii="Garamond" w:hAnsi="Garamond"/>
                <w:lang w:val="en-AU"/>
              </w:rPr>
              <w:t>not commonly used for accountability purposes, though some countries serve</w:t>
            </w:r>
            <w:r w:rsidR="003F1F5B">
              <w:rPr>
                <w:rFonts w:ascii="Garamond" w:hAnsi="Garamond"/>
                <w:lang w:val="en-AU"/>
              </w:rPr>
              <w:t xml:space="preserve"> </w:t>
            </w:r>
            <w:r w:rsidR="009A4451" w:rsidRPr="009A4451">
              <w:rPr>
                <w:rFonts w:ascii="Garamond" w:hAnsi="Garamond"/>
                <w:lang w:val="en-AU"/>
              </w:rPr>
              <w:t>as exceptions</w:t>
            </w:r>
            <w:r w:rsidR="003F1F5B">
              <w:rPr>
                <w:rFonts w:ascii="Garamond" w:hAnsi="Garamond"/>
                <w:lang w:val="en-AU"/>
              </w:rPr>
              <w:t>’</w:t>
            </w:r>
            <w:r w:rsidR="009A4451" w:rsidRPr="009A4451">
              <w:rPr>
                <w:rFonts w:ascii="Garamond" w:hAnsi="Garamond"/>
                <w:lang w:val="en-AU"/>
              </w:rPr>
              <w:t>.</w:t>
            </w:r>
            <w:r w:rsidR="003F1F5B">
              <w:rPr>
                <w:rFonts w:ascii="Garamond" w:hAnsi="Garamond"/>
                <w:lang w:val="en-AU"/>
              </w:rPr>
              <w:t xml:space="preserve"> It is suggested that measurement of patient safety culture ‘</w:t>
            </w:r>
            <w:r w:rsidR="009A4451" w:rsidRPr="009A4451">
              <w:rPr>
                <w:rFonts w:ascii="Garamond" w:hAnsi="Garamond"/>
                <w:lang w:val="en-AU"/>
              </w:rPr>
              <w:t>is best integrated into a broader policy framework and its results should be made</w:t>
            </w:r>
            <w:r w:rsidR="003F1F5B">
              <w:rPr>
                <w:rFonts w:ascii="Garamond" w:hAnsi="Garamond"/>
                <w:lang w:val="en-AU"/>
              </w:rPr>
              <w:t xml:space="preserve"> </w:t>
            </w:r>
            <w:r w:rsidR="009A4451" w:rsidRPr="009A4451">
              <w:rPr>
                <w:rFonts w:ascii="Garamond" w:hAnsi="Garamond"/>
                <w:lang w:val="en-AU"/>
              </w:rPr>
              <w:t>available and visible to relevant actors. In many health care systems, PSC tools will form part of a larger</w:t>
            </w:r>
            <w:r w:rsidR="003F1F5B">
              <w:rPr>
                <w:rFonts w:ascii="Garamond" w:hAnsi="Garamond"/>
                <w:lang w:val="en-AU"/>
              </w:rPr>
              <w:t xml:space="preserve"> </w:t>
            </w:r>
            <w:r w:rsidR="009A4451" w:rsidRPr="009A4451">
              <w:rPr>
                <w:rFonts w:ascii="Garamond" w:hAnsi="Garamond"/>
                <w:lang w:val="en-AU"/>
              </w:rPr>
              <w:t>set of measurement indicators that include traditional patient safety indicators as well as patient-reported</w:t>
            </w:r>
            <w:r w:rsidR="003F1F5B">
              <w:rPr>
                <w:rFonts w:ascii="Garamond" w:hAnsi="Garamond"/>
                <w:lang w:val="en-AU"/>
              </w:rPr>
              <w:t xml:space="preserve"> </w:t>
            </w:r>
            <w:r w:rsidR="009A4451" w:rsidRPr="009A4451">
              <w:rPr>
                <w:rFonts w:ascii="Garamond" w:hAnsi="Garamond"/>
                <w:lang w:val="en-AU"/>
              </w:rPr>
              <w:t>outcomes. International learning and benchmarking has significant potential for better understanding and</w:t>
            </w:r>
            <w:r w:rsidR="003F1F5B">
              <w:rPr>
                <w:rFonts w:ascii="Garamond" w:hAnsi="Garamond"/>
                <w:lang w:val="en-AU"/>
              </w:rPr>
              <w:t xml:space="preserve"> </w:t>
            </w:r>
            <w:r w:rsidR="009A4451" w:rsidRPr="009A4451">
              <w:rPr>
                <w:rFonts w:ascii="Garamond" w:hAnsi="Garamond"/>
                <w:lang w:val="en-AU"/>
              </w:rPr>
              <w:t>improvement of patient safety and health care quality.</w:t>
            </w:r>
            <w:r w:rsidR="003F1F5B">
              <w:rPr>
                <w:rFonts w:ascii="Garamond" w:hAnsi="Garamond"/>
                <w:lang w:val="en-AU"/>
              </w:rPr>
              <w:t>’</w:t>
            </w:r>
          </w:p>
        </w:tc>
      </w:tr>
    </w:tbl>
    <w:p w:rsidR="003F1F5B" w:rsidRPr="00C47024" w:rsidRDefault="003F1F5B" w:rsidP="003F1F5B">
      <w:pPr>
        <w:keepNext/>
        <w:keepLines/>
        <w:autoSpaceDE w:val="0"/>
        <w:autoSpaceDN w:val="0"/>
        <w:adjustRightInd w:val="0"/>
        <w:rPr>
          <w:rFonts w:ascii="Garamond" w:hAnsi="Garamond"/>
          <w:i/>
          <w:lang w:val="en-AU"/>
        </w:rPr>
      </w:pPr>
      <w:r w:rsidRPr="00C47024">
        <w:rPr>
          <w:rFonts w:ascii="Garamond" w:hAnsi="Garamond"/>
          <w:i/>
          <w:lang w:val="en-AU"/>
        </w:rPr>
        <w:lastRenderedPageBreak/>
        <w:t>Waiting Times for Health Services: Next in Line</w:t>
      </w:r>
    </w:p>
    <w:p w:rsidR="003F1F5B" w:rsidRDefault="003F1F5B" w:rsidP="003F1F5B">
      <w:pPr>
        <w:keepNext/>
        <w:keepLines/>
        <w:autoSpaceDE w:val="0"/>
        <w:autoSpaceDN w:val="0"/>
        <w:adjustRightInd w:val="0"/>
        <w:rPr>
          <w:rFonts w:ascii="Garamond" w:hAnsi="Garamond"/>
          <w:lang w:val="en-AU"/>
        </w:rPr>
      </w:pPr>
      <w:r w:rsidRPr="00460719">
        <w:rPr>
          <w:rFonts w:ascii="Garamond" w:hAnsi="Garamond"/>
          <w:lang w:val="en-AU"/>
        </w:rPr>
        <w:t>OECD</w:t>
      </w:r>
    </w:p>
    <w:p w:rsidR="003F1F5B" w:rsidRDefault="003F1F5B" w:rsidP="003F1F5B">
      <w:pPr>
        <w:keepNext/>
        <w:keepLines/>
        <w:autoSpaceDE w:val="0"/>
        <w:autoSpaceDN w:val="0"/>
        <w:adjustRightInd w:val="0"/>
        <w:rPr>
          <w:rFonts w:ascii="Garamond" w:hAnsi="Garamond"/>
          <w:lang w:val="en-AU"/>
        </w:rPr>
      </w:pPr>
      <w:r w:rsidRPr="00460719">
        <w:rPr>
          <w:rFonts w:ascii="Garamond" w:hAnsi="Garamond"/>
          <w:lang w:val="en-AU"/>
        </w:rPr>
        <w:t>Paris: OECD Publishing; 2020.</w:t>
      </w:r>
      <w:r>
        <w:rPr>
          <w:rFonts w:ascii="Garamond" w:hAnsi="Garamond"/>
          <w:lang w:val="en-AU"/>
        </w:rPr>
        <w:t xml:space="preserve"> p. 72.</w:t>
      </w:r>
    </w:p>
    <w:tbl>
      <w:tblPr>
        <w:tblStyle w:val="TableGrid"/>
        <w:tblW w:w="0" w:type="auto"/>
        <w:tblInd w:w="288" w:type="dxa"/>
        <w:tblLayout w:type="fixed"/>
        <w:tblLook w:val="01E0" w:firstRow="1" w:lastRow="1" w:firstColumn="1" w:lastColumn="1" w:noHBand="0" w:noVBand="0"/>
      </w:tblPr>
      <w:tblGrid>
        <w:gridCol w:w="1080"/>
        <w:gridCol w:w="8280"/>
      </w:tblGrid>
      <w:tr w:rsidR="003F1F5B" w:rsidRPr="000170DA" w:rsidTr="00037290">
        <w:tc>
          <w:tcPr>
            <w:tcW w:w="1080" w:type="dxa"/>
            <w:tcBorders>
              <w:top w:val="single" w:sz="4" w:space="0" w:color="auto"/>
              <w:left w:val="single" w:sz="4" w:space="0" w:color="auto"/>
              <w:bottom w:val="single" w:sz="4" w:space="0" w:color="auto"/>
              <w:right w:val="single" w:sz="4" w:space="0" w:color="auto"/>
            </w:tcBorders>
            <w:vAlign w:val="center"/>
          </w:tcPr>
          <w:p w:rsidR="003F1F5B" w:rsidRPr="000170DA" w:rsidRDefault="003F1F5B" w:rsidP="003F1F5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F5B" w:rsidRPr="000170DA" w:rsidRDefault="00186D8B" w:rsidP="003F1F5B">
            <w:pPr>
              <w:keepNext/>
              <w:rPr>
                <w:rStyle w:val="Hyperlink"/>
                <w:rFonts w:ascii="Garamond" w:hAnsi="Garamond"/>
                <w:color w:val="auto"/>
                <w:u w:val="none"/>
                <w:lang w:val="en-AU"/>
              </w:rPr>
            </w:pPr>
            <w:hyperlink r:id="rId33" w:history="1">
              <w:r w:rsidR="003F1F5B" w:rsidRPr="002A6708">
                <w:rPr>
                  <w:rStyle w:val="Hyperlink"/>
                  <w:rFonts w:ascii="Garamond" w:hAnsi="Garamond"/>
                  <w:lang w:val="en-AU"/>
                </w:rPr>
                <w:t>https://doi.org/10.1787/242e3c8c-en</w:t>
              </w:r>
            </w:hyperlink>
          </w:p>
        </w:tc>
      </w:tr>
      <w:tr w:rsidR="003F1F5B" w:rsidRPr="000170DA" w:rsidTr="00037290">
        <w:tc>
          <w:tcPr>
            <w:tcW w:w="1080" w:type="dxa"/>
            <w:tcBorders>
              <w:top w:val="single" w:sz="4" w:space="0" w:color="auto"/>
              <w:left w:val="single" w:sz="4" w:space="0" w:color="auto"/>
              <w:bottom w:val="single" w:sz="4" w:space="0" w:color="auto"/>
              <w:right w:val="single" w:sz="4" w:space="0" w:color="auto"/>
            </w:tcBorders>
            <w:vAlign w:val="center"/>
          </w:tcPr>
          <w:p w:rsidR="003F1F5B" w:rsidRPr="000170DA" w:rsidRDefault="003F1F5B" w:rsidP="0003729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F5B" w:rsidRDefault="003F1F5B" w:rsidP="00037290">
            <w:pPr>
              <w:keepNext/>
              <w:keepLines/>
              <w:autoSpaceDE w:val="0"/>
              <w:autoSpaceDN w:val="0"/>
              <w:adjustRightInd w:val="0"/>
              <w:rPr>
                <w:rFonts w:ascii="Garamond" w:hAnsi="Garamond"/>
                <w:lang w:val="en-AU"/>
              </w:rPr>
            </w:pPr>
            <w:r>
              <w:rPr>
                <w:rFonts w:ascii="Garamond" w:hAnsi="Garamond"/>
                <w:lang w:val="en-AU"/>
              </w:rPr>
              <w:t>Waiting time for health services, particularly surgery, can be a sensitive and political topic. This report from the OECD</w:t>
            </w:r>
          </w:p>
          <w:p w:rsidR="003F1F5B" w:rsidRPr="009A4451" w:rsidRDefault="003F1F5B" w:rsidP="003F1F5B">
            <w:pPr>
              <w:pStyle w:val="ListParagraph"/>
              <w:keepNext/>
              <w:keepLines/>
              <w:numPr>
                <w:ilvl w:val="0"/>
                <w:numId w:val="35"/>
              </w:numPr>
              <w:autoSpaceDE w:val="0"/>
              <w:autoSpaceDN w:val="0"/>
              <w:adjustRightInd w:val="0"/>
              <w:rPr>
                <w:rFonts w:ascii="Garamond" w:hAnsi="Garamond"/>
                <w:lang w:val="en-AU"/>
              </w:rPr>
            </w:pPr>
            <w:r w:rsidRPr="009A4451">
              <w:rPr>
                <w:rFonts w:ascii="Garamond" w:hAnsi="Garamond"/>
                <w:lang w:val="en-AU"/>
              </w:rPr>
              <w:t>reviews the importance of waiting times issues across OECD countries</w:t>
            </w:r>
          </w:p>
          <w:p w:rsidR="003F1F5B" w:rsidRPr="009A4451" w:rsidRDefault="003F1F5B" w:rsidP="003F1F5B">
            <w:pPr>
              <w:pStyle w:val="ListParagraph"/>
              <w:keepNext/>
              <w:keepLines/>
              <w:numPr>
                <w:ilvl w:val="0"/>
                <w:numId w:val="35"/>
              </w:numPr>
              <w:autoSpaceDE w:val="0"/>
              <w:autoSpaceDN w:val="0"/>
              <w:adjustRightInd w:val="0"/>
              <w:rPr>
                <w:rFonts w:ascii="Garamond" w:hAnsi="Garamond"/>
                <w:lang w:val="en-AU"/>
              </w:rPr>
            </w:pPr>
            <w:r w:rsidRPr="009A4451">
              <w:rPr>
                <w:rFonts w:ascii="Garamond" w:hAnsi="Garamond"/>
                <w:lang w:val="en-AU"/>
              </w:rPr>
              <w:t>provides an overview of how waiting times differ across OECD countries up to 2019, focussing on waiting times for consultations with general practitioners (GPs), specialist consultations and elective treatments</w:t>
            </w:r>
          </w:p>
          <w:p w:rsidR="003F1F5B" w:rsidRPr="009A4451" w:rsidRDefault="003F1F5B" w:rsidP="003F1F5B">
            <w:pPr>
              <w:pStyle w:val="ListParagraph"/>
              <w:keepNext/>
              <w:keepLines/>
              <w:numPr>
                <w:ilvl w:val="0"/>
                <w:numId w:val="35"/>
              </w:numPr>
              <w:autoSpaceDE w:val="0"/>
              <w:autoSpaceDN w:val="0"/>
              <w:adjustRightInd w:val="0"/>
              <w:rPr>
                <w:rFonts w:ascii="Garamond" w:hAnsi="Garamond"/>
                <w:lang w:val="en-AU"/>
              </w:rPr>
            </w:pPr>
            <w:r w:rsidRPr="009A4451">
              <w:rPr>
                <w:rFonts w:ascii="Garamond" w:hAnsi="Garamond"/>
                <w:lang w:val="en-AU"/>
              </w:rPr>
              <w:t xml:space="preserve">reviews evidence about the impact of waiting times on access to care and health outcomes for patients </w:t>
            </w:r>
          </w:p>
          <w:p w:rsidR="003F1F5B" w:rsidRPr="009A4451" w:rsidRDefault="003F1F5B" w:rsidP="003F1F5B">
            <w:pPr>
              <w:pStyle w:val="ListParagraph"/>
              <w:keepNext/>
              <w:keepLines/>
              <w:numPr>
                <w:ilvl w:val="0"/>
                <w:numId w:val="35"/>
              </w:numPr>
              <w:autoSpaceDE w:val="0"/>
              <w:autoSpaceDN w:val="0"/>
              <w:adjustRightInd w:val="0"/>
              <w:rPr>
                <w:rFonts w:ascii="Garamond" w:hAnsi="Garamond"/>
                <w:lang w:val="en-AU"/>
              </w:rPr>
            </w:pPr>
            <w:r w:rsidRPr="009A4451">
              <w:rPr>
                <w:rFonts w:ascii="Garamond" w:hAnsi="Garamond"/>
                <w:lang w:val="en-AU"/>
              </w:rPr>
              <w:t>reviews a range of policy interventions that countries have used to tackle waiting times for different services, including elective surgery, primary care, cancer care and mental health services, with a focus on identifying successful policies.</w:t>
            </w:r>
          </w:p>
        </w:tc>
      </w:tr>
    </w:tbl>
    <w:p w:rsidR="003F1F5B" w:rsidRDefault="003F1F5B" w:rsidP="003F1F5B">
      <w:pPr>
        <w:keepNext/>
        <w:keepLines/>
        <w:autoSpaceDE w:val="0"/>
        <w:autoSpaceDN w:val="0"/>
        <w:adjustRightInd w:val="0"/>
        <w:rPr>
          <w:rFonts w:ascii="Garamond" w:hAnsi="Garamond"/>
          <w:lang w:val="en-AU"/>
        </w:rPr>
      </w:pPr>
    </w:p>
    <w:p w:rsidR="00CC29E5" w:rsidRDefault="00CC29E5" w:rsidP="00CC29E5">
      <w:pPr>
        <w:keepNext/>
        <w:keepLines/>
        <w:autoSpaceDE w:val="0"/>
        <w:autoSpaceDN w:val="0"/>
        <w:adjustRightInd w:val="0"/>
        <w:rPr>
          <w:rFonts w:ascii="Garamond" w:hAnsi="Garamond"/>
          <w:lang w:val="en-AU"/>
        </w:rPr>
      </w:pPr>
    </w:p>
    <w:p w:rsidR="00CC29E5" w:rsidRDefault="00CC29E5" w:rsidP="00CC29E5">
      <w:pPr>
        <w:keepNext/>
        <w:keepLines/>
        <w:autoSpaceDE w:val="0"/>
        <w:autoSpaceDN w:val="0"/>
        <w:adjustRightInd w:val="0"/>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52656D" w:rsidRPr="0052656D" w:rsidRDefault="0052656D" w:rsidP="0052656D">
      <w:pPr>
        <w:keepNext/>
        <w:keepLines/>
        <w:autoSpaceDE w:val="0"/>
        <w:autoSpaceDN w:val="0"/>
        <w:adjustRightInd w:val="0"/>
        <w:rPr>
          <w:rFonts w:ascii="Garamond" w:hAnsi="Garamond"/>
          <w:i/>
          <w:lang w:val="en-AU"/>
        </w:rPr>
      </w:pPr>
      <w:r w:rsidRPr="0052656D">
        <w:rPr>
          <w:rFonts w:ascii="Garamond" w:hAnsi="Garamond"/>
          <w:i/>
          <w:lang w:val="en-AU"/>
        </w:rPr>
        <w:t>Economic analysis of the prevalence and clinical and economic burden of medication error in England</w:t>
      </w:r>
    </w:p>
    <w:p w:rsidR="0052656D" w:rsidRDefault="0052656D" w:rsidP="00A86F60">
      <w:pPr>
        <w:keepNext/>
        <w:keepLines/>
        <w:autoSpaceDE w:val="0"/>
        <w:autoSpaceDN w:val="0"/>
        <w:adjustRightInd w:val="0"/>
        <w:rPr>
          <w:rFonts w:ascii="Garamond" w:hAnsi="Garamond"/>
          <w:lang w:val="en-AU"/>
        </w:rPr>
      </w:pPr>
      <w:r w:rsidRPr="0052656D">
        <w:rPr>
          <w:rFonts w:ascii="Garamond" w:hAnsi="Garamond"/>
          <w:lang w:val="en-AU"/>
        </w:rPr>
        <w:t>Elliott RA, Camacho E, Jankovic D, Sculpher MJ, Faria R</w:t>
      </w:r>
    </w:p>
    <w:p w:rsidR="00774016" w:rsidRDefault="0052656D" w:rsidP="00A86F60">
      <w:pPr>
        <w:keepNext/>
        <w:keepLines/>
        <w:autoSpaceDE w:val="0"/>
        <w:autoSpaceDN w:val="0"/>
        <w:adjustRightInd w:val="0"/>
        <w:rPr>
          <w:rFonts w:ascii="Garamond" w:hAnsi="Garamond"/>
          <w:lang w:val="en-AU"/>
        </w:rPr>
      </w:pPr>
      <w:r w:rsidRPr="0052656D">
        <w:rPr>
          <w:rFonts w:ascii="Garamond" w:hAnsi="Garamond"/>
          <w:lang w:val="en-AU"/>
        </w:rPr>
        <w:t>BMJ Quality &amp; Safety. 2020</w:t>
      </w:r>
      <w:r>
        <w:rPr>
          <w:rFonts w:ascii="Garamond" w:hAnsi="Garamond"/>
          <w:lang w:val="en-AU"/>
        </w:rPr>
        <w:t xml:space="preserve"> [epub]</w:t>
      </w:r>
      <w:r w:rsidRPr="0052656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86F60" w:rsidRPr="000170DA" w:rsidTr="00EA4112">
        <w:tc>
          <w:tcPr>
            <w:tcW w:w="1080" w:type="dxa"/>
            <w:tcBorders>
              <w:top w:val="single" w:sz="4" w:space="0" w:color="auto"/>
              <w:left w:val="single" w:sz="4" w:space="0" w:color="auto"/>
              <w:bottom w:val="single" w:sz="4" w:space="0" w:color="auto"/>
              <w:right w:val="single" w:sz="4" w:space="0" w:color="auto"/>
            </w:tcBorders>
            <w:vAlign w:val="center"/>
          </w:tcPr>
          <w:p w:rsidR="00A86F60" w:rsidRPr="000170DA" w:rsidRDefault="00A86F60" w:rsidP="00EA41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6F60" w:rsidRPr="000170DA" w:rsidRDefault="00186D8B" w:rsidP="00186D8B">
            <w:pPr>
              <w:rPr>
                <w:rStyle w:val="Hyperlink"/>
                <w:rFonts w:ascii="Garamond" w:hAnsi="Garamond"/>
                <w:color w:val="auto"/>
                <w:u w:val="none"/>
                <w:lang w:val="en-AU"/>
              </w:rPr>
            </w:pPr>
            <w:hyperlink r:id="rId34" w:history="1">
              <w:r w:rsidRPr="00B10A1D">
                <w:rPr>
                  <w:rStyle w:val="Hyperlink"/>
                  <w:rFonts w:ascii="Garamond" w:hAnsi="Garamond"/>
                  <w:lang w:val="en-AU"/>
                </w:rPr>
                <w:t>https://10.1136/bmjqs-2019-010206</w:t>
              </w:r>
            </w:hyperlink>
          </w:p>
        </w:tc>
      </w:tr>
      <w:tr w:rsidR="00A86F60" w:rsidRPr="000170DA" w:rsidTr="00EA4112">
        <w:tc>
          <w:tcPr>
            <w:tcW w:w="1080" w:type="dxa"/>
            <w:tcBorders>
              <w:top w:val="single" w:sz="4" w:space="0" w:color="auto"/>
              <w:left w:val="single" w:sz="4" w:space="0" w:color="auto"/>
              <w:bottom w:val="single" w:sz="4" w:space="0" w:color="auto"/>
              <w:right w:val="single" w:sz="4" w:space="0" w:color="auto"/>
            </w:tcBorders>
            <w:vAlign w:val="center"/>
          </w:tcPr>
          <w:p w:rsidR="00A86F60" w:rsidRPr="000170DA" w:rsidRDefault="00A86F60" w:rsidP="00EA41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6F60" w:rsidRDefault="0052656D" w:rsidP="006234B3">
            <w:pPr>
              <w:keepNext/>
              <w:keepLines/>
              <w:autoSpaceDE w:val="0"/>
              <w:autoSpaceDN w:val="0"/>
              <w:adjustRightInd w:val="0"/>
              <w:rPr>
                <w:rFonts w:ascii="Garamond" w:hAnsi="Garamond"/>
                <w:lang w:val="en-AU"/>
              </w:rPr>
            </w:pPr>
            <w:r>
              <w:rPr>
                <w:rFonts w:ascii="Garamond" w:hAnsi="Garamond"/>
                <w:lang w:val="en-AU"/>
              </w:rPr>
              <w:t xml:space="preserve">Medication errors are recognised as being rather common and their consequences can range from trivial to fatal. However, the economic costs are not well understood. This paper presents an attempt to determine the prevalence and burden, in both clinical and economic terms, of medication error across the National Health Service in England. </w:t>
            </w:r>
            <w:r w:rsidR="006234B3">
              <w:rPr>
                <w:rFonts w:ascii="Garamond" w:hAnsi="Garamond"/>
                <w:lang w:val="en-AU"/>
              </w:rPr>
              <w:t>While acknowledging the limitations of the data</w:t>
            </w:r>
            <w:r w:rsidR="00AD6236">
              <w:rPr>
                <w:rFonts w:ascii="Garamond" w:hAnsi="Garamond"/>
                <w:lang w:val="en-AU"/>
              </w:rPr>
              <w:t xml:space="preserve"> the authors estimated that:</w:t>
            </w:r>
          </w:p>
          <w:p w:rsidR="00AD6236" w:rsidRPr="00186D8B" w:rsidRDefault="006234B3" w:rsidP="00284160">
            <w:pPr>
              <w:pStyle w:val="ListParagraph"/>
              <w:keepNext/>
              <w:keepLines/>
              <w:numPr>
                <w:ilvl w:val="0"/>
                <w:numId w:val="34"/>
              </w:numPr>
              <w:autoSpaceDE w:val="0"/>
              <w:autoSpaceDN w:val="0"/>
              <w:adjustRightInd w:val="0"/>
              <w:rPr>
                <w:rFonts w:ascii="Garamond" w:hAnsi="Garamond"/>
                <w:b/>
                <w:lang w:val="en-AU"/>
              </w:rPr>
            </w:pPr>
            <w:r w:rsidRPr="00AD6236">
              <w:rPr>
                <w:rFonts w:ascii="Garamond" w:hAnsi="Garamond"/>
                <w:b/>
                <w:lang w:val="en-AU"/>
              </w:rPr>
              <w:t>237 million medication</w:t>
            </w:r>
            <w:r w:rsidR="00AD6236" w:rsidRPr="00AD6236">
              <w:rPr>
                <w:rFonts w:ascii="Garamond" w:hAnsi="Garamond"/>
                <w:b/>
                <w:lang w:val="en-AU"/>
              </w:rPr>
              <w:t xml:space="preserve"> </w:t>
            </w:r>
            <w:r w:rsidRPr="00AD6236">
              <w:rPr>
                <w:rFonts w:ascii="Garamond" w:hAnsi="Garamond"/>
                <w:b/>
                <w:lang w:val="en-AU"/>
              </w:rPr>
              <w:t>errors</w:t>
            </w:r>
            <w:r w:rsidRPr="00AD6236">
              <w:rPr>
                <w:rFonts w:ascii="Garamond" w:hAnsi="Garamond"/>
                <w:lang w:val="en-AU"/>
              </w:rPr>
              <w:t xml:space="preserve"> occur at some point in the medication process</w:t>
            </w:r>
            <w:r w:rsidR="00AD6236">
              <w:rPr>
                <w:rFonts w:ascii="Garamond" w:hAnsi="Garamond"/>
                <w:lang w:val="en-AU"/>
              </w:rPr>
              <w:t xml:space="preserve"> </w:t>
            </w:r>
            <w:r w:rsidRPr="00186D8B">
              <w:rPr>
                <w:rFonts w:ascii="Garamond" w:hAnsi="Garamond"/>
                <w:b/>
                <w:lang w:val="en-AU"/>
              </w:rPr>
              <w:t>in England annually</w:t>
            </w:r>
          </w:p>
          <w:p w:rsidR="006234B3" w:rsidRPr="00AD6236" w:rsidRDefault="00AD6236" w:rsidP="00AD6236">
            <w:pPr>
              <w:pStyle w:val="ListParagraph"/>
              <w:keepNext/>
              <w:keepLines/>
              <w:numPr>
                <w:ilvl w:val="0"/>
                <w:numId w:val="34"/>
              </w:numPr>
              <w:autoSpaceDE w:val="0"/>
              <w:autoSpaceDN w:val="0"/>
              <w:adjustRightInd w:val="0"/>
              <w:rPr>
                <w:rFonts w:ascii="Garamond" w:hAnsi="Garamond"/>
                <w:lang w:val="en-AU"/>
              </w:rPr>
            </w:pPr>
            <w:r w:rsidRPr="00AD6236">
              <w:rPr>
                <w:rFonts w:ascii="Garamond" w:hAnsi="Garamond"/>
                <w:b/>
                <w:lang w:val="en-AU"/>
              </w:rPr>
              <w:t>38.4%</w:t>
            </w:r>
            <w:r w:rsidRPr="00AD6236">
              <w:rPr>
                <w:rFonts w:ascii="Garamond" w:hAnsi="Garamond"/>
                <w:lang w:val="en-AU"/>
              </w:rPr>
              <w:t xml:space="preserve"> occurring in </w:t>
            </w:r>
            <w:r w:rsidRPr="00AD6236">
              <w:rPr>
                <w:rFonts w:ascii="Garamond" w:hAnsi="Garamond"/>
                <w:b/>
                <w:lang w:val="en-AU"/>
              </w:rPr>
              <w:t>primary care</w:t>
            </w:r>
          </w:p>
          <w:p w:rsidR="00AD6236" w:rsidRPr="00AD6236" w:rsidRDefault="006234B3" w:rsidP="00AD6236">
            <w:pPr>
              <w:pStyle w:val="ListParagraph"/>
              <w:keepNext/>
              <w:keepLines/>
              <w:numPr>
                <w:ilvl w:val="0"/>
                <w:numId w:val="34"/>
              </w:numPr>
              <w:autoSpaceDE w:val="0"/>
              <w:autoSpaceDN w:val="0"/>
              <w:adjustRightInd w:val="0"/>
              <w:rPr>
                <w:rFonts w:ascii="Garamond" w:hAnsi="Garamond"/>
                <w:lang w:val="en-AU"/>
              </w:rPr>
            </w:pPr>
            <w:r w:rsidRPr="00AD6236">
              <w:rPr>
                <w:rFonts w:ascii="Garamond" w:hAnsi="Garamond"/>
                <w:b/>
                <w:lang w:val="en-AU"/>
              </w:rPr>
              <w:t>72%</w:t>
            </w:r>
            <w:r w:rsidRPr="00AD6236">
              <w:rPr>
                <w:rFonts w:ascii="Garamond" w:hAnsi="Garamond"/>
                <w:lang w:val="en-AU"/>
              </w:rPr>
              <w:t xml:space="preserve"> have </w:t>
            </w:r>
            <w:r w:rsidRPr="00AD6236">
              <w:rPr>
                <w:rFonts w:ascii="Garamond" w:hAnsi="Garamond"/>
                <w:b/>
                <w:lang w:val="en-AU"/>
              </w:rPr>
              <w:t>little</w:t>
            </w:r>
            <w:r w:rsidR="00AD6236" w:rsidRPr="00AD6236">
              <w:rPr>
                <w:rFonts w:ascii="Garamond" w:hAnsi="Garamond"/>
                <w:b/>
                <w:lang w:val="en-AU"/>
              </w:rPr>
              <w:t xml:space="preserve"> or n</w:t>
            </w:r>
            <w:r w:rsidRPr="00AD6236">
              <w:rPr>
                <w:rFonts w:ascii="Garamond" w:hAnsi="Garamond"/>
                <w:b/>
                <w:lang w:val="en-AU"/>
              </w:rPr>
              <w:t>o potential for harm</w:t>
            </w:r>
          </w:p>
          <w:p w:rsidR="00AD6236" w:rsidRPr="00AD6236" w:rsidRDefault="006234B3" w:rsidP="00DB6D73">
            <w:pPr>
              <w:pStyle w:val="ListParagraph"/>
              <w:keepNext/>
              <w:keepLines/>
              <w:numPr>
                <w:ilvl w:val="0"/>
                <w:numId w:val="34"/>
              </w:numPr>
              <w:autoSpaceDE w:val="0"/>
              <w:autoSpaceDN w:val="0"/>
              <w:adjustRightInd w:val="0"/>
              <w:rPr>
                <w:rFonts w:ascii="Garamond" w:hAnsi="Garamond"/>
                <w:lang w:val="en-AU"/>
              </w:rPr>
            </w:pPr>
            <w:r w:rsidRPr="00AD6236">
              <w:rPr>
                <w:rFonts w:ascii="Garamond" w:hAnsi="Garamond"/>
                <w:b/>
                <w:lang w:val="en-AU"/>
              </w:rPr>
              <w:t>66 million</w:t>
            </w:r>
            <w:r w:rsidRPr="00AD6236">
              <w:rPr>
                <w:rFonts w:ascii="Garamond" w:hAnsi="Garamond"/>
                <w:lang w:val="en-AU"/>
              </w:rPr>
              <w:t xml:space="preserve"> are</w:t>
            </w:r>
            <w:r w:rsidR="00AD6236" w:rsidRPr="00AD6236">
              <w:rPr>
                <w:rFonts w:ascii="Garamond" w:hAnsi="Garamond"/>
                <w:lang w:val="en-AU"/>
              </w:rPr>
              <w:t xml:space="preserve"> </w:t>
            </w:r>
            <w:r w:rsidRPr="00AD6236">
              <w:rPr>
                <w:rFonts w:ascii="Garamond" w:hAnsi="Garamond"/>
                <w:b/>
                <w:lang w:val="en-AU"/>
              </w:rPr>
              <w:t>potentially clinically significant</w:t>
            </w:r>
            <w:r w:rsidR="00AD6236" w:rsidRPr="00AD6236">
              <w:rPr>
                <w:rFonts w:ascii="Garamond" w:hAnsi="Garamond"/>
                <w:lang w:val="en-AU"/>
              </w:rPr>
              <w:t xml:space="preserve"> and p</w:t>
            </w:r>
            <w:r w:rsidRPr="00AD6236">
              <w:rPr>
                <w:rFonts w:ascii="Garamond" w:hAnsi="Garamond"/>
                <w:lang w:val="en-AU"/>
              </w:rPr>
              <w:t>rescribing in primary</w:t>
            </w:r>
            <w:r w:rsidR="00AD6236">
              <w:rPr>
                <w:rFonts w:ascii="Garamond" w:hAnsi="Garamond"/>
                <w:lang w:val="en-AU"/>
              </w:rPr>
              <w:t xml:space="preserve"> </w:t>
            </w:r>
            <w:r w:rsidRPr="00AD6236">
              <w:rPr>
                <w:rFonts w:ascii="Garamond" w:hAnsi="Garamond"/>
                <w:lang w:val="en-AU"/>
              </w:rPr>
              <w:t>care accounts for 34% of all potentially clinically</w:t>
            </w:r>
            <w:r w:rsidR="00AD6236" w:rsidRPr="00AD6236">
              <w:rPr>
                <w:rFonts w:ascii="Garamond" w:hAnsi="Garamond"/>
                <w:lang w:val="en-AU"/>
              </w:rPr>
              <w:t xml:space="preserve"> </w:t>
            </w:r>
            <w:r w:rsidRPr="00AD6236">
              <w:rPr>
                <w:rFonts w:ascii="Garamond" w:hAnsi="Garamond"/>
                <w:lang w:val="en-AU"/>
              </w:rPr>
              <w:t>significant errors</w:t>
            </w:r>
          </w:p>
          <w:p w:rsidR="006234B3" w:rsidRPr="00752E83" w:rsidRDefault="006234B3" w:rsidP="00AD6236">
            <w:pPr>
              <w:pStyle w:val="ListParagraph"/>
              <w:keepNext/>
              <w:keepLines/>
              <w:numPr>
                <w:ilvl w:val="0"/>
                <w:numId w:val="34"/>
              </w:numPr>
              <w:autoSpaceDE w:val="0"/>
              <w:autoSpaceDN w:val="0"/>
              <w:adjustRightInd w:val="0"/>
              <w:rPr>
                <w:rFonts w:ascii="Garamond" w:hAnsi="Garamond"/>
                <w:lang w:val="en-AU"/>
              </w:rPr>
            </w:pPr>
            <w:r w:rsidRPr="00AD6236">
              <w:rPr>
                <w:rFonts w:ascii="Garamond" w:hAnsi="Garamond"/>
                <w:lang w:val="en-AU"/>
              </w:rPr>
              <w:t xml:space="preserve">Definitely </w:t>
            </w:r>
            <w:r w:rsidRPr="00AD6236">
              <w:rPr>
                <w:rFonts w:ascii="Garamond" w:hAnsi="Garamond"/>
                <w:b/>
                <w:lang w:val="en-AU"/>
              </w:rPr>
              <w:t>avoidable ADEs</w:t>
            </w:r>
            <w:r w:rsidRPr="00AD6236">
              <w:rPr>
                <w:rFonts w:ascii="Garamond" w:hAnsi="Garamond"/>
                <w:lang w:val="en-AU"/>
              </w:rPr>
              <w:t xml:space="preserve"> are estimated</w:t>
            </w:r>
            <w:r w:rsidR="00AD6236" w:rsidRPr="00AD6236">
              <w:rPr>
                <w:rFonts w:ascii="Garamond" w:hAnsi="Garamond"/>
                <w:lang w:val="en-AU"/>
              </w:rPr>
              <w:t xml:space="preserve"> </w:t>
            </w:r>
            <w:r w:rsidRPr="00AD6236">
              <w:rPr>
                <w:rFonts w:ascii="Garamond" w:hAnsi="Garamond"/>
                <w:lang w:val="en-AU"/>
              </w:rPr>
              <w:t xml:space="preserve">to cost the NHS </w:t>
            </w:r>
            <w:r w:rsidRPr="00AD6236">
              <w:rPr>
                <w:rFonts w:ascii="Garamond" w:hAnsi="Garamond"/>
                <w:b/>
                <w:lang w:val="en-AU"/>
              </w:rPr>
              <w:t>£98 462 582 per year</w:t>
            </w:r>
            <w:r w:rsidRPr="00AD6236">
              <w:rPr>
                <w:rFonts w:ascii="Garamond" w:hAnsi="Garamond"/>
                <w:lang w:val="en-AU"/>
              </w:rPr>
              <w:t>, consuming</w:t>
            </w:r>
            <w:r w:rsidR="00AD6236" w:rsidRPr="00AD6236">
              <w:rPr>
                <w:rFonts w:ascii="Garamond" w:hAnsi="Garamond"/>
                <w:lang w:val="en-AU"/>
              </w:rPr>
              <w:t xml:space="preserve"> </w:t>
            </w:r>
            <w:r w:rsidRPr="00AD6236">
              <w:rPr>
                <w:rFonts w:ascii="Garamond" w:hAnsi="Garamond"/>
                <w:b/>
                <w:lang w:val="en-AU"/>
              </w:rPr>
              <w:t>181 626 bed-days</w:t>
            </w:r>
            <w:r w:rsidRPr="00AD6236">
              <w:rPr>
                <w:rFonts w:ascii="Garamond" w:hAnsi="Garamond"/>
                <w:lang w:val="en-AU"/>
              </w:rPr>
              <w:t>,</w:t>
            </w:r>
            <w:r w:rsidR="00AD6236" w:rsidRPr="00AD6236">
              <w:rPr>
                <w:rFonts w:ascii="Garamond" w:hAnsi="Garamond"/>
                <w:lang w:val="en-AU"/>
              </w:rPr>
              <w:t xml:space="preserve"> </w:t>
            </w:r>
            <w:r w:rsidRPr="00AD6236">
              <w:rPr>
                <w:rFonts w:ascii="Garamond" w:hAnsi="Garamond"/>
                <w:lang w:val="en-AU"/>
              </w:rPr>
              <w:t xml:space="preserve">and causing/contributing to </w:t>
            </w:r>
            <w:r w:rsidRPr="00AD6236">
              <w:rPr>
                <w:rFonts w:ascii="Garamond" w:hAnsi="Garamond"/>
                <w:b/>
                <w:lang w:val="en-AU"/>
              </w:rPr>
              <w:t>1708</w:t>
            </w:r>
            <w:r w:rsidR="00AD6236" w:rsidRPr="00AD6236">
              <w:rPr>
                <w:rFonts w:ascii="Garamond" w:hAnsi="Garamond"/>
                <w:b/>
                <w:lang w:val="en-AU"/>
              </w:rPr>
              <w:t xml:space="preserve"> </w:t>
            </w:r>
            <w:r w:rsidRPr="00AD6236">
              <w:rPr>
                <w:rFonts w:ascii="Garamond" w:hAnsi="Garamond"/>
                <w:b/>
                <w:lang w:val="en-AU"/>
              </w:rPr>
              <w:t>deaths</w:t>
            </w:r>
            <w:r w:rsidR="00AD6236">
              <w:rPr>
                <w:rFonts w:ascii="Garamond" w:hAnsi="Garamond"/>
                <w:lang w:val="en-AU"/>
              </w:rPr>
              <w:t>.</w:t>
            </w:r>
          </w:p>
        </w:tc>
      </w:tr>
    </w:tbl>
    <w:p w:rsidR="00A86F60" w:rsidRDefault="00A86F60" w:rsidP="00A86F60">
      <w:pPr>
        <w:keepNext/>
        <w:keepLines/>
        <w:autoSpaceDE w:val="0"/>
        <w:autoSpaceDN w:val="0"/>
        <w:adjustRightInd w:val="0"/>
        <w:rPr>
          <w:rFonts w:ascii="Garamond" w:hAnsi="Garamond"/>
          <w:lang w:val="en-AU"/>
        </w:rPr>
      </w:pPr>
    </w:p>
    <w:p w:rsidR="00163CA2" w:rsidRDefault="00AD6236" w:rsidP="00163CA2">
      <w:pPr>
        <w:rPr>
          <w:rFonts w:ascii="Garamond" w:hAnsi="Garamond"/>
          <w:lang w:val="en-AU"/>
        </w:rPr>
      </w:pPr>
      <w:r w:rsidRPr="00453434">
        <w:rPr>
          <w:rFonts w:ascii="Garamond" w:hAnsi="Garamond"/>
          <w:lang w:val="en-AU"/>
        </w:rPr>
        <w:t xml:space="preserve">For information on the Commission’s work on </w:t>
      </w:r>
      <w:r>
        <w:rPr>
          <w:rFonts w:ascii="Garamond" w:hAnsi="Garamond"/>
          <w:lang w:val="en-AU"/>
        </w:rPr>
        <w:t>medication safety</w:t>
      </w:r>
      <w:r w:rsidRPr="00453434">
        <w:rPr>
          <w:rFonts w:ascii="Garamond" w:hAnsi="Garamond"/>
          <w:lang w:val="en-AU"/>
        </w:rPr>
        <w:t>, see</w:t>
      </w:r>
      <w:r>
        <w:rPr>
          <w:rFonts w:ascii="Garamond" w:hAnsi="Garamond"/>
          <w:lang w:val="en-AU"/>
        </w:rPr>
        <w:t xml:space="preserve"> </w:t>
      </w:r>
      <w:hyperlink r:id="rId35" w:history="1">
        <w:r w:rsidRPr="00B10A1D">
          <w:rPr>
            <w:rStyle w:val="Hyperlink"/>
            <w:rFonts w:ascii="Garamond" w:hAnsi="Garamond"/>
            <w:lang w:val="en-AU"/>
          </w:rPr>
          <w:t>https://www.safetyandquality.gov.au/our-work/medication-safety</w:t>
        </w:r>
      </w:hyperlink>
      <w:r>
        <w:rPr>
          <w:rFonts w:ascii="Garamond" w:hAnsi="Garamond"/>
          <w:lang w:val="en-AU"/>
        </w:rPr>
        <w:t xml:space="preserve"> </w:t>
      </w:r>
    </w:p>
    <w:p w:rsidR="00163CA2" w:rsidRDefault="00163CA2" w:rsidP="00163CA2">
      <w:pPr>
        <w:keepNext/>
        <w:keepLines/>
        <w:autoSpaceDE w:val="0"/>
        <w:autoSpaceDN w:val="0"/>
        <w:adjustRightInd w:val="0"/>
        <w:rPr>
          <w:rFonts w:ascii="Garamond" w:hAnsi="Garamond"/>
          <w:lang w:val="en-AU"/>
        </w:rPr>
      </w:pPr>
    </w:p>
    <w:p w:rsidR="003F1F5B" w:rsidRDefault="003F1F5B">
      <w:pPr>
        <w:rPr>
          <w:rFonts w:ascii="Garamond" w:hAnsi="Garamond"/>
          <w:i/>
          <w:lang w:val="en-AU"/>
        </w:rPr>
      </w:pPr>
      <w:r>
        <w:rPr>
          <w:rFonts w:ascii="Garamond" w:hAnsi="Garamond"/>
          <w:i/>
          <w:lang w:val="en-AU"/>
        </w:rPr>
        <w:br w:type="page"/>
      </w:r>
    </w:p>
    <w:p w:rsidR="0070587E" w:rsidRDefault="005048D0" w:rsidP="0070587E">
      <w:pPr>
        <w:keepNext/>
        <w:rPr>
          <w:rFonts w:ascii="Garamond" w:hAnsi="Garamond"/>
          <w:i/>
          <w:lang w:val="en-AU"/>
        </w:rPr>
      </w:pPr>
      <w:r>
        <w:rPr>
          <w:rFonts w:ascii="Garamond" w:hAnsi="Garamond"/>
          <w:i/>
          <w:lang w:val="en-AU"/>
        </w:rPr>
        <w:lastRenderedPageBreak/>
        <w:t>American Journal of Medical Quality</w:t>
      </w:r>
    </w:p>
    <w:p w:rsidR="0070587E" w:rsidRPr="00612D3D" w:rsidRDefault="0070587E" w:rsidP="0070587E">
      <w:pPr>
        <w:keepNext/>
        <w:rPr>
          <w:rFonts w:ascii="Garamond" w:hAnsi="Garamond"/>
          <w:lang w:val="en-AU"/>
        </w:rPr>
      </w:pPr>
      <w:r>
        <w:rPr>
          <w:rFonts w:ascii="Garamond" w:hAnsi="Garamond"/>
          <w:lang w:val="en-AU"/>
        </w:rPr>
        <w:t xml:space="preserve">Volume </w:t>
      </w:r>
      <w:r w:rsidR="005048D0">
        <w:rPr>
          <w:rFonts w:ascii="Garamond" w:hAnsi="Garamond"/>
          <w:lang w:val="en-AU"/>
        </w:rPr>
        <w:t>35</w:t>
      </w:r>
      <w:r>
        <w:rPr>
          <w:rFonts w:ascii="Garamond" w:hAnsi="Garamond"/>
          <w:lang w:val="en-AU"/>
        </w:rPr>
        <w:t xml:space="preserve"> Number 3 </w:t>
      </w:r>
      <w:r w:rsidR="005048D0">
        <w:rPr>
          <w:rFonts w:ascii="Garamond" w:hAnsi="Garamond"/>
          <w:lang w:val="en-AU"/>
        </w:rPr>
        <w:t xml:space="preserve">May/June </w:t>
      </w:r>
      <w:r>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70587E" w:rsidRPr="000170DA" w:rsidTr="00F277AF">
        <w:tc>
          <w:tcPr>
            <w:tcW w:w="1080" w:type="dxa"/>
            <w:tcBorders>
              <w:top w:val="single" w:sz="4" w:space="0" w:color="auto"/>
              <w:left w:val="single" w:sz="4" w:space="0" w:color="auto"/>
              <w:bottom w:val="single" w:sz="4" w:space="0" w:color="auto"/>
              <w:right w:val="single" w:sz="4" w:space="0" w:color="auto"/>
            </w:tcBorders>
            <w:vAlign w:val="center"/>
          </w:tcPr>
          <w:p w:rsidR="0070587E" w:rsidRPr="000170DA" w:rsidRDefault="0070587E" w:rsidP="00F277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0587E" w:rsidRPr="006706B4" w:rsidRDefault="00186D8B" w:rsidP="00F277AF">
            <w:pPr>
              <w:keepNext/>
              <w:rPr>
                <w:rStyle w:val="Hyperlink"/>
                <w:rFonts w:ascii="Garamond" w:hAnsi="Garamond"/>
                <w:color w:val="auto"/>
                <w:u w:val="none"/>
                <w:lang w:val="en-AU"/>
              </w:rPr>
            </w:pPr>
            <w:hyperlink r:id="rId36" w:history="1">
              <w:r w:rsidR="005048D0" w:rsidRPr="002A6708">
                <w:rPr>
                  <w:rStyle w:val="Hyperlink"/>
                  <w:rFonts w:ascii="Garamond" w:hAnsi="Garamond"/>
                  <w:lang w:val="en-AU"/>
                </w:rPr>
                <w:t>https://journals.sagepub.com/toc/ajmb/35/3</w:t>
              </w:r>
            </w:hyperlink>
          </w:p>
        </w:tc>
      </w:tr>
      <w:tr w:rsidR="0070587E" w:rsidRPr="000170DA" w:rsidTr="00F277AF">
        <w:tc>
          <w:tcPr>
            <w:tcW w:w="1080" w:type="dxa"/>
            <w:tcBorders>
              <w:top w:val="single" w:sz="4" w:space="0" w:color="auto"/>
              <w:left w:val="single" w:sz="4" w:space="0" w:color="auto"/>
              <w:bottom w:val="single" w:sz="4" w:space="0" w:color="auto"/>
              <w:right w:val="single" w:sz="4" w:space="0" w:color="auto"/>
            </w:tcBorders>
            <w:vAlign w:val="center"/>
          </w:tcPr>
          <w:p w:rsidR="0070587E" w:rsidRPr="000170DA" w:rsidRDefault="0070587E" w:rsidP="00F277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587E" w:rsidRPr="007C3778" w:rsidRDefault="0070587E" w:rsidP="00F277A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5048D0">
              <w:rPr>
                <w:rFonts w:ascii="Garamond" w:hAnsi="Garamond"/>
                <w:i/>
                <w:lang w:val="en-AU"/>
              </w:rPr>
              <w:t xml:space="preserve">American Journal of Medical Quality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5048D0">
              <w:rPr>
                <w:rFonts w:ascii="Garamond" w:hAnsi="Garamond"/>
                <w:i/>
                <w:lang w:val="en-AU"/>
              </w:rPr>
              <w:t>American Journal of Medical Quality</w:t>
            </w:r>
            <w:r w:rsidR="005048D0" w:rsidRPr="00B440ED">
              <w:rPr>
                <w:rFonts w:ascii="Garamond" w:hAnsi="Garamond"/>
                <w:lang w:val="en-AU"/>
              </w:rPr>
              <w:t xml:space="preserve"> </w:t>
            </w:r>
            <w:r w:rsidRPr="00B440ED">
              <w:rPr>
                <w:rFonts w:ascii="Garamond" w:hAnsi="Garamond"/>
                <w:lang w:val="en-AU"/>
              </w:rPr>
              <w:t>include:</w:t>
            </w:r>
          </w:p>
          <w:p w:rsidR="005048D0" w:rsidRPr="005D3761" w:rsidRDefault="005048D0" w:rsidP="005C7756">
            <w:pPr>
              <w:pStyle w:val="ListParagraph"/>
              <w:numPr>
                <w:ilvl w:val="0"/>
                <w:numId w:val="15"/>
              </w:numPr>
              <w:rPr>
                <w:rFonts w:ascii="Garamond" w:hAnsi="Garamond"/>
                <w:lang w:val="en-AU"/>
              </w:rPr>
            </w:pPr>
            <w:r w:rsidRPr="005D3761">
              <w:rPr>
                <w:rFonts w:ascii="Garamond" w:hAnsi="Garamond"/>
                <w:lang w:val="en-AU"/>
              </w:rPr>
              <w:t>Prioritizing Health Care Solutions for P</w:t>
            </w:r>
            <w:r w:rsidRPr="005D3761">
              <w:rPr>
                <w:rFonts w:ascii="Garamond" w:hAnsi="Garamond"/>
                <w:b/>
                <w:lang w:val="en-AU"/>
              </w:rPr>
              <w:t>ressure Ulcers</w:t>
            </w:r>
            <w:r w:rsidRPr="005D3761">
              <w:rPr>
                <w:rFonts w:ascii="Garamond" w:hAnsi="Garamond"/>
                <w:lang w:val="en-AU"/>
              </w:rPr>
              <w:t xml:space="preserve"> Using the Quality Function Deployment Process </w:t>
            </w:r>
            <w:r w:rsidR="005D3761" w:rsidRPr="005D3761">
              <w:rPr>
                <w:rFonts w:ascii="Garamond" w:hAnsi="Garamond"/>
                <w:lang w:val="en-AU"/>
              </w:rPr>
              <w:t>(</w:t>
            </w:r>
            <w:r w:rsidRPr="005D3761">
              <w:rPr>
                <w:rFonts w:ascii="Garamond" w:hAnsi="Garamond"/>
                <w:lang w:val="en-AU"/>
              </w:rPr>
              <w:t>Simon C Mathews, Robert A Stoll, Wayne I Sternberger, Patrick W Cox, Tammy L Tober, Jennifer Di Mattina, Cindy Dwyer, Noah Barasch, Howard Carolan, Mark Romig, Peter J Pronovost, John F Barnes, Alan D</w:t>
            </w:r>
            <w:r w:rsidR="005D3761">
              <w:rPr>
                <w:rFonts w:ascii="Garamond" w:hAnsi="Garamond"/>
                <w:lang w:val="en-AU"/>
              </w:rPr>
              <w:t xml:space="preserve"> Ravitz, and Adam Sapirstein)</w:t>
            </w:r>
          </w:p>
          <w:p w:rsidR="005D3761" w:rsidRDefault="005048D0" w:rsidP="00A90BB9">
            <w:pPr>
              <w:pStyle w:val="ListParagraph"/>
              <w:numPr>
                <w:ilvl w:val="0"/>
                <w:numId w:val="15"/>
              </w:numPr>
              <w:rPr>
                <w:rFonts w:ascii="Garamond" w:hAnsi="Garamond"/>
                <w:lang w:val="en-AU"/>
              </w:rPr>
            </w:pPr>
            <w:r w:rsidRPr="005D3761">
              <w:rPr>
                <w:rFonts w:ascii="Garamond" w:hAnsi="Garamond"/>
                <w:lang w:val="en-AU"/>
              </w:rPr>
              <w:t xml:space="preserve">Problematic </w:t>
            </w:r>
            <w:r w:rsidRPr="005D3761">
              <w:rPr>
                <w:rFonts w:ascii="Garamond" w:hAnsi="Garamond"/>
                <w:b/>
                <w:lang w:val="en-AU"/>
              </w:rPr>
              <w:t>Risk Adjustment</w:t>
            </w:r>
            <w:r w:rsidRPr="005D3761">
              <w:rPr>
                <w:rFonts w:ascii="Garamond" w:hAnsi="Garamond"/>
                <w:lang w:val="en-AU"/>
              </w:rPr>
              <w:t xml:space="preserve"> in National Healthcare Safety Network Measures </w:t>
            </w:r>
            <w:r w:rsidR="005D3761" w:rsidRPr="005D3761">
              <w:rPr>
                <w:rFonts w:ascii="Garamond" w:hAnsi="Garamond"/>
                <w:lang w:val="en-AU"/>
              </w:rPr>
              <w:t>(</w:t>
            </w:r>
            <w:r w:rsidRPr="005D3761">
              <w:rPr>
                <w:rFonts w:ascii="Garamond" w:hAnsi="Garamond"/>
                <w:lang w:val="en-AU"/>
              </w:rPr>
              <w:t>Richard L Fuller, John S Hughes, G Atkinson, and B S Aubry</w:t>
            </w:r>
            <w:r w:rsidR="005D3761">
              <w:rPr>
                <w:rFonts w:ascii="Garamond" w:hAnsi="Garamond"/>
                <w:lang w:val="en-AU"/>
              </w:rPr>
              <w:t>)</w:t>
            </w:r>
          </w:p>
          <w:p w:rsidR="005D3761" w:rsidRDefault="005048D0" w:rsidP="00D12C58">
            <w:pPr>
              <w:pStyle w:val="ListParagraph"/>
              <w:numPr>
                <w:ilvl w:val="0"/>
                <w:numId w:val="15"/>
              </w:numPr>
              <w:rPr>
                <w:rFonts w:ascii="Garamond" w:hAnsi="Garamond"/>
                <w:lang w:val="en-AU"/>
              </w:rPr>
            </w:pPr>
            <w:r w:rsidRPr="005D3761">
              <w:rPr>
                <w:rFonts w:ascii="Garamond" w:hAnsi="Garamond"/>
                <w:lang w:val="en-AU"/>
              </w:rPr>
              <w:t xml:space="preserve">A Quality Strategy to Advance the </w:t>
            </w:r>
            <w:r w:rsidRPr="005D3761">
              <w:rPr>
                <w:rFonts w:ascii="Garamond" w:hAnsi="Garamond"/>
                <w:b/>
                <w:lang w:val="en-AU"/>
              </w:rPr>
              <w:t>Triple Aim</w:t>
            </w:r>
            <w:r w:rsidRPr="005D3761">
              <w:rPr>
                <w:rFonts w:ascii="Garamond" w:hAnsi="Garamond"/>
                <w:lang w:val="en-AU"/>
              </w:rPr>
              <w:t xml:space="preserve"> in California’s Medicaid Program </w:t>
            </w:r>
            <w:r w:rsidR="005D3761" w:rsidRPr="005D3761">
              <w:rPr>
                <w:rFonts w:ascii="Garamond" w:hAnsi="Garamond"/>
                <w:lang w:val="en-AU"/>
              </w:rPr>
              <w:t>(</w:t>
            </w:r>
            <w:r w:rsidRPr="005D3761">
              <w:rPr>
                <w:rFonts w:ascii="Garamond" w:hAnsi="Garamond"/>
                <w:lang w:val="en-AU"/>
              </w:rPr>
              <w:t>Desiree R Backman, Neal D Kohatsu, Orion T Stewart, Rachel L Barrington, and Kenneth W Kizer</w:t>
            </w:r>
            <w:r w:rsidR="005D3761">
              <w:rPr>
                <w:rFonts w:ascii="Garamond" w:hAnsi="Garamond"/>
                <w:lang w:val="en-AU"/>
              </w:rPr>
              <w:t>)</w:t>
            </w:r>
          </w:p>
          <w:p w:rsidR="005D3761" w:rsidRDefault="005048D0" w:rsidP="002445FB">
            <w:pPr>
              <w:pStyle w:val="ListParagraph"/>
              <w:numPr>
                <w:ilvl w:val="0"/>
                <w:numId w:val="15"/>
              </w:numPr>
              <w:rPr>
                <w:rFonts w:ascii="Garamond" w:hAnsi="Garamond"/>
                <w:lang w:val="en-AU"/>
              </w:rPr>
            </w:pPr>
            <w:r w:rsidRPr="005D3761">
              <w:rPr>
                <w:rFonts w:ascii="Garamond" w:hAnsi="Garamond"/>
                <w:lang w:val="en-AU"/>
              </w:rPr>
              <w:t xml:space="preserve">Disagreement Between </w:t>
            </w:r>
            <w:r w:rsidRPr="005D3761">
              <w:rPr>
                <w:rFonts w:ascii="Garamond" w:hAnsi="Garamond"/>
                <w:b/>
                <w:lang w:val="en-AU"/>
              </w:rPr>
              <w:t>Hospital Rating Systems</w:t>
            </w:r>
            <w:r w:rsidRPr="005D3761">
              <w:rPr>
                <w:rFonts w:ascii="Garamond" w:hAnsi="Garamond"/>
                <w:lang w:val="en-AU"/>
              </w:rPr>
              <w:t xml:space="preserve">: Measuring the Correlation of Multiple Benchmarks and Developing a Quality Composite Rank </w:t>
            </w:r>
            <w:r w:rsidR="005D3761" w:rsidRPr="005D3761">
              <w:rPr>
                <w:rFonts w:ascii="Garamond" w:hAnsi="Garamond"/>
                <w:lang w:val="en-AU"/>
              </w:rPr>
              <w:t>(</w:t>
            </w:r>
            <w:r w:rsidRPr="005D3761">
              <w:rPr>
                <w:rFonts w:ascii="Garamond" w:hAnsi="Garamond"/>
                <w:lang w:val="en-AU"/>
              </w:rPr>
              <w:t>Bala Hota, Thomas Webb, Avanthi Chatrathi, Elizabeth McAninch, and O Lateef</w:t>
            </w:r>
            <w:r w:rsidR="005D3761">
              <w:rPr>
                <w:rFonts w:ascii="Garamond" w:hAnsi="Garamond"/>
                <w:lang w:val="en-AU"/>
              </w:rPr>
              <w:t>)</w:t>
            </w:r>
          </w:p>
          <w:p w:rsidR="005D3761" w:rsidRDefault="005048D0" w:rsidP="00905F4D">
            <w:pPr>
              <w:pStyle w:val="ListParagraph"/>
              <w:numPr>
                <w:ilvl w:val="0"/>
                <w:numId w:val="15"/>
              </w:numPr>
              <w:rPr>
                <w:rFonts w:ascii="Garamond" w:hAnsi="Garamond"/>
                <w:lang w:val="en-AU"/>
              </w:rPr>
            </w:pPr>
            <w:r w:rsidRPr="005D3761">
              <w:rPr>
                <w:rFonts w:ascii="Garamond" w:hAnsi="Garamond"/>
                <w:lang w:val="en-AU"/>
              </w:rPr>
              <w:t xml:space="preserve">A Multidisciplinary Intervention to Improve Care for </w:t>
            </w:r>
            <w:r w:rsidRPr="005D3761">
              <w:rPr>
                <w:rFonts w:ascii="Garamond" w:hAnsi="Garamond"/>
                <w:b/>
                <w:lang w:val="en-AU"/>
              </w:rPr>
              <w:t>High-Risk COPD Patients</w:t>
            </w:r>
            <w:r w:rsidRPr="005D3761">
              <w:rPr>
                <w:rFonts w:ascii="Garamond" w:hAnsi="Garamond"/>
                <w:lang w:val="en-AU"/>
              </w:rPr>
              <w:t xml:space="preserve"> </w:t>
            </w:r>
            <w:r w:rsidR="005D3761">
              <w:rPr>
                <w:rFonts w:ascii="Garamond" w:hAnsi="Garamond"/>
                <w:lang w:val="en-AU"/>
              </w:rPr>
              <w:t>(</w:t>
            </w:r>
            <w:r w:rsidRPr="005D3761">
              <w:rPr>
                <w:rFonts w:ascii="Garamond" w:hAnsi="Garamond"/>
                <w:lang w:val="en-AU"/>
              </w:rPr>
              <w:t>Elizabeth Gay, Sonali Desai, and Debra McNeil</w:t>
            </w:r>
            <w:r w:rsidR="005D3761">
              <w:rPr>
                <w:rFonts w:ascii="Garamond" w:hAnsi="Garamond"/>
                <w:lang w:val="en-AU"/>
              </w:rPr>
              <w:t>)</w:t>
            </w:r>
          </w:p>
          <w:p w:rsidR="005D3761" w:rsidRDefault="005048D0" w:rsidP="009A0A8D">
            <w:pPr>
              <w:pStyle w:val="ListParagraph"/>
              <w:numPr>
                <w:ilvl w:val="0"/>
                <w:numId w:val="15"/>
              </w:numPr>
              <w:rPr>
                <w:rFonts w:ascii="Garamond" w:hAnsi="Garamond"/>
                <w:lang w:val="en-AU"/>
              </w:rPr>
            </w:pPr>
            <w:r w:rsidRPr="005D3761">
              <w:rPr>
                <w:rFonts w:ascii="Garamond" w:hAnsi="Garamond"/>
                <w:lang w:val="en-AU"/>
              </w:rPr>
              <w:t xml:space="preserve">Clinical Transformation in Care for Patients With </w:t>
            </w:r>
            <w:r w:rsidRPr="005D3761">
              <w:rPr>
                <w:rFonts w:ascii="Garamond" w:hAnsi="Garamond"/>
                <w:b/>
                <w:lang w:val="en-AU"/>
              </w:rPr>
              <w:t>Sickle Cell Disease</w:t>
            </w:r>
            <w:r w:rsidRPr="005D3761">
              <w:rPr>
                <w:rFonts w:ascii="Garamond" w:hAnsi="Garamond"/>
                <w:lang w:val="en-AU"/>
              </w:rPr>
              <w:t xml:space="preserve"> at an Urban Academic Medical Center </w:t>
            </w:r>
            <w:r w:rsidR="005D3761" w:rsidRPr="005D3761">
              <w:rPr>
                <w:rFonts w:ascii="Garamond" w:hAnsi="Garamond"/>
                <w:lang w:val="en-AU"/>
              </w:rPr>
              <w:t>(</w:t>
            </w:r>
            <w:r w:rsidRPr="005D3761">
              <w:rPr>
                <w:rFonts w:ascii="Garamond" w:hAnsi="Garamond"/>
                <w:lang w:val="en-AU"/>
              </w:rPr>
              <w:t>Sanaa Rizk, David Axelrod, Gaye Riddick-Burden, Elisabeth Congdon-Martin, Steven McKenzie, Carol Haines, Lawrence Ward, John McAna, and Albert G Crawford</w:t>
            </w:r>
            <w:r w:rsidR="005D3761">
              <w:rPr>
                <w:rFonts w:ascii="Garamond" w:hAnsi="Garamond"/>
                <w:lang w:val="en-AU"/>
              </w:rPr>
              <w:t>)</w:t>
            </w:r>
          </w:p>
          <w:p w:rsidR="005D3761" w:rsidRDefault="005048D0" w:rsidP="0083553E">
            <w:pPr>
              <w:pStyle w:val="ListParagraph"/>
              <w:numPr>
                <w:ilvl w:val="0"/>
                <w:numId w:val="15"/>
              </w:numPr>
              <w:rPr>
                <w:rFonts w:ascii="Garamond" w:hAnsi="Garamond"/>
                <w:lang w:val="en-AU"/>
              </w:rPr>
            </w:pPr>
            <w:r w:rsidRPr="005D3761">
              <w:rPr>
                <w:rFonts w:ascii="Garamond" w:hAnsi="Garamond"/>
                <w:lang w:val="en-AU"/>
              </w:rPr>
              <w:t xml:space="preserve">A Longitudinal </w:t>
            </w:r>
            <w:r w:rsidRPr="005D3761">
              <w:rPr>
                <w:rFonts w:ascii="Garamond" w:hAnsi="Garamond"/>
                <w:b/>
                <w:lang w:val="en-AU"/>
              </w:rPr>
              <w:t>Ambulatory Quality Improvement Curriculum</w:t>
            </w:r>
            <w:r w:rsidRPr="005D3761">
              <w:rPr>
                <w:rFonts w:ascii="Garamond" w:hAnsi="Garamond"/>
                <w:lang w:val="en-AU"/>
              </w:rPr>
              <w:t xml:space="preserve"> That Aligns Resident Education With Patient Outcomes: A 3-Year Experience </w:t>
            </w:r>
            <w:r w:rsidR="005D3761" w:rsidRPr="005D3761">
              <w:rPr>
                <w:rFonts w:ascii="Garamond" w:hAnsi="Garamond"/>
                <w:lang w:val="en-AU"/>
              </w:rPr>
              <w:t>(</w:t>
            </w:r>
            <w:r w:rsidRPr="005D3761">
              <w:rPr>
                <w:rFonts w:ascii="Garamond" w:hAnsi="Garamond"/>
                <w:lang w:val="en-AU"/>
              </w:rPr>
              <w:t>Natasha Parekh, Elena Lebduska, Erika Hoffman, Amar Kohli, David Demoise, Kwonho Jeong, S Rothenberger, G S Fischer, C Spagnoletti, and J Hariharan</w:t>
            </w:r>
            <w:r w:rsidR="005D3761">
              <w:rPr>
                <w:rFonts w:ascii="Garamond" w:hAnsi="Garamond"/>
                <w:lang w:val="en-AU"/>
              </w:rPr>
              <w:t>)</w:t>
            </w:r>
          </w:p>
          <w:p w:rsidR="005D3761" w:rsidRDefault="005048D0" w:rsidP="00724C55">
            <w:pPr>
              <w:pStyle w:val="ListParagraph"/>
              <w:numPr>
                <w:ilvl w:val="0"/>
                <w:numId w:val="15"/>
              </w:numPr>
              <w:rPr>
                <w:rFonts w:ascii="Garamond" w:hAnsi="Garamond"/>
                <w:lang w:val="en-AU"/>
              </w:rPr>
            </w:pPr>
            <w:r w:rsidRPr="005D3761">
              <w:rPr>
                <w:rFonts w:ascii="Garamond" w:hAnsi="Garamond"/>
                <w:lang w:val="en-AU"/>
              </w:rPr>
              <w:t xml:space="preserve">Electronic Health Record–Assisted Reflex Urine Culture Testing Improves </w:t>
            </w:r>
            <w:r w:rsidRPr="005D3761">
              <w:rPr>
                <w:rFonts w:ascii="Garamond" w:hAnsi="Garamond"/>
                <w:b/>
                <w:lang w:val="en-AU"/>
              </w:rPr>
              <w:t>Emergency Department Diagnostic Efficiency</w:t>
            </w:r>
            <w:r w:rsidRPr="005D3761">
              <w:rPr>
                <w:rFonts w:ascii="Garamond" w:hAnsi="Garamond"/>
                <w:lang w:val="en-AU"/>
              </w:rPr>
              <w:t xml:space="preserve"> </w:t>
            </w:r>
            <w:r w:rsidR="005D3761" w:rsidRPr="005D3761">
              <w:rPr>
                <w:rFonts w:ascii="Garamond" w:hAnsi="Garamond"/>
                <w:lang w:val="en-AU"/>
              </w:rPr>
              <w:t>(</w:t>
            </w:r>
            <w:r w:rsidRPr="005D3761">
              <w:rPr>
                <w:rFonts w:ascii="Garamond" w:hAnsi="Garamond"/>
                <w:lang w:val="en-AU"/>
              </w:rPr>
              <w:t>Ryan F Coughlin, David Peaper, Craig Rothenberg, Marjorie Golden, Marie-Louise Landry, Jeffrey Cotton, Vivek Parwani, Marc Shapiro, Andrew Ulrich, and A K Venkatesh</w:t>
            </w:r>
            <w:r w:rsidR="005D3761">
              <w:rPr>
                <w:rFonts w:ascii="Garamond" w:hAnsi="Garamond"/>
                <w:lang w:val="en-AU"/>
              </w:rPr>
              <w:t>)</w:t>
            </w:r>
          </w:p>
          <w:p w:rsidR="005D3761" w:rsidRDefault="005048D0" w:rsidP="008D70F3">
            <w:pPr>
              <w:pStyle w:val="ListParagraph"/>
              <w:numPr>
                <w:ilvl w:val="0"/>
                <w:numId w:val="15"/>
              </w:numPr>
              <w:rPr>
                <w:rFonts w:ascii="Garamond" w:hAnsi="Garamond"/>
                <w:lang w:val="en-AU"/>
              </w:rPr>
            </w:pPr>
            <w:r w:rsidRPr="005D3761">
              <w:rPr>
                <w:rFonts w:ascii="Garamond" w:hAnsi="Garamond"/>
                <w:lang w:val="en-AU"/>
              </w:rPr>
              <w:t xml:space="preserve">The Use of Online Physician Training Can Improve </w:t>
            </w:r>
            <w:r w:rsidRPr="005D3761">
              <w:rPr>
                <w:rFonts w:ascii="Garamond" w:hAnsi="Garamond"/>
                <w:b/>
                <w:lang w:val="en-AU"/>
              </w:rPr>
              <w:t>Patient Experience and Physician Burnout</w:t>
            </w:r>
            <w:r w:rsidRPr="005D3761">
              <w:rPr>
                <w:rFonts w:ascii="Garamond" w:hAnsi="Garamond"/>
                <w:lang w:val="en-AU"/>
              </w:rPr>
              <w:t xml:space="preserve"> </w:t>
            </w:r>
            <w:r w:rsidR="005D3761" w:rsidRPr="005D3761">
              <w:rPr>
                <w:rFonts w:ascii="Garamond" w:hAnsi="Garamond"/>
                <w:lang w:val="en-AU"/>
              </w:rPr>
              <w:t>(</w:t>
            </w:r>
            <w:r w:rsidRPr="005D3761">
              <w:rPr>
                <w:rFonts w:ascii="Garamond" w:hAnsi="Garamond"/>
                <w:lang w:val="en-AU"/>
              </w:rPr>
              <w:t>Susan Congiusta, Eric M Ascher, S Ahn, and I S Nash</w:t>
            </w:r>
            <w:r w:rsidR="005D3761">
              <w:rPr>
                <w:rFonts w:ascii="Garamond" w:hAnsi="Garamond"/>
                <w:lang w:val="en-AU"/>
              </w:rPr>
              <w:t>)</w:t>
            </w:r>
          </w:p>
          <w:p w:rsidR="005D3761" w:rsidRDefault="005048D0" w:rsidP="0029795D">
            <w:pPr>
              <w:pStyle w:val="ListParagraph"/>
              <w:numPr>
                <w:ilvl w:val="0"/>
                <w:numId w:val="15"/>
              </w:numPr>
              <w:rPr>
                <w:rFonts w:ascii="Garamond" w:hAnsi="Garamond"/>
                <w:lang w:val="en-AU"/>
              </w:rPr>
            </w:pPr>
            <w:r w:rsidRPr="005D3761">
              <w:rPr>
                <w:rFonts w:ascii="Garamond" w:hAnsi="Garamond"/>
                <w:lang w:val="en-AU"/>
              </w:rPr>
              <w:t xml:space="preserve">Evaluation of Care Processes and Health Care Utilization in Newly Implemented </w:t>
            </w:r>
            <w:r w:rsidRPr="005D3761">
              <w:rPr>
                <w:rFonts w:ascii="Garamond" w:hAnsi="Garamond"/>
                <w:b/>
                <w:lang w:val="en-AU"/>
              </w:rPr>
              <w:t>Medical Homes</w:t>
            </w:r>
            <w:r w:rsidRPr="005D3761">
              <w:rPr>
                <w:rFonts w:ascii="Garamond" w:hAnsi="Garamond"/>
                <w:lang w:val="en-AU"/>
              </w:rPr>
              <w:t xml:space="preserve"> in Italy: A Population-Based Cross-sectional Study </w:t>
            </w:r>
            <w:r w:rsidR="005D3761" w:rsidRPr="005D3761">
              <w:rPr>
                <w:rFonts w:ascii="Garamond" w:hAnsi="Garamond"/>
                <w:lang w:val="en-AU"/>
              </w:rPr>
              <w:t>(</w:t>
            </w:r>
            <w:r w:rsidRPr="005D3761">
              <w:rPr>
                <w:rFonts w:ascii="Garamond" w:hAnsi="Garamond"/>
                <w:lang w:val="en-AU"/>
              </w:rPr>
              <w:t>Matthew Alcusky, David Singer, Scott W Keith, Sarah E Hegarty, Marco Lombardi, Elena Saccenti, and Vittorio Maio</w:t>
            </w:r>
            <w:r w:rsidR="005D3761">
              <w:rPr>
                <w:rFonts w:ascii="Garamond" w:hAnsi="Garamond"/>
                <w:lang w:val="en-AU"/>
              </w:rPr>
              <w:t>)</w:t>
            </w:r>
          </w:p>
          <w:p w:rsidR="005D3761" w:rsidRDefault="005048D0" w:rsidP="0033061E">
            <w:pPr>
              <w:pStyle w:val="ListParagraph"/>
              <w:numPr>
                <w:ilvl w:val="0"/>
                <w:numId w:val="15"/>
              </w:numPr>
              <w:rPr>
                <w:rFonts w:ascii="Garamond" w:hAnsi="Garamond"/>
                <w:lang w:val="en-AU"/>
              </w:rPr>
            </w:pPr>
            <w:r w:rsidRPr="005D3761">
              <w:rPr>
                <w:rFonts w:ascii="Garamond" w:hAnsi="Garamond"/>
                <w:lang w:val="en-AU"/>
              </w:rPr>
              <w:t xml:space="preserve">Publication Bias Among Conference Abstracts Reporting on </w:t>
            </w:r>
            <w:r w:rsidRPr="005D3761">
              <w:rPr>
                <w:rFonts w:ascii="Garamond" w:hAnsi="Garamond"/>
                <w:b/>
                <w:lang w:val="en-AU"/>
              </w:rPr>
              <w:t>Pediatric Quality Improvement Projects</w:t>
            </w:r>
            <w:r w:rsidRPr="005D3761">
              <w:rPr>
                <w:rFonts w:ascii="Garamond" w:hAnsi="Garamond"/>
                <w:lang w:val="en-AU"/>
              </w:rPr>
              <w:t xml:space="preserve"> </w:t>
            </w:r>
            <w:r w:rsidR="005D3761" w:rsidRPr="005D3761">
              <w:rPr>
                <w:rFonts w:ascii="Garamond" w:hAnsi="Garamond"/>
                <w:lang w:val="en-AU"/>
              </w:rPr>
              <w:t>(</w:t>
            </w:r>
            <w:r w:rsidRPr="005D3761">
              <w:rPr>
                <w:rFonts w:ascii="Garamond" w:hAnsi="Garamond"/>
                <w:lang w:val="en-AU"/>
              </w:rPr>
              <w:t>Dmitry Tumin, Uduak S Akpan, John A Kohler, Sr, and Joshua C Uffman</w:t>
            </w:r>
            <w:r w:rsidR="005D3761">
              <w:rPr>
                <w:rFonts w:ascii="Garamond" w:hAnsi="Garamond"/>
                <w:lang w:val="en-AU"/>
              </w:rPr>
              <w:t>)</w:t>
            </w:r>
          </w:p>
          <w:p w:rsidR="005D3761" w:rsidRDefault="005048D0" w:rsidP="002C2E98">
            <w:pPr>
              <w:pStyle w:val="ListParagraph"/>
              <w:numPr>
                <w:ilvl w:val="0"/>
                <w:numId w:val="15"/>
              </w:numPr>
              <w:rPr>
                <w:rFonts w:ascii="Garamond" w:hAnsi="Garamond"/>
                <w:lang w:val="en-AU"/>
              </w:rPr>
            </w:pPr>
            <w:r w:rsidRPr="005D3761">
              <w:rPr>
                <w:rFonts w:ascii="Garamond" w:hAnsi="Garamond"/>
                <w:lang w:val="en-AU"/>
              </w:rPr>
              <w:t xml:space="preserve">Stressed Out: The Challenging Task of </w:t>
            </w:r>
            <w:r w:rsidRPr="005D3761">
              <w:rPr>
                <w:rFonts w:ascii="Garamond" w:hAnsi="Garamond"/>
                <w:b/>
                <w:lang w:val="en-AU"/>
              </w:rPr>
              <w:t>Ordering Stress Tests</w:t>
            </w:r>
            <w:r w:rsidRPr="005D3761">
              <w:rPr>
                <w:rFonts w:ascii="Garamond" w:hAnsi="Garamond"/>
                <w:lang w:val="en-AU"/>
              </w:rPr>
              <w:t xml:space="preserve"> Among Non-Cardiologists </w:t>
            </w:r>
            <w:r w:rsidR="005D3761" w:rsidRPr="005D3761">
              <w:rPr>
                <w:rFonts w:ascii="Garamond" w:hAnsi="Garamond"/>
                <w:lang w:val="en-AU"/>
              </w:rPr>
              <w:t>(</w:t>
            </w:r>
            <w:r w:rsidRPr="005D3761">
              <w:rPr>
                <w:rFonts w:ascii="Garamond" w:hAnsi="Garamond"/>
                <w:lang w:val="en-AU"/>
              </w:rPr>
              <w:t>Joshua S Ellis, Grayson C Eubanks, and Amy W Shaheen</w:t>
            </w:r>
            <w:r w:rsidR="005D3761">
              <w:rPr>
                <w:rFonts w:ascii="Garamond" w:hAnsi="Garamond"/>
                <w:lang w:val="en-AU"/>
              </w:rPr>
              <w:t>)</w:t>
            </w:r>
          </w:p>
          <w:p w:rsidR="0070587E" w:rsidRPr="007C3778" w:rsidRDefault="005048D0" w:rsidP="005D3761">
            <w:pPr>
              <w:pStyle w:val="ListParagraph"/>
              <w:numPr>
                <w:ilvl w:val="0"/>
                <w:numId w:val="15"/>
              </w:numPr>
              <w:rPr>
                <w:rFonts w:ascii="Garamond" w:hAnsi="Garamond"/>
                <w:lang w:val="en-AU"/>
              </w:rPr>
            </w:pPr>
            <w:r w:rsidRPr="005048D0">
              <w:rPr>
                <w:rFonts w:ascii="Garamond" w:hAnsi="Garamond"/>
                <w:lang w:val="en-AU"/>
              </w:rPr>
              <w:t xml:space="preserve">Using a Structured Quality Improvement Process to Generate </w:t>
            </w:r>
            <w:r w:rsidRPr="005D3761">
              <w:rPr>
                <w:rFonts w:ascii="Garamond" w:hAnsi="Garamond"/>
                <w:b/>
                <w:lang w:val="en-AU"/>
              </w:rPr>
              <w:t>High-Quality Family Satisfaction Data</w:t>
            </w:r>
            <w:r w:rsidRPr="005048D0">
              <w:rPr>
                <w:rFonts w:ascii="Garamond" w:hAnsi="Garamond"/>
                <w:lang w:val="en-AU"/>
              </w:rPr>
              <w:t xml:space="preserve"> </w:t>
            </w:r>
            <w:r w:rsidR="005D3761">
              <w:rPr>
                <w:rFonts w:ascii="Garamond" w:hAnsi="Garamond"/>
                <w:lang w:val="en-AU"/>
              </w:rPr>
              <w:t>(</w:t>
            </w:r>
            <w:r w:rsidRPr="005048D0">
              <w:rPr>
                <w:rFonts w:ascii="Garamond" w:hAnsi="Garamond"/>
                <w:lang w:val="en-AU"/>
              </w:rPr>
              <w:t>Kevin Hummel, Morgan Millar, and L Olson</w:t>
            </w:r>
            <w:r w:rsidR="005D3761">
              <w:rPr>
                <w:rFonts w:ascii="Garamond" w:hAnsi="Garamond"/>
                <w:lang w:val="en-AU"/>
              </w:rPr>
              <w:t>)</w:t>
            </w:r>
          </w:p>
        </w:tc>
      </w:tr>
    </w:tbl>
    <w:p w:rsidR="0070587E" w:rsidRDefault="0070587E" w:rsidP="0070587E">
      <w:pPr>
        <w:keepNext/>
        <w:rPr>
          <w:rFonts w:ascii="Garamond" w:hAnsi="Garamond"/>
          <w:i/>
          <w:lang w:val="en-AU"/>
        </w:rPr>
      </w:pPr>
    </w:p>
    <w:p w:rsidR="003F1F5B" w:rsidRDefault="003F1F5B">
      <w:pPr>
        <w:rPr>
          <w:rFonts w:ascii="Garamond" w:hAnsi="Garamond"/>
          <w:i/>
          <w:lang w:val="en-AU"/>
        </w:rPr>
      </w:pPr>
      <w:r>
        <w:rPr>
          <w:rFonts w:ascii="Garamond" w:hAnsi="Garamond"/>
          <w:i/>
          <w:lang w:val="en-AU"/>
        </w:rPr>
        <w:br w:type="page"/>
      </w:r>
    </w:p>
    <w:p w:rsidR="00BB3BE3" w:rsidRPr="00467B47" w:rsidRDefault="00BB3BE3" w:rsidP="005E782C">
      <w:pPr>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186D8B" w:rsidP="00DC09BF">
            <w:pPr>
              <w:keepNext/>
              <w:rPr>
                <w:rFonts w:ascii="Garamond" w:hAnsi="Garamond"/>
                <w:lang w:val="en-AU"/>
              </w:rPr>
            </w:pPr>
            <w:hyperlink r:id="rId37"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E1C41" w:rsidRPr="00FE1C41" w:rsidRDefault="00FE1C41" w:rsidP="007D577A">
            <w:pPr>
              <w:pStyle w:val="ListParagraph"/>
              <w:numPr>
                <w:ilvl w:val="0"/>
                <w:numId w:val="14"/>
              </w:numPr>
              <w:jc w:val="both"/>
              <w:rPr>
                <w:rFonts w:ascii="Garamond" w:hAnsi="Garamond"/>
                <w:lang w:val="en-AU"/>
              </w:rPr>
            </w:pPr>
            <w:r w:rsidRPr="00FE1C41">
              <w:rPr>
                <w:rFonts w:ascii="Garamond" w:hAnsi="Garamond"/>
                <w:lang w:val="en-AU"/>
              </w:rPr>
              <w:t xml:space="preserve">Economic analysis of the </w:t>
            </w:r>
            <w:r w:rsidRPr="0052656D">
              <w:rPr>
                <w:rFonts w:ascii="Garamond" w:hAnsi="Garamond"/>
                <w:b/>
                <w:lang w:val="en-AU"/>
              </w:rPr>
              <w:t>prevalence and clinical and economic burden of medication error</w:t>
            </w:r>
            <w:r w:rsidRPr="00FE1C41">
              <w:rPr>
                <w:rFonts w:ascii="Garamond" w:hAnsi="Garamond"/>
                <w:lang w:val="en-AU"/>
              </w:rPr>
              <w:t xml:space="preserve"> in England (Rachel Ann Elliott, </w:t>
            </w:r>
            <w:r>
              <w:rPr>
                <w:rFonts w:ascii="Garamond" w:hAnsi="Garamond"/>
                <w:lang w:val="en-AU"/>
              </w:rPr>
              <w:t>Elizabeth Camacho, Dina Jankovic, Mark J Sculpher, Rita Faria)</w:t>
            </w:r>
          </w:p>
          <w:p w:rsidR="000F7B68" w:rsidRPr="000F7B68" w:rsidRDefault="000F7B68" w:rsidP="00D73C6F">
            <w:pPr>
              <w:pStyle w:val="ListParagraph"/>
              <w:numPr>
                <w:ilvl w:val="0"/>
                <w:numId w:val="14"/>
              </w:numPr>
              <w:jc w:val="both"/>
              <w:rPr>
                <w:rFonts w:ascii="Garamond" w:hAnsi="Garamond"/>
                <w:lang w:val="en-AU"/>
              </w:rPr>
            </w:pPr>
            <w:r w:rsidRPr="000F7B68">
              <w:rPr>
                <w:rFonts w:ascii="Garamond" w:hAnsi="Garamond"/>
                <w:lang w:val="en-AU"/>
              </w:rPr>
              <w:t xml:space="preserve">Removing hospital-based triage from </w:t>
            </w:r>
            <w:r w:rsidRPr="000F7B68">
              <w:rPr>
                <w:rFonts w:ascii="Garamond" w:hAnsi="Garamond"/>
                <w:b/>
                <w:lang w:val="en-AU"/>
              </w:rPr>
              <w:t>suspected colorectal cancer pathways</w:t>
            </w:r>
            <w:r w:rsidRPr="000F7B68">
              <w:rPr>
                <w:rFonts w:ascii="Garamond" w:hAnsi="Garamond"/>
                <w:lang w:val="en-AU"/>
              </w:rPr>
              <w:t>: the impact and learning from a primary care-led electronic straight-to-test pathway (Philippa Orchard, Nitin Arvind, Alison Wint, James Kynaston, Ann Lyons, Eric Loveday, Anne Pullyblank</w:t>
            </w:r>
            <w:r>
              <w:rPr>
                <w:rFonts w:ascii="Garamond" w:hAnsi="Garamond"/>
                <w:lang w:val="en-AU"/>
              </w:rPr>
              <w:t>)</w:t>
            </w:r>
          </w:p>
          <w:p w:rsidR="00EF5393" w:rsidRPr="00543B3B" w:rsidRDefault="007D16A6" w:rsidP="007D16A6">
            <w:pPr>
              <w:pStyle w:val="ListParagraph"/>
              <w:numPr>
                <w:ilvl w:val="0"/>
                <w:numId w:val="14"/>
              </w:numPr>
              <w:jc w:val="both"/>
              <w:rPr>
                <w:rFonts w:ascii="Garamond" w:hAnsi="Garamond"/>
                <w:lang w:val="en-AU"/>
              </w:rPr>
            </w:pPr>
            <w:r w:rsidRPr="007D16A6">
              <w:rPr>
                <w:rFonts w:ascii="Garamond" w:hAnsi="Garamond"/>
                <w:b/>
                <w:lang w:val="en-AU"/>
              </w:rPr>
              <w:t>Improving access</w:t>
            </w:r>
            <w:r w:rsidRPr="007D16A6">
              <w:rPr>
                <w:rFonts w:ascii="Garamond" w:hAnsi="Garamond"/>
                <w:lang w:val="en-AU"/>
              </w:rPr>
              <w:t xml:space="preserve"> in a VA primary care clinic using an innovative Panel Retention Tool: a quality improvement report</w:t>
            </w:r>
            <w:r>
              <w:rPr>
                <w:rFonts w:ascii="Garamond" w:hAnsi="Garamond"/>
                <w:lang w:val="en-AU"/>
              </w:rPr>
              <w:t xml:space="preserve"> (</w:t>
            </w:r>
            <w:r w:rsidRPr="007D16A6">
              <w:rPr>
                <w:rFonts w:ascii="Garamond" w:hAnsi="Garamond"/>
                <w:lang w:val="en-AU"/>
              </w:rPr>
              <w:t>Andrew T Harris, Catherine Hoover, Brendan Cmolik, Mariel Zaun, Corinna Falck-Ytter, Mamta K Singh</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186D8B" w:rsidP="00DC09BF">
            <w:pPr>
              <w:keepNext/>
              <w:rPr>
                <w:rFonts w:ascii="Garamond" w:hAnsi="Garamond"/>
                <w:lang w:val="en-AU"/>
              </w:rPr>
            </w:pPr>
            <w:hyperlink r:id="rId38"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D16A6" w:rsidRPr="007D16A6" w:rsidRDefault="007D16A6" w:rsidP="00FF01D2">
            <w:pPr>
              <w:pStyle w:val="ListParagraph"/>
              <w:numPr>
                <w:ilvl w:val="0"/>
                <w:numId w:val="14"/>
              </w:numPr>
              <w:jc w:val="both"/>
              <w:rPr>
                <w:rFonts w:ascii="Garamond" w:hAnsi="Garamond"/>
                <w:lang w:val="en-AU"/>
              </w:rPr>
            </w:pPr>
            <w:r w:rsidRPr="007D16A6">
              <w:rPr>
                <w:rFonts w:ascii="Garamond" w:hAnsi="Garamond"/>
                <w:lang w:val="en-AU"/>
              </w:rPr>
              <w:t xml:space="preserve">Associations of types of primary care facilities with </w:t>
            </w:r>
            <w:r w:rsidRPr="007D16A6">
              <w:rPr>
                <w:rFonts w:ascii="Garamond" w:hAnsi="Garamond"/>
                <w:b/>
                <w:lang w:val="en-AU"/>
              </w:rPr>
              <w:t>adult vaccination and cancer screening</w:t>
            </w:r>
            <w:r w:rsidRPr="007D16A6">
              <w:rPr>
                <w:rFonts w:ascii="Garamond" w:hAnsi="Garamond"/>
                <w:lang w:val="en-AU"/>
              </w:rPr>
              <w:t xml:space="preserve"> in Japan (Takuya Aoki, Shunichi Fukuhara</w:t>
            </w:r>
            <w:r>
              <w:rPr>
                <w:rFonts w:ascii="Garamond" w:hAnsi="Garamond"/>
                <w:lang w:val="en-AU"/>
              </w:rPr>
              <w:t>)</w:t>
            </w:r>
          </w:p>
          <w:p w:rsidR="00C05F0D" w:rsidRPr="00721A1B" w:rsidRDefault="007D16A6" w:rsidP="007D16A6">
            <w:pPr>
              <w:pStyle w:val="ListParagraph"/>
              <w:numPr>
                <w:ilvl w:val="0"/>
                <w:numId w:val="14"/>
              </w:numPr>
              <w:jc w:val="both"/>
              <w:rPr>
                <w:rFonts w:ascii="Garamond" w:hAnsi="Garamond"/>
                <w:lang w:val="en-AU"/>
              </w:rPr>
            </w:pPr>
            <w:r w:rsidRPr="007D16A6">
              <w:rPr>
                <w:rFonts w:ascii="Garamond" w:hAnsi="Garamond"/>
                <w:lang w:val="en-AU"/>
              </w:rPr>
              <w:t xml:space="preserve">The Unrecognized Power of </w:t>
            </w:r>
            <w:r w:rsidRPr="007D16A6">
              <w:rPr>
                <w:rFonts w:ascii="Garamond" w:hAnsi="Garamond"/>
                <w:b/>
                <w:lang w:val="en-AU"/>
              </w:rPr>
              <w:t>Health Services Accreditation</w:t>
            </w:r>
            <w:r w:rsidRPr="007D16A6">
              <w:rPr>
                <w:rFonts w:ascii="Garamond" w:hAnsi="Garamond"/>
                <w:lang w:val="en-AU"/>
              </w:rPr>
              <w:t xml:space="preserve">: More than External Evaluation </w:t>
            </w:r>
            <w:r>
              <w:rPr>
                <w:rFonts w:ascii="Garamond" w:hAnsi="Garamond"/>
                <w:lang w:val="en-AU"/>
              </w:rPr>
              <w:t>(</w:t>
            </w:r>
            <w:r w:rsidRPr="007D16A6">
              <w:rPr>
                <w:rFonts w:ascii="Garamond" w:hAnsi="Garamond"/>
                <w:lang w:val="en-AU"/>
              </w:rPr>
              <w:t>Jonathan I Mitchell, Ian D Graham, Wendy Nicklin</w:t>
            </w:r>
            <w:r>
              <w:rPr>
                <w:rFonts w:ascii="Garamond" w:hAnsi="Garamond"/>
                <w:lang w:val="en-AU"/>
              </w:rPr>
              <w:t>)</w:t>
            </w:r>
          </w:p>
        </w:tc>
      </w:tr>
    </w:tbl>
    <w:p w:rsidR="00E4098B" w:rsidRDefault="00E4098B" w:rsidP="00E4098B">
      <w:pPr>
        <w:rPr>
          <w:rFonts w:ascii="Garamond" w:hAnsi="Garamond"/>
          <w:b/>
          <w:lang w:val="en-AU"/>
        </w:rPr>
      </w:pPr>
    </w:p>
    <w:p w:rsidR="00B36EA8" w:rsidRDefault="00B36EA8"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CC3CE6">
      <w:pPr>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186D8B" w:rsidP="00310503">
      <w:pPr>
        <w:keepNext/>
        <w:keepLines/>
        <w:rPr>
          <w:rFonts w:ascii="Garamond" w:hAnsi="Garamond"/>
          <w:lang w:val="en-AU"/>
        </w:rPr>
      </w:pPr>
      <w:hyperlink r:id="rId39" w:history="1">
        <w:r w:rsidR="00310503" w:rsidRPr="00423853">
          <w:rPr>
            <w:rStyle w:val="Hyperlink"/>
            <w:rFonts w:ascii="Garamond" w:hAnsi="Garamond"/>
            <w:lang w:val="en-AU"/>
          </w:rPr>
          <w:t>https://covid19evidence.net.au/</w:t>
        </w:r>
      </w:hyperlink>
    </w:p>
    <w:p w:rsidR="00310503" w:rsidRPr="001966EC" w:rsidRDefault="00310503" w:rsidP="00310503">
      <w:pPr>
        <w:keepNext/>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E782C" w:rsidRPr="0010715C" w:rsidRDefault="005E782C" w:rsidP="0010715C">
      <w:pPr>
        <w:tabs>
          <w:tab w:val="left" w:pos="6799"/>
        </w:tabs>
        <w:rPr>
          <w:lang w:val="en-AU"/>
        </w:rPr>
      </w:pPr>
    </w:p>
    <w:p w:rsidR="00A86F60" w:rsidRPr="000170DA" w:rsidRDefault="00A86F60" w:rsidP="00A86F60">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bookmarkStart w:id="1" w:name="_GoBack"/>
    <w:p w:rsidR="00A86F60" w:rsidRDefault="00186D8B" w:rsidP="00A86F60">
      <w:pPr>
        <w:keepNext/>
        <w:keepLines/>
        <w:rPr>
          <w:rFonts w:ascii="Garamond" w:hAnsi="Garamond"/>
          <w:u w:val="single"/>
          <w:lang w:val="en-AU"/>
        </w:rPr>
      </w:pPr>
      <w:r>
        <w:fldChar w:fldCharType="begin"/>
      </w:r>
      <w:r>
        <w:instrText xml:space="preserve"> HYPERLINK "https://www.nice.org.uk/guidance" </w:instrText>
      </w:r>
      <w:r>
        <w:fldChar w:fldCharType="separate"/>
      </w:r>
      <w:r w:rsidR="00A86F60" w:rsidRPr="00131E90">
        <w:rPr>
          <w:rStyle w:val="Hyperlink"/>
          <w:rFonts w:ascii="Garamond" w:hAnsi="Garamond"/>
          <w:lang w:val="en-AU"/>
        </w:rPr>
        <w:t>https://www.nice.org.uk/guidance</w:t>
      </w:r>
      <w:r>
        <w:rPr>
          <w:rStyle w:val="Hyperlink"/>
          <w:rFonts w:ascii="Garamond" w:hAnsi="Garamond"/>
          <w:lang w:val="en-AU"/>
        </w:rPr>
        <w:fldChar w:fldCharType="end"/>
      </w:r>
    </w:p>
    <w:p w:rsidR="00A86F60" w:rsidRPr="000170DA" w:rsidRDefault="00A86F60" w:rsidP="00A86F60">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163CA2" w:rsidRDefault="000F7B68" w:rsidP="000F7B68">
      <w:pPr>
        <w:pStyle w:val="ListParagraph"/>
        <w:keepNext/>
        <w:keepLines/>
        <w:numPr>
          <w:ilvl w:val="0"/>
          <w:numId w:val="14"/>
        </w:numPr>
        <w:rPr>
          <w:rFonts w:ascii="Garamond" w:hAnsi="Garamond"/>
          <w:i/>
          <w:lang w:val="en-AU"/>
        </w:rPr>
      </w:pPr>
      <w:r w:rsidRPr="000F7B68">
        <w:rPr>
          <w:rFonts w:ascii="Garamond" w:hAnsi="Garamond"/>
          <w:lang w:val="en-AU"/>
        </w:rPr>
        <w:t>NICE Guideline NG29</w:t>
      </w:r>
      <w:r>
        <w:rPr>
          <w:rFonts w:ascii="Garamond" w:hAnsi="Garamond"/>
          <w:i/>
          <w:lang w:val="en-AU"/>
        </w:rPr>
        <w:t xml:space="preserve"> </w:t>
      </w:r>
      <w:r w:rsidRPr="000F7B68">
        <w:rPr>
          <w:rFonts w:ascii="Garamond" w:hAnsi="Garamond"/>
          <w:b/>
          <w:i/>
          <w:lang w:val="en-AU"/>
        </w:rPr>
        <w:t>Intravenous fluid therapy</w:t>
      </w:r>
      <w:r w:rsidRPr="000F7B68">
        <w:rPr>
          <w:rFonts w:ascii="Garamond" w:hAnsi="Garamond"/>
          <w:i/>
          <w:lang w:val="en-AU"/>
        </w:rPr>
        <w:t xml:space="preserve"> in children and young people in hospital</w:t>
      </w:r>
      <w:r>
        <w:rPr>
          <w:rFonts w:ascii="Garamond" w:hAnsi="Garamond"/>
          <w:i/>
          <w:lang w:val="en-AU"/>
        </w:rPr>
        <w:t xml:space="preserve"> </w:t>
      </w:r>
      <w:hyperlink r:id="rId40" w:history="1">
        <w:r w:rsidRPr="00B10A1D">
          <w:rPr>
            <w:rStyle w:val="Hyperlink"/>
            <w:rFonts w:ascii="Garamond" w:hAnsi="Garamond"/>
            <w:lang w:val="en-AU"/>
          </w:rPr>
          <w:t>https://www.nice.org.uk/guidance/ng29</w:t>
        </w:r>
      </w:hyperlink>
      <w:r>
        <w:rPr>
          <w:rFonts w:ascii="Garamond" w:hAnsi="Garamond"/>
          <w:lang w:val="en-AU"/>
        </w:rPr>
        <w:t xml:space="preserve"> </w:t>
      </w:r>
    </w:p>
    <w:bookmarkEnd w:id="1"/>
    <w:p w:rsidR="00EF5393" w:rsidRPr="00EF5393" w:rsidRDefault="00EF5393"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86D8B">
      <w:rPr>
        <w:rStyle w:val="PageNumber"/>
        <w:noProof/>
      </w:rPr>
      <w:t>6</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163CA2">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86D8B">
      <w:rPr>
        <w:rStyle w:val="PageNumber"/>
        <w:rFonts w:ascii="Garamond" w:hAnsi="Garamond"/>
        <w:noProof/>
      </w:rPr>
      <w:t>5</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163CA2">
      <w:rPr>
        <w:rFonts w:ascii="Garamond" w:hAnsi="Garamond"/>
      </w:rPr>
      <w:t xml:space="preserve"> Issue 468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AD0929"/>
    <w:multiLevelType w:val="hybridMultilevel"/>
    <w:tmpl w:val="45AE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79700B"/>
    <w:multiLevelType w:val="hybridMultilevel"/>
    <w:tmpl w:val="637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9D3BD7"/>
    <w:multiLevelType w:val="hybridMultilevel"/>
    <w:tmpl w:val="E8C6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6"/>
  </w:num>
  <w:num w:numId="15">
    <w:abstractNumId w:val="19"/>
  </w:num>
  <w:num w:numId="16">
    <w:abstractNumId w:val="14"/>
  </w:num>
  <w:num w:numId="17">
    <w:abstractNumId w:val="30"/>
  </w:num>
  <w:num w:numId="18">
    <w:abstractNumId w:val="15"/>
  </w:num>
  <w:num w:numId="19">
    <w:abstractNumId w:val="34"/>
  </w:num>
  <w:num w:numId="20">
    <w:abstractNumId w:val="16"/>
  </w:num>
  <w:num w:numId="21">
    <w:abstractNumId w:val="12"/>
  </w:num>
  <w:num w:numId="22">
    <w:abstractNumId w:val="18"/>
  </w:num>
  <w:num w:numId="23">
    <w:abstractNumId w:val="28"/>
  </w:num>
  <w:num w:numId="24">
    <w:abstractNumId w:val="31"/>
  </w:num>
  <w:num w:numId="25">
    <w:abstractNumId w:val="23"/>
  </w:num>
  <w:num w:numId="26">
    <w:abstractNumId w:val="21"/>
  </w:num>
  <w:num w:numId="27">
    <w:abstractNumId w:val="33"/>
  </w:num>
  <w:num w:numId="28">
    <w:abstractNumId w:val="27"/>
  </w:num>
  <w:num w:numId="29">
    <w:abstractNumId w:val="13"/>
  </w:num>
  <w:num w:numId="30">
    <w:abstractNumId w:val="22"/>
  </w:num>
  <w:num w:numId="31">
    <w:abstractNumId w:val="24"/>
  </w:num>
  <w:num w:numId="32">
    <w:abstractNumId w:val="10"/>
  </w:num>
  <w:num w:numId="33">
    <w:abstractNumId w:val="20"/>
  </w:num>
  <w:num w:numId="34">
    <w:abstractNumId w:val="11"/>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813"/>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5F5"/>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8097"/>
    <o:shapelayout v:ext="edit">
      <o:idmap v:ext="edit" data="1"/>
    </o:shapelayout>
  </w:shapeDefaults>
  <w:decimalSymbol w:val="."/>
  <w:listSeparator w:val=","/>
  <w14:docId w14:val="641AA691"/>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9"/>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break-chain-poster-a3" TargetMode="External"/><Relationship Id="rId26" Type="http://schemas.openxmlformats.org/officeDocument/2006/relationships/hyperlink" Target="https://www.safetyandquality.gov.au/our-work/cognitive-impairment/cognitive-impairment-and-covid-19" TargetMode="External"/><Relationship Id="rId39" Type="http://schemas.openxmlformats.org/officeDocument/2006/relationships/hyperlink" Target="https://covid19evidence.net.au/" TargetMode="External"/><Relationship Id="rId3" Type="http://schemas.openxmlformats.org/officeDocument/2006/relationships/styles" Target="styles.xml"/><Relationship Id="rId21" Type="http://schemas.openxmlformats.org/officeDocument/2006/relationships/hyperlink" Target="https://www.safetyandquality.gov.au/node/5725" TargetMode="External"/><Relationship Id="rId34" Type="http://schemas.openxmlformats.org/officeDocument/2006/relationships/hyperlink" Target="https://10.1136/bmjqs-2019-010206"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potential-medicines-treat-covid-19" TargetMode="External"/><Relationship Id="rId25" Type="http://schemas.openxmlformats.org/officeDocument/2006/relationships/image" Target="media/image2.png"/><Relationship Id="rId33" Type="http://schemas.openxmlformats.org/officeDocument/2006/relationships/hyperlink" Target="https://doi.org/10.1787/242e3c8c-en" TargetMode="External"/><Relationship Id="rId38" Type="http://schemas.openxmlformats.org/officeDocument/2006/relationships/hyperlink" Target="https://academic.oup.com/intqhc/advance-articles"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4" TargetMode="External"/><Relationship Id="rId29" Type="http://schemas.openxmlformats.org/officeDocument/2006/relationships/hyperlink" Target="https://www.safetyandquality.gov.au/publications-and-resources/resource-library/caralert-data-update-16-1-january-2020-29-february-20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2" Type="http://schemas.openxmlformats.org/officeDocument/2006/relationships/hyperlink" Target="https://doi.org/10.1787/6ee1aeae-en"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www.nice.org.uk/guidance/ng29"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special-precautions-covid-19-designated-zones" TargetMode="External"/><Relationship Id="rId28" Type="http://schemas.openxmlformats.org/officeDocument/2006/relationships/hyperlink" Target="https://www.safetyandquality.gov.au/publications-and-resources/resource-library/caralert-annual-report-2019" TargetMode="External"/><Relationship Id="rId36" Type="http://schemas.openxmlformats.org/officeDocument/2006/relationships/hyperlink" Target="https://journals.sagepub.com/toc/ajmb/35/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covid-19-elective-surgery-and-infection-prevention-and-control-precautions" TargetMode="External"/><Relationship Id="rId31" Type="http://schemas.openxmlformats.org/officeDocument/2006/relationships/hyperlink" Target="https://www.safetyandquality.gov.au/our-work/primary-health-ca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infection-prevention-and-control-covid-19-personal-protective-equipment" TargetMode="External"/><Relationship Id="rId27" Type="http://schemas.openxmlformats.org/officeDocument/2006/relationships/image" Target="media/image3.png"/><Relationship Id="rId30" Type="http://schemas.openxmlformats.org/officeDocument/2006/relationships/hyperlink" Target="https://doi.org/10.1787/a92adee4-en" TargetMode="External"/><Relationship Id="rId35" Type="http://schemas.openxmlformats.org/officeDocument/2006/relationships/hyperlink" Target="https://www.safetyandquality.gov.au/our-work/medication-safe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3CB5-2AA4-41B1-B903-50753457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On the Radar Issue 468</vt:lpstr>
    </vt:vector>
  </TitlesOfParts>
  <Company>ACSQHC</Company>
  <LinksUpToDate>false</LinksUpToDate>
  <CharactersWithSpaces>21599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468</dc:title>
  <dc:subject/>
  <dc:creator>Dr Niall Johnson</dc:creator>
  <cp:keywords/>
  <dc:description/>
  <cp:lastModifiedBy>Johnson, Niall</cp:lastModifiedBy>
  <cp:revision>11</cp:revision>
  <cp:lastPrinted>2018-03-02T02:34:00Z</cp:lastPrinted>
  <dcterms:created xsi:type="dcterms:W3CDTF">2020-06-08T21:24:00Z</dcterms:created>
  <dcterms:modified xsi:type="dcterms:W3CDTF">2020-06-12T03:06:00Z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