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B0351C">
        <w:rPr>
          <w:rFonts w:ascii="Garamond" w:hAnsi="Garamond"/>
          <w:lang w:val="en-AU"/>
        </w:rPr>
        <w:t>78</w:t>
      </w:r>
    </w:p>
    <w:p w:rsidR="00755242" w:rsidRDefault="00B0351C" w:rsidP="00F738B5">
      <w:pPr>
        <w:rPr>
          <w:rFonts w:ascii="Garamond" w:hAnsi="Garamond"/>
          <w:lang w:val="en-AU"/>
        </w:rPr>
      </w:pPr>
      <w:r>
        <w:rPr>
          <w:rFonts w:ascii="Garamond" w:hAnsi="Garamond"/>
          <w:lang w:val="en-AU"/>
        </w:rPr>
        <w:t>24</w:t>
      </w:r>
      <w:r w:rsidR="00DD4EA5">
        <w:rPr>
          <w:rFonts w:ascii="Garamond" w:hAnsi="Garamond"/>
          <w:lang w:val="en-AU"/>
        </w:rPr>
        <w:t xml:space="preserve"> August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w:t>
      </w:r>
      <w:proofErr w:type="spellStart"/>
      <w:r w:rsidRPr="001B3E7F">
        <w:rPr>
          <w:rFonts w:ascii="Garamond" w:hAnsi="Garamond"/>
          <w:b/>
          <w:i/>
          <w:lang w:val="en-AU"/>
        </w:rPr>
        <w:t>staff</w:t>
      </w:r>
      <w:proofErr w:type="spellEnd"/>
      <w:r w:rsidRPr="001B3E7F">
        <w:rPr>
          <w:rFonts w:ascii="Garamond" w:hAnsi="Garamond"/>
          <w:b/>
          <w:i/>
          <w:lang w:val="en-AU"/>
        </w:rPr>
        <w:t xml:space="preserve"> infection prevention and control precautions – Poster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9F06BF">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r w:rsidRPr="0009479F">
        <w:rPr>
          <w:rStyle w:val="Hyperlink"/>
          <w:rFonts w:ascii="Garamond" w:hAnsi="Garamond"/>
          <w:color w:val="000000" w:themeColor="text1"/>
          <w:u w:val="none"/>
          <w:lang w:val="en-AU"/>
        </w:rPr>
        <w:t xml:space="preserve">   The Commission has prepared </w:t>
      </w:r>
      <w:r>
        <w:rPr>
          <w:rStyle w:val="Hyperlink"/>
          <w:rFonts w:ascii="Garamond" w:hAnsi="Garamond"/>
          <w:color w:val="000000" w:themeColor="text1"/>
          <w:u w:val="none"/>
          <w:lang w:val="en-AU"/>
        </w:rPr>
        <w:t xml:space="preserve">this </w:t>
      </w:r>
      <w:r w:rsidRPr="0009479F">
        <w:rPr>
          <w:rStyle w:val="Hyperlink"/>
          <w:rFonts w:ascii="Garamond" w:hAnsi="Garamond"/>
          <w:color w:val="000000" w:themeColor="text1"/>
          <w:u w:val="none"/>
          <w:lang w:val="en-AU"/>
        </w:rPr>
        <w:t>guidance to support health service organisations to undertake COVID-19 risk assessment and develop a comprehensive Risk Management Plan. The guidance acknowledges the ongoing risks associated with COVID-19 in Australia. Health service organisations are required to prepare and implement an organisation-wide Risk Management Plan to manage and reduce the risks related to the transmission of COVID-19.</w:t>
      </w:r>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lastRenderedPageBreak/>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790DD2" w:rsidRDefault="00790DD2" w:rsidP="00790DD2">
      <w:pPr>
        <w:keepNext/>
        <w:keepLines/>
        <w:autoSpaceDE w:val="0"/>
        <w:autoSpaceDN w:val="0"/>
        <w:adjustRightInd w:val="0"/>
        <w:rPr>
          <w:rFonts w:ascii="Garamond" w:hAnsi="Garamond"/>
          <w:b/>
          <w:lang w:val="en-AU"/>
        </w:rPr>
      </w:pPr>
      <w:r w:rsidRPr="0020210E">
        <w:rPr>
          <w:rFonts w:ascii="Garamond" w:hAnsi="Garamond"/>
          <w:b/>
          <w:lang w:val="en-AU"/>
        </w:rPr>
        <w:lastRenderedPageBreak/>
        <w:t>National Safety and Quality Health Service Standards: User guide for the review of clinical variation in health care</w:t>
      </w:r>
    </w:p>
    <w:p w:rsidR="0020210E" w:rsidRPr="00790DD2" w:rsidRDefault="0020210E" w:rsidP="008F7591">
      <w:pPr>
        <w:keepNext/>
        <w:keepLines/>
        <w:autoSpaceDE w:val="0"/>
        <w:autoSpaceDN w:val="0"/>
        <w:adjustRightInd w:val="0"/>
        <w:rPr>
          <w:rFonts w:ascii="Garamond" w:hAnsi="Garamond"/>
          <w:lang w:val="en-AU"/>
        </w:rPr>
      </w:pPr>
      <w:r w:rsidRPr="00790DD2">
        <w:rPr>
          <w:rFonts w:ascii="Garamond" w:hAnsi="Garamond"/>
          <w:lang w:val="en-AU"/>
        </w:rPr>
        <w:t>Australian Commission on Safety and Quality in Health Care</w:t>
      </w:r>
    </w:p>
    <w:p w:rsidR="0020210E" w:rsidRPr="00790DD2" w:rsidRDefault="0020210E" w:rsidP="008F7591">
      <w:pPr>
        <w:keepNext/>
        <w:keepLines/>
        <w:autoSpaceDE w:val="0"/>
        <w:autoSpaceDN w:val="0"/>
        <w:adjustRightInd w:val="0"/>
        <w:rPr>
          <w:rFonts w:ascii="Garamond" w:hAnsi="Garamond"/>
          <w:lang w:val="en-AU"/>
        </w:rPr>
      </w:pPr>
      <w:r w:rsidRPr="00790DD2">
        <w:rPr>
          <w:rFonts w:ascii="Garamond" w:hAnsi="Garamond"/>
          <w:lang w:val="en-AU"/>
        </w:rPr>
        <w:t>Sydney: ACSQHC; 2020.</w:t>
      </w:r>
    </w:p>
    <w:p w:rsidR="00BD1F6E" w:rsidRDefault="009A22A7" w:rsidP="008F7591">
      <w:pPr>
        <w:keepNext/>
        <w:keepLines/>
        <w:autoSpaceDE w:val="0"/>
        <w:autoSpaceDN w:val="0"/>
        <w:adjustRightInd w:val="0"/>
        <w:rPr>
          <w:rFonts w:ascii="Garamond" w:hAnsi="Garamond"/>
          <w:lang w:val="en-AU"/>
        </w:rPr>
      </w:pPr>
      <w:hyperlink r:id="rId35" w:history="1">
        <w:r w:rsidR="00BD1F6E" w:rsidRPr="00E27B55">
          <w:rPr>
            <w:rStyle w:val="Hyperlink"/>
            <w:rFonts w:ascii="Garamond" w:hAnsi="Garamond"/>
            <w:lang w:val="en-AU"/>
          </w:rPr>
          <w:t>https://www.safetyandquality.gov.au/publications-and-resources/resource-library/nsqhs-standards-user-guide-review-clinical-variation-health-care</w:t>
        </w:r>
      </w:hyperlink>
    </w:p>
    <w:p w:rsidR="002959F0" w:rsidRDefault="00BE77DB" w:rsidP="008F7591">
      <w:pPr>
        <w:keepNext/>
        <w:keepLines/>
        <w:autoSpaceDE w:val="0"/>
        <w:autoSpaceDN w:val="0"/>
        <w:adjustRightInd w:val="0"/>
        <w:rPr>
          <w:rFonts w:ascii="Garamond" w:hAnsi="Garamond"/>
          <w:lang w:val="en-AU"/>
        </w:rPr>
      </w:pPr>
      <w:r>
        <w:rPr>
          <w:rFonts w:ascii="Garamond" w:hAnsi="Garamond"/>
          <w:b/>
          <w:noProof/>
          <w:lang w:val="en-AU" w:eastAsia="en-AU"/>
        </w:rPr>
        <w:drawing>
          <wp:anchor distT="0" distB="0" distL="114300" distR="114300" simplePos="0" relativeHeight="251660288" behindDoc="1" locked="0" layoutInCell="1" allowOverlap="1">
            <wp:simplePos x="0" y="0"/>
            <wp:positionH relativeFrom="column">
              <wp:posOffset>3971290</wp:posOffset>
            </wp:positionH>
            <wp:positionV relativeFrom="paragraph">
              <wp:posOffset>11430</wp:posOffset>
            </wp:positionV>
            <wp:extent cx="2758440" cy="3882390"/>
            <wp:effectExtent l="19050" t="19050" r="22860" b="22860"/>
            <wp:wrapTight wrapText="bothSides">
              <wp:wrapPolygon edited="0">
                <wp:start x="-149" y="-106"/>
                <wp:lineTo x="-149" y="21621"/>
                <wp:lineTo x="21630" y="21621"/>
                <wp:lineTo x="21630" y="-106"/>
                <wp:lineTo x="-149" y="-106"/>
              </wp:wrapPolygon>
            </wp:wrapTight>
            <wp:docPr id="5" name="Picture 5" title="Cover image for National Safety and Quality Health Service Standards: User guide for the review of clinical variation in health car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user guide review variati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8440" cy="388239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2959F0" w:rsidRPr="002959F0" w:rsidRDefault="002959F0" w:rsidP="002959F0">
      <w:pPr>
        <w:keepNext/>
        <w:keepLines/>
        <w:autoSpaceDE w:val="0"/>
        <w:autoSpaceDN w:val="0"/>
        <w:adjustRightInd w:val="0"/>
        <w:rPr>
          <w:rFonts w:ascii="Garamond" w:hAnsi="Garamond"/>
          <w:lang w:val="en-AU"/>
        </w:rPr>
      </w:pPr>
      <w:r w:rsidRPr="002959F0">
        <w:rPr>
          <w:rFonts w:ascii="Garamond" w:hAnsi="Garamond"/>
          <w:lang w:val="en-AU"/>
        </w:rPr>
        <w:t xml:space="preserve">The Australian Commission on Safety and Quality in Health Care has released a guide to support health service organisations to review clinical variation. </w:t>
      </w:r>
    </w:p>
    <w:p w:rsidR="002959F0" w:rsidRPr="002959F0" w:rsidRDefault="002959F0" w:rsidP="002959F0">
      <w:pPr>
        <w:keepNext/>
        <w:keepLines/>
        <w:autoSpaceDE w:val="0"/>
        <w:autoSpaceDN w:val="0"/>
        <w:adjustRightInd w:val="0"/>
        <w:rPr>
          <w:rFonts w:ascii="Garamond" w:hAnsi="Garamond"/>
          <w:lang w:val="en-AU"/>
        </w:rPr>
      </w:pPr>
    </w:p>
    <w:p w:rsidR="002959F0" w:rsidRPr="002959F0" w:rsidRDefault="002959F0" w:rsidP="002959F0">
      <w:pPr>
        <w:keepNext/>
        <w:keepLines/>
        <w:autoSpaceDE w:val="0"/>
        <w:autoSpaceDN w:val="0"/>
        <w:adjustRightInd w:val="0"/>
        <w:rPr>
          <w:rFonts w:ascii="Garamond" w:hAnsi="Garamond"/>
          <w:lang w:val="en-AU"/>
        </w:rPr>
      </w:pPr>
      <w:r w:rsidRPr="002959F0">
        <w:rPr>
          <w:rFonts w:ascii="Garamond" w:hAnsi="Garamond"/>
          <w:lang w:val="en-AU"/>
        </w:rPr>
        <w:t xml:space="preserve">The </w:t>
      </w:r>
      <w:r w:rsidRPr="002959F0">
        <w:rPr>
          <w:rFonts w:ascii="Garamond" w:hAnsi="Garamond"/>
          <w:i/>
          <w:lang w:val="en-AU"/>
        </w:rPr>
        <w:t>User Guide for the Review of Clinical Variation in Health Care</w:t>
      </w:r>
      <w:r w:rsidRPr="002959F0">
        <w:rPr>
          <w:rFonts w:ascii="Garamond" w:hAnsi="Garamond"/>
          <w:lang w:val="en-AU"/>
        </w:rPr>
        <w:t xml:space="preserve"> explains how organisations can implement Action 1.28 of the Clinical Governance Standard in the National Safety and Quality Health Service (NSQHS) Standards.</w:t>
      </w:r>
    </w:p>
    <w:p w:rsidR="002959F0" w:rsidRPr="002959F0" w:rsidRDefault="002959F0" w:rsidP="002959F0">
      <w:pPr>
        <w:keepNext/>
        <w:keepLines/>
        <w:autoSpaceDE w:val="0"/>
        <w:autoSpaceDN w:val="0"/>
        <w:adjustRightInd w:val="0"/>
        <w:rPr>
          <w:rFonts w:ascii="Garamond" w:hAnsi="Garamond"/>
          <w:lang w:val="en-AU"/>
        </w:rPr>
      </w:pPr>
    </w:p>
    <w:p w:rsidR="002959F0" w:rsidRPr="002959F0" w:rsidRDefault="002959F0" w:rsidP="002959F0">
      <w:pPr>
        <w:keepNext/>
        <w:keepLines/>
        <w:autoSpaceDE w:val="0"/>
        <w:autoSpaceDN w:val="0"/>
        <w:adjustRightInd w:val="0"/>
        <w:rPr>
          <w:rFonts w:ascii="Garamond" w:hAnsi="Garamond"/>
          <w:lang w:val="en-AU"/>
        </w:rPr>
      </w:pPr>
      <w:r w:rsidRPr="002959F0">
        <w:rPr>
          <w:rFonts w:ascii="Garamond" w:hAnsi="Garamond"/>
          <w:lang w:val="en-AU"/>
        </w:rPr>
        <w:t xml:space="preserve">Action 1.28 aims to ensure that health services work with their clinicians </w:t>
      </w:r>
      <w:proofErr w:type="gramStart"/>
      <w:r w:rsidRPr="002959F0">
        <w:rPr>
          <w:rFonts w:ascii="Garamond" w:hAnsi="Garamond"/>
          <w:lang w:val="en-AU"/>
        </w:rPr>
        <w:t>to regularly review</w:t>
      </w:r>
      <w:proofErr w:type="gramEnd"/>
      <w:r w:rsidRPr="002959F0">
        <w:rPr>
          <w:rFonts w:ascii="Garamond" w:hAnsi="Garamond"/>
          <w:lang w:val="en-AU"/>
        </w:rPr>
        <w:t xml:space="preserve"> data collected on clinical care processes and outcomes to identify unwarranted variation. Examining variation in clinical care is one way of identifying if people </w:t>
      </w:r>
      <w:proofErr w:type="gramStart"/>
      <w:r w:rsidRPr="002959F0">
        <w:rPr>
          <w:rFonts w:ascii="Garamond" w:hAnsi="Garamond"/>
          <w:lang w:val="en-AU"/>
        </w:rPr>
        <w:t>are being offered</w:t>
      </w:r>
      <w:proofErr w:type="gramEnd"/>
      <w:r w:rsidRPr="002959F0">
        <w:rPr>
          <w:rFonts w:ascii="Garamond" w:hAnsi="Garamond"/>
          <w:lang w:val="en-AU"/>
        </w:rPr>
        <w:t xml:space="preserve"> appropriate care. </w:t>
      </w:r>
    </w:p>
    <w:p w:rsidR="002959F0" w:rsidRPr="002959F0" w:rsidRDefault="002959F0" w:rsidP="002959F0">
      <w:pPr>
        <w:keepNext/>
        <w:keepLines/>
        <w:autoSpaceDE w:val="0"/>
        <w:autoSpaceDN w:val="0"/>
        <w:adjustRightInd w:val="0"/>
        <w:rPr>
          <w:rFonts w:ascii="Garamond" w:hAnsi="Garamond"/>
          <w:lang w:val="en-AU"/>
        </w:rPr>
      </w:pPr>
    </w:p>
    <w:p w:rsidR="002959F0" w:rsidRPr="002959F0" w:rsidRDefault="002959F0" w:rsidP="002959F0">
      <w:pPr>
        <w:keepNext/>
        <w:keepLines/>
        <w:autoSpaceDE w:val="0"/>
        <w:autoSpaceDN w:val="0"/>
        <w:adjustRightInd w:val="0"/>
        <w:rPr>
          <w:rFonts w:ascii="Garamond" w:hAnsi="Garamond"/>
          <w:lang w:val="en-AU"/>
        </w:rPr>
      </w:pPr>
      <w:r w:rsidRPr="002959F0">
        <w:rPr>
          <w:rFonts w:ascii="Garamond" w:hAnsi="Garamond"/>
          <w:lang w:val="en-AU"/>
        </w:rPr>
        <w:t xml:space="preserve">Health services can use available data to identify potentially unwarranted variation and improve the appropriateness of care, which has widespread benefits for patients, their </w:t>
      </w:r>
      <w:proofErr w:type="spellStart"/>
      <w:r w:rsidRPr="002959F0">
        <w:rPr>
          <w:rFonts w:ascii="Garamond" w:hAnsi="Garamond"/>
          <w:lang w:val="en-AU"/>
        </w:rPr>
        <w:t>carers</w:t>
      </w:r>
      <w:proofErr w:type="spellEnd"/>
      <w:r w:rsidRPr="002959F0">
        <w:rPr>
          <w:rFonts w:ascii="Garamond" w:hAnsi="Garamond"/>
          <w:lang w:val="en-AU"/>
        </w:rPr>
        <w:t xml:space="preserve"> and families. </w:t>
      </w:r>
    </w:p>
    <w:p w:rsidR="002959F0" w:rsidRPr="002959F0" w:rsidRDefault="002959F0" w:rsidP="002959F0">
      <w:pPr>
        <w:keepNext/>
        <w:keepLines/>
        <w:autoSpaceDE w:val="0"/>
        <w:autoSpaceDN w:val="0"/>
        <w:adjustRightInd w:val="0"/>
        <w:rPr>
          <w:rFonts w:ascii="Garamond" w:hAnsi="Garamond"/>
          <w:lang w:val="en-AU"/>
        </w:rPr>
      </w:pPr>
    </w:p>
    <w:p w:rsidR="001B3E7F" w:rsidRPr="00BD1F6E" w:rsidRDefault="00BE77DB" w:rsidP="002959F0">
      <w:pPr>
        <w:keepNext/>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1312" behindDoc="1" locked="0" layoutInCell="1" allowOverlap="1">
            <wp:simplePos x="0" y="0"/>
            <wp:positionH relativeFrom="column">
              <wp:posOffset>3959860</wp:posOffset>
            </wp:positionH>
            <wp:positionV relativeFrom="paragraph">
              <wp:posOffset>463467</wp:posOffset>
            </wp:positionV>
            <wp:extent cx="2750400" cy="3862800"/>
            <wp:effectExtent l="19050" t="19050" r="12065" b="23495"/>
            <wp:wrapTight wrapText="bothSides">
              <wp:wrapPolygon edited="0">
                <wp:start x="-150" y="-107"/>
                <wp:lineTo x="-150" y="21625"/>
                <wp:lineTo x="21545" y="21625"/>
                <wp:lineTo x="21545" y="-107"/>
                <wp:lineTo x="-150" y="-107"/>
              </wp:wrapPolygon>
            </wp:wrapTight>
            <wp:docPr id="6" name="Picture 6" title="Cover image for Principles for the safe selection and storage of medicine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Pictures\safe storage.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50400" cy="3862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2959F0" w:rsidRPr="002959F0">
        <w:rPr>
          <w:rFonts w:ascii="Garamond" w:hAnsi="Garamond"/>
          <w:lang w:val="en-AU"/>
        </w:rPr>
        <w:t>The User Guide describes six key steps for implementing Action 1.28, and provides resources to support health services and their clinicians in reviewing clinical variation. It also includes practical case studies, and clinical topics for potential investigation.</w:t>
      </w:r>
    </w:p>
    <w:p w:rsidR="00BD1F6E" w:rsidRDefault="00BD1F6E" w:rsidP="008F7591">
      <w:pPr>
        <w:keepNext/>
        <w:keepLines/>
        <w:autoSpaceDE w:val="0"/>
        <w:autoSpaceDN w:val="0"/>
        <w:adjustRightInd w:val="0"/>
        <w:rPr>
          <w:rFonts w:ascii="Garamond" w:hAnsi="Garamond"/>
          <w:b/>
          <w:lang w:val="en-AU"/>
        </w:rPr>
      </w:pPr>
    </w:p>
    <w:p w:rsidR="00BE77DB" w:rsidRDefault="00BE77DB" w:rsidP="008F7591">
      <w:pPr>
        <w:keepNext/>
        <w:keepLines/>
        <w:autoSpaceDE w:val="0"/>
        <w:autoSpaceDN w:val="0"/>
        <w:adjustRightInd w:val="0"/>
        <w:rPr>
          <w:rFonts w:ascii="Garamond" w:hAnsi="Garamond"/>
          <w:b/>
          <w:lang w:val="en-AU"/>
        </w:rPr>
      </w:pPr>
    </w:p>
    <w:p w:rsidR="00BE77DB" w:rsidRDefault="00BE77DB" w:rsidP="008F7591">
      <w:pPr>
        <w:keepNext/>
        <w:keepLines/>
        <w:autoSpaceDE w:val="0"/>
        <w:autoSpaceDN w:val="0"/>
        <w:adjustRightInd w:val="0"/>
        <w:rPr>
          <w:rFonts w:ascii="Garamond" w:hAnsi="Garamond"/>
          <w:b/>
          <w:lang w:val="en-AU"/>
        </w:rPr>
      </w:pPr>
    </w:p>
    <w:p w:rsidR="00BE77DB" w:rsidRDefault="00BE77DB" w:rsidP="008F7591">
      <w:pPr>
        <w:keepNext/>
        <w:keepLines/>
        <w:autoSpaceDE w:val="0"/>
        <w:autoSpaceDN w:val="0"/>
        <w:adjustRightInd w:val="0"/>
        <w:rPr>
          <w:rFonts w:ascii="Garamond" w:hAnsi="Garamond"/>
          <w:b/>
          <w:lang w:val="en-AU"/>
        </w:rPr>
      </w:pPr>
    </w:p>
    <w:p w:rsidR="00BE77DB" w:rsidRDefault="00BE77DB" w:rsidP="008F7591">
      <w:pPr>
        <w:keepNext/>
        <w:keepLines/>
        <w:autoSpaceDE w:val="0"/>
        <w:autoSpaceDN w:val="0"/>
        <w:adjustRightInd w:val="0"/>
        <w:rPr>
          <w:rFonts w:ascii="Garamond" w:hAnsi="Garamond"/>
          <w:b/>
          <w:lang w:val="en-AU"/>
        </w:rPr>
      </w:pPr>
    </w:p>
    <w:p w:rsidR="00BD1F6E" w:rsidRDefault="00594A29" w:rsidP="008F7591">
      <w:pPr>
        <w:keepNext/>
        <w:keepLines/>
        <w:autoSpaceDE w:val="0"/>
        <w:autoSpaceDN w:val="0"/>
        <w:adjustRightInd w:val="0"/>
        <w:rPr>
          <w:rFonts w:ascii="Garamond" w:hAnsi="Garamond"/>
          <w:b/>
          <w:lang w:val="en-AU"/>
        </w:rPr>
      </w:pPr>
      <w:r w:rsidRPr="00594A29">
        <w:rPr>
          <w:rFonts w:ascii="Garamond" w:hAnsi="Garamond"/>
          <w:b/>
          <w:lang w:val="en-AU"/>
        </w:rPr>
        <w:t>Safe selection and storage of medicines</w:t>
      </w:r>
    </w:p>
    <w:p w:rsidR="00594A29" w:rsidRDefault="009A22A7" w:rsidP="008F7591">
      <w:pPr>
        <w:keepNext/>
        <w:keepLines/>
        <w:autoSpaceDE w:val="0"/>
        <w:autoSpaceDN w:val="0"/>
        <w:adjustRightInd w:val="0"/>
        <w:rPr>
          <w:rFonts w:ascii="Garamond" w:hAnsi="Garamond"/>
          <w:lang w:val="en-AU"/>
        </w:rPr>
      </w:pPr>
      <w:hyperlink r:id="rId39" w:history="1">
        <w:r w:rsidR="00594A29" w:rsidRPr="00E27B55">
          <w:rPr>
            <w:rStyle w:val="Hyperlink"/>
            <w:rFonts w:ascii="Garamond" w:hAnsi="Garamond"/>
            <w:lang w:val="en-AU"/>
          </w:rPr>
          <w:t>https://www.safetyandquality.gov.au/our-work/medication-safety/safer-naming-labelling-and-packaging-medicines/safe-selection-and-storage-medicines</w:t>
        </w:r>
      </w:hyperlink>
    </w:p>
    <w:p w:rsidR="00594A29" w:rsidRDefault="00594A29" w:rsidP="008F7591">
      <w:pPr>
        <w:keepNext/>
        <w:keepLines/>
        <w:autoSpaceDE w:val="0"/>
        <w:autoSpaceDN w:val="0"/>
        <w:adjustRightInd w:val="0"/>
        <w:rPr>
          <w:rFonts w:ascii="Garamond" w:hAnsi="Garamond"/>
          <w:lang w:val="en-AU"/>
        </w:rPr>
      </w:pPr>
    </w:p>
    <w:p w:rsidR="001B3E7F" w:rsidRDefault="001B3E7F" w:rsidP="008F7591">
      <w:pPr>
        <w:keepNext/>
        <w:keepLines/>
        <w:autoSpaceDE w:val="0"/>
        <w:autoSpaceDN w:val="0"/>
        <w:adjustRightInd w:val="0"/>
        <w:rPr>
          <w:rFonts w:ascii="Garamond" w:hAnsi="Garamond"/>
          <w:lang w:val="en-AU"/>
        </w:rPr>
      </w:pPr>
      <w:r>
        <w:rPr>
          <w:rFonts w:ascii="Garamond" w:hAnsi="Garamond"/>
          <w:lang w:val="en-AU"/>
        </w:rPr>
        <w:t xml:space="preserve">The Australian Commission on Safety and Quality in Health Care has developed </w:t>
      </w:r>
      <w:r w:rsidRPr="001B3E7F">
        <w:rPr>
          <w:rFonts w:ascii="Garamond" w:hAnsi="Garamond"/>
          <w:lang w:val="en-AU"/>
        </w:rPr>
        <w:t xml:space="preserve">guidance </w:t>
      </w:r>
      <w:r w:rsidR="002959F0" w:rsidRPr="00BE77DB">
        <w:rPr>
          <w:rFonts w:ascii="Garamond" w:hAnsi="Garamond"/>
          <w:i/>
          <w:lang w:val="en-AU"/>
        </w:rPr>
        <w:t>(Principles for the safe selection and storage of medicines: Guidance on the principles and survey tool</w:t>
      </w:r>
      <w:proofErr w:type="gramStart"/>
      <w:r w:rsidR="002959F0">
        <w:rPr>
          <w:rFonts w:ascii="Garamond" w:hAnsi="Garamond"/>
          <w:lang w:val="en-AU"/>
        </w:rPr>
        <w:t>)</w:t>
      </w:r>
      <w:r w:rsidRPr="001B3E7F">
        <w:rPr>
          <w:rFonts w:ascii="Garamond" w:hAnsi="Garamond"/>
          <w:lang w:val="en-AU"/>
        </w:rPr>
        <w:t>to</w:t>
      </w:r>
      <w:proofErr w:type="gramEnd"/>
      <w:r w:rsidRPr="001B3E7F">
        <w:rPr>
          <w:rFonts w:ascii="Garamond" w:hAnsi="Garamond"/>
          <w:lang w:val="en-AU"/>
        </w:rPr>
        <w:t xml:space="preserve"> help clinicians reduce the risk of medicine selection errors. Developed for use in hospitals, the guid</w:t>
      </w:r>
      <w:r w:rsidR="00BE77DB">
        <w:rPr>
          <w:rFonts w:ascii="Garamond" w:hAnsi="Garamond"/>
          <w:lang w:val="en-AU"/>
        </w:rPr>
        <w:t>anc</w:t>
      </w:r>
      <w:r w:rsidRPr="001B3E7F">
        <w:rPr>
          <w:rFonts w:ascii="Garamond" w:hAnsi="Garamond"/>
          <w:lang w:val="en-AU"/>
        </w:rPr>
        <w:t>e will help to reduce one of the most common types of medication error - look-alike and sound-alike (LASA) medicine names. There is also a survey tool to enable health services to identify suitable risk-reduction strategies.</w:t>
      </w:r>
    </w:p>
    <w:p w:rsidR="00594A29" w:rsidRDefault="00594A29" w:rsidP="008F7591">
      <w:pPr>
        <w:keepNext/>
        <w:keepLines/>
        <w:autoSpaceDE w:val="0"/>
        <w:autoSpaceDN w:val="0"/>
        <w:adjustRightInd w:val="0"/>
        <w:rPr>
          <w:rFonts w:ascii="Garamond" w:hAnsi="Garamond"/>
          <w:lang w:val="en-AU"/>
        </w:rPr>
      </w:pPr>
    </w:p>
    <w:p w:rsidR="00594A29" w:rsidRPr="00594A29" w:rsidRDefault="00594A29" w:rsidP="008F7591">
      <w:pPr>
        <w:keepNext/>
        <w:keepLines/>
        <w:autoSpaceDE w:val="0"/>
        <w:autoSpaceDN w:val="0"/>
        <w:adjustRightInd w:val="0"/>
        <w:rPr>
          <w:rFonts w:ascii="Garamond" w:hAnsi="Garamond"/>
          <w:lang w:val="en-AU"/>
        </w:rPr>
      </w:pPr>
    </w:p>
    <w:p w:rsidR="009A7AA8" w:rsidRPr="005C2AC8" w:rsidRDefault="009A7AA8" w:rsidP="009A7AA8">
      <w:pPr>
        <w:keepNext/>
        <w:keepLines/>
        <w:autoSpaceDE w:val="0"/>
        <w:autoSpaceDN w:val="0"/>
        <w:adjustRightInd w:val="0"/>
        <w:rPr>
          <w:rFonts w:ascii="Garamond" w:hAnsi="Garamond"/>
          <w:b/>
          <w:lang w:val="en-AU"/>
        </w:rPr>
      </w:pPr>
      <w:r>
        <w:rPr>
          <w:rFonts w:ascii="Garamond" w:hAnsi="Garamond"/>
          <w:b/>
          <w:lang w:val="en-AU"/>
        </w:rPr>
        <w:lastRenderedPageBreak/>
        <w:t>Reports</w:t>
      </w:r>
    </w:p>
    <w:p w:rsidR="009A7AA8" w:rsidRDefault="009A7AA8" w:rsidP="009A7AA8">
      <w:pPr>
        <w:keepNext/>
        <w:keepLines/>
        <w:autoSpaceDE w:val="0"/>
        <w:autoSpaceDN w:val="0"/>
        <w:adjustRightInd w:val="0"/>
        <w:rPr>
          <w:rFonts w:ascii="Garamond" w:hAnsi="Garamond"/>
          <w:lang w:val="en-AU"/>
        </w:rPr>
      </w:pPr>
    </w:p>
    <w:p w:rsidR="00B76629" w:rsidRPr="00B76629" w:rsidRDefault="00B76629" w:rsidP="00B76629">
      <w:pPr>
        <w:keepNext/>
        <w:keepLines/>
        <w:autoSpaceDE w:val="0"/>
        <w:autoSpaceDN w:val="0"/>
        <w:adjustRightInd w:val="0"/>
        <w:rPr>
          <w:rFonts w:ascii="Garamond" w:hAnsi="Garamond"/>
          <w:i/>
          <w:lang w:val="en-AU"/>
        </w:rPr>
      </w:pPr>
      <w:r w:rsidRPr="00B76629">
        <w:rPr>
          <w:rFonts w:ascii="Garamond" w:hAnsi="Garamond"/>
          <w:i/>
          <w:lang w:val="en-AU"/>
        </w:rPr>
        <w:t>Moving towards value-based, patient centred telehealth to support cancer care</w:t>
      </w:r>
    </w:p>
    <w:p w:rsidR="00EA4651" w:rsidRDefault="00EA4651" w:rsidP="00B76629">
      <w:pPr>
        <w:keepNext/>
        <w:keepLines/>
        <w:autoSpaceDE w:val="0"/>
        <w:autoSpaceDN w:val="0"/>
        <w:adjustRightInd w:val="0"/>
        <w:rPr>
          <w:rFonts w:ascii="Garamond" w:hAnsi="Garamond"/>
          <w:lang w:val="en-AU"/>
        </w:rPr>
      </w:pPr>
      <w:r w:rsidRPr="00EA4651">
        <w:rPr>
          <w:rFonts w:ascii="Garamond" w:hAnsi="Garamond"/>
          <w:lang w:val="en-AU"/>
        </w:rPr>
        <w:t>Deeble Institute Perspectives Brief No. 11</w:t>
      </w:r>
    </w:p>
    <w:p w:rsidR="00EA4651" w:rsidRDefault="00EA4651" w:rsidP="00EA4651">
      <w:pPr>
        <w:keepNext/>
        <w:keepLines/>
        <w:autoSpaceDE w:val="0"/>
        <w:autoSpaceDN w:val="0"/>
        <w:adjustRightInd w:val="0"/>
        <w:rPr>
          <w:rFonts w:ascii="Garamond" w:hAnsi="Garamond"/>
          <w:lang w:val="en-AU"/>
        </w:rPr>
      </w:pPr>
      <w:proofErr w:type="spellStart"/>
      <w:r w:rsidRPr="00EA4651">
        <w:rPr>
          <w:rFonts w:ascii="Garamond" w:hAnsi="Garamond"/>
          <w:lang w:val="en-AU"/>
        </w:rPr>
        <w:t>Slavova-Azmanova</w:t>
      </w:r>
      <w:proofErr w:type="spellEnd"/>
      <w:r w:rsidRPr="00EA4651">
        <w:rPr>
          <w:rFonts w:ascii="Garamond" w:hAnsi="Garamond"/>
          <w:lang w:val="en-AU"/>
        </w:rPr>
        <w:t xml:space="preserve"> N, Millar L, Ives A, </w:t>
      </w:r>
      <w:proofErr w:type="spellStart"/>
      <w:r w:rsidRPr="00EA4651">
        <w:rPr>
          <w:rFonts w:ascii="Garamond" w:hAnsi="Garamond"/>
          <w:lang w:val="en-AU"/>
        </w:rPr>
        <w:t>Codde</w:t>
      </w:r>
      <w:proofErr w:type="spellEnd"/>
      <w:r w:rsidRPr="00EA4651">
        <w:rPr>
          <w:rFonts w:ascii="Garamond" w:hAnsi="Garamond"/>
          <w:lang w:val="en-AU"/>
        </w:rPr>
        <w:t xml:space="preserve"> J, Saunders C</w:t>
      </w:r>
    </w:p>
    <w:p w:rsidR="00B76629" w:rsidRDefault="00EA4651" w:rsidP="00B76629">
      <w:pPr>
        <w:keepNext/>
        <w:keepLines/>
        <w:autoSpaceDE w:val="0"/>
        <w:autoSpaceDN w:val="0"/>
        <w:adjustRightInd w:val="0"/>
        <w:rPr>
          <w:rFonts w:ascii="Garamond" w:hAnsi="Garamond"/>
          <w:lang w:val="en-AU"/>
        </w:rPr>
      </w:pPr>
      <w:r w:rsidRPr="00EA4651">
        <w:rPr>
          <w:rFonts w:ascii="Garamond" w:hAnsi="Garamond"/>
          <w:lang w:val="en-AU"/>
        </w:rPr>
        <w:t>Canberra: Australian Healthcare and Hospitals Association</w:t>
      </w:r>
      <w:proofErr w:type="gramStart"/>
      <w:r w:rsidRPr="00EA4651">
        <w:rPr>
          <w:rFonts w:ascii="Garamond" w:hAnsi="Garamond"/>
          <w:lang w:val="en-AU"/>
        </w:rPr>
        <w:t>;</w:t>
      </w:r>
      <w:proofErr w:type="gramEnd"/>
      <w:r w:rsidRPr="00EA4651">
        <w:rPr>
          <w:rFonts w:ascii="Garamond" w:hAnsi="Garamond"/>
          <w:lang w:val="en-AU"/>
        </w:rPr>
        <w:t xml:space="preserve"> 2020. p. 14.</w:t>
      </w:r>
    </w:p>
    <w:tbl>
      <w:tblPr>
        <w:tblStyle w:val="TableGrid"/>
        <w:tblW w:w="9360" w:type="dxa"/>
        <w:tblInd w:w="288" w:type="dxa"/>
        <w:tblLayout w:type="fixed"/>
        <w:tblLook w:val="01E0" w:firstRow="1" w:lastRow="1" w:firstColumn="1" w:lastColumn="1" w:noHBand="0" w:noVBand="0"/>
      </w:tblPr>
      <w:tblGrid>
        <w:gridCol w:w="1080"/>
        <w:gridCol w:w="8280"/>
      </w:tblGrid>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A4651" w:rsidRPr="00EA4651" w:rsidRDefault="009A22A7" w:rsidP="00EA4651">
            <w:pPr>
              <w:keepNext/>
              <w:rPr>
                <w:rStyle w:val="Hyperlink"/>
                <w:rFonts w:ascii="Garamond" w:hAnsi="Garamond"/>
                <w:color w:val="auto"/>
                <w:u w:val="none"/>
                <w:lang w:val="en-AU"/>
              </w:rPr>
            </w:pPr>
            <w:hyperlink r:id="rId40" w:history="1">
              <w:r w:rsidR="00EA4651" w:rsidRPr="00E27B55">
                <w:rPr>
                  <w:rStyle w:val="Hyperlink"/>
                  <w:rFonts w:ascii="Garamond" w:hAnsi="Garamond"/>
                  <w:lang w:val="en-AU"/>
                </w:rPr>
                <w:t>https://ahha.asn.au/health-policy-perspective-briefs</w:t>
              </w:r>
            </w:hyperlink>
          </w:p>
          <w:p w:rsidR="00B76629" w:rsidRPr="000170DA" w:rsidRDefault="009A22A7" w:rsidP="00EA4651">
            <w:pPr>
              <w:keepNext/>
              <w:rPr>
                <w:rStyle w:val="Hyperlink"/>
                <w:rFonts w:ascii="Garamond" w:hAnsi="Garamond"/>
                <w:color w:val="auto"/>
                <w:u w:val="none"/>
                <w:lang w:val="en-AU"/>
              </w:rPr>
            </w:pPr>
            <w:hyperlink r:id="rId41" w:history="1">
              <w:r w:rsidR="00EA4651" w:rsidRPr="00E27B55">
                <w:rPr>
                  <w:rStyle w:val="Hyperlink"/>
                  <w:rFonts w:ascii="Garamond" w:hAnsi="Garamond"/>
                  <w:lang w:val="en-AU"/>
                </w:rPr>
                <w:t>https://ahha.asn.au/sites/default/files/docs/policy-issue/perspectives_brief_no._11_moving_towards_value-based_patient_centred_telehealth_to_support_cancer_care9197_0.pdf</w:t>
              </w:r>
            </w:hyperlink>
          </w:p>
        </w:tc>
      </w:tr>
      <w:tr w:rsidR="00B76629"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B76629" w:rsidRPr="000170DA" w:rsidRDefault="00B76629" w:rsidP="00693D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4651" w:rsidRPr="00B0351C" w:rsidRDefault="00C21E12" w:rsidP="00C21E12">
            <w:pPr>
              <w:rPr>
                <w:rFonts w:ascii="Garamond" w:hAnsi="Garamond"/>
                <w:lang w:val="en-AU"/>
              </w:rPr>
            </w:pPr>
            <w:r>
              <w:rPr>
                <w:rFonts w:ascii="Garamond" w:hAnsi="Garamond"/>
                <w:lang w:val="en-AU"/>
              </w:rPr>
              <w:t xml:space="preserve">Telehealth has become a key aspect of healthcare delivery in the COVID-19 pandemic. </w:t>
            </w:r>
            <w:r w:rsidR="00EA4651">
              <w:rPr>
                <w:rFonts w:ascii="Garamond" w:hAnsi="Garamond"/>
                <w:lang w:val="en-AU"/>
              </w:rPr>
              <w:t xml:space="preserve">This Perspectives Brief from the </w:t>
            </w:r>
            <w:r w:rsidR="00EA4651" w:rsidRPr="004665EA">
              <w:rPr>
                <w:rFonts w:ascii="Garamond" w:hAnsi="Garamond"/>
                <w:lang w:val="en-AU"/>
              </w:rPr>
              <w:t>Australian Healthcare and Hospitals Association</w:t>
            </w:r>
            <w:r w:rsidR="00EA4651">
              <w:rPr>
                <w:rFonts w:ascii="Garamond" w:hAnsi="Garamond"/>
                <w:lang w:val="en-AU"/>
              </w:rPr>
              <w:t>’s Deeble Institute</w:t>
            </w:r>
            <w:r>
              <w:rPr>
                <w:rFonts w:ascii="Garamond" w:hAnsi="Garamond"/>
                <w:lang w:val="en-AU"/>
              </w:rPr>
              <w:t xml:space="preserve"> examines how telehealth </w:t>
            </w:r>
            <w:proofErr w:type="gramStart"/>
            <w:r>
              <w:rPr>
                <w:rFonts w:ascii="Garamond" w:hAnsi="Garamond"/>
                <w:lang w:val="en-AU"/>
              </w:rPr>
              <w:t>can be implemented</w:t>
            </w:r>
            <w:proofErr w:type="gramEnd"/>
            <w:r>
              <w:rPr>
                <w:rFonts w:ascii="Garamond" w:hAnsi="Garamond"/>
                <w:lang w:val="en-AU"/>
              </w:rPr>
              <w:t xml:space="preserve"> to enhance cancer care. The authors examine ‘</w:t>
            </w:r>
            <w:r w:rsidRPr="00C21E12">
              <w:rPr>
                <w:rFonts w:ascii="Garamond" w:hAnsi="Garamond"/>
                <w:lang w:val="en-AU"/>
              </w:rPr>
              <w:t>the role of telehealth as a lever to enhance value in the changing value-oriented healthcare landscape</w:t>
            </w:r>
            <w:r>
              <w:rPr>
                <w:rFonts w:ascii="Garamond" w:hAnsi="Garamond"/>
                <w:lang w:val="en-AU"/>
              </w:rPr>
              <w:t>…</w:t>
            </w:r>
            <w:r w:rsidRPr="00C21E12">
              <w:rPr>
                <w:rFonts w:ascii="Garamond" w:hAnsi="Garamond"/>
                <w:lang w:val="en-AU"/>
              </w:rPr>
              <w:t>the need for an improved telehealth service model for cancer that integrates clinical and patient reported outcomes to support patients’ needs and providers’ expectations.</w:t>
            </w:r>
            <w:r>
              <w:rPr>
                <w:rFonts w:ascii="Garamond" w:hAnsi="Garamond"/>
                <w:lang w:val="en-AU"/>
              </w:rPr>
              <w:t>’</w:t>
            </w:r>
          </w:p>
        </w:tc>
      </w:tr>
    </w:tbl>
    <w:p w:rsidR="00B76629" w:rsidRDefault="00B76629" w:rsidP="00B76629">
      <w:pPr>
        <w:rPr>
          <w:rFonts w:ascii="Garamond" w:hAnsi="Garamond"/>
          <w:b/>
          <w:lang w:val="en-AU"/>
        </w:rPr>
      </w:pPr>
    </w:p>
    <w:p w:rsidR="00F22175" w:rsidRPr="00FC05A1" w:rsidRDefault="00FC05A1" w:rsidP="009A7AA8">
      <w:pPr>
        <w:keepNext/>
        <w:keepLines/>
        <w:autoSpaceDE w:val="0"/>
        <w:autoSpaceDN w:val="0"/>
        <w:adjustRightInd w:val="0"/>
        <w:rPr>
          <w:rFonts w:ascii="Garamond" w:hAnsi="Garamond"/>
          <w:i/>
          <w:lang w:val="en-AU"/>
        </w:rPr>
      </w:pPr>
      <w:proofErr w:type="spellStart"/>
      <w:r w:rsidRPr="00FC05A1">
        <w:rPr>
          <w:rFonts w:ascii="Garamond" w:hAnsi="Garamond"/>
          <w:i/>
          <w:lang w:val="en-AU"/>
        </w:rPr>
        <w:t>Telediagnosis</w:t>
      </w:r>
      <w:proofErr w:type="spellEnd"/>
      <w:r w:rsidRPr="00FC05A1">
        <w:rPr>
          <w:rFonts w:ascii="Garamond" w:hAnsi="Garamond"/>
          <w:i/>
          <w:lang w:val="en-AU"/>
        </w:rPr>
        <w:t xml:space="preserve"> for Acute Care: Implications for the Quality and Safety of Diagnosis</w:t>
      </w:r>
    </w:p>
    <w:p w:rsidR="00790DD2" w:rsidRDefault="00C21E12" w:rsidP="00C21E12">
      <w:pPr>
        <w:keepNext/>
        <w:keepLines/>
        <w:autoSpaceDE w:val="0"/>
        <w:autoSpaceDN w:val="0"/>
        <w:adjustRightInd w:val="0"/>
        <w:rPr>
          <w:rFonts w:ascii="Garamond" w:hAnsi="Garamond"/>
          <w:lang w:val="en-AU"/>
        </w:rPr>
      </w:pPr>
      <w:r w:rsidRPr="00C21E12">
        <w:rPr>
          <w:rFonts w:ascii="Garamond" w:hAnsi="Garamond"/>
          <w:lang w:val="en-AU"/>
        </w:rPr>
        <w:t xml:space="preserve">Smith KM, </w:t>
      </w:r>
      <w:proofErr w:type="spellStart"/>
      <w:r w:rsidRPr="00C21E12">
        <w:rPr>
          <w:rFonts w:ascii="Garamond" w:hAnsi="Garamond"/>
          <w:lang w:val="en-AU"/>
        </w:rPr>
        <w:t>Hunte</w:t>
      </w:r>
      <w:proofErr w:type="spellEnd"/>
      <w:r w:rsidRPr="00C21E12">
        <w:rPr>
          <w:rFonts w:ascii="Garamond" w:hAnsi="Garamond"/>
          <w:lang w:val="en-AU"/>
        </w:rPr>
        <w:t xml:space="preserve"> HE, Graber ML</w:t>
      </w:r>
    </w:p>
    <w:p w:rsidR="00790DD2" w:rsidRDefault="00790DD2" w:rsidP="009A7AA8">
      <w:pPr>
        <w:keepNext/>
        <w:keepLines/>
        <w:autoSpaceDE w:val="0"/>
        <w:autoSpaceDN w:val="0"/>
        <w:adjustRightInd w:val="0"/>
        <w:rPr>
          <w:rFonts w:ascii="Garamond" w:hAnsi="Garamond"/>
          <w:lang w:val="en-AU"/>
        </w:rPr>
      </w:pPr>
      <w:r w:rsidRPr="00790DD2">
        <w:rPr>
          <w:rFonts w:ascii="Garamond" w:hAnsi="Garamond"/>
          <w:lang w:val="en-AU"/>
        </w:rPr>
        <w:t>Rockville, MD: Agency for Healthcare Research and Quality; August 2020</w:t>
      </w:r>
    </w:p>
    <w:p w:rsidR="00FC05A1" w:rsidRDefault="00790DD2" w:rsidP="009A7AA8">
      <w:pPr>
        <w:keepNext/>
        <w:keepLines/>
        <w:autoSpaceDE w:val="0"/>
        <w:autoSpaceDN w:val="0"/>
        <w:adjustRightInd w:val="0"/>
        <w:rPr>
          <w:rFonts w:ascii="Garamond" w:hAnsi="Garamond"/>
          <w:lang w:val="en-AU"/>
        </w:rPr>
      </w:pPr>
      <w:r w:rsidRPr="00790DD2">
        <w:rPr>
          <w:rFonts w:ascii="Garamond" w:hAnsi="Garamond"/>
          <w:lang w:val="en-AU"/>
        </w:rPr>
        <w:t>AHRQ Publication No. 20-0040-2-EF</w:t>
      </w:r>
    </w:p>
    <w:tbl>
      <w:tblPr>
        <w:tblStyle w:val="TableGrid"/>
        <w:tblW w:w="9360" w:type="dxa"/>
        <w:tblInd w:w="288" w:type="dxa"/>
        <w:tblLayout w:type="fixed"/>
        <w:tblLook w:val="01E0" w:firstRow="1" w:lastRow="1" w:firstColumn="1" w:lastColumn="1" w:noHBand="0" w:noVBand="0"/>
      </w:tblPr>
      <w:tblGrid>
        <w:gridCol w:w="1080"/>
        <w:gridCol w:w="8280"/>
      </w:tblGrid>
      <w:tr w:rsidR="009A7AA8"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9A7AA8" w:rsidRPr="000170DA" w:rsidRDefault="009A7AA8" w:rsidP="000A501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6A25" w:rsidRPr="000170DA" w:rsidRDefault="009A22A7" w:rsidP="00B46A25">
            <w:pPr>
              <w:keepNext/>
              <w:rPr>
                <w:rStyle w:val="Hyperlink"/>
                <w:rFonts w:ascii="Garamond" w:hAnsi="Garamond"/>
                <w:color w:val="auto"/>
                <w:u w:val="none"/>
                <w:lang w:val="en-AU"/>
              </w:rPr>
            </w:pPr>
            <w:hyperlink r:id="rId42" w:history="1">
              <w:r w:rsidR="00FC05A1" w:rsidRPr="00E27B55">
                <w:rPr>
                  <w:rStyle w:val="Hyperlink"/>
                  <w:rFonts w:ascii="Garamond" w:hAnsi="Garamond"/>
                  <w:lang w:val="en-AU"/>
                </w:rPr>
                <w:t>https://www.ahrq.gov/patient-safety/reports/issue-briefs/teledx.html</w:t>
              </w:r>
            </w:hyperlink>
          </w:p>
        </w:tc>
      </w:tr>
      <w:tr w:rsidR="009A7AA8" w:rsidRPr="000170DA" w:rsidTr="000A5013">
        <w:tc>
          <w:tcPr>
            <w:tcW w:w="1080" w:type="dxa"/>
            <w:tcBorders>
              <w:top w:val="single" w:sz="4" w:space="0" w:color="auto"/>
              <w:left w:val="single" w:sz="4" w:space="0" w:color="auto"/>
              <w:bottom w:val="single" w:sz="4" w:space="0" w:color="auto"/>
              <w:right w:val="single" w:sz="4" w:space="0" w:color="auto"/>
            </w:tcBorders>
            <w:vAlign w:val="center"/>
          </w:tcPr>
          <w:p w:rsidR="009A7AA8" w:rsidRPr="000170DA" w:rsidRDefault="009A7AA8" w:rsidP="000A50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21E12" w:rsidRPr="00C21E12" w:rsidRDefault="00FC05A1" w:rsidP="00C21E12">
            <w:pPr>
              <w:rPr>
                <w:rFonts w:ascii="Garamond" w:hAnsi="Garamond"/>
                <w:lang w:val="en-AU"/>
              </w:rPr>
            </w:pPr>
            <w:r>
              <w:rPr>
                <w:rFonts w:ascii="Garamond" w:hAnsi="Garamond"/>
                <w:lang w:val="en-AU"/>
              </w:rPr>
              <w:t xml:space="preserve">The US Agency for Healthcare Research and Quality (AHRQ) has released </w:t>
            </w:r>
            <w:proofErr w:type="gramStart"/>
            <w:r>
              <w:rPr>
                <w:rFonts w:ascii="Garamond" w:hAnsi="Garamond"/>
                <w:lang w:val="en-AU"/>
              </w:rPr>
              <w:t>this</w:t>
            </w:r>
            <w:proofErr w:type="gramEnd"/>
            <w:r>
              <w:rPr>
                <w:rFonts w:ascii="Garamond" w:hAnsi="Garamond"/>
                <w:lang w:val="en-AU"/>
              </w:rPr>
              <w:t xml:space="preserve"> Issue Brief </w:t>
            </w:r>
            <w:r w:rsidR="00C21E12">
              <w:rPr>
                <w:rFonts w:ascii="Garamond" w:hAnsi="Garamond"/>
                <w:lang w:val="en-AU"/>
              </w:rPr>
              <w:t>that draws together the rapid uptake of telehealth and the issues of diagnostic error to focus on “</w:t>
            </w:r>
            <w:proofErr w:type="spellStart"/>
            <w:r w:rsidR="00C21E12">
              <w:rPr>
                <w:rFonts w:ascii="Garamond" w:hAnsi="Garamond"/>
                <w:lang w:val="en-AU"/>
              </w:rPr>
              <w:t>telediagnosis</w:t>
            </w:r>
            <w:proofErr w:type="spellEnd"/>
            <w:r w:rsidR="00C21E12">
              <w:rPr>
                <w:rFonts w:ascii="Garamond" w:hAnsi="Garamond"/>
                <w:lang w:val="en-AU"/>
              </w:rPr>
              <w:t>”</w:t>
            </w:r>
            <w:r w:rsidR="009D590C">
              <w:rPr>
                <w:rFonts w:ascii="Garamond" w:hAnsi="Garamond"/>
                <w:lang w:val="en-AU"/>
              </w:rPr>
              <w:t xml:space="preserve"> or the </w:t>
            </w:r>
            <w:r w:rsidR="00C21E12" w:rsidRPr="00C21E12">
              <w:rPr>
                <w:rFonts w:ascii="Garamond" w:hAnsi="Garamond"/>
                <w:lang w:val="en-AU"/>
              </w:rPr>
              <w:t>specific use of telehealth for diagnosis.</w:t>
            </w:r>
            <w:r w:rsidR="009D590C">
              <w:rPr>
                <w:rFonts w:ascii="Garamond" w:hAnsi="Garamond"/>
                <w:lang w:val="en-AU"/>
              </w:rPr>
              <w:t xml:space="preserve"> The author</w:t>
            </w:r>
            <w:r w:rsidR="00063F66">
              <w:rPr>
                <w:rFonts w:ascii="Garamond" w:hAnsi="Garamond"/>
                <w:lang w:val="en-AU"/>
              </w:rPr>
              <w:t>s</w:t>
            </w:r>
            <w:r w:rsidR="009D590C">
              <w:rPr>
                <w:rFonts w:ascii="Garamond" w:hAnsi="Garamond"/>
                <w:lang w:val="en-AU"/>
              </w:rPr>
              <w:t xml:space="preserve"> </w:t>
            </w:r>
            <w:r w:rsidR="00C21E12" w:rsidRPr="00C21E12">
              <w:rPr>
                <w:rFonts w:ascii="Garamond" w:hAnsi="Garamond"/>
                <w:lang w:val="en-AU"/>
              </w:rPr>
              <w:t xml:space="preserve">propose </w:t>
            </w:r>
            <w:r w:rsidR="009D590C">
              <w:rPr>
                <w:rFonts w:ascii="Garamond" w:hAnsi="Garamond"/>
                <w:lang w:val="en-AU"/>
              </w:rPr>
              <w:t xml:space="preserve">a </w:t>
            </w:r>
            <w:r w:rsidR="00C21E12" w:rsidRPr="00C21E12">
              <w:rPr>
                <w:rFonts w:ascii="Garamond" w:hAnsi="Garamond"/>
                <w:lang w:val="en-AU"/>
              </w:rPr>
              <w:t xml:space="preserve">definition of </w:t>
            </w:r>
            <w:proofErr w:type="spellStart"/>
            <w:r w:rsidR="00C21E12" w:rsidRPr="00C21E12">
              <w:rPr>
                <w:rFonts w:ascii="Garamond" w:hAnsi="Garamond"/>
                <w:lang w:val="en-AU"/>
              </w:rPr>
              <w:t>telediagnosis</w:t>
            </w:r>
            <w:proofErr w:type="spellEnd"/>
            <w:r w:rsidR="00C21E12" w:rsidRPr="00C21E12">
              <w:rPr>
                <w:rFonts w:ascii="Garamond" w:hAnsi="Garamond"/>
                <w:lang w:val="en-AU"/>
              </w:rPr>
              <w:t>:</w:t>
            </w:r>
          </w:p>
          <w:p w:rsidR="00C21E12" w:rsidRPr="00C21E12" w:rsidRDefault="009D590C" w:rsidP="00C21E12">
            <w:pPr>
              <w:rPr>
                <w:rFonts w:ascii="Garamond" w:hAnsi="Garamond"/>
                <w:lang w:val="en-AU"/>
              </w:rPr>
            </w:pPr>
            <w:r>
              <w:rPr>
                <w:rFonts w:ascii="Garamond" w:hAnsi="Garamond"/>
                <w:lang w:val="en-AU"/>
              </w:rPr>
              <w:t>‘</w:t>
            </w:r>
            <w:r w:rsidR="00C21E12" w:rsidRPr="00C21E12">
              <w:rPr>
                <w:rFonts w:ascii="Garamond" w:hAnsi="Garamond"/>
                <w:lang w:val="en-AU"/>
              </w:rPr>
              <w:t>…the co-production of an accurate and timely explanation of the patient’s health problem</w:t>
            </w:r>
            <w:r>
              <w:rPr>
                <w:rFonts w:ascii="Garamond" w:hAnsi="Garamond"/>
                <w:lang w:val="en-AU"/>
              </w:rPr>
              <w:t xml:space="preserve"> </w:t>
            </w:r>
            <w:r w:rsidR="00C21E12" w:rsidRPr="00C21E12">
              <w:rPr>
                <w:rFonts w:ascii="Garamond" w:hAnsi="Garamond"/>
                <w:lang w:val="en-AU"/>
              </w:rPr>
              <w:t>through remote interactions and transmitted data, including the clear communication</w:t>
            </w:r>
            <w:r>
              <w:rPr>
                <w:rFonts w:ascii="Garamond" w:hAnsi="Garamond"/>
                <w:lang w:val="en-AU"/>
              </w:rPr>
              <w:t xml:space="preserve"> </w:t>
            </w:r>
            <w:r w:rsidR="00C21E12" w:rsidRPr="00C21E12">
              <w:rPr>
                <w:rFonts w:ascii="Garamond" w:hAnsi="Garamond"/>
                <w:lang w:val="en-AU"/>
              </w:rPr>
              <w:t>of that explanation to the patient through these interactions.</w:t>
            </w:r>
            <w:r>
              <w:rPr>
                <w:rFonts w:ascii="Garamond" w:hAnsi="Garamond"/>
                <w:lang w:val="en-AU"/>
              </w:rPr>
              <w:t>’</w:t>
            </w:r>
          </w:p>
          <w:p w:rsidR="00FC05A1" w:rsidRPr="00B0351C" w:rsidRDefault="009D590C" w:rsidP="009D590C">
            <w:pPr>
              <w:rPr>
                <w:rFonts w:ascii="Garamond" w:hAnsi="Garamond"/>
                <w:lang w:val="en-AU"/>
              </w:rPr>
            </w:pPr>
            <w:r>
              <w:rPr>
                <w:rFonts w:ascii="Garamond" w:hAnsi="Garamond"/>
                <w:lang w:val="en-AU"/>
              </w:rPr>
              <w:t>The authors assert that ‘</w:t>
            </w:r>
            <w:r w:rsidR="00C21E12" w:rsidRPr="00C21E12">
              <w:rPr>
                <w:rFonts w:ascii="Garamond" w:hAnsi="Garamond"/>
                <w:lang w:val="en-AU"/>
              </w:rPr>
              <w:t xml:space="preserve">As patients and clinicians participate in </w:t>
            </w:r>
            <w:proofErr w:type="spellStart"/>
            <w:r w:rsidR="00C21E12" w:rsidRPr="00C21E12">
              <w:rPr>
                <w:rFonts w:ascii="Garamond" w:hAnsi="Garamond"/>
                <w:lang w:val="en-AU"/>
              </w:rPr>
              <w:t>telediagnosis</w:t>
            </w:r>
            <w:proofErr w:type="spellEnd"/>
            <w:r w:rsidR="00C21E12" w:rsidRPr="00C21E12">
              <w:rPr>
                <w:rFonts w:ascii="Garamond" w:hAnsi="Garamond"/>
                <w:lang w:val="en-AU"/>
              </w:rPr>
              <w:t xml:space="preserve"> at scale, it is vital to consider quality and safety issues</w:t>
            </w:r>
            <w:r>
              <w:rPr>
                <w:rFonts w:ascii="Garamond" w:hAnsi="Garamond"/>
                <w:lang w:val="en-AU"/>
              </w:rPr>
              <w:t xml:space="preserve"> </w:t>
            </w:r>
            <w:r w:rsidR="00C21E12" w:rsidRPr="00C21E12">
              <w:rPr>
                <w:rFonts w:ascii="Garamond" w:hAnsi="Garamond"/>
                <w:lang w:val="en-AU"/>
              </w:rPr>
              <w:t xml:space="preserve">that arise when it is used for the diagnosis of acute conditions. What </w:t>
            </w:r>
            <w:proofErr w:type="gramStart"/>
            <w:r w:rsidR="00C21E12" w:rsidRPr="00C21E12">
              <w:rPr>
                <w:rFonts w:ascii="Garamond" w:hAnsi="Garamond"/>
                <w:lang w:val="en-AU"/>
              </w:rPr>
              <w:t>is known</w:t>
            </w:r>
            <w:proofErr w:type="gramEnd"/>
            <w:r w:rsidR="00C21E12" w:rsidRPr="00C21E12">
              <w:rPr>
                <w:rFonts w:ascii="Garamond" w:hAnsi="Garamond"/>
                <w:lang w:val="en-AU"/>
              </w:rPr>
              <w:t xml:space="preserve">? What </w:t>
            </w:r>
            <w:proofErr w:type="gramStart"/>
            <w:r w:rsidR="00C21E12" w:rsidRPr="00C21E12">
              <w:rPr>
                <w:rFonts w:ascii="Garamond" w:hAnsi="Garamond"/>
                <w:lang w:val="en-AU"/>
              </w:rPr>
              <w:t>is not known</w:t>
            </w:r>
            <w:proofErr w:type="gramEnd"/>
            <w:r w:rsidR="00C21E12" w:rsidRPr="00C21E12">
              <w:rPr>
                <w:rFonts w:ascii="Garamond" w:hAnsi="Garamond"/>
                <w:lang w:val="en-AU"/>
              </w:rPr>
              <w:t>? Given</w:t>
            </w:r>
            <w:r>
              <w:rPr>
                <w:rFonts w:ascii="Garamond" w:hAnsi="Garamond"/>
                <w:lang w:val="en-AU"/>
              </w:rPr>
              <w:t xml:space="preserve"> </w:t>
            </w:r>
            <w:r w:rsidR="00C21E12" w:rsidRPr="00C21E12">
              <w:rPr>
                <w:rFonts w:ascii="Garamond" w:hAnsi="Garamond"/>
                <w:lang w:val="en-AU"/>
              </w:rPr>
              <w:t>the likelihood that telehealth will become a mainstay after the current COVID-19 epidemic, we need to learn</w:t>
            </w:r>
            <w:r>
              <w:rPr>
                <w:rFonts w:ascii="Garamond" w:hAnsi="Garamond"/>
                <w:lang w:val="en-AU"/>
              </w:rPr>
              <w:t xml:space="preserve"> </w:t>
            </w:r>
            <w:r w:rsidR="00C21E12" w:rsidRPr="00C21E12">
              <w:rPr>
                <w:rFonts w:ascii="Garamond" w:hAnsi="Garamond"/>
                <w:lang w:val="en-AU"/>
              </w:rPr>
              <w:t xml:space="preserve">about optimizing the use of </w:t>
            </w:r>
            <w:proofErr w:type="spellStart"/>
            <w:r w:rsidR="00C21E12" w:rsidRPr="00C21E12">
              <w:rPr>
                <w:rFonts w:ascii="Garamond" w:hAnsi="Garamond"/>
                <w:lang w:val="en-AU"/>
              </w:rPr>
              <w:t>telediagnosis</w:t>
            </w:r>
            <w:proofErr w:type="spellEnd"/>
            <w:r w:rsidR="00C21E12" w:rsidRPr="00C21E12">
              <w:rPr>
                <w:rFonts w:ascii="Garamond" w:hAnsi="Garamond"/>
                <w:lang w:val="en-AU"/>
              </w:rPr>
              <w:t xml:space="preserve"> from the massive expansion now in progress and identify emerging</w:t>
            </w:r>
            <w:r>
              <w:rPr>
                <w:rFonts w:ascii="Garamond" w:hAnsi="Garamond"/>
                <w:lang w:val="en-AU"/>
              </w:rPr>
              <w:t xml:space="preserve"> </w:t>
            </w:r>
            <w:r w:rsidR="00C21E12" w:rsidRPr="00C21E12">
              <w:rPr>
                <w:rFonts w:ascii="Garamond" w:hAnsi="Garamond"/>
                <w:lang w:val="en-AU"/>
              </w:rPr>
              <w:t>research priorities.</w:t>
            </w:r>
            <w:r>
              <w:rPr>
                <w:rFonts w:ascii="Garamond" w:hAnsi="Garamond"/>
                <w:lang w:val="en-AU"/>
              </w:rPr>
              <w:t>’</w:t>
            </w:r>
          </w:p>
        </w:tc>
      </w:tr>
    </w:tbl>
    <w:p w:rsidR="00F22175" w:rsidRDefault="00F22175" w:rsidP="00790DD2">
      <w:pPr>
        <w:jc w:val="both"/>
        <w:rPr>
          <w:rFonts w:ascii="Garamond" w:hAnsi="Garamond"/>
          <w:b/>
          <w:lang w:val="en-AU"/>
        </w:rPr>
      </w:pPr>
    </w:p>
    <w:p w:rsidR="00B0351C" w:rsidRDefault="00B0351C">
      <w:pPr>
        <w:rPr>
          <w:rFonts w:ascii="Garamond" w:hAnsi="Garamond"/>
          <w:b/>
          <w:lang w:val="en-AU"/>
        </w:rPr>
      </w:pPr>
    </w:p>
    <w:p w:rsidR="00282D29" w:rsidRDefault="005C2504" w:rsidP="005C2AC8">
      <w:pPr>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7831FF" w:rsidRPr="00FC05A1" w:rsidRDefault="007831FF" w:rsidP="007831FF">
      <w:pPr>
        <w:keepNext/>
        <w:keepLines/>
        <w:autoSpaceDE w:val="0"/>
        <w:autoSpaceDN w:val="0"/>
        <w:adjustRightInd w:val="0"/>
        <w:rPr>
          <w:rFonts w:ascii="Garamond" w:hAnsi="Garamond"/>
          <w:i/>
          <w:lang w:val="en-AU"/>
        </w:rPr>
      </w:pPr>
      <w:r w:rsidRPr="00FC05A1">
        <w:rPr>
          <w:rFonts w:ascii="Garamond" w:hAnsi="Garamond"/>
          <w:i/>
          <w:lang w:val="en-AU"/>
        </w:rPr>
        <w:t xml:space="preserve">Changes in </w:t>
      </w:r>
      <w:proofErr w:type="gramStart"/>
      <w:r w:rsidRPr="00FC05A1">
        <w:rPr>
          <w:rFonts w:ascii="Garamond" w:hAnsi="Garamond"/>
          <w:i/>
          <w:lang w:val="en-AU"/>
        </w:rPr>
        <w:t>medication administration error rates</w:t>
      </w:r>
      <w:proofErr w:type="gramEnd"/>
      <w:r w:rsidRPr="00FC05A1">
        <w:rPr>
          <w:rFonts w:ascii="Garamond" w:hAnsi="Garamond"/>
          <w:i/>
          <w:lang w:val="en-AU"/>
        </w:rPr>
        <w:t xml:space="preserve"> associated with the introduction of electronic medication systems in hospitals: a multisite controlled before and after study</w:t>
      </w:r>
    </w:p>
    <w:p w:rsidR="007831FF" w:rsidRDefault="007831FF" w:rsidP="007831FF">
      <w:pPr>
        <w:keepNext/>
        <w:keepLines/>
        <w:autoSpaceDE w:val="0"/>
        <w:autoSpaceDN w:val="0"/>
        <w:adjustRightInd w:val="0"/>
        <w:rPr>
          <w:rFonts w:ascii="Garamond" w:hAnsi="Garamond"/>
          <w:lang w:val="en-AU"/>
        </w:rPr>
      </w:pPr>
      <w:r w:rsidRPr="00577D19">
        <w:rPr>
          <w:rFonts w:ascii="Garamond" w:hAnsi="Garamond"/>
          <w:lang w:val="en-AU"/>
        </w:rPr>
        <w:t xml:space="preserve">Westbrook JI, Sunderland NS, Woods </w:t>
      </w:r>
      <w:proofErr w:type="gramStart"/>
      <w:r w:rsidRPr="00577D19">
        <w:rPr>
          <w:rFonts w:ascii="Garamond" w:hAnsi="Garamond"/>
          <w:lang w:val="en-AU"/>
        </w:rPr>
        <w:t>A</w:t>
      </w:r>
      <w:proofErr w:type="gramEnd"/>
      <w:r w:rsidRPr="00577D19">
        <w:rPr>
          <w:rFonts w:ascii="Garamond" w:hAnsi="Garamond"/>
          <w:lang w:val="en-AU"/>
        </w:rPr>
        <w:t xml:space="preserve">, </w:t>
      </w:r>
      <w:proofErr w:type="spellStart"/>
      <w:r w:rsidRPr="00577D19">
        <w:rPr>
          <w:rFonts w:ascii="Garamond" w:hAnsi="Garamond"/>
          <w:lang w:val="en-AU"/>
        </w:rPr>
        <w:t>Raban</w:t>
      </w:r>
      <w:proofErr w:type="spellEnd"/>
      <w:r w:rsidRPr="00577D19">
        <w:rPr>
          <w:rFonts w:ascii="Garamond" w:hAnsi="Garamond"/>
          <w:lang w:val="en-AU"/>
        </w:rPr>
        <w:t xml:space="preserve"> MZ, Gates P, Li L</w:t>
      </w:r>
    </w:p>
    <w:p w:rsidR="007831FF" w:rsidRDefault="007831FF" w:rsidP="007831FF">
      <w:pPr>
        <w:keepNext/>
        <w:keepLines/>
        <w:autoSpaceDE w:val="0"/>
        <w:autoSpaceDN w:val="0"/>
        <w:adjustRightInd w:val="0"/>
        <w:rPr>
          <w:rFonts w:ascii="Garamond" w:hAnsi="Garamond"/>
          <w:lang w:val="en-AU"/>
        </w:rPr>
      </w:pPr>
      <w:r w:rsidRPr="00577D19">
        <w:rPr>
          <w:rFonts w:ascii="Garamond" w:hAnsi="Garamond"/>
          <w:lang w:val="en-AU"/>
        </w:rPr>
        <w:t>BMJ Health &amp; Care Informatics. 2020</w:t>
      </w:r>
      <w:proofErr w:type="gramStart"/>
      <w:r w:rsidRPr="00577D19">
        <w:rPr>
          <w:rFonts w:ascii="Garamond" w:hAnsi="Garamond"/>
          <w:lang w:val="en-AU"/>
        </w:rPr>
        <w:t>;27</w:t>
      </w:r>
      <w:proofErr w:type="gramEnd"/>
      <w:r w:rsidRPr="00577D19">
        <w:rPr>
          <w:rFonts w:ascii="Garamond" w:hAnsi="Garamond"/>
          <w:lang w:val="en-AU"/>
        </w:rPr>
        <w:t>(3):e100170.</w:t>
      </w:r>
    </w:p>
    <w:tbl>
      <w:tblPr>
        <w:tblStyle w:val="TableGrid"/>
        <w:tblW w:w="9360" w:type="dxa"/>
        <w:tblInd w:w="288" w:type="dxa"/>
        <w:tblLayout w:type="fixed"/>
        <w:tblLook w:val="01E0" w:firstRow="1" w:lastRow="1" w:firstColumn="1" w:lastColumn="1" w:noHBand="0" w:noVBand="0"/>
      </w:tblPr>
      <w:tblGrid>
        <w:gridCol w:w="1080"/>
        <w:gridCol w:w="8280"/>
      </w:tblGrid>
      <w:tr w:rsidR="007831FF"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7831FF" w:rsidRPr="000170DA" w:rsidRDefault="007831FF" w:rsidP="0084302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831FF" w:rsidRPr="000170DA" w:rsidRDefault="007831FF" w:rsidP="0084302B">
            <w:pPr>
              <w:keepNext/>
              <w:rPr>
                <w:rStyle w:val="Hyperlink"/>
                <w:rFonts w:ascii="Garamond" w:hAnsi="Garamond"/>
                <w:color w:val="auto"/>
                <w:u w:val="none"/>
                <w:lang w:val="en-AU"/>
              </w:rPr>
            </w:pPr>
            <w:hyperlink r:id="rId43" w:history="1">
              <w:r w:rsidRPr="00E27B55">
                <w:rPr>
                  <w:rStyle w:val="Hyperlink"/>
                  <w:rFonts w:ascii="Garamond" w:hAnsi="Garamond"/>
                  <w:lang w:val="en-AU"/>
                </w:rPr>
                <w:t>http://dx.doi.org/10.1136/bmjhci-2020-100170</w:t>
              </w:r>
            </w:hyperlink>
          </w:p>
        </w:tc>
      </w:tr>
      <w:tr w:rsidR="007831FF"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7831FF" w:rsidRPr="000170DA" w:rsidRDefault="007831FF"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31FF" w:rsidRPr="009A7AA8" w:rsidRDefault="007831FF" w:rsidP="0084302B">
            <w:pPr>
              <w:rPr>
                <w:rFonts w:ascii="Garamond" w:hAnsi="Garamond"/>
                <w:lang w:val="en-AU"/>
              </w:rPr>
            </w:pPr>
            <w:r>
              <w:rPr>
                <w:rFonts w:ascii="Garamond" w:hAnsi="Garamond"/>
                <w:lang w:val="en-AU"/>
              </w:rPr>
              <w:t xml:space="preserve">This paper reports on a study into the effects of electronic medication systems (EMS) on </w:t>
            </w:r>
            <w:r w:rsidRPr="009D590C">
              <w:rPr>
                <w:rFonts w:ascii="Garamond" w:hAnsi="Garamond"/>
                <w:lang w:val="en-AU"/>
              </w:rPr>
              <w:t>medication administration errors</w:t>
            </w:r>
            <w:r>
              <w:rPr>
                <w:rFonts w:ascii="Garamond" w:hAnsi="Garamond"/>
                <w:lang w:val="en-AU"/>
              </w:rPr>
              <w:t>. The study was</w:t>
            </w:r>
            <w:r>
              <w:t xml:space="preserve"> </w:t>
            </w:r>
            <w:r w:rsidRPr="009D590C">
              <w:rPr>
                <w:rFonts w:ascii="Garamond" w:hAnsi="Garamond"/>
                <w:lang w:val="en-AU"/>
              </w:rPr>
              <w:t>a controlled before and after study (three intervention and three control wards) at two adult teaching hospitals</w:t>
            </w:r>
            <w:r>
              <w:rPr>
                <w:rFonts w:ascii="Garamond" w:hAnsi="Garamond"/>
                <w:lang w:val="en-AU"/>
              </w:rPr>
              <w:t xml:space="preserve"> in which </w:t>
            </w:r>
            <w:r w:rsidRPr="007831FF">
              <w:rPr>
                <w:rFonts w:ascii="Garamond" w:hAnsi="Garamond"/>
                <w:lang w:val="en-AU"/>
              </w:rPr>
              <w:t>7451 administrations were observed (4176 pre-EMS and 3275 post-EMS).</w:t>
            </w:r>
            <w:r>
              <w:rPr>
                <w:rFonts w:ascii="Garamond" w:hAnsi="Garamond"/>
                <w:lang w:val="en-AU"/>
              </w:rPr>
              <w:t xml:space="preserve"> The authors found that ‘</w:t>
            </w:r>
            <w:r w:rsidRPr="007831FF">
              <w:rPr>
                <w:rFonts w:ascii="Garamond" w:hAnsi="Garamond"/>
                <w:lang w:val="en-AU"/>
              </w:rPr>
              <w:t>Implementation of EMS was associated with a modest, but significant, reduction in overall MAE rate, but halved the proportion of MAEs rated as potentially serious.</w:t>
            </w:r>
          </w:p>
        </w:tc>
      </w:tr>
    </w:tbl>
    <w:p w:rsidR="007831FF" w:rsidRDefault="007831FF" w:rsidP="007831FF">
      <w:pPr>
        <w:rPr>
          <w:rStyle w:val="Hyperlink"/>
          <w:rFonts w:ascii="Garamond" w:hAnsi="Garamond"/>
          <w:lang w:val="en-AU"/>
        </w:rPr>
      </w:pPr>
      <w:r w:rsidRPr="00BE05A3">
        <w:rPr>
          <w:rFonts w:ascii="Garamond" w:hAnsi="Garamond"/>
          <w:lang w:val="en-AU"/>
        </w:rPr>
        <w:lastRenderedPageBreak/>
        <w:t xml:space="preserve">For information on the Commission’s work on </w:t>
      </w:r>
      <w:r>
        <w:rPr>
          <w:rFonts w:ascii="Garamond" w:hAnsi="Garamond"/>
          <w:lang w:val="en-AU"/>
        </w:rPr>
        <w:t xml:space="preserve">medication safety see, </w:t>
      </w:r>
      <w:hyperlink r:id="rId44" w:history="1">
        <w:r w:rsidRPr="00E27B55">
          <w:rPr>
            <w:rStyle w:val="Hyperlink"/>
            <w:rFonts w:ascii="Garamond" w:hAnsi="Garamond"/>
            <w:lang w:val="en-AU"/>
          </w:rPr>
          <w:t>https://www.safetyandquality.gov.au/our-work/medication-safety</w:t>
        </w:r>
      </w:hyperlink>
    </w:p>
    <w:p w:rsidR="007831FF" w:rsidRDefault="007831FF" w:rsidP="007831FF">
      <w:pPr>
        <w:rPr>
          <w:rStyle w:val="Hyperlink"/>
          <w:rFonts w:ascii="Garamond" w:hAnsi="Garamond"/>
          <w:lang w:val="en-AU"/>
        </w:rPr>
      </w:pPr>
    </w:p>
    <w:p w:rsidR="007831FF" w:rsidRDefault="007831FF" w:rsidP="007831FF">
      <w:pPr>
        <w:rPr>
          <w:rFonts w:ascii="Garamond" w:hAnsi="Garamond"/>
          <w:lang w:val="en-AU"/>
        </w:rPr>
      </w:pPr>
      <w:r w:rsidRPr="009D590C">
        <w:rPr>
          <w:rFonts w:ascii="Garamond" w:hAnsi="Garamond"/>
          <w:lang w:val="en-AU"/>
        </w:rPr>
        <w:t xml:space="preserve">For information on the Commission’s work on </w:t>
      </w:r>
      <w:r>
        <w:rPr>
          <w:rFonts w:ascii="Garamond" w:hAnsi="Garamond"/>
          <w:lang w:val="en-AU"/>
        </w:rPr>
        <w:t xml:space="preserve">electronic </w:t>
      </w:r>
      <w:r w:rsidRPr="009D590C">
        <w:rPr>
          <w:rFonts w:ascii="Garamond" w:hAnsi="Garamond"/>
          <w:lang w:val="en-AU"/>
        </w:rPr>
        <w:t xml:space="preserve">medication </w:t>
      </w:r>
      <w:r>
        <w:rPr>
          <w:rFonts w:ascii="Garamond" w:hAnsi="Garamond"/>
          <w:lang w:val="en-AU"/>
        </w:rPr>
        <w:t xml:space="preserve">management </w:t>
      </w:r>
      <w:r w:rsidRPr="009D590C">
        <w:rPr>
          <w:rFonts w:ascii="Garamond" w:hAnsi="Garamond"/>
          <w:lang w:val="en-AU"/>
        </w:rPr>
        <w:t xml:space="preserve">see, </w:t>
      </w:r>
      <w:hyperlink r:id="rId45" w:history="1">
        <w:r w:rsidRPr="00314B9F">
          <w:rPr>
            <w:rStyle w:val="Hyperlink"/>
            <w:rFonts w:ascii="Garamond" w:hAnsi="Garamond"/>
            <w:lang w:val="en-AU"/>
          </w:rPr>
          <w:t>https://www.safetyandquality.gov.au/our-work/medication-safety/electronic-medication-management</w:t>
        </w:r>
      </w:hyperlink>
      <w:r>
        <w:rPr>
          <w:rFonts w:ascii="Garamond" w:hAnsi="Garamond"/>
          <w:lang w:val="en-AU"/>
        </w:rPr>
        <w:t xml:space="preserve"> </w:t>
      </w:r>
    </w:p>
    <w:p w:rsidR="007831FF" w:rsidRDefault="007831FF" w:rsidP="007831FF">
      <w:pPr>
        <w:keepNext/>
        <w:keepLines/>
        <w:autoSpaceDE w:val="0"/>
        <w:autoSpaceDN w:val="0"/>
        <w:adjustRightInd w:val="0"/>
        <w:rPr>
          <w:rFonts w:ascii="Garamond" w:hAnsi="Garamond"/>
          <w:lang w:val="en-AU"/>
        </w:rPr>
      </w:pPr>
    </w:p>
    <w:p w:rsidR="00DB1C34" w:rsidRPr="00FC05A1" w:rsidRDefault="00FC05A1" w:rsidP="00442EA6">
      <w:pPr>
        <w:keepNext/>
        <w:keepLines/>
        <w:autoSpaceDE w:val="0"/>
        <w:autoSpaceDN w:val="0"/>
        <w:adjustRightInd w:val="0"/>
        <w:rPr>
          <w:rFonts w:ascii="Garamond" w:hAnsi="Garamond"/>
          <w:i/>
          <w:lang w:val="en-AU"/>
        </w:rPr>
      </w:pPr>
      <w:r w:rsidRPr="00FC05A1">
        <w:rPr>
          <w:rFonts w:ascii="Garamond" w:hAnsi="Garamond"/>
          <w:i/>
          <w:lang w:val="en-AU"/>
        </w:rPr>
        <w:t>Associations between double-checking and medication administration errors: a direct observational study of paediatric inpatients</w:t>
      </w:r>
    </w:p>
    <w:p w:rsidR="00790DD2" w:rsidRDefault="00790DD2" w:rsidP="00442EA6">
      <w:pPr>
        <w:keepNext/>
        <w:keepLines/>
        <w:autoSpaceDE w:val="0"/>
        <w:autoSpaceDN w:val="0"/>
        <w:adjustRightInd w:val="0"/>
        <w:rPr>
          <w:rFonts w:ascii="Garamond" w:hAnsi="Garamond"/>
          <w:lang w:val="en-AU"/>
        </w:rPr>
      </w:pPr>
      <w:r w:rsidRPr="00790DD2">
        <w:rPr>
          <w:rFonts w:ascii="Garamond" w:hAnsi="Garamond"/>
          <w:lang w:val="en-AU"/>
        </w:rPr>
        <w:t xml:space="preserve">Westbrook JI, Li L, </w:t>
      </w:r>
      <w:proofErr w:type="spellStart"/>
      <w:r w:rsidRPr="00790DD2">
        <w:rPr>
          <w:rFonts w:ascii="Garamond" w:hAnsi="Garamond"/>
          <w:lang w:val="en-AU"/>
        </w:rPr>
        <w:t>Raban</w:t>
      </w:r>
      <w:proofErr w:type="spellEnd"/>
      <w:r w:rsidRPr="00790DD2">
        <w:rPr>
          <w:rFonts w:ascii="Garamond" w:hAnsi="Garamond"/>
          <w:lang w:val="en-AU"/>
        </w:rPr>
        <w:t xml:space="preserve"> MZ, Woods </w:t>
      </w:r>
      <w:proofErr w:type="gramStart"/>
      <w:r w:rsidRPr="00790DD2">
        <w:rPr>
          <w:rFonts w:ascii="Garamond" w:hAnsi="Garamond"/>
          <w:lang w:val="en-AU"/>
        </w:rPr>
        <w:t>A</w:t>
      </w:r>
      <w:proofErr w:type="gramEnd"/>
      <w:r w:rsidRPr="00790DD2">
        <w:rPr>
          <w:rFonts w:ascii="Garamond" w:hAnsi="Garamond"/>
          <w:lang w:val="en-AU"/>
        </w:rPr>
        <w:t xml:space="preserve">, Koyama AK, </w:t>
      </w:r>
      <w:proofErr w:type="spellStart"/>
      <w:r w:rsidRPr="00790DD2">
        <w:rPr>
          <w:rFonts w:ascii="Garamond" w:hAnsi="Garamond"/>
          <w:lang w:val="en-AU"/>
        </w:rPr>
        <w:t>Baysari</w:t>
      </w:r>
      <w:proofErr w:type="spellEnd"/>
      <w:r w:rsidRPr="00790DD2">
        <w:rPr>
          <w:rFonts w:ascii="Garamond" w:hAnsi="Garamond"/>
          <w:lang w:val="en-AU"/>
        </w:rPr>
        <w:t xml:space="preserve"> MT, et al</w:t>
      </w:r>
    </w:p>
    <w:p w:rsidR="00FC05A1" w:rsidRDefault="00790DD2" w:rsidP="00442EA6">
      <w:pPr>
        <w:keepNext/>
        <w:keepLines/>
        <w:autoSpaceDE w:val="0"/>
        <w:autoSpaceDN w:val="0"/>
        <w:adjustRightInd w:val="0"/>
        <w:rPr>
          <w:rFonts w:ascii="Garamond" w:hAnsi="Garamond"/>
          <w:lang w:val="en-AU"/>
        </w:rPr>
      </w:pPr>
      <w:r w:rsidRPr="00790DD2">
        <w:rPr>
          <w:rFonts w:ascii="Garamond" w:hAnsi="Garamond"/>
          <w:lang w:val="en-AU"/>
        </w:rPr>
        <w:t xml:space="preserve">BMJ Quality &amp; Safety. </w:t>
      </w:r>
      <w:proofErr w:type="gramStart"/>
      <w:r w:rsidRPr="00790DD2">
        <w:rPr>
          <w:rFonts w:ascii="Garamond" w:hAnsi="Garamond"/>
          <w:lang w:val="en-AU"/>
        </w:rPr>
        <w:t>2020</w:t>
      </w:r>
      <w:proofErr w:type="gramEnd"/>
      <w:r>
        <w:rPr>
          <w:rFonts w:ascii="Garamond" w:hAnsi="Garamond"/>
          <w:lang w:val="en-AU"/>
        </w:rPr>
        <w:t xml:space="preserve"> [epub]</w:t>
      </w:r>
      <w:r w:rsidRPr="00790DD2">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442EA6" w:rsidRPr="000170DA" w:rsidTr="000E71CF">
        <w:tc>
          <w:tcPr>
            <w:tcW w:w="1080" w:type="dxa"/>
            <w:tcBorders>
              <w:top w:val="single" w:sz="4" w:space="0" w:color="auto"/>
              <w:left w:val="single" w:sz="4" w:space="0" w:color="auto"/>
              <w:bottom w:val="single" w:sz="4" w:space="0" w:color="auto"/>
              <w:right w:val="single" w:sz="4" w:space="0" w:color="auto"/>
            </w:tcBorders>
            <w:vAlign w:val="center"/>
          </w:tcPr>
          <w:p w:rsidR="00442EA6" w:rsidRPr="000170DA" w:rsidRDefault="00442EA6" w:rsidP="000E71C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42EA6" w:rsidRPr="000170DA" w:rsidRDefault="009A22A7" w:rsidP="000E71CF">
            <w:pPr>
              <w:keepNext/>
              <w:rPr>
                <w:rStyle w:val="Hyperlink"/>
                <w:rFonts w:ascii="Garamond" w:hAnsi="Garamond"/>
                <w:color w:val="auto"/>
                <w:u w:val="none"/>
                <w:lang w:val="en-AU"/>
              </w:rPr>
            </w:pPr>
            <w:hyperlink r:id="rId46" w:history="1">
              <w:r w:rsidR="00FC05A1" w:rsidRPr="00E27B55">
                <w:rPr>
                  <w:rStyle w:val="Hyperlink"/>
                  <w:rFonts w:ascii="Garamond" w:hAnsi="Garamond"/>
                  <w:lang w:val="en-AU"/>
                </w:rPr>
                <w:t>http://dx.doi.org/10.1136/bmjqs-2020-011473</w:t>
              </w:r>
            </w:hyperlink>
          </w:p>
        </w:tc>
      </w:tr>
      <w:tr w:rsidR="00442EA6" w:rsidRPr="000170DA" w:rsidTr="000E71CF">
        <w:tc>
          <w:tcPr>
            <w:tcW w:w="1080" w:type="dxa"/>
            <w:tcBorders>
              <w:top w:val="single" w:sz="4" w:space="0" w:color="auto"/>
              <w:left w:val="single" w:sz="4" w:space="0" w:color="auto"/>
              <w:bottom w:val="single" w:sz="4" w:space="0" w:color="auto"/>
              <w:right w:val="single" w:sz="4" w:space="0" w:color="auto"/>
            </w:tcBorders>
            <w:vAlign w:val="center"/>
          </w:tcPr>
          <w:p w:rsidR="00FC05A1" w:rsidRPr="000170DA" w:rsidRDefault="00442EA6" w:rsidP="00FC05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C05A1" w:rsidRPr="009A7AA8" w:rsidRDefault="009D590C" w:rsidP="009D590C">
            <w:pPr>
              <w:rPr>
                <w:rFonts w:ascii="Garamond" w:hAnsi="Garamond"/>
                <w:lang w:val="en-AU"/>
              </w:rPr>
            </w:pPr>
            <w:r w:rsidRPr="009D590C">
              <w:rPr>
                <w:rFonts w:ascii="Garamond" w:hAnsi="Garamond"/>
                <w:lang w:val="en-AU"/>
              </w:rPr>
              <w:t xml:space="preserve">The authors of this </w:t>
            </w:r>
            <w:r>
              <w:rPr>
                <w:rFonts w:ascii="Garamond" w:hAnsi="Garamond"/>
                <w:lang w:val="en-AU"/>
              </w:rPr>
              <w:t>piece observe that while d</w:t>
            </w:r>
            <w:r w:rsidRPr="009D590C">
              <w:rPr>
                <w:rFonts w:ascii="Garamond" w:hAnsi="Garamond"/>
                <w:lang w:val="en-AU"/>
              </w:rPr>
              <w:t xml:space="preserve">ouble-checking the administration of medications has been standard practice in paediatric hospitals </w:t>
            </w:r>
            <w:r>
              <w:rPr>
                <w:rFonts w:ascii="Garamond" w:hAnsi="Garamond"/>
                <w:lang w:val="en-AU"/>
              </w:rPr>
              <w:t xml:space="preserve">there is little </w:t>
            </w:r>
            <w:r w:rsidRPr="009D590C">
              <w:rPr>
                <w:rFonts w:ascii="Garamond" w:hAnsi="Garamond"/>
                <w:lang w:val="en-AU"/>
              </w:rPr>
              <w:t>evidence of its effectiveness in reducing errors or harm</w:t>
            </w:r>
            <w:r>
              <w:rPr>
                <w:rFonts w:ascii="Garamond" w:hAnsi="Garamond"/>
                <w:lang w:val="en-AU"/>
              </w:rPr>
              <w:t xml:space="preserve">. They sought to </w:t>
            </w:r>
            <w:r w:rsidRPr="009D590C">
              <w:rPr>
                <w:rFonts w:ascii="Garamond" w:hAnsi="Garamond"/>
                <w:lang w:val="en-AU"/>
              </w:rPr>
              <w:t>measure the association between double-checking, and the occurrence and potential severity of medication administration errors (MAEs); check duration; and factors associated with double-checking adherence</w:t>
            </w:r>
            <w:r>
              <w:rPr>
                <w:rFonts w:ascii="Garamond" w:hAnsi="Garamond"/>
                <w:lang w:val="en-AU"/>
              </w:rPr>
              <w:t xml:space="preserve"> through a d</w:t>
            </w:r>
            <w:r w:rsidRPr="009D590C">
              <w:rPr>
                <w:rFonts w:ascii="Garamond" w:hAnsi="Garamond"/>
                <w:lang w:val="en-AU"/>
              </w:rPr>
              <w:t>irect observational study of 298 nurses, administering 5140 medication doses to 1523 patients, across nine wards, in a paediatric hospital</w:t>
            </w:r>
            <w:r>
              <w:rPr>
                <w:rFonts w:ascii="Garamond" w:hAnsi="Garamond"/>
                <w:lang w:val="en-AU"/>
              </w:rPr>
              <w:t xml:space="preserve"> in Australia. They observed that compliance with mandated double-checking was high. However, </w:t>
            </w:r>
            <w:proofErr w:type="gramStart"/>
            <w:r>
              <w:rPr>
                <w:rFonts w:ascii="Garamond" w:hAnsi="Garamond"/>
                <w:lang w:val="en-AU"/>
              </w:rPr>
              <w:t>d</w:t>
            </w:r>
            <w:r w:rsidR="00FC05A1">
              <w:rPr>
                <w:rFonts w:ascii="Garamond" w:hAnsi="Garamond"/>
                <w:lang w:val="en-AU"/>
              </w:rPr>
              <w:t>ouble checking</w:t>
            </w:r>
            <w:proofErr w:type="gramEnd"/>
            <w:r w:rsidR="00FC05A1">
              <w:rPr>
                <w:rFonts w:ascii="Garamond" w:hAnsi="Garamond"/>
                <w:lang w:val="en-AU"/>
              </w:rPr>
              <w:t xml:space="preserve"> seems to confer little benefit as the author’s concluded ‘</w:t>
            </w:r>
            <w:r w:rsidR="00FC05A1" w:rsidRPr="00FC05A1">
              <w:rPr>
                <w:rFonts w:ascii="Garamond" w:hAnsi="Garamond"/>
                <w:lang w:val="en-AU"/>
              </w:rPr>
              <w:t xml:space="preserve">Compliance with mandated double-checking was very high, but rarely independent. Primed double-checking was highly prevalent but compared with </w:t>
            </w:r>
            <w:proofErr w:type="gramStart"/>
            <w:r w:rsidR="00FC05A1" w:rsidRPr="00FC05A1">
              <w:rPr>
                <w:rFonts w:ascii="Garamond" w:hAnsi="Garamond"/>
                <w:lang w:val="en-AU"/>
              </w:rPr>
              <w:t>single-checking</w:t>
            </w:r>
            <w:proofErr w:type="gramEnd"/>
            <w:r w:rsidR="00FC05A1" w:rsidRPr="00FC05A1">
              <w:rPr>
                <w:rFonts w:ascii="Garamond" w:hAnsi="Garamond"/>
                <w:lang w:val="en-AU"/>
              </w:rPr>
              <w:t xml:space="preserve"> conferred no benefit in terms of reduced errors or severity.</w:t>
            </w:r>
            <w:r w:rsidR="00FC05A1">
              <w:rPr>
                <w:rFonts w:ascii="Garamond" w:hAnsi="Garamond"/>
                <w:lang w:val="en-AU"/>
              </w:rPr>
              <w:t xml:space="preserve">’ </w:t>
            </w:r>
          </w:p>
        </w:tc>
      </w:tr>
    </w:tbl>
    <w:p w:rsidR="00063A49" w:rsidRDefault="00063A49" w:rsidP="00442EA6">
      <w:pPr>
        <w:rPr>
          <w:rFonts w:ascii="Garamond" w:hAnsi="Garamond"/>
          <w:lang w:val="en-AU"/>
        </w:rPr>
      </w:pPr>
    </w:p>
    <w:p w:rsidR="00F346D1" w:rsidRPr="00FC05A1" w:rsidRDefault="00F346D1" w:rsidP="00F346D1">
      <w:pPr>
        <w:keepNext/>
        <w:keepLines/>
        <w:autoSpaceDE w:val="0"/>
        <w:autoSpaceDN w:val="0"/>
        <w:adjustRightInd w:val="0"/>
        <w:rPr>
          <w:rFonts w:ascii="Garamond" w:hAnsi="Garamond"/>
          <w:i/>
          <w:lang w:val="en-AU"/>
        </w:rPr>
      </w:pPr>
      <w:r w:rsidRPr="00FC05A1">
        <w:rPr>
          <w:rFonts w:ascii="Garamond" w:hAnsi="Garamond"/>
          <w:i/>
          <w:lang w:val="en-AU"/>
        </w:rPr>
        <w:t xml:space="preserve">Hospital Accreditation Impact on Healthcare </w:t>
      </w:r>
      <w:proofErr w:type="gramStart"/>
      <w:r w:rsidRPr="00FC05A1">
        <w:rPr>
          <w:rFonts w:ascii="Garamond" w:hAnsi="Garamond"/>
          <w:i/>
          <w:lang w:val="en-AU"/>
        </w:rPr>
        <w:t xml:space="preserve">Quality </w:t>
      </w:r>
      <w:r>
        <w:rPr>
          <w:rFonts w:ascii="Garamond" w:hAnsi="Garamond"/>
          <w:i/>
          <w:lang w:val="en-AU"/>
        </w:rPr>
        <w:t xml:space="preserve"> </w:t>
      </w:r>
      <w:r w:rsidRPr="00FC05A1">
        <w:rPr>
          <w:rFonts w:ascii="Garamond" w:hAnsi="Garamond"/>
          <w:i/>
          <w:lang w:val="en-AU"/>
        </w:rPr>
        <w:t>Dimensions</w:t>
      </w:r>
      <w:proofErr w:type="gramEnd"/>
      <w:r w:rsidRPr="00FC05A1">
        <w:rPr>
          <w:rFonts w:ascii="Garamond" w:hAnsi="Garamond"/>
          <w:i/>
          <w:lang w:val="en-AU"/>
        </w:rPr>
        <w:t>: A Systematic Review</w:t>
      </w:r>
    </w:p>
    <w:p w:rsidR="00F346D1" w:rsidRDefault="00F346D1" w:rsidP="00F346D1">
      <w:pPr>
        <w:keepNext/>
        <w:keepLines/>
        <w:autoSpaceDE w:val="0"/>
        <w:autoSpaceDN w:val="0"/>
        <w:adjustRightInd w:val="0"/>
        <w:rPr>
          <w:rFonts w:ascii="Garamond" w:hAnsi="Garamond"/>
          <w:lang w:val="en-AU"/>
        </w:rPr>
      </w:pPr>
      <w:r w:rsidRPr="00577D19">
        <w:rPr>
          <w:rFonts w:ascii="Garamond" w:hAnsi="Garamond"/>
          <w:lang w:val="en-AU"/>
        </w:rPr>
        <w:t xml:space="preserve">Araujo CAS, </w:t>
      </w:r>
      <w:proofErr w:type="spellStart"/>
      <w:r w:rsidRPr="00577D19">
        <w:rPr>
          <w:rFonts w:ascii="Garamond" w:hAnsi="Garamond"/>
          <w:lang w:val="en-AU"/>
        </w:rPr>
        <w:t>Siqueira</w:t>
      </w:r>
      <w:proofErr w:type="spellEnd"/>
      <w:r w:rsidRPr="00577D19">
        <w:rPr>
          <w:rFonts w:ascii="Garamond" w:hAnsi="Garamond"/>
          <w:lang w:val="en-AU"/>
        </w:rPr>
        <w:t xml:space="preserve"> MM, </w:t>
      </w:r>
      <w:proofErr w:type="spellStart"/>
      <w:r w:rsidRPr="00577D19">
        <w:rPr>
          <w:rFonts w:ascii="Garamond" w:hAnsi="Garamond"/>
          <w:lang w:val="en-AU"/>
        </w:rPr>
        <w:t>Malikn</w:t>
      </w:r>
      <w:proofErr w:type="spellEnd"/>
      <w:r w:rsidRPr="00577D19">
        <w:rPr>
          <w:rFonts w:ascii="Garamond" w:hAnsi="Garamond"/>
          <w:lang w:val="en-AU"/>
        </w:rPr>
        <w:t xml:space="preserve"> AM</w:t>
      </w:r>
    </w:p>
    <w:p w:rsidR="00F346D1" w:rsidRDefault="00F346D1" w:rsidP="00F346D1">
      <w:pPr>
        <w:keepNext/>
        <w:keepLines/>
        <w:autoSpaceDE w:val="0"/>
        <w:autoSpaceDN w:val="0"/>
        <w:adjustRightInd w:val="0"/>
        <w:rPr>
          <w:rFonts w:ascii="Garamond" w:hAnsi="Garamond"/>
          <w:lang w:val="en-AU"/>
        </w:rPr>
      </w:pPr>
      <w:r w:rsidRPr="00577D19">
        <w:rPr>
          <w:rFonts w:ascii="Garamond" w:hAnsi="Garamond"/>
          <w:lang w:val="en-AU"/>
        </w:rPr>
        <w:t xml:space="preserve">International Journal for Quality in Health Care. </w:t>
      </w:r>
      <w:proofErr w:type="gramStart"/>
      <w:r w:rsidRPr="00577D19">
        <w:rPr>
          <w:rFonts w:ascii="Garamond" w:hAnsi="Garamond"/>
          <w:lang w:val="en-AU"/>
        </w:rPr>
        <w:t>2020</w:t>
      </w:r>
      <w:proofErr w:type="gramEnd"/>
      <w:r>
        <w:rPr>
          <w:rFonts w:ascii="Garamond" w:hAnsi="Garamond"/>
          <w:lang w:val="en-AU"/>
        </w:rPr>
        <w:t xml:space="preserve"> [epub]</w:t>
      </w:r>
      <w:r w:rsidRPr="00577D1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F346D1"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F346D1" w:rsidRPr="000170DA" w:rsidRDefault="00F346D1" w:rsidP="0084302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46D1" w:rsidRPr="000170DA" w:rsidRDefault="00F346D1" w:rsidP="0084302B">
            <w:pPr>
              <w:keepNext/>
              <w:rPr>
                <w:rStyle w:val="Hyperlink"/>
                <w:rFonts w:ascii="Garamond" w:hAnsi="Garamond"/>
                <w:color w:val="auto"/>
                <w:u w:val="none"/>
                <w:lang w:val="en-AU"/>
              </w:rPr>
            </w:pPr>
            <w:hyperlink r:id="rId47" w:history="1">
              <w:r w:rsidRPr="00E27B55">
                <w:rPr>
                  <w:rStyle w:val="Hyperlink"/>
                  <w:rFonts w:ascii="Garamond" w:hAnsi="Garamond"/>
                  <w:lang w:val="en-AU"/>
                </w:rPr>
                <w:t>https://doi.org/10.1093/intqhc/mzaa090</w:t>
              </w:r>
            </w:hyperlink>
          </w:p>
        </w:tc>
      </w:tr>
      <w:tr w:rsidR="00F346D1"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F346D1" w:rsidRPr="000170DA" w:rsidRDefault="00F346D1"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6D1" w:rsidRPr="009A7AA8" w:rsidRDefault="00F346D1" w:rsidP="0084302B">
            <w:pPr>
              <w:rPr>
                <w:rFonts w:ascii="Garamond" w:hAnsi="Garamond"/>
                <w:lang w:val="en-AU"/>
              </w:rPr>
            </w:pPr>
            <w:r>
              <w:rPr>
                <w:rFonts w:ascii="Garamond" w:hAnsi="Garamond"/>
                <w:lang w:val="en-AU"/>
              </w:rPr>
              <w:t xml:space="preserve">The role and impact of accreditation in ensuring safety and quality of health care delivery </w:t>
            </w:r>
            <w:proofErr w:type="gramStart"/>
            <w:r>
              <w:rPr>
                <w:rFonts w:ascii="Garamond" w:hAnsi="Garamond"/>
                <w:lang w:val="en-AU"/>
              </w:rPr>
              <w:t>has been debated</w:t>
            </w:r>
            <w:proofErr w:type="gramEnd"/>
            <w:r>
              <w:rPr>
                <w:rFonts w:ascii="Garamond" w:hAnsi="Garamond"/>
                <w:lang w:val="en-AU"/>
              </w:rPr>
              <w:t xml:space="preserve"> for some time. This review sought to examine ‘</w:t>
            </w:r>
            <w:r w:rsidRPr="00FC05A1">
              <w:rPr>
                <w:rFonts w:ascii="Garamond" w:hAnsi="Garamond"/>
                <w:lang w:val="en-AU"/>
              </w:rPr>
              <w:t>the impact of hospital accreditation on healthcare quality indicators, as classified into seven healthcare quality dimensions.</w:t>
            </w:r>
            <w:r>
              <w:rPr>
                <w:rFonts w:ascii="Garamond" w:hAnsi="Garamond"/>
                <w:lang w:val="en-AU"/>
              </w:rPr>
              <w:t>’ From the 36 studies included in the review, the authors report that ‘</w:t>
            </w:r>
            <w:r w:rsidRPr="00FC05A1">
              <w:rPr>
                <w:rFonts w:ascii="Garamond" w:hAnsi="Garamond"/>
                <w:lang w:val="en-AU"/>
              </w:rPr>
              <w:t xml:space="preserve">accreditation may have a positive impact on efficiency, safety, effectiveness, timeliness, and patient-centeredness. In turn, only one study </w:t>
            </w:r>
            <w:proofErr w:type="spellStart"/>
            <w:r w:rsidRPr="00FC05A1">
              <w:rPr>
                <w:rFonts w:ascii="Garamond" w:hAnsi="Garamond"/>
                <w:lang w:val="en-AU"/>
              </w:rPr>
              <w:t>analyzes</w:t>
            </w:r>
            <w:proofErr w:type="spellEnd"/>
            <w:r w:rsidRPr="00FC05A1">
              <w:rPr>
                <w:rFonts w:ascii="Garamond" w:hAnsi="Garamond"/>
                <w:lang w:val="en-AU"/>
              </w:rPr>
              <w:t xml:space="preserve"> the impact on access, and no study has investigated the impact on equity dimension yet.</w:t>
            </w:r>
            <w:r>
              <w:rPr>
                <w:rFonts w:ascii="Garamond" w:hAnsi="Garamond"/>
                <w:lang w:val="en-AU"/>
              </w:rPr>
              <w:t>’</w:t>
            </w:r>
          </w:p>
        </w:tc>
      </w:tr>
    </w:tbl>
    <w:p w:rsidR="00F346D1" w:rsidRDefault="00F346D1" w:rsidP="00F346D1">
      <w:pPr>
        <w:rPr>
          <w:rFonts w:ascii="Garamond" w:hAnsi="Garamond"/>
          <w:lang w:val="en-AU"/>
        </w:rPr>
      </w:pPr>
    </w:p>
    <w:p w:rsidR="009B2CFD" w:rsidRPr="00FC05A1" w:rsidRDefault="009B2CFD" w:rsidP="009B2CFD">
      <w:pPr>
        <w:keepNext/>
        <w:keepLines/>
        <w:autoSpaceDE w:val="0"/>
        <w:autoSpaceDN w:val="0"/>
        <w:adjustRightInd w:val="0"/>
        <w:rPr>
          <w:rFonts w:ascii="Garamond" w:hAnsi="Garamond"/>
          <w:i/>
          <w:lang w:val="en-AU"/>
        </w:rPr>
      </w:pPr>
      <w:r w:rsidRPr="00FC05A1">
        <w:rPr>
          <w:rFonts w:ascii="Garamond" w:hAnsi="Garamond"/>
          <w:i/>
          <w:lang w:val="en-AU"/>
        </w:rPr>
        <w:t xml:space="preserve">Safety in </w:t>
      </w:r>
      <w:proofErr w:type="spellStart"/>
      <w:r w:rsidRPr="00FC05A1">
        <w:rPr>
          <w:rFonts w:ascii="Garamond" w:hAnsi="Garamond"/>
          <w:i/>
          <w:lang w:val="en-AU"/>
        </w:rPr>
        <w:t>Pediatric</w:t>
      </w:r>
      <w:proofErr w:type="spellEnd"/>
      <w:r w:rsidRPr="00FC05A1">
        <w:rPr>
          <w:rFonts w:ascii="Garamond" w:hAnsi="Garamond"/>
          <w:i/>
          <w:lang w:val="en-AU"/>
        </w:rPr>
        <w:t xml:space="preserve"> Hospice and Palliative Care: A Qualitative Study</w:t>
      </w:r>
    </w:p>
    <w:p w:rsidR="009B2CFD" w:rsidRDefault="009B2CFD" w:rsidP="009B2CFD">
      <w:pPr>
        <w:keepNext/>
        <w:keepLines/>
        <w:autoSpaceDE w:val="0"/>
        <w:autoSpaceDN w:val="0"/>
        <w:adjustRightInd w:val="0"/>
        <w:rPr>
          <w:rFonts w:ascii="Garamond" w:hAnsi="Garamond"/>
          <w:lang w:val="en-AU"/>
        </w:rPr>
      </w:pPr>
      <w:proofErr w:type="spellStart"/>
      <w:r w:rsidRPr="00577D19">
        <w:rPr>
          <w:rFonts w:ascii="Garamond" w:hAnsi="Garamond"/>
          <w:lang w:val="en-AU"/>
        </w:rPr>
        <w:t>Pestian</w:t>
      </w:r>
      <w:proofErr w:type="spellEnd"/>
      <w:r w:rsidRPr="00577D19">
        <w:rPr>
          <w:rFonts w:ascii="Garamond" w:hAnsi="Garamond"/>
          <w:lang w:val="en-AU"/>
        </w:rPr>
        <w:t xml:space="preserve"> T, </w:t>
      </w:r>
      <w:proofErr w:type="spellStart"/>
      <w:r w:rsidRPr="00577D19">
        <w:rPr>
          <w:rFonts w:ascii="Garamond" w:hAnsi="Garamond"/>
          <w:lang w:val="en-AU"/>
        </w:rPr>
        <w:t>Thienprayoon</w:t>
      </w:r>
      <w:proofErr w:type="spellEnd"/>
      <w:r w:rsidRPr="00577D19">
        <w:rPr>
          <w:rFonts w:ascii="Garamond" w:hAnsi="Garamond"/>
          <w:lang w:val="en-AU"/>
        </w:rPr>
        <w:t xml:space="preserve"> R, </w:t>
      </w:r>
      <w:proofErr w:type="spellStart"/>
      <w:r w:rsidRPr="00577D19">
        <w:rPr>
          <w:rFonts w:ascii="Garamond" w:hAnsi="Garamond"/>
          <w:lang w:val="en-AU"/>
        </w:rPr>
        <w:t>Grossoehme</w:t>
      </w:r>
      <w:proofErr w:type="spellEnd"/>
      <w:r w:rsidRPr="00577D19">
        <w:rPr>
          <w:rFonts w:ascii="Garamond" w:hAnsi="Garamond"/>
          <w:lang w:val="en-AU"/>
        </w:rPr>
        <w:t xml:space="preserve"> D, </w:t>
      </w:r>
      <w:proofErr w:type="spellStart"/>
      <w:r w:rsidRPr="00577D19">
        <w:rPr>
          <w:rFonts w:ascii="Garamond" w:hAnsi="Garamond"/>
          <w:lang w:val="en-AU"/>
        </w:rPr>
        <w:t>Friebert</w:t>
      </w:r>
      <w:proofErr w:type="spellEnd"/>
      <w:r w:rsidRPr="00577D19">
        <w:rPr>
          <w:rFonts w:ascii="Garamond" w:hAnsi="Garamond"/>
          <w:lang w:val="en-AU"/>
        </w:rPr>
        <w:t xml:space="preserve"> S, Humphrey L</w:t>
      </w:r>
    </w:p>
    <w:p w:rsidR="009B2CFD" w:rsidRDefault="009B2CFD" w:rsidP="009B2CFD">
      <w:pPr>
        <w:keepNext/>
        <w:keepLines/>
        <w:autoSpaceDE w:val="0"/>
        <w:autoSpaceDN w:val="0"/>
        <w:adjustRightInd w:val="0"/>
        <w:rPr>
          <w:rFonts w:ascii="Garamond" w:hAnsi="Garamond"/>
          <w:lang w:val="en-AU"/>
        </w:rPr>
      </w:pPr>
      <w:proofErr w:type="spellStart"/>
      <w:r w:rsidRPr="00577D19">
        <w:rPr>
          <w:rFonts w:ascii="Garamond" w:hAnsi="Garamond"/>
          <w:lang w:val="en-AU"/>
        </w:rPr>
        <w:t>Pediatric</w:t>
      </w:r>
      <w:proofErr w:type="spellEnd"/>
      <w:r w:rsidRPr="00577D19">
        <w:rPr>
          <w:rFonts w:ascii="Garamond" w:hAnsi="Garamond"/>
          <w:lang w:val="en-AU"/>
        </w:rPr>
        <w:t xml:space="preserve"> Quality &amp; Safety. 2020</w:t>
      </w:r>
      <w:proofErr w:type="gramStart"/>
      <w:r w:rsidRPr="00577D19">
        <w:rPr>
          <w:rFonts w:ascii="Garamond" w:hAnsi="Garamond"/>
          <w:lang w:val="en-AU"/>
        </w:rPr>
        <w:t>;5</w:t>
      </w:r>
      <w:proofErr w:type="gramEnd"/>
      <w:r w:rsidRPr="00577D19">
        <w:rPr>
          <w:rFonts w:ascii="Garamond" w:hAnsi="Garamond"/>
          <w:lang w:val="en-AU"/>
        </w:rPr>
        <w:t>(4):e328.</w:t>
      </w:r>
    </w:p>
    <w:tbl>
      <w:tblPr>
        <w:tblStyle w:val="TableGrid"/>
        <w:tblW w:w="9360" w:type="dxa"/>
        <w:tblInd w:w="288" w:type="dxa"/>
        <w:tblLayout w:type="fixed"/>
        <w:tblLook w:val="01E0" w:firstRow="1" w:lastRow="1" w:firstColumn="1" w:lastColumn="1" w:noHBand="0" w:noVBand="0"/>
      </w:tblPr>
      <w:tblGrid>
        <w:gridCol w:w="1080"/>
        <w:gridCol w:w="8280"/>
      </w:tblGrid>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keepNext/>
              <w:rPr>
                <w:rStyle w:val="Hyperlink"/>
                <w:rFonts w:ascii="Garamond" w:hAnsi="Garamond"/>
                <w:color w:val="auto"/>
                <w:u w:val="none"/>
                <w:lang w:val="en-AU"/>
              </w:rPr>
            </w:pPr>
            <w:hyperlink r:id="rId48" w:history="1">
              <w:r w:rsidRPr="00E27B55">
                <w:rPr>
                  <w:rStyle w:val="Hyperlink"/>
                  <w:rFonts w:ascii="Garamond" w:hAnsi="Garamond"/>
                  <w:lang w:val="en-AU"/>
                </w:rPr>
                <w:t>https://doi.org/10.1097/pq9.0000000000000328</w:t>
              </w:r>
            </w:hyperlink>
            <w:r>
              <w:rPr>
                <w:rStyle w:val="Hyperlink"/>
                <w:rFonts w:ascii="Garamond" w:hAnsi="Garamond"/>
                <w:color w:val="auto"/>
                <w:u w:val="none"/>
                <w:lang w:val="en-AU"/>
              </w:rPr>
              <w:t xml:space="preserve"> </w:t>
            </w:r>
          </w:p>
        </w:tc>
      </w:tr>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9A7AA8" w:rsidRDefault="009B2CFD" w:rsidP="0084302B">
            <w:pPr>
              <w:rPr>
                <w:rFonts w:ascii="Garamond" w:hAnsi="Garamond"/>
                <w:lang w:val="en-AU"/>
              </w:rPr>
            </w:pPr>
            <w:r>
              <w:rPr>
                <w:rFonts w:ascii="Garamond" w:hAnsi="Garamond"/>
                <w:lang w:val="en-AU"/>
              </w:rPr>
              <w:t xml:space="preserve">Different healthcare settings can pose differing patient safety issues. This piece examines parental and care giver views on what constitutes safe care in the particular setting of paediatric hospice and palliative care. Based on interviews with 43 parents across 3 </w:t>
            </w:r>
            <w:r w:rsidRPr="00F346D1">
              <w:rPr>
                <w:rFonts w:ascii="Garamond" w:hAnsi="Garamond"/>
                <w:lang w:val="en-AU"/>
              </w:rPr>
              <w:t>p</w:t>
            </w:r>
            <w:r>
              <w:rPr>
                <w:rFonts w:ascii="Garamond" w:hAnsi="Garamond"/>
                <w:lang w:val="en-AU"/>
              </w:rPr>
              <w:t>a</w:t>
            </w:r>
            <w:r w:rsidRPr="00F346D1">
              <w:rPr>
                <w:rFonts w:ascii="Garamond" w:hAnsi="Garamond"/>
                <w:lang w:val="en-AU"/>
              </w:rPr>
              <w:t>ediatric tertiary care hospitals</w:t>
            </w:r>
            <w:r>
              <w:rPr>
                <w:rFonts w:ascii="Garamond" w:hAnsi="Garamond"/>
                <w:lang w:val="en-AU"/>
              </w:rPr>
              <w:t>. The authors report that ‘</w:t>
            </w:r>
            <w:r w:rsidRPr="009B2CFD">
              <w:rPr>
                <w:rFonts w:ascii="Garamond" w:hAnsi="Garamond"/>
                <w:lang w:val="en-AU"/>
              </w:rPr>
              <w:t>Parents of children in HPC programs describe “safe care” in novel ways</w:t>
            </w:r>
            <w:r>
              <w:rPr>
                <w:rFonts w:ascii="Garamond" w:hAnsi="Garamond"/>
                <w:lang w:val="en-AU"/>
              </w:rPr>
              <w:t>’ and that ‘</w:t>
            </w:r>
            <w:r w:rsidRPr="009B2CFD">
              <w:rPr>
                <w:rFonts w:ascii="Garamond" w:hAnsi="Garamond"/>
                <w:lang w:val="en-AU"/>
              </w:rPr>
              <w:t>The use of traditional hospital safety measures for patients receiving HPC could undermine the patient’s goals or dignity, ultimately leading to harm to the patient.</w:t>
            </w:r>
            <w:r>
              <w:rPr>
                <w:rFonts w:ascii="Garamond" w:hAnsi="Garamond"/>
                <w:lang w:val="en-AU"/>
              </w:rPr>
              <w:t>’</w:t>
            </w:r>
          </w:p>
        </w:tc>
      </w:tr>
    </w:tbl>
    <w:p w:rsidR="009B2CFD" w:rsidRDefault="009B2CFD" w:rsidP="009B2CFD">
      <w:pPr>
        <w:rPr>
          <w:rFonts w:ascii="Garamond" w:hAnsi="Garamond"/>
          <w:lang w:val="en-AU"/>
        </w:rPr>
      </w:pPr>
    </w:p>
    <w:p w:rsidR="009B2CFD" w:rsidRDefault="009B2CFD" w:rsidP="009B2CFD">
      <w:pPr>
        <w:rPr>
          <w:rFonts w:ascii="Garamond" w:hAnsi="Garamond"/>
          <w:lang w:val="en-AU"/>
        </w:rPr>
      </w:pPr>
      <w:r w:rsidRPr="00BE05A3">
        <w:rPr>
          <w:rFonts w:ascii="Garamond" w:hAnsi="Garamond"/>
          <w:lang w:val="en-AU"/>
        </w:rPr>
        <w:t xml:space="preserve">For information on the Commission’s work on </w:t>
      </w:r>
      <w:r>
        <w:rPr>
          <w:rFonts w:ascii="Garamond" w:hAnsi="Garamond"/>
          <w:lang w:val="en-AU"/>
        </w:rPr>
        <w:t xml:space="preserve">end-of-life care, see </w:t>
      </w:r>
      <w:hyperlink r:id="rId49" w:history="1">
        <w:r w:rsidRPr="00E27B55">
          <w:rPr>
            <w:rStyle w:val="Hyperlink"/>
            <w:rFonts w:ascii="Garamond" w:hAnsi="Garamond"/>
            <w:lang w:val="en-AU"/>
          </w:rPr>
          <w:t>https://www.safetyandquality.gov.au/our-work/end-life-care</w:t>
        </w:r>
      </w:hyperlink>
    </w:p>
    <w:p w:rsidR="00FC05A1" w:rsidRPr="00FC05A1" w:rsidRDefault="00FC05A1" w:rsidP="00FC05A1">
      <w:pPr>
        <w:keepNext/>
        <w:keepLines/>
        <w:autoSpaceDE w:val="0"/>
        <w:autoSpaceDN w:val="0"/>
        <w:adjustRightInd w:val="0"/>
        <w:rPr>
          <w:rFonts w:ascii="Garamond" w:hAnsi="Garamond"/>
          <w:i/>
          <w:lang w:val="en-AU"/>
        </w:rPr>
      </w:pPr>
      <w:r w:rsidRPr="00FC05A1">
        <w:rPr>
          <w:rFonts w:ascii="Garamond" w:hAnsi="Garamond"/>
          <w:i/>
          <w:lang w:val="en-AU"/>
        </w:rPr>
        <w:lastRenderedPageBreak/>
        <w:t xml:space="preserve">Effect of Treating Parents Colonized </w:t>
      </w:r>
      <w:proofErr w:type="gramStart"/>
      <w:r w:rsidRPr="00FC05A1">
        <w:rPr>
          <w:rFonts w:ascii="Garamond" w:hAnsi="Garamond"/>
          <w:i/>
          <w:lang w:val="en-AU"/>
        </w:rPr>
        <w:t>With</w:t>
      </w:r>
      <w:proofErr w:type="gramEnd"/>
      <w:r w:rsidRPr="00FC05A1">
        <w:rPr>
          <w:rFonts w:ascii="Garamond" w:hAnsi="Garamond"/>
          <w:i/>
          <w:lang w:val="en-AU"/>
        </w:rPr>
        <w:t xml:space="preserve"> </w:t>
      </w:r>
      <w:r w:rsidRPr="00FC05A1">
        <w:rPr>
          <w:rFonts w:ascii="Garamond" w:hAnsi="Garamond"/>
          <w:lang w:val="en-AU"/>
        </w:rPr>
        <w:t>Staphylococcus aureus</w:t>
      </w:r>
      <w:r w:rsidRPr="00FC05A1">
        <w:rPr>
          <w:rFonts w:ascii="Garamond" w:hAnsi="Garamond"/>
          <w:i/>
          <w:lang w:val="en-AU"/>
        </w:rPr>
        <w:t xml:space="preserve"> on Transmission to Neonates in the Intensive Care Unit: A Randomized Clinical Trial</w:t>
      </w:r>
    </w:p>
    <w:p w:rsidR="00790DD2" w:rsidRDefault="00790DD2" w:rsidP="00FC05A1">
      <w:pPr>
        <w:keepNext/>
        <w:keepLines/>
        <w:autoSpaceDE w:val="0"/>
        <w:autoSpaceDN w:val="0"/>
        <w:adjustRightInd w:val="0"/>
        <w:rPr>
          <w:rFonts w:ascii="Garamond" w:hAnsi="Garamond"/>
          <w:lang w:val="en-AU"/>
        </w:rPr>
      </w:pPr>
      <w:proofErr w:type="spellStart"/>
      <w:r w:rsidRPr="00790DD2">
        <w:rPr>
          <w:rFonts w:ascii="Garamond" w:hAnsi="Garamond"/>
          <w:lang w:val="en-AU"/>
        </w:rPr>
        <w:t>Milstone</w:t>
      </w:r>
      <w:proofErr w:type="spellEnd"/>
      <w:r w:rsidRPr="00790DD2">
        <w:rPr>
          <w:rFonts w:ascii="Garamond" w:hAnsi="Garamond"/>
          <w:lang w:val="en-AU"/>
        </w:rPr>
        <w:t xml:space="preserve"> AM, </w:t>
      </w:r>
      <w:proofErr w:type="spellStart"/>
      <w:r w:rsidRPr="00790DD2">
        <w:rPr>
          <w:rFonts w:ascii="Garamond" w:hAnsi="Garamond"/>
          <w:lang w:val="en-AU"/>
        </w:rPr>
        <w:t>Voskertchian</w:t>
      </w:r>
      <w:proofErr w:type="spellEnd"/>
      <w:r w:rsidRPr="00790DD2">
        <w:rPr>
          <w:rFonts w:ascii="Garamond" w:hAnsi="Garamond"/>
          <w:lang w:val="en-AU"/>
        </w:rPr>
        <w:t xml:space="preserve"> A, Koontz DW, </w:t>
      </w:r>
      <w:proofErr w:type="spellStart"/>
      <w:r w:rsidRPr="00790DD2">
        <w:rPr>
          <w:rFonts w:ascii="Garamond" w:hAnsi="Garamond"/>
          <w:lang w:val="en-AU"/>
        </w:rPr>
        <w:t>Khamash</w:t>
      </w:r>
      <w:proofErr w:type="spellEnd"/>
      <w:r w:rsidRPr="00790DD2">
        <w:rPr>
          <w:rFonts w:ascii="Garamond" w:hAnsi="Garamond"/>
          <w:lang w:val="en-AU"/>
        </w:rPr>
        <w:t xml:space="preserve"> DF, Ross T, </w:t>
      </w:r>
      <w:proofErr w:type="spellStart"/>
      <w:r w:rsidRPr="00790DD2">
        <w:rPr>
          <w:rFonts w:ascii="Garamond" w:hAnsi="Garamond"/>
          <w:lang w:val="en-AU"/>
        </w:rPr>
        <w:t>Aucott</w:t>
      </w:r>
      <w:proofErr w:type="spellEnd"/>
      <w:r w:rsidRPr="00790DD2">
        <w:rPr>
          <w:rFonts w:ascii="Garamond" w:hAnsi="Garamond"/>
          <w:lang w:val="en-AU"/>
        </w:rPr>
        <w:t xml:space="preserve"> SW, et al</w:t>
      </w:r>
    </w:p>
    <w:p w:rsidR="00FC05A1" w:rsidRDefault="00790DD2" w:rsidP="00FC05A1">
      <w:pPr>
        <w:keepNext/>
        <w:keepLines/>
        <w:autoSpaceDE w:val="0"/>
        <w:autoSpaceDN w:val="0"/>
        <w:adjustRightInd w:val="0"/>
        <w:rPr>
          <w:rFonts w:ascii="Garamond" w:hAnsi="Garamond"/>
          <w:lang w:val="en-AU"/>
        </w:rPr>
      </w:pPr>
      <w:r w:rsidRPr="00790DD2">
        <w:rPr>
          <w:rFonts w:ascii="Garamond" w:hAnsi="Garamond"/>
          <w:lang w:val="en-AU"/>
        </w:rPr>
        <w:t>JAMA. 2020</w:t>
      </w:r>
      <w:proofErr w:type="gramStart"/>
      <w:r w:rsidRPr="00790DD2">
        <w:rPr>
          <w:rFonts w:ascii="Garamond" w:hAnsi="Garamond"/>
          <w:lang w:val="en-AU"/>
        </w:rPr>
        <w:t>;323</w:t>
      </w:r>
      <w:proofErr w:type="gramEnd"/>
      <w:r w:rsidRPr="00790DD2">
        <w:rPr>
          <w:rFonts w:ascii="Garamond" w:hAnsi="Garamond"/>
          <w:lang w:val="en-AU"/>
        </w:rPr>
        <w:t>(4):319-328.</w:t>
      </w:r>
    </w:p>
    <w:tbl>
      <w:tblPr>
        <w:tblStyle w:val="TableGrid"/>
        <w:tblW w:w="9360" w:type="dxa"/>
        <w:tblInd w:w="288" w:type="dxa"/>
        <w:tblLayout w:type="fixed"/>
        <w:tblLook w:val="01E0" w:firstRow="1" w:lastRow="1" w:firstColumn="1" w:lastColumn="1" w:noHBand="0" w:noVBand="0"/>
      </w:tblPr>
      <w:tblGrid>
        <w:gridCol w:w="1080"/>
        <w:gridCol w:w="8280"/>
      </w:tblGrid>
      <w:tr w:rsidR="00B0351C" w:rsidRPr="000170DA" w:rsidTr="00030B31">
        <w:tc>
          <w:tcPr>
            <w:tcW w:w="1080" w:type="dxa"/>
            <w:tcBorders>
              <w:top w:val="single" w:sz="4" w:space="0" w:color="auto"/>
              <w:left w:val="single" w:sz="4" w:space="0" w:color="auto"/>
              <w:bottom w:val="single" w:sz="4" w:space="0" w:color="auto"/>
              <w:right w:val="single" w:sz="4" w:space="0" w:color="auto"/>
            </w:tcBorders>
            <w:vAlign w:val="center"/>
          </w:tcPr>
          <w:p w:rsidR="00B0351C" w:rsidRPr="000170DA" w:rsidRDefault="00B0351C" w:rsidP="00030B3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351C" w:rsidRPr="000170DA" w:rsidRDefault="009A22A7" w:rsidP="00030B31">
            <w:pPr>
              <w:keepNext/>
              <w:rPr>
                <w:rStyle w:val="Hyperlink"/>
                <w:rFonts w:ascii="Garamond" w:hAnsi="Garamond"/>
                <w:color w:val="auto"/>
                <w:u w:val="none"/>
                <w:lang w:val="en-AU"/>
              </w:rPr>
            </w:pPr>
            <w:hyperlink r:id="rId50" w:history="1">
              <w:r w:rsidR="00FC05A1" w:rsidRPr="00E27B55">
                <w:rPr>
                  <w:rStyle w:val="Hyperlink"/>
                  <w:rFonts w:ascii="Garamond" w:hAnsi="Garamond"/>
                  <w:lang w:val="en-AU"/>
                </w:rPr>
                <w:t>https://doi.org/10.1001/jama.2019.20785</w:t>
              </w:r>
            </w:hyperlink>
          </w:p>
        </w:tc>
      </w:tr>
      <w:tr w:rsidR="00B0351C" w:rsidRPr="000170DA" w:rsidTr="00030B31">
        <w:tc>
          <w:tcPr>
            <w:tcW w:w="1080" w:type="dxa"/>
            <w:tcBorders>
              <w:top w:val="single" w:sz="4" w:space="0" w:color="auto"/>
              <w:left w:val="single" w:sz="4" w:space="0" w:color="auto"/>
              <w:bottom w:val="single" w:sz="4" w:space="0" w:color="auto"/>
              <w:right w:val="single" w:sz="4" w:space="0" w:color="auto"/>
            </w:tcBorders>
            <w:vAlign w:val="center"/>
          </w:tcPr>
          <w:p w:rsidR="00B0351C" w:rsidRPr="000170DA" w:rsidRDefault="00B0351C" w:rsidP="00030B3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C05A1" w:rsidRPr="009A7AA8" w:rsidRDefault="009B2CFD" w:rsidP="009B2CFD">
            <w:pPr>
              <w:rPr>
                <w:rFonts w:ascii="Garamond" w:hAnsi="Garamond"/>
                <w:lang w:val="en-AU"/>
              </w:rPr>
            </w:pPr>
            <w:r>
              <w:rPr>
                <w:rFonts w:ascii="Garamond" w:hAnsi="Garamond"/>
                <w:lang w:val="en-AU"/>
              </w:rPr>
              <w:t xml:space="preserve">It </w:t>
            </w:r>
            <w:proofErr w:type="gramStart"/>
            <w:r>
              <w:rPr>
                <w:rFonts w:ascii="Garamond" w:hAnsi="Garamond"/>
                <w:lang w:val="en-AU"/>
              </w:rPr>
              <w:t>is understood</w:t>
            </w:r>
            <w:proofErr w:type="gramEnd"/>
            <w:r>
              <w:rPr>
                <w:rFonts w:ascii="Garamond" w:hAnsi="Garamond"/>
                <w:lang w:val="en-AU"/>
              </w:rPr>
              <w:t xml:space="preserve"> that </w:t>
            </w:r>
            <w:r w:rsidRPr="009B2CFD">
              <w:rPr>
                <w:rFonts w:ascii="Garamond" w:hAnsi="Garamond"/>
                <w:i/>
                <w:lang w:val="en-AU"/>
              </w:rPr>
              <w:t>Staphylococcus aureus</w:t>
            </w:r>
            <w:r w:rsidRPr="009B2CFD">
              <w:rPr>
                <w:rFonts w:ascii="Garamond" w:hAnsi="Garamond"/>
                <w:lang w:val="en-AU"/>
              </w:rPr>
              <w:t xml:space="preserve"> is a </w:t>
            </w:r>
            <w:r>
              <w:rPr>
                <w:rFonts w:ascii="Garamond" w:hAnsi="Garamond"/>
                <w:lang w:val="en-AU"/>
              </w:rPr>
              <w:t xml:space="preserve">major </w:t>
            </w:r>
            <w:r w:rsidRPr="009B2CFD">
              <w:rPr>
                <w:rFonts w:ascii="Garamond" w:hAnsi="Garamond"/>
                <w:lang w:val="en-AU"/>
              </w:rPr>
              <w:t>cause of health care–associated infections in neonatal intensive care unit</w:t>
            </w:r>
            <w:r>
              <w:rPr>
                <w:rFonts w:ascii="Garamond" w:hAnsi="Garamond"/>
                <w:lang w:val="en-AU"/>
              </w:rPr>
              <w:t>s</w:t>
            </w:r>
            <w:r w:rsidRPr="009B2CFD">
              <w:rPr>
                <w:rFonts w:ascii="Garamond" w:hAnsi="Garamond"/>
                <w:lang w:val="en-AU"/>
              </w:rPr>
              <w:t xml:space="preserve"> (NICU)</w:t>
            </w:r>
            <w:r>
              <w:rPr>
                <w:rFonts w:ascii="Garamond" w:hAnsi="Garamond"/>
                <w:lang w:val="en-AU"/>
              </w:rPr>
              <w:t xml:space="preserve"> and that parents may expose neonates to </w:t>
            </w:r>
            <w:r w:rsidRPr="009B2CFD">
              <w:rPr>
                <w:rFonts w:ascii="Garamond" w:hAnsi="Garamond"/>
                <w:i/>
                <w:lang w:val="en-AU"/>
              </w:rPr>
              <w:t>S aureus</w:t>
            </w:r>
            <w:r>
              <w:rPr>
                <w:rFonts w:ascii="Garamond" w:hAnsi="Garamond"/>
                <w:i/>
                <w:lang w:val="en-AU"/>
              </w:rPr>
              <w:t xml:space="preserve"> </w:t>
            </w:r>
            <w:r>
              <w:rPr>
                <w:rFonts w:ascii="Garamond" w:hAnsi="Garamond"/>
                <w:lang w:val="en-AU"/>
              </w:rPr>
              <w:t>colonization</w:t>
            </w:r>
            <w:r w:rsidRPr="009B2CFD">
              <w:rPr>
                <w:rFonts w:ascii="Garamond" w:hAnsi="Garamond"/>
                <w:lang w:val="en-AU"/>
              </w:rPr>
              <w:t>.</w:t>
            </w:r>
            <w:r>
              <w:rPr>
                <w:rFonts w:ascii="Garamond" w:hAnsi="Garamond"/>
                <w:lang w:val="en-AU"/>
              </w:rPr>
              <w:t xml:space="preserve"> This study sought to examine if t</w:t>
            </w:r>
            <w:r w:rsidR="00FC05A1" w:rsidRPr="00FC05A1">
              <w:rPr>
                <w:rFonts w:ascii="Garamond" w:hAnsi="Garamond"/>
                <w:lang w:val="en-AU"/>
              </w:rPr>
              <w:t xml:space="preserve">reating colonized parents reduce </w:t>
            </w:r>
            <w:r>
              <w:rPr>
                <w:rFonts w:ascii="Garamond" w:hAnsi="Garamond"/>
                <w:lang w:val="en-AU"/>
              </w:rPr>
              <w:t xml:space="preserve">the </w:t>
            </w:r>
            <w:r w:rsidR="00FC05A1" w:rsidRPr="00FC05A1">
              <w:rPr>
                <w:rFonts w:ascii="Garamond" w:hAnsi="Garamond"/>
                <w:lang w:val="en-AU"/>
              </w:rPr>
              <w:t xml:space="preserve">risk of </w:t>
            </w:r>
            <w:r w:rsidR="00FC05A1" w:rsidRPr="00FC05A1">
              <w:rPr>
                <w:rFonts w:ascii="Garamond" w:hAnsi="Garamond"/>
                <w:i/>
                <w:lang w:val="en-AU"/>
              </w:rPr>
              <w:t>S aureus</w:t>
            </w:r>
            <w:r w:rsidR="00FC05A1" w:rsidRPr="00FC05A1">
              <w:rPr>
                <w:rFonts w:ascii="Garamond" w:hAnsi="Garamond"/>
                <w:lang w:val="en-AU"/>
              </w:rPr>
              <w:t xml:space="preserve"> transmission to neonates</w:t>
            </w:r>
            <w:r>
              <w:rPr>
                <w:rFonts w:ascii="Garamond" w:hAnsi="Garamond"/>
                <w:lang w:val="en-AU"/>
              </w:rPr>
              <w:t xml:space="preserve">. The study </w:t>
            </w:r>
            <w:proofErr w:type="gramStart"/>
            <w:r>
              <w:rPr>
                <w:rFonts w:ascii="Garamond" w:hAnsi="Garamond"/>
                <w:lang w:val="en-AU"/>
              </w:rPr>
              <w:t>was conducted</w:t>
            </w:r>
            <w:proofErr w:type="gramEnd"/>
            <w:r>
              <w:rPr>
                <w:rFonts w:ascii="Garamond" w:hAnsi="Garamond"/>
                <w:lang w:val="en-AU"/>
              </w:rPr>
              <w:t xml:space="preserve"> in 2 tertiary NICUs in America and involved 236 neonates and their parents. The authors report that ‘</w:t>
            </w:r>
            <w:r w:rsidRPr="009B2CFD">
              <w:rPr>
                <w:rFonts w:ascii="Garamond" w:hAnsi="Garamond"/>
                <w:lang w:val="en-AU"/>
              </w:rPr>
              <w:t xml:space="preserve">treatment with intranasal </w:t>
            </w:r>
            <w:proofErr w:type="spellStart"/>
            <w:r w:rsidRPr="009B2CFD">
              <w:rPr>
                <w:rFonts w:ascii="Garamond" w:hAnsi="Garamond"/>
                <w:lang w:val="en-AU"/>
              </w:rPr>
              <w:t>mupirocin</w:t>
            </w:r>
            <w:proofErr w:type="spellEnd"/>
            <w:r w:rsidRPr="009B2CFD">
              <w:rPr>
                <w:rFonts w:ascii="Garamond" w:hAnsi="Garamond"/>
                <w:lang w:val="en-AU"/>
              </w:rPr>
              <w:t xml:space="preserve"> and chlorhexidine-impregnated cloths compared with placebo significantly reduced neonatal colonization</w:t>
            </w:r>
            <w:r>
              <w:rPr>
                <w:rFonts w:ascii="Garamond" w:hAnsi="Garamond"/>
                <w:lang w:val="en-AU"/>
              </w:rPr>
              <w:t>’.</w:t>
            </w:r>
          </w:p>
        </w:tc>
      </w:tr>
    </w:tbl>
    <w:p w:rsidR="00FC05A1" w:rsidRDefault="00FC05A1" w:rsidP="00FC05A1">
      <w:pPr>
        <w:rPr>
          <w:rFonts w:ascii="Garamond" w:hAnsi="Garamond"/>
          <w:lang w:val="en-AU"/>
        </w:rPr>
      </w:pPr>
    </w:p>
    <w:p w:rsidR="003134B0" w:rsidRDefault="003134B0" w:rsidP="003134B0">
      <w:pPr>
        <w:rPr>
          <w:rFonts w:ascii="Garamond" w:hAnsi="Garamond"/>
          <w:lang w:val="en-AU"/>
        </w:rPr>
      </w:pPr>
      <w:r w:rsidRPr="00BE05A3">
        <w:rPr>
          <w:rFonts w:ascii="Garamond" w:hAnsi="Garamond"/>
          <w:lang w:val="en-AU"/>
        </w:rPr>
        <w:t xml:space="preserve">For information on the Commission’s work on </w:t>
      </w:r>
      <w:r w:rsidRPr="003134B0">
        <w:rPr>
          <w:rFonts w:ascii="Garamond" w:hAnsi="Garamond"/>
          <w:i/>
          <w:lang w:val="en-AU"/>
        </w:rPr>
        <w:t>Staphylococcus aureus</w:t>
      </w:r>
      <w:r w:rsidRPr="003134B0">
        <w:rPr>
          <w:rFonts w:ascii="Garamond" w:hAnsi="Garamond"/>
          <w:lang w:val="en-AU"/>
        </w:rPr>
        <w:t xml:space="preserve"> (SAB) </w:t>
      </w:r>
      <w:r>
        <w:rPr>
          <w:rFonts w:ascii="Garamond" w:hAnsi="Garamond"/>
          <w:lang w:val="en-AU"/>
        </w:rPr>
        <w:t>p</w:t>
      </w:r>
      <w:r w:rsidRPr="003134B0">
        <w:rPr>
          <w:rFonts w:ascii="Garamond" w:hAnsi="Garamond"/>
          <w:lang w:val="en-AU"/>
        </w:rPr>
        <w:t>revention</w:t>
      </w:r>
      <w:r>
        <w:rPr>
          <w:rFonts w:ascii="Garamond" w:hAnsi="Garamond"/>
          <w:lang w:val="en-AU"/>
        </w:rPr>
        <w:t xml:space="preserve">, see </w:t>
      </w:r>
      <w:hyperlink r:id="rId51" w:history="1">
        <w:r w:rsidRPr="00E27B55">
          <w:rPr>
            <w:rStyle w:val="Hyperlink"/>
            <w:rFonts w:ascii="Garamond" w:hAnsi="Garamond"/>
            <w:lang w:val="en-AU"/>
          </w:rPr>
          <w:t>www.safetyandquality.gov.au/sab</w:t>
        </w:r>
      </w:hyperlink>
    </w:p>
    <w:p w:rsidR="003134B0" w:rsidRDefault="003134B0" w:rsidP="00FC05A1">
      <w:pPr>
        <w:rPr>
          <w:rFonts w:ascii="Garamond" w:hAnsi="Garamond"/>
          <w:lang w:val="en-AU"/>
        </w:rPr>
      </w:pPr>
    </w:p>
    <w:p w:rsidR="00FC05A1" w:rsidRDefault="00FC05A1" w:rsidP="00FC05A1">
      <w:pPr>
        <w:rPr>
          <w:rFonts w:ascii="Garamond" w:hAnsi="Garamond"/>
          <w:lang w:val="en-AU"/>
        </w:rPr>
      </w:pPr>
      <w:r w:rsidRPr="00BE05A3">
        <w:rPr>
          <w:rFonts w:ascii="Garamond" w:hAnsi="Garamond"/>
          <w:lang w:val="en-AU"/>
        </w:rPr>
        <w:t xml:space="preserve">For information on the Commission’s work on </w:t>
      </w:r>
      <w:r w:rsidR="003134B0">
        <w:rPr>
          <w:rFonts w:ascii="Garamond" w:hAnsi="Garamond"/>
          <w:lang w:val="en-AU"/>
        </w:rPr>
        <w:t xml:space="preserve">healthcare-associated infection, see </w:t>
      </w:r>
      <w:hyperlink r:id="rId52" w:history="1">
        <w:r w:rsidR="003134B0" w:rsidRPr="00E27B55">
          <w:rPr>
            <w:rStyle w:val="Hyperlink"/>
            <w:rFonts w:ascii="Garamond" w:hAnsi="Garamond"/>
            <w:lang w:val="en-AU"/>
          </w:rPr>
          <w:t>https://www.safetyandquality.gov.au/our-work/healthcare-associated-infection</w:t>
        </w:r>
      </w:hyperlink>
    </w:p>
    <w:p w:rsidR="003134B0" w:rsidRDefault="003134B0" w:rsidP="00FC05A1">
      <w:pPr>
        <w:rPr>
          <w:rFonts w:ascii="Garamond" w:hAnsi="Garamond"/>
          <w:lang w:val="en-AU"/>
        </w:rPr>
      </w:pPr>
    </w:p>
    <w:p w:rsidR="009B2CFD" w:rsidRDefault="009B2CFD" w:rsidP="009B2CFD">
      <w:pPr>
        <w:keepNext/>
        <w:rPr>
          <w:rFonts w:ascii="Garamond" w:hAnsi="Garamond"/>
          <w:i/>
          <w:lang w:val="en-AU"/>
        </w:rPr>
      </w:pPr>
      <w:r w:rsidRPr="004061C6">
        <w:rPr>
          <w:rFonts w:ascii="Garamond" w:hAnsi="Garamond"/>
          <w:i/>
          <w:lang w:val="en-AU"/>
        </w:rPr>
        <w:t>Health</w:t>
      </w:r>
      <w:r>
        <w:rPr>
          <w:rFonts w:ascii="Garamond" w:hAnsi="Garamond"/>
          <w:i/>
          <w:lang w:val="en-AU"/>
        </w:rPr>
        <w:t>care Policy</w:t>
      </w:r>
    </w:p>
    <w:p w:rsidR="009B2CFD" w:rsidRPr="00612D3D" w:rsidRDefault="009B2CFD" w:rsidP="009B2CFD">
      <w:pPr>
        <w:keepNext/>
        <w:rPr>
          <w:rFonts w:ascii="Garamond" w:hAnsi="Garamond"/>
          <w:lang w:val="en-AU"/>
        </w:rPr>
      </w:pPr>
      <w:r w:rsidRPr="004061C6">
        <w:rPr>
          <w:rFonts w:ascii="Garamond" w:hAnsi="Garamond"/>
          <w:lang w:val="en-AU"/>
        </w:rPr>
        <w:t xml:space="preserve">Volume </w:t>
      </w:r>
      <w:r>
        <w:rPr>
          <w:rFonts w:ascii="Garamond" w:hAnsi="Garamond"/>
          <w:lang w:val="en-AU"/>
        </w:rPr>
        <w:t>1</w:t>
      </w:r>
      <w:r w:rsidRPr="004061C6">
        <w:rPr>
          <w:rFonts w:ascii="Garamond" w:hAnsi="Garamond"/>
          <w:lang w:val="en-AU"/>
        </w:rPr>
        <w:t xml:space="preserve">6 Number </w:t>
      </w:r>
      <w:r>
        <w:rPr>
          <w:rFonts w:ascii="Garamond" w:hAnsi="Garamond"/>
          <w:lang w:val="en-AU"/>
        </w:rPr>
        <w:t>1</w:t>
      </w:r>
      <w:r w:rsidRPr="004061C6">
        <w:rPr>
          <w:rFonts w:ascii="Garamond" w:hAnsi="Garamond"/>
          <w:lang w:val="en-AU"/>
        </w:rPr>
        <w:t xml:space="preserve"> </w:t>
      </w:r>
      <w:r>
        <w:rPr>
          <w:rFonts w:ascii="Garamond" w:hAnsi="Garamond"/>
          <w:lang w:val="en-AU"/>
        </w:rPr>
        <w:t xml:space="preserve">August </w:t>
      </w:r>
      <w:r w:rsidRPr="004061C6">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6706B4" w:rsidRDefault="009B2CFD" w:rsidP="0084302B">
            <w:pPr>
              <w:keepNext/>
              <w:rPr>
                <w:rStyle w:val="Hyperlink"/>
                <w:rFonts w:ascii="Garamond" w:hAnsi="Garamond"/>
                <w:color w:val="auto"/>
                <w:u w:val="none"/>
                <w:lang w:val="en-AU"/>
              </w:rPr>
            </w:pPr>
            <w:hyperlink r:id="rId53" w:history="1">
              <w:r w:rsidRPr="00314B9F">
                <w:rPr>
                  <w:rStyle w:val="Hyperlink"/>
                  <w:rFonts w:ascii="Garamond" w:hAnsi="Garamond"/>
                  <w:lang w:val="en-AU"/>
                </w:rPr>
                <w:t>https://www.longwoods.com/publications/healthcare-policy/26247/1/vol.-16-no.-1-2020</w:t>
              </w:r>
            </w:hyperlink>
          </w:p>
        </w:tc>
      </w:tr>
      <w:tr w:rsidR="009B2CFD" w:rsidRPr="000170DA" w:rsidTr="0084302B">
        <w:tc>
          <w:tcPr>
            <w:tcW w:w="1080" w:type="dxa"/>
            <w:tcBorders>
              <w:top w:val="single" w:sz="4" w:space="0" w:color="auto"/>
              <w:left w:val="single" w:sz="4" w:space="0" w:color="auto"/>
              <w:bottom w:val="single" w:sz="4" w:space="0" w:color="auto"/>
              <w:right w:val="single" w:sz="4" w:space="0" w:color="auto"/>
            </w:tcBorders>
            <w:vAlign w:val="center"/>
          </w:tcPr>
          <w:p w:rsidR="009B2CFD" w:rsidRPr="000170DA" w:rsidRDefault="009B2CFD" w:rsidP="0084302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2CFD" w:rsidRPr="00A85C9A" w:rsidRDefault="009B2CFD" w:rsidP="0084302B">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4061C6">
              <w:rPr>
                <w:rFonts w:ascii="Garamond" w:hAnsi="Garamond"/>
                <w:i/>
                <w:lang w:val="en-AU"/>
              </w:rPr>
              <w:t>Health</w:t>
            </w:r>
            <w:r>
              <w:rPr>
                <w:rFonts w:ascii="Garamond" w:hAnsi="Garamond"/>
                <w:i/>
                <w:lang w:val="en-AU"/>
              </w:rPr>
              <w:t>care Policy</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4061C6">
              <w:rPr>
                <w:rFonts w:ascii="Garamond" w:hAnsi="Garamond"/>
                <w:i/>
                <w:lang w:val="en-AU"/>
              </w:rPr>
              <w:t>Health</w:t>
            </w:r>
            <w:r>
              <w:rPr>
                <w:rFonts w:ascii="Garamond" w:hAnsi="Garamond"/>
                <w:i/>
                <w:lang w:val="en-AU"/>
              </w:rPr>
              <w:t>care Policy</w:t>
            </w:r>
            <w:r w:rsidRPr="00B440ED">
              <w:rPr>
                <w:rFonts w:ascii="Garamond" w:hAnsi="Garamond"/>
                <w:lang w:val="en-AU"/>
              </w:rPr>
              <w:t xml:space="preserve"> include:</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Editorial: The Changing Face of </w:t>
            </w:r>
            <w:r w:rsidRPr="008F6798">
              <w:rPr>
                <w:rFonts w:ascii="Garamond" w:hAnsi="Garamond"/>
                <w:b/>
                <w:lang w:val="en-AU"/>
              </w:rPr>
              <w:t>Healthcare Delivery: Making Room for Other Disciplines</w:t>
            </w:r>
            <w:r w:rsidRPr="008F6798">
              <w:rPr>
                <w:rFonts w:ascii="Garamond" w:hAnsi="Garamond"/>
                <w:lang w:val="en-AU"/>
              </w:rPr>
              <w:t xml:space="preserve"> (Jason M Sutherland</w:t>
            </w:r>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b/>
                <w:lang w:val="en-AU"/>
              </w:rPr>
              <w:t>Hospital Discharge Planning for People Experiencing Homelessness</w:t>
            </w:r>
            <w:r w:rsidRPr="008F6798">
              <w:rPr>
                <w:rFonts w:ascii="Garamond" w:hAnsi="Garamond"/>
                <w:lang w:val="en-AU"/>
              </w:rPr>
              <w:t xml:space="preserve"> Leaving Acute Care: A Neglected Issue (Jesse Jenkinson, Adam Wheeler, Claudia Wong and Louisa </w:t>
            </w:r>
            <w:proofErr w:type="spellStart"/>
            <w:r w:rsidRPr="008F6798">
              <w:rPr>
                <w:rFonts w:ascii="Garamond" w:hAnsi="Garamond"/>
                <w:lang w:val="en-AU"/>
              </w:rPr>
              <w:t>Mussells</w:t>
            </w:r>
            <w:proofErr w:type="spellEnd"/>
            <w:r w:rsidRPr="008F6798">
              <w:rPr>
                <w:rFonts w:ascii="Garamond" w:hAnsi="Garamond"/>
                <w:lang w:val="en-AU"/>
              </w:rPr>
              <w:t xml:space="preserve"> </w:t>
            </w:r>
            <w:proofErr w:type="spellStart"/>
            <w:r w:rsidRPr="008F6798">
              <w:rPr>
                <w:rFonts w:ascii="Garamond" w:hAnsi="Garamond"/>
                <w:lang w:val="en-AU"/>
              </w:rPr>
              <w:t>Pires</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Commentary: </w:t>
            </w:r>
            <w:r w:rsidRPr="008F6798">
              <w:rPr>
                <w:rFonts w:ascii="Garamond" w:hAnsi="Garamond"/>
                <w:b/>
                <w:lang w:val="en-AU"/>
              </w:rPr>
              <w:t>Discharging the Homeless</w:t>
            </w:r>
            <w:r w:rsidRPr="008F6798">
              <w:rPr>
                <w:rFonts w:ascii="Garamond" w:hAnsi="Garamond"/>
                <w:lang w:val="en-AU"/>
              </w:rPr>
              <w:t xml:space="preserve"> – A Daily Issue in Acute Care (Cheryl </w:t>
            </w:r>
            <w:proofErr w:type="spellStart"/>
            <w:r w:rsidRPr="008F6798">
              <w:rPr>
                <w:rFonts w:ascii="Garamond" w:hAnsi="Garamond"/>
                <w:lang w:val="en-AU"/>
              </w:rPr>
              <w:t>Forchuk</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The Role of </w:t>
            </w:r>
            <w:r w:rsidRPr="008F6798">
              <w:rPr>
                <w:rFonts w:ascii="Garamond" w:hAnsi="Garamond"/>
                <w:b/>
                <w:lang w:val="en-AU"/>
              </w:rPr>
              <w:t xml:space="preserve">Social Workers in </w:t>
            </w:r>
            <w:proofErr w:type="spellStart"/>
            <w:r w:rsidRPr="008F6798">
              <w:rPr>
                <w:rFonts w:ascii="Garamond" w:hAnsi="Garamond"/>
                <w:b/>
                <w:lang w:val="en-AU"/>
              </w:rPr>
              <w:t>Interprofessional</w:t>
            </w:r>
            <w:proofErr w:type="spellEnd"/>
            <w:r w:rsidRPr="008F6798">
              <w:rPr>
                <w:rFonts w:ascii="Garamond" w:hAnsi="Garamond"/>
                <w:b/>
                <w:lang w:val="en-AU"/>
              </w:rPr>
              <w:t xml:space="preserve"> Primary Healthcare Teams</w:t>
            </w:r>
            <w:r w:rsidRPr="008F6798">
              <w:rPr>
                <w:rFonts w:ascii="Garamond" w:hAnsi="Garamond"/>
                <w:lang w:val="en-AU"/>
              </w:rPr>
              <w:t xml:space="preserve"> (Vela </w:t>
            </w:r>
            <w:proofErr w:type="spellStart"/>
            <w:r w:rsidRPr="008F6798">
              <w:rPr>
                <w:rFonts w:ascii="Garamond" w:hAnsi="Garamond"/>
                <w:lang w:val="en-AU"/>
              </w:rPr>
              <w:t>Tadic</w:t>
            </w:r>
            <w:proofErr w:type="spellEnd"/>
            <w:r w:rsidRPr="008F6798">
              <w:rPr>
                <w:rFonts w:ascii="Garamond" w:hAnsi="Garamond"/>
                <w:lang w:val="en-AU"/>
              </w:rPr>
              <w:t xml:space="preserve">, Rachelle Ashcroft, Judith Belle Brown and S </w:t>
            </w:r>
            <w:proofErr w:type="spellStart"/>
            <w:r w:rsidRPr="008F6798">
              <w:rPr>
                <w:rFonts w:ascii="Garamond" w:hAnsi="Garamond"/>
                <w:lang w:val="en-AU"/>
              </w:rPr>
              <w:t>Dahrouge</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Prioritizing and Implementing </w:t>
            </w:r>
            <w:r w:rsidRPr="008F6798">
              <w:rPr>
                <w:rFonts w:ascii="Garamond" w:hAnsi="Garamond"/>
                <w:b/>
                <w:lang w:val="en-AU"/>
              </w:rPr>
              <w:t>Primary Care Performance Measures</w:t>
            </w:r>
            <w:r w:rsidRPr="008F6798">
              <w:rPr>
                <w:rFonts w:ascii="Garamond" w:hAnsi="Garamond"/>
                <w:lang w:val="en-AU"/>
              </w:rPr>
              <w:t xml:space="preserve"> for Ontario (Brian Hutchison, </w:t>
            </w:r>
            <w:proofErr w:type="spellStart"/>
            <w:r w:rsidRPr="008F6798">
              <w:rPr>
                <w:rFonts w:ascii="Garamond" w:hAnsi="Garamond"/>
                <w:lang w:val="en-AU"/>
              </w:rPr>
              <w:t>Wissam</w:t>
            </w:r>
            <w:proofErr w:type="spellEnd"/>
            <w:r w:rsidRPr="008F6798">
              <w:rPr>
                <w:rFonts w:ascii="Garamond" w:hAnsi="Garamond"/>
                <w:lang w:val="en-AU"/>
              </w:rPr>
              <w:t xml:space="preserve"> Haj-Ali, Gail Dobell, Naira </w:t>
            </w:r>
            <w:proofErr w:type="spellStart"/>
            <w:r w:rsidRPr="008F6798">
              <w:rPr>
                <w:rFonts w:ascii="Garamond" w:hAnsi="Garamond"/>
                <w:lang w:val="en-AU"/>
              </w:rPr>
              <w:t>Yeritsyan</w:t>
            </w:r>
            <w:proofErr w:type="spellEnd"/>
            <w:r w:rsidRPr="008F6798">
              <w:rPr>
                <w:rFonts w:ascii="Garamond" w:hAnsi="Garamond"/>
                <w:lang w:val="en-AU"/>
              </w:rPr>
              <w:t xml:space="preserve">, </w:t>
            </w:r>
            <w:proofErr w:type="spellStart"/>
            <w:r w:rsidRPr="008F6798">
              <w:rPr>
                <w:rFonts w:ascii="Garamond" w:hAnsi="Garamond"/>
                <w:lang w:val="en-AU"/>
              </w:rPr>
              <w:t>Naushaba</w:t>
            </w:r>
            <w:proofErr w:type="spellEnd"/>
            <w:r w:rsidRPr="008F6798">
              <w:rPr>
                <w:rFonts w:ascii="Garamond" w:hAnsi="Garamond"/>
                <w:lang w:val="en-AU"/>
              </w:rPr>
              <w:t xml:space="preserve"> </w:t>
            </w:r>
            <w:proofErr w:type="spellStart"/>
            <w:r w:rsidRPr="008F6798">
              <w:rPr>
                <w:rFonts w:ascii="Garamond" w:hAnsi="Garamond"/>
                <w:lang w:val="en-AU"/>
              </w:rPr>
              <w:t>Degani</w:t>
            </w:r>
            <w:proofErr w:type="spellEnd"/>
            <w:r w:rsidRPr="008F6798">
              <w:rPr>
                <w:rFonts w:ascii="Garamond" w:hAnsi="Garamond"/>
                <w:lang w:val="en-AU"/>
              </w:rPr>
              <w:t xml:space="preserve"> and Sharon </w:t>
            </w:r>
            <w:proofErr w:type="spellStart"/>
            <w:r w:rsidRPr="008F6798">
              <w:rPr>
                <w:rFonts w:ascii="Garamond" w:hAnsi="Garamond"/>
                <w:lang w:val="en-AU"/>
              </w:rPr>
              <w:t>Gushue</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b/>
                <w:lang w:val="en-AU"/>
              </w:rPr>
              <w:t>Awareness and Use of Community Services among Primary Care Physicians</w:t>
            </w:r>
            <w:r w:rsidRPr="008F6798">
              <w:rPr>
                <w:rFonts w:ascii="Garamond" w:hAnsi="Garamond"/>
                <w:lang w:val="en-AU"/>
              </w:rPr>
              <w:t xml:space="preserve"> (Tara Kiran, Jessica J. Rodrigues, Tatiana </w:t>
            </w:r>
            <w:proofErr w:type="spellStart"/>
            <w:r w:rsidRPr="008F6798">
              <w:rPr>
                <w:rFonts w:ascii="Garamond" w:hAnsi="Garamond"/>
                <w:lang w:val="en-AU"/>
              </w:rPr>
              <w:t>Aratangy</w:t>
            </w:r>
            <w:proofErr w:type="spellEnd"/>
            <w:r w:rsidRPr="008F6798">
              <w:rPr>
                <w:rFonts w:ascii="Garamond" w:hAnsi="Garamond"/>
                <w:lang w:val="en-AU"/>
              </w:rPr>
              <w:t xml:space="preserve">, Kimberly </w:t>
            </w:r>
            <w:proofErr w:type="spellStart"/>
            <w:r w:rsidRPr="008F6798">
              <w:rPr>
                <w:rFonts w:ascii="Garamond" w:hAnsi="Garamond"/>
                <w:lang w:val="en-AU"/>
              </w:rPr>
              <w:t>Devo</w:t>
            </w:r>
            <w:r>
              <w:rPr>
                <w:rFonts w:ascii="Garamond" w:hAnsi="Garamond"/>
                <w:lang w:val="en-AU"/>
              </w:rPr>
              <w:t>tta</w:t>
            </w:r>
            <w:proofErr w:type="spellEnd"/>
            <w:r>
              <w:rPr>
                <w:rFonts w:ascii="Garamond" w:hAnsi="Garamond"/>
                <w:lang w:val="en-AU"/>
              </w:rPr>
              <w:t xml:space="preserve">, Nathalie Sava and Patricia </w:t>
            </w:r>
            <w:proofErr w:type="spellStart"/>
            <w:r>
              <w:rPr>
                <w:rFonts w:ascii="Garamond" w:hAnsi="Garamond"/>
                <w:lang w:val="en-AU"/>
              </w:rPr>
              <w:t>O’Campo</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Structural Facilitators and Barriers to </w:t>
            </w:r>
            <w:r w:rsidRPr="008F6798">
              <w:rPr>
                <w:rFonts w:ascii="Garamond" w:hAnsi="Garamond"/>
                <w:b/>
                <w:lang w:val="en-AU"/>
              </w:rPr>
              <w:t>Access to and Continuity of French-Language Healthcare and Social Services</w:t>
            </w:r>
            <w:r w:rsidRPr="008F6798">
              <w:rPr>
                <w:rFonts w:ascii="Garamond" w:hAnsi="Garamond"/>
                <w:lang w:val="en-AU"/>
              </w:rPr>
              <w:t xml:space="preserve"> in Ontario’s Champlain Region (</w:t>
            </w:r>
            <w:proofErr w:type="spellStart"/>
            <w:r w:rsidRPr="008F6798">
              <w:rPr>
                <w:rFonts w:ascii="Garamond" w:hAnsi="Garamond"/>
                <w:lang w:val="en-AU"/>
              </w:rPr>
              <w:t>Jacinthe</w:t>
            </w:r>
            <w:proofErr w:type="spellEnd"/>
            <w:r w:rsidRPr="008F6798">
              <w:rPr>
                <w:rFonts w:ascii="Garamond" w:hAnsi="Garamond"/>
                <w:lang w:val="en-AU"/>
              </w:rPr>
              <w:t xml:space="preserve"> </w:t>
            </w:r>
            <w:proofErr w:type="spellStart"/>
            <w:r w:rsidRPr="008F6798">
              <w:rPr>
                <w:rFonts w:ascii="Garamond" w:hAnsi="Garamond"/>
                <w:lang w:val="en-AU"/>
              </w:rPr>
              <w:t>Savard</w:t>
            </w:r>
            <w:proofErr w:type="spellEnd"/>
            <w:r w:rsidRPr="008F6798">
              <w:rPr>
                <w:rFonts w:ascii="Garamond" w:hAnsi="Garamond"/>
                <w:lang w:val="en-AU"/>
              </w:rPr>
              <w:t xml:space="preserve">, Kate </w:t>
            </w:r>
            <w:proofErr w:type="spellStart"/>
            <w:r w:rsidRPr="008F6798">
              <w:rPr>
                <w:rFonts w:ascii="Garamond" w:hAnsi="Garamond"/>
                <w:lang w:val="en-AU"/>
              </w:rPr>
              <w:t>Bigney</w:t>
            </w:r>
            <w:proofErr w:type="spellEnd"/>
            <w:r w:rsidRPr="008F6798">
              <w:rPr>
                <w:rFonts w:ascii="Garamond" w:hAnsi="Garamond"/>
                <w:lang w:val="en-AU"/>
              </w:rPr>
              <w:t xml:space="preserve">, Lucy-Ann </w:t>
            </w:r>
            <w:proofErr w:type="spellStart"/>
            <w:r w:rsidRPr="008F6798">
              <w:rPr>
                <w:rFonts w:ascii="Garamond" w:hAnsi="Garamond"/>
                <w:lang w:val="en-AU"/>
              </w:rPr>
              <w:t>Kubina</w:t>
            </w:r>
            <w:proofErr w:type="spellEnd"/>
            <w:r w:rsidRPr="008F6798">
              <w:rPr>
                <w:rFonts w:ascii="Garamond" w:hAnsi="Garamond"/>
                <w:lang w:val="en-AU"/>
              </w:rPr>
              <w:t xml:space="preserve">, S </w:t>
            </w:r>
            <w:proofErr w:type="spellStart"/>
            <w:r w:rsidRPr="008F6798">
              <w:rPr>
                <w:rFonts w:ascii="Garamond" w:hAnsi="Garamond"/>
                <w:lang w:val="en-AU"/>
              </w:rPr>
              <w:t>Savard</w:t>
            </w:r>
            <w:proofErr w:type="spellEnd"/>
            <w:r w:rsidRPr="008F6798">
              <w:rPr>
                <w:rFonts w:ascii="Garamond" w:hAnsi="Garamond"/>
                <w:lang w:val="en-AU"/>
              </w:rPr>
              <w:t xml:space="preserve"> and M </w:t>
            </w:r>
            <w:proofErr w:type="spellStart"/>
            <w:r w:rsidRPr="008F6798">
              <w:rPr>
                <w:rFonts w:ascii="Garamond" w:hAnsi="Garamond"/>
                <w:lang w:val="en-AU"/>
              </w:rPr>
              <w:t>Drolet</w:t>
            </w:r>
            <w:proofErr w:type="spellEnd"/>
            <w:r>
              <w:rPr>
                <w:rFonts w:ascii="Garamond" w:hAnsi="Garamond"/>
                <w:lang w:val="en-AU"/>
              </w:rPr>
              <w:t>)</w:t>
            </w:r>
          </w:p>
          <w:p w:rsidR="009B2CFD" w:rsidRPr="008F6798" w:rsidRDefault="009B2CFD" w:rsidP="0084302B">
            <w:pPr>
              <w:pStyle w:val="ListParagraph"/>
              <w:numPr>
                <w:ilvl w:val="0"/>
                <w:numId w:val="15"/>
              </w:numPr>
              <w:rPr>
                <w:rFonts w:ascii="Garamond" w:hAnsi="Garamond"/>
                <w:lang w:val="en-AU"/>
              </w:rPr>
            </w:pPr>
            <w:r w:rsidRPr="008F6798">
              <w:rPr>
                <w:rFonts w:ascii="Garamond" w:hAnsi="Garamond"/>
                <w:lang w:val="en-AU"/>
              </w:rPr>
              <w:t xml:space="preserve">Exploring the Results of the </w:t>
            </w:r>
            <w:r w:rsidRPr="008F6798">
              <w:rPr>
                <w:rFonts w:ascii="Garamond" w:hAnsi="Garamond"/>
                <w:b/>
                <w:lang w:val="en-AU"/>
              </w:rPr>
              <w:t xml:space="preserve">Ontario Home Care Minimum Wage Change </w:t>
            </w:r>
            <w:r w:rsidRPr="008F6798">
              <w:rPr>
                <w:rFonts w:ascii="Garamond" w:hAnsi="Garamond"/>
                <w:lang w:val="en-AU"/>
              </w:rPr>
              <w:t xml:space="preserve">(Alexia </w:t>
            </w:r>
            <w:proofErr w:type="spellStart"/>
            <w:r w:rsidRPr="008F6798">
              <w:rPr>
                <w:rFonts w:ascii="Garamond" w:hAnsi="Garamond"/>
                <w:lang w:val="en-AU"/>
              </w:rPr>
              <w:t>Olaizola</w:t>
            </w:r>
            <w:proofErr w:type="spellEnd"/>
            <w:r w:rsidRPr="008F6798">
              <w:rPr>
                <w:rFonts w:ascii="Garamond" w:hAnsi="Garamond"/>
                <w:lang w:val="en-AU"/>
              </w:rPr>
              <w:t xml:space="preserve">, Oliver </w:t>
            </w:r>
            <w:proofErr w:type="spellStart"/>
            <w:r w:rsidRPr="008F6798">
              <w:rPr>
                <w:rFonts w:ascii="Garamond" w:hAnsi="Garamond"/>
                <w:lang w:val="en-AU"/>
              </w:rPr>
              <w:t>Loertscher</w:t>
            </w:r>
            <w:proofErr w:type="spellEnd"/>
            <w:r w:rsidRPr="008F6798">
              <w:rPr>
                <w:rFonts w:ascii="Garamond" w:hAnsi="Garamond"/>
                <w:lang w:val="en-AU"/>
              </w:rPr>
              <w:t xml:space="preserve"> and Arthur </w:t>
            </w:r>
            <w:proofErr w:type="spellStart"/>
            <w:r w:rsidRPr="008F6798">
              <w:rPr>
                <w:rFonts w:ascii="Garamond" w:hAnsi="Garamond"/>
                <w:lang w:val="en-AU"/>
              </w:rPr>
              <w:t>Sweetman</w:t>
            </w:r>
            <w:proofErr w:type="spellEnd"/>
            <w:r>
              <w:rPr>
                <w:rFonts w:ascii="Garamond" w:hAnsi="Garamond"/>
                <w:lang w:val="en-AU"/>
              </w:rPr>
              <w:t>)</w:t>
            </w:r>
          </w:p>
          <w:p w:rsidR="009B2CFD" w:rsidRPr="00A85C9A" w:rsidRDefault="009B2CFD" w:rsidP="0084302B">
            <w:pPr>
              <w:pStyle w:val="ListParagraph"/>
              <w:numPr>
                <w:ilvl w:val="0"/>
                <w:numId w:val="15"/>
              </w:numPr>
              <w:rPr>
                <w:rFonts w:ascii="Garamond" w:hAnsi="Garamond"/>
                <w:lang w:val="en-AU"/>
              </w:rPr>
            </w:pPr>
            <w:r w:rsidRPr="008F6798">
              <w:rPr>
                <w:rFonts w:ascii="Garamond" w:hAnsi="Garamond"/>
                <w:lang w:val="en-AU"/>
              </w:rPr>
              <w:t xml:space="preserve">Informing Canada’s Health System Response to </w:t>
            </w:r>
            <w:r w:rsidRPr="008F6798">
              <w:rPr>
                <w:rFonts w:ascii="Garamond" w:hAnsi="Garamond"/>
                <w:b/>
                <w:lang w:val="en-AU"/>
              </w:rPr>
              <w:t>COVID-19: Priorities for Health Services and Policy Research</w:t>
            </w:r>
            <w:r w:rsidRPr="008F6798">
              <w:rPr>
                <w:rFonts w:ascii="Garamond" w:hAnsi="Garamond"/>
                <w:lang w:val="en-AU"/>
              </w:rPr>
              <w:t xml:space="preserve"> </w:t>
            </w:r>
            <w:r>
              <w:rPr>
                <w:rFonts w:ascii="Garamond" w:hAnsi="Garamond"/>
                <w:lang w:val="en-AU"/>
              </w:rPr>
              <w:t>(</w:t>
            </w:r>
            <w:r w:rsidRPr="008F6798">
              <w:rPr>
                <w:rFonts w:ascii="Garamond" w:hAnsi="Garamond"/>
                <w:lang w:val="en-AU"/>
              </w:rPr>
              <w:t xml:space="preserve">Meghan McMahon, Jessica </w:t>
            </w:r>
            <w:proofErr w:type="spellStart"/>
            <w:r w:rsidRPr="008F6798">
              <w:rPr>
                <w:rFonts w:ascii="Garamond" w:hAnsi="Garamond"/>
                <w:lang w:val="en-AU"/>
              </w:rPr>
              <w:t>Nadigel</w:t>
            </w:r>
            <w:proofErr w:type="spellEnd"/>
            <w:r w:rsidRPr="008F6798">
              <w:rPr>
                <w:rFonts w:ascii="Garamond" w:hAnsi="Garamond"/>
                <w:lang w:val="en-AU"/>
              </w:rPr>
              <w:t>, Erin Thompson and Richard H Glazier</w:t>
            </w:r>
            <w:r>
              <w:rPr>
                <w:rFonts w:ascii="Garamond" w:hAnsi="Garamond"/>
                <w:lang w:val="en-AU"/>
              </w:rPr>
              <w:t>)</w:t>
            </w:r>
          </w:p>
        </w:tc>
      </w:tr>
    </w:tbl>
    <w:p w:rsidR="00292B57" w:rsidRDefault="00292B57" w:rsidP="00292B57">
      <w:pPr>
        <w:keepNext/>
        <w:rPr>
          <w:rFonts w:ascii="Garamond" w:hAnsi="Garamond"/>
          <w:i/>
          <w:lang w:val="en-AU"/>
        </w:rPr>
      </w:pPr>
      <w:r>
        <w:rPr>
          <w:rFonts w:ascii="Garamond" w:hAnsi="Garamond"/>
          <w:i/>
          <w:lang w:val="en-AU"/>
        </w:rPr>
        <w:lastRenderedPageBreak/>
        <w:t>BMJ Quality &amp; Safety</w:t>
      </w:r>
    </w:p>
    <w:p w:rsidR="00292B57" w:rsidRPr="00D65371" w:rsidRDefault="00292B57" w:rsidP="00292B57">
      <w:pPr>
        <w:keepNext/>
        <w:rPr>
          <w:rFonts w:ascii="Garamond" w:hAnsi="Garamond"/>
          <w:lang w:val="en-AU"/>
        </w:rPr>
      </w:pPr>
      <w:r>
        <w:rPr>
          <w:rFonts w:ascii="Garamond" w:hAnsi="Garamond"/>
          <w:lang w:val="en-AU"/>
        </w:rPr>
        <w:t>July 2020 - Volume 29 - 9</w:t>
      </w:r>
    </w:p>
    <w:tbl>
      <w:tblPr>
        <w:tblStyle w:val="TableGrid"/>
        <w:tblW w:w="0" w:type="auto"/>
        <w:tblInd w:w="288" w:type="dxa"/>
        <w:tblLayout w:type="fixed"/>
        <w:tblLook w:val="01E0" w:firstRow="1" w:lastRow="1" w:firstColumn="1" w:lastColumn="1" w:noHBand="0" w:noVBand="0"/>
      </w:tblPr>
      <w:tblGrid>
        <w:gridCol w:w="1080"/>
        <w:gridCol w:w="8280"/>
      </w:tblGrid>
      <w:tr w:rsidR="00292B57"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292B57" w:rsidRPr="000170DA" w:rsidRDefault="00292B57" w:rsidP="00693D6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92B57" w:rsidRPr="000170DA" w:rsidRDefault="009A22A7" w:rsidP="00292B57">
            <w:pPr>
              <w:rPr>
                <w:rStyle w:val="Hyperlink"/>
                <w:rFonts w:ascii="Garamond" w:hAnsi="Garamond"/>
                <w:color w:val="auto"/>
                <w:u w:val="none"/>
                <w:lang w:val="en-AU"/>
              </w:rPr>
            </w:pPr>
            <w:hyperlink r:id="rId54" w:history="1">
              <w:r w:rsidR="00292B57" w:rsidRPr="00E27B55">
                <w:rPr>
                  <w:rStyle w:val="Hyperlink"/>
                  <w:rFonts w:ascii="Garamond" w:hAnsi="Garamond"/>
                  <w:lang w:val="en-AU"/>
                </w:rPr>
                <w:t>https://qualitysafety.bmj.com/content/29/9</w:t>
              </w:r>
            </w:hyperlink>
          </w:p>
        </w:tc>
      </w:tr>
      <w:tr w:rsidR="00292B57" w:rsidRPr="000170DA" w:rsidTr="00693D66">
        <w:tc>
          <w:tcPr>
            <w:tcW w:w="1080" w:type="dxa"/>
            <w:tcBorders>
              <w:top w:val="single" w:sz="4" w:space="0" w:color="auto"/>
              <w:left w:val="single" w:sz="4" w:space="0" w:color="auto"/>
              <w:bottom w:val="single" w:sz="4" w:space="0" w:color="auto"/>
              <w:right w:val="single" w:sz="4" w:space="0" w:color="auto"/>
            </w:tcBorders>
            <w:vAlign w:val="center"/>
          </w:tcPr>
          <w:p w:rsidR="00292B57" w:rsidRPr="000170DA" w:rsidRDefault="00292B57" w:rsidP="00693D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2B57" w:rsidRPr="007C3778" w:rsidRDefault="00292B57" w:rsidP="00693D66">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w:t>
            </w:r>
            <w:proofErr w:type="gramStart"/>
            <w:r w:rsidRPr="00B440ED">
              <w:rPr>
                <w:rFonts w:ascii="Garamond" w:hAnsi="Garamond"/>
                <w:lang w:val="en-AU"/>
              </w:rPr>
              <w:t>has been published</w:t>
            </w:r>
            <w:proofErr w:type="gramEnd"/>
            <w:r w:rsidRPr="00B440ED">
              <w:rPr>
                <w:rFonts w:ascii="Garamond" w:hAnsi="Garamond"/>
                <w:lang w:val="en-AU"/>
              </w:rPr>
              <w:t xml:space="preserve">. </w:t>
            </w:r>
            <w:r w:rsidRPr="0066531C">
              <w:rPr>
                <w:rFonts w:ascii="Garamond" w:hAnsi="Garamond"/>
                <w:lang w:val="en-AU"/>
              </w:rPr>
              <w:t xml:space="preserve">Many of the papers in this issue </w:t>
            </w:r>
            <w:proofErr w:type="gramStart"/>
            <w:r w:rsidRPr="0066531C">
              <w:rPr>
                <w:rFonts w:ascii="Garamond" w:hAnsi="Garamond"/>
                <w:lang w:val="en-AU"/>
              </w:rPr>
              <w:t>have been referred</w:t>
            </w:r>
            <w:proofErr w:type="gramEnd"/>
            <w:r w:rsidRPr="0066531C">
              <w:rPr>
                <w:rFonts w:ascii="Garamond" w:hAnsi="Garamond"/>
                <w:lang w:val="en-AU"/>
              </w:rPr>
              <w:t xml:space="preserve">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292B57" w:rsidRPr="00292B57" w:rsidRDefault="00292B57" w:rsidP="00F90695">
            <w:pPr>
              <w:pStyle w:val="ListParagraph"/>
              <w:numPr>
                <w:ilvl w:val="0"/>
                <w:numId w:val="15"/>
              </w:numPr>
              <w:rPr>
                <w:rFonts w:ascii="Garamond" w:hAnsi="Garamond"/>
                <w:lang w:val="en-AU"/>
              </w:rPr>
            </w:pPr>
            <w:r w:rsidRPr="00292B57">
              <w:rPr>
                <w:rFonts w:ascii="Garamond" w:hAnsi="Garamond"/>
                <w:lang w:val="en-AU"/>
              </w:rPr>
              <w:t xml:space="preserve">Editorial: Sounds good: the bright future of </w:t>
            </w:r>
            <w:r w:rsidRPr="00292B57">
              <w:rPr>
                <w:rFonts w:ascii="Garamond" w:hAnsi="Garamond"/>
                <w:b/>
                <w:lang w:val="en-AU"/>
              </w:rPr>
              <w:t>clinical alarm management initiatives</w:t>
            </w:r>
            <w:r w:rsidRPr="00292B57">
              <w:rPr>
                <w:rFonts w:ascii="Garamond" w:hAnsi="Garamond"/>
                <w:lang w:val="en-AU"/>
              </w:rPr>
              <w:t xml:space="preserve"> (Halley </w:t>
            </w:r>
            <w:proofErr w:type="spellStart"/>
            <w:r w:rsidRPr="00292B57">
              <w:rPr>
                <w:rFonts w:ascii="Garamond" w:hAnsi="Garamond"/>
                <w:lang w:val="en-AU"/>
              </w:rPr>
              <w:t>Ruppel</w:t>
            </w:r>
            <w:proofErr w:type="spellEnd"/>
            <w:r w:rsidRPr="00292B57">
              <w:rPr>
                <w:rFonts w:ascii="Garamond" w:hAnsi="Garamond"/>
                <w:lang w:val="en-AU"/>
              </w:rPr>
              <w:t xml:space="preserve">, Christopher P </w:t>
            </w:r>
            <w:proofErr w:type="spellStart"/>
            <w:r w:rsidRPr="00292B57">
              <w:rPr>
                <w:rFonts w:ascii="Garamond" w:hAnsi="Garamond"/>
                <w:lang w:val="en-AU"/>
              </w:rPr>
              <w:t>Bonafide</w:t>
            </w:r>
            <w:proofErr w:type="spellEnd"/>
            <w:r>
              <w:rPr>
                <w:rFonts w:ascii="Garamond" w:hAnsi="Garamond"/>
                <w:lang w:val="en-AU"/>
              </w:rPr>
              <w:t>)</w:t>
            </w:r>
          </w:p>
          <w:p w:rsidR="00292B57" w:rsidRPr="00292B57" w:rsidRDefault="00292B57" w:rsidP="00407137">
            <w:pPr>
              <w:pStyle w:val="ListParagraph"/>
              <w:numPr>
                <w:ilvl w:val="0"/>
                <w:numId w:val="15"/>
              </w:numPr>
              <w:rPr>
                <w:rFonts w:ascii="Garamond" w:hAnsi="Garamond"/>
                <w:lang w:val="en-AU"/>
              </w:rPr>
            </w:pPr>
            <w:r w:rsidRPr="00292B57">
              <w:rPr>
                <w:rFonts w:ascii="Garamond" w:hAnsi="Garamond"/>
                <w:lang w:val="en-AU"/>
              </w:rPr>
              <w:t xml:space="preserve">Editorial: Allowing failure so trainees can thrive: the importance of </w:t>
            </w:r>
            <w:r w:rsidRPr="00292B57">
              <w:rPr>
                <w:rFonts w:ascii="Garamond" w:hAnsi="Garamond"/>
                <w:b/>
                <w:lang w:val="en-AU"/>
              </w:rPr>
              <w:t>guided autonomy in medical education</w:t>
            </w:r>
            <w:r w:rsidRPr="00292B57">
              <w:rPr>
                <w:rFonts w:ascii="Garamond" w:hAnsi="Garamond"/>
                <w:lang w:val="en-AU"/>
              </w:rPr>
              <w:t xml:space="preserve"> (Rachel B Atkinson, Douglas S </w:t>
            </w:r>
            <w:proofErr w:type="spellStart"/>
            <w:r w:rsidRPr="00292B57">
              <w:rPr>
                <w:rFonts w:ascii="Garamond" w:hAnsi="Garamond"/>
                <w:lang w:val="en-AU"/>
              </w:rPr>
              <w:t>Smink</w:t>
            </w:r>
            <w:proofErr w:type="spellEnd"/>
            <w:r>
              <w:rPr>
                <w:rFonts w:ascii="Garamond" w:hAnsi="Garamond"/>
                <w:lang w:val="en-AU"/>
              </w:rPr>
              <w:t>)</w:t>
            </w:r>
          </w:p>
          <w:p w:rsidR="00292B57" w:rsidRPr="00292B57" w:rsidRDefault="00292B57" w:rsidP="00F71666">
            <w:pPr>
              <w:pStyle w:val="ListParagraph"/>
              <w:numPr>
                <w:ilvl w:val="0"/>
                <w:numId w:val="15"/>
              </w:numPr>
              <w:rPr>
                <w:rFonts w:ascii="Garamond" w:hAnsi="Garamond"/>
                <w:lang w:val="en-AU"/>
              </w:rPr>
            </w:pPr>
            <w:r w:rsidRPr="00292B57">
              <w:rPr>
                <w:rFonts w:ascii="Garamond" w:hAnsi="Garamond"/>
                <w:lang w:val="en-AU"/>
              </w:rPr>
              <w:t xml:space="preserve">Editorial: Leveraging electronic health record data to improve </w:t>
            </w:r>
            <w:r w:rsidRPr="00292B57">
              <w:rPr>
                <w:rFonts w:ascii="Garamond" w:hAnsi="Garamond"/>
                <w:b/>
                <w:lang w:val="en-AU"/>
              </w:rPr>
              <w:t>sepsis surveillance</w:t>
            </w:r>
            <w:r w:rsidRPr="00292B57">
              <w:rPr>
                <w:rFonts w:ascii="Garamond" w:hAnsi="Garamond"/>
                <w:lang w:val="en-AU"/>
              </w:rPr>
              <w:t xml:space="preserve"> (Claire N </w:t>
            </w:r>
            <w:proofErr w:type="spellStart"/>
            <w:r w:rsidRPr="00292B57">
              <w:rPr>
                <w:rFonts w:ascii="Garamond" w:hAnsi="Garamond"/>
                <w:lang w:val="en-AU"/>
              </w:rPr>
              <w:t>Shappell</w:t>
            </w:r>
            <w:proofErr w:type="spellEnd"/>
            <w:r w:rsidRPr="00292B57">
              <w:rPr>
                <w:rFonts w:ascii="Garamond" w:hAnsi="Garamond"/>
                <w:lang w:val="en-AU"/>
              </w:rPr>
              <w:t xml:space="preserve">, </w:t>
            </w:r>
            <w:proofErr w:type="spellStart"/>
            <w:r w:rsidRPr="00292B57">
              <w:rPr>
                <w:rFonts w:ascii="Garamond" w:hAnsi="Garamond"/>
                <w:lang w:val="en-AU"/>
              </w:rPr>
              <w:t>Chanu</w:t>
            </w:r>
            <w:proofErr w:type="spellEnd"/>
            <w:r w:rsidRPr="00292B57">
              <w:rPr>
                <w:rFonts w:ascii="Garamond" w:hAnsi="Garamond"/>
                <w:lang w:val="en-AU"/>
              </w:rPr>
              <w:t xml:space="preserve"> Rhee</w:t>
            </w:r>
            <w:r>
              <w:rPr>
                <w:rFonts w:ascii="Garamond" w:hAnsi="Garamond"/>
                <w:lang w:val="en-AU"/>
              </w:rPr>
              <w:t>)</w:t>
            </w:r>
          </w:p>
          <w:p w:rsidR="00292B57" w:rsidRPr="00292B57" w:rsidRDefault="00292B57" w:rsidP="00FB218E">
            <w:pPr>
              <w:pStyle w:val="ListParagraph"/>
              <w:numPr>
                <w:ilvl w:val="0"/>
                <w:numId w:val="15"/>
              </w:numPr>
              <w:rPr>
                <w:rFonts w:ascii="Garamond" w:hAnsi="Garamond"/>
                <w:lang w:val="en-AU"/>
              </w:rPr>
            </w:pPr>
            <w:r w:rsidRPr="009A22A7">
              <w:rPr>
                <w:rFonts w:ascii="Garamond" w:hAnsi="Garamond"/>
                <w:b/>
                <w:lang w:val="en-AU"/>
              </w:rPr>
              <w:t>Coproduction: when users define quality</w:t>
            </w:r>
            <w:r w:rsidRPr="00292B57">
              <w:rPr>
                <w:rFonts w:ascii="Garamond" w:hAnsi="Garamond"/>
                <w:lang w:val="en-AU"/>
              </w:rPr>
              <w:t xml:space="preserve"> (Glyn </w:t>
            </w:r>
            <w:proofErr w:type="spellStart"/>
            <w:r w:rsidRPr="00292B57">
              <w:rPr>
                <w:rFonts w:ascii="Garamond" w:hAnsi="Garamond"/>
                <w:lang w:val="en-AU"/>
              </w:rPr>
              <w:t>Elwyn</w:t>
            </w:r>
            <w:proofErr w:type="spellEnd"/>
            <w:r w:rsidRPr="00292B57">
              <w:rPr>
                <w:rFonts w:ascii="Garamond" w:hAnsi="Garamond"/>
                <w:lang w:val="en-AU"/>
              </w:rPr>
              <w:t>, Eugene Nelson, Andreas Hager, Amy Price</w:t>
            </w:r>
            <w:r>
              <w:rPr>
                <w:rFonts w:ascii="Garamond" w:hAnsi="Garamond"/>
                <w:lang w:val="en-AU"/>
              </w:rPr>
              <w:t>)</w:t>
            </w:r>
          </w:p>
          <w:p w:rsidR="00292B57" w:rsidRPr="00292B57" w:rsidRDefault="00292B57" w:rsidP="00E353FD">
            <w:pPr>
              <w:pStyle w:val="ListParagraph"/>
              <w:numPr>
                <w:ilvl w:val="0"/>
                <w:numId w:val="15"/>
              </w:numPr>
              <w:rPr>
                <w:rFonts w:ascii="Garamond" w:hAnsi="Garamond"/>
                <w:lang w:val="en-AU"/>
              </w:rPr>
            </w:pPr>
            <w:r w:rsidRPr="00292B57">
              <w:rPr>
                <w:rFonts w:ascii="Garamond" w:hAnsi="Garamond"/>
                <w:lang w:val="en-AU"/>
              </w:rPr>
              <w:t xml:space="preserve">Time series evaluation of improvement interventions to reduce </w:t>
            </w:r>
            <w:r w:rsidRPr="002C3503">
              <w:rPr>
                <w:rFonts w:ascii="Garamond" w:hAnsi="Garamond"/>
                <w:b/>
                <w:lang w:val="en-AU"/>
              </w:rPr>
              <w:t>alarm notifications in a paediatric hospital</w:t>
            </w:r>
            <w:r w:rsidRPr="00292B57">
              <w:rPr>
                <w:rFonts w:ascii="Garamond" w:hAnsi="Garamond"/>
                <w:lang w:val="en-AU"/>
              </w:rPr>
              <w:t xml:space="preserve"> (Colleen M Pater, Tina K Sosa, Jacquelyn Boyer, Rhonda Cable, Melinda Egan, Timothy K Knilans, Amanda C </w:t>
            </w:r>
            <w:proofErr w:type="spellStart"/>
            <w:r w:rsidRPr="00292B57">
              <w:rPr>
                <w:rFonts w:ascii="Garamond" w:hAnsi="Garamond"/>
                <w:lang w:val="en-AU"/>
              </w:rPr>
              <w:t>Schondelmeyer</w:t>
            </w:r>
            <w:proofErr w:type="spellEnd"/>
            <w:r w:rsidRPr="00292B57">
              <w:rPr>
                <w:rFonts w:ascii="Garamond" w:hAnsi="Garamond"/>
                <w:lang w:val="en-AU"/>
              </w:rPr>
              <w:t>, Christine L Schuler, Nicolas L Madsen</w:t>
            </w:r>
            <w:r>
              <w:rPr>
                <w:rFonts w:ascii="Garamond" w:hAnsi="Garamond"/>
                <w:lang w:val="en-AU"/>
              </w:rPr>
              <w:t>)</w:t>
            </w:r>
          </w:p>
          <w:p w:rsidR="00292B57" w:rsidRPr="00292B57" w:rsidRDefault="00292B57" w:rsidP="00CA52D9">
            <w:pPr>
              <w:pStyle w:val="ListParagraph"/>
              <w:numPr>
                <w:ilvl w:val="0"/>
                <w:numId w:val="15"/>
              </w:numPr>
              <w:rPr>
                <w:rFonts w:ascii="Garamond" w:hAnsi="Garamond"/>
                <w:lang w:val="en-AU"/>
              </w:rPr>
            </w:pPr>
            <w:r w:rsidRPr="00292B57">
              <w:rPr>
                <w:rFonts w:ascii="Garamond" w:hAnsi="Garamond"/>
                <w:lang w:val="en-AU"/>
              </w:rPr>
              <w:t xml:space="preserve">‘Whatever you cut, I can fix it’: clinical supervisors’ interview accounts of allowing </w:t>
            </w:r>
            <w:r w:rsidRPr="002C3503">
              <w:rPr>
                <w:rFonts w:ascii="Garamond" w:hAnsi="Garamond"/>
                <w:b/>
                <w:lang w:val="en-AU"/>
              </w:rPr>
              <w:t>trainee failure</w:t>
            </w:r>
            <w:r w:rsidRPr="00292B57">
              <w:rPr>
                <w:rFonts w:ascii="Garamond" w:hAnsi="Garamond"/>
                <w:lang w:val="en-AU"/>
              </w:rPr>
              <w:t xml:space="preserve"> while guarding patient safety (Jennifer M </w:t>
            </w:r>
            <w:proofErr w:type="spellStart"/>
            <w:r w:rsidRPr="00292B57">
              <w:rPr>
                <w:rFonts w:ascii="Garamond" w:hAnsi="Garamond"/>
                <w:lang w:val="en-AU"/>
              </w:rPr>
              <w:t>Klasen</w:t>
            </w:r>
            <w:proofErr w:type="spellEnd"/>
            <w:r w:rsidRPr="00292B57">
              <w:rPr>
                <w:rFonts w:ascii="Garamond" w:hAnsi="Garamond"/>
                <w:lang w:val="en-AU"/>
              </w:rPr>
              <w:t xml:space="preserve">, Erik </w:t>
            </w:r>
            <w:proofErr w:type="spellStart"/>
            <w:r w:rsidRPr="00292B57">
              <w:rPr>
                <w:rFonts w:ascii="Garamond" w:hAnsi="Garamond"/>
                <w:lang w:val="en-AU"/>
              </w:rPr>
              <w:t>Driessen</w:t>
            </w:r>
            <w:proofErr w:type="spellEnd"/>
            <w:r w:rsidRPr="00292B57">
              <w:rPr>
                <w:rFonts w:ascii="Garamond" w:hAnsi="Garamond"/>
                <w:lang w:val="en-AU"/>
              </w:rPr>
              <w:t xml:space="preserve">, </w:t>
            </w:r>
            <w:proofErr w:type="spellStart"/>
            <w:r w:rsidRPr="00292B57">
              <w:rPr>
                <w:rFonts w:ascii="Garamond" w:hAnsi="Garamond"/>
                <w:lang w:val="en-AU"/>
              </w:rPr>
              <w:t>Pim</w:t>
            </w:r>
            <w:proofErr w:type="spellEnd"/>
            <w:r w:rsidRPr="00292B57">
              <w:rPr>
                <w:rFonts w:ascii="Garamond" w:hAnsi="Garamond"/>
                <w:lang w:val="en-AU"/>
              </w:rPr>
              <w:t xml:space="preserve"> W </w:t>
            </w:r>
            <w:proofErr w:type="spellStart"/>
            <w:r w:rsidRPr="00292B57">
              <w:rPr>
                <w:rFonts w:ascii="Garamond" w:hAnsi="Garamond"/>
                <w:lang w:val="en-AU"/>
              </w:rPr>
              <w:t>Teunissen</w:t>
            </w:r>
            <w:proofErr w:type="spellEnd"/>
            <w:r w:rsidRPr="00292B57">
              <w:rPr>
                <w:rFonts w:ascii="Garamond" w:hAnsi="Garamond"/>
                <w:lang w:val="en-AU"/>
              </w:rPr>
              <w:t>, Lorelei A Lingard</w:t>
            </w:r>
            <w:r>
              <w:rPr>
                <w:rFonts w:ascii="Garamond" w:hAnsi="Garamond"/>
                <w:lang w:val="en-AU"/>
              </w:rPr>
              <w:t>)</w:t>
            </w:r>
          </w:p>
          <w:p w:rsidR="00292B57" w:rsidRPr="00292B57" w:rsidRDefault="00292B57" w:rsidP="008E18F2">
            <w:pPr>
              <w:pStyle w:val="ListParagraph"/>
              <w:numPr>
                <w:ilvl w:val="0"/>
                <w:numId w:val="15"/>
              </w:numPr>
              <w:rPr>
                <w:rFonts w:ascii="Garamond" w:hAnsi="Garamond"/>
                <w:lang w:val="en-AU"/>
              </w:rPr>
            </w:pPr>
            <w:r w:rsidRPr="00292B57">
              <w:rPr>
                <w:rFonts w:ascii="Garamond" w:hAnsi="Garamond"/>
                <w:lang w:val="en-AU"/>
              </w:rPr>
              <w:t xml:space="preserve">Validation of </w:t>
            </w:r>
            <w:r w:rsidRPr="002C3503">
              <w:rPr>
                <w:rFonts w:ascii="Garamond" w:hAnsi="Garamond"/>
                <w:b/>
                <w:lang w:val="en-AU"/>
              </w:rPr>
              <w:t>automated sepsis surveillance</w:t>
            </w:r>
            <w:r w:rsidRPr="00292B57">
              <w:rPr>
                <w:rFonts w:ascii="Garamond" w:hAnsi="Garamond"/>
                <w:lang w:val="en-AU"/>
              </w:rPr>
              <w:t xml:space="preserve"> based on the Sepsis-3 clinical criteria against physician record review in a general hospital population: observational study using electronic health records data (John </w:t>
            </w:r>
            <w:proofErr w:type="spellStart"/>
            <w:r w:rsidRPr="00292B57">
              <w:rPr>
                <w:rFonts w:ascii="Garamond" w:hAnsi="Garamond"/>
                <w:lang w:val="en-AU"/>
              </w:rPr>
              <w:t>Karlsson</w:t>
            </w:r>
            <w:proofErr w:type="spellEnd"/>
            <w:r w:rsidRPr="00292B57">
              <w:rPr>
                <w:rFonts w:ascii="Garamond" w:hAnsi="Garamond"/>
                <w:lang w:val="en-AU"/>
              </w:rPr>
              <w:t xml:space="preserve"> </w:t>
            </w:r>
            <w:proofErr w:type="spellStart"/>
            <w:r w:rsidRPr="00292B57">
              <w:rPr>
                <w:rFonts w:ascii="Garamond" w:hAnsi="Garamond"/>
                <w:lang w:val="en-AU"/>
              </w:rPr>
              <w:t>Valik</w:t>
            </w:r>
            <w:proofErr w:type="spellEnd"/>
            <w:r w:rsidRPr="00292B57">
              <w:rPr>
                <w:rFonts w:ascii="Garamond" w:hAnsi="Garamond"/>
                <w:lang w:val="en-AU"/>
              </w:rPr>
              <w:t xml:space="preserve">, Logan Ward, Hideyuki </w:t>
            </w:r>
            <w:proofErr w:type="spellStart"/>
            <w:r w:rsidRPr="00292B57">
              <w:rPr>
                <w:rFonts w:ascii="Garamond" w:hAnsi="Garamond"/>
                <w:lang w:val="en-AU"/>
              </w:rPr>
              <w:t>Tanushi</w:t>
            </w:r>
            <w:proofErr w:type="spellEnd"/>
            <w:r w:rsidRPr="00292B57">
              <w:rPr>
                <w:rFonts w:ascii="Garamond" w:hAnsi="Garamond"/>
                <w:lang w:val="en-AU"/>
              </w:rPr>
              <w:t xml:space="preserve">, </w:t>
            </w:r>
            <w:proofErr w:type="spellStart"/>
            <w:r w:rsidRPr="00292B57">
              <w:rPr>
                <w:rFonts w:ascii="Garamond" w:hAnsi="Garamond"/>
                <w:lang w:val="en-AU"/>
              </w:rPr>
              <w:t>Kajsa</w:t>
            </w:r>
            <w:proofErr w:type="spellEnd"/>
            <w:r w:rsidRPr="00292B57">
              <w:rPr>
                <w:rFonts w:ascii="Garamond" w:hAnsi="Garamond"/>
                <w:lang w:val="en-AU"/>
              </w:rPr>
              <w:t xml:space="preserve"> </w:t>
            </w:r>
            <w:proofErr w:type="spellStart"/>
            <w:r w:rsidRPr="00292B57">
              <w:rPr>
                <w:rFonts w:ascii="Garamond" w:hAnsi="Garamond"/>
                <w:lang w:val="en-AU"/>
              </w:rPr>
              <w:t>Müllersdorf</w:t>
            </w:r>
            <w:proofErr w:type="spellEnd"/>
            <w:r w:rsidRPr="00292B57">
              <w:rPr>
                <w:rFonts w:ascii="Garamond" w:hAnsi="Garamond"/>
                <w:lang w:val="en-AU"/>
              </w:rPr>
              <w:t xml:space="preserve">, Anders </w:t>
            </w:r>
            <w:proofErr w:type="spellStart"/>
            <w:r w:rsidRPr="00292B57">
              <w:rPr>
                <w:rFonts w:ascii="Garamond" w:hAnsi="Garamond"/>
                <w:lang w:val="en-AU"/>
              </w:rPr>
              <w:t>Ternhag</w:t>
            </w:r>
            <w:proofErr w:type="spellEnd"/>
            <w:r w:rsidRPr="00292B57">
              <w:rPr>
                <w:rFonts w:ascii="Garamond" w:hAnsi="Garamond"/>
                <w:lang w:val="en-AU"/>
              </w:rPr>
              <w:t xml:space="preserve">, </w:t>
            </w:r>
            <w:proofErr w:type="spellStart"/>
            <w:r w:rsidRPr="00292B57">
              <w:rPr>
                <w:rFonts w:ascii="Garamond" w:hAnsi="Garamond"/>
                <w:lang w:val="en-AU"/>
              </w:rPr>
              <w:t>Ewa</w:t>
            </w:r>
            <w:proofErr w:type="spellEnd"/>
            <w:r w:rsidRPr="00292B57">
              <w:rPr>
                <w:rFonts w:ascii="Garamond" w:hAnsi="Garamond"/>
                <w:lang w:val="en-AU"/>
              </w:rPr>
              <w:t xml:space="preserve"> </w:t>
            </w:r>
            <w:proofErr w:type="spellStart"/>
            <w:r w:rsidRPr="00292B57">
              <w:rPr>
                <w:rFonts w:ascii="Garamond" w:hAnsi="Garamond"/>
                <w:lang w:val="en-AU"/>
              </w:rPr>
              <w:t>Aufwerber</w:t>
            </w:r>
            <w:proofErr w:type="spellEnd"/>
            <w:r w:rsidRPr="00292B57">
              <w:rPr>
                <w:rFonts w:ascii="Garamond" w:hAnsi="Garamond"/>
                <w:lang w:val="en-AU"/>
              </w:rPr>
              <w:t xml:space="preserve">, Anna </w:t>
            </w:r>
            <w:proofErr w:type="spellStart"/>
            <w:r w:rsidRPr="00292B57">
              <w:rPr>
                <w:rFonts w:ascii="Garamond" w:hAnsi="Garamond"/>
                <w:lang w:val="en-AU"/>
              </w:rPr>
              <w:t>Färnert</w:t>
            </w:r>
            <w:proofErr w:type="spellEnd"/>
            <w:r w:rsidRPr="00292B57">
              <w:rPr>
                <w:rFonts w:ascii="Garamond" w:hAnsi="Garamond"/>
                <w:lang w:val="en-AU"/>
              </w:rPr>
              <w:t xml:space="preserve">, Anders F Johansson, Mads </w:t>
            </w:r>
            <w:proofErr w:type="spellStart"/>
            <w:r w:rsidRPr="00292B57">
              <w:rPr>
                <w:rFonts w:ascii="Garamond" w:hAnsi="Garamond"/>
                <w:lang w:val="en-AU"/>
              </w:rPr>
              <w:t>Lause</w:t>
            </w:r>
            <w:proofErr w:type="spellEnd"/>
            <w:r w:rsidRPr="00292B57">
              <w:rPr>
                <w:rFonts w:ascii="Garamond" w:hAnsi="Garamond"/>
                <w:lang w:val="en-AU"/>
              </w:rPr>
              <w:t xml:space="preserve"> </w:t>
            </w:r>
            <w:proofErr w:type="spellStart"/>
            <w:r w:rsidRPr="00292B57">
              <w:rPr>
                <w:rFonts w:ascii="Garamond" w:hAnsi="Garamond"/>
                <w:lang w:val="en-AU"/>
              </w:rPr>
              <w:t>Mogensen</w:t>
            </w:r>
            <w:proofErr w:type="spellEnd"/>
            <w:r w:rsidRPr="00292B57">
              <w:rPr>
                <w:rFonts w:ascii="Garamond" w:hAnsi="Garamond"/>
                <w:lang w:val="en-AU"/>
              </w:rPr>
              <w:t xml:space="preserve">, Brian Pickering, Hercules Dalianis, Aron </w:t>
            </w:r>
            <w:proofErr w:type="spellStart"/>
            <w:r w:rsidRPr="00292B57">
              <w:rPr>
                <w:rFonts w:ascii="Garamond" w:hAnsi="Garamond"/>
                <w:lang w:val="en-AU"/>
              </w:rPr>
              <w:t>Henriksson</w:t>
            </w:r>
            <w:proofErr w:type="spellEnd"/>
            <w:r w:rsidRPr="00292B57">
              <w:rPr>
                <w:rFonts w:ascii="Garamond" w:hAnsi="Garamond"/>
                <w:lang w:val="en-AU"/>
              </w:rPr>
              <w:t xml:space="preserve">, </w:t>
            </w:r>
            <w:proofErr w:type="spellStart"/>
            <w:r w:rsidRPr="00292B57">
              <w:rPr>
                <w:rFonts w:ascii="Garamond" w:hAnsi="Garamond"/>
                <w:lang w:val="en-AU"/>
              </w:rPr>
              <w:t>Vitaly</w:t>
            </w:r>
            <w:proofErr w:type="spellEnd"/>
            <w:r w:rsidRPr="00292B57">
              <w:rPr>
                <w:rFonts w:ascii="Garamond" w:hAnsi="Garamond"/>
                <w:lang w:val="en-AU"/>
              </w:rPr>
              <w:t xml:space="preserve"> </w:t>
            </w:r>
            <w:proofErr w:type="spellStart"/>
            <w:r w:rsidRPr="00292B57">
              <w:rPr>
                <w:rFonts w:ascii="Garamond" w:hAnsi="Garamond"/>
                <w:lang w:val="en-AU"/>
              </w:rPr>
              <w:t>Herasevich</w:t>
            </w:r>
            <w:proofErr w:type="spellEnd"/>
            <w:r w:rsidRPr="00292B57">
              <w:rPr>
                <w:rFonts w:ascii="Garamond" w:hAnsi="Garamond"/>
                <w:lang w:val="en-AU"/>
              </w:rPr>
              <w:t xml:space="preserve">, P </w:t>
            </w:r>
            <w:proofErr w:type="spellStart"/>
            <w:r w:rsidRPr="00292B57">
              <w:rPr>
                <w:rFonts w:ascii="Garamond" w:hAnsi="Garamond"/>
                <w:lang w:val="en-AU"/>
              </w:rPr>
              <w:t>Nauclér</w:t>
            </w:r>
            <w:proofErr w:type="spellEnd"/>
            <w:r>
              <w:rPr>
                <w:rFonts w:ascii="Garamond" w:hAnsi="Garamond"/>
                <w:lang w:val="en-AU"/>
              </w:rPr>
              <w:t>)</w:t>
            </w:r>
          </w:p>
          <w:p w:rsidR="00292B57" w:rsidRPr="00292B57" w:rsidRDefault="00292B57" w:rsidP="00BE72C8">
            <w:pPr>
              <w:pStyle w:val="ListParagraph"/>
              <w:numPr>
                <w:ilvl w:val="0"/>
                <w:numId w:val="15"/>
              </w:numPr>
              <w:rPr>
                <w:rFonts w:ascii="Garamond" w:hAnsi="Garamond"/>
                <w:lang w:val="en-AU"/>
              </w:rPr>
            </w:pPr>
            <w:r w:rsidRPr="00292B57">
              <w:rPr>
                <w:rFonts w:ascii="Garamond" w:hAnsi="Garamond"/>
                <w:lang w:val="en-AU"/>
              </w:rPr>
              <w:t xml:space="preserve">Logic model framework for considering the inputs, processes and outcomes of a </w:t>
            </w:r>
            <w:r w:rsidRPr="002C3503">
              <w:rPr>
                <w:rFonts w:ascii="Garamond" w:hAnsi="Garamond"/>
                <w:b/>
                <w:lang w:val="en-AU"/>
              </w:rPr>
              <w:t>healthcare organisation–research partnership</w:t>
            </w:r>
            <w:r w:rsidRPr="00292B57">
              <w:rPr>
                <w:rFonts w:ascii="Garamond" w:hAnsi="Garamond"/>
                <w:lang w:val="en-AU"/>
              </w:rPr>
              <w:t xml:space="preserve"> (Amir </w:t>
            </w:r>
            <w:proofErr w:type="spellStart"/>
            <w:r w:rsidRPr="00292B57">
              <w:rPr>
                <w:rFonts w:ascii="Garamond" w:hAnsi="Garamond"/>
                <w:lang w:val="en-AU"/>
              </w:rPr>
              <w:t>Alishahi</w:t>
            </w:r>
            <w:proofErr w:type="spellEnd"/>
            <w:r w:rsidRPr="00292B57">
              <w:rPr>
                <w:rFonts w:ascii="Garamond" w:hAnsi="Garamond"/>
                <w:lang w:val="en-AU"/>
              </w:rPr>
              <w:t xml:space="preserve"> Tabriz, Susan A </w:t>
            </w:r>
            <w:proofErr w:type="spellStart"/>
            <w:r w:rsidRPr="00292B57">
              <w:rPr>
                <w:rFonts w:ascii="Garamond" w:hAnsi="Garamond"/>
                <w:lang w:val="en-AU"/>
              </w:rPr>
              <w:t>Flocke</w:t>
            </w:r>
            <w:proofErr w:type="spellEnd"/>
            <w:r w:rsidRPr="00292B57">
              <w:rPr>
                <w:rFonts w:ascii="Garamond" w:hAnsi="Garamond"/>
                <w:lang w:val="en-AU"/>
              </w:rPr>
              <w:t>, Deirdre Shires, Karen E Dyer, Michelle Schreiber, J E</w:t>
            </w:r>
            <w:r w:rsidR="002C3503">
              <w:rPr>
                <w:rFonts w:ascii="Garamond" w:hAnsi="Garamond"/>
                <w:lang w:val="en-AU"/>
              </w:rPr>
              <w:t xml:space="preserve"> </w:t>
            </w:r>
            <w:proofErr w:type="spellStart"/>
            <w:r w:rsidRPr="00292B57">
              <w:rPr>
                <w:rFonts w:ascii="Garamond" w:hAnsi="Garamond"/>
                <w:lang w:val="en-AU"/>
              </w:rPr>
              <w:t>Lafata</w:t>
            </w:r>
            <w:proofErr w:type="spellEnd"/>
            <w:r>
              <w:rPr>
                <w:rFonts w:ascii="Garamond" w:hAnsi="Garamond"/>
                <w:lang w:val="en-AU"/>
              </w:rPr>
              <w:t>)</w:t>
            </w:r>
          </w:p>
          <w:p w:rsidR="00292B57" w:rsidRPr="00292B57" w:rsidRDefault="00292B57" w:rsidP="007F3965">
            <w:pPr>
              <w:pStyle w:val="ListParagraph"/>
              <w:numPr>
                <w:ilvl w:val="0"/>
                <w:numId w:val="15"/>
              </w:numPr>
              <w:rPr>
                <w:rFonts w:ascii="Garamond" w:hAnsi="Garamond"/>
                <w:lang w:val="en-AU"/>
              </w:rPr>
            </w:pPr>
            <w:r w:rsidRPr="00292B57">
              <w:rPr>
                <w:rFonts w:ascii="Garamond" w:hAnsi="Garamond"/>
                <w:lang w:val="en-AU"/>
              </w:rPr>
              <w:t xml:space="preserve">Applying thematic synthesis to interpretation and commentary in epidemiological studies: identifying what contributes to successful interventions to promote </w:t>
            </w:r>
            <w:r w:rsidRPr="002C3503">
              <w:rPr>
                <w:rFonts w:ascii="Garamond" w:hAnsi="Garamond"/>
                <w:b/>
                <w:lang w:val="en-AU"/>
              </w:rPr>
              <w:t>hand hygiene in patient care</w:t>
            </w:r>
            <w:r w:rsidRPr="00292B57">
              <w:rPr>
                <w:rFonts w:ascii="Garamond" w:hAnsi="Garamond"/>
                <w:lang w:val="en-AU"/>
              </w:rPr>
              <w:t xml:space="preserve"> (Nicholas </w:t>
            </w:r>
            <w:proofErr w:type="spellStart"/>
            <w:r w:rsidRPr="00292B57">
              <w:rPr>
                <w:rFonts w:ascii="Garamond" w:hAnsi="Garamond"/>
                <w:lang w:val="en-AU"/>
              </w:rPr>
              <w:t>Drey</w:t>
            </w:r>
            <w:proofErr w:type="spellEnd"/>
            <w:r w:rsidRPr="00292B57">
              <w:rPr>
                <w:rFonts w:ascii="Garamond" w:hAnsi="Garamond"/>
                <w:lang w:val="en-AU"/>
              </w:rPr>
              <w:t xml:space="preserve">, Dinah Gould, Edward </w:t>
            </w:r>
            <w:proofErr w:type="spellStart"/>
            <w:r w:rsidRPr="00292B57">
              <w:rPr>
                <w:rFonts w:ascii="Garamond" w:hAnsi="Garamond"/>
                <w:lang w:val="en-AU"/>
              </w:rPr>
              <w:t>Purssell</w:t>
            </w:r>
            <w:proofErr w:type="spellEnd"/>
            <w:r w:rsidRPr="00292B57">
              <w:rPr>
                <w:rFonts w:ascii="Garamond" w:hAnsi="Garamond"/>
                <w:lang w:val="en-AU"/>
              </w:rPr>
              <w:t xml:space="preserve">, Jane Chudleigh, Donna </w:t>
            </w:r>
            <w:proofErr w:type="spellStart"/>
            <w:r w:rsidRPr="00292B57">
              <w:rPr>
                <w:rFonts w:ascii="Garamond" w:hAnsi="Garamond"/>
                <w:lang w:val="en-AU"/>
              </w:rPr>
              <w:t>Moralejo</w:t>
            </w:r>
            <w:proofErr w:type="spellEnd"/>
            <w:r w:rsidRPr="00292B57">
              <w:rPr>
                <w:rFonts w:ascii="Garamond" w:hAnsi="Garamond"/>
                <w:lang w:val="en-AU"/>
              </w:rPr>
              <w:t xml:space="preserve">, Rose Gallagher, Annette Jeanes, Neil Wigglesworth, Didier </w:t>
            </w:r>
            <w:proofErr w:type="spellStart"/>
            <w:r w:rsidRPr="00292B57">
              <w:rPr>
                <w:rFonts w:ascii="Garamond" w:hAnsi="Garamond"/>
                <w:lang w:val="en-AU"/>
              </w:rPr>
              <w:t>Pittet</w:t>
            </w:r>
            <w:proofErr w:type="spellEnd"/>
            <w:r>
              <w:rPr>
                <w:rFonts w:ascii="Garamond" w:hAnsi="Garamond"/>
                <w:lang w:val="en-AU"/>
              </w:rPr>
              <w:t>)</w:t>
            </w:r>
          </w:p>
          <w:p w:rsidR="00292B57" w:rsidRPr="00292B57" w:rsidRDefault="00292B57" w:rsidP="00645539">
            <w:pPr>
              <w:pStyle w:val="ListParagraph"/>
              <w:numPr>
                <w:ilvl w:val="0"/>
                <w:numId w:val="15"/>
              </w:numPr>
              <w:rPr>
                <w:rFonts w:ascii="Garamond" w:hAnsi="Garamond"/>
                <w:lang w:val="en-AU"/>
              </w:rPr>
            </w:pPr>
            <w:r w:rsidRPr="00292B57">
              <w:rPr>
                <w:rFonts w:ascii="Garamond" w:hAnsi="Garamond"/>
                <w:lang w:val="en-AU"/>
              </w:rPr>
              <w:t xml:space="preserve">How can </w:t>
            </w:r>
            <w:r w:rsidRPr="002C3503">
              <w:rPr>
                <w:rFonts w:ascii="Garamond" w:hAnsi="Garamond"/>
                <w:b/>
                <w:lang w:val="en-AU"/>
              </w:rPr>
              <w:t>patient-held lists of medication enhance patient safety</w:t>
            </w:r>
            <w:r w:rsidRPr="00292B57">
              <w:rPr>
                <w:rFonts w:ascii="Garamond" w:hAnsi="Garamond"/>
                <w:lang w:val="en-AU"/>
              </w:rPr>
              <w:t xml:space="preserve">? A mixed-methods study with a focus on user experience (Sara Garfield, Dominic </w:t>
            </w:r>
            <w:proofErr w:type="spellStart"/>
            <w:r w:rsidRPr="00292B57">
              <w:rPr>
                <w:rFonts w:ascii="Garamond" w:hAnsi="Garamond"/>
                <w:lang w:val="en-AU"/>
              </w:rPr>
              <w:t>Furniss</w:t>
            </w:r>
            <w:proofErr w:type="spellEnd"/>
            <w:r w:rsidRPr="00292B57">
              <w:rPr>
                <w:rFonts w:ascii="Garamond" w:hAnsi="Garamond"/>
                <w:lang w:val="en-AU"/>
              </w:rPr>
              <w:t xml:space="preserve">, Fran </w:t>
            </w:r>
            <w:proofErr w:type="spellStart"/>
            <w:r w:rsidRPr="00292B57">
              <w:rPr>
                <w:rFonts w:ascii="Garamond" w:hAnsi="Garamond"/>
                <w:lang w:val="en-AU"/>
              </w:rPr>
              <w:t>Husson</w:t>
            </w:r>
            <w:proofErr w:type="spellEnd"/>
            <w:r w:rsidRPr="00292B57">
              <w:rPr>
                <w:rFonts w:ascii="Garamond" w:hAnsi="Garamond"/>
                <w:lang w:val="en-AU"/>
              </w:rPr>
              <w:t xml:space="preserve">, Mike </w:t>
            </w:r>
            <w:proofErr w:type="spellStart"/>
            <w:r w:rsidRPr="00292B57">
              <w:rPr>
                <w:rFonts w:ascii="Garamond" w:hAnsi="Garamond"/>
                <w:lang w:val="en-AU"/>
              </w:rPr>
              <w:t>Etkind</w:t>
            </w:r>
            <w:proofErr w:type="spellEnd"/>
            <w:r w:rsidRPr="00292B57">
              <w:rPr>
                <w:rFonts w:ascii="Garamond" w:hAnsi="Garamond"/>
                <w:lang w:val="en-AU"/>
              </w:rPr>
              <w:t xml:space="preserve">, </w:t>
            </w:r>
            <w:proofErr w:type="spellStart"/>
            <w:r w:rsidRPr="00292B57">
              <w:rPr>
                <w:rFonts w:ascii="Garamond" w:hAnsi="Garamond"/>
                <w:lang w:val="en-AU"/>
              </w:rPr>
              <w:t>Marney</w:t>
            </w:r>
            <w:proofErr w:type="spellEnd"/>
            <w:r w:rsidRPr="00292B57">
              <w:rPr>
                <w:rFonts w:ascii="Garamond" w:hAnsi="Garamond"/>
                <w:lang w:val="en-AU"/>
              </w:rPr>
              <w:t xml:space="preserve"> Williams, John Norton, Della </w:t>
            </w:r>
            <w:proofErr w:type="spellStart"/>
            <w:r w:rsidRPr="00292B57">
              <w:rPr>
                <w:rFonts w:ascii="Garamond" w:hAnsi="Garamond"/>
                <w:lang w:val="en-AU"/>
              </w:rPr>
              <w:t>Ogunleye</w:t>
            </w:r>
            <w:proofErr w:type="spellEnd"/>
            <w:r w:rsidRPr="00292B57">
              <w:rPr>
                <w:rFonts w:ascii="Garamond" w:hAnsi="Garamond"/>
                <w:lang w:val="en-AU"/>
              </w:rPr>
              <w:t xml:space="preserve">, Barry </w:t>
            </w:r>
            <w:proofErr w:type="spellStart"/>
            <w:r w:rsidRPr="00292B57">
              <w:rPr>
                <w:rFonts w:ascii="Garamond" w:hAnsi="Garamond"/>
                <w:lang w:val="en-AU"/>
              </w:rPr>
              <w:t>Jubraj</w:t>
            </w:r>
            <w:proofErr w:type="spellEnd"/>
            <w:r w:rsidRPr="00292B57">
              <w:rPr>
                <w:rFonts w:ascii="Garamond" w:hAnsi="Garamond"/>
                <w:lang w:val="en-AU"/>
              </w:rPr>
              <w:t xml:space="preserve">, </w:t>
            </w:r>
            <w:proofErr w:type="spellStart"/>
            <w:r w:rsidRPr="00292B57">
              <w:rPr>
                <w:rFonts w:ascii="Garamond" w:hAnsi="Garamond"/>
                <w:lang w:val="en-AU"/>
              </w:rPr>
              <w:t>Hanaa</w:t>
            </w:r>
            <w:proofErr w:type="spellEnd"/>
            <w:r w:rsidRPr="00292B57">
              <w:rPr>
                <w:rFonts w:ascii="Garamond" w:hAnsi="Garamond"/>
                <w:lang w:val="en-AU"/>
              </w:rPr>
              <w:t xml:space="preserve"> </w:t>
            </w:r>
            <w:proofErr w:type="spellStart"/>
            <w:r w:rsidRPr="00292B57">
              <w:rPr>
                <w:rFonts w:ascii="Garamond" w:hAnsi="Garamond"/>
                <w:lang w:val="en-AU"/>
              </w:rPr>
              <w:t>Lakhdari</w:t>
            </w:r>
            <w:proofErr w:type="spellEnd"/>
            <w:r w:rsidRPr="00292B57">
              <w:rPr>
                <w:rFonts w:ascii="Garamond" w:hAnsi="Garamond"/>
                <w:lang w:val="en-AU"/>
              </w:rPr>
              <w:t>, Bryony Dean Franklin</w:t>
            </w:r>
            <w:r>
              <w:rPr>
                <w:rFonts w:ascii="Garamond" w:hAnsi="Garamond"/>
                <w:lang w:val="en-AU"/>
              </w:rPr>
              <w:t>)</w:t>
            </w:r>
          </w:p>
          <w:p w:rsidR="00292B57" w:rsidRPr="00292B57" w:rsidRDefault="00292B57" w:rsidP="00292B57">
            <w:pPr>
              <w:pStyle w:val="ListParagraph"/>
              <w:numPr>
                <w:ilvl w:val="0"/>
                <w:numId w:val="15"/>
              </w:numPr>
              <w:rPr>
                <w:rFonts w:ascii="Garamond" w:hAnsi="Garamond"/>
                <w:lang w:val="en-AU"/>
              </w:rPr>
            </w:pPr>
            <w:r w:rsidRPr="00292B57">
              <w:rPr>
                <w:rFonts w:ascii="Garamond" w:hAnsi="Garamond"/>
                <w:lang w:val="en-AU"/>
              </w:rPr>
              <w:t xml:space="preserve">When do trials of </w:t>
            </w:r>
            <w:proofErr w:type="gramStart"/>
            <w:r w:rsidRPr="002C3503">
              <w:rPr>
                <w:rFonts w:ascii="Garamond" w:hAnsi="Garamond"/>
                <w:b/>
                <w:lang w:val="en-AU"/>
              </w:rPr>
              <w:t>diabetes quality improvement strategies</w:t>
            </w:r>
            <w:proofErr w:type="gramEnd"/>
            <w:r w:rsidRPr="00292B57">
              <w:rPr>
                <w:rFonts w:ascii="Garamond" w:hAnsi="Garamond"/>
                <w:lang w:val="en-AU"/>
              </w:rPr>
              <w:t xml:space="preserve"> lead to sustained change in patient care? (Emily L Kearsley-</w:t>
            </w:r>
            <w:proofErr w:type="spellStart"/>
            <w:r w:rsidRPr="00292B57">
              <w:rPr>
                <w:rFonts w:ascii="Garamond" w:hAnsi="Garamond"/>
                <w:lang w:val="en-AU"/>
              </w:rPr>
              <w:t>Ho</w:t>
            </w:r>
            <w:proofErr w:type="spellEnd"/>
            <w:r w:rsidRPr="00292B57">
              <w:rPr>
                <w:rFonts w:ascii="Garamond" w:hAnsi="Garamond"/>
                <w:lang w:val="en-AU"/>
              </w:rPr>
              <w:t xml:space="preserve">, </w:t>
            </w:r>
            <w:proofErr w:type="spellStart"/>
            <w:r w:rsidRPr="00292B57">
              <w:rPr>
                <w:rFonts w:ascii="Garamond" w:hAnsi="Garamond"/>
                <w:lang w:val="en-AU"/>
              </w:rPr>
              <w:t>Hsin</w:t>
            </w:r>
            <w:proofErr w:type="spellEnd"/>
            <w:r w:rsidRPr="00292B57">
              <w:rPr>
                <w:rFonts w:ascii="Garamond" w:hAnsi="Garamond"/>
                <w:lang w:val="en-AU"/>
              </w:rPr>
              <w:t xml:space="preserve"> Yun Yang, </w:t>
            </w:r>
            <w:proofErr w:type="spellStart"/>
            <w:r w:rsidRPr="00292B57">
              <w:rPr>
                <w:rFonts w:ascii="Garamond" w:hAnsi="Garamond"/>
                <w:lang w:val="en-AU"/>
              </w:rPr>
              <w:t>Sathya</w:t>
            </w:r>
            <w:proofErr w:type="spellEnd"/>
            <w:r w:rsidRPr="00292B57">
              <w:rPr>
                <w:rFonts w:ascii="Garamond" w:hAnsi="Garamond"/>
                <w:lang w:val="en-AU"/>
              </w:rPr>
              <w:t xml:space="preserve"> </w:t>
            </w:r>
            <w:proofErr w:type="spellStart"/>
            <w:r w:rsidRPr="00292B57">
              <w:rPr>
                <w:rFonts w:ascii="Garamond" w:hAnsi="Garamond"/>
                <w:lang w:val="en-AU"/>
              </w:rPr>
              <w:t>Karunananthan</w:t>
            </w:r>
            <w:proofErr w:type="spellEnd"/>
            <w:r w:rsidRPr="00292B57">
              <w:rPr>
                <w:rFonts w:ascii="Garamond" w:hAnsi="Garamond"/>
                <w:lang w:val="en-AU"/>
              </w:rPr>
              <w:t xml:space="preserve">, Celia </w:t>
            </w:r>
            <w:proofErr w:type="spellStart"/>
            <w:r w:rsidRPr="00292B57">
              <w:rPr>
                <w:rFonts w:ascii="Garamond" w:hAnsi="Garamond"/>
                <w:lang w:val="en-AU"/>
              </w:rPr>
              <w:t>Laur</w:t>
            </w:r>
            <w:proofErr w:type="spellEnd"/>
            <w:r w:rsidRPr="00292B57">
              <w:rPr>
                <w:rFonts w:ascii="Garamond" w:hAnsi="Garamond"/>
                <w:lang w:val="en-AU"/>
              </w:rPr>
              <w:t xml:space="preserve">, Jeremy M </w:t>
            </w:r>
            <w:proofErr w:type="spellStart"/>
            <w:r w:rsidRPr="00292B57">
              <w:rPr>
                <w:rFonts w:ascii="Garamond" w:hAnsi="Garamond"/>
                <w:lang w:val="en-AU"/>
              </w:rPr>
              <w:t>Grimshaw</w:t>
            </w:r>
            <w:proofErr w:type="spellEnd"/>
            <w:r w:rsidRPr="00292B57">
              <w:rPr>
                <w:rFonts w:ascii="Garamond" w:hAnsi="Garamond"/>
                <w:lang w:val="en-AU"/>
              </w:rPr>
              <w:t xml:space="preserve">, Noah M </w:t>
            </w:r>
            <w:proofErr w:type="spellStart"/>
            <w:r w:rsidRPr="00292B57">
              <w:rPr>
                <w:rFonts w:ascii="Garamond" w:hAnsi="Garamond"/>
                <w:lang w:val="en-AU"/>
              </w:rPr>
              <w:t>Ivers</w:t>
            </w:r>
            <w:proofErr w:type="spellEnd"/>
            <w:r>
              <w:rPr>
                <w:rFonts w:ascii="Garamond" w:hAnsi="Garamond"/>
                <w:lang w:val="en-AU"/>
              </w:rPr>
              <w:t>)</w:t>
            </w:r>
          </w:p>
        </w:tc>
      </w:tr>
    </w:tbl>
    <w:p w:rsidR="00292B57" w:rsidRDefault="00292B57" w:rsidP="0045296E">
      <w:pPr>
        <w:keepNext/>
        <w:keepLines/>
        <w:autoSpaceDE w:val="0"/>
        <w:autoSpaceDN w:val="0"/>
        <w:adjustRightInd w:val="0"/>
        <w:rPr>
          <w:rFonts w:ascii="Garamond" w:hAnsi="Garamond"/>
          <w:lang w:val="en-AU"/>
        </w:rPr>
      </w:pPr>
    </w:p>
    <w:p w:rsidR="009B2CFD" w:rsidRDefault="009B2CFD">
      <w:pPr>
        <w:rPr>
          <w:rFonts w:ascii="Garamond" w:hAnsi="Garamond"/>
          <w:i/>
          <w:lang w:val="en-AU"/>
        </w:rPr>
      </w:pPr>
      <w:r>
        <w:rPr>
          <w:rFonts w:ascii="Garamond" w:hAnsi="Garamond"/>
          <w:i/>
          <w:lang w:val="en-AU"/>
        </w:rPr>
        <w:br w:type="page"/>
      </w:r>
    </w:p>
    <w:p w:rsidR="00BB3BE3" w:rsidRPr="00467B47" w:rsidRDefault="00BB3BE3" w:rsidP="005E782C">
      <w:pPr>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9A22A7" w:rsidP="00DC09BF">
            <w:pPr>
              <w:keepNext/>
              <w:rPr>
                <w:rFonts w:ascii="Garamond" w:hAnsi="Garamond"/>
                <w:lang w:val="en-AU"/>
              </w:rPr>
            </w:pPr>
            <w:hyperlink r:id="rId55"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3B6124" w:rsidRDefault="0074329E" w:rsidP="0074329E">
            <w:pPr>
              <w:pStyle w:val="ListParagraph"/>
              <w:numPr>
                <w:ilvl w:val="0"/>
                <w:numId w:val="14"/>
              </w:numPr>
              <w:rPr>
                <w:rFonts w:ascii="Garamond" w:hAnsi="Garamond"/>
                <w:lang w:val="en-AU"/>
              </w:rPr>
            </w:pPr>
            <w:r w:rsidRPr="0074329E">
              <w:rPr>
                <w:rFonts w:ascii="Garamond" w:hAnsi="Garamond"/>
                <w:b/>
                <w:lang w:val="en-AU"/>
              </w:rPr>
              <w:t>Chronic hospital nurse understaffing meets COVID-19</w:t>
            </w:r>
            <w:r w:rsidRPr="0074329E">
              <w:rPr>
                <w:rFonts w:ascii="Garamond" w:hAnsi="Garamond"/>
                <w:lang w:val="en-AU"/>
              </w:rPr>
              <w:t xml:space="preserve">: an observational study </w:t>
            </w:r>
            <w:r>
              <w:rPr>
                <w:rFonts w:ascii="Garamond" w:hAnsi="Garamond"/>
                <w:lang w:val="en-AU"/>
              </w:rPr>
              <w:t>(</w:t>
            </w:r>
            <w:r w:rsidRPr="0074329E">
              <w:rPr>
                <w:rFonts w:ascii="Garamond" w:hAnsi="Garamond"/>
                <w:lang w:val="en-AU"/>
              </w:rPr>
              <w:t xml:space="preserve">Karen B </w:t>
            </w:r>
            <w:proofErr w:type="spellStart"/>
            <w:r w:rsidRPr="0074329E">
              <w:rPr>
                <w:rFonts w:ascii="Garamond" w:hAnsi="Garamond"/>
                <w:lang w:val="en-AU"/>
              </w:rPr>
              <w:t>Lasater</w:t>
            </w:r>
            <w:proofErr w:type="spellEnd"/>
            <w:r w:rsidRPr="0074329E">
              <w:rPr>
                <w:rFonts w:ascii="Garamond" w:hAnsi="Garamond"/>
                <w:lang w:val="en-AU"/>
              </w:rPr>
              <w:t xml:space="preserve">, Linda H Aiken, Douglas M Sloane, Rachel French, Brendan Martin, </w:t>
            </w:r>
            <w:proofErr w:type="spellStart"/>
            <w:r w:rsidRPr="0074329E">
              <w:rPr>
                <w:rFonts w:ascii="Garamond" w:hAnsi="Garamond"/>
                <w:lang w:val="en-AU"/>
              </w:rPr>
              <w:t>Kyrani</w:t>
            </w:r>
            <w:proofErr w:type="spellEnd"/>
            <w:r w:rsidRPr="0074329E">
              <w:rPr>
                <w:rFonts w:ascii="Garamond" w:hAnsi="Garamond"/>
                <w:lang w:val="en-AU"/>
              </w:rPr>
              <w:t xml:space="preserve"> </w:t>
            </w:r>
            <w:proofErr w:type="spellStart"/>
            <w:r w:rsidRPr="0074329E">
              <w:rPr>
                <w:rFonts w:ascii="Garamond" w:hAnsi="Garamond"/>
                <w:lang w:val="en-AU"/>
              </w:rPr>
              <w:t>Reneau</w:t>
            </w:r>
            <w:proofErr w:type="spellEnd"/>
            <w:r w:rsidRPr="0074329E">
              <w:rPr>
                <w:rFonts w:ascii="Garamond" w:hAnsi="Garamond"/>
                <w:lang w:val="en-AU"/>
              </w:rPr>
              <w:t>, Maryann Alexander, Matthew D McHugh</w:t>
            </w:r>
            <w:r>
              <w:rPr>
                <w:rFonts w:ascii="Garamond" w:hAnsi="Garamond"/>
                <w:lang w:val="en-AU"/>
              </w:rPr>
              <w:t>)</w:t>
            </w:r>
          </w:p>
          <w:p w:rsidR="0074420D" w:rsidRPr="00543B3B" w:rsidRDefault="0074420D" w:rsidP="0074420D">
            <w:pPr>
              <w:pStyle w:val="ListParagraph"/>
              <w:numPr>
                <w:ilvl w:val="0"/>
                <w:numId w:val="14"/>
              </w:numPr>
              <w:rPr>
                <w:rFonts w:ascii="Garamond" w:hAnsi="Garamond"/>
                <w:lang w:val="en-AU"/>
              </w:rPr>
            </w:pPr>
            <w:r w:rsidRPr="0074420D">
              <w:rPr>
                <w:rFonts w:ascii="Garamond" w:hAnsi="Garamond"/>
                <w:lang w:val="en-AU"/>
              </w:rPr>
              <w:t xml:space="preserve">Retrospective analysis of reported </w:t>
            </w:r>
            <w:r w:rsidRPr="0074420D">
              <w:rPr>
                <w:rFonts w:ascii="Garamond" w:hAnsi="Garamond"/>
                <w:b/>
                <w:lang w:val="en-AU"/>
              </w:rPr>
              <w:t>suicide deaths and attempts on veterans health administration campuses</w:t>
            </w:r>
            <w:r w:rsidRPr="0074420D">
              <w:rPr>
                <w:rFonts w:ascii="Garamond" w:hAnsi="Garamond"/>
                <w:lang w:val="en-AU"/>
              </w:rPr>
              <w:t xml:space="preserve"> and inpatient units</w:t>
            </w:r>
            <w:r>
              <w:rPr>
                <w:rFonts w:ascii="Garamond" w:hAnsi="Garamond"/>
                <w:lang w:val="en-AU"/>
              </w:rPr>
              <w:t xml:space="preserve"> (</w:t>
            </w:r>
            <w:r w:rsidRPr="0074420D">
              <w:rPr>
                <w:rFonts w:ascii="Garamond" w:hAnsi="Garamond"/>
                <w:lang w:val="en-AU"/>
              </w:rPr>
              <w:t xml:space="preserve">Peter D Mills, Christina </w:t>
            </w:r>
            <w:proofErr w:type="spellStart"/>
            <w:r w:rsidRPr="0074420D">
              <w:rPr>
                <w:rFonts w:ascii="Garamond" w:hAnsi="Garamond"/>
                <w:lang w:val="en-AU"/>
              </w:rPr>
              <w:t>Soncrant</w:t>
            </w:r>
            <w:proofErr w:type="spellEnd"/>
            <w:r w:rsidRPr="0074420D">
              <w:rPr>
                <w:rFonts w:ascii="Garamond" w:hAnsi="Garamond"/>
                <w:lang w:val="en-AU"/>
              </w:rPr>
              <w:t>, William Gunnar</w:t>
            </w:r>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A22A7" w:rsidP="002C5882">
            <w:pPr>
              <w:keepNext/>
              <w:rPr>
                <w:rFonts w:ascii="Garamond" w:hAnsi="Garamond"/>
                <w:lang w:val="en-AU"/>
              </w:rPr>
            </w:pPr>
            <w:hyperlink r:id="rId56" w:history="1">
              <w:r w:rsidR="00977E92" w:rsidRPr="00D31E10">
                <w:rPr>
                  <w:rStyle w:val="Hyperlink"/>
                  <w:rFonts w:ascii="Garamond" w:hAnsi="Garamond"/>
                  <w:lang w:val="en-AU"/>
                </w:rPr>
                <w:t>https://academic.oup.com/intqhc/advance-articles</w:t>
              </w:r>
            </w:hyperlink>
          </w:p>
        </w:tc>
      </w:tr>
      <w:tr w:rsidR="00977E92" w:rsidRPr="00467B47" w:rsidTr="002C5882">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0351C" w:rsidRPr="00B0351C" w:rsidRDefault="00B0351C" w:rsidP="007849DA">
            <w:pPr>
              <w:pStyle w:val="ListParagraph"/>
              <w:numPr>
                <w:ilvl w:val="0"/>
                <w:numId w:val="14"/>
              </w:numPr>
              <w:jc w:val="both"/>
              <w:rPr>
                <w:rFonts w:ascii="Garamond" w:hAnsi="Garamond"/>
                <w:lang w:val="en-AU"/>
              </w:rPr>
            </w:pPr>
            <w:r w:rsidRPr="00B0351C">
              <w:rPr>
                <w:rFonts w:ascii="Garamond" w:hAnsi="Garamond"/>
                <w:lang w:val="en-AU"/>
              </w:rPr>
              <w:t xml:space="preserve">The applicability of </w:t>
            </w:r>
            <w:r w:rsidRPr="00B0351C">
              <w:rPr>
                <w:rFonts w:ascii="Garamond" w:hAnsi="Garamond"/>
                <w:b/>
                <w:lang w:val="en-AU"/>
              </w:rPr>
              <w:t>COBIT processes representation structure</w:t>
            </w:r>
            <w:r w:rsidRPr="00B0351C">
              <w:rPr>
                <w:rFonts w:ascii="Garamond" w:hAnsi="Garamond"/>
                <w:lang w:val="en-AU"/>
              </w:rPr>
              <w:t xml:space="preserve"> for quality improvement in healthcare: a Delphi study: Research article (</w:t>
            </w:r>
            <w:proofErr w:type="spellStart"/>
            <w:r w:rsidRPr="00B0351C">
              <w:rPr>
                <w:rFonts w:ascii="Garamond" w:hAnsi="Garamond"/>
                <w:lang w:val="en-AU"/>
              </w:rPr>
              <w:t>Boštjan</w:t>
            </w:r>
            <w:proofErr w:type="spellEnd"/>
            <w:r w:rsidRPr="00B0351C">
              <w:rPr>
                <w:rFonts w:ascii="Garamond" w:hAnsi="Garamond"/>
                <w:lang w:val="en-AU"/>
              </w:rPr>
              <w:t xml:space="preserve"> </w:t>
            </w:r>
            <w:proofErr w:type="spellStart"/>
            <w:r w:rsidRPr="00B0351C">
              <w:rPr>
                <w:rFonts w:ascii="Garamond" w:hAnsi="Garamond"/>
                <w:lang w:val="en-AU"/>
              </w:rPr>
              <w:t>Žvanut</w:t>
            </w:r>
            <w:proofErr w:type="spellEnd"/>
            <w:r w:rsidRPr="00B0351C">
              <w:rPr>
                <w:rFonts w:ascii="Garamond" w:hAnsi="Garamond"/>
                <w:lang w:val="en-AU"/>
              </w:rPr>
              <w:t xml:space="preserve">, Milena </w:t>
            </w:r>
            <w:proofErr w:type="spellStart"/>
            <w:r w:rsidRPr="00B0351C">
              <w:rPr>
                <w:rFonts w:ascii="Garamond" w:hAnsi="Garamond"/>
                <w:lang w:val="en-AU"/>
              </w:rPr>
              <w:t>Burnik</w:t>
            </w:r>
            <w:proofErr w:type="spellEnd"/>
            <w:r w:rsidRPr="00B0351C">
              <w:rPr>
                <w:rFonts w:ascii="Garamond" w:hAnsi="Garamond"/>
                <w:lang w:val="en-AU"/>
              </w:rPr>
              <w:t xml:space="preserve">, Tamara </w:t>
            </w:r>
            <w:proofErr w:type="spellStart"/>
            <w:r w:rsidRPr="00B0351C">
              <w:rPr>
                <w:rFonts w:ascii="Garamond" w:hAnsi="Garamond"/>
                <w:lang w:val="en-AU"/>
              </w:rPr>
              <w:t>Štemberger</w:t>
            </w:r>
            <w:proofErr w:type="spellEnd"/>
            <w:r w:rsidRPr="00B0351C">
              <w:rPr>
                <w:rFonts w:ascii="Garamond" w:hAnsi="Garamond"/>
                <w:lang w:val="en-AU"/>
              </w:rPr>
              <w:t xml:space="preserve"> </w:t>
            </w:r>
            <w:proofErr w:type="spellStart"/>
            <w:r w:rsidRPr="00B0351C">
              <w:rPr>
                <w:rFonts w:ascii="Garamond" w:hAnsi="Garamond"/>
                <w:lang w:val="en-AU"/>
              </w:rPr>
              <w:t>Kolnik</w:t>
            </w:r>
            <w:proofErr w:type="spellEnd"/>
            <w:r w:rsidRPr="00B0351C">
              <w:rPr>
                <w:rFonts w:ascii="Garamond" w:hAnsi="Garamond"/>
                <w:lang w:val="en-AU"/>
              </w:rPr>
              <w:t xml:space="preserve">, </w:t>
            </w:r>
            <w:proofErr w:type="spellStart"/>
            <w:r w:rsidRPr="00B0351C">
              <w:rPr>
                <w:rFonts w:ascii="Garamond" w:hAnsi="Garamond"/>
                <w:lang w:val="en-AU"/>
              </w:rPr>
              <w:t>Patrik</w:t>
            </w:r>
            <w:proofErr w:type="spellEnd"/>
            <w:r w:rsidRPr="00B0351C">
              <w:rPr>
                <w:rFonts w:ascii="Garamond" w:hAnsi="Garamond"/>
                <w:lang w:val="en-AU"/>
              </w:rPr>
              <w:t xml:space="preserve"> Pucer</w:t>
            </w:r>
            <w:r>
              <w:rPr>
                <w:rFonts w:ascii="Garamond" w:hAnsi="Garamond"/>
                <w:lang w:val="en-AU"/>
              </w:rPr>
              <w:t>)</w:t>
            </w:r>
          </w:p>
          <w:p w:rsidR="00B0351C" w:rsidRPr="00B0351C" w:rsidRDefault="00B0351C" w:rsidP="00302A51">
            <w:pPr>
              <w:pStyle w:val="ListParagraph"/>
              <w:numPr>
                <w:ilvl w:val="0"/>
                <w:numId w:val="14"/>
              </w:numPr>
              <w:jc w:val="both"/>
              <w:rPr>
                <w:rFonts w:ascii="Garamond" w:hAnsi="Garamond"/>
                <w:lang w:val="en-AU"/>
              </w:rPr>
            </w:pPr>
            <w:r w:rsidRPr="00B0351C">
              <w:rPr>
                <w:rFonts w:ascii="Garamond" w:hAnsi="Garamond"/>
                <w:lang w:val="en-AU"/>
              </w:rPr>
              <w:t xml:space="preserve">From Hospital to Post-Acute Care Organisations: The Relationship Between </w:t>
            </w:r>
            <w:r w:rsidRPr="00B0351C">
              <w:rPr>
                <w:rFonts w:ascii="Garamond" w:hAnsi="Garamond"/>
                <w:b/>
                <w:lang w:val="en-AU"/>
              </w:rPr>
              <w:t>Patient Experience and Health Recovery</w:t>
            </w:r>
            <w:r w:rsidRPr="00B0351C">
              <w:rPr>
                <w:rFonts w:ascii="Garamond" w:hAnsi="Garamond"/>
                <w:lang w:val="en-AU"/>
              </w:rPr>
              <w:t xml:space="preserve"> (</w:t>
            </w:r>
            <w:proofErr w:type="spellStart"/>
            <w:r w:rsidRPr="00B0351C">
              <w:rPr>
                <w:rFonts w:ascii="Garamond" w:hAnsi="Garamond"/>
                <w:lang w:val="en-AU"/>
              </w:rPr>
              <w:t>Generosa</w:t>
            </w:r>
            <w:proofErr w:type="spellEnd"/>
            <w:r w:rsidRPr="00B0351C">
              <w:rPr>
                <w:rFonts w:ascii="Garamond" w:hAnsi="Garamond"/>
                <w:lang w:val="en-AU"/>
              </w:rPr>
              <w:t xml:space="preserve"> do </w:t>
            </w:r>
            <w:proofErr w:type="spellStart"/>
            <w:r w:rsidRPr="00B0351C">
              <w:rPr>
                <w:rFonts w:ascii="Garamond" w:hAnsi="Garamond"/>
                <w:lang w:val="en-AU"/>
              </w:rPr>
              <w:t>Nascimento</w:t>
            </w:r>
            <w:proofErr w:type="spellEnd"/>
            <w:r w:rsidRPr="00B0351C">
              <w:rPr>
                <w:rFonts w:ascii="Garamond" w:hAnsi="Garamond"/>
                <w:lang w:val="en-AU"/>
              </w:rPr>
              <w:t xml:space="preserve">, Francisco </w:t>
            </w:r>
            <w:proofErr w:type="spellStart"/>
            <w:r w:rsidRPr="00B0351C">
              <w:rPr>
                <w:rFonts w:ascii="Garamond" w:hAnsi="Garamond"/>
                <w:lang w:val="en-AU"/>
              </w:rPr>
              <w:t>Guilherme</w:t>
            </w:r>
            <w:proofErr w:type="spellEnd"/>
            <w:r w:rsidRPr="00B0351C">
              <w:rPr>
                <w:rFonts w:ascii="Garamond" w:hAnsi="Garamond"/>
                <w:lang w:val="en-AU"/>
              </w:rPr>
              <w:t xml:space="preserve"> </w:t>
            </w:r>
            <w:proofErr w:type="spellStart"/>
            <w:r w:rsidRPr="00B0351C">
              <w:rPr>
                <w:rFonts w:ascii="Garamond" w:hAnsi="Garamond"/>
                <w:lang w:val="en-AU"/>
              </w:rPr>
              <w:t>Nunes</w:t>
            </w:r>
            <w:proofErr w:type="spellEnd"/>
            <w:r w:rsidRPr="00B0351C">
              <w:rPr>
                <w:rFonts w:ascii="Garamond" w:hAnsi="Garamond"/>
                <w:lang w:val="en-AU"/>
              </w:rPr>
              <w:t>, Janet E Anderson</w:t>
            </w:r>
            <w:r>
              <w:rPr>
                <w:rFonts w:ascii="Garamond" w:hAnsi="Garamond"/>
                <w:lang w:val="en-AU"/>
              </w:rPr>
              <w:t>)</w:t>
            </w:r>
          </w:p>
          <w:p w:rsidR="00B0351C" w:rsidRDefault="00B0351C" w:rsidP="00EC2EDB">
            <w:pPr>
              <w:pStyle w:val="ListParagraph"/>
              <w:numPr>
                <w:ilvl w:val="0"/>
                <w:numId w:val="14"/>
              </w:numPr>
              <w:jc w:val="both"/>
              <w:rPr>
                <w:rFonts w:ascii="Garamond" w:hAnsi="Garamond"/>
                <w:lang w:val="en-AU"/>
              </w:rPr>
            </w:pPr>
            <w:r w:rsidRPr="00B0351C">
              <w:rPr>
                <w:rFonts w:ascii="Garamond" w:hAnsi="Garamond"/>
                <w:b/>
                <w:lang w:val="en-AU"/>
              </w:rPr>
              <w:t>Crisis Standards of Care in a Pandemic</w:t>
            </w:r>
            <w:r w:rsidRPr="00B0351C">
              <w:rPr>
                <w:rFonts w:ascii="Garamond" w:hAnsi="Garamond"/>
                <w:lang w:val="en-AU"/>
              </w:rPr>
              <w:t xml:space="preserve">: Navigating the Ethical, Clinical, Psychological, and Policy-making Maelstrom (Attila J </w:t>
            </w:r>
            <w:proofErr w:type="spellStart"/>
            <w:r w:rsidRPr="00B0351C">
              <w:rPr>
                <w:rFonts w:ascii="Garamond" w:hAnsi="Garamond"/>
                <w:lang w:val="en-AU"/>
              </w:rPr>
              <w:t>Hertelendy</w:t>
            </w:r>
            <w:proofErr w:type="spellEnd"/>
            <w:r w:rsidRPr="00B0351C">
              <w:rPr>
                <w:rFonts w:ascii="Garamond" w:hAnsi="Garamond"/>
                <w:lang w:val="en-AU"/>
              </w:rPr>
              <w:t xml:space="preserve">, Gregory R </w:t>
            </w:r>
            <w:proofErr w:type="spellStart"/>
            <w:r w:rsidRPr="00B0351C">
              <w:rPr>
                <w:rFonts w:ascii="Garamond" w:hAnsi="Garamond"/>
                <w:lang w:val="en-AU"/>
              </w:rPr>
              <w:t>Ciottone</w:t>
            </w:r>
            <w:proofErr w:type="spellEnd"/>
            <w:r w:rsidRPr="00B0351C">
              <w:rPr>
                <w:rFonts w:ascii="Garamond" w:hAnsi="Garamond"/>
                <w:lang w:val="en-AU"/>
              </w:rPr>
              <w:t xml:space="preserve">, Cheryl L Mitchell, Jennifer </w:t>
            </w:r>
            <w:proofErr w:type="spellStart"/>
            <w:r w:rsidRPr="00B0351C">
              <w:rPr>
                <w:rFonts w:ascii="Garamond" w:hAnsi="Garamond"/>
                <w:lang w:val="en-AU"/>
              </w:rPr>
              <w:t>Gutberg</w:t>
            </w:r>
            <w:proofErr w:type="spellEnd"/>
            <w:r w:rsidRPr="00B0351C">
              <w:rPr>
                <w:rFonts w:ascii="Garamond" w:hAnsi="Garamond"/>
                <w:lang w:val="en-AU"/>
              </w:rPr>
              <w:t xml:space="preserve">, Frederick M </w:t>
            </w:r>
            <w:proofErr w:type="spellStart"/>
            <w:r w:rsidRPr="00B0351C">
              <w:rPr>
                <w:rFonts w:ascii="Garamond" w:hAnsi="Garamond"/>
                <w:lang w:val="en-AU"/>
              </w:rPr>
              <w:t>Burkle</w:t>
            </w:r>
            <w:proofErr w:type="spellEnd"/>
            <w:r>
              <w:rPr>
                <w:rFonts w:ascii="Garamond" w:hAnsi="Garamond"/>
                <w:lang w:val="en-AU"/>
              </w:rPr>
              <w:t>)</w:t>
            </w:r>
          </w:p>
          <w:p w:rsidR="00B0351C" w:rsidRPr="00B0351C" w:rsidRDefault="00B0351C" w:rsidP="00B0351C">
            <w:pPr>
              <w:pStyle w:val="ListParagraph"/>
              <w:numPr>
                <w:ilvl w:val="0"/>
                <w:numId w:val="14"/>
              </w:numPr>
              <w:jc w:val="both"/>
              <w:rPr>
                <w:rFonts w:ascii="Garamond" w:hAnsi="Garamond"/>
                <w:lang w:val="en-AU"/>
              </w:rPr>
            </w:pPr>
            <w:r w:rsidRPr="00B0351C">
              <w:rPr>
                <w:rFonts w:ascii="Garamond" w:hAnsi="Garamond"/>
                <w:b/>
                <w:lang w:val="en-AU"/>
              </w:rPr>
              <w:t>Ethical Frameworks for Quality Improvement Activities</w:t>
            </w:r>
            <w:r w:rsidRPr="00B0351C">
              <w:rPr>
                <w:rFonts w:ascii="Garamond" w:hAnsi="Garamond"/>
                <w:lang w:val="en-AU"/>
              </w:rPr>
              <w:t xml:space="preserve">: An Analysis of International Practice (Corina </w:t>
            </w:r>
            <w:proofErr w:type="spellStart"/>
            <w:r w:rsidRPr="00B0351C">
              <w:rPr>
                <w:rFonts w:ascii="Garamond" w:hAnsi="Garamond"/>
                <w:lang w:val="en-AU"/>
              </w:rPr>
              <w:t>Naughton</w:t>
            </w:r>
            <w:proofErr w:type="spellEnd"/>
            <w:r w:rsidRPr="00B0351C">
              <w:rPr>
                <w:rFonts w:ascii="Garamond" w:hAnsi="Garamond"/>
                <w:lang w:val="en-AU"/>
              </w:rPr>
              <w:t xml:space="preserve">, Elaine Meehan, Elaine </w:t>
            </w:r>
            <w:proofErr w:type="spellStart"/>
            <w:r w:rsidRPr="00B0351C">
              <w:rPr>
                <w:rFonts w:ascii="Garamond" w:hAnsi="Garamond"/>
                <w:lang w:val="en-AU"/>
              </w:rPr>
              <w:t>Lehane</w:t>
            </w:r>
            <w:proofErr w:type="spellEnd"/>
            <w:r w:rsidRPr="00B0351C">
              <w:rPr>
                <w:rFonts w:ascii="Garamond" w:hAnsi="Garamond"/>
                <w:lang w:val="en-AU"/>
              </w:rPr>
              <w:t xml:space="preserve">, Ciara </w:t>
            </w:r>
            <w:r>
              <w:rPr>
                <w:rFonts w:ascii="Garamond" w:hAnsi="Garamond"/>
                <w:lang w:val="en-AU"/>
              </w:rPr>
              <w:t xml:space="preserve">Landers, Sarah Jane Flaherty, </w:t>
            </w:r>
            <w:r w:rsidRPr="00B0351C">
              <w:rPr>
                <w:rFonts w:ascii="Garamond" w:hAnsi="Garamond"/>
                <w:lang w:val="en-AU"/>
              </w:rPr>
              <w:t xml:space="preserve">Aoife Lane, Margaret Landers, Caroline </w:t>
            </w:r>
            <w:proofErr w:type="spellStart"/>
            <w:r w:rsidRPr="00B0351C">
              <w:rPr>
                <w:rFonts w:ascii="Garamond" w:hAnsi="Garamond"/>
                <w:lang w:val="en-AU"/>
              </w:rPr>
              <w:t>Kilty</w:t>
            </w:r>
            <w:proofErr w:type="spellEnd"/>
            <w:r w:rsidRPr="00B0351C">
              <w:rPr>
                <w:rFonts w:ascii="Garamond" w:hAnsi="Garamond"/>
                <w:lang w:val="en-AU"/>
              </w:rPr>
              <w:t xml:space="preserve">, Mohamad M Saab, John Goodwin, </w:t>
            </w:r>
            <w:proofErr w:type="spellStart"/>
            <w:r w:rsidRPr="00B0351C">
              <w:rPr>
                <w:rFonts w:ascii="Garamond" w:hAnsi="Garamond"/>
                <w:lang w:val="en-AU"/>
              </w:rPr>
              <w:t>Nuala</w:t>
            </w:r>
            <w:proofErr w:type="spellEnd"/>
            <w:r w:rsidRPr="00B0351C">
              <w:rPr>
                <w:rFonts w:ascii="Garamond" w:hAnsi="Garamond"/>
                <w:lang w:val="en-AU"/>
              </w:rPr>
              <w:t xml:space="preserve"> </w:t>
            </w:r>
            <w:proofErr w:type="spellStart"/>
            <w:r w:rsidRPr="00B0351C">
              <w:rPr>
                <w:rFonts w:ascii="Garamond" w:hAnsi="Garamond"/>
                <w:lang w:val="en-AU"/>
              </w:rPr>
              <w:t>Walshe</w:t>
            </w:r>
            <w:proofErr w:type="spellEnd"/>
            <w:r w:rsidRPr="00B0351C">
              <w:rPr>
                <w:rFonts w:ascii="Garamond" w:hAnsi="Garamond"/>
                <w:lang w:val="en-AU"/>
              </w:rPr>
              <w:t xml:space="preserve">, Teresa Wills, Vera McCarthy, Siobhan Murphy, Joan McCarthy, Cummins Helen, Deirdre Madden, Josephine </w:t>
            </w:r>
            <w:proofErr w:type="spellStart"/>
            <w:r w:rsidRPr="00B0351C">
              <w:rPr>
                <w:rFonts w:ascii="Garamond" w:hAnsi="Garamond"/>
                <w:lang w:val="en-AU"/>
              </w:rPr>
              <w:t>Hegarty</w:t>
            </w:r>
            <w:proofErr w:type="spellEnd"/>
            <w:r>
              <w:rPr>
                <w:rFonts w:ascii="Garamond" w:hAnsi="Garamond"/>
                <w:lang w:val="en-AU"/>
              </w:rPr>
              <w:t>)</w:t>
            </w:r>
          </w:p>
          <w:p w:rsidR="001A360E" w:rsidRPr="00721A1B" w:rsidRDefault="00B0351C" w:rsidP="00B0351C">
            <w:pPr>
              <w:pStyle w:val="ListParagraph"/>
              <w:numPr>
                <w:ilvl w:val="0"/>
                <w:numId w:val="14"/>
              </w:numPr>
              <w:jc w:val="both"/>
              <w:rPr>
                <w:rFonts w:ascii="Garamond" w:hAnsi="Garamond"/>
                <w:lang w:val="en-AU"/>
              </w:rPr>
            </w:pPr>
            <w:r w:rsidRPr="00B0351C">
              <w:rPr>
                <w:rFonts w:ascii="Garamond" w:hAnsi="Garamond"/>
                <w:lang w:val="en-AU"/>
              </w:rPr>
              <w:t xml:space="preserve">Association of </w:t>
            </w:r>
            <w:r w:rsidRPr="00B0351C">
              <w:rPr>
                <w:rFonts w:ascii="Garamond" w:hAnsi="Garamond"/>
                <w:b/>
                <w:lang w:val="en-AU"/>
              </w:rPr>
              <w:t>continuity of care</w:t>
            </w:r>
            <w:r w:rsidRPr="00B0351C">
              <w:rPr>
                <w:rFonts w:ascii="Garamond" w:hAnsi="Garamond"/>
                <w:lang w:val="en-AU"/>
              </w:rPr>
              <w:t xml:space="preserve"> with readmission, mortality, and suicide after hospital discharge among psychiatric patients </w:t>
            </w:r>
            <w:r>
              <w:rPr>
                <w:rFonts w:ascii="Garamond" w:hAnsi="Garamond"/>
                <w:lang w:val="en-AU"/>
              </w:rPr>
              <w:t>(</w:t>
            </w:r>
            <w:r w:rsidRPr="00B0351C">
              <w:rPr>
                <w:rFonts w:ascii="Garamond" w:hAnsi="Garamond"/>
                <w:lang w:val="en-AU"/>
              </w:rPr>
              <w:t xml:space="preserve">Young Choi, Chung Mo Nam, Sang </w:t>
            </w:r>
            <w:proofErr w:type="spellStart"/>
            <w:r w:rsidRPr="00B0351C">
              <w:rPr>
                <w:rFonts w:ascii="Garamond" w:hAnsi="Garamond"/>
                <w:lang w:val="en-AU"/>
              </w:rPr>
              <w:t>Gyu</w:t>
            </w:r>
            <w:proofErr w:type="spellEnd"/>
            <w:r w:rsidRPr="00B0351C">
              <w:rPr>
                <w:rFonts w:ascii="Garamond" w:hAnsi="Garamond"/>
                <w:lang w:val="en-AU"/>
              </w:rPr>
              <w:t xml:space="preserve"> Lee, </w:t>
            </w:r>
            <w:proofErr w:type="spellStart"/>
            <w:r w:rsidRPr="00B0351C">
              <w:rPr>
                <w:rFonts w:ascii="Garamond" w:hAnsi="Garamond"/>
                <w:lang w:val="en-AU"/>
              </w:rPr>
              <w:t>Sohee</w:t>
            </w:r>
            <w:proofErr w:type="spellEnd"/>
            <w:r w:rsidRPr="00B0351C">
              <w:rPr>
                <w:rFonts w:ascii="Garamond" w:hAnsi="Garamond"/>
                <w:lang w:val="en-AU"/>
              </w:rPr>
              <w:t xml:space="preserve"> Park, Hwang-Gun </w:t>
            </w:r>
            <w:proofErr w:type="spellStart"/>
            <w:r w:rsidRPr="00B0351C">
              <w:rPr>
                <w:rFonts w:ascii="Garamond" w:hAnsi="Garamond"/>
                <w:lang w:val="en-AU"/>
              </w:rPr>
              <w:t>Ryu</w:t>
            </w:r>
            <w:proofErr w:type="spellEnd"/>
            <w:r w:rsidRPr="00B0351C">
              <w:rPr>
                <w:rFonts w:ascii="Garamond" w:hAnsi="Garamond"/>
                <w:lang w:val="en-AU"/>
              </w:rPr>
              <w:t xml:space="preserve">, </w:t>
            </w:r>
            <w:proofErr w:type="spellStart"/>
            <w:r w:rsidRPr="00B0351C">
              <w:rPr>
                <w:rFonts w:ascii="Garamond" w:hAnsi="Garamond"/>
                <w:lang w:val="en-AU"/>
              </w:rPr>
              <w:t>Eun-Cheol</w:t>
            </w:r>
            <w:proofErr w:type="spellEnd"/>
            <w:r w:rsidRPr="00B0351C">
              <w:rPr>
                <w:rFonts w:ascii="Garamond" w:hAnsi="Garamond"/>
                <w:lang w:val="en-AU"/>
              </w:rPr>
              <w:t xml:space="preserve"> Park</w:t>
            </w:r>
            <w:r>
              <w:rPr>
                <w:rFonts w:ascii="Garamond" w:hAnsi="Garamond"/>
                <w:lang w:val="en-AU"/>
              </w:rPr>
              <w:t>)</w:t>
            </w:r>
          </w:p>
        </w:tc>
      </w:tr>
    </w:tbl>
    <w:p w:rsidR="00603C16" w:rsidRDefault="00603C16" w:rsidP="00977E92">
      <w:pPr>
        <w:rPr>
          <w:rFonts w:ascii="Garamond" w:hAnsi="Garamond"/>
          <w:b/>
          <w:lang w:val="en-AU"/>
        </w:rPr>
      </w:pPr>
    </w:p>
    <w:p w:rsidR="00B24501" w:rsidRDefault="00B24501" w:rsidP="00977E92">
      <w:pPr>
        <w:rPr>
          <w:rFonts w:ascii="Garamond" w:hAnsi="Garamond"/>
          <w:b/>
          <w:lang w:val="en-AU"/>
        </w:rPr>
      </w:pPr>
    </w:p>
    <w:p w:rsidR="00B24501" w:rsidRDefault="00B2450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DA41AB" w:rsidRDefault="00DA41AB"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9A22A7" w:rsidP="00310503">
      <w:pPr>
        <w:keepNext/>
        <w:keepLines/>
        <w:rPr>
          <w:rFonts w:ascii="Garamond" w:hAnsi="Garamond"/>
          <w:lang w:val="en-AU"/>
        </w:rPr>
      </w:pPr>
      <w:hyperlink r:id="rId57"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lastRenderedPageBreak/>
        <w:t>COVID-19 Critical Intelligence Unit</w:t>
      </w:r>
    </w:p>
    <w:p w:rsidR="00603C16" w:rsidRDefault="009A22A7" w:rsidP="00603C16">
      <w:pPr>
        <w:keepNext/>
        <w:keepLines/>
        <w:rPr>
          <w:rFonts w:ascii="Garamond" w:hAnsi="Garamond"/>
          <w:lang w:val="en-AU"/>
        </w:rPr>
      </w:pPr>
      <w:hyperlink r:id="rId58" w:history="1">
        <w:r w:rsidR="00603C16" w:rsidRPr="00E11CC6">
          <w:rPr>
            <w:rStyle w:val="Hyperlink"/>
            <w:rFonts w:ascii="Garamond" w:hAnsi="Garamond"/>
            <w:lang w:val="en-AU"/>
          </w:rPr>
          <w:t>https://www.aci.health.nsw.gov.au/covid-19/critical-intelligence-unit</w:t>
        </w:r>
      </w:hyperlink>
    </w:p>
    <w:p w:rsidR="00BD1F6E" w:rsidRDefault="00603C16" w:rsidP="00BD1F6E">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Pr>
          <w:rFonts w:ascii="Garamond" w:hAnsi="Garamond"/>
          <w:lang w:val="en-AU"/>
        </w:rPr>
        <w:t xml:space="preserve"> </w:t>
      </w:r>
      <w:r w:rsidR="00BD1F6E">
        <w:rPr>
          <w:rFonts w:ascii="Garamond" w:hAnsi="Garamond"/>
          <w:lang w:val="en-AU"/>
        </w:rPr>
        <w:t>Recent evidence checks date include:</w:t>
      </w:r>
    </w:p>
    <w:p w:rsidR="0074329E" w:rsidRPr="0074329E" w:rsidRDefault="0074329E" w:rsidP="0074329E">
      <w:pPr>
        <w:pStyle w:val="ListParagraph"/>
        <w:keepNext/>
        <w:keepLines/>
        <w:numPr>
          <w:ilvl w:val="0"/>
          <w:numId w:val="25"/>
        </w:numPr>
        <w:rPr>
          <w:rFonts w:ascii="Garamond" w:hAnsi="Garamond"/>
          <w:b/>
          <w:i/>
          <w:lang w:val="en-AU"/>
        </w:rPr>
      </w:pPr>
      <w:r w:rsidRPr="0074329E">
        <w:rPr>
          <w:rFonts w:ascii="Garamond" w:hAnsi="Garamond"/>
          <w:b/>
          <w:i/>
          <w:lang w:val="en-AU"/>
        </w:rPr>
        <w:t>Surgical masks and oxygen therapy</w:t>
      </w:r>
    </w:p>
    <w:p w:rsidR="009A7AA8" w:rsidRDefault="009A7AA8" w:rsidP="00510D89">
      <w:pPr>
        <w:keepLines/>
        <w:rPr>
          <w:rFonts w:ascii="Garamond" w:hAnsi="Garamond"/>
          <w:i/>
          <w:lang w:val="en-AU"/>
        </w:rPr>
      </w:pPr>
    </w:p>
    <w:p w:rsidR="0045296E" w:rsidRPr="000170DA" w:rsidRDefault="0045296E" w:rsidP="0045296E">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45296E" w:rsidRDefault="009A22A7" w:rsidP="0045296E">
      <w:pPr>
        <w:keepNext/>
        <w:keepLines/>
        <w:rPr>
          <w:rFonts w:ascii="Garamond" w:hAnsi="Garamond"/>
          <w:u w:val="single"/>
          <w:lang w:val="en-AU"/>
        </w:rPr>
      </w:pPr>
      <w:hyperlink r:id="rId59" w:history="1">
        <w:r w:rsidR="0045296E" w:rsidRPr="00131E90">
          <w:rPr>
            <w:rStyle w:val="Hyperlink"/>
            <w:rFonts w:ascii="Garamond" w:hAnsi="Garamond"/>
            <w:lang w:val="en-AU"/>
          </w:rPr>
          <w:t>https://www.nice.org.uk/guidance</w:t>
        </w:r>
      </w:hyperlink>
    </w:p>
    <w:p w:rsidR="0045296E" w:rsidRPr="000170DA" w:rsidRDefault="0045296E" w:rsidP="0045296E">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74420D" w:rsidRPr="0074420D" w:rsidRDefault="0074420D" w:rsidP="0074420D">
      <w:pPr>
        <w:pStyle w:val="ListParagraph"/>
        <w:keepLines/>
        <w:numPr>
          <w:ilvl w:val="0"/>
          <w:numId w:val="18"/>
        </w:numPr>
        <w:rPr>
          <w:rFonts w:ascii="Garamond" w:hAnsi="Garamond"/>
          <w:lang w:val="en-AU"/>
        </w:rPr>
      </w:pPr>
      <w:r w:rsidRPr="008F2898">
        <w:rPr>
          <w:rFonts w:ascii="Garamond" w:hAnsi="Garamond"/>
          <w:i/>
          <w:lang w:val="en-AU"/>
        </w:rPr>
        <w:t>NICE Guideline NG1</w:t>
      </w:r>
      <w:r>
        <w:rPr>
          <w:rFonts w:ascii="Garamond" w:hAnsi="Garamond"/>
          <w:i/>
          <w:lang w:val="en-AU"/>
        </w:rPr>
        <w:t xml:space="preserve">25 </w:t>
      </w:r>
      <w:r w:rsidRPr="0074420D">
        <w:rPr>
          <w:rFonts w:ascii="Garamond" w:hAnsi="Garamond"/>
          <w:b/>
          <w:i/>
          <w:lang w:val="en-AU"/>
        </w:rPr>
        <w:t>Surgical site infections</w:t>
      </w:r>
      <w:r w:rsidRPr="0074420D">
        <w:rPr>
          <w:rFonts w:ascii="Garamond" w:hAnsi="Garamond"/>
          <w:i/>
          <w:lang w:val="en-AU"/>
        </w:rPr>
        <w:t>: prevention and treatment</w:t>
      </w:r>
      <w:r>
        <w:rPr>
          <w:rFonts w:ascii="Garamond" w:hAnsi="Garamond"/>
          <w:i/>
          <w:lang w:val="en-AU"/>
        </w:rPr>
        <w:t xml:space="preserve"> </w:t>
      </w:r>
      <w:hyperlink r:id="rId60" w:history="1">
        <w:r w:rsidRPr="00314B9F">
          <w:rPr>
            <w:rStyle w:val="Hyperlink"/>
            <w:rFonts w:ascii="Garamond" w:hAnsi="Garamond"/>
            <w:lang w:val="en-AU"/>
          </w:rPr>
          <w:t>https://www.nice.org.uk/guidance/ng125</w:t>
        </w:r>
      </w:hyperlink>
    </w:p>
    <w:p w:rsidR="00B0351C" w:rsidRPr="00BD1F6E" w:rsidRDefault="008F2898" w:rsidP="00B0351C">
      <w:pPr>
        <w:pStyle w:val="ListParagraph"/>
        <w:keepLines/>
        <w:numPr>
          <w:ilvl w:val="0"/>
          <w:numId w:val="18"/>
        </w:numPr>
        <w:rPr>
          <w:rStyle w:val="Hyperlink"/>
          <w:rFonts w:ascii="Garamond" w:hAnsi="Garamond"/>
          <w:color w:val="auto"/>
          <w:u w:val="none"/>
          <w:lang w:val="en-AU"/>
        </w:rPr>
      </w:pPr>
      <w:r w:rsidRPr="008F2898">
        <w:rPr>
          <w:rFonts w:ascii="Garamond" w:hAnsi="Garamond"/>
          <w:i/>
          <w:lang w:val="en-AU"/>
        </w:rPr>
        <w:t>NICE Guideline NG1</w:t>
      </w:r>
      <w:r w:rsidR="00B0351C">
        <w:rPr>
          <w:rFonts w:ascii="Garamond" w:hAnsi="Garamond"/>
          <w:i/>
          <w:lang w:val="en-AU"/>
        </w:rPr>
        <w:t>74</w:t>
      </w:r>
      <w:r w:rsidRPr="008F2898">
        <w:rPr>
          <w:rFonts w:ascii="Garamond" w:hAnsi="Garamond"/>
          <w:i/>
          <w:lang w:val="en-AU"/>
        </w:rPr>
        <w:t xml:space="preserve"> </w:t>
      </w:r>
      <w:r w:rsidRPr="008F2898">
        <w:rPr>
          <w:rFonts w:ascii="Garamond" w:hAnsi="Garamond"/>
          <w:b/>
          <w:i/>
          <w:lang w:val="en-AU"/>
        </w:rPr>
        <w:t>COVID-19 rapid guideline</w:t>
      </w:r>
      <w:r w:rsidRPr="008F2898">
        <w:rPr>
          <w:rFonts w:ascii="Garamond" w:hAnsi="Garamond"/>
          <w:i/>
          <w:lang w:val="en-AU"/>
        </w:rPr>
        <w:t>:</w:t>
      </w:r>
      <w:r w:rsidR="00B0351C" w:rsidRPr="00B0351C">
        <w:rPr>
          <w:rFonts w:ascii="Garamond" w:hAnsi="Garamond"/>
          <w:i/>
          <w:lang w:val="en-AU"/>
        </w:rPr>
        <w:t xml:space="preserve">: children and young people who are </w:t>
      </w:r>
      <w:r w:rsidR="00B0351C" w:rsidRPr="00B0351C">
        <w:rPr>
          <w:rFonts w:ascii="Garamond" w:hAnsi="Garamond"/>
          <w:b/>
          <w:i/>
          <w:lang w:val="en-AU"/>
        </w:rPr>
        <w:t>immunocompromised</w:t>
      </w:r>
      <w:r w:rsidR="00B0351C">
        <w:rPr>
          <w:rFonts w:ascii="Garamond" w:hAnsi="Garamond"/>
          <w:i/>
          <w:lang w:val="en-AU"/>
        </w:rPr>
        <w:t xml:space="preserve"> </w:t>
      </w:r>
      <w:hyperlink r:id="rId61" w:history="1">
        <w:r w:rsidR="00B0351C" w:rsidRPr="00F23286">
          <w:rPr>
            <w:rStyle w:val="Hyperlink"/>
            <w:rFonts w:ascii="Garamond" w:hAnsi="Garamond"/>
            <w:lang w:val="en-AU"/>
          </w:rPr>
          <w:t>https://www.nice.org.uk/guidance/ng174</w:t>
        </w:r>
      </w:hyperlink>
    </w:p>
    <w:p w:rsidR="0074420D" w:rsidRPr="0074420D" w:rsidRDefault="0074420D" w:rsidP="0074420D">
      <w:pPr>
        <w:pStyle w:val="ListParagraph"/>
        <w:keepLines/>
        <w:numPr>
          <w:ilvl w:val="0"/>
          <w:numId w:val="18"/>
        </w:numPr>
        <w:rPr>
          <w:rFonts w:ascii="Garamond" w:hAnsi="Garamond"/>
          <w:lang w:val="en-AU"/>
        </w:rPr>
      </w:pPr>
      <w:bookmarkStart w:id="1" w:name="_GoBack"/>
      <w:r w:rsidRPr="008F2898">
        <w:rPr>
          <w:rFonts w:ascii="Garamond" w:hAnsi="Garamond"/>
          <w:i/>
          <w:lang w:val="en-AU"/>
        </w:rPr>
        <w:t>NICE Guideline NG1</w:t>
      </w:r>
      <w:r>
        <w:rPr>
          <w:rFonts w:ascii="Garamond" w:hAnsi="Garamond"/>
          <w:i/>
          <w:lang w:val="en-AU"/>
        </w:rPr>
        <w:t>7</w:t>
      </w:r>
      <w:r>
        <w:rPr>
          <w:rFonts w:ascii="Garamond" w:hAnsi="Garamond"/>
          <w:i/>
          <w:lang w:val="en-AU"/>
        </w:rPr>
        <w:t>8</w:t>
      </w:r>
      <w:r w:rsidRPr="008F2898">
        <w:rPr>
          <w:rFonts w:ascii="Garamond" w:hAnsi="Garamond"/>
          <w:i/>
          <w:lang w:val="en-AU"/>
        </w:rPr>
        <w:t xml:space="preserve"> </w:t>
      </w:r>
      <w:r w:rsidRPr="008F2898">
        <w:rPr>
          <w:rFonts w:ascii="Garamond" w:hAnsi="Garamond"/>
          <w:b/>
          <w:i/>
          <w:lang w:val="en-AU"/>
        </w:rPr>
        <w:t>COVID-19 rapid guideline</w:t>
      </w:r>
      <w:r w:rsidRPr="008F2898">
        <w:rPr>
          <w:rFonts w:ascii="Garamond" w:hAnsi="Garamond"/>
          <w:i/>
          <w:lang w:val="en-AU"/>
        </w:rPr>
        <w:t>:</w:t>
      </w:r>
      <w:r w:rsidRPr="00B0351C">
        <w:rPr>
          <w:rFonts w:ascii="Garamond" w:hAnsi="Garamond"/>
          <w:i/>
          <w:lang w:val="en-AU"/>
        </w:rPr>
        <w:t>:</w:t>
      </w:r>
      <w:r>
        <w:rPr>
          <w:rFonts w:ascii="Garamond" w:hAnsi="Garamond"/>
          <w:i/>
          <w:lang w:val="en-AU"/>
        </w:rPr>
        <w:t xml:space="preserve"> </w:t>
      </w:r>
      <w:r w:rsidRPr="0074420D">
        <w:rPr>
          <w:rFonts w:ascii="Garamond" w:hAnsi="Garamond"/>
          <w:b/>
          <w:i/>
          <w:lang w:val="en-AU"/>
        </w:rPr>
        <w:t>renal transplantation</w:t>
      </w:r>
      <w:r>
        <w:rPr>
          <w:rFonts w:ascii="Garamond" w:hAnsi="Garamond"/>
          <w:i/>
          <w:lang w:val="en-AU"/>
        </w:rPr>
        <w:t xml:space="preserve"> </w:t>
      </w:r>
      <w:hyperlink r:id="rId62" w:history="1">
        <w:r w:rsidRPr="00314B9F">
          <w:rPr>
            <w:rStyle w:val="Hyperlink"/>
            <w:rFonts w:ascii="Garamond" w:hAnsi="Garamond"/>
            <w:lang w:val="en-AU"/>
          </w:rPr>
          <w:t>https://www.nice.org.uk/guidance/ng178</w:t>
        </w:r>
      </w:hyperlink>
    </w:p>
    <w:p w:rsidR="00BD1F6E" w:rsidRPr="00BD1F6E" w:rsidRDefault="00BD1F6E" w:rsidP="00BD1F6E">
      <w:pPr>
        <w:pStyle w:val="ListParagraph"/>
        <w:keepLines/>
        <w:numPr>
          <w:ilvl w:val="0"/>
          <w:numId w:val="18"/>
        </w:numPr>
        <w:rPr>
          <w:rFonts w:ascii="Garamond" w:hAnsi="Garamond"/>
          <w:lang w:val="en-AU"/>
        </w:rPr>
      </w:pPr>
      <w:r w:rsidRPr="008F2898">
        <w:rPr>
          <w:rFonts w:ascii="Garamond" w:hAnsi="Garamond"/>
          <w:i/>
          <w:lang w:val="en-AU"/>
        </w:rPr>
        <w:t>NICE Guideline NG1</w:t>
      </w:r>
      <w:r>
        <w:rPr>
          <w:rFonts w:ascii="Garamond" w:hAnsi="Garamond"/>
          <w:i/>
          <w:lang w:val="en-AU"/>
        </w:rPr>
        <w:t xml:space="preserve">80 </w:t>
      </w:r>
      <w:r w:rsidRPr="00BD1F6E">
        <w:rPr>
          <w:rFonts w:ascii="Garamond" w:hAnsi="Garamond"/>
          <w:b/>
          <w:i/>
          <w:lang w:val="en-AU"/>
        </w:rPr>
        <w:t>Perioperative care</w:t>
      </w:r>
      <w:r w:rsidRPr="00BD1F6E">
        <w:rPr>
          <w:rFonts w:ascii="Garamond" w:hAnsi="Garamond"/>
          <w:i/>
          <w:lang w:val="en-AU"/>
        </w:rPr>
        <w:t xml:space="preserve"> in adults</w:t>
      </w:r>
      <w:r>
        <w:rPr>
          <w:rFonts w:ascii="Garamond" w:hAnsi="Garamond"/>
          <w:i/>
          <w:lang w:val="en-AU"/>
        </w:rPr>
        <w:t xml:space="preserve"> </w:t>
      </w:r>
      <w:hyperlink r:id="rId63" w:history="1">
        <w:r w:rsidRPr="00BD1F6E">
          <w:rPr>
            <w:rStyle w:val="Hyperlink"/>
            <w:rFonts w:ascii="Garamond" w:hAnsi="Garamond"/>
            <w:lang w:val="en-AU"/>
          </w:rPr>
          <w:t>https://www.nice.org.uk/guidance/ng180</w:t>
        </w:r>
      </w:hyperlink>
    </w:p>
    <w:p w:rsidR="00BD1F6E" w:rsidRPr="00B0351C" w:rsidRDefault="00BD1F6E" w:rsidP="00BD1F6E">
      <w:pPr>
        <w:pStyle w:val="ListParagraph"/>
        <w:keepLines/>
        <w:numPr>
          <w:ilvl w:val="0"/>
          <w:numId w:val="18"/>
        </w:numPr>
        <w:rPr>
          <w:rFonts w:ascii="Garamond" w:hAnsi="Garamond"/>
          <w:lang w:val="en-AU"/>
        </w:rPr>
      </w:pPr>
      <w:r w:rsidRPr="008F2898">
        <w:rPr>
          <w:rFonts w:ascii="Garamond" w:hAnsi="Garamond"/>
          <w:i/>
          <w:lang w:val="en-AU"/>
        </w:rPr>
        <w:t>NICE Guideline NG1</w:t>
      </w:r>
      <w:r>
        <w:rPr>
          <w:rFonts w:ascii="Garamond" w:hAnsi="Garamond"/>
          <w:i/>
          <w:lang w:val="en-AU"/>
        </w:rPr>
        <w:t xml:space="preserve">81 </w:t>
      </w:r>
      <w:r w:rsidRPr="00BD1F6E">
        <w:rPr>
          <w:rFonts w:ascii="Garamond" w:hAnsi="Garamond"/>
          <w:i/>
          <w:lang w:val="en-AU"/>
        </w:rPr>
        <w:t xml:space="preserve">Rehabilitation for adults with </w:t>
      </w:r>
      <w:r w:rsidRPr="00BD1F6E">
        <w:rPr>
          <w:rFonts w:ascii="Garamond" w:hAnsi="Garamond"/>
          <w:b/>
          <w:i/>
          <w:lang w:val="en-AU"/>
        </w:rPr>
        <w:t>complex psychosis</w:t>
      </w:r>
      <w:r>
        <w:rPr>
          <w:rFonts w:ascii="Garamond" w:hAnsi="Garamond"/>
          <w:i/>
          <w:lang w:val="en-AU"/>
        </w:rPr>
        <w:t xml:space="preserve"> </w:t>
      </w:r>
      <w:hyperlink r:id="rId64" w:history="1">
        <w:r w:rsidRPr="00E27B55">
          <w:rPr>
            <w:rStyle w:val="Hyperlink"/>
            <w:rFonts w:ascii="Garamond" w:hAnsi="Garamond"/>
            <w:lang w:val="en-AU"/>
          </w:rPr>
          <w:t>https://www.nice.org.uk/guidance/ng181</w:t>
        </w:r>
      </w:hyperlink>
    </w:p>
    <w:bookmarkEnd w:id="1"/>
    <w:p w:rsidR="008F2898" w:rsidRDefault="008F2898" w:rsidP="008F2898">
      <w:pPr>
        <w:keepLines/>
        <w:rPr>
          <w:rFonts w:ascii="Garamond" w:hAnsi="Garamond"/>
          <w:i/>
          <w:lang w:val="en-AU"/>
        </w:rPr>
      </w:pPr>
    </w:p>
    <w:p w:rsidR="00AB04B1" w:rsidRDefault="00AB04B1" w:rsidP="00B24501">
      <w:pPr>
        <w:rPr>
          <w:rFonts w:ascii="Garamond" w:hAnsi="Garamond"/>
          <w:lang w:val="en-AU"/>
        </w:rPr>
      </w:pPr>
    </w:p>
    <w:p w:rsidR="009A7AA8" w:rsidRPr="009A7AA8" w:rsidRDefault="009A7AA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5"/>
      <w:footerReference w:type="default" r:id="rId6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13" w:rsidRDefault="000A5013">
      <w:r>
        <w:separator/>
      </w:r>
    </w:p>
  </w:endnote>
  <w:endnote w:type="continuationSeparator" w:id="0">
    <w:p w:rsidR="000A5013" w:rsidRDefault="000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Default="000A501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A22A7">
      <w:rPr>
        <w:rStyle w:val="PageNumber"/>
        <w:noProof/>
      </w:rPr>
      <w:t>10</w:t>
    </w:r>
    <w:r>
      <w:rPr>
        <w:rStyle w:val="PageNumber"/>
      </w:rPr>
      <w:fldChar w:fldCharType="end"/>
    </w:r>
  </w:p>
  <w:p w:rsidR="000A5013" w:rsidRPr="001E78F0" w:rsidRDefault="000A501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0351C">
      <w:rPr>
        <w:rFonts w:ascii="Garamond" w:hAnsi="Garamond"/>
      </w:rPr>
      <w:t xml:space="preserve"> Issue 478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13" w:rsidRPr="001E78F0" w:rsidRDefault="000A501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A22A7">
      <w:rPr>
        <w:rStyle w:val="PageNumber"/>
        <w:rFonts w:ascii="Garamond" w:hAnsi="Garamond"/>
        <w:noProof/>
      </w:rPr>
      <w:t>11</w:t>
    </w:r>
    <w:r w:rsidRPr="001E78F0">
      <w:rPr>
        <w:rStyle w:val="PageNumber"/>
        <w:rFonts w:ascii="Garamond" w:hAnsi="Garamond"/>
      </w:rPr>
      <w:fldChar w:fldCharType="end"/>
    </w:r>
  </w:p>
  <w:p w:rsidR="000A5013" w:rsidRPr="001E78F0" w:rsidRDefault="000A501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5296E">
      <w:rPr>
        <w:rFonts w:ascii="Garamond" w:hAnsi="Garamond"/>
      </w:rPr>
      <w:t xml:space="preserve"> Issue 47</w:t>
    </w:r>
    <w:r w:rsidR="00B0351C">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13" w:rsidRDefault="000A5013">
      <w:r>
        <w:separator/>
      </w:r>
    </w:p>
  </w:footnote>
  <w:footnote w:type="continuationSeparator" w:id="0">
    <w:p w:rsidR="000A5013" w:rsidRDefault="000A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A41CBB"/>
    <w:multiLevelType w:val="hybridMultilevel"/>
    <w:tmpl w:val="F088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0"/>
  </w:num>
  <w:num w:numId="15">
    <w:abstractNumId w:val="16"/>
  </w:num>
  <w:num w:numId="16">
    <w:abstractNumId w:val="13"/>
  </w:num>
  <w:num w:numId="17">
    <w:abstractNumId w:val="21"/>
  </w:num>
  <w:num w:numId="18">
    <w:abstractNumId w:val="12"/>
  </w:num>
  <w:num w:numId="19">
    <w:abstractNumId w:val="17"/>
  </w:num>
  <w:num w:numId="20">
    <w:abstractNumId w:val="10"/>
  </w:num>
  <w:num w:numId="21">
    <w:abstractNumId w:val="15"/>
  </w:num>
  <w:num w:numId="22">
    <w:abstractNumId w:val="23"/>
  </w:num>
  <w:num w:numId="23">
    <w:abstractNumId w:val="11"/>
  </w:num>
  <w:num w:numId="24">
    <w:abstractNumId w:val="18"/>
  </w:num>
  <w:num w:numId="2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F7B"/>
    <w:rsid w:val="000232BC"/>
    <w:rsid w:val="000234C4"/>
    <w:rsid w:val="000235F7"/>
    <w:rsid w:val="000240B4"/>
    <w:rsid w:val="000240C6"/>
    <w:rsid w:val="00024648"/>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47"/>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E29"/>
    <w:rsid w:val="009F7FA4"/>
    <w:rsid w:val="00A0013E"/>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CB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7B87C4B"/>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www.safetyandquality.gov.au/our-work/medication-safety/safer-naming-labelling-and-packaging-medicines/safe-selection-and-storage-medicines"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www.ahrq.gov/patient-safety/reports/issue-briefs/teledx.html" TargetMode="External"/><Relationship Id="rId47" Type="http://schemas.openxmlformats.org/officeDocument/2006/relationships/hyperlink" Target="https://doi.org/10.1093/intqhc/mzaa090" TargetMode="External"/><Relationship Id="rId50" Type="http://schemas.openxmlformats.org/officeDocument/2006/relationships/hyperlink" Target="https://doi.org/10.1001/jama.2019.20785" TargetMode="External"/><Relationship Id="rId55" Type="http://schemas.openxmlformats.org/officeDocument/2006/relationships/hyperlink" Target="https://qualitysafety.bmj.com/content/early/recent" TargetMode="External"/><Relationship Id="rId63" Type="http://schemas.openxmlformats.org/officeDocument/2006/relationships/hyperlink" Target="https://www.nice.org.uk/guidance/ng18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9" Type="http://schemas.openxmlformats.org/officeDocument/2006/relationships/hyperlink" Target="https://www.safetyandquality.gov.au/node/5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safetyandquality.gov.au/our-work/medication-safety/safer-naming-labelling-and-packaging-medicines/safe-selection-and-storage-medicines" TargetMode="External"/><Relationship Id="rId40" Type="http://schemas.openxmlformats.org/officeDocument/2006/relationships/hyperlink" Target="https://ahha.asn.au/health-policy-perspective-briefs" TargetMode="External"/><Relationship Id="rId45" Type="http://schemas.openxmlformats.org/officeDocument/2006/relationships/hyperlink" Target="https://www.safetyandquality.gov.au/our-work/medication-safety/electronic-medication-management" TargetMode="External"/><Relationship Id="rId53" Type="http://schemas.openxmlformats.org/officeDocument/2006/relationships/hyperlink" Target="https://www.longwoods.com/publications/healthcare-policy/26247/1/vol.-16-no.-1-2020" TargetMode="External"/><Relationship Id="rId58" Type="http://schemas.openxmlformats.org/officeDocument/2006/relationships/hyperlink" Target="https://www.aci.health.nsw.gov.au/covid-19/critical-intelligence-unit"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image" Target="media/image5.png"/><Relationship Id="rId49" Type="http://schemas.openxmlformats.org/officeDocument/2006/relationships/hyperlink" Target="https://www.safetyandquality.gov.au/our-work/end-life-care" TargetMode="External"/><Relationship Id="rId57" Type="http://schemas.openxmlformats.org/officeDocument/2006/relationships/hyperlink" Target="https://covid19evidence.net.au/" TargetMode="External"/><Relationship Id="rId61" Type="http://schemas.openxmlformats.org/officeDocument/2006/relationships/hyperlink" Target="https://www.nice.org.uk/guidance/ng174"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www.safetyandquality.gov.au/our-work/medication-safety" TargetMode="External"/><Relationship Id="rId52" Type="http://schemas.openxmlformats.org/officeDocument/2006/relationships/hyperlink" Target="https://www.safetyandquality.gov.au/our-work/healthcare-associated-infection" TargetMode="External"/><Relationship Id="rId60" Type="http://schemas.openxmlformats.org/officeDocument/2006/relationships/hyperlink" Target="https://www.nice.org.uk/guidance/ng125"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www.safetyandquality.gov.au/publications-and-resources/resource-library/nsqhs-standards-user-guide-review-clinical-variation-health-care" TargetMode="External"/><Relationship Id="rId43" Type="http://schemas.openxmlformats.org/officeDocument/2006/relationships/hyperlink" Target="http://dx.doi.org/10.1136/bmjhci-2020-100170" TargetMode="External"/><Relationship Id="rId48" Type="http://schemas.openxmlformats.org/officeDocument/2006/relationships/hyperlink" Target="https://doi.org/10.1097/pq9.0000000000000328" TargetMode="External"/><Relationship Id="rId56" Type="http://schemas.openxmlformats.org/officeDocument/2006/relationships/hyperlink" Target="https://academic.oup.com/intqhc/advance-articles" TargetMode="External"/><Relationship Id="rId64" Type="http://schemas.openxmlformats.org/officeDocument/2006/relationships/hyperlink" Target="https://www.nice.org.uk/guidance/ng181" TargetMode="External"/><Relationship Id="rId8" Type="http://schemas.openxmlformats.org/officeDocument/2006/relationships/image" Target="media/image1.jpg"/><Relationship Id="rId51" Type="http://schemas.openxmlformats.org/officeDocument/2006/relationships/hyperlink" Target="http://www.safetyandquality.gov.au/sab"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image" Target="media/image6.png"/><Relationship Id="rId46" Type="http://schemas.openxmlformats.org/officeDocument/2006/relationships/hyperlink" Target="http://dx.doi.org/10.1136/bmjqs-2020-011473" TargetMode="External"/><Relationship Id="rId59" Type="http://schemas.openxmlformats.org/officeDocument/2006/relationships/hyperlink" Target="https://www.nice.org.uk/guidance" TargetMode="External"/><Relationship Id="rId67" Type="http://schemas.openxmlformats.org/officeDocument/2006/relationships/fontTable" Target="fontTable.xml"/><Relationship Id="rId20" Type="http://schemas.openxmlformats.org/officeDocument/2006/relationships/hyperlink" Target="https://www.safetyandquality.gov.au/publications-and-resources/resource-library/special-precautions-covid-19-designated-zones" TargetMode="External"/><Relationship Id="rId41" Type="http://schemas.openxmlformats.org/officeDocument/2006/relationships/hyperlink" Target="https://ahha.asn.au/sites/default/files/docs/policy-issue/perspectives_brief_no._11_moving_towards_value-based_patient_centred_telehealth_to_support_cancer_care9197_0.pdf" TargetMode="External"/><Relationship Id="rId54" Type="http://schemas.openxmlformats.org/officeDocument/2006/relationships/hyperlink" Target="https://qualitysafety.bmj.com/content/29/9" TargetMode="External"/><Relationship Id="rId62" Type="http://schemas.openxmlformats.org/officeDocument/2006/relationships/hyperlink" Target="https://www.nice.org.uk/guidance/ng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FC2B-06E6-432B-8BB2-8381F6C7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11</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Draft On the Radar Issue 478</vt:lpstr>
    </vt:vector>
  </TitlesOfParts>
  <Company>ACSQHC</Company>
  <LinksUpToDate>false</LinksUpToDate>
  <CharactersWithSpaces>28297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478</dc:title>
  <dc:subject/>
  <dc:creator>Dr Niall Johnson</dc:creator>
  <cp:keywords/>
  <dc:description/>
  <cp:lastModifiedBy>Johnson, Niall</cp:lastModifiedBy>
  <cp:revision>19</cp:revision>
  <cp:lastPrinted>2018-03-02T02:34:00Z</cp:lastPrinted>
  <dcterms:created xsi:type="dcterms:W3CDTF">2020-08-16T22:24:00Z</dcterms:created>
  <dcterms:modified xsi:type="dcterms:W3CDTF">2020-08-21T00:35:00Z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