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872A09">
        <w:rPr>
          <w:rFonts w:ascii="Garamond" w:hAnsi="Garamond"/>
          <w:lang w:val="en-AU"/>
        </w:rPr>
        <w:t>80</w:t>
      </w:r>
    </w:p>
    <w:p w:rsidR="00755242" w:rsidRDefault="00872A09" w:rsidP="00F738B5">
      <w:pPr>
        <w:rPr>
          <w:rFonts w:ascii="Garamond" w:hAnsi="Garamond"/>
          <w:lang w:val="en-AU"/>
        </w:rPr>
      </w:pPr>
      <w:r>
        <w:rPr>
          <w:rFonts w:ascii="Garamond" w:hAnsi="Garamond"/>
          <w:lang w:val="en-AU"/>
        </w:rPr>
        <w:t xml:space="preserve">7 September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9F06BF">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lastRenderedPageBreak/>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4784034" cy="7046000"/>
            <wp:effectExtent l="19050" t="19050" r="17145" b="21590"/>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8035" cy="7066620"/>
                    </a:xfrm>
                    <a:prstGeom prst="rect">
                      <a:avLst/>
                    </a:prstGeom>
                    <a:noFill/>
                    <a:ln>
                      <a:solidFill>
                        <a:schemeClr val="accent1"/>
                      </a:solidFill>
                    </a:ln>
                  </pic:spPr>
                </pic:pic>
              </a:graphicData>
            </a:graphic>
          </wp:inline>
        </w:drawing>
      </w:r>
    </w:p>
    <w:p w:rsidR="009A7AA8" w:rsidRPr="005C2AC8" w:rsidRDefault="009A7AA8" w:rsidP="009A7AA8">
      <w:pPr>
        <w:keepNext/>
        <w:keepLines/>
        <w:autoSpaceDE w:val="0"/>
        <w:autoSpaceDN w:val="0"/>
        <w:adjustRightInd w:val="0"/>
        <w:rPr>
          <w:rFonts w:ascii="Garamond" w:hAnsi="Garamond"/>
          <w:b/>
          <w:lang w:val="en-AU"/>
        </w:rPr>
      </w:pPr>
      <w:r>
        <w:rPr>
          <w:rFonts w:ascii="Garamond" w:hAnsi="Garamond"/>
          <w:b/>
          <w:lang w:val="en-AU"/>
        </w:rPr>
        <w:lastRenderedPageBreak/>
        <w:t>Reports</w:t>
      </w:r>
    </w:p>
    <w:p w:rsidR="00B76629" w:rsidRPr="00872A09" w:rsidRDefault="00872A09" w:rsidP="00872A09">
      <w:pPr>
        <w:keepNext/>
        <w:keepLines/>
        <w:autoSpaceDE w:val="0"/>
        <w:autoSpaceDN w:val="0"/>
        <w:adjustRightInd w:val="0"/>
        <w:rPr>
          <w:rFonts w:ascii="Garamond" w:hAnsi="Garamond"/>
          <w:i/>
          <w:lang w:val="en-AU"/>
        </w:rPr>
      </w:pPr>
      <w:r w:rsidRPr="00872A09">
        <w:rPr>
          <w:rFonts w:ascii="Garamond" w:hAnsi="Garamond"/>
          <w:i/>
          <w:lang w:val="en-AU"/>
        </w:rPr>
        <w:t>Australian healthcare after COVID-19: An opportunity to think differently</w:t>
      </w:r>
    </w:p>
    <w:p w:rsidR="00286D37" w:rsidRDefault="00286D37" w:rsidP="00872A09">
      <w:pPr>
        <w:keepNext/>
        <w:keepLines/>
        <w:autoSpaceDE w:val="0"/>
        <w:autoSpaceDN w:val="0"/>
        <w:adjustRightInd w:val="0"/>
        <w:rPr>
          <w:rFonts w:ascii="Garamond" w:hAnsi="Garamond"/>
          <w:lang w:val="en-AU"/>
        </w:rPr>
      </w:pPr>
      <w:r w:rsidRPr="00286D37">
        <w:rPr>
          <w:rFonts w:ascii="Garamond" w:hAnsi="Garamond"/>
          <w:lang w:val="en-AU"/>
        </w:rPr>
        <w:t>Australian Healthcare and Hospitals Association</w:t>
      </w:r>
    </w:p>
    <w:p w:rsidR="00872A09" w:rsidRDefault="00286D37" w:rsidP="00872A09">
      <w:pPr>
        <w:keepNext/>
        <w:keepLines/>
        <w:autoSpaceDE w:val="0"/>
        <w:autoSpaceDN w:val="0"/>
        <w:adjustRightInd w:val="0"/>
        <w:rPr>
          <w:rFonts w:ascii="Garamond" w:hAnsi="Garamond"/>
          <w:lang w:val="en-AU"/>
        </w:rPr>
      </w:pPr>
      <w:r w:rsidRPr="00286D37">
        <w:rPr>
          <w:rFonts w:ascii="Garamond" w:hAnsi="Garamond"/>
          <w:lang w:val="en-AU"/>
        </w:rPr>
        <w:t>Canberra: AHHA; 2020. p. 14.</w:t>
      </w:r>
    </w:p>
    <w:tbl>
      <w:tblPr>
        <w:tblStyle w:val="TableGrid"/>
        <w:tblW w:w="9360" w:type="dxa"/>
        <w:tblInd w:w="288" w:type="dxa"/>
        <w:tblLayout w:type="fixed"/>
        <w:tblLook w:val="01E0" w:firstRow="1" w:lastRow="1" w:firstColumn="1" w:lastColumn="1" w:noHBand="0" w:noVBand="0"/>
      </w:tblPr>
      <w:tblGrid>
        <w:gridCol w:w="1080"/>
        <w:gridCol w:w="8280"/>
      </w:tblGrid>
      <w:tr w:rsidR="00B76629" w:rsidRPr="000170DA" w:rsidTr="00693D66">
        <w:tc>
          <w:tcPr>
            <w:tcW w:w="1080" w:type="dxa"/>
            <w:tcBorders>
              <w:top w:val="single" w:sz="4" w:space="0" w:color="auto"/>
              <w:left w:val="single" w:sz="4" w:space="0" w:color="auto"/>
              <w:bottom w:val="single" w:sz="4" w:space="0" w:color="auto"/>
              <w:right w:val="single" w:sz="4" w:space="0" w:color="auto"/>
            </w:tcBorders>
            <w:vAlign w:val="center"/>
          </w:tcPr>
          <w:p w:rsidR="00B76629" w:rsidRPr="000170DA" w:rsidRDefault="00B76629" w:rsidP="00693D6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6629" w:rsidRPr="000170DA" w:rsidRDefault="00043624" w:rsidP="000A39A1">
            <w:pPr>
              <w:keepNext/>
              <w:rPr>
                <w:rStyle w:val="Hyperlink"/>
                <w:rFonts w:ascii="Garamond" w:hAnsi="Garamond"/>
                <w:color w:val="auto"/>
                <w:u w:val="none"/>
                <w:lang w:val="en-AU"/>
              </w:rPr>
            </w:pPr>
            <w:hyperlink r:id="rId35" w:history="1">
              <w:r w:rsidR="000A39A1" w:rsidRPr="00DD4CBB">
                <w:rPr>
                  <w:rStyle w:val="Hyperlink"/>
                  <w:rFonts w:ascii="Garamond" w:hAnsi="Garamond"/>
                  <w:lang w:val="en-AU"/>
                </w:rPr>
                <w:t>https://ahha.asn.au/healthcare-after-covid-19</w:t>
              </w:r>
            </w:hyperlink>
          </w:p>
        </w:tc>
      </w:tr>
      <w:tr w:rsidR="00B76629" w:rsidRPr="000170DA" w:rsidTr="00693D66">
        <w:tc>
          <w:tcPr>
            <w:tcW w:w="1080" w:type="dxa"/>
            <w:tcBorders>
              <w:top w:val="single" w:sz="4" w:space="0" w:color="auto"/>
              <w:left w:val="single" w:sz="4" w:space="0" w:color="auto"/>
              <w:bottom w:val="single" w:sz="4" w:space="0" w:color="auto"/>
              <w:right w:val="single" w:sz="4" w:space="0" w:color="auto"/>
            </w:tcBorders>
            <w:vAlign w:val="center"/>
          </w:tcPr>
          <w:p w:rsidR="00B76629" w:rsidRPr="000170DA" w:rsidRDefault="00B76629" w:rsidP="00693D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626BE" w:rsidRDefault="00872A09" w:rsidP="00861FF5">
            <w:pPr>
              <w:rPr>
                <w:rFonts w:ascii="Garamond" w:hAnsi="Garamond"/>
                <w:lang w:val="en-AU"/>
              </w:rPr>
            </w:pPr>
            <w:r>
              <w:rPr>
                <w:rFonts w:ascii="Garamond" w:hAnsi="Garamond"/>
                <w:lang w:val="en-AU"/>
              </w:rPr>
              <w:t xml:space="preserve">In the last issue of </w:t>
            </w:r>
            <w:r w:rsidRPr="00872A09">
              <w:rPr>
                <w:rFonts w:ascii="Garamond" w:hAnsi="Garamond"/>
                <w:i/>
                <w:lang w:val="en-AU"/>
              </w:rPr>
              <w:t>On the Radar</w:t>
            </w:r>
            <w:r>
              <w:rPr>
                <w:rFonts w:ascii="Garamond" w:hAnsi="Garamond"/>
                <w:lang w:val="en-AU"/>
              </w:rPr>
              <w:t xml:space="preserve"> I had included a couple of pieces that saw the COVID-19 pandemic as an opportunity to recast our health systems. This piece, from the</w:t>
            </w:r>
            <w:r w:rsidR="00861FF5">
              <w:rPr>
                <w:rFonts w:ascii="Garamond" w:hAnsi="Garamond"/>
                <w:lang w:val="en-AU"/>
              </w:rPr>
              <w:t xml:space="preserve"> </w:t>
            </w:r>
            <w:r w:rsidR="00861FF5" w:rsidRPr="00861FF5">
              <w:rPr>
                <w:rFonts w:ascii="Garamond" w:hAnsi="Garamond"/>
                <w:lang w:val="en-AU"/>
              </w:rPr>
              <w:t>Australian Healthcare and Hospitals Association</w:t>
            </w:r>
            <w:r w:rsidR="00861FF5">
              <w:rPr>
                <w:rFonts w:ascii="Garamond" w:hAnsi="Garamond"/>
                <w:lang w:val="en-AU"/>
              </w:rPr>
              <w:t>,</w:t>
            </w:r>
            <w:r>
              <w:rPr>
                <w:rFonts w:ascii="Garamond" w:hAnsi="Garamond"/>
                <w:lang w:val="en-AU"/>
              </w:rPr>
              <w:t xml:space="preserve"> makes a similar case in the Australian context.</w:t>
            </w:r>
            <w:r w:rsidR="0060740D">
              <w:rPr>
                <w:rFonts w:ascii="Garamond" w:hAnsi="Garamond"/>
                <w:lang w:val="en-AU"/>
              </w:rPr>
              <w:t xml:space="preserve"> </w:t>
            </w:r>
            <w:r w:rsidR="00C626BE">
              <w:rPr>
                <w:rFonts w:ascii="Garamond" w:hAnsi="Garamond"/>
                <w:lang w:val="en-AU"/>
              </w:rPr>
              <w:t xml:space="preserve">This paper </w:t>
            </w:r>
            <w:r w:rsidR="0060740D">
              <w:rPr>
                <w:rFonts w:ascii="Garamond" w:hAnsi="Garamond"/>
                <w:lang w:val="en-AU"/>
              </w:rPr>
              <w:t xml:space="preserve">paints </w:t>
            </w:r>
            <w:r w:rsidR="00C626BE">
              <w:rPr>
                <w:rFonts w:ascii="Garamond" w:hAnsi="Garamond"/>
                <w:lang w:val="en-AU"/>
              </w:rPr>
              <w:t>a vision of integrated and responsive, patient-centred and outcomes-focused health care systems.</w:t>
            </w:r>
          </w:p>
          <w:p w:rsidR="0060740D" w:rsidRPr="0060740D" w:rsidRDefault="0060740D" w:rsidP="0060740D">
            <w:pPr>
              <w:rPr>
                <w:rFonts w:ascii="Garamond" w:hAnsi="Garamond"/>
                <w:lang w:val="en-AU"/>
              </w:rPr>
            </w:pPr>
            <w:r>
              <w:rPr>
                <w:rFonts w:ascii="Garamond" w:hAnsi="Garamond"/>
                <w:lang w:val="en-AU"/>
              </w:rPr>
              <w:t xml:space="preserve">The paper also identifies 10 </w:t>
            </w:r>
            <w:r w:rsidRPr="0060740D">
              <w:rPr>
                <w:rFonts w:ascii="Garamond" w:hAnsi="Garamond"/>
                <w:lang w:val="en-AU"/>
              </w:rPr>
              <w:t xml:space="preserve">steps </w:t>
            </w:r>
            <w:r>
              <w:rPr>
                <w:rFonts w:ascii="Garamond" w:hAnsi="Garamond"/>
                <w:lang w:val="en-AU"/>
              </w:rPr>
              <w:t xml:space="preserve">that </w:t>
            </w:r>
            <w:r w:rsidRPr="0060740D">
              <w:rPr>
                <w:rFonts w:ascii="Garamond" w:hAnsi="Garamond"/>
                <w:lang w:val="en-AU"/>
              </w:rPr>
              <w:t xml:space="preserve">should </w:t>
            </w:r>
            <w:r>
              <w:rPr>
                <w:rFonts w:ascii="Garamond" w:hAnsi="Garamond"/>
                <w:lang w:val="en-AU"/>
              </w:rPr>
              <w:t xml:space="preserve">be </w:t>
            </w:r>
            <w:r w:rsidRPr="0060740D">
              <w:rPr>
                <w:rFonts w:ascii="Garamond" w:hAnsi="Garamond"/>
                <w:lang w:val="en-AU"/>
              </w:rPr>
              <w:t>take</w:t>
            </w:r>
            <w:r>
              <w:rPr>
                <w:rFonts w:ascii="Garamond" w:hAnsi="Garamond"/>
                <w:lang w:val="en-AU"/>
              </w:rPr>
              <w:t>n</w:t>
            </w:r>
            <w:r w:rsidRPr="0060740D">
              <w:rPr>
                <w:rFonts w:ascii="Garamond" w:hAnsi="Garamond"/>
                <w:lang w:val="en-AU"/>
              </w:rPr>
              <w:t xml:space="preserve"> now</w:t>
            </w:r>
            <w:r>
              <w:rPr>
                <w:rFonts w:ascii="Garamond" w:hAnsi="Garamond"/>
                <w:lang w:val="en-AU"/>
              </w:rPr>
              <w:t>:</w:t>
            </w:r>
          </w:p>
          <w:p w:rsidR="0060740D" w:rsidRDefault="0060740D" w:rsidP="0060740D">
            <w:pPr>
              <w:pStyle w:val="ListParagraph"/>
              <w:numPr>
                <w:ilvl w:val="0"/>
                <w:numId w:val="27"/>
              </w:numPr>
              <w:rPr>
                <w:rFonts w:ascii="Garamond" w:hAnsi="Garamond"/>
                <w:lang w:val="en-AU"/>
              </w:rPr>
            </w:pPr>
            <w:r w:rsidRPr="0060740D">
              <w:rPr>
                <w:rFonts w:ascii="Garamond" w:hAnsi="Garamond"/>
                <w:lang w:val="en-AU"/>
              </w:rPr>
              <w:t>The direct and indirect effects of the pandemic</w:t>
            </w:r>
            <w:r w:rsidRPr="0060740D">
              <w:rPr>
                <w:rFonts w:ascii="Garamond" w:hAnsi="Garamond"/>
                <w:lang w:val="en-AU"/>
              </w:rPr>
              <w:t xml:space="preserve"> </w:t>
            </w:r>
            <w:r w:rsidRPr="0060740D">
              <w:rPr>
                <w:rFonts w:ascii="Garamond" w:hAnsi="Garamond"/>
                <w:lang w:val="en-AU"/>
              </w:rPr>
              <w:t>and natural disasters on health service</w:t>
            </w:r>
            <w:r w:rsidRPr="0060740D">
              <w:rPr>
                <w:rFonts w:ascii="Garamond" w:hAnsi="Garamond"/>
                <w:lang w:val="en-AU"/>
              </w:rPr>
              <w:t xml:space="preserve"> </w:t>
            </w:r>
            <w:r w:rsidRPr="0060740D">
              <w:rPr>
                <w:rFonts w:ascii="Garamond" w:hAnsi="Garamond"/>
                <w:lang w:val="en-AU"/>
              </w:rPr>
              <w:t>delivery and health outcomes are evaluated,</w:t>
            </w:r>
            <w:r w:rsidRPr="0060740D">
              <w:rPr>
                <w:rFonts w:ascii="Garamond" w:hAnsi="Garamond"/>
                <w:lang w:val="en-AU"/>
              </w:rPr>
              <w:t xml:space="preserve"> </w:t>
            </w:r>
            <w:r w:rsidRPr="0060740D">
              <w:rPr>
                <w:rFonts w:ascii="Garamond" w:hAnsi="Garamond"/>
                <w:lang w:val="en-AU"/>
              </w:rPr>
              <w:t>and lessons learned inform a reimagined</w:t>
            </w:r>
            <w:r>
              <w:rPr>
                <w:rFonts w:ascii="Garamond" w:hAnsi="Garamond"/>
                <w:lang w:val="en-AU"/>
              </w:rPr>
              <w:t xml:space="preserve"> </w:t>
            </w:r>
            <w:r w:rsidRPr="0060740D">
              <w:rPr>
                <w:rFonts w:ascii="Garamond" w:hAnsi="Garamond"/>
                <w:lang w:val="en-AU"/>
              </w:rPr>
              <w:t>health system</w:t>
            </w:r>
          </w:p>
          <w:p w:rsidR="0060740D" w:rsidRDefault="0060740D" w:rsidP="00002581">
            <w:pPr>
              <w:pStyle w:val="ListParagraph"/>
              <w:numPr>
                <w:ilvl w:val="0"/>
                <w:numId w:val="27"/>
              </w:numPr>
              <w:rPr>
                <w:rFonts w:ascii="Garamond" w:hAnsi="Garamond"/>
                <w:lang w:val="en-AU"/>
              </w:rPr>
            </w:pPr>
            <w:r w:rsidRPr="0060740D">
              <w:rPr>
                <w:rFonts w:ascii="Garamond" w:hAnsi="Garamond"/>
                <w:lang w:val="en-AU"/>
              </w:rPr>
              <w:t>Ensure greater transparency in decision</w:t>
            </w:r>
            <w:r>
              <w:rPr>
                <w:rFonts w:ascii="Garamond" w:hAnsi="Garamond"/>
                <w:lang w:val="en-AU"/>
              </w:rPr>
              <w:t xml:space="preserve"> </w:t>
            </w:r>
            <w:r w:rsidRPr="0060740D">
              <w:rPr>
                <w:rFonts w:ascii="Garamond" w:hAnsi="Garamond"/>
                <w:lang w:val="en-AU"/>
              </w:rPr>
              <w:t>making,</w:t>
            </w:r>
            <w:r w:rsidRPr="0060740D">
              <w:rPr>
                <w:rFonts w:ascii="Garamond" w:hAnsi="Garamond"/>
                <w:lang w:val="en-AU"/>
              </w:rPr>
              <w:t xml:space="preserve"> </w:t>
            </w:r>
            <w:r w:rsidRPr="0060740D">
              <w:rPr>
                <w:rFonts w:ascii="Garamond" w:hAnsi="Garamond"/>
                <w:lang w:val="en-AU"/>
              </w:rPr>
              <w:t>fostering community trust and</w:t>
            </w:r>
            <w:r w:rsidRPr="0060740D">
              <w:rPr>
                <w:rFonts w:ascii="Garamond" w:hAnsi="Garamond"/>
                <w:lang w:val="en-AU"/>
              </w:rPr>
              <w:t xml:space="preserve"> </w:t>
            </w:r>
            <w:r w:rsidRPr="0060740D">
              <w:rPr>
                <w:rFonts w:ascii="Garamond" w:hAnsi="Garamond"/>
                <w:lang w:val="en-AU"/>
              </w:rPr>
              <w:t>collaborative relationships amongst</w:t>
            </w:r>
            <w:r w:rsidRPr="0060740D">
              <w:rPr>
                <w:rFonts w:ascii="Garamond" w:hAnsi="Garamond"/>
                <w:lang w:val="en-AU"/>
              </w:rPr>
              <w:t xml:space="preserve"> </w:t>
            </w:r>
            <w:r w:rsidRPr="0060740D">
              <w:rPr>
                <w:rFonts w:ascii="Garamond" w:hAnsi="Garamond"/>
                <w:lang w:val="en-AU"/>
              </w:rPr>
              <w:t>stakeholders</w:t>
            </w:r>
          </w:p>
          <w:p w:rsidR="0060740D" w:rsidRDefault="0060740D" w:rsidP="003D292C">
            <w:pPr>
              <w:pStyle w:val="ListParagraph"/>
              <w:numPr>
                <w:ilvl w:val="0"/>
                <w:numId w:val="27"/>
              </w:numPr>
              <w:rPr>
                <w:rFonts w:ascii="Garamond" w:hAnsi="Garamond"/>
                <w:lang w:val="en-AU"/>
              </w:rPr>
            </w:pPr>
            <w:r w:rsidRPr="0060740D">
              <w:rPr>
                <w:rFonts w:ascii="Garamond" w:hAnsi="Garamond"/>
                <w:lang w:val="en-AU"/>
              </w:rPr>
              <w:t>Empower consumers to take an engaged</w:t>
            </w:r>
            <w:r w:rsidRPr="0060740D">
              <w:rPr>
                <w:rFonts w:ascii="Garamond" w:hAnsi="Garamond"/>
                <w:lang w:val="en-AU"/>
              </w:rPr>
              <w:t xml:space="preserve"> </w:t>
            </w:r>
            <w:r w:rsidRPr="0060740D">
              <w:rPr>
                <w:rFonts w:ascii="Garamond" w:hAnsi="Garamond"/>
                <w:lang w:val="en-AU"/>
              </w:rPr>
              <w:t>and active role in their health, through health</w:t>
            </w:r>
            <w:r w:rsidRPr="0060740D">
              <w:rPr>
                <w:rFonts w:ascii="Garamond" w:hAnsi="Garamond"/>
                <w:lang w:val="en-AU"/>
              </w:rPr>
              <w:t xml:space="preserve"> </w:t>
            </w:r>
            <w:r w:rsidRPr="0060740D">
              <w:rPr>
                <w:rFonts w:ascii="Garamond" w:hAnsi="Garamond"/>
                <w:lang w:val="en-AU"/>
              </w:rPr>
              <w:t>literacy programs and expanded opportunities</w:t>
            </w:r>
            <w:r w:rsidRPr="0060740D">
              <w:rPr>
                <w:rFonts w:ascii="Garamond" w:hAnsi="Garamond"/>
                <w:lang w:val="en-AU"/>
              </w:rPr>
              <w:t xml:space="preserve"> </w:t>
            </w:r>
            <w:r w:rsidRPr="0060740D">
              <w:rPr>
                <w:rFonts w:ascii="Garamond" w:hAnsi="Garamond"/>
                <w:lang w:val="en-AU"/>
              </w:rPr>
              <w:t>to co</w:t>
            </w:r>
            <w:r w:rsidRPr="0060740D">
              <w:rPr>
                <w:rFonts w:ascii="Garamond" w:hAnsi="Garamond"/>
                <w:lang w:val="en-AU"/>
              </w:rPr>
              <w:t>-</w:t>
            </w:r>
            <w:r w:rsidRPr="0060740D">
              <w:rPr>
                <w:rFonts w:ascii="Garamond" w:hAnsi="Garamond"/>
                <w:lang w:val="en-AU"/>
              </w:rPr>
              <w:t>design health services</w:t>
            </w:r>
          </w:p>
          <w:p w:rsidR="0060740D" w:rsidRDefault="0060740D" w:rsidP="00507460">
            <w:pPr>
              <w:pStyle w:val="ListParagraph"/>
              <w:numPr>
                <w:ilvl w:val="0"/>
                <w:numId w:val="27"/>
              </w:numPr>
              <w:rPr>
                <w:rFonts w:ascii="Garamond" w:hAnsi="Garamond"/>
                <w:lang w:val="en-AU"/>
              </w:rPr>
            </w:pPr>
            <w:r w:rsidRPr="0060740D">
              <w:rPr>
                <w:rFonts w:ascii="Garamond" w:hAnsi="Garamond"/>
                <w:lang w:val="en-AU"/>
              </w:rPr>
              <w:t>Low and no-value health care is reduced</w:t>
            </w:r>
            <w:r w:rsidRPr="0060740D">
              <w:rPr>
                <w:rFonts w:ascii="Garamond" w:hAnsi="Garamond"/>
                <w:lang w:val="en-AU"/>
              </w:rPr>
              <w:t xml:space="preserve"> </w:t>
            </w:r>
            <w:r w:rsidRPr="0060740D">
              <w:rPr>
                <w:rFonts w:ascii="Garamond" w:hAnsi="Garamond"/>
                <w:lang w:val="en-AU"/>
              </w:rPr>
              <w:t>through the prioritisation of evidence-based</w:t>
            </w:r>
            <w:r w:rsidRPr="0060740D">
              <w:rPr>
                <w:rFonts w:ascii="Garamond" w:hAnsi="Garamond"/>
                <w:lang w:val="en-AU"/>
              </w:rPr>
              <w:t xml:space="preserve"> </w:t>
            </w:r>
            <w:r w:rsidRPr="0060740D">
              <w:rPr>
                <w:rFonts w:ascii="Garamond" w:hAnsi="Garamond"/>
                <w:lang w:val="en-AU"/>
              </w:rPr>
              <w:t>care and addressing inappropriate variations</w:t>
            </w:r>
            <w:r w:rsidRPr="0060740D">
              <w:rPr>
                <w:rFonts w:ascii="Garamond" w:hAnsi="Garamond"/>
                <w:lang w:val="en-AU"/>
              </w:rPr>
              <w:t xml:space="preserve"> </w:t>
            </w:r>
            <w:r w:rsidRPr="0060740D">
              <w:rPr>
                <w:rFonts w:ascii="Garamond" w:hAnsi="Garamond"/>
                <w:lang w:val="en-AU"/>
              </w:rPr>
              <w:t>in care</w:t>
            </w:r>
          </w:p>
          <w:p w:rsidR="0060740D" w:rsidRDefault="0060740D" w:rsidP="00605A7F">
            <w:pPr>
              <w:pStyle w:val="ListParagraph"/>
              <w:numPr>
                <w:ilvl w:val="0"/>
                <w:numId w:val="27"/>
              </w:numPr>
              <w:rPr>
                <w:rFonts w:ascii="Garamond" w:hAnsi="Garamond"/>
                <w:lang w:val="en-AU"/>
              </w:rPr>
            </w:pPr>
            <w:r w:rsidRPr="0060740D">
              <w:rPr>
                <w:rFonts w:ascii="Garamond" w:hAnsi="Garamond"/>
                <w:lang w:val="en-AU"/>
              </w:rPr>
              <w:t>Team-based care with health professionals</w:t>
            </w:r>
            <w:r w:rsidRPr="0060740D">
              <w:rPr>
                <w:rFonts w:ascii="Garamond" w:hAnsi="Garamond"/>
                <w:lang w:val="en-AU"/>
              </w:rPr>
              <w:t xml:space="preserve"> </w:t>
            </w:r>
            <w:r w:rsidRPr="0060740D">
              <w:rPr>
                <w:rFonts w:ascii="Garamond" w:hAnsi="Garamond"/>
                <w:lang w:val="en-AU"/>
              </w:rPr>
              <w:t>working to the top of their scope of</w:t>
            </w:r>
            <w:r w:rsidRPr="0060740D">
              <w:rPr>
                <w:rFonts w:ascii="Garamond" w:hAnsi="Garamond"/>
                <w:lang w:val="en-AU"/>
              </w:rPr>
              <w:t xml:space="preserve"> </w:t>
            </w:r>
            <w:r w:rsidRPr="0060740D">
              <w:rPr>
                <w:rFonts w:ascii="Garamond" w:hAnsi="Garamond"/>
                <w:lang w:val="en-AU"/>
              </w:rPr>
              <w:t>licence, and a greater focus on permanent</w:t>
            </w:r>
            <w:r w:rsidRPr="0060740D">
              <w:rPr>
                <w:rFonts w:ascii="Garamond" w:hAnsi="Garamond"/>
                <w:lang w:val="en-AU"/>
              </w:rPr>
              <w:t xml:space="preserve"> </w:t>
            </w:r>
            <w:r w:rsidRPr="0060740D">
              <w:rPr>
                <w:rFonts w:ascii="Garamond" w:hAnsi="Garamond"/>
                <w:lang w:val="en-AU"/>
              </w:rPr>
              <w:t>employment and upskilling</w:t>
            </w:r>
          </w:p>
          <w:p w:rsidR="0060740D" w:rsidRDefault="0060740D" w:rsidP="001760BE">
            <w:pPr>
              <w:pStyle w:val="ListParagraph"/>
              <w:numPr>
                <w:ilvl w:val="0"/>
                <w:numId w:val="27"/>
              </w:numPr>
              <w:rPr>
                <w:rFonts w:ascii="Garamond" w:hAnsi="Garamond"/>
                <w:lang w:val="en-AU"/>
              </w:rPr>
            </w:pPr>
            <w:r w:rsidRPr="0060740D">
              <w:rPr>
                <w:rFonts w:ascii="Garamond" w:hAnsi="Garamond"/>
                <w:lang w:val="en-AU"/>
              </w:rPr>
              <w:t>Funding models include incentives for</w:t>
            </w:r>
            <w:r w:rsidRPr="0060740D">
              <w:rPr>
                <w:rFonts w:ascii="Garamond" w:hAnsi="Garamond"/>
                <w:lang w:val="en-AU"/>
              </w:rPr>
              <w:t xml:space="preserve"> </w:t>
            </w:r>
            <w:r w:rsidRPr="0060740D">
              <w:rPr>
                <w:rFonts w:ascii="Garamond" w:hAnsi="Garamond"/>
                <w:lang w:val="en-AU"/>
              </w:rPr>
              <w:t>value and improving health outcomes</w:t>
            </w:r>
          </w:p>
          <w:p w:rsidR="0060740D" w:rsidRDefault="0060740D" w:rsidP="00162C04">
            <w:pPr>
              <w:pStyle w:val="ListParagraph"/>
              <w:numPr>
                <w:ilvl w:val="0"/>
                <w:numId w:val="27"/>
              </w:numPr>
              <w:rPr>
                <w:rFonts w:ascii="Garamond" w:hAnsi="Garamond"/>
                <w:lang w:val="en-AU"/>
              </w:rPr>
            </w:pPr>
            <w:r w:rsidRPr="0060740D">
              <w:rPr>
                <w:rFonts w:ascii="Garamond" w:hAnsi="Garamond"/>
                <w:lang w:val="en-AU"/>
              </w:rPr>
              <w:t>Patient-reported outcome data that measures</w:t>
            </w:r>
            <w:r w:rsidRPr="0060740D">
              <w:rPr>
                <w:rFonts w:ascii="Garamond" w:hAnsi="Garamond"/>
                <w:lang w:val="en-AU"/>
              </w:rPr>
              <w:t xml:space="preserve"> </w:t>
            </w:r>
            <w:r w:rsidRPr="0060740D">
              <w:rPr>
                <w:rFonts w:ascii="Garamond" w:hAnsi="Garamond"/>
                <w:lang w:val="en-AU"/>
              </w:rPr>
              <w:t>what matters to patients is developed, and</w:t>
            </w:r>
            <w:r w:rsidRPr="0060740D">
              <w:rPr>
                <w:rFonts w:ascii="Garamond" w:hAnsi="Garamond"/>
                <w:lang w:val="en-AU"/>
              </w:rPr>
              <w:t xml:space="preserve"> </w:t>
            </w:r>
            <w:r w:rsidRPr="0060740D">
              <w:rPr>
                <w:rFonts w:ascii="Garamond" w:hAnsi="Garamond"/>
                <w:lang w:val="en-AU"/>
              </w:rPr>
              <w:t>informs outcome-based payments and</w:t>
            </w:r>
            <w:r w:rsidRPr="0060740D">
              <w:rPr>
                <w:rFonts w:ascii="Garamond" w:hAnsi="Garamond"/>
                <w:lang w:val="en-AU"/>
              </w:rPr>
              <w:t xml:space="preserve"> </w:t>
            </w:r>
            <w:r w:rsidRPr="0060740D">
              <w:rPr>
                <w:rFonts w:ascii="Garamond" w:hAnsi="Garamond"/>
                <w:lang w:val="en-AU"/>
              </w:rPr>
              <w:t>service design</w:t>
            </w:r>
          </w:p>
          <w:p w:rsidR="0060740D" w:rsidRDefault="0060740D" w:rsidP="00604A19">
            <w:pPr>
              <w:pStyle w:val="ListParagraph"/>
              <w:numPr>
                <w:ilvl w:val="0"/>
                <w:numId w:val="27"/>
              </w:numPr>
              <w:rPr>
                <w:rFonts w:ascii="Garamond" w:hAnsi="Garamond"/>
                <w:lang w:val="en-AU"/>
              </w:rPr>
            </w:pPr>
            <w:r w:rsidRPr="0060740D">
              <w:rPr>
                <w:rFonts w:ascii="Garamond" w:hAnsi="Garamond"/>
                <w:lang w:val="en-AU"/>
              </w:rPr>
              <w:t>Telehealth MBS items are continued and</w:t>
            </w:r>
            <w:r w:rsidRPr="0060740D">
              <w:rPr>
                <w:rFonts w:ascii="Garamond" w:hAnsi="Garamond"/>
                <w:lang w:val="en-AU"/>
              </w:rPr>
              <w:t xml:space="preserve"> </w:t>
            </w:r>
            <w:r w:rsidRPr="0060740D">
              <w:rPr>
                <w:rFonts w:ascii="Garamond" w:hAnsi="Garamond"/>
                <w:lang w:val="en-AU"/>
              </w:rPr>
              <w:t>refined to ensure they reflect the cost</w:t>
            </w:r>
            <w:r w:rsidRPr="0060740D">
              <w:rPr>
                <w:rFonts w:ascii="Garamond" w:hAnsi="Garamond"/>
                <w:lang w:val="en-AU"/>
              </w:rPr>
              <w:t xml:space="preserve"> </w:t>
            </w:r>
            <w:r w:rsidRPr="0060740D">
              <w:rPr>
                <w:rFonts w:ascii="Garamond" w:hAnsi="Garamond"/>
                <w:lang w:val="en-AU"/>
              </w:rPr>
              <w:t>of providing care, support affordable care</w:t>
            </w:r>
            <w:r w:rsidRPr="0060740D">
              <w:rPr>
                <w:rFonts w:ascii="Garamond" w:hAnsi="Garamond"/>
                <w:lang w:val="en-AU"/>
              </w:rPr>
              <w:t xml:space="preserve"> </w:t>
            </w:r>
            <w:r w:rsidRPr="0060740D">
              <w:rPr>
                <w:rFonts w:ascii="Garamond" w:hAnsi="Garamond"/>
                <w:lang w:val="en-AU"/>
              </w:rPr>
              <w:t>for patients, and represent value for money</w:t>
            </w:r>
            <w:r w:rsidRPr="0060740D">
              <w:rPr>
                <w:rFonts w:ascii="Garamond" w:hAnsi="Garamond"/>
                <w:lang w:val="en-AU"/>
              </w:rPr>
              <w:t xml:space="preserve"> </w:t>
            </w:r>
            <w:r w:rsidRPr="0060740D">
              <w:rPr>
                <w:rFonts w:ascii="Garamond" w:hAnsi="Garamond"/>
                <w:lang w:val="en-AU"/>
              </w:rPr>
              <w:t>for government funders</w:t>
            </w:r>
          </w:p>
          <w:p w:rsidR="0060740D" w:rsidRDefault="0060740D" w:rsidP="009D559D">
            <w:pPr>
              <w:pStyle w:val="ListParagraph"/>
              <w:numPr>
                <w:ilvl w:val="0"/>
                <w:numId w:val="27"/>
              </w:numPr>
              <w:rPr>
                <w:rFonts w:ascii="Garamond" w:hAnsi="Garamond"/>
                <w:lang w:val="en-AU"/>
              </w:rPr>
            </w:pPr>
            <w:r w:rsidRPr="0060740D">
              <w:rPr>
                <w:rFonts w:ascii="Garamond" w:hAnsi="Garamond"/>
                <w:lang w:val="en-AU"/>
              </w:rPr>
              <w:t>Cross-sector partnerships between health,</w:t>
            </w:r>
            <w:r w:rsidRPr="0060740D">
              <w:rPr>
                <w:rFonts w:ascii="Garamond" w:hAnsi="Garamond"/>
                <w:lang w:val="en-AU"/>
              </w:rPr>
              <w:t xml:space="preserve"> </w:t>
            </w:r>
            <w:r w:rsidRPr="0060740D">
              <w:rPr>
                <w:rFonts w:ascii="Garamond" w:hAnsi="Garamond"/>
                <w:lang w:val="en-AU"/>
              </w:rPr>
              <w:t>aged care, disability and community services</w:t>
            </w:r>
            <w:r w:rsidRPr="0060740D">
              <w:rPr>
                <w:rFonts w:ascii="Garamond" w:hAnsi="Garamond"/>
                <w:lang w:val="en-AU"/>
              </w:rPr>
              <w:t xml:space="preserve"> </w:t>
            </w:r>
            <w:r w:rsidRPr="0060740D">
              <w:rPr>
                <w:rFonts w:ascii="Garamond" w:hAnsi="Garamond"/>
                <w:lang w:val="en-AU"/>
              </w:rPr>
              <w:t>are informed by linked data, and funded</w:t>
            </w:r>
            <w:r w:rsidRPr="0060740D">
              <w:rPr>
                <w:rFonts w:ascii="Garamond" w:hAnsi="Garamond"/>
                <w:lang w:val="en-AU"/>
              </w:rPr>
              <w:t xml:space="preserve"> </w:t>
            </w:r>
            <w:r w:rsidRPr="0060740D">
              <w:rPr>
                <w:rFonts w:ascii="Garamond" w:hAnsi="Garamond"/>
                <w:lang w:val="en-AU"/>
              </w:rPr>
              <w:t>to collaborate to improve health outcomes</w:t>
            </w:r>
            <w:r w:rsidRPr="0060740D">
              <w:rPr>
                <w:rFonts w:ascii="Garamond" w:hAnsi="Garamond"/>
                <w:lang w:val="en-AU"/>
              </w:rPr>
              <w:t xml:space="preserve"> </w:t>
            </w:r>
            <w:r w:rsidRPr="0060740D">
              <w:rPr>
                <w:rFonts w:ascii="Garamond" w:hAnsi="Garamond"/>
                <w:lang w:val="en-AU"/>
              </w:rPr>
              <w:t>for all</w:t>
            </w:r>
          </w:p>
          <w:p w:rsidR="0060740D" w:rsidRPr="0060740D" w:rsidRDefault="0060740D" w:rsidP="00C96423">
            <w:pPr>
              <w:pStyle w:val="ListParagraph"/>
              <w:numPr>
                <w:ilvl w:val="0"/>
                <w:numId w:val="27"/>
              </w:numPr>
              <w:rPr>
                <w:rFonts w:ascii="Garamond" w:hAnsi="Garamond"/>
                <w:lang w:val="en-AU"/>
              </w:rPr>
            </w:pPr>
            <w:r w:rsidRPr="0060740D">
              <w:rPr>
                <w:rFonts w:ascii="Garamond" w:hAnsi="Garamond"/>
                <w:lang w:val="en-AU"/>
              </w:rPr>
              <w:t>Medical manufacturing models are responsive,</w:t>
            </w:r>
            <w:r w:rsidRPr="0060740D">
              <w:rPr>
                <w:rFonts w:ascii="Garamond" w:hAnsi="Garamond"/>
                <w:lang w:val="en-AU"/>
              </w:rPr>
              <w:t xml:space="preserve"> </w:t>
            </w:r>
            <w:r w:rsidRPr="0060740D">
              <w:rPr>
                <w:rFonts w:ascii="Garamond" w:hAnsi="Garamond"/>
                <w:lang w:val="en-AU"/>
              </w:rPr>
              <w:t>cost effective, environmentally sustainable,</w:t>
            </w:r>
            <w:r w:rsidRPr="0060740D">
              <w:rPr>
                <w:rFonts w:ascii="Garamond" w:hAnsi="Garamond"/>
                <w:lang w:val="en-AU"/>
              </w:rPr>
              <w:t xml:space="preserve"> </w:t>
            </w:r>
            <w:r w:rsidRPr="0060740D">
              <w:rPr>
                <w:rFonts w:ascii="Garamond" w:hAnsi="Garamond"/>
                <w:lang w:val="en-AU"/>
              </w:rPr>
              <w:t>create local jobs and advance the Australian</w:t>
            </w:r>
            <w:r w:rsidRPr="0060740D">
              <w:rPr>
                <w:rFonts w:ascii="Garamond" w:hAnsi="Garamond"/>
                <w:lang w:val="en-AU"/>
              </w:rPr>
              <w:t xml:space="preserve"> </w:t>
            </w:r>
            <w:r w:rsidRPr="0060740D">
              <w:rPr>
                <w:rFonts w:ascii="Garamond" w:hAnsi="Garamond"/>
                <w:lang w:val="en-AU"/>
              </w:rPr>
              <w:t>economy</w:t>
            </w:r>
            <w:r w:rsidRPr="0060740D">
              <w:rPr>
                <w:rFonts w:ascii="Garamond" w:hAnsi="Garamond"/>
                <w:lang w:val="en-AU"/>
              </w:rPr>
              <w:t>.</w:t>
            </w:r>
          </w:p>
          <w:p w:rsidR="0060740D" w:rsidRPr="00872A09" w:rsidRDefault="0060740D" w:rsidP="0060740D">
            <w:pPr>
              <w:jc w:val="center"/>
              <w:rPr>
                <w:rFonts w:ascii="Garamond" w:hAnsi="Garamond"/>
                <w:lang w:val="en-AU"/>
              </w:rPr>
            </w:pPr>
            <w:r>
              <w:rPr>
                <w:rFonts w:ascii="Garamond" w:hAnsi="Garamond"/>
                <w:noProof/>
                <w:highlight w:val="yellow"/>
                <w:lang w:val="en-AU" w:eastAsia="en-AU"/>
              </w:rPr>
              <w:drawing>
                <wp:inline distT="0" distB="0" distL="0" distR="0">
                  <wp:extent cx="3909391" cy="3078596"/>
                  <wp:effectExtent l="0" t="0" r="0" b="7620"/>
                  <wp:docPr id="7" name="Picture 7" title="Australian Healthcare and Hospitals Association's vision of a Resilient Health System">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ahha vision.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48257" cy="3109203"/>
                          </a:xfrm>
                          <a:prstGeom prst="rect">
                            <a:avLst/>
                          </a:prstGeom>
                          <a:noFill/>
                          <a:ln>
                            <a:noFill/>
                          </a:ln>
                        </pic:spPr>
                      </pic:pic>
                    </a:graphicData>
                  </a:graphic>
                </wp:inline>
              </w:drawing>
            </w:r>
          </w:p>
        </w:tc>
      </w:tr>
    </w:tbl>
    <w:p w:rsidR="00872A09" w:rsidRPr="0046604A" w:rsidRDefault="0046604A" w:rsidP="0046604A">
      <w:pPr>
        <w:keepNext/>
        <w:keepLines/>
        <w:autoSpaceDE w:val="0"/>
        <w:autoSpaceDN w:val="0"/>
        <w:adjustRightInd w:val="0"/>
        <w:rPr>
          <w:rFonts w:ascii="Garamond" w:hAnsi="Garamond"/>
          <w:i/>
          <w:lang w:val="en-AU"/>
        </w:rPr>
      </w:pPr>
      <w:r w:rsidRPr="0046604A">
        <w:rPr>
          <w:rFonts w:ascii="Garamond" w:hAnsi="Garamond"/>
          <w:i/>
          <w:lang w:val="en-AU"/>
        </w:rPr>
        <w:lastRenderedPageBreak/>
        <w:t>Evaluating literature review methodologies for policymakers</w:t>
      </w:r>
    </w:p>
    <w:p w:rsidR="00286D37" w:rsidRDefault="00286D37" w:rsidP="00286D37">
      <w:pPr>
        <w:keepNext/>
        <w:keepLines/>
        <w:autoSpaceDE w:val="0"/>
        <w:autoSpaceDN w:val="0"/>
        <w:adjustRightInd w:val="0"/>
        <w:rPr>
          <w:rFonts w:ascii="Garamond" w:hAnsi="Garamond"/>
          <w:lang w:val="en-AU"/>
        </w:rPr>
      </w:pPr>
      <w:r w:rsidRPr="00286D37">
        <w:rPr>
          <w:rFonts w:ascii="Garamond" w:hAnsi="Garamond"/>
          <w:lang w:val="en-AU"/>
        </w:rPr>
        <w:t>Deeble Institute Perspectives Brief No. 12</w:t>
      </w:r>
    </w:p>
    <w:p w:rsidR="00286D37" w:rsidRDefault="00286D37" w:rsidP="0046604A">
      <w:pPr>
        <w:keepNext/>
        <w:keepLines/>
        <w:autoSpaceDE w:val="0"/>
        <w:autoSpaceDN w:val="0"/>
        <w:adjustRightInd w:val="0"/>
        <w:rPr>
          <w:rFonts w:ascii="Garamond" w:hAnsi="Garamond"/>
          <w:lang w:val="en-AU"/>
        </w:rPr>
      </w:pPr>
      <w:r w:rsidRPr="00286D37">
        <w:rPr>
          <w:rFonts w:ascii="Garamond" w:hAnsi="Garamond"/>
          <w:lang w:val="en-AU"/>
        </w:rPr>
        <w:t>Naylor J, Jackson C, Donald M</w:t>
      </w:r>
    </w:p>
    <w:p w:rsidR="0046604A" w:rsidRDefault="00286D37" w:rsidP="0046604A">
      <w:pPr>
        <w:keepNext/>
        <w:keepLines/>
        <w:autoSpaceDE w:val="0"/>
        <w:autoSpaceDN w:val="0"/>
        <w:adjustRightInd w:val="0"/>
        <w:rPr>
          <w:rFonts w:ascii="Garamond" w:hAnsi="Garamond"/>
          <w:lang w:val="en-AU"/>
        </w:rPr>
      </w:pPr>
      <w:r w:rsidRPr="00286D37">
        <w:rPr>
          <w:rFonts w:ascii="Garamond" w:hAnsi="Garamond"/>
          <w:lang w:val="en-AU"/>
        </w:rPr>
        <w:t>Canberra: Australian Healthcare and Hospitals Association; 2020. p. 14.</w:t>
      </w:r>
    </w:p>
    <w:tbl>
      <w:tblPr>
        <w:tblStyle w:val="TableGrid"/>
        <w:tblW w:w="9360" w:type="dxa"/>
        <w:tblInd w:w="288" w:type="dxa"/>
        <w:tblLayout w:type="fixed"/>
        <w:tblLook w:val="01E0" w:firstRow="1" w:lastRow="1" w:firstColumn="1" w:lastColumn="1" w:noHBand="0" w:noVBand="0"/>
      </w:tblPr>
      <w:tblGrid>
        <w:gridCol w:w="1080"/>
        <w:gridCol w:w="8280"/>
      </w:tblGrid>
      <w:tr w:rsidR="00872A09" w:rsidRPr="000170DA" w:rsidTr="00746098">
        <w:tc>
          <w:tcPr>
            <w:tcW w:w="1080" w:type="dxa"/>
            <w:tcBorders>
              <w:top w:val="single" w:sz="4" w:space="0" w:color="auto"/>
              <w:left w:val="single" w:sz="4" w:space="0" w:color="auto"/>
              <w:bottom w:val="single" w:sz="4" w:space="0" w:color="auto"/>
              <w:right w:val="single" w:sz="4" w:space="0" w:color="auto"/>
            </w:tcBorders>
            <w:vAlign w:val="center"/>
          </w:tcPr>
          <w:p w:rsidR="00872A09" w:rsidRPr="000170DA" w:rsidRDefault="00872A09" w:rsidP="0074609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87FCF" w:rsidRPr="00787FCF" w:rsidRDefault="00787FCF" w:rsidP="00746098">
            <w:pPr>
              <w:keepNext/>
              <w:rPr>
                <w:rFonts w:ascii="Garamond" w:hAnsi="Garamond"/>
              </w:rPr>
            </w:pPr>
            <w:hyperlink r:id="rId37" w:history="1">
              <w:r w:rsidRPr="00787FCF">
                <w:rPr>
                  <w:rStyle w:val="Hyperlink"/>
                  <w:rFonts w:ascii="Garamond" w:hAnsi="Garamond"/>
                </w:rPr>
                <w:t>https://ahha.asn.au/deeble-institute-perspective-briefs</w:t>
              </w:r>
            </w:hyperlink>
          </w:p>
          <w:p w:rsidR="0046604A" w:rsidRPr="000170DA" w:rsidRDefault="00043624" w:rsidP="00787FCF">
            <w:pPr>
              <w:keepNext/>
              <w:rPr>
                <w:rStyle w:val="Hyperlink"/>
                <w:rFonts w:ascii="Garamond" w:hAnsi="Garamond"/>
                <w:color w:val="auto"/>
                <w:u w:val="none"/>
                <w:lang w:val="en-AU"/>
              </w:rPr>
            </w:pPr>
            <w:hyperlink r:id="rId38" w:history="1">
              <w:r w:rsidR="0046604A" w:rsidRPr="00787FCF">
                <w:rPr>
                  <w:rStyle w:val="Hyperlink"/>
                  <w:rFonts w:ascii="Garamond" w:hAnsi="Garamond"/>
                  <w:lang w:val="en-AU"/>
                </w:rPr>
                <w:t>https://ahha.asn.au/sites/default/files/docs/policy-issue/perspectives_brief_no._12_evaluating_literature_review_methodologies_0.pdf</w:t>
              </w:r>
            </w:hyperlink>
          </w:p>
        </w:tc>
      </w:tr>
      <w:tr w:rsidR="00872A09" w:rsidRPr="000170DA" w:rsidTr="00746098">
        <w:tc>
          <w:tcPr>
            <w:tcW w:w="1080" w:type="dxa"/>
            <w:tcBorders>
              <w:top w:val="single" w:sz="4" w:space="0" w:color="auto"/>
              <w:left w:val="single" w:sz="4" w:space="0" w:color="auto"/>
              <w:bottom w:val="single" w:sz="4" w:space="0" w:color="auto"/>
              <w:right w:val="single" w:sz="4" w:space="0" w:color="auto"/>
            </w:tcBorders>
            <w:vAlign w:val="center"/>
          </w:tcPr>
          <w:p w:rsidR="00872A09" w:rsidRPr="000170DA" w:rsidRDefault="00872A09" w:rsidP="0074609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72A09" w:rsidRPr="00872A09" w:rsidRDefault="00286D37" w:rsidP="00A31296">
            <w:pPr>
              <w:rPr>
                <w:rFonts w:ascii="Garamond" w:hAnsi="Garamond"/>
                <w:lang w:val="en-AU"/>
              </w:rPr>
            </w:pPr>
            <w:r w:rsidRPr="00286D37">
              <w:rPr>
                <w:rFonts w:ascii="Garamond" w:hAnsi="Garamond"/>
                <w:lang w:val="en-AU"/>
              </w:rPr>
              <w:t>This Perspectives Brief from the Australian Healthcare and Hospitals Association’s Deeble Institute</w:t>
            </w:r>
            <w:r>
              <w:rPr>
                <w:rFonts w:ascii="Garamond" w:hAnsi="Garamond"/>
                <w:lang w:val="en-AU"/>
              </w:rPr>
              <w:t xml:space="preserve"> </w:t>
            </w:r>
            <w:r w:rsidR="00A31296">
              <w:rPr>
                <w:rFonts w:ascii="Garamond" w:hAnsi="Garamond"/>
                <w:lang w:val="en-AU"/>
              </w:rPr>
              <w:t xml:space="preserve">examines the various form of literature review that policymakers use, commission or undertake. Various forms of review are now quite commonly found in the literature, including </w:t>
            </w:r>
            <w:r w:rsidR="00A31296" w:rsidRPr="00A31296">
              <w:rPr>
                <w:rFonts w:ascii="Garamond" w:hAnsi="Garamond"/>
                <w:lang w:val="en-AU"/>
              </w:rPr>
              <w:t>‘systematic review’,</w:t>
            </w:r>
            <w:r w:rsidR="00A31296">
              <w:rPr>
                <w:rFonts w:ascii="Garamond" w:hAnsi="Garamond"/>
                <w:lang w:val="en-AU"/>
              </w:rPr>
              <w:t xml:space="preserve"> </w:t>
            </w:r>
            <w:r w:rsidR="00A31296" w:rsidRPr="00A31296">
              <w:rPr>
                <w:rFonts w:ascii="Garamond" w:hAnsi="Garamond"/>
                <w:lang w:val="en-AU"/>
              </w:rPr>
              <w:t>‘narrative review’, ‘scoping review’, ‘rapid review’, and ‘realist review’.</w:t>
            </w:r>
            <w:r w:rsidR="00A31296">
              <w:rPr>
                <w:rFonts w:ascii="Garamond" w:hAnsi="Garamond"/>
                <w:lang w:val="en-AU"/>
              </w:rPr>
              <w:t xml:space="preserve"> The authors of this Perspectives Brief sought ‘</w:t>
            </w:r>
            <w:r w:rsidR="00A31296" w:rsidRPr="00A31296">
              <w:rPr>
                <w:rFonts w:ascii="Garamond" w:hAnsi="Garamond"/>
                <w:lang w:val="en-AU"/>
              </w:rPr>
              <w:t>to pragmatically ‘review’ the reviews – providing an outline</w:t>
            </w:r>
            <w:r w:rsidR="00A31296">
              <w:rPr>
                <w:rFonts w:ascii="Garamond" w:hAnsi="Garamond"/>
                <w:lang w:val="en-AU"/>
              </w:rPr>
              <w:t xml:space="preserve"> </w:t>
            </w:r>
            <w:r w:rsidR="00A31296" w:rsidRPr="00A31296">
              <w:rPr>
                <w:rFonts w:ascii="Garamond" w:hAnsi="Garamond"/>
                <w:lang w:val="en-AU"/>
              </w:rPr>
              <w:t>of their purpose, process, strengths and limitations, and highlighting the</w:t>
            </w:r>
            <w:r w:rsidR="00A31296">
              <w:rPr>
                <w:rFonts w:ascii="Garamond" w:hAnsi="Garamond"/>
                <w:lang w:val="en-AU"/>
              </w:rPr>
              <w:t xml:space="preserve"> </w:t>
            </w:r>
            <w:r w:rsidR="00A31296" w:rsidRPr="00A31296">
              <w:rPr>
                <w:rFonts w:ascii="Garamond" w:hAnsi="Garamond"/>
                <w:lang w:val="en-AU"/>
              </w:rPr>
              <w:t>appropriate search environment for each. It presents decision-makers with a</w:t>
            </w:r>
            <w:r w:rsidR="00A31296">
              <w:rPr>
                <w:rFonts w:ascii="Garamond" w:hAnsi="Garamond"/>
                <w:lang w:val="en-AU"/>
              </w:rPr>
              <w:t xml:space="preserve"> </w:t>
            </w:r>
            <w:r w:rsidR="00A31296" w:rsidRPr="00A31296">
              <w:rPr>
                <w:rFonts w:ascii="Garamond" w:hAnsi="Garamond"/>
                <w:lang w:val="en-AU"/>
              </w:rPr>
              <w:t>pragmatic guide to inform resource allocation and evidence base in health</w:t>
            </w:r>
            <w:r w:rsidR="00A31296">
              <w:rPr>
                <w:rFonts w:ascii="Garamond" w:hAnsi="Garamond"/>
                <w:lang w:val="en-AU"/>
              </w:rPr>
              <w:t xml:space="preserve"> </w:t>
            </w:r>
            <w:r w:rsidR="00A31296" w:rsidRPr="00A31296">
              <w:rPr>
                <w:rFonts w:ascii="Garamond" w:hAnsi="Garamond"/>
                <w:lang w:val="en-AU"/>
              </w:rPr>
              <w:t>care and health system research, practice and policy development.</w:t>
            </w:r>
            <w:r w:rsidR="00A31296">
              <w:rPr>
                <w:rFonts w:ascii="Garamond" w:hAnsi="Garamond"/>
                <w:lang w:val="en-AU"/>
              </w:rPr>
              <w:t>’</w:t>
            </w:r>
          </w:p>
        </w:tc>
      </w:tr>
    </w:tbl>
    <w:p w:rsidR="002429A4" w:rsidRDefault="002429A4" w:rsidP="00B76629">
      <w:pPr>
        <w:rPr>
          <w:rFonts w:ascii="Garamond" w:hAnsi="Garamond"/>
          <w:b/>
          <w:lang w:val="en-AU"/>
        </w:rPr>
      </w:pPr>
    </w:p>
    <w:p w:rsidR="00282D29" w:rsidRDefault="005C2504" w:rsidP="005C2AC8">
      <w:pPr>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2429A4" w:rsidRPr="00861FF5" w:rsidRDefault="00861FF5" w:rsidP="002429A4">
      <w:pPr>
        <w:keepNext/>
        <w:keepLines/>
        <w:autoSpaceDE w:val="0"/>
        <w:autoSpaceDN w:val="0"/>
        <w:adjustRightInd w:val="0"/>
        <w:rPr>
          <w:rFonts w:ascii="Garamond" w:hAnsi="Garamond"/>
          <w:i/>
          <w:lang w:val="en-AU"/>
        </w:rPr>
      </w:pPr>
      <w:r w:rsidRPr="00861FF5">
        <w:rPr>
          <w:rFonts w:ascii="Garamond" w:hAnsi="Garamond"/>
          <w:i/>
          <w:lang w:val="en-AU"/>
        </w:rPr>
        <w:t>Coproduction: when users define quality</w:t>
      </w:r>
    </w:p>
    <w:p w:rsidR="00861FF5" w:rsidRDefault="00861FF5" w:rsidP="002429A4">
      <w:pPr>
        <w:keepNext/>
        <w:keepLines/>
        <w:autoSpaceDE w:val="0"/>
        <w:autoSpaceDN w:val="0"/>
        <w:adjustRightInd w:val="0"/>
        <w:rPr>
          <w:rFonts w:ascii="Garamond" w:hAnsi="Garamond"/>
          <w:lang w:val="en-AU"/>
        </w:rPr>
      </w:pPr>
      <w:r w:rsidRPr="00861FF5">
        <w:rPr>
          <w:rFonts w:ascii="Garamond" w:hAnsi="Garamond"/>
          <w:lang w:val="en-AU"/>
        </w:rPr>
        <w:t>Elwyn G, Nelson E, Hager A, Price A</w:t>
      </w:r>
    </w:p>
    <w:p w:rsidR="00861FF5" w:rsidRDefault="00861FF5" w:rsidP="002429A4">
      <w:pPr>
        <w:keepNext/>
        <w:keepLines/>
        <w:autoSpaceDE w:val="0"/>
        <w:autoSpaceDN w:val="0"/>
        <w:adjustRightInd w:val="0"/>
        <w:rPr>
          <w:rFonts w:ascii="Garamond" w:hAnsi="Garamond"/>
          <w:lang w:val="en-AU"/>
        </w:rPr>
      </w:pPr>
      <w:r w:rsidRPr="00861FF5">
        <w:rPr>
          <w:rFonts w:ascii="Garamond" w:hAnsi="Garamond"/>
          <w:lang w:val="en-AU"/>
        </w:rPr>
        <w:t>BMJ Quality &amp; Safety. 2020;29(9):711-716.</w:t>
      </w:r>
    </w:p>
    <w:tbl>
      <w:tblPr>
        <w:tblStyle w:val="TableGrid"/>
        <w:tblW w:w="9360" w:type="dxa"/>
        <w:tblInd w:w="288" w:type="dxa"/>
        <w:tblLayout w:type="fixed"/>
        <w:tblLook w:val="01E0" w:firstRow="1" w:lastRow="1" w:firstColumn="1" w:lastColumn="1" w:noHBand="0" w:noVBand="0"/>
      </w:tblPr>
      <w:tblGrid>
        <w:gridCol w:w="1080"/>
        <w:gridCol w:w="8280"/>
      </w:tblGrid>
      <w:tr w:rsidR="002429A4" w:rsidRPr="000170DA" w:rsidTr="000B1B0B">
        <w:tc>
          <w:tcPr>
            <w:tcW w:w="1080" w:type="dxa"/>
            <w:tcBorders>
              <w:top w:val="single" w:sz="4" w:space="0" w:color="auto"/>
              <w:left w:val="single" w:sz="4" w:space="0" w:color="auto"/>
              <w:bottom w:val="single" w:sz="4" w:space="0" w:color="auto"/>
              <w:right w:val="single" w:sz="4" w:space="0" w:color="auto"/>
            </w:tcBorders>
            <w:vAlign w:val="center"/>
          </w:tcPr>
          <w:p w:rsidR="002429A4" w:rsidRPr="000170DA" w:rsidRDefault="002429A4" w:rsidP="000B1B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29A4" w:rsidRPr="000170DA" w:rsidRDefault="00043624" w:rsidP="000B1B0B">
            <w:pPr>
              <w:keepNext/>
              <w:rPr>
                <w:rStyle w:val="Hyperlink"/>
                <w:rFonts w:ascii="Garamond" w:hAnsi="Garamond"/>
                <w:color w:val="auto"/>
                <w:u w:val="none"/>
                <w:lang w:val="en-AU"/>
              </w:rPr>
            </w:pPr>
            <w:hyperlink r:id="rId39" w:history="1">
              <w:r w:rsidR="00861FF5" w:rsidRPr="00DD4CBB">
                <w:rPr>
                  <w:rStyle w:val="Hyperlink"/>
                  <w:rFonts w:ascii="Garamond" w:hAnsi="Garamond"/>
                  <w:lang w:val="en-AU"/>
                </w:rPr>
                <w:t>http://dx.doi.org/10.1136/bmjqs-2019-009830</w:t>
              </w:r>
            </w:hyperlink>
          </w:p>
        </w:tc>
      </w:tr>
      <w:tr w:rsidR="002429A4" w:rsidRPr="000170DA" w:rsidTr="000B1B0B">
        <w:tc>
          <w:tcPr>
            <w:tcW w:w="1080" w:type="dxa"/>
            <w:tcBorders>
              <w:top w:val="single" w:sz="4" w:space="0" w:color="auto"/>
              <w:left w:val="single" w:sz="4" w:space="0" w:color="auto"/>
              <w:bottom w:val="single" w:sz="4" w:space="0" w:color="auto"/>
              <w:right w:val="single" w:sz="4" w:space="0" w:color="auto"/>
            </w:tcBorders>
            <w:vAlign w:val="center"/>
          </w:tcPr>
          <w:p w:rsidR="002429A4" w:rsidRPr="000170DA" w:rsidRDefault="002429A4" w:rsidP="000B1B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29A4" w:rsidRDefault="00861FF5" w:rsidP="000B1B0B">
            <w:pPr>
              <w:rPr>
                <w:rFonts w:ascii="Garamond" w:hAnsi="Garamond"/>
                <w:lang w:val="en-AU"/>
              </w:rPr>
            </w:pPr>
            <w:r>
              <w:rPr>
                <w:rFonts w:ascii="Garamond" w:hAnsi="Garamond"/>
                <w:lang w:val="en-AU"/>
              </w:rPr>
              <w:t>Moving beyond shared decision making and patient-centred care is the coproduction of health care.</w:t>
            </w:r>
            <w:r w:rsidR="00006B13">
              <w:rPr>
                <w:rFonts w:ascii="Garamond" w:hAnsi="Garamond"/>
                <w:lang w:val="en-AU"/>
              </w:rPr>
              <w:t xml:space="preserve"> Placing the patient at the centre has been a theme for some time and has seen the greater engagement of patients (and their families and carers) in various ways. This has included shared decision making, engagement in research, patient reported experience and/or outcome measures, through to participation in health service design. This piece expands the perspective and role of patients to include roles in assessing, designing, designing and delivery of care. The authors also relate coproduction to the concepts of value-based care and learning health systems.</w:t>
            </w:r>
          </w:p>
          <w:p w:rsidR="00286D37" w:rsidRPr="009A7AA8" w:rsidRDefault="00286D37" w:rsidP="00006B13">
            <w:pPr>
              <w:jc w:val="center"/>
              <w:rPr>
                <w:rFonts w:ascii="Garamond" w:hAnsi="Garamond"/>
                <w:lang w:val="en-AU"/>
              </w:rPr>
            </w:pPr>
            <w:r>
              <w:rPr>
                <w:rFonts w:ascii="Garamond" w:hAnsi="Garamond"/>
                <w:noProof/>
                <w:highlight w:val="yellow"/>
                <w:lang w:val="en-AU" w:eastAsia="en-AU"/>
              </w:rPr>
              <w:drawing>
                <wp:inline distT="0" distB="0" distL="0" distR="0">
                  <wp:extent cx="4970076" cy="3419061"/>
                  <wp:effectExtent l="0" t="0" r="2540" b="0"/>
                  <wp:docPr id="5" name="Picture 5" title="Coproduction cycle figure from paper: Coproduction: when users define quality">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production cycl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43277" cy="3469418"/>
                          </a:xfrm>
                          <a:prstGeom prst="rect">
                            <a:avLst/>
                          </a:prstGeom>
                          <a:noFill/>
                          <a:ln>
                            <a:noFill/>
                          </a:ln>
                        </pic:spPr>
                      </pic:pic>
                    </a:graphicData>
                  </a:graphic>
                </wp:inline>
              </w:drawing>
            </w:r>
          </w:p>
        </w:tc>
      </w:tr>
    </w:tbl>
    <w:p w:rsidR="002429A4" w:rsidRDefault="005C186D" w:rsidP="002429A4">
      <w:pPr>
        <w:rPr>
          <w:rFonts w:ascii="Garamond" w:hAnsi="Garamond"/>
          <w:lang w:val="en-AU"/>
        </w:rPr>
      </w:pPr>
      <w:r w:rsidRPr="005C186D">
        <w:rPr>
          <w:rFonts w:ascii="Garamond" w:hAnsi="Garamond"/>
          <w:lang w:val="en-AU"/>
        </w:rPr>
        <w:lastRenderedPageBreak/>
        <w:t xml:space="preserve">For information on the Commission’s work on </w:t>
      </w:r>
      <w:r>
        <w:rPr>
          <w:rFonts w:ascii="Garamond" w:hAnsi="Garamond"/>
          <w:lang w:val="en-AU"/>
        </w:rPr>
        <w:t xml:space="preserve">partnering with consumers, see </w:t>
      </w:r>
      <w:hyperlink r:id="rId41" w:history="1">
        <w:r w:rsidRPr="00DE46C9">
          <w:rPr>
            <w:rStyle w:val="Hyperlink"/>
            <w:rFonts w:ascii="Garamond" w:hAnsi="Garamond"/>
            <w:lang w:val="en-AU"/>
          </w:rPr>
          <w:t>https://www.safetyandquality.gov.au/our-work/partnering-consumers</w:t>
        </w:r>
      </w:hyperlink>
    </w:p>
    <w:p w:rsidR="005C186D" w:rsidRDefault="005C186D" w:rsidP="002429A4">
      <w:pPr>
        <w:rPr>
          <w:rFonts w:ascii="Garamond" w:hAnsi="Garamond"/>
          <w:lang w:val="en-AU"/>
        </w:rPr>
      </w:pPr>
    </w:p>
    <w:p w:rsidR="005C186D" w:rsidRDefault="005C186D" w:rsidP="002429A4">
      <w:pPr>
        <w:rPr>
          <w:rFonts w:ascii="Garamond" w:hAnsi="Garamond"/>
          <w:lang w:val="en-AU"/>
        </w:rPr>
      </w:pPr>
      <w:r w:rsidRPr="005C186D">
        <w:rPr>
          <w:rFonts w:ascii="Garamond" w:hAnsi="Garamond"/>
          <w:lang w:val="en-AU"/>
        </w:rPr>
        <w:t xml:space="preserve">For information on the Commission’s work on </w:t>
      </w:r>
      <w:r>
        <w:rPr>
          <w:rFonts w:ascii="Garamond" w:hAnsi="Garamond"/>
          <w:lang w:val="en-AU"/>
        </w:rPr>
        <w:t>person-centred care</w:t>
      </w:r>
      <w:r>
        <w:rPr>
          <w:rFonts w:ascii="Garamond" w:hAnsi="Garamond"/>
          <w:lang w:val="en-AU"/>
        </w:rPr>
        <w:t xml:space="preserve">, see </w:t>
      </w:r>
      <w:hyperlink r:id="rId42" w:history="1">
        <w:r w:rsidRPr="00DE46C9">
          <w:rPr>
            <w:rStyle w:val="Hyperlink"/>
            <w:rFonts w:ascii="Garamond" w:hAnsi="Garamond"/>
            <w:lang w:val="en-AU"/>
          </w:rPr>
          <w:t>https://www.safetyandquality.gov.au/our-work/partnering-consumers/person-centred-care</w:t>
        </w:r>
      </w:hyperlink>
    </w:p>
    <w:p w:rsidR="005C186D" w:rsidRDefault="005C186D" w:rsidP="002429A4">
      <w:pPr>
        <w:rPr>
          <w:rFonts w:ascii="Garamond" w:hAnsi="Garamond"/>
          <w:lang w:val="en-AU"/>
        </w:rPr>
      </w:pPr>
    </w:p>
    <w:p w:rsidR="005C186D" w:rsidRDefault="005C186D" w:rsidP="002429A4">
      <w:pPr>
        <w:rPr>
          <w:rFonts w:ascii="Garamond" w:hAnsi="Garamond"/>
          <w:lang w:val="en-AU"/>
        </w:rPr>
      </w:pPr>
      <w:r w:rsidRPr="005C186D">
        <w:rPr>
          <w:rFonts w:ascii="Garamond" w:hAnsi="Garamond"/>
          <w:lang w:val="en-AU"/>
        </w:rPr>
        <w:t xml:space="preserve">For information on the Commission’s work on </w:t>
      </w:r>
      <w:r>
        <w:rPr>
          <w:rFonts w:ascii="Garamond" w:hAnsi="Garamond"/>
          <w:lang w:val="en-AU"/>
        </w:rPr>
        <w:t>shared decision making</w:t>
      </w:r>
      <w:r>
        <w:rPr>
          <w:rFonts w:ascii="Garamond" w:hAnsi="Garamond"/>
          <w:lang w:val="en-AU"/>
        </w:rPr>
        <w:t xml:space="preserve">, see </w:t>
      </w:r>
      <w:hyperlink r:id="rId43" w:history="1">
        <w:r w:rsidRPr="00DE46C9">
          <w:rPr>
            <w:rStyle w:val="Hyperlink"/>
            <w:rFonts w:ascii="Garamond" w:hAnsi="Garamond"/>
            <w:lang w:val="en-AU"/>
          </w:rPr>
          <w:t>https://www.safetyandquality.gov.au/our-work/partnering-consumers/shared-decision-making</w:t>
        </w:r>
      </w:hyperlink>
    </w:p>
    <w:p w:rsidR="005C186D" w:rsidRDefault="005C186D" w:rsidP="002429A4">
      <w:pPr>
        <w:rPr>
          <w:rFonts w:ascii="Garamond" w:hAnsi="Garamond"/>
          <w:lang w:val="en-AU"/>
        </w:rPr>
      </w:pPr>
    </w:p>
    <w:p w:rsidR="005C186D" w:rsidRDefault="005C186D" w:rsidP="002429A4">
      <w:pPr>
        <w:rPr>
          <w:rFonts w:ascii="Garamond" w:hAnsi="Garamond"/>
          <w:lang w:val="en-AU"/>
        </w:rPr>
      </w:pPr>
    </w:p>
    <w:p w:rsidR="00872A09" w:rsidRPr="0046604A" w:rsidRDefault="0046604A" w:rsidP="00872A09">
      <w:pPr>
        <w:keepNext/>
        <w:keepLines/>
        <w:autoSpaceDE w:val="0"/>
        <w:autoSpaceDN w:val="0"/>
        <w:adjustRightInd w:val="0"/>
        <w:rPr>
          <w:rFonts w:ascii="Garamond" w:hAnsi="Garamond"/>
          <w:i/>
          <w:lang w:val="en-AU"/>
        </w:rPr>
      </w:pPr>
      <w:r w:rsidRPr="0046604A">
        <w:rPr>
          <w:rFonts w:ascii="Garamond" w:hAnsi="Garamond"/>
          <w:i/>
          <w:lang w:val="en-AU"/>
        </w:rPr>
        <w:t>A clinical pharmacist-led integrated approach for evaluation of medication errors among medical intensive care unit patients</w:t>
      </w:r>
    </w:p>
    <w:p w:rsidR="00E0781E" w:rsidRDefault="00E0781E" w:rsidP="00872A09">
      <w:pPr>
        <w:keepNext/>
        <w:keepLines/>
        <w:autoSpaceDE w:val="0"/>
        <w:autoSpaceDN w:val="0"/>
        <w:adjustRightInd w:val="0"/>
        <w:rPr>
          <w:rFonts w:ascii="Garamond" w:hAnsi="Garamond"/>
          <w:lang w:val="en-AU"/>
        </w:rPr>
      </w:pPr>
      <w:r w:rsidRPr="00E0781E">
        <w:rPr>
          <w:rFonts w:ascii="Garamond" w:hAnsi="Garamond"/>
          <w:lang w:val="en-AU"/>
        </w:rPr>
        <w:t>Aghili M, Neelathahalli Kasturirangan M</w:t>
      </w:r>
    </w:p>
    <w:p w:rsidR="0046604A" w:rsidRDefault="00E0781E" w:rsidP="00872A09">
      <w:pPr>
        <w:keepNext/>
        <w:keepLines/>
        <w:autoSpaceDE w:val="0"/>
        <w:autoSpaceDN w:val="0"/>
        <w:adjustRightInd w:val="0"/>
        <w:rPr>
          <w:rFonts w:ascii="Garamond" w:hAnsi="Garamond"/>
          <w:lang w:val="en-AU"/>
        </w:rPr>
      </w:pPr>
      <w:r w:rsidRPr="00E0781E">
        <w:rPr>
          <w:rFonts w:ascii="Garamond" w:hAnsi="Garamond"/>
          <w:lang w:val="en-AU"/>
        </w:rPr>
        <w:t>JBI Evidence Implementation. 2020</w:t>
      </w:r>
      <w:r>
        <w:rPr>
          <w:rFonts w:ascii="Garamond" w:hAnsi="Garamond"/>
          <w:lang w:val="en-AU"/>
        </w:rPr>
        <w:t xml:space="preserve"> [epub]</w:t>
      </w:r>
      <w:r w:rsidRPr="00E0781E">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72A09" w:rsidRPr="000170DA" w:rsidTr="00746098">
        <w:tc>
          <w:tcPr>
            <w:tcW w:w="1080" w:type="dxa"/>
            <w:tcBorders>
              <w:top w:val="single" w:sz="4" w:space="0" w:color="auto"/>
              <w:left w:val="single" w:sz="4" w:space="0" w:color="auto"/>
              <w:bottom w:val="single" w:sz="4" w:space="0" w:color="auto"/>
              <w:right w:val="single" w:sz="4" w:space="0" w:color="auto"/>
            </w:tcBorders>
            <w:vAlign w:val="center"/>
          </w:tcPr>
          <w:p w:rsidR="00872A09" w:rsidRPr="000170DA" w:rsidRDefault="00872A09" w:rsidP="0074609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72A09" w:rsidRPr="000170DA" w:rsidRDefault="00043624" w:rsidP="00746098">
            <w:pPr>
              <w:keepNext/>
              <w:rPr>
                <w:rStyle w:val="Hyperlink"/>
                <w:rFonts w:ascii="Garamond" w:hAnsi="Garamond"/>
                <w:color w:val="auto"/>
                <w:u w:val="none"/>
                <w:lang w:val="en-AU"/>
              </w:rPr>
            </w:pPr>
            <w:hyperlink r:id="rId44" w:history="1">
              <w:r w:rsidR="0046604A" w:rsidRPr="00C7698E">
                <w:rPr>
                  <w:rStyle w:val="Hyperlink"/>
                  <w:rFonts w:ascii="Garamond" w:hAnsi="Garamond"/>
                  <w:lang w:val="en-AU"/>
                </w:rPr>
                <w:t>https://doi.org/10.1097/XEB.0000000000000228</w:t>
              </w:r>
            </w:hyperlink>
          </w:p>
        </w:tc>
      </w:tr>
      <w:tr w:rsidR="00872A09" w:rsidRPr="000170DA" w:rsidTr="00746098">
        <w:tc>
          <w:tcPr>
            <w:tcW w:w="1080" w:type="dxa"/>
            <w:tcBorders>
              <w:top w:val="single" w:sz="4" w:space="0" w:color="auto"/>
              <w:left w:val="single" w:sz="4" w:space="0" w:color="auto"/>
              <w:bottom w:val="single" w:sz="4" w:space="0" w:color="auto"/>
              <w:right w:val="single" w:sz="4" w:space="0" w:color="auto"/>
            </w:tcBorders>
            <w:vAlign w:val="center"/>
          </w:tcPr>
          <w:p w:rsidR="00872A09" w:rsidRPr="000170DA" w:rsidRDefault="00872A09" w:rsidP="0074609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604A" w:rsidRPr="009A7AA8" w:rsidRDefault="00535B25" w:rsidP="005C186D">
            <w:pPr>
              <w:rPr>
                <w:rFonts w:ascii="Garamond" w:hAnsi="Garamond"/>
                <w:lang w:val="en-AU"/>
              </w:rPr>
            </w:pPr>
            <w:r>
              <w:rPr>
                <w:rFonts w:ascii="Garamond" w:hAnsi="Garamond"/>
                <w:lang w:val="en-AU"/>
              </w:rPr>
              <w:t>In recent years there have been a number of studies that have shown that engaging a pharmacist in various contexts can prevent or ameliorate medication errors. This paper adds to that literature by showing that have a pharmacist engaging with the ICU helped critically ill patients avoid medication errors.</w:t>
            </w:r>
            <w:r w:rsidR="005C186D">
              <w:rPr>
                <w:rFonts w:ascii="Garamond" w:hAnsi="Garamond"/>
                <w:lang w:val="en-AU"/>
              </w:rPr>
              <w:t xml:space="preserve"> In this approach the clinical pharmacist ‘p</w:t>
            </w:r>
            <w:r w:rsidR="005C186D" w:rsidRPr="005C186D">
              <w:rPr>
                <w:rFonts w:ascii="Garamond" w:hAnsi="Garamond"/>
                <w:lang w:val="en-AU"/>
              </w:rPr>
              <w:t>erformed a combination of medication error detection methods, which included medication chart review, patient monitoring until discharge/death, and attending medical rounds</w:t>
            </w:r>
            <w:r w:rsidR="005C186D">
              <w:rPr>
                <w:rFonts w:ascii="Garamond" w:hAnsi="Garamond"/>
                <w:lang w:val="en-AU"/>
              </w:rPr>
              <w:t>’</w:t>
            </w:r>
            <w:r w:rsidR="005C186D" w:rsidRPr="005C186D">
              <w:rPr>
                <w:rFonts w:ascii="Garamond" w:hAnsi="Garamond"/>
                <w:lang w:val="en-AU"/>
              </w:rPr>
              <w:t>.</w:t>
            </w:r>
            <w:r w:rsidR="005C186D">
              <w:rPr>
                <w:rFonts w:ascii="Garamond" w:hAnsi="Garamond"/>
                <w:lang w:val="en-AU"/>
              </w:rPr>
              <w:t xml:space="preserve"> The authors found that the approach ‘r</w:t>
            </w:r>
            <w:r w:rsidR="005C186D" w:rsidRPr="005C186D">
              <w:rPr>
                <w:rFonts w:ascii="Garamond" w:hAnsi="Garamond"/>
                <w:lang w:val="en-AU"/>
              </w:rPr>
              <w:t>evealed that medication errors commonly occurred among critically ill patients, and the clinical pharmacist's interventions intercepted the majority of these medication errors. The number of preventable ADEs was significantly fewer in a group of patients who received these interventions. However, medication errors formed chains of errors that adversely affected patients’ investigated outcomes in the study group with no implementation of the clinical pharmacist interventions.</w:t>
            </w:r>
            <w:r w:rsidR="005C186D">
              <w:rPr>
                <w:rFonts w:ascii="Garamond" w:hAnsi="Garamond"/>
                <w:lang w:val="en-AU"/>
              </w:rPr>
              <w:t>’</w:t>
            </w:r>
          </w:p>
        </w:tc>
      </w:tr>
    </w:tbl>
    <w:p w:rsidR="00872A09" w:rsidRDefault="00872A09" w:rsidP="00872A09">
      <w:pPr>
        <w:rPr>
          <w:rFonts w:ascii="Garamond" w:hAnsi="Garamond"/>
          <w:lang w:val="en-AU"/>
        </w:rPr>
      </w:pPr>
    </w:p>
    <w:p w:rsidR="005C186D" w:rsidRDefault="005C186D" w:rsidP="00872A09">
      <w:pPr>
        <w:rPr>
          <w:rFonts w:ascii="Garamond" w:hAnsi="Garamond"/>
          <w:lang w:val="en-AU"/>
        </w:rPr>
      </w:pPr>
      <w:r w:rsidRPr="005C186D">
        <w:rPr>
          <w:rFonts w:ascii="Garamond" w:hAnsi="Garamond"/>
          <w:lang w:val="en-AU"/>
        </w:rPr>
        <w:t>For information on the Commission’s work on medication safety</w:t>
      </w:r>
      <w:r>
        <w:rPr>
          <w:rFonts w:ascii="Garamond" w:hAnsi="Garamond"/>
          <w:lang w:val="en-AU"/>
        </w:rPr>
        <w:t>,</w:t>
      </w:r>
      <w:r w:rsidRPr="005C186D">
        <w:rPr>
          <w:rFonts w:ascii="Garamond" w:hAnsi="Garamond"/>
          <w:lang w:val="en-AU"/>
        </w:rPr>
        <w:t xml:space="preserve"> see </w:t>
      </w:r>
      <w:hyperlink r:id="rId45" w:history="1">
        <w:r w:rsidRPr="00DE46C9">
          <w:rPr>
            <w:rStyle w:val="Hyperlink"/>
            <w:rFonts w:ascii="Garamond" w:hAnsi="Garamond"/>
            <w:lang w:val="en-AU"/>
          </w:rPr>
          <w:t>https://www.safetyandquality.gov.au/our-work/medication-safety</w:t>
        </w:r>
      </w:hyperlink>
      <w:r>
        <w:rPr>
          <w:rFonts w:ascii="Garamond" w:hAnsi="Garamond"/>
          <w:lang w:val="en-AU"/>
        </w:rPr>
        <w:t xml:space="preserve"> </w:t>
      </w:r>
    </w:p>
    <w:p w:rsidR="005C186D" w:rsidRDefault="005C186D" w:rsidP="00872A09">
      <w:pPr>
        <w:rPr>
          <w:rFonts w:ascii="Garamond" w:hAnsi="Garamond"/>
          <w:lang w:val="en-AU"/>
        </w:rPr>
      </w:pPr>
    </w:p>
    <w:p w:rsidR="00837165" w:rsidRPr="002E7C3E" w:rsidRDefault="00837165" w:rsidP="00837165">
      <w:pPr>
        <w:keepNext/>
        <w:keepLines/>
        <w:autoSpaceDE w:val="0"/>
        <w:autoSpaceDN w:val="0"/>
        <w:adjustRightInd w:val="0"/>
        <w:rPr>
          <w:rFonts w:ascii="Garamond" w:hAnsi="Garamond"/>
          <w:i/>
          <w:lang w:val="en-AU"/>
        </w:rPr>
      </w:pPr>
      <w:r w:rsidRPr="002E7C3E">
        <w:rPr>
          <w:rFonts w:ascii="Garamond" w:hAnsi="Garamond"/>
          <w:i/>
          <w:lang w:val="en-AU"/>
        </w:rPr>
        <w:t>What has been the impact of Covid-19 on safety culture? A case study from a large metropolitan teaching hospital</w:t>
      </w:r>
    </w:p>
    <w:p w:rsidR="00837165" w:rsidRDefault="00837165" w:rsidP="00837165">
      <w:pPr>
        <w:keepNext/>
        <w:keepLines/>
        <w:autoSpaceDE w:val="0"/>
        <w:autoSpaceDN w:val="0"/>
        <w:adjustRightInd w:val="0"/>
        <w:rPr>
          <w:rFonts w:ascii="Garamond" w:hAnsi="Garamond"/>
          <w:lang w:val="en-AU"/>
        </w:rPr>
      </w:pPr>
      <w:r w:rsidRPr="002E7C3E">
        <w:rPr>
          <w:rFonts w:ascii="Garamond" w:hAnsi="Garamond"/>
          <w:lang w:val="en-AU"/>
        </w:rPr>
        <w:t>Denning M, Goh ET, Scott A, Martin G, Markar S, Flott K, et al</w:t>
      </w:r>
    </w:p>
    <w:p w:rsidR="00837165" w:rsidRDefault="00837165" w:rsidP="00837165">
      <w:pPr>
        <w:keepNext/>
        <w:keepLines/>
        <w:autoSpaceDE w:val="0"/>
        <w:autoSpaceDN w:val="0"/>
        <w:adjustRightInd w:val="0"/>
        <w:rPr>
          <w:rFonts w:ascii="Garamond" w:hAnsi="Garamond"/>
          <w:lang w:val="en-AU"/>
        </w:rPr>
      </w:pPr>
      <w:r w:rsidRPr="002E7C3E">
        <w:rPr>
          <w:rFonts w:ascii="Garamond" w:hAnsi="Garamond"/>
          <w:lang w:val="en-AU"/>
        </w:rPr>
        <w:t>medRxiv. 2020</w:t>
      </w:r>
      <w:r>
        <w:rPr>
          <w:rFonts w:ascii="Garamond" w:hAnsi="Garamond"/>
          <w:lang w:val="en-AU"/>
        </w:rPr>
        <w:t xml:space="preserve"> [epub]</w:t>
      </w:r>
      <w:r w:rsidRPr="002E7C3E">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37165" w:rsidRPr="000170DA" w:rsidTr="00F27691">
        <w:tc>
          <w:tcPr>
            <w:tcW w:w="1080" w:type="dxa"/>
            <w:tcBorders>
              <w:top w:val="single" w:sz="4" w:space="0" w:color="auto"/>
              <w:left w:val="single" w:sz="4" w:space="0" w:color="auto"/>
              <w:bottom w:val="single" w:sz="4" w:space="0" w:color="auto"/>
              <w:right w:val="single" w:sz="4" w:space="0" w:color="auto"/>
            </w:tcBorders>
            <w:vAlign w:val="center"/>
          </w:tcPr>
          <w:p w:rsidR="00837165" w:rsidRPr="000170DA" w:rsidRDefault="00837165" w:rsidP="00F2769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7165" w:rsidRPr="000170DA" w:rsidRDefault="00837165" w:rsidP="00F27691">
            <w:pPr>
              <w:keepNext/>
              <w:rPr>
                <w:rStyle w:val="Hyperlink"/>
                <w:rFonts w:ascii="Garamond" w:hAnsi="Garamond"/>
                <w:color w:val="auto"/>
                <w:u w:val="none"/>
                <w:lang w:val="en-AU"/>
              </w:rPr>
            </w:pPr>
            <w:hyperlink r:id="rId46" w:history="1">
              <w:r w:rsidRPr="00DE46C9">
                <w:rPr>
                  <w:rStyle w:val="Hyperlink"/>
                  <w:rFonts w:ascii="Garamond" w:hAnsi="Garamond"/>
                  <w:lang w:val="en-AU"/>
                </w:rPr>
                <w:t>https://doi.org/10.1101/2020.06.15.20129080</w:t>
              </w:r>
            </w:hyperlink>
          </w:p>
        </w:tc>
      </w:tr>
      <w:tr w:rsidR="00837165" w:rsidRPr="000170DA" w:rsidTr="00F27691">
        <w:tc>
          <w:tcPr>
            <w:tcW w:w="1080" w:type="dxa"/>
            <w:tcBorders>
              <w:top w:val="single" w:sz="4" w:space="0" w:color="auto"/>
              <w:left w:val="single" w:sz="4" w:space="0" w:color="auto"/>
              <w:bottom w:val="single" w:sz="4" w:space="0" w:color="auto"/>
              <w:right w:val="single" w:sz="4" w:space="0" w:color="auto"/>
            </w:tcBorders>
            <w:vAlign w:val="center"/>
          </w:tcPr>
          <w:p w:rsidR="00837165" w:rsidRPr="000170DA" w:rsidRDefault="00837165" w:rsidP="00F2769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7165" w:rsidRPr="009A7AA8" w:rsidRDefault="00837165" w:rsidP="0069263E">
            <w:pPr>
              <w:rPr>
                <w:rFonts w:ascii="Garamond" w:hAnsi="Garamond"/>
                <w:lang w:val="en-AU"/>
              </w:rPr>
            </w:pPr>
            <w:r>
              <w:rPr>
                <w:rFonts w:ascii="Garamond" w:hAnsi="Garamond"/>
                <w:lang w:val="en-AU"/>
              </w:rPr>
              <w:t xml:space="preserve">A saying attributed to the Prussian </w:t>
            </w:r>
            <w:r w:rsidRPr="002E7C3E">
              <w:rPr>
                <w:rFonts w:ascii="Garamond" w:hAnsi="Garamond"/>
                <w:lang w:val="en-AU"/>
              </w:rPr>
              <w:t>Helmuth von Moltke</w:t>
            </w:r>
            <w:r>
              <w:rPr>
                <w:rFonts w:ascii="Garamond" w:hAnsi="Garamond"/>
                <w:lang w:val="en-AU"/>
              </w:rPr>
              <w:t xml:space="preserve"> is that ‘</w:t>
            </w:r>
            <w:r w:rsidRPr="002E7C3E">
              <w:rPr>
                <w:rFonts w:ascii="Garamond" w:hAnsi="Garamond"/>
                <w:lang w:val="en-AU"/>
              </w:rPr>
              <w:t>no plan survives contact with the enemy</w:t>
            </w:r>
            <w:r>
              <w:rPr>
                <w:rFonts w:ascii="Garamond" w:hAnsi="Garamond"/>
                <w:lang w:val="en-AU"/>
              </w:rPr>
              <w:t xml:space="preserve">’ could perhaps be applied to health systems in the face of a pandemic. Proponents of the importance of culture in the workplace may suggest that the culture may then help drive responses to a crisis. This paper looks at how the patient safety culture in a large UK teaching hospital was evident as the COVID-19 pandemic erupted. By comparing responses to </w:t>
            </w:r>
            <w:r w:rsidRPr="002E7C3E">
              <w:rPr>
                <w:rFonts w:ascii="Garamond" w:hAnsi="Garamond"/>
                <w:lang w:val="en-AU"/>
              </w:rPr>
              <w:t>the Safety Attitudes Questionnaire</w:t>
            </w:r>
            <w:r>
              <w:rPr>
                <w:rFonts w:ascii="Garamond" w:hAnsi="Garamond"/>
                <w:lang w:val="en-AU"/>
              </w:rPr>
              <w:t xml:space="preserve"> </w:t>
            </w:r>
            <w:r w:rsidR="0069263E">
              <w:rPr>
                <w:rFonts w:ascii="Garamond" w:hAnsi="Garamond"/>
                <w:lang w:val="en-AU"/>
              </w:rPr>
              <w:t>(SAQ)</w:t>
            </w:r>
            <w:r w:rsidR="009A2546">
              <w:rPr>
                <w:rFonts w:ascii="Garamond" w:hAnsi="Garamond"/>
                <w:lang w:val="en-AU"/>
              </w:rPr>
              <w:t xml:space="preserve"> </w:t>
            </w:r>
            <w:r>
              <w:rPr>
                <w:rFonts w:ascii="Garamond" w:hAnsi="Garamond"/>
                <w:lang w:val="en-AU"/>
              </w:rPr>
              <w:t xml:space="preserve">during the pandemic with responses in </w:t>
            </w:r>
            <w:proofErr w:type="gramStart"/>
            <w:r>
              <w:rPr>
                <w:rFonts w:ascii="Garamond" w:hAnsi="Garamond"/>
                <w:lang w:val="en-AU"/>
              </w:rPr>
              <w:t>2017</w:t>
            </w:r>
            <w:proofErr w:type="gramEnd"/>
            <w:r>
              <w:rPr>
                <w:rFonts w:ascii="Garamond" w:hAnsi="Garamond"/>
                <w:lang w:val="en-AU"/>
              </w:rPr>
              <w:t xml:space="preserve"> the authors sought to </w:t>
            </w:r>
            <w:r w:rsidR="0069263E">
              <w:rPr>
                <w:rFonts w:ascii="Garamond" w:hAnsi="Garamond"/>
                <w:lang w:val="en-AU"/>
              </w:rPr>
              <w:t xml:space="preserve">examine </w:t>
            </w:r>
            <w:r w:rsidR="0069263E" w:rsidRPr="0069263E">
              <w:rPr>
                <w:rFonts w:ascii="Garamond" w:hAnsi="Garamond"/>
                <w:lang w:val="en-AU"/>
              </w:rPr>
              <w:t>the impact of C</w:t>
            </w:r>
            <w:r w:rsidR="0069263E">
              <w:rPr>
                <w:rFonts w:ascii="Garamond" w:hAnsi="Garamond"/>
                <w:lang w:val="en-AU"/>
              </w:rPr>
              <w:t>OVID</w:t>
            </w:r>
            <w:r w:rsidR="0069263E" w:rsidRPr="0069263E">
              <w:rPr>
                <w:rFonts w:ascii="Garamond" w:hAnsi="Garamond"/>
                <w:lang w:val="en-AU"/>
              </w:rPr>
              <w:t>-19 on safety culture</w:t>
            </w:r>
            <w:r w:rsidR="0069263E">
              <w:rPr>
                <w:rFonts w:ascii="Garamond" w:hAnsi="Garamond"/>
                <w:lang w:val="en-AU"/>
              </w:rPr>
              <w:t>. The authors found differences SAQ scores ‘</w:t>
            </w:r>
            <w:r w:rsidR="0069263E" w:rsidRPr="0069263E">
              <w:rPr>
                <w:rFonts w:ascii="Garamond" w:hAnsi="Garamond"/>
                <w:lang w:val="en-AU"/>
              </w:rPr>
              <w:t>during Covid-19 between professional groups and compared to baseline</w:t>
            </w:r>
            <w:r w:rsidR="0069263E">
              <w:rPr>
                <w:rFonts w:ascii="Garamond" w:hAnsi="Garamond"/>
                <w:lang w:val="en-AU"/>
              </w:rPr>
              <w:t>’</w:t>
            </w:r>
            <w:r w:rsidR="0069263E" w:rsidRPr="0069263E">
              <w:rPr>
                <w:rFonts w:ascii="Garamond" w:hAnsi="Garamond"/>
                <w:lang w:val="en-AU"/>
              </w:rPr>
              <w:t xml:space="preserve">. </w:t>
            </w:r>
            <w:r w:rsidR="0069263E">
              <w:rPr>
                <w:rFonts w:ascii="Garamond" w:hAnsi="Garamond"/>
                <w:lang w:val="en-AU"/>
              </w:rPr>
              <w:t xml:space="preserve">Provision of training and support for redeployment in the pandemic were associated with higher SAQ scores. </w:t>
            </w:r>
            <w:r w:rsidR="0069263E" w:rsidRPr="0069263E">
              <w:rPr>
                <w:rFonts w:ascii="Garamond" w:hAnsi="Garamond"/>
                <w:lang w:val="en-AU"/>
              </w:rPr>
              <w:t>Reductions in incident reporting were seen</w:t>
            </w:r>
            <w:r w:rsidR="0069263E">
              <w:rPr>
                <w:rFonts w:ascii="Garamond" w:hAnsi="Garamond"/>
                <w:lang w:val="en-AU"/>
              </w:rPr>
              <w:t xml:space="preserve"> in the pandemic</w:t>
            </w:r>
            <w:r w:rsidR="0069263E" w:rsidRPr="0069263E">
              <w:rPr>
                <w:rFonts w:ascii="Garamond" w:hAnsi="Garamond"/>
                <w:lang w:val="en-AU"/>
              </w:rPr>
              <w:t>. The</w:t>
            </w:r>
            <w:r w:rsidR="0069263E">
              <w:rPr>
                <w:rFonts w:ascii="Garamond" w:hAnsi="Garamond"/>
                <w:lang w:val="en-AU"/>
              </w:rPr>
              <w:t xml:space="preserve"> authors suggest that ‘</w:t>
            </w:r>
            <w:r w:rsidR="0069263E" w:rsidRPr="0069263E">
              <w:rPr>
                <w:rFonts w:ascii="Garamond" w:hAnsi="Garamond"/>
                <w:lang w:val="en-AU"/>
              </w:rPr>
              <w:t>changes may reflect perception of risk, changes in volume or nature of work</w:t>
            </w:r>
            <w:r w:rsidR="0069263E">
              <w:rPr>
                <w:rFonts w:ascii="Garamond" w:hAnsi="Garamond"/>
                <w:lang w:val="en-AU"/>
              </w:rPr>
              <w:t>’</w:t>
            </w:r>
            <w:r w:rsidR="0069263E" w:rsidRPr="0069263E">
              <w:rPr>
                <w:rFonts w:ascii="Garamond" w:hAnsi="Garamond"/>
                <w:lang w:val="en-AU"/>
              </w:rPr>
              <w:t>.</w:t>
            </w:r>
          </w:p>
        </w:tc>
      </w:tr>
    </w:tbl>
    <w:p w:rsidR="00837165" w:rsidRDefault="00837165" w:rsidP="00837165">
      <w:pPr>
        <w:rPr>
          <w:rFonts w:ascii="Garamond" w:hAnsi="Garamond"/>
          <w:lang w:val="en-AU"/>
        </w:rPr>
      </w:pPr>
    </w:p>
    <w:p w:rsidR="00872A09" w:rsidRPr="0046604A" w:rsidRDefault="0046604A" w:rsidP="00872A09">
      <w:pPr>
        <w:keepNext/>
        <w:keepLines/>
        <w:autoSpaceDE w:val="0"/>
        <w:autoSpaceDN w:val="0"/>
        <w:adjustRightInd w:val="0"/>
        <w:rPr>
          <w:rFonts w:ascii="Garamond" w:hAnsi="Garamond"/>
          <w:i/>
          <w:lang w:val="en-AU"/>
        </w:rPr>
      </w:pPr>
      <w:r w:rsidRPr="0046604A">
        <w:rPr>
          <w:rFonts w:ascii="Garamond" w:hAnsi="Garamond"/>
          <w:i/>
          <w:lang w:val="en-AU"/>
        </w:rPr>
        <w:lastRenderedPageBreak/>
        <w:t>Working together in Aboriginal health: a framework to guide health professional practice</w:t>
      </w:r>
    </w:p>
    <w:p w:rsidR="00E0781E" w:rsidRDefault="00286D37" w:rsidP="00872A09">
      <w:pPr>
        <w:keepNext/>
        <w:keepLines/>
        <w:autoSpaceDE w:val="0"/>
        <w:autoSpaceDN w:val="0"/>
        <w:adjustRightInd w:val="0"/>
        <w:rPr>
          <w:rFonts w:ascii="Garamond" w:hAnsi="Garamond"/>
          <w:lang w:val="en-AU"/>
        </w:rPr>
      </w:pPr>
      <w:r w:rsidRPr="00286D37">
        <w:rPr>
          <w:rFonts w:ascii="Garamond" w:hAnsi="Garamond"/>
          <w:lang w:val="en-AU"/>
        </w:rPr>
        <w:t>Wilson AM, Kelly J, Jones M, O’Donnell K, Wilson S, Tonkin E, et al</w:t>
      </w:r>
    </w:p>
    <w:p w:rsidR="0046604A" w:rsidRDefault="00286D37" w:rsidP="00872A09">
      <w:pPr>
        <w:keepNext/>
        <w:keepLines/>
        <w:autoSpaceDE w:val="0"/>
        <w:autoSpaceDN w:val="0"/>
        <w:adjustRightInd w:val="0"/>
        <w:rPr>
          <w:rFonts w:ascii="Garamond" w:hAnsi="Garamond"/>
          <w:lang w:val="en-AU"/>
        </w:rPr>
      </w:pPr>
      <w:r w:rsidRPr="00286D37">
        <w:rPr>
          <w:rFonts w:ascii="Garamond" w:hAnsi="Garamond"/>
          <w:lang w:val="en-AU"/>
        </w:rPr>
        <w:t>BMC Health Services Research. 2020;20(1):601.</w:t>
      </w:r>
    </w:p>
    <w:tbl>
      <w:tblPr>
        <w:tblStyle w:val="TableGrid"/>
        <w:tblW w:w="9360" w:type="dxa"/>
        <w:tblInd w:w="288" w:type="dxa"/>
        <w:tblLayout w:type="fixed"/>
        <w:tblLook w:val="01E0" w:firstRow="1" w:lastRow="1" w:firstColumn="1" w:lastColumn="1" w:noHBand="0" w:noVBand="0"/>
      </w:tblPr>
      <w:tblGrid>
        <w:gridCol w:w="1080"/>
        <w:gridCol w:w="8280"/>
      </w:tblGrid>
      <w:tr w:rsidR="00872A09" w:rsidRPr="000170DA" w:rsidTr="00746098">
        <w:tc>
          <w:tcPr>
            <w:tcW w:w="1080" w:type="dxa"/>
            <w:tcBorders>
              <w:top w:val="single" w:sz="4" w:space="0" w:color="auto"/>
              <w:left w:val="single" w:sz="4" w:space="0" w:color="auto"/>
              <w:bottom w:val="single" w:sz="4" w:space="0" w:color="auto"/>
              <w:right w:val="single" w:sz="4" w:space="0" w:color="auto"/>
            </w:tcBorders>
            <w:vAlign w:val="center"/>
          </w:tcPr>
          <w:p w:rsidR="00872A09" w:rsidRPr="000170DA" w:rsidRDefault="00872A09" w:rsidP="0074609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72A09" w:rsidRPr="000170DA" w:rsidRDefault="00043624" w:rsidP="00746098">
            <w:pPr>
              <w:keepNext/>
              <w:rPr>
                <w:rStyle w:val="Hyperlink"/>
                <w:rFonts w:ascii="Garamond" w:hAnsi="Garamond"/>
                <w:color w:val="auto"/>
                <w:u w:val="none"/>
                <w:lang w:val="en-AU"/>
              </w:rPr>
            </w:pPr>
            <w:hyperlink r:id="rId47" w:history="1">
              <w:r w:rsidR="0046604A" w:rsidRPr="00C7698E">
                <w:rPr>
                  <w:rStyle w:val="Hyperlink"/>
                  <w:rFonts w:ascii="Garamond" w:hAnsi="Garamond"/>
                  <w:lang w:val="en-AU"/>
                </w:rPr>
                <w:t>https://doi.org/10.1186/s12913-020-05462-5</w:t>
              </w:r>
            </w:hyperlink>
          </w:p>
        </w:tc>
      </w:tr>
      <w:tr w:rsidR="00872A09" w:rsidRPr="000170DA" w:rsidTr="00746098">
        <w:tc>
          <w:tcPr>
            <w:tcW w:w="1080" w:type="dxa"/>
            <w:tcBorders>
              <w:top w:val="single" w:sz="4" w:space="0" w:color="auto"/>
              <w:left w:val="single" w:sz="4" w:space="0" w:color="auto"/>
              <w:bottom w:val="single" w:sz="4" w:space="0" w:color="auto"/>
              <w:right w:val="single" w:sz="4" w:space="0" w:color="auto"/>
            </w:tcBorders>
            <w:vAlign w:val="center"/>
          </w:tcPr>
          <w:p w:rsidR="00872A09" w:rsidRPr="000170DA" w:rsidRDefault="00872A09" w:rsidP="0074609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7165" w:rsidRDefault="00E95D22" w:rsidP="00E95D22">
            <w:pPr>
              <w:rPr>
                <w:rFonts w:ascii="Garamond" w:hAnsi="Garamond"/>
                <w:lang w:val="en-AU"/>
              </w:rPr>
            </w:pPr>
            <w:r>
              <w:rPr>
                <w:rFonts w:ascii="Garamond" w:hAnsi="Garamond"/>
                <w:lang w:val="en-AU"/>
              </w:rPr>
              <w:t xml:space="preserve">Using interviews with 44 </w:t>
            </w:r>
            <w:r w:rsidRPr="00E95D22">
              <w:rPr>
                <w:rFonts w:ascii="Garamond" w:hAnsi="Garamond"/>
                <w:lang w:val="en-AU"/>
              </w:rPr>
              <w:t>allied health professionals and Aboriginal health workers</w:t>
            </w:r>
            <w:r>
              <w:rPr>
                <w:rFonts w:ascii="Garamond" w:hAnsi="Garamond"/>
                <w:lang w:val="en-AU"/>
              </w:rPr>
              <w:t xml:space="preserve">, along with the lived experience of working with Aboriginal communities the authors of this piece have developed </w:t>
            </w:r>
            <w:r w:rsidRPr="00E95D22">
              <w:rPr>
                <w:rFonts w:ascii="Garamond" w:hAnsi="Garamond"/>
                <w:lang w:val="en-AU"/>
              </w:rPr>
              <w:t>a framework to guide health professional practice in Aboriginal and Torres Strait Islander health</w:t>
            </w:r>
            <w:r>
              <w:rPr>
                <w:rFonts w:ascii="Garamond" w:hAnsi="Garamond"/>
                <w:lang w:val="en-AU"/>
              </w:rPr>
              <w:t>.</w:t>
            </w:r>
            <w:r w:rsidR="00837165">
              <w:rPr>
                <w:rFonts w:ascii="Garamond" w:hAnsi="Garamond"/>
                <w:lang w:val="en-AU"/>
              </w:rPr>
              <w:t xml:space="preserve"> The paper ‘</w:t>
            </w:r>
            <w:r w:rsidR="00837165" w:rsidRPr="00837165">
              <w:rPr>
                <w:rFonts w:ascii="Garamond" w:hAnsi="Garamond"/>
                <w:lang w:val="en-AU"/>
              </w:rPr>
              <w:t xml:space="preserve">describes </w:t>
            </w:r>
            <w:r w:rsidR="00837165" w:rsidRPr="00837165">
              <w:rPr>
                <w:rFonts w:ascii="Garamond" w:hAnsi="Garamond"/>
                <w:i/>
                <w:lang w:val="en-AU"/>
              </w:rPr>
              <w:t>how</w:t>
            </w:r>
            <w:r w:rsidR="00837165" w:rsidRPr="00837165">
              <w:rPr>
                <w:rFonts w:ascii="Garamond" w:hAnsi="Garamond"/>
                <w:lang w:val="en-AU"/>
              </w:rPr>
              <w:t xml:space="preserve"> Aboriginal Health Workers and allied health professionals implemented key strategies in their practice</w:t>
            </w:r>
            <w:r w:rsidR="00837165">
              <w:rPr>
                <w:rFonts w:ascii="Garamond" w:hAnsi="Garamond"/>
                <w:lang w:val="en-AU"/>
              </w:rPr>
              <w:t>’</w:t>
            </w:r>
            <w:r w:rsidR="00837165" w:rsidRPr="00837165">
              <w:rPr>
                <w:rFonts w:ascii="Garamond" w:hAnsi="Garamond"/>
                <w:lang w:val="en-AU"/>
              </w:rPr>
              <w:t xml:space="preserve">. </w:t>
            </w:r>
            <w:r w:rsidR="00837165">
              <w:rPr>
                <w:rFonts w:ascii="Garamond" w:hAnsi="Garamond"/>
                <w:lang w:val="en-AU"/>
              </w:rPr>
              <w:t>The authors hope that ‘</w:t>
            </w:r>
            <w:r w:rsidR="00837165" w:rsidRPr="00837165">
              <w:rPr>
                <w:rFonts w:ascii="Garamond" w:hAnsi="Garamond"/>
                <w:lang w:val="en-AU"/>
              </w:rPr>
              <w:t xml:space="preserve">Health professionals will benefit from embracing these strategies when working in Aboriginal health to maximise working respectfully with Aboriginal people. It highlights that through commitment to the strategies identified in this paper Aboriginal and non-Aboriginal people can practice </w:t>
            </w:r>
            <w:r w:rsidR="00837165" w:rsidRPr="00837165">
              <w:rPr>
                <w:rFonts w:ascii="Garamond" w:hAnsi="Garamond"/>
                <w:i/>
                <w:lang w:val="en-AU"/>
              </w:rPr>
              <w:t>respectfully</w:t>
            </w:r>
            <w:r w:rsidR="00837165" w:rsidRPr="00837165">
              <w:rPr>
                <w:rFonts w:ascii="Garamond" w:hAnsi="Garamond"/>
                <w:lang w:val="en-AU"/>
              </w:rPr>
              <w:t xml:space="preserve"> in Aboriginal health.</w:t>
            </w:r>
            <w:r w:rsidR="00837165">
              <w:rPr>
                <w:rFonts w:ascii="Garamond" w:hAnsi="Garamond"/>
                <w:lang w:val="en-AU"/>
              </w:rPr>
              <w:t>’</w:t>
            </w:r>
          </w:p>
          <w:p w:rsidR="00837165" w:rsidRDefault="00837165" w:rsidP="00E95D22">
            <w:pPr>
              <w:rPr>
                <w:rFonts w:ascii="Garamond" w:hAnsi="Garamond"/>
                <w:lang w:val="en-AU"/>
              </w:rPr>
            </w:pPr>
          </w:p>
          <w:p w:rsidR="00E95D22" w:rsidRDefault="00E95D22" w:rsidP="00837165">
            <w:pPr>
              <w:jc w:val="center"/>
              <w:rPr>
                <w:rFonts w:ascii="Garamond" w:hAnsi="Garamond"/>
                <w:lang w:val="en-AU"/>
              </w:rPr>
            </w:pPr>
            <w:r>
              <w:rPr>
                <w:rFonts w:ascii="Garamond" w:hAnsi="Garamond"/>
                <w:noProof/>
                <w:lang w:val="en-AU" w:eastAsia="en-AU"/>
              </w:rPr>
              <w:drawing>
                <wp:inline distT="0" distB="0" distL="0" distR="0">
                  <wp:extent cx="4711127" cy="5711715"/>
                  <wp:effectExtent l="0" t="0" r="0" b="3810"/>
                  <wp:docPr id="8" name="Picture 8" title="Framework of Strategies to guide practice in Aboriginal health">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Pictures\Wilson Fig 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20124" cy="5722623"/>
                          </a:xfrm>
                          <a:prstGeom prst="rect">
                            <a:avLst/>
                          </a:prstGeom>
                          <a:noFill/>
                          <a:ln>
                            <a:noFill/>
                          </a:ln>
                        </pic:spPr>
                      </pic:pic>
                    </a:graphicData>
                  </a:graphic>
                </wp:inline>
              </w:drawing>
            </w:r>
          </w:p>
          <w:p w:rsidR="00837165" w:rsidRPr="009A7AA8" w:rsidRDefault="00837165" w:rsidP="00837165">
            <w:pPr>
              <w:jc w:val="center"/>
              <w:rPr>
                <w:rFonts w:ascii="Garamond" w:hAnsi="Garamond"/>
                <w:lang w:val="en-AU"/>
              </w:rPr>
            </w:pPr>
          </w:p>
        </w:tc>
      </w:tr>
    </w:tbl>
    <w:p w:rsidR="00872A09" w:rsidRDefault="00872A09" w:rsidP="00872A09">
      <w:pPr>
        <w:rPr>
          <w:rFonts w:ascii="Garamond" w:hAnsi="Garamond"/>
          <w:lang w:val="en-AU"/>
        </w:rPr>
      </w:pPr>
    </w:p>
    <w:p w:rsidR="00BB3BE3" w:rsidRPr="00467B47" w:rsidRDefault="00BB3BE3" w:rsidP="009A2546">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043624" w:rsidP="00DC09BF">
            <w:pPr>
              <w:keepNext/>
              <w:rPr>
                <w:rFonts w:ascii="Garamond" w:hAnsi="Garamond"/>
                <w:lang w:val="en-AU"/>
              </w:rPr>
            </w:pPr>
            <w:hyperlink r:id="rId49"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74420D" w:rsidRPr="00543B3B" w:rsidRDefault="00384A65" w:rsidP="00384A65">
            <w:pPr>
              <w:pStyle w:val="ListParagraph"/>
              <w:numPr>
                <w:ilvl w:val="0"/>
                <w:numId w:val="14"/>
              </w:numPr>
              <w:rPr>
                <w:rFonts w:ascii="Garamond" w:hAnsi="Garamond"/>
                <w:lang w:val="en-AU"/>
              </w:rPr>
            </w:pPr>
            <w:r w:rsidRPr="00384A65">
              <w:rPr>
                <w:rFonts w:ascii="Garamond" w:hAnsi="Garamond"/>
                <w:lang w:val="en-AU"/>
              </w:rPr>
              <w:t xml:space="preserve">The cost of improving care: a multisite economic analysis of hospital resource use for implementing </w:t>
            </w:r>
            <w:r w:rsidRPr="00384A65">
              <w:rPr>
                <w:rFonts w:ascii="Garamond" w:hAnsi="Garamond"/>
                <w:b/>
                <w:lang w:val="en-AU"/>
              </w:rPr>
              <w:t>recommended postpartum contraception programmes</w:t>
            </w:r>
            <w:r>
              <w:rPr>
                <w:rFonts w:ascii="Garamond" w:hAnsi="Garamond"/>
                <w:lang w:val="en-AU"/>
              </w:rPr>
              <w:t xml:space="preserve"> (</w:t>
            </w:r>
            <w:r w:rsidRPr="00384A65">
              <w:rPr>
                <w:rFonts w:ascii="Garamond" w:hAnsi="Garamond"/>
                <w:lang w:val="en-AU"/>
              </w:rPr>
              <w:t>Vivian B Ling, Erika E Levi, Amy R Harrington, Nikki B Zite, Saul D Rivas, Vanessa K Dalton, Roger Smith, Michelle H Moniz</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043624" w:rsidP="002C5882">
            <w:pPr>
              <w:keepNext/>
              <w:rPr>
                <w:rFonts w:ascii="Garamond" w:hAnsi="Garamond"/>
                <w:lang w:val="en-AU"/>
              </w:rPr>
            </w:pPr>
            <w:hyperlink r:id="rId50" w:history="1">
              <w:r w:rsidR="00977E92" w:rsidRPr="00D31E10">
                <w:rPr>
                  <w:rStyle w:val="Hyperlink"/>
                  <w:rFonts w:ascii="Garamond" w:hAnsi="Garamond"/>
                  <w:lang w:val="en-AU"/>
                </w:rPr>
                <w:t>https://academic.oup.com/intqhc/advance-articles</w:t>
              </w:r>
            </w:hyperlink>
          </w:p>
        </w:tc>
      </w:tr>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72A09" w:rsidRPr="00872A09" w:rsidRDefault="00872A09" w:rsidP="00872A09">
            <w:pPr>
              <w:pStyle w:val="ListParagraph"/>
              <w:numPr>
                <w:ilvl w:val="0"/>
                <w:numId w:val="14"/>
              </w:numPr>
              <w:jc w:val="both"/>
              <w:rPr>
                <w:rFonts w:ascii="Garamond" w:hAnsi="Garamond"/>
                <w:lang w:val="en-AU"/>
              </w:rPr>
            </w:pPr>
            <w:r w:rsidRPr="00872A09">
              <w:rPr>
                <w:rFonts w:ascii="Garamond" w:hAnsi="Garamond"/>
                <w:lang w:val="en-AU"/>
              </w:rPr>
              <w:t xml:space="preserve">Case study: International </w:t>
            </w:r>
            <w:r w:rsidRPr="00872A09">
              <w:rPr>
                <w:rFonts w:ascii="Garamond" w:hAnsi="Garamond"/>
                <w:b/>
                <w:lang w:val="en-AU"/>
              </w:rPr>
              <w:t>Healthcare Service Quality</w:t>
            </w:r>
            <w:r w:rsidRPr="00872A09">
              <w:rPr>
                <w:rFonts w:ascii="Garamond" w:hAnsi="Garamond"/>
                <w:lang w:val="en-AU"/>
              </w:rPr>
              <w:t xml:space="preserve"> - Building a Model for </w:t>
            </w:r>
            <w:r w:rsidRPr="00872A09">
              <w:rPr>
                <w:rFonts w:ascii="Garamond" w:hAnsi="Garamond"/>
                <w:b/>
                <w:lang w:val="en-AU"/>
              </w:rPr>
              <w:t>Cultivating Cultural Sensitivity</w:t>
            </w:r>
            <w:r w:rsidRPr="00872A09">
              <w:rPr>
                <w:rFonts w:ascii="Garamond" w:hAnsi="Garamond"/>
                <w:lang w:val="en-AU"/>
              </w:rPr>
              <w:t xml:space="preserve"> (Ya-Ting Yang, Yi-Hsin Elsa Hsu, Kung-Pei Tang, Chr</w:t>
            </w:r>
            <w:r>
              <w:rPr>
                <w:rFonts w:ascii="Garamond" w:hAnsi="Garamond"/>
                <w:lang w:val="en-AU"/>
              </w:rPr>
              <w:t xml:space="preserve">istine Wang, Stephen Timmons, </w:t>
            </w:r>
            <w:r w:rsidRPr="00872A09">
              <w:rPr>
                <w:rFonts w:ascii="Garamond" w:hAnsi="Garamond"/>
                <w:lang w:val="en-AU"/>
              </w:rPr>
              <w:t>Wen-Ta Chiu, Saileela Annavajjula, Jan-Show Chu</w:t>
            </w:r>
            <w:r>
              <w:rPr>
                <w:rFonts w:ascii="Garamond" w:hAnsi="Garamond"/>
                <w:lang w:val="en-AU"/>
              </w:rPr>
              <w:t>)</w:t>
            </w:r>
          </w:p>
          <w:p w:rsidR="001A360E" w:rsidRDefault="00872A09" w:rsidP="00872A09">
            <w:pPr>
              <w:pStyle w:val="ListParagraph"/>
              <w:numPr>
                <w:ilvl w:val="0"/>
                <w:numId w:val="14"/>
              </w:numPr>
              <w:jc w:val="both"/>
              <w:rPr>
                <w:rFonts w:ascii="Garamond" w:hAnsi="Garamond"/>
                <w:lang w:val="en-AU"/>
              </w:rPr>
            </w:pPr>
            <w:r w:rsidRPr="00872A09">
              <w:rPr>
                <w:rFonts w:ascii="Garamond" w:hAnsi="Garamond"/>
                <w:lang w:val="en-AU"/>
              </w:rPr>
              <w:t xml:space="preserve">Expanding frontiers of risk management: </w:t>
            </w:r>
            <w:r w:rsidRPr="00872A09">
              <w:rPr>
                <w:rFonts w:ascii="Garamond" w:hAnsi="Garamond"/>
                <w:b/>
                <w:lang w:val="en-AU"/>
              </w:rPr>
              <w:t>care safety in nursing home during COVID-19 pandemic</w:t>
            </w:r>
            <w:r w:rsidRPr="00872A09">
              <w:rPr>
                <w:rFonts w:ascii="Garamond" w:hAnsi="Garamond"/>
                <w:lang w:val="en-AU"/>
              </w:rPr>
              <w:t xml:space="preserve"> </w:t>
            </w:r>
            <w:r>
              <w:rPr>
                <w:rFonts w:ascii="Garamond" w:hAnsi="Garamond"/>
                <w:lang w:val="en-AU"/>
              </w:rPr>
              <w:t>(</w:t>
            </w:r>
            <w:r w:rsidRPr="00872A09">
              <w:rPr>
                <w:rFonts w:ascii="Garamond" w:hAnsi="Garamond"/>
                <w:lang w:val="en-AU"/>
              </w:rPr>
              <w:t>Matteo Scopetti, Alessandro Santurro, Riccardo Tartaglia, Paola Frati, Vittorio Fineschi</w:t>
            </w:r>
            <w:r>
              <w:rPr>
                <w:rFonts w:ascii="Garamond" w:hAnsi="Garamond"/>
                <w:lang w:val="en-AU"/>
              </w:rPr>
              <w:t>)</w:t>
            </w:r>
          </w:p>
          <w:p w:rsidR="00384A65" w:rsidRPr="00721A1B" w:rsidRDefault="00384A65" w:rsidP="00384A65">
            <w:pPr>
              <w:pStyle w:val="ListParagraph"/>
              <w:numPr>
                <w:ilvl w:val="0"/>
                <w:numId w:val="14"/>
              </w:numPr>
              <w:jc w:val="both"/>
              <w:rPr>
                <w:rFonts w:ascii="Garamond" w:hAnsi="Garamond"/>
                <w:lang w:val="en-AU"/>
              </w:rPr>
            </w:pPr>
            <w:r w:rsidRPr="00384A65">
              <w:rPr>
                <w:rFonts w:ascii="Garamond" w:hAnsi="Garamond"/>
                <w:lang w:val="en-AU"/>
              </w:rPr>
              <w:t xml:space="preserve">The Effects of </w:t>
            </w:r>
            <w:r w:rsidRPr="00384A65">
              <w:rPr>
                <w:rFonts w:ascii="Garamond" w:hAnsi="Garamond"/>
                <w:b/>
                <w:lang w:val="en-AU"/>
              </w:rPr>
              <w:t xml:space="preserve">Acupressure on Post-Cesarean Pain </w:t>
            </w:r>
            <w:r w:rsidRPr="00384A65">
              <w:rPr>
                <w:rFonts w:ascii="Garamond" w:hAnsi="Garamond"/>
                <w:lang w:val="en-AU"/>
              </w:rPr>
              <w:t>and Analgesic Consumption:</w:t>
            </w:r>
            <w:r>
              <w:rPr>
                <w:rFonts w:ascii="Garamond" w:hAnsi="Garamond"/>
                <w:lang w:val="en-AU"/>
              </w:rPr>
              <w:t xml:space="preserve"> </w:t>
            </w:r>
            <w:r w:rsidRPr="00384A65">
              <w:rPr>
                <w:rFonts w:ascii="Garamond" w:hAnsi="Garamond"/>
                <w:lang w:val="en-AU"/>
              </w:rPr>
              <w:t>A Randomized Single-Blinded Placebo-Controlled Study</w:t>
            </w:r>
            <w:r>
              <w:rPr>
                <w:rFonts w:ascii="Garamond" w:hAnsi="Garamond"/>
                <w:lang w:val="en-AU"/>
              </w:rPr>
              <w:t xml:space="preserve"> (</w:t>
            </w:r>
            <w:r w:rsidRPr="00384A65">
              <w:rPr>
                <w:rFonts w:ascii="Garamond" w:hAnsi="Garamond"/>
                <w:lang w:val="en-AU"/>
              </w:rPr>
              <w:t>Mehtap A</w:t>
            </w:r>
            <w:r>
              <w:rPr>
                <w:rFonts w:ascii="Garamond" w:hAnsi="Garamond"/>
                <w:lang w:val="en-AU"/>
              </w:rPr>
              <w:t>kgün</w:t>
            </w:r>
            <w:r w:rsidRPr="00384A65">
              <w:rPr>
                <w:rFonts w:ascii="Garamond" w:hAnsi="Garamond"/>
                <w:lang w:val="en-AU"/>
              </w:rPr>
              <w:t>, İlkay B</w:t>
            </w:r>
            <w:r>
              <w:rPr>
                <w:rFonts w:ascii="Garamond" w:hAnsi="Garamond"/>
                <w:lang w:val="en-AU"/>
              </w:rPr>
              <w:t>oz)</w:t>
            </w:r>
          </w:p>
        </w:tc>
      </w:tr>
    </w:tbl>
    <w:p w:rsidR="00603C16" w:rsidRDefault="00603C16" w:rsidP="00977E92">
      <w:pPr>
        <w:rPr>
          <w:rFonts w:ascii="Garamond" w:hAnsi="Garamond"/>
          <w:b/>
          <w:lang w:val="en-AU"/>
        </w:rPr>
      </w:pPr>
    </w:p>
    <w:p w:rsidR="00B24501" w:rsidRDefault="00B24501" w:rsidP="00977E92">
      <w:pPr>
        <w:rPr>
          <w:rFonts w:ascii="Garamond" w:hAnsi="Garamond"/>
          <w:b/>
          <w:lang w:val="en-AU"/>
        </w:rPr>
      </w:pPr>
    </w:p>
    <w:p w:rsidR="00B24501" w:rsidRDefault="00B24501"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043624" w:rsidP="00310503">
      <w:pPr>
        <w:keepNext/>
        <w:keepLines/>
        <w:rPr>
          <w:rFonts w:ascii="Garamond" w:hAnsi="Garamond"/>
          <w:lang w:val="en-AU"/>
        </w:rPr>
      </w:pPr>
      <w:hyperlink r:id="rId51"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043624" w:rsidP="00603C16">
      <w:pPr>
        <w:keepNext/>
        <w:keepLines/>
        <w:rPr>
          <w:rFonts w:ascii="Garamond" w:hAnsi="Garamond"/>
          <w:lang w:val="en-AU"/>
        </w:rPr>
      </w:pPr>
      <w:hyperlink r:id="rId52" w:history="1">
        <w:r w:rsidR="00603C16" w:rsidRPr="00E11CC6">
          <w:rPr>
            <w:rStyle w:val="Hyperlink"/>
            <w:rFonts w:ascii="Garamond" w:hAnsi="Garamond"/>
            <w:lang w:val="en-AU"/>
          </w:rPr>
          <w:t>https://www.aci.health.nsw.gov.au/covid-19/critical-intelligence-unit</w:t>
        </w:r>
      </w:hyperlink>
    </w:p>
    <w:p w:rsidR="00BD1F6E" w:rsidRDefault="00603C16" w:rsidP="00BD1F6E">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Pr>
          <w:rFonts w:ascii="Garamond" w:hAnsi="Garamond"/>
          <w:lang w:val="en-AU"/>
        </w:rPr>
        <w:t xml:space="preserve"> </w:t>
      </w:r>
      <w:r w:rsidR="00BD1F6E">
        <w:rPr>
          <w:rFonts w:ascii="Garamond" w:hAnsi="Garamond"/>
          <w:lang w:val="en-AU"/>
        </w:rPr>
        <w:t>Recent evidence checks date include:</w:t>
      </w:r>
    </w:p>
    <w:p w:rsidR="00872A09" w:rsidRDefault="00872A09" w:rsidP="00872A09">
      <w:pPr>
        <w:pStyle w:val="ListParagraph"/>
        <w:keepNext/>
        <w:keepLines/>
        <w:numPr>
          <w:ilvl w:val="0"/>
          <w:numId w:val="25"/>
        </w:numPr>
        <w:rPr>
          <w:rFonts w:ascii="Garamond" w:hAnsi="Garamond"/>
          <w:b/>
          <w:i/>
          <w:lang w:val="en-AU"/>
        </w:rPr>
      </w:pPr>
      <w:r w:rsidRPr="00872A09">
        <w:rPr>
          <w:rFonts w:ascii="Garamond" w:hAnsi="Garamond"/>
          <w:b/>
          <w:i/>
          <w:lang w:val="en-AU"/>
        </w:rPr>
        <w:t>Resuming elective surgery – Volume-outcome relationships in surgery</w:t>
      </w:r>
      <w:r w:rsidR="00787FCF">
        <w:rPr>
          <w:rFonts w:ascii="Garamond" w:hAnsi="Garamond"/>
          <w:b/>
          <w:i/>
          <w:lang w:val="en-AU"/>
        </w:rPr>
        <w:t>.</w:t>
      </w:r>
    </w:p>
    <w:p w:rsidR="009A7AA8" w:rsidRDefault="009A7AA8" w:rsidP="00510D89">
      <w:pPr>
        <w:keepLines/>
        <w:rPr>
          <w:rFonts w:ascii="Garamond" w:hAnsi="Garamond"/>
          <w:i/>
          <w:lang w:val="en-AU"/>
        </w:rPr>
      </w:pPr>
    </w:p>
    <w:p w:rsidR="0045296E" w:rsidRPr="000170DA" w:rsidRDefault="0045296E" w:rsidP="0045296E">
      <w:pPr>
        <w:keepNext/>
        <w:keepLines/>
        <w:rPr>
          <w:rFonts w:ascii="Garamond" w:hAnsi="Garamond"/>
          <w:i/>
          <w:lang w:val="en-AU"/>
        </w:rPr>
      </w:pPr>
      <w:r>
        <w:rPr>
          <w:rFonts w:ascii="Garamond" w:hAnsi="Garamond"/>
          <w:i/>
          <w:lang w:val="en-AU"/>
        </w:rPr>
        <w:lastRenderedPageBreak/>
        <w:t>[</w:t>
      </w:r>
      <w:r w:rsidRPr="000170DA">
        <w:rPr>
          <w:rFonts w:ascii="Garamond" w:hAnsi="Garamond"/>
          <w:i/>
          <w:lang w:val="en-AU"/>
        </w:rPr>
        <w:t>UK] NICE Guidelines and Quality Standards</w:t>
      </w:r>
    </w:p>
    <w:p w:rsidR="0045296E" w:rsidRDefault="00043624" w:rsidP="0045296E">
      <w:pPr>
        <w:keepNext/>
        <w:keepLines/>
        <w:rPr>
          <w:rFonts w:ascii="Garamond" w:hAnsi="Garamond"/>
          <w:u w:val="single"/>
          <w:lang w:val="en-AU"/>
        </w:rPr>
      </w:pPr>
      <w:hyperlink r:id="rId53" w:history="1">
        <w:r w:rsidR="0045296E" w:rsidRPr="00131E90">
          <w:rPr>
            <w:rStyle w:val="Hyperlink"/>
            <w:rFonts w:ascii="Garamond" w:hAnsi="Garamond"/>
            <w:lang w:val="en-AU"/>
          </w:rPr>
          <w:t>https://www.nice.org.uk/guidance</w:t>
        </w:r>
      </w:hyperlink>
    </w:p>
    <w:p w:rsidR="0045296E" w:rsidRPr="000170DA" w:rsidRDefault="0045296E" w:rsidP="0045296E">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872A09" w:rsidRPr="00872A09" w:rsidRDefault="00872A09" w:rsidP="00872A09">
      <w:pPr>
        <w:pStyle w:val="ListParagraph"/>
        <w:keepLines/>
        <w:numPr>
          <w:ilvl w:val="0"/>
          <w:numId w:val="18"/>
        </w:numPr>
        <w:rPr>
          <w:rFonts w:ascii="Garamond" w:hAnsi="Garamond"/>
          <w:lang w:val="en-AU"/>
        </w:rPr>
      </w:pPr>
      <w:r w:rsidRPr="00872A09">
        <w:rPr>
          <w:rFonts w:ascii="Garamond" w:hAnsi="Garamond"/>
          <w:i/>
          <w:lang w:val="en-AU"/>
        </w:rPr>
        <w:t>Quality Standard QS196</w:t>
      </w:r>
      <w:r>
        <w:rPr>
          <w:rFonts w:ascii="Garamond" w:hAnsi="Garamond"/>
          <w:lang w:val="en-AU"/>
        </w:rPr>
        <w:t xml:space="preserve"> </w:t>
      </w:r>
      <w:r w:rsidRPr="00872A09">
        <w:rPr>
          <w:rFonts w:ascii="Garamond" w:hAnsi="Garamond"/>
          <w:b/>
          <w:i/>
          <w:lang w:val="en-AU"/>
        </w:rPr>
        <w:t>Community pharmacies</w:t>
      </w:r>
      <w:r w:rsidRPr="00872A09">
        <w:rPr>
          <w:rFonts w:ascii="Garamond" w:hAnsi="Garamond"/>
          <w:i/>
          <w:lang w:val="en-AU"/>
        </w:rPr>
        <w:t>: promoting health and wellbeing</w:t>
      </w:r>
      <w:r>
        <w:rPr>
          <w:rFonts w:ascii="Garamond" w:hAnsi="Garamond"/>
          <w:lang w:val="en-AU"/>
        </w:rPr>
        <w:t xml:space="preserve"> </w:t>
      </w:r>
      <w:hyperlink r:id="rId54" w:history="1">
        <w:r w:rsidRPr="00DD4CBB">
          <w:rPr>
            <w:rStyle w:val="Hyperlink"/>
            <w:rFonts w:ascii="Garamond" w:hAnsi="Garamond"/>
            <w:lang w:val="en-AU"/>
          </w:rPr>
          <w:t>https://www.nice.org.uk/guidance/qs196</w:t>
        </w:r>
      </w:hyperlink>
    </w:p>
    <w:p w:rsidR="00872A09" w:rsidRPr="00872A09" w:rsidRDefault="00872A09" w:rsidP="00872A09">
      <w:pPr>
        <w:pStyle w:val="ListParagraph"/>
        <w:keepLines/>
        <w:numPr>
          <w:ilvl w:val="0"/>
          <w:numId w:val="18"/>
        </w:numPr>
        <w:rPr>
          <w:rFonts w:ascii="Garamond" w:hAnsi="Garamond"/>
          <w:lang w:val="en-AU"/>
        </w:rPr>
      </w:pPr>
      <w:r w:rsidRPr="00872A09">
        <w:rPr>
          <w:rFonts w:ascii="Garamond" w:hAnsi="Garamond"/>
          <w:i/>
          <w:lang w:val="en-AU"/>
        </w:rPr>
        <w:t xml:space="preserve">Quality Standard QS197 </w:t>
      </w:r>
      <w:r w:rsidRPr="00872A09">
        <w:rPr>
          <w:rFonts w:ascii="Garamond" w:hAnsi="Garamond"/>
          <w:b/>
          <w:i/>
          <w:lang w:val="en-AU"/>
        </w:rPr>
        <w:t>Faltering growth</w:t>
      </w:r>
      <w:r>
        <w:rPr>
          <w:rFonts w:ascii="Garamond" w:hAnsi="Garamond"/>
          <w:lang w:val="en-AU"/>
        </w:rPr>
        <w:t xml:space="preserve"> </w:t>
      </w:r>
      <w:hyperlink r:id="rId55" w:history="1">
        <w:r w:rsidRPr="00DD4CBB">
          <w:rPr>
            <w:rStyle w:val="Hyperlink"/>
            <w:rFonts w:ascii="Garamond" w:hAnsi="Garamond"/>
            <w:lang w:val="en-AU"/>
          </w:rPr>
          <w:t>https://www.nice.org.uk/guidance/qs197</w:t>
        </w:r>
      </w:hyperlink>
    </w:p>
    <w:p w:rsidR="00872A09" w:rsidRPr="00872A09" w:rsidRDefault="00A76D6E" w:rsidP="00A76D6E">
      <w:pPr>
        <w:pStyle w:val="ListParagraph"/>
        <w:keepLines/>
        <w:numPr>
          <w:ilvl w:val="0"/>
          <w:numId w:val="18"/>
        </w:numPr>
        <w:rPr>
          <w:rFonts w:ascii="Garamond" w:hAnsi="Garamond"/>
          <w:lang w:val="en-AU"/>
        </w:rPr>
      </w:pPr>
      <w:r w:rsidRPr="00A76D6E">
        <w:rPr>
          <w:rFonts w:ascii="Garamond" w:hAnsi="Garamond"/>
          <w:i/>
          <w:lang w:val="en-AU"/>
        </w:rPr>
        <w:t xml:space="preserve">NICE Guideline NG159 </w:t>
      </w:r>
      <w:r w:rsidRPr="00A76D6E">
        <w:rPr>
          <w:rFonts w:ascii="Garamond" w:hAnsi="Garamond"/>
          <w:b/>
          <w:i/>
          <w:lang w:val="en-AU"/>
        </w:rPr>
        <w:t>COVID-19 rapid guideline</w:t>
      </w:r>
      <w:r w:rsidRPr="00A76D6E">
        <w:rPr>
          <w:rFonts w:ascii="Garamond" w:hAnsi="Garamond"/>
          <w:i/>
          <w:lang w:val="en-AU"/>
        </w:rPr>
        <w:t xml:space="preserve">: </w:t>
      </w:r>
      <w:r w:rsidRPr="00A76D6E">
        <w:rPr>
          <w:rFonts w:ascii="Garamond" w:hAnsi="Garamond"/>
          <w:b/>
          <w:i/>
          <w:lang w:val="en-AU"/>
        </w:rPr>
        <w:t>critical care</w:t>
      </w:r>
      <w:r w:rsidRPr="00A76D6E">
        <w:rPr>
          <w:rFonts w:ascii="Garamond" w:hAnsi="Garamond"/>
          <w:i/>
          <w:lang w:val="en-AU"/>
        </w:rPr>
        <w:t xml:space="preserve"> in adults</w:t>
      </w:r>
      <w:r>
        <w:rPr>
          <w:rFonts w:ascii="Garamond" w:hAnsi="Garamond"/>
          <w:lang w:val="en-AU"/>
        </w:rPr>
        <w:t xml:space="preserve"> </w:t>
      </w:r>
      <w:hyperlink r:id="rId56" w:history="1">
        <w:r w:rsidRPr="00DE46C9">
          <w:rPr>
            <w:rStyle w:val="Hyperlink"/>
            <w:rFonts w:ascii="Garamond" w:hAnsi="Garamond"/>
            <w:lang w:val="en-AU"/>
          </w:rPr>
          <w:t>https://www.nice.org.uk/guidance/ng159</w:t>
        </w:r>
      </w:hyperlink>
    </w:p>
    <w:p w:rsidR="0046604A" w:rsidRDefault="0046604A" w:rsidP="008F2898">
      <w:pPr>
        <w:keepLines/>
        <w:rPr>
          <w:rFonts w:ascii="Garamond" w:hAnsi="Garamond"/>
          <w:i/>
          <w:lang w:val="en-AU"/>
        </w:rPr>
      </w:pPr>
    </w:p>
    <w:p w:rsidR="004E30D7" w:rsidRDefault="004E30D7" w:rsidP="004E30D7">
      <w:pPr>
        <w:keepNext/>
        <w:rPr>
          <w:rFonts w:ascii="Garamond" w:hAnsi="Garamond"/>
          <w:i/>
          <w:lang w:val="en-AU"/>
        </w:rPr>
      </w:pPr>
      <w:r>
        <w:rPr>
          <w:rFonts w:ascii="Garamond" w:hAnsi="Garamond"/>
          <w:i/>
          <w:lang w:val="en-AU"/>
        </w:rPr>
        <w:t>[UK] NIHR Evidence alert</w:t>
      </w:r>
    </w:p>
    <w:p w:rsidR="004E30D7" w:rsidRDefault="004E30D7" w:rsidP="004E30D7">
      <w:pPr>
        <w:keepNext/>
        <w:rPr>
          <w:rFonts w:ascii="Garamond" w:hAnsi="Garamond"/>
          <w:lang w:val="en-AU"/>
        </w:rPr>
      </w:pPr>
      <w:hyperlink r:id="rId57" w:history="1">
        <w:r w:rsidRPr="00392AF4">
          <w:rPr>
            <w:rStyle w:val="Hyperlink"/>
            <w:rFonts w:ascii="Garamond" w:hAnsi="Garamond"/>
            <w:lang w:val="en-AU"/>
          </w:rPr>
          <w:t>https://evidence.nihr.ac.uk/</w:t>
        </w:r>
      </w:hyperlink>
    </w:p>
    <w:p w:rsidR="004E30D7" w:rsidRDefault="004E30D7" w:rsidP="004E30D7">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4E30D7" w:rsidRPr="004E30D7" w:rsidRDefault="004E30D7" w:rsidP="004E30D7">
      <w:pPr>
        <w:pStyle w:val="ListParagraph"/>
        <w:numPr>
          <w:ilvl w:val="0"/>
          <w:numId w:val="16"/>
        </w:numPr>
        <w:rPr>
          <w:rFonts w:ascii="Garamond" w:hAnsi="Garamond"/>
          <w:lang w:val="en-AU"/>
        </w:rPr>
      </w:pPr>
      <w:r w:rsidRPr="004E30D7">
        <w:rPr>
          <w:rFonts w:ascii="Garamond" w:hAnsi="Garamond"/>
          <w:lang w:val="en-AU"/>
        </w:rPr>
        <w:t xml:space="preserve">The weekly break from dialysis is harmful to patients with </w:t>
      </w:r>
      <w:r w:rsidRPr="004E30D7">
        <w:rPr>
          <w:rFonts w:ascii="Garamond" w:hAnsi="Garamond"/>
          <w:b/>
          <w:lang w:val="en-AU"/>
        </w:rPr>
        <w:t>kidney failure</w:t>
      </w:r>
    </w:p>
    <w:p w:rsidR="004E30D7" w:rsidRPr="004E30D7" w:rsidRDefault="004E30D7" w:rsidP="004E30D7">
      <w:pPr>
        <w:pStyle w:val="ListParagraph"/>
        <w:numPr>
          <w:ilvl w:val="0"/>
          <w:numId w:val="16"/>
        </w:numPr>
        <w:rPr>
          <w:rFonts w:ascii="Garamond" w:hAnsi="Garamond"/>
          <w:lang w:val="en-AU"/>
        </w:rPr>
      </w:pPr>
      <w:bookmarkStart w:id="1" w:name="_GoBack"/>
      <w:r w:rsidRPr="00043624">
        <w:rPr>
          <w:rFonts w:ascii="Garamond" w:hAnsi="Garamond"/>
          <w:b/>
          <w:lang w:val="en-AU"/>
        </w:rPr>
        <w:t>Early warning scores used in hospitals</w:t>
      </w:r>
      <w:bookmarkEnd w:id="1"/>
      <w:r w:rsidRPr="004E30D7">
        <w:rPr>
          <w:rFonts w:ascii="Garamond" w:hAnsi="Garamond"/>
          <w:lang w:val="en-AU"/>
        </w:rPr>
        <w:t xml:space="preserve"> must be based on sound science</w:t>
      </w:r>
    </w:p>
    <w:p w:rsidR="004E30D7" w:rsidRPr="004E30D7" w:rsidRDefault="004E30D7" w:rsidP="004E30D7">
      <w:pPr>
        <w:pStyle w:val="ListParagraph"/>
        <w:numPr>
          <w:ilvl w:val="0"/>
          <w:numId w:val="16"/>
        </w:numPr>
        <w:rPr>
          <w:rFonts w:ascii="Garamond" w:hAnsi="Garamond"/>
          <w:lang w:val="en-AU"/>
        </w:rPr>
      </w:pPr>
      <w:r w:rsidRPr="004E30D7">
        <w:rPr>
          <w:rFonts w:ascii="Garamond" w:hAnsi="Garamond"/>
          <w:lang w:val="en-AU"/>
        </w:rPr>
        <w:t xml:space="preserve">High rates of </w:t>
      </w:r>
      <w:r w:rsidRPr="004E30D7">
        <w:rPr>
          <w:rFonts w:ascii="Garamond" w:hAnsi="Garamond"/>
          <w:b/>
          <w:lang w:val="en-AU"/>
        </w:rPr>
        <w:t>delirium, persistent fatigue and post-traumatic stress disorder</w:t>
      </w:r>
      <w:r w:rsidRPr="004E30D7">
        <w:rPr>
          <w:rFonts w:ascii="Garamond" w:hAnsi="Garamond"/>
          <w:lang w:val="en-AU"/>
        </w:rPr>
        <w:t xml:space="preserve"> were common after severe infection in previous </w:t>
      </w:r>
      <w:r w:rsidRPr="004E30D7">
        <w:rPr>
          <w:rFonts w:ascii="Garamond" w:hAnsi="Garamond"/>
          <w:b/>
          <w:lang w:val="en-AU"/>
        </w:rPr>
        <w:t>coronavirus</w:t>
      </w:r>
      <w:r w:rsidRPr="004E30D7">
        <w:rPr>
          <w:rFonts w:ascii="Garamond" w:hAnsi="Garamond"/>
          <w:lang w:val="en-AU"/>
        </w:rPr>
        <w:t xml:space="preserve"> outbreaks</w:t>
      </w:r>
    </w:p>
    <w:p w:rsidR="004E30D7" w:rsidRPr="004E30D7" w:rsidRDefault="004E30D7" w:rsidP="004E30D7">
      <w:pPr>
        <w:pStyle w:val="ListParagraph"/>
        <w:numPr>
          <w:ilvl w:val="0"/>
          <w:numId w:val="16"/>
        </w:numPr>
        <w:rPr>
          <w:rFonts w:ascii="Garamond" w:hAnsi="Garamond"/>
          <w:lang w:val="en-AU"/>
        </w:rPr>
      </w:pPr>
      <w:r w:rsidRPr="004E30D7">
        <w:rPr>
          <w:rFonts w:ascii="Garamond" w:hAnsi="Garamond"/>
          <w:lang w:val="en-AU"/>
        </w:rPr>
        <w:t xml:space="preserve">Fluoxetine does not improve outcomes after </w:t>
      </w:r>
      <w:r w:rsidRPr="004E30D7">
        <w:rPr>
          <w:rFonts w:ascii="Garamond" w:hAnsi="Garamond"/>
          <w:b/>
          <w:lang w:val="en-AU"/>
        </w:rPr>
        <w:t>stroke</w:t>
      </w:r>
    </w:p>
    <w:p w:rsidR="004E30D7" w:rsidRPr="004E30D7" w:rsidRDefault="004E30D7" w:rsidP="004E30D7">
      <w:pPr>
        <w:pStyle w:val="ListParagraph"/>
        <w:numPr>
          <w:ilvl w:val="0"/>
          <w:numId w:val="16"/>
        </w:numPr>
        <w:rPr>
          <w:rFonts w:ascii="Garamond" w:hAnsi="Garamond"/>
          <w:lang w:val="en-AU"/>
        </w:rPr>
      </w:pPr>
      <w:r w:rsidRPr="004E30D7">
        <w:rPr>
          <w:rFonts w:ascii="Garamond" w:hAnsi="Garamond"/>
          <w:b/>
          <w:lang w:val="en-AU"/>
        </w:rPr>
        <w:t>Cycling</w:t>
      </w:r>
      <w:r w:rsidRPr="004E30D7">
        <w:rPr>
          <w:rFonts w:ascii="Garamond" w:hAnsi="Garamond"/>
          <w:lang w:val="en-AU"/>
        </w:rPr>
        <w:t xml:space="preserve"> to work lowers risk of illness and death compared to driving</w:t>
      </w:r>
    </w:p>
    <w:p w:rsidR="004E30D7" w:rsidRPr="004E30D7" w:rsidRDefault="004E30D7" w:rsidP="004E30D7">
      <w:pPr>
        <w:pStyle w:val="ListParagraph"/>
        <w:numPr>
          <w:ilvl w:val="0"/>
          <w:numId w:val="16"/>
        </w:numPr>
        <w:rPr>
          <w:rFonts w:ascii="Garamond" w:hAnsi="Garamond"/>
          <w:lang w:val="en-AU"/>
        </w:rPr>
      </w:pPr>
      <w:r w:rsidRPr="004E30D7">
        <w:rPr>
          <w:rFonts w:ascii="Garamond" w:hAnsi="Garamond"/>
          <w:lang w:val="en-AU"/>
        </w:rPr>
        <w:t xml:space="preserve">New tool for assessing the severity of </w:t>
      </w:r>
      <w:r w:rsidRPr="004E30D7">
        <w:rPr>
          <w:rFonts w:ascii="Garamond" w:hAnsi="Garamond"/>
          <w:b/>
          <w:lang w:val="en-AU"/>
        </w:rPr>
        <w:t>type 2 diabetes</w:t>
      </w:r>
      <w:r w:rsidRPr="004E30D7">
        <w:rPr>
          <w:rFonts w:ascii="Garamond" w:hAnsi="Garamond"/>
          <w:lang w:val="en-AU"/>
        </w:rPr>
        <w:t xml:space="preserve"> could help personalise treatment and improve outcomes</w:t>
      </w:r>
    </w:p>
    <w:p w:rsidR="004E30D7" w:rsidRPr="004E30D7" w:rsidRDefault="004E30D7" w:rsidP="004E30D7">
      <w:pPr>
        <w:pStyle w:val="ListParagraph"/>
        <w:numPr>
          <w:ilvl w:val="0"/>
          <w:numId w:val="16"/>
        </w:numPr>
        <w:rPr>
          <w:rFonts w:ascii="Garamond" w:hAnsi="Garamond"/>
          <w:lang w:val="en-AU"/>
        </w:rPr>
      </w:pPr>
      <w:r w:rsidRPr="004E30D7">
        <w:rPr>
          <w:rFonts w:ascii="Garamond" w:hAnsi="Garamond"/>
          <w:b/>
          <w:lang w:val="en-AU"/>
        </w:rPr>
        <w:t>Lung health checks</w:t>
      </w:r>
      <w:r w:rsidRPr="004E30D7">
        <w:rPr>
          <w:rFonts w:ascii="Garamond" w:hAnsi="Garamond"/>
          <w:lang w:val="en-AU"/>
        </w:rPr>
        <w:t xml:space="preserve"> in supermarket car parks reach older smokers in deprived communities</w:t>
      </w:r>
    </w:p>
    <w:p w:rsidR="004E30D7" w:rsidRPr="004E30D7" w:rsidRDefault="004E30D7" w:rsidP="004E30D7">
      <w:pPr>
        <w:pStyle w:val="ListParagraph"/>
        <w:numPr>
          <w:ilvl w:val="0"/>
          <w:numId w:val="16"/>
        </w:numPr>
        <w:rPr>
          <w:rFonts w:ascii="Garamond" w:hAnsi="Garamond"/>
          <w:lang w:val="en-AU"/>
        </w:rPr>
      </w:pPr>
      <w:r w:rsidRPr="004E30D7">
        <w:rPr>
          <w:rFonts w:ascii="Garamond" w:hAnsi="Garamond"/>
          <w:lang w:val="en-AU"/>
        </w:rPr>
        <w:t xml:space="preserve">Bespoke shoes and insoles could prevent </w:t>
      </w:r>
      <w:r w:rsidRPr="004E30D7">
        <w:rPr>
          <w:rFonts w:ascii="Garamond" w:hAnsi="Garamond"/>
          <w:b/>
          <w:lang w:val="en-AU"/>
        </w:rPr>
        <w:t>foot ulcers</w:t>
      </w:r>
      <w:r w:rsidRPr="004E30D7">
        <w:rPr>
          <w:rFonts w:ascii="Garamond" w:hAnsi="Garamond"/>
          <w:lang w:val="en-AU"/>
        </w:rPr>
        <w:t xml:space="preserve"> in people with </w:t>
      </w:r>
      <w:r w:rsidRPr="004E30D7">
        <w:rPr>
          <w:rFonts w:ascii="Garamond" w:hAnsi="Garamond"/>
          <w:b/>
          <w:lang w:val="en-AU"/>
        </w:rPr>
        <w:t>diabetes</w:t>
      </w:r>
    </w:p>
    <w:p w:rsidR="004E30D7" w:rsidRPr="00AB04B1" w:rsidRDefault="004E30D7" w:rsidP="004E30D7">
      <w:pPr>
        <w:pStyle w:val="ListParagraph"/>
        <w:numPr>
          <w:ilvl w:val="0"/>
          <w:numId w:val="16"/>
        </w:numPr>
        <w:rPr>
          <w:rFonts w:ascii="Garamond" w:hAnsi="Garamond"/>
          <w:lang w:val="en-AU"/>
        </w:rPr>
      </w:pPr>
      <w:r w:rsidRPr="004E30D7">
        <w:rPr>
          <w:rFonts w:ascii="Garamond" w:hAnsi="Garamond"/>
          <w:lang w:val="en-AU"/>
        </w:rPr>
        <w:t xml:space="preserve">Damage to kidneys and eyes may start before people are diagnosed with </w:t>
      </w:r>
      <w:r w:rsidRPr="004E30D7">
        <w:rPr>
          <w:rFonts w:ascii="Garamond" w:hAnsi="Garamond"/>
          <w:b/>
          <w:lang w:val="en-AU"/>
        </w:rPr>
        <w:t>diabetes</w:t>
      </w:r>
      <w:r>
        <w:rPr>
          <w:rFonts w:ascii="Garamond" w:hAnsi="Garamond"/>
          <w:lang w:val="en-AU"/>
        </w:rPr>
        <w:t>.</w:t>
      </w:r>
    </w:p>
    <w:p w:rsidR="0046604A" w:rsidRPr="0046604A" w:rsidRDefault="0046604A" w:rsidP="008F2898">
      <w:pPr>
        <w:keepLines/>
        <w:rPr>
          <w:rFonts w:ascii="Garamond" w:hAnsi="Garamond"/>
          <w:lang w:val="en-AU"/>
        </w:rPr>
      </w:pPr>
    </w:p>
    <w:p w:rsidR="00AB04B1" w:rsidRDefault="00AB04B1" w:rsidP="00B24501">
      <w:pPr>
        <w:rPr>
          <w:rFonts w:ascii="Garamond" w:hAnsi="Garamond"/>
          <w:lang w:val="en-AU"/>
        </w:rPr>
      </w:pPr>
    </w:p>
    <w:p w:rsidR="009A7AA8" w:rsidRPr="009A7AA8" w:rsidRDefault="009A7AA8"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8"/>
      <w:footerReference w:type="default" r:id="rId5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13" w:rsidRDefault="000A5013">
      <w:r>
        <w:separator/>
      </w:r>
    </w:p>
  </w:endnote>
  <w:endnote w:type="continuationSeparator" w:id="0">
    <w:p w:rsidR="000A5013" w:rsidRDefault="000A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13" w:rsidRDefault="000A5013"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43624">
      <w:rPr>
        <w:rStyle w:val="PageNumber"/>
        <w:noProof/>
      </w:rPr>
      <w:t>6</w:t>
    </w:r>
    <w:r>
      <w:rPr>
        <w:rStyle w:val="PageNumber"/>
      </w:rPr>
      <w:fldChar w:fldCharType="end"/>
    </w:r>
  </w:p>
  <w:p w:rsidR="000A5013" w:rsidRPr="001E78F0" w:rsidRDefault="000A5013"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0351C">
      <w:rPr>
        <w:rFonts w:ascii="Garamond" w:hAnsi="Garamond"/>
      </w:rPr>
      <w:t xml:space="preserve"> Issue 4</w:t>
    </w:r>
    <w:r w:rsidR="00872A09">
      <w:rPr>
        <w:rFonts w:ascii="Garamond" w:hAnsi="Garamond"/>
      </w:rPr>
      <w:t>80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13" w:rsidRPr="001E78F0" w:rsidRDefault="000A5013"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043624">
      <w:rPr>
        <w:rStyle w:val="PageNumber"/>
        <w:rFonts w:ascii="Garamond" w:hAnsi="Garamond"/>
        <w:noProof/>
      </w:rPr>
      <w:t>5</w:t>
    </w:r>
    <w:r w:rsidRPr="001E78F0">
      <w:rPr>
        <w:rStyle w:val="PageNumber"/>
        <w:rFonts w:ascii="Garamond" w:hAnsi="Garamond"/>
      </w:rPr>
      <w:fldChar w:fldCharType="end"/>
    </w:r>
  </w:p>
  <w:p w:rsidR="000A5013" w:rsidRPr="001E78F0" w:rsidRDefault="000A5013"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872A09">
      <w:rPr>
        <w:rFonts w:ascii="Garamond" w:hAnsi="Garamond"/>
      </w:rPr>
      <w:t xml:space="preserve"> Issue 480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13" w:rsidRDefault="000A5013">
      <w:r>
        <w:separator/>
      </w:r>
    </w:p>
  </w:footnote>
  <w:footnote w:type="continuationSeparator" w:id="0">
    <w:p w:rsidR="000A5013" w:rsidRDefault="000A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A41CBB"/>
    <w:multiLevelType w:val="hybridMultilevel"/>
    <w:tmpl w:val="F088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7C4A6E"/>
    <w:multiLevelType w:val="hybridMultilevel"/>
    <w:tmpl w:val="5E32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3144EF"/>
    <w:multiLevelType w:val="hybridMultilevel"/>
    <w:tmpl w:val="9BE2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2"/>
  </w:num>
  <w:num w:numId="15">
    <w:abstractNumId w:val="18"/>
  </w:num>
  <w:num w:numId="16">
    <w:abstractNumId w:val="13"/>
  </w:num>
  <w:num w:numId="17">
    <w:abstractNumId w:val="23"/>
  </w:num>
  <w:num w:numId="18">
    <w:abstractNumId w:val="12"/>
  </w:num>
  <w:num w:numId="19">
    <w:abstractNumId w:val="19"/>
  </w:num>
  <w:num w:numId="20">
    <w:abstractNumId w:val="10"/>
  </w:num>
  <w:num w:numId="21">
    <w:abstractNumId w:val="17"/>
  </w:num>
  <w:num w:numId="22">
    <w:abstractNumId w:val="25"/>
  </w:num>
  <w:num w:numId="23">
    <w:abstractNumId w:val="11"/>
  </w:num>
  <w:num w:numId="24">
    <w:abstractNumId w:val="20"/>
  </w:num>
  <w:num w:numId="25">
    <w:abstractNumId w:val="14"/>
  </w:num>
  <w:num w:numId="26">
    <w:abstractNumId w:val="15"/>
  </w:num>
  <w:num w:numId="2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3E"/>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6567B62"/>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dx.doi.org/10.1136/bmjqs-2019-009830"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www.safetyandquality.gov.au/our-work/partnering-consumers/person-centred-care" TargetMode="External"/><Relationship Id="rId47" Type="http://schemas.openxmlformats.org/officeDocument/2006/relationships/hyperlink" Target="https://doi.org/10.1186/s12913-020-05462-5" TargetMode="External"/><Relationship Id="rId50" Type="http://schemas.openxmlformats.org/officeDocument/2006/relationships/hyperlink" Target="https://academic.oup.com/intqhc/advance-articles" TargetMode="External"/><Relationship Id="rId55" Type="http://schemas.openxmlformats.org/officeDocument/2006/relationships/hyperlink" Target="https://www.nice.org.uk/guidance/qs19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www.safetyandquality.gov.au/our-work/partnering-consumers" TargetMode="External"/><Relationship Id="rId54" Type="http://schemas.openxmlformats.org/officeDocument/2006/relationships/hyperlink" Target="https://www.nice.org.uk/guidance/qs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ahha.asn.au/deeble-institute-perspective-briefs" TargetMode="External"/><Relationship Id="rId40" Type="http://schemas.openxmlformats.org/officeDocument/2006/relationships/image" Target="media/image6.png"/><Relationship Id="rId45" Type="http://schemas.openxmlformats.org/officeDocument/2006/relationships/hyperlink" Target="https://www.safetyandquality.gov.au/our-work/medication-safety" TargetMode="External"/><Relationship Id="rId53" Type="http://schemas.openxmlformats.org/officeDocument/2006/relationships/hyperlink" Target="https://www.nice.org.uk/guidance"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image" Target="media/image5.png"/><Relationship Id="rId49" Type="http://schemas.openxmlformats.org/officeDocument/2006/relationships/hyperlink" Target="https://qualitysafety.bmj.com/content/early/recent" TargetMode="External"/><Relationship Id="rId57" Type="http://schemas.openxmlformats.org/officeDocument/2006/relationships/hyperlink" Target="https://evidence.nihr.ac.uk/" TargetMode="External"/><Relationship Id="rId61"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doi.org/10.1097/XEB.0000000000000228" TargetMode="External"/><Relationship Id="rId52" Type="http://schemas.openxmlformats.org/officeDocument/2006/relationships/hyperlink" Target="https://www.aci.health.nsw.gov.au/covid-19/critical-intelligence-uni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hyperlink" Target="https://ahha.asn.au/healthcare-after-covid-19" TargetMode="External"/><Relationship Id="rId43" Type="http://schemas.openxmlformats.org/officeDocument/2006/relationships/hyperlink" Target="https://www.safetyandquality.gov.au/our-work/partnering-consumers/shared-decision-making" TargetMode="External"/><Relationship Id="rId48" Type="http://schemas.openxmlformats.org/officeDocument/2006/relationships/image" Target="media/image7.png"/><Relationship Id="rId56" Type="http://schemas.openxmlformats.org/officeDocument/2006/relationships/hyperlink" Target="https://www.nice.org.uk/guidance/ng159" TargetMode="External"/><Relationship Id="rId8" Type="http://schemas.openxmlformats.org/officeDocument/2006/relationships/image" Target="media/image1.jpg"/><Relationship Id="rId51" Type="http://schemas.openxmlformats.org/officeDocument/2006/relationships/hyperlink" Target="https://covid19evidence.net.au/"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s://ahha.asn.au/sites/default/files/docs/policy-issue/perspectives_brief_no._12_evaluating_literature_review_methodologies_0.pdf" TargetMode="External"/><Relationship Id="rId46" Type="http://schemas.openxmlformats.org/officeDocument/2006/relationships/hyperlink" Target="https://doi.org/10.1101/2020.06.15.20129080"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D4F1-4FBB-4FBA-BCB1-CC9A71ED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Draft On the Radar Issue 480</vt:lpstr>
    </vt:vector>
  </TitlesOfParts>
  <Company>ACSQHC</Company>
  <LinksUpToDate>false</LinksUpToDate>
  <CharactersWithSpaces>21425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480</dc:title>
  <dc:subject/>
  <dc:creator>Dr Niall Johnson</dc:creator>
  <cp:keywords/>
  <dc:description/>
  <cp:lastModifiedBy>Johnson, Niall</cp:lastModifiedBy>
  <cp:revision>11</cp:revision>
  <cp:lastPrinted>2018-03-02T02:34:00Z</cp:lastPrinted>
  <dcterms:created xsi:type="dcterms:W3CDTF">2020-08-30T22:39:00Z</dcterms:created>
  <dcterms:modified xsi:type="dcterms:W3CDTF">2020-09-04T04:12:00Z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