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18" w:rsidRPr="00926518" w:rsidRDefault="00926518" w:rsidP="00926518">
      <w:pPr>
        <w:spacing w:after="120" w:line="300" w:lineRule="exact"/>
        <w:jc w:val="right"/>
        <w:rPr>
          <w:rFonts w:ascii="Arial" w:eastAsia="Cambria" w:hAnsi="Arial" w:cs="Arial"/>
          <w:sz w:val="16"/>
        </w:rPr>
      </w:pPr>
      <w:bookmarkStart w:id="0" w:name="_GoBack"/>
      <w:bookmarkEnd w:id="0"/>
      <w:r w:rsidRPr="00926518">
        <w:rPr>
          <w:rFonts w:ascii="Arial" w:eastAsia="Cambria" w:hAnsi="Arial" w:cs="Arial"/>
          <w:sz w:val="16"/>
        </w:rPr>
        <w:t xml:space="preserve">  </w:t>
      </w:r>
    </w:p>
    <w:p w:rsidR="00D533D0" w:rsidRPr="00A35E19" w:rsidRDefault="00D533D0" w:rsidP="002D0292">
      <w:pPr>
        <w:pStyle w:val="Heading2"/>
        <w:spacing w:before="0" w:after="0"/>
        <w:rPr>
          <w:color w:val="DA1A32"/>
        </w:rPr>
      </w:pPr>
      <w:r w:rsidRPr="00A35E19">
        <w:rPr>
          <w:rFonts w:cs="Arial"/>
          <w:color w:val="DA1A32"/>
          <w:sz w:val="44"/>
          <w:szCs w:val="44"/>
        </w:rPr>
        <w:t xml:space="preserve">Planning </w:t>
      </w:r>
      <w:r w:rsidR="00BE5CC1" w:rsidRPr="00A35E19">
        <w:rPr>
          <w:rFonts w:cs="Arial"/>
          <w:color w:val="DA1A32"/>
          <w:sz w:val="44"/>
          <w:szCs w:val="44"/>
        </w:rPr>
        <w:t xml:space="preserve">checklist </w:t>
      </w:r>
    </w:p>
    <w:p w:rsidR="00D533D0" w:rsidRPr="00A35E19" w:rsidRDefault="00D533D0" w:rsidP="00E47E87">
      <w:pPr>
        <w:spacing w:after="120" w:line="300" w:lineRule="exact"/>
        <w:jc w:val="both"/>
        <w:rPr>
          <w:rFonts w:ascii="Arial" w:eastAsia="Cambria" w:hAnsi="Arial" w:cs="Arial"/>
          <w:sz w:val="18"/>
          <w:szCs w:val="18"/>
        </w:rPr>
      </w:pPr>
      <w:r w:rsidRPr="00A35E19">
        <w:rPr>
          <w:rFonts w:ascii="Arial" w:eastAsia="Cambria" w:hAnsi="Arial" w:cs="Arial"/>
          <w:sz w:val="18"/>
          <w:szCs w:val="18"/>
        </w:rPr>
        <w:t xml:space="preserve">A guide from the Australian Commission on Safety and Quality in Health Care (the Commission) to help you plan for </w:t>
      </w:r>
      <w:r w:rsidR="0002540B">
        <w:rPr>
          <w:rFonts w:ascii="Arial" w:eastAsia="Cambria" w:hAnsi="Arial" w:cs="Arial"/>
          <w:sz w:val="18"/>
          <w:szCs w:val="18"/>
        </w:rPr>
        <w:t>Antimicrobial</w:t>
      </w:r>
      <w:r w:rsidRPr="00A35E19">
        <w:rPr>
          <w:rFonts w:ascii="Arial" w:eastAsia="Cambria" w:hAnsi="Arial" w:cs="Arial"/>
          <w:sz w:val="18"/>
          <w:szCs w:val="18"/>
        </w:rPr>
        <w:t xml:space="preserve"> Awareness Week activities and events at your health service </w:t>
      </w:r>
      <w:r w:rsidR="00C822B0" w:rsidRPr="00A35E19">
        <w:rPr>
          <w:rFonts w:ascii="Arial" w:eastAsia="Cambria" w:hAnsi="Arial" w:cs="Arial"/>
          <w:sz w:val="18"/>
          <w:szCs w:val="18"/>
        </w:rPr>
        <w:t>organis</w:t>
      </w:r>
      <w:r w:rsidRPr="00A35E19">
        <w:rPr>
          <w:rFonts w:ascii="Arial" w:eastAsia="Cambria" w:hAnsi="Arial" w:cs="Arial"/>
          <w:sz w:val="18"/>
          <w:szCs w:val="18"/>
        </w:rPr>
        <w:t xml:space="preserve">ation. </w:t>
      </w:r>
    </w:p>
    <w:p w:rsidR="00E47E87" w:rsidRPr="00A35E19" w:rsidRDefault="00E47E87" w:rsidP="00661440">
      <w:pPr>
        <w:pStyle w:val="Heading2"/>
        <w:jc w:val="both"/>
        <w:rPr>
          <w:color w:val="008FA6"/>
          <w:sz w:val="26"/>
          <w:lang w:eastAsia="ja-JP"/>
        </w:rPr>
      </w:pPr>
      <w:r w:rsidRPr="00A35E19">
        <w:rPr>
          <w:color w:val="1F4E79" w:themeColor="accent1" w:themeShade="80"/>
          <w:sz w:val="26"/>
          <w:lang w:eastAsia="ja-JP"/>
        </w:rPr>
        <w:t xml:space="preserve">Let key people know </w:t>
      </w:r>
      <w:r w:rsidR="0002540B">
        <w:rPr>
          <w:color w:val="1F4E79" w:themeColor="accent1" w:themeShade="80"/>
          <w:sz w:val="26"/>
          <w:lang w:eastAsia="ja-JP"/>
        </w:rPr>
        <w:t>Antimicrobial</w:t>
      </w:r>
      <w:r w:rsidRPr="00A35E19">
        <w:rPr>
          <w:color w:val="1F4E79" w:themeColor="accent1" w:themeShade="80"/>
          <w:sz w:val="26"/>
          <w:lang w:eastAsia="ja-JP"/>
        </w:rPr>
        <w:t xml:space="preserve"> Awareness Week</w:t>
      </w:r>
      <w:r w:rsidR="00C67802" w:rsidRPr="00A35E19">
        <w:rPr>
          <w:color w:val="1F4E79" w:themeColor="accent1" w:themeShade="80"/>
          <w:sz w:val="26"/>
          <w:lang w:eastAsia="ja-JP"/>
        </w:rPr>
        <w:t xml:space="preserve"> </w:t>
      </w:r>
      <w:r w:rsidRPr="00A35E19">
        <w:rPr>
          <w:color w:val="1F4E79" w:themeColor="accent1" w:themeShade="80"/>
          <w:sz w:val="26"/>
          <w:lang w:eastAsia="ja-JP"/>
        </w:rPr>
        <w:t>is coming</w:t>
      </w:r>
      <w:r w:rsidRPr="00A35E19">
        <w:rPr>
          <w:color w:val="008FA6"/>
          <w:sz w:val="26"/>
          <w:lang w:eastAsia="ja-JP"/>
        </w:rPr>
        <w:t xml:space="preserve"> </w:t>
      </w:r>
    </w:p>
    <w:p w:rsidR="001D5BA2" w:rsidRPr="00A35E19" w:rsidRDefault="00E47E87" w:rsidP="00E47E87">
      <w:pPr>
        <w:spacing w:after="120" w:line="300" w:lineRule="exact"/>
        <w:jc w:val="both"/>
        <w:rPr>
          <w:rFonts w:ascii="Arial" w:eastAsia="Cambria" w:hAnsi="Arial" w:cs="Arial"/>
          <w:sz w:val="20"/>
          <w:szCs w:val="20"/>
        </w:rPr>
      </w:pPr>
      <w:r w:rsidRPr="00A35E19">
        <w:rPr>
          <w:rFonts w:ascii="Arial" w:eastAsia="Cambria" w:hAnsi="Arial" w:cs="Arial"/>
          <w:sz w:val="20"/>
          <w:szCs w:val="20"/>
        </w:rPr>
        <w:t xml:space="preserve">The key people to engage are </w:t>
      </w:r>
    </w:p>
    <w:p w:rsidR="001D5BA2" w:rsidRPr="00A35E19" w:rsidRDefault="00E47E87" w:rsidP="001C2698">
      <w:pPr>
        <w:pStyle w:val="ListParagraph"/>
        <w:spacing w:after="0"/>
        <w:ind w:hanging="357"/>
      </w:pPr>
      <w:r w:rsidRPr="00A35E19">
        <w:t>C</w:t>
      </w:r>
      <w:r w:rsidR="00E907C2" w:rsidRPr="00A35E19">
        <w:t>hief Executive</w:t>
      </w:r>
      <w:r w:rsidR="002D0292">
        <w:t xml:space="preserve"> (they may need to approve plans and resources). </w:t>
      </w:r>
    </w:p>
    <w:p w:rsidR="001D5BA2" w:rsidRPr="00A35E19" w:rsidRDefault="001D5BA2" w:rsidP="001C2698">
      <w:pPr>
        <w:pStyle w:val="ListParagraph"/>
        <w:spacing w:after="0"/>
        <w:ind w:hanging="357"/>
      </w:pPr>
      <w:r w:rsidRPr="00A35E19">
        <w:t>D</w:t>
      </w:r>
      <w:r w:rsidR="00033D2B" w:rsidRPr="00A35E19">
        <w:t xml:space="preserve">epartment </w:t>
      </w:r>
      <w:r w:rsidRPr="00A35E19">
        <w:t>Heads (especially Infectious Diseases, Microbiology and Pharmacy)</w:t>
      </w:r>
      <w:r w:rsidR="00E47E87" w:rsidRPr="00A35E19">
        <w:t xml:space="preserve"> </w:t>
      </w:r>
    </w:p>
    <w:p w:rsidR="001D5BA2" w:rsidRPr="00A35E19" w:rsidRDefault="001D5BA2" w:rsidP="001C2698">
      <w:pPr>
        <w:pStyle w:val="ListParagraph"/>
        <w:numPr>
          <w:ilvl w:val="1"/>
          <w:numId w:val="11"/>
        </w:numPr>
        <w:spacing w:after="0"/>
        <w:ind w:hanging="357"/>
      </w:pPr>
      <w:r w:rsidRPr="00A35E19">
        <w:t>These services may be provided by a contracted service – ensure the provide</w:t>
      </w:r>
      <w:r w:rsidR="00B26CEB" w:rsidRPr="00A35E19">
        <w:t>r</w:t>
      </w:r>
      <w:r w:rsidRPr="00A35E19">
        <w:t xml:space="preserve"> knows about the week </w:t>
      </w:r>
    </w:p>
    <w:p w:rsidR="001D5BA2" w:rsidRPr="00A35E19" w:rsidRDefault="001D5BA2" w:rsidP="001C2698">
      <w:pPr>
        <w:pStyle w:val="ListParagraph"/>
        <w:spacing w:after="0"/>
        <w:ind w:hanging="357"/>
      </w:pPr>
      <w:r w:rsidRPr="00A35E19">
        <w:t>Public relations or communications department (if your facility has one - this may be onsite, or there may be an office as part of a local health district)</w:t>
      </w:r>
    </w:p>
    <w:p w:rsidR="00E47E87" w:rsidRPr="00A35E19" w:rsidRDefault="001D5BA2" w:rsidP="001C2698">
      <w:pPr>
        <w:pStyle w:val="ListParagraph"/>
        <w:spacing w:after="0"/>
        <w:ind w:hanging="357"/>
      </w:pPr>
      <w:r w:rsidRPr="00A35E19">
        <w:t xml:space="preserve">Infection Prevention and Control </w:t>
      </w:r>
      <w:r w:rsidR="00C73666">
        <w:t>t</w:t>
      </w:r>
      <w:r w:rsidRPr="00A35E19">
        <w:t xml:space="preserve">eam </w:t>
      </w:r>
    </w:p>
    <w:p w:rsidR="00E47E87" w:rsidRPr="00A35E19" w:rsidRDefault="00E47E87" w:rsidP="00E47E87">
      <w:pPr>
        <w:spacing w:after="120" w:line="300" w:lineRule="exact"/>
        <w:jc w:val="both"/>
        <w:rPr>
          <w:rFonts w:ascii="Arial" w:eastAsia="Cambria" w:hAnsi="Arial" w:cs="Arial"/>
          <w:color w:val="1F4E79" w:themeColor="accent1" w:themeShade="80"/>
          <w:sz w:val="10"/>
          <w:szCs w:val="10"/>
        </w:rPr>
      </w:pPr>
    </w:p>
    <w:p w:rsidR="00E47E87" w:rsidRPr="00A35E19" w:rsidRDefault="00905962" w:rsidP="00E47E87">
      <w:pPr>
        <w:pStyle w:val="Heading2"/>
        <w:jc w:val="both"/>
        <w:rPr>
          <w:color w:val="1F4E79" w:themeColor="accent1" w:themeShade="80"/>
          <w:sz w:val="26"/>
          <w:lang w:eastAsia="ja-JP"/>
        </w:rPr>
      </w:pPr>
      <w:r w:rsidRPr="00A35E19">
        <w:rPr>
          <w:color w:val="1F4E79" w:themeColor="accent1" w:themeShade="80"/>
          <w:sz w:val="26"/>
          <w:lang w:eastAsia="ja-JP"/>
        </w:rPr>
        <w:t xml:space="preserve">Identify a champion </w:t>
      </w:r>
    </w:p>
    <w:p w:rsidR="00E47E87" w:rsidRPr="00A35E19" w:rsidRDefault="00E47E87" w:rsidP="00E47E87">
      <w:pPr>
        <w:spacing w:after="120" w:line="300" w:lineRule="exact"/>
        <w:jc w:val="both"/>
        <w:rPr>
          <w:rFonts w:ascii="Arial" w:eastAsia="Cambria" w:hAnsi="Arial" w:cs="Arial"/>
          <w:sz w:val="18"/>
          <w:szCs w:val="18"/>
        </w:rPr>
      </w:pPr>
      <w:r w:rsidRPr="00A35E19">
        <w:rPr>
          <w:rFonts w:ascii="Arial" w:eastAsia="Cambria" w:hAnsi="Arial" w:cs="Arial"/>
          <w:sz w:val="18"/>
          <w:szCs w:val="18"/>
        </w:rPr>
        <w:t>Depending on the focus of your campaign, con</w:t>
      </w:r>
      <w:r w:rsidR="001D5BA2" w:rsidRPr="00A35E19">
        <w:rPr>
          <w:rFonts w:ascii="Arial" w:eastAsia="Cambria" w:hAnsi="Arial" w:cs="Arial"/>
          <w:sz w:val="18"/>
          <w:szCs w:val="18"/>
        </w:rPr>
        <w:t xml:space="preserve">sider asking a senior clinician, Antimicrobial Stewardship Pharmacist or </w:t>
      </w:r>
      <w:r w:rsidRPr="00A35E19">
        <w:rPr>
          <w:rFonts w:ascii="Arial" w:eastAsia="Cambria" w:hAnsi="Arial" w:cs="Arial"/>
          <w:sz w:val="18"/>
          <w:szCs w:val="18"/>
        </w:rPr>
        <w:t xml:space="preserve">microbiologist to act as the </w:t>
      </w:r>
      <w:r w:rsidR="003B4C7C" w:rsidRPr="00A35E19">
        <w:rPr>
          <w:rFonts w:ascii="Arial" w:eastAsia="Cambria" w:hAnsi="Arial" w:cs="Arial"/>
          <w:sz w:val="18"/>
          <w:szCs w:val="18"/>
        </w:rPr>
        <w:t>‘</w:t>
      </w:r>
      <w:r w:rsidRPr="00A35E19">
        <w:rPr>
          <w:rFonts w:ascii="Arial" w:eastAsia="Cambria" w:hAnsi="Arial" w:cs="Arial"/>
          <w:sz w:val="18"/>
          <w:szCs w:val="18"/>
        </w:rPr>
        <w:t>champion</w:t>
      </w:r>
      <w:r w:rsidR="003B4C7C" w:rsidRPr="00A35E19">
        <w:rPr>
          <w:rFonts w:ascii="Arial" w:eastAsia="Cambria" w:hAnsi="Arial" w:cs="Arial"/>
          <w:sz w:val="18"/>
          <w:szCs w:val="18"/>
        </w:rPr>
        <w:t>’</w:t>
      </w:r>
      <w:r w:rsidRPr="00A35E19">
        <w:rPr>
          <w:rFonts w:ascii="Arial" w:eastAsia="Cambria" w:hAnsi="Arial" w:cs="Arial"/>
          <w:sz w:val="18"/>
          <w:szCs w:val="18"/>
        </w:rPr>
        <w:t xml:space="preserve"> for the week.</w:t>
      </w:r>
      <w:r w:rsidR="003B4C7C" w:rsidRPr="00A35E19">
        <w:rPr>
          <w:rFonts w:ascii="Arial" w:eastAsia="Cambria" w:hAnsi="Arial" w:cs="Arial"/>
          <w:sz w:val="18"/>
          <w:szCs w:val="18"/>
        </w:rPr>
        <w:t xml:space="preserve"> </w:t>
      </w:r>
    </w:p>
    <w:p w:rsidR="00E47E87" w:rsidRPr="00A35E19" w:rsidRDefault="00E47E87" w:rsidP="00E47E87">
      <w:pPr>
        <w:spacing w:after="120" w:line="300" w:lineRule="exact"/>
        <w:jc w:val="both"/>
        <w:rPr>
          <w:rFonts w:ascii="Arial" w:eastAsia="Cambria" w:hAnsi="Arial" w:cs="Arial"/>
          <w:sz w:val="10"/>
          <w:szCs w:val="10"/>
        </w:rPr>
      </w:pPr>
    </w:p>
    <w:p w:rsidR="00E47E87" w:rsidRPr="00A35E19" w:rsidRDefault="00E47E87" w:rsidP="00E47E87">
      <w:pPr>
        <w:pStyle w:val="Heading2"/>
        <w:jc w:val="both"/>
        <w:rPr>
          <w:color w:val="1F4E79" w:themeColor="accent1" w:themeShade="80"/>
          <w:sz w:val="26"/>
          <w:lang w:eastAsia="ja-JP"/>
        </w:rPr>
      </w:pPr>
      <w:r w:rsidRPr="00A35E19">
        <w:rPr>
          <w:color w:val="1F4E79" w:themeColor="accent1" w:themeShade="80"/>
          <w:sz w:val="26"/>
          <w:lang w:eastAsia="ja-JP"/>
        </w:rPr>
        <w:t>Identify the resources that will best suit your campaign</w:t>
      </w:r>
    </w:p>
    <w:p w:rsidR="00E47E87" w:rsidRPr="00A35E19" w:rsidRDefault="002B3529" w:rsidP="00E47E87">
      <w:pPr>
        <w:spacing w:after="120" w:line="300" w:lineRule="exact"/>
        <w:jc w:val="both"/>
        <w:rPr>
          <w:rFonts w:ascii="Arial" w:eastAsia="Cambria" w:hAnsi="Arial" w:cs="Arial"/>
          <w:sz w:val="18"/>
          <w:szCs w:val="18"/>
        </w:rPr>
      </w:pPr>
      <w:r w:rsidRPr="00A35E19">
        <w:rPr>
          <w:rFonts w:ascii="Arial" w:eastAsia="Cambria" w:hAnsi="Arial" w:cs="Arial"/>
          <w:sz w:val="18"/>
          <w:szCs w:val="18"/>
        </w:rPr>
        <w:t xml:space="preserve">The </w:t>
      </w:r>
      <w:r w:rsidR="00E47E87" w:rsidRPr="00A35E19">
        <w:rPr>
          <w:rFonts w:ascii="Arial" w:eastAsia="Cambria" w:hAnsi="Arial" w:cs="Arial"/>
          <w:sz w:val="18"/>
          <w:szCs w:val="18"/>
        </w:rPr>
        <w:t xml:space="preserve">Commission </w:t>
      </w:r>
      <w:r w:rsidRPr="00A35E19">
        <w:rPr>
          <w:rFonts w:ascii="Arial" w:eastAsia="Cambria" w:hAnsi="Arial" w:cs="Arial"/>
          <w:sz w:val="18"/>
          <w:szCs w:val="18"/>
        </w:rPr>
        <w:t xml:space="preserve">has </w:t>
      </w:r>
      <w:r w:rsidR="00E47E87" w:rsidRPr="00A35E19">
        <w:rPr>
          <w:rFonts w:ascii="Arial" w:eastAsia="Cambria" w:hAnsi="Arial" w:cs="Arial"/>
          <w:sz w:val="18"/>
          <w:szCs w:val="18"/>
        </w:rPr>
        <w:t>resources</w:t>
      </w:r>
      <w:r w:rsidRPr="00A35E19">
        <w:rPr>
          <w:rFonts w:ascii="Arial" w:eastAsia="Cambria" w:hAnsi="Arial" w:cs="Arial"/>
          <w:sz w:val="18"/>
          <w:szCs w:val="18"/>
        </w:rPr>
        <w:t xml:space="preserve"> available </w:t>
      </w:r>
      <w:r w:rsidR="00E47E87" w:rsidRPr="00A35E19">
        <w:rPr>
          <w:rFonts w:ascii="Arial" w:eastAsia="Cambria" w:hAnsi="Arial" w:cs="Arial"/>
          <w:sz w:val="18"/>
          <w:szCs w:val="18"/>
        </w:rPr>
        <w:t xml:space="preserve">to support health services in planning and running events. These include ideas for activities you can undertake during the week, </w:t>
      </w:r>
      <w:r w:rsidRPr="00A35E19">
        <w:rPr>
          <w:rFonts w:ascii="Arial" w:eastAsia="Cambria" w:hAnsi="Arial" w:cs="Arial"/>
          <w:sz w:val="18"/>
          <w:szCs w:val="18"/>
        </w:rPr>
        <w:t>a poster, and pr</w:t>
      </w:r>
      <w:r w:rsidR="0051381E" w:rsidRPr="00A35E19">
        <w:rPr>
          <w:rFonts w:ascii="Arial" w:eastAsia="Cambria" w:hAnsi="Arial" w:cs="Arial"/>
          <w:sz w:val="18"/>
          <w:szCs w:val="18"/>
        </w:rPr>
        <w:t xml:space="preserve">esentation to download. The </w:t>
      </w:r>
      <w:r w:rsidRPr="00A35E19">
        <w:rPr>
          <w:rFonts w:ascii="Arial" w:eastAsia="Cambria" w:hAnsi="Arial" w:cs="Arial"/>
          <w:sz w:val="18"/>
          <w:szCs w:val="18"/>
        </w:rPr>
        <w:t xml:space="preserve">logo, poster and </w:t>
      </w:r>
      <w:r w:rsidR="00E47E87" w:rsidRPr="00A35E19">
        <w:rPr>
          <w:rFonts w:ascii="Arial" w:eastAsia="Cambria" w:hAnsi="Arial" w:cs="Arial"/>
          <w:sz w:val="18"/>
          <w:szCs w:val="18"/>
        </w:rPr>
        <w:t>other material</w:t>
      </w:r>
      <w:r w:rsidR="0002540B">
        <w:rPr>
          <w:rFonts w:ascii="Arial" w:eastAsia="Cambria" w:hAnsi="Arial" w:cs="Arial"/>
          <w:sz w:val="18"/>
          <w:szCs w:val="18"/>
        </w:rPr>
        <w:t>s</w:t>
      </w:r>
      <w:r w:rsidR="00E47E87" w:rsidRPr="00A35E19">
        <w:rPr>
          <w:rFonts w:ascii="Arial" w:eastAsia="Cambria" w:hAnsi="Arial" w:cs="Arial"/>
          <w:sz w:val="18"/>
          <w:szCs w:val="18"/>
        </w:rPr>
        <w:t xml:space="preserve"> to support the </w:t>
      </w:r>
      <w:r w:rsidR="0002540B">
        <w:rPr>
          <w:rFonts w:ascii="Arial" w:eastAsia="Cambria" w:hAnsi="Arial" w:cs="Arial"/>
          <w:sz w:val="18"/>
          <w:szCs w:val="18"/>
        </w:rPr>
        <w:t>Antimicrobial</w:t>
      </w:r>
      <w:r w:rsidRPr="00A35E19">
        <w:rPr>
          <w:rFonts w:ascii="Arial" w:eastAsia="Cambria" w:hAnsi="Arial" w:cs="Arial"/>
          <w:sz w:val="18"/>
          <w:szCs w:val="18"/>
        </w:rPr>
        <w:t xml:space="preserve"> Awareness Week </w:t>
      </w:r>
      <w:r w:rsidR="00661440" w:rsidRPr="00A35E19">
        <w:rPr>
          <w:rFonts w:ascii="Arial" w:eastAsia="Cambria" w:hAnsi="Arial" w:cs="Arial"/>
          <w:sz w:val="18"/>
          <w:szCs w:val="18"/>
        </w:rPr>
        <w:t>are available on the web</w:t>
      </w:r>
      <w:r w:rsidR="00E47E87" w:rsidRPr="00A35E19">
        <w:rPr>
          <w:rFonts w:ascii="Arial" w:eastAsia="Cambria" w:hAnsi="Arial" w:cs="Arial"/>
          <w:sz w:val="18"/>
          <w:szCs w:val="18"/>
        </w:rPr>
        <w:t>site now</w:t>
      </w:r>
      <w:r w:rsidR="00661440" w:rsidRPr="00A35E19">
        <w:rPr>
          <w:rFonts w:ascii="Arial" w:eastAsia="Cambria" w:hAnsi="Arial" w:cs="Arial"/>
          <w:sz w:val="18"/>
          <w:szCs w:val="18"/>
        </w:rPr>
        <w:t>,</w:t>
      </w:r>
      <w:r w:rsidR="00E47E87" w:rsidRPr="00A35E19">
        <w:rPr>
          <w:rFonts w:ascii="Arial" w:eastAsia="Cambria" w:hAnsi="Arial" w:cs="Arial"/>
          <w:sz w:val="18"/>
          <w:szCs w:val="18"/>
        </w:rPr>
        <w:t xml:space="preserve"> at</w:t>
      </w:r>
      <w:r w:rsidR="001D5BA2" w:rsidRPr="00A35E19">
        <w:rPr>
          <w:rFonts w:ascii="Arial" w:eastAsia="Cambria" w:hAnsi="Arial" w:cs="Arial"/>
          <w:sz w:val="18"/>
          <w:szCs w:val="18"/>
        </w:rPr>
        <w:t xml:space="preserve"> </w:t>
      </w:r>
      <w:hyperlink r:id="rId7" w:history="1">
        <w:r w:rsidR="001C2698" w:rsidRPr="00A35E19">
          <w:rPr>
            <w:rStyle w:val="Hyperlink"/>
            <w:rFonts w:ascii="Arial" w:eastAsia="Cambria" w:hAnsi="Arial" w:cs="Arial"/>
            <w:sz w:val="18"/>
            <w:szCs w:val="18"/>
          </w:rPr>
          <w:t>https://www.safetyandquality.gov.au/our-work/healthcare-associated-infection/antimicrobial-stewardship/antibiotic-awareness-week/resources-for-antibiotic-awareness-week/</w:t>
        </w:r>
      </w:hyperlink>
      <w:r w:rsidR="001C2698" w:rsidRPr="00A35E19">
        <w:rPr>
          <w:rFonts w:ascii="Arial" w:eastAsia="Cambria" w:hAnsi="Arial" w:cs="Arial"/>
          <w:sz w:val="18"/>
          <w:szCs w:val="18"/>
        </w:rPr>
        <w:t xml:space="preserve"> </w:t>
      </w:r>
      <w:r w:rsidR="001D5BA2" w:rsidRPr="00A35E19">
        <w:rPr>
          <w:rFonts w:ascii="Arial" w:eastAsia="Cambria" w:hAnsi="Arial" w:cs="Arial"/>
          <w:sz w:val="18"/>
          <w:szCs w:val="18"/>
        </w:rPr>
        <w:t>Your state or territo</w:t>
      </w:r>
      <w:r w:rsidR="00C67802" w:rsidRPr="00A35E19">
        <w:rPr>
          <w:rFonts w:ascii="Arial" w:eastAsia="Cambria" w:hAnsi="Arial" w:cs="Arial"/>
          <w:sz w:val="18"/>
          <w:szCs w:val="18"/>
        </w:rPr>
        <w:t xml:space="preserve">ry quality </w:t>
      </w:r>
      <w:r w:rsidR="00C67802" w:rsidRPr="00A35E19">
        <w:rPr>
          <w:rFonts w:ascii="Arial" w:eastAsia="Cambria" w:hAnsi="Arial" w:cs="Arial"/>
          <w:sz w:val="18"/>
          <w:szCs w:val="18"/>
        </w:rPr>
        <w:lastRenderedPageBreak/>
        <w:t>and safety agency (for example, the NSW Clinical Excellence Commission</w:t>
      </w:r>
      <w:r w:rsidR="001D5BA2" w:rsidRPr="00A35E19">
        <w:rPr>
          <w:rFonts w:ascii="Arial" w:eastAsia="Cambria" w:hAnsi="Arial" w:cs="Arial"/>
          <w:sz w:val="18"/>
          <w:szCs w:val="18"/>
        </w:rPr>
        <w:t xml:space="preserve"> and Safer Care Victoria) may have additional resources. NPS MedicineWise may also have useful resources. </w:t>
      </w:r>
    </w:p>
    <w:p w:rsidR="001D5BA2" w:rsidRPr="00A35E19" w:rsidRDefault="001D5BA2" w:rsidP="00E47E87">
      <w:pPr>
        <w:spacing w:after="120" w:line="300" w:lineRule="exact"/>
        <w:jc w:val="both"/>
        <w:rPr>
          <w:rFonts w:ascii="Arial" w:eastAsia="Cambria" w:hAnsi="Arial" w:cs="Arial"/>
          <w:sz w:val="10"/>
          <w:szCs w:val="10"/>
        </w:rPr>
      </w:pPr>
    </w:p>
    <w:p w:rsidR="00E47E87" w:rsidRPr="00A35E19" w:rsidRDefault="00905962" w:rsidP="00E47E87">
      <w:pPr>
        <w:pStyle w:val="Heading2"/>
        <w:jc w:val="both"/>
        <w:rPr>
          <w:color w:val="1F4E79" w:themeColor="accent1" w:themeShade="80"/>
          <w:sz w:val="26"/>
          <w:lang w:eastAsia="ja-JP"/>
        </w:rPr>
      </w:pPr>
      <w:r w:rsidRPr="00A35E19">
        <w:rPr>
          <w:color w:val="1F4E79" w:themeColor="accent1" w:themeShade="80"/>
          <w:sz w:val="26"/>
          <w:lang w:eastAsia="ja-JP"/>
        </w:rPr>
        <w:t xml:space="preserve">Finalise your activities </w:t>
      </w:r>
    </w:p>
    <w:p w:rsidR="00E47E87" w:rsidRPr="00A35E19" w:rsidRDefault="00E47E87" w:rsidP="00E47E87">
      <w:pPr>
        <w:spacing w:after="120" w:line="300" w:lineRule="exact"/>
        <w:jc w:val="both"/>
        <w:rPr>
          <w:rFonts w:ascii="Arial" w:eastAsia="Cambria" w:hAnsi="Arial" w:cs="Arial"/>
          <w:sz w:val="18"/>
          <w:szCs w:val="18"/>
        </w:rPr>
      </w:pPr>
      <w:r w:rsidRPr="00A35E19">
        <w:rPr>
          <w:rFonts w:ascii="Arial" w:eastAsia="Cambria" w:hAnsi="Arial" w:cs="Arial"/>
          <w:sz w:val="18"/>
          <w:szCs w:val="18"/>
        </w:rPr>
        <w:t>You will need to work out the resources you will use and who will take responsibility for each of the activities you have planned. To h</w:t>
      </w:r>
      <w:r w:rsidR="00661440" w:rsidRPr="00A35E19">
        <w:rPr>
          <w:rFonts w:ascii="Arial" w:eastAsia="Cambria" w:hAnsi="Arial" w:cs="Arial"/>
          <w:sz w:val="18"/>
          <w:szCs w:val="18"/>
        </w:rPr>
        <w:t>elp you get started, see the</w:t>
      </w:r>
      <w:r w:rsidRPr="00A35E19">
        <w:rPr>
          <w:rFonts w:ascii="Arial" w:eastAsia="Cambria" w:hAnsi="Arial" w:cs="Arial"/>
          <w:sz w:val="18"/>
          <w:szCs w:val="18"/>
        </w:rPr>
        <w:t xml:space="preserve"> event planning checklist.</w:t>
      </w:r>
      <w:r w:rsidR="00661440" w:rsidRPr="00A35E19">
        <w:rPr>
          <w:rFonts w:ascii="Arial" w:eastAsia="Cambria" w:hAnsi="Arial" w:cs="Arial"/>
          <w:sz w:val="18"/>
          <w:szCs w:val="18"/>
        </w:rPr>
        <w:t xml:space="preserve"> </w:t>
      </w:r>
    </w:p>
    <w:p w:rsidR="001C2698" w:rsidRPr="00A35E19" w:rsidRDefault="001C2698" w:rsidP="00E47E87">
      <w:pPr>
        <w:spacing w:after="120" w:line="300" w:lineRule="exact"/>
        <w:jc w:val="both"/>
        <w:rPr>
          <w:rFonts w:ascii="Arial" w:eastAsia="Cambria" w:hAnsi="Arial" w:cs="Arial"/>
          <w:sz w:val="20"/>
        </w:rPr>
      </w:pPr>
    </w:p>
    <w:p w:rsidR="001C2698" w:rsidRPr="00A35E19" w:rsidRDefault="001C2698" w:rsidP="00E47E87">
      <w:pPr>
        <w:spacing w:after="120" w:line="300" w:lineRule="exact"/>
        <w:jc w:val="both"/>
        <w:rPr>
          <w:rFonts w:ascii="Arial" w:eastAsia="Cambria" w:hAnsi="Arial" w:cs="Arial"/>
          <w:b/>
          <w:sz w:val="20"/>
        </w:rPr>
      </w:pPr>
      <w:r w:rsidRPr="00A35E19">
        <w:rPr>
          <w:rFonts w:ascii="Arial" w:eastAsia="Cambria" w:hAnsi="Arial" w:cs="Arial"/>
          <w:b/>
          <w:sz w:val="20"/>
        </w:rPr>
        <w:t>Good luck with your activities!</w:t>
      </w:r>
    </w:p>
    <w:p w:rsidR="00B11483" w:rsidRPr="00FC36F0" w:rsidRDefault="00B11483" w:rsidP="00FC36F0">
      <w:pPr>
        <w:pStyle w:val="Heading2"/>
        <w:spacing w:before="0" w:after="0"/>
        <w:rPr>
          <w:color w:val="1F4E79" w:themeColor="accent1" w:themeShade="80"/>
        </w:rPr>
      </w:pPr>
      <w:r w:rsidRPr="00A35E19">
        <w:rPr>
          <w:color w:val="1F4E79" w:themeColor="accent1" w:themeShade="80"/>
        </w:rPr>
        <w:t>Event planning checklist</w:t>
      </w:r>
    </w:p>
    <w:p w:rsidR="002D0292" w:rsidRDefault="002D0292" w:rsidP="002D0292">
      <w:r>
        <w:t xml:space="preserve">During COVID-19 some activities may not be feasible. Think about the best way to engage to make the most impact. Does your hospital use stickers for staff and visitors? Maybe design a sticker with an AAW message. </w:t>
      </w:r>
    </w:p>
    <w:p w:rsidR="002D0292" w:rsidRPr="002D0292" w:rsidRDefault="002D0292" w:rsidP="002D0292"/>
    <w:tbl>
      <w:tblPr>
        <w:tblW w:w="570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2"/>
        <w:gridCol w:w="1135"/>
        <w:gridCol w:w="1698"/>
      </w:tblGrid>
      <w:tr w:rsidR="00B11483" w:rsidRPr="00A35E19" w:rsidTr="00DC7983">
        <w:trPr>
          <w:trHeight w:val="2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B11483" w:rsidRPr="00A35E19" w:rsidRDefault="000809F9" w:rsidP="00905962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A35E19">
              <w:rPr>
                <w:rFonts w:ascii="Arial" w:eastAsia="Cambria" w:hAnsi="Arial" w:cs="Arial"/>
                <w:b/>
                <w:color w:val="FFFFFF" w:themeColor="background1"/>
                <w:sz w:val="18"/>
                <w:szCs w:val="18"/>
              </w:rPr>
              <w:t>November</w:t>
            </w:r>
            <w:r w:rsidR="00905962" w:rsidRPr="00A35E19">
              <w:rPr>
                <w:rFonts w:ascii="Arial" w:eastAsia="Cambria" w:hAnsi="Arial" w:cs="Arial"/>
                <w:b/>
                <w:color w:val="FFFFFF" w:themeColor="background1"/>
                <w:sz w:val="18"/>
                <w:szCs w:val="18"/>
              </w:rPr>
              <w:t>: Two weeks to go</w:t>
            </w:r>
          </w:p>
        </w:tc>
      </w:tr>
      <w:tr w:rsidR="00A35E19" w:rsidRPr="00A35E19" w:rsidTr="00DC7983">
        <w:trPr>
          <w:trHeight w:val="219"/>
        </w:trPr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83" w:rsidRPr="00A35E19" w:rsidRDefault="00B11483" w:rsidP="00F670FE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A35E19">
              <w:rPr>
                <w:rFonts w:ascii="Arial" w:eastAsia="Cambria" w:hAnsi="Arial" w:cs="Arial"/>
                <w:b/>
                <w:sz w:val="18"/>
                <w:szCs w:val="18"/>
              </w:rPr>
              <w:t>Action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A35E19">
              <w:rPr>
                <w:rFonts w:ascii="Arial" w:eastAsia="Cambria" w:hAnsi="Arial" w:cs="Arial"/>
                <w:b/>
                <w:sz w:val="18"/>
                <w:szCs w:val="18"/>
              </w:rPr>
              <w:t xml:space="preserve">Who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83" w:rsidRPr="00A35E19" w:rsidRDefault="00B11483" w:rsidP="00F670FE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A35E19">
              <w:rPr>
                <w:rFonts w:ascii="Arial" w:eastAsia="Cambria" w:hAnsi="Arial" w:cs="Arial"/>
                <w:b/>
                <w:sz w:val="18"/>
                <w:szCs w:val="18"/>
              </w:rPr>
              <w:t>Notes</w:t>
            </w:r>
          </w:p>
        </w:tc>
      </w:tr>
      <w:tr w:rsidR="00B11483" w:rsidRPr="00A35E19" w:rsidTr="00DC7983">
        <w:trPr>
          <w:trHeight w:val="340"/>
        </w:trPr>
        <w:tc>
          <w:tcPr>
            <w:tcW w:w="3722" w:type="pct"/>
            <w:tcBorders>
              <w:bottom w:val="single" w:sz="4" w:space="0" w:color="auto"/>
            </w:tcBorders>
            <w:vAlign w:val="center"/>
          </w:tcPr>
          <w:p w:rsidR="00B11483" w:rsidRPr="00A35E19" w:rsidRDefault="00905962" w:rsidP="0002540B">
            <w:pPr>
              <w:autoSpaceDE w:val="0"/>
              <w:autoSpaceDN w:val="0"/>
              <w:adjustRightInd w:val="0"/>
              <w:rPr>
                <w:rFonts w:ascii="Arial" w:eastAsia="Cambria" w:hAnsi="Arial" w:cs="Arial"/>
                <w:bCs/>
                <w:color w:val="000000"/>
                <w:sz w:val="16"/>
                <w:szCs w:val="16"/>
                <w:lang w:eastAsia="en-AU"/>
              </w:rPr>
            </w:pPr>
            <w:r w:rsidRPr="00A35E19">
              <w:rPr>
                <w:rFonts w:ascii="Arial" w:eastAsia="Cambria" w:hAnsi="Arial" w:cs="Arial"/>
                <w:bCs/>
                <w:color w:val="000000"/>
                <w:sz w:val="16"/>
                <w:szCs w:val="16"/>
                <w:lang w:eastAsia="en-AU"/>
              </w:rPr>
              <w:t xml:space="preserve">Remind </w:t>
            </w:r>
            <w:r w:rsidR="001D5BA2" w:rsidRPr="00A35E19">
              <w:rPr>
                <w:rFonts w:ascii="Arial" w:eastAsia="Cambria" w:hAnsi="Arial" w:cs="Arial"/>
                <w:bCs/>
                <w:color w:val="000000"/>
                <w:sz w:val="16"/>
                <w:szCs w:val="16"/>
                <w:lang w:eastAsia="en-AU"/>
              </w:rPr>
              <w:t>your ‘key people’</w:t>
            </w:r>
            <w:r w:rsidR="009C02D5" w:rsidRPr="00A35E19">
              <w:rPr>
                <w:rFonts w:ascii="Arial" w:eastAsia="Cambria" w:hAnsi="Arial" w:cs="Arial"/>
                <w:bCs/>
                <w:color w:val="000000"/>
                <w:sz w:val="16"/>
                <w:szCs w:val="16"/>
                <w:lang w:eastAsia="en-AU"/>
              </w:rPr>
              <w:t xml:space="preserve"> about </w:t>
            </w:r>
            <w:r w:rsidR="001D5BA2" w:rsidRPr="00A35E19">
              <w:rPr>
                <w:rFonts w:ascii="Arial" w:eastAsia="Cambria" w:hAnsi="Arial" w:cs="Arial"/>
                <w:bCs/>
                <w:color w:val="000000"/>
                <w:sz w:val="16"/>
                <w:szCs w:val="16"/>
                <w:lang w:eastAsia="en-AU"/>
              </w:rPr>
              <w:t xml:space="preserve">AAW </w:t>
            </w:r>
            <w:r w:rsidR="00B11483" w:rsidRPr="00A35E19">
              <w:rPr>
                <w:rFonts w:ascii="Arial" w:eastAsia="Cambria" w:hAnsi="Arial" w:cs="Arial"/>
                <w:bCs/>
                <w:color w:val="000000"/>
                <w:sz w:val="16"/>
                <w:szCs w:val="16"/>
                <w:lang w:eastAsia="en-AU"/>
              </w:rPr>
              <w:t xml:space="preserve">and </w:t>
            </w:r>
            <w:r w:rsidRPr="00A35E19">
              <w:rPr>
                <w:rFonts w:ascii="Arial" w:eastAsia="Cambria" w:hAnsi="Arial" w:cs="Arial"/>
                <w:bCs/>
                <w:color w:val="000000"/>
                <w:sz w:val="16"/>
                <w:szCs w:val="16"/>
                <w:lang w:eastAsia="en-AU"/>
              </w:rPr>
              <w:t xml:space="preserve">confirm </w:t>
            </w:r>
            <w:r w:rsidR="00DC7983" w:rsidRPr="00A35E19">
              <w:rPr>
                <w:rFonts w:ascii="Arial" w:eastAsia="Cambria" w:hAnsi="Arial" w:cs="Arial"/>
                <w:bCs/>
                <w:color w:val="000000"/>
                <w:sz w:val="16"/>
                <w:szCs w:val="16"/>
                <w:lang w:eastAsia="en-AU"/>
              </w:rPr>
              <w:t>their support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b/>
                <w:sz w:val="16"/>
                <w:szCs w:val="16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b/>
                <w:sz w:val="16"/>
                <w:szCs w:val="16"/>
              </w:rPr>
            </w:pPr>
          </w:p>
        </w:tc>
      </w:tr>
      <w:tr w:rsidR="00B11483" w:rsidRPr="00A35E19" w:rsidTr="00DC7983">
        <w:trPr>
          <w:trHeight w:val="257"/>
        </w:trPr>
        <w:tc>
          <w:tcPr>
            <w:tcW w:w="3722" w:type="pct"/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A35E19">
              <w:rPr>
                <w:rFonts w:ascii="Arial" w:eastAsia="Cambria" w:hAnsi="Arial" w:cs="Arial"/>
                <w:sz w:val="16"/>
                <w:szCs w:val="16"/>
              </w:rPr>
              <w:t>Finalise your ideas and the resources you will need for the week:</w:t>
            </w:r>
          </w:p>
          <w:p w:rsidR="00B11483" w:rsidRPr="00A35E19" w:rsidRDefault="00B11483" w:rsidP="00B1148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A35E19">
              <w:rPr>
                <w:rFonts w:ascii="Arial" w:hAnsi="Arial" w:cs="Arial"/>
                <w:sz w:val="16"/>
                <w:szCs w:val="16"/>
              </w:rPr>
              <w:t>What promotional materials will you need?</w:t>
            </w:r>
          </w:p>
          <w:p w:rsidR="00B11483" w:rsidRPr="00A35E19" w:rsidRDefault="00B11483" w:rsidP="00B1148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A35E19">
              <w:rPr>
                <w:rFonts w:ascii="Arial" w:hAnsi="Arial" w:cs="Arial"/>
                <w:sz w:val="16"/>
                <w:szCs w:val="16"/>
              </w:rPr>
              <w:t>What other teams or groups will you need to engage for assistance?</w:t>
            </w:r>
          </w:p>
          <w:p w:rsidR="00B11483" w:rsidRPr="00A35E19" w:rsidRDefault="00B11483" w:rsidP="00B1148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A35E19">
              <w:rPr>
                <w:rFonts w:ascii="Arial" w:hAnsi="Arial" w:cs="Arial"/>
                <w:sz w:val="16"/>
                <w:szCs w:val="16"/>
              </w:rPr>
              <w:t>Do you need to organise a venue, e.g. presentation room or foyer?</w:t>
            </w:r>
          </w:p>
          <w:p w:rsidR="00B26CEB" w:rsidRPr="00A35E19" w:rsidRDefault="00B26CEB" w:rsidP="00B1148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A35E19">
              <w:rPr>
                <w:rFonts w:ascii="Arial" w:hAnsi="Arial" w:cs="Arial"/>
                <w:sz w:val="16"/>
                <w:szCs w:val="16"/>
              </w:rPr>
              <w:t>Will you organise a display/stand in your organisation?</w:t>
            </w:r>
          </w:p>
          <w:p w:rsidR="00B26CEB" w:rsidRPr="00A35E19" w:rsidRDefault="00B26CEB" w:rsidP="00B1148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A35E19">
              <w:rPr>
                <w:rFonts w:ascii="Arial" w:hAnsi="Arial" w:cs="Arial"/>
                <w:sz w:val="16"/>
                <w:szCs w:val="16"/>
              </w:rPr>
              <w:t>Can you speak at a pre-organised event such as grand rounds?</w:t>
            </w:r>
          </w:p>
          <w:p w:rsidR="001C2698" w:rsidRPr="00A35E19" w:rsidRDefault="001C2698" w:rsidP="001C2698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B26CEB" w:rsidRPr="00A35E19" w:rsidRDefault="001C2698" w:rsidP="001C2698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A35E19">
              <w:rPr>
                <w:rFonts w:ascii="Arial" w:hAnsi="Arial" w:cs="Arial"/>
                <w:b/>
                <w:sz w:val="16"/>
                <w:szCs w:val="16"/>
              </w:rPr>
              <w:t>Hint</w:t>
            </w:r>
            <w:r w:rsidRPr="00A35E19">
              <w:rPr>
                <w:rFonts w:ascii="Arial" w:hAnsi="Arial" w:cs="Arial"/>
                <w:sz w:val="16"/>
                <w:szCs w:val="16"/>
              </w:rPr>
              <w:t xml:space="preserve"> – See the Ideas for activities and events guide for more information </w:t>
            </w:r>
          </w:p>
        </w:tc>
        <w:tc>
          <w:tcPr>
            <w:tcW w:w="512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B11483" w:rsidRPr="00A35E19" w:rsidTr="00DC7983">
        <w:trPr>
          <w:trHeight w:val="365"/>
        </w:trPr>
        <w:tc>
          <w:tcPr>
            <w:tcW w:w="3722" w:type="pct"/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A35E19">
              <w:rPr>
                <w:rFonts w:ascii="Arial" w:eastAsia="Cambria" w:hAnsi="Arial" w:cs="Arial"/>
                <w:bCs/>
                <w:sz w:val="16"/>
                <w:szCs w:val="16"/>
              </w:rPr>
              <w:t xml:space="preserve">Book venues and equipment for presentations and foyer displays  </w:t>
            </w:r>
          </w:p>
        </w:tc>
        <w:tc>
          <w:tcPr>
            <w:tcW w:w="512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B11483" w:rsidRPr="00A35E19" w:rsidTr="00DC7983">
        <w:trPr>
          <w:trHeight w:val="513"/>
        </w:trPr>
        <w:tc>
          <w:tcPr>
            <w:tcW w:w="3722" w:type="pct"/>
            <w:vAlign w:val="center"/>
          </w:tcPr>
          <w:p w:rsidR="00B11483" w:rsidRPr="00A35E19" w:rsidRDefault="00B11483" w:rsidP="001C2698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A35E19">
              <w:rPr>
                <w:rFonts w:ascii="Arial" w:eastAsia="Cambria" w:hAnsi="Arial" w:cs="Arial"/>
                <w:sz w:val="16"/>
                <w:szCs w:val="16"/>
              </w:rPr>
              <w:t>If participating in the</w:t>
            </w:r>
            <w:r w:rsidR="0002540B">
              <w:rPr>
                <w:rFonts w:ascii="Arial" w:eastAsia="Cambria" w:hAnsi="Arial" w:cs="Arial"/>
                <w:sz w:val="16"/>
                <w:szCs w:val="16"/>
              </w:rPr>
              <w:t xml:space="preserve"> National Antimicrobial Prescribing Survey</w:t>
            </w:r>
            <w:r w:rsidRPr="00A35E19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r w:rsidR="0002540B">
              <w:rPr>
                <w:rFonts w:ascii="Arial" w:eastAsia="Cambria" w:hAnsi="Arial" w:cs="Arial"/>
                <w:sz w:val="16"/>
                <w:szCs w:val="16"/>
              </w:rPr>
              <w:t>(</w:t>
            </w:r>
            <w:r w:rsidRPr="00A35E19">
              <w:rPr>
                <w:rFonts w:ascii="Arial" w:eastAsia="Cambria" w:hAnsi="Arial" w:cs="Arial"/>
                <w:sz w:val="16"/>
                <w:szCs w:val="16"/>
              </w:rPr>
              <w:t>NAPS</w:t>
            </w:r>
            <w:r w:rsidR="0002540B">
              <w:rPr>
                <w:rFonts w:ascii="Arial" w:eastAsia="Cambria" w:hAnsi="Arial" w:cs="Arial"/>
                <w:sz w:val="16"/>
                <w:szCs w:val="16"/>
              </w:rPr>
              <w:t>)</w:t>
            </w:r>
            <w:r w:rsidR="00461B87" w:rsidRPr="00A35E19">
              <w:rPr>
                <w:rFonts w:ascii="Arial" w:eastAsia="Cambria" w:hAnsi="Arial" w:cs="Arial"/>
                <w:sz w:val="16"/>
                <w:szCs w:val="16"/>
              </w:rPr>
              <w:t>,</w:t>
            </w:r>
            <w:r w:rsidRPr="00A35E19">
              <w:rPr>
                <w:rFonts w:ascii="Arial" w:eastAsia="Cambria" w:hAnsi="Arial" w:cs="Arial"/>
                <w:sz w:val="16"/>
                <w:szCs w:val="16"/>
              </w:rPr>
              <w:t xml:space="preserve"> determine the timeframe and scope of data collection and make sure relevant people are aware of the activity </w:t>
            </w:r>
          </w:p>
        </w:tc>
        <w:tc>
          <w:tcPr>
            <w:tcW w:w="512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B11483" w:rsidRPr="00A35E19" w:rsidTr="00DC7983">
        <w:trPr>
          <w:trHeight w:val="650"/>
        </w:trPr>
        <w:tc>
          <w:tcPr>
            <w:tcW w:w="3722" w:type="pct"/>
            <w:vAlign w:val="center"/>
          </w:tcPr>
          <w:p w:rsidR="00B11483" w:rsidRPr="00A35E19" w:rsidRDefault="00905962" w:rsidP="004F600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35E19">
              <w:rPr>
                <w:rFonts w:ascii="Arial" w:hAnsi="Arial" w:cs="Arial"/>
                <w:sz w:val="16"/>
                <w:szCs w:val="16"/>
              </w:rPr>
              <w:t xml:space="preserve">Confirm any </w:t>
            </w:r>
            <w:r w:rsidR="00B11483" w:rsidRPr="00A35E19">
              <w:rPr>
                <w:rFonts w:ascii="Arial" w:hAnsi="Arial" w:cs="Arial"/>
                <w:sz w:val="16"/>
                <w:szCs w:val="16"/>
              </w:rPr>
              <w:t xml:space="preserve">speakers </w:t>
            </w:r>
            <w:r w:rsidRPr="00A35E19">
              <w:rPr>
                <w:rFonts w:ascii="Arial" w:hAnsi="Arial" w:cs="Arial"/>
                <w:sz w:val="16"/>
                <w:szCs w:val="16"/>
              </w:rPr>
              <w:t xml:space="preserve">who will be involved in presentations </w:t>
            </w:r>
            <w:r w:rsidR="00A138F0" w:rsidRPr="00A35E19">
              <w:rPr>
                <w:rFonts w:ascii="Arial" w:hAnsi="Arial" w:cs="Arial"/>
                <w:sz w:val="16"/>
                <w:szCs w:val="16"/>
              </w:rPr>
              <w:t>during the week</w:t>
            </w:r>
            <w:r w:rsidR="00B11483" w:rsidRPr="00A35E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C2698" w:rsidRPr="00A35E19" w:rsidRDefault="001C2698" w:rsidP="001C269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11483" w:rsidRPr="00A35E19" w:rsidRDefault="00905962" w:rsidP="001C269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35E19">
              <w:rPr>
                <w:rFonts w:ascii="Arial" w:hAnsi="Arial" w:cs="Arial"/>
                <w:b/>
                <w:sz w:val="16"/>
                <w:szCs w:val="16"/>
              </w:rPr>
              <w:t>Hint</w:t>
            </w:r>
            <w:r w:rsidRPr="00A35E19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11483" w:rsidRPr="00A35E19">
              <w:rPr>
                <w:rFonts w:ascii="Arial" w:hAnsi="Arial" w:cs="Arial"/>
                <w:sz w:val="16"/>
                <w:szCs w:val="16"/>
              </w:rPr>
              <w:t xml:space="preserve">send an email calendar invite with a reminder for the day before </w:t>
            </w:r>
          </w:p>
        </w:tc>
        <w:tc>
          <w:tcPr>
            <w:tcW w:w="512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B11483" w:rsidRPr="00A35E19" w:rsidTr="00DC7983">
        <w:trPr>
          <w:trHeight w:val="588"/>
        </w:trPr>
        <w:tc>
          <w:tcPr>
            <w:tcW w:w="3722" w:type="pct"/>
            <w:vAlign w:val="center"/>
          </w:tcPr>
          <w:p w:rsidR="00B26CEB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A35E19">
              <w:rPr>
                <w:rFonts w:ascii="Arial" w:eastAsia="Cambria" w:hAnsi="Arial" w:cs="Arial"/>
                <w:sz w:val="16"/>
                <w:szCs w:val="16"/>
              </w:rPr>
              <w:t>Work with the relevant departments (e.g. executive or public relations) and confirm any photographers, newsletter or local media activities</w:t>
            </w:r>
            <w:r w:rsidR="00B26CEB" w:rsidRPr="00A35E19">
              <w:rPr>
                <w:rFonts w:ascii="Arial" w:eastAsia="Cambria" w:hAnsi="Arial" w:cs="Arial"/>
                <w:sz w:val="16"/>
                <w:szCs w:val="16"/>
              </w:rPr>
              <w:t>. Ask if you can display an AAW banner on your health service’s intranet page or have a social media pres</w:t>
            </w:r>
            <w:r w:rsidR="0002540B">
              <w:rPr>
                <w:rFonts w:ascii="Arial" w:eastAsia="Cambria" w:hAnsi="Arial" w:cs="Arial"/>
                <w:sz w:val="16"/>
                <w:szCs w:val="16"/>
              </w:rPr>
              <w:t>ence if your organisation utilis</w:t>
            </w:r>
            <w:r w:rsidR="00B26CEB" w:rsidRPr="00A35E19">
              <w:rPr>
                <w:rFonts w:ascii="Arial" w:eastAsia="Cambria" w:hAnsi="Arial" w:cs="Arial"/>
                <w:sz w:val="16"/>
                <w:szCs w:val="16"/>
              </w:rPr>
              <w:t>es social media (i</w:t>
            </w:r>
            <w:r w:rsidR="00461B87" w:rsidRPr="00A35E19">
              <w:rPr>
                <w:rFonts w:ascii="Arial" w:eastAsia="Cambria" w:hAnsi="Arial" w:cs="Arial"/>
                <w:sz w:val="16"/>
                <w:szCs w:val="16"/>
              </w:rPr>
              <w:t>.</w:t>
            </w:r>
            <w:r w:rsidR="00B26CEB" w:rsidRPr="00A35E19">
              <w:rPr>
                <w:rFonts w:ascii="Arial" w:eastAsia="Cambria" w:hAnsi="Arial" w:cs="Arial"/>
                <w:sz w:val="16"/>
                <w:szCs w:val="16"/>
              </w:rPr>
              <w:t>e</w:t>
            </w:r>
            <w:r w:rsidR="00461B87" w:rsidRPr="00A35E19">
              <w:rPr>
                <w:rFonts w:ascii="Arial" w:eastAsia="Cambria" w:hAnsi="Arial" w:cs="Arial"/>
                <w:sz w:val="16"/>
                <w:szCs w:val="16"/>
              </w:rPr>
              <w:t>.</w:t>
            </w:r>
            <w:r w:rsidR="00B26CEB" w:rsidRPr="00A35E19">
              <w:rPr>
                <w:rFonts w:ascii="Arial" w:eastAsia="Cambria" w:hAnsi="Arial" w:cs="Arial"/>
                <w:sz w:val="16"/>
                <w:szCs w:val="16"/>
              </w:rPr>
              <w:t xml:space="preserve"> Facebook</w:t>
            </w:r>
            <w:r w:rsidR="00461B87" w:rsidRPr="00A35E19">
              <w:rPr>
                <w:rFonts w:ascii="Arial" w:eastAsia="Cambria" w:hAnsi="Arial" w:cs="Arial"/>
                <w:sz w:val="16"/>
                <w:szCs w:val="16"/>
              </w:rPr>
              <w:t>, LinkedIn</w:t>
            </w:r>
            <w:r w:rsidR="00B26CEB" w:rsidRPr="00A35E19">
              <w:rPr>
                <w:rFonts w:ascii="Arial" w:eastAsia="Cambria" w:hAnsi="Arial" w:cs="Arial"/>
                <w:sz w:val="16"/>
                <w:szCs w:val="16"/>
              </w:rPr>
              <w:t xml:space="preserve"> or Twitter)</w:t>
            </w:r>
          </w:p>
          <w:p w:rsidR="001C2698" w:rsidRPr="00A35E19" w:rsidRDefault="001C2698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  <w:p w:rsidR="001C2698" w:rsidRPr="00A35E19" w:rsidRDefault="001C2698" w:rsidP="004F6009">
            <w:pPr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A35E19">
              <w:rPr>
                <w:rFonts w:ascii="Arial" w:hAnsi="Arial" w:cs="Arial"/>
                <w:b/>
                <w:sz w:val="16"/>
                <w:szCs w:val="16"/>
              </w:rPr>
              <w:t>Hint</w:t>
            </w:r>
            <w:r w:rsidRPr="00A35E19">
              <w:rPr>
                <w:rFonts w:ascii="Arial" w:hAnsi="Arial" w:cs="Arial"/>
                <w:sz w:val="16"/>
                <w:szCs w:val="16"/>
              </w:rPr>
              <w:t xml:space="preserve"> – See the Social Media Guide for more information.</w:t>
            </w:r>
          </w:p>
        </w:tc>
        <w:tc>
          <w:tcPr>
            <w:tcW w:w="512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B11483" w:rsidRPr="00A35E19" w:rsidTr="00DC7983">
        <w:trPr>
          <w:trHeight w:val="446"/>
        </w:trPr>
        <w:tc>
          <w:tcPr>
            <w:tcW w:w="3722" w:type="pct"/>
            <w:vAlign w:val="center"/>
          </w:tcPr>
          <w:p w:rsidR="00B11483" w:rsidRPr="00A35E19" w:rsidRDefault="00B11483" w:rsidP="0002540B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A35E19">
              <w:rPr>
                <w:rFonts w:ascii="Arial" w:eastAsia="Cambria" w:hAnsi="Arial" w:cs="Arial"/>
                <w:sz w:val="16"/>
                <w:szCs w:val="16"/>
              </w:rPr>
              <w:t xml:space="preserve">Use the </w:t>
            </w:r>
            <w:r w:rsidR="0002540B">
              <w:rPr>
                <w:rFonts w:ascii="Arial" w:eastAsia="Cambria" w:hAnsi="Arial" w:cs="Arial"/>
                <w:sz w:val="16"/>
                <w:szCs w:val="16"/>
              </w:rPr>
              <w:t>Antimicrobial</w:t>
            </w:r>
            <w:r w:rsidRPr="00A35E19">
              <w:rPr>
                <w:rFonts w:ascii="Arial" w:eastAsia="Cambria" w:hAnsi="Arial" w:cs="Arial"/>
                <w:sz w:val="16"/>
                <w:szCs w:val="16"/>
              </w:rPr>
              <w:t xml:space="preserve"> Awareness Week logo in your emails and correspondence to promote the week (av</w:t>
            </w:r>
            <w:r w:rsidR="00953082" w:rsidRPr="00A35E19">
              <w:rPr>
                <w:rFonts w:ascii="Arial" w:eastAsia="Cambria" w:hAnsi="Arial" w:cs="Arial"/>
                <w:sz w:val="16"/>
                <w:szCs w:val="16"/>
              </w:rPr>
              <w:t>ailable on the Commission’s web</w:t>
            </w:r>
            <w:r w:rsidRPr="00A35E19">
              <w:rPr>
                <w:rFonts w:ascii="Arial" w:eastAsia="Cambria" w:hAnsi="Arial" w:cs="Arial"/>
                <w:sz w:val="16"/>
                <w:szCs w:val="16"/>
              </w:rPr>
              <w:t xml:space="preserve">site) </w:t>
            </w:r>
          </w:p>
        </w:tc>
        <w:tc>
          <w:tcPr>
            <w:tcW w:w="512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A35E19" w:rsidRPr="00A35E19" w:rsidTr="00DC7983">
        <w:trPr>
          <w:trHeight w:val="585"/>
        </w:trPr>
        <w:tc>
          <w:tcPr>
            <w:tcW w:w="3722" w:type="pct"/>
            <w:tcBorders>
              <w:bottom w:val="single" w:sz="4" w:space="0" w:color="auto"/>
            </w:tcBorders>
            <w:vAlign w:val="center"/>
          </w:tcPr>
          <w:p w:rsidR="00B11483" w:rsidRPr="00A35E19" w:rsidRDefault="00B11483" w:rsidP="0090596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35E19">
              <w:rPr>
                <w:rFonts w:ascii="Arial" w:hAnsi="Arial" w:cs="Arial"/>
                <w:sz w:val="16"/>
                <w:szCs w:val="16"/>
              </w:rPr>
              <w:lastRenderedPageBreak/>
              <w:t xml:space="preserve">Ask your Chief Executive or equivalent executive leader to support the week by sending an email or letter to staff about the week. Have the letter signed by a senior clinician to demonstrate both executive and clinical support of the week  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B11483" w:rsidRPr="00A35E19" w:rsidTr="00DC7983">
        <w:trPr>
          <w:trHeight w:val="336"/>
        </w:trPr>
        <w:tc>
          <w:tcPr>
            <w:tcW w:w="3722" w:type="pct"/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A35E19">
              <w:rPr>
                <w:rFonts w:ascii="Arial" w:eastAsia="Cambria" w:hAnsi="Arial" w:cs="Arial"/>
                <w:sz w:val="16"/>
                <w:szCs w:val="16"/>
              </w:rPr>
              <w:t>Download posters from the Commission</w:t>
            </w:r>
            <w:r w:rsidR="00B26CEB" w:rsidRPr="00A35E19">
              <w:rPr>
                <w:rFonts w:ascii="Arial" w:eastAsia="Cambria" w:hAnsi="Arial" w:cs="Arial"/>
                <w:sz w:val="16"/>
                <w:szCs w:val="16"/>
              </w:rPr>
              <w:t xml:space="preserve"> (or design your own)</w:t>
            </w:r>
            <w:r w:rsidRPr="00A35E19">
              <w:rPr>
                <w:rFonts w:ascii="Arial" w:eastAsia="Cambria" w:hAnsi="Arial" w:cs="Arial"/>
                <w:sz w:val="16"/>
                <w:szCs w:val="16"/>
              </w:rPr>
              <w:t xml:space="preserve"> and display them around your health service in:</w:t>
            </w:r>
          </w:p>
          <w:p w:rsidR="00B11483" w:rsidRPr="00A35E19" w:rsidRDefault="00B11483" w:rsidP="00B26CE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57"/>
              <w:rPr>
                <w:sz w:val="16"/>
                <w:szCs w:val="16"/>
              </w:rPr>
            </w:pPr>
            <w:r w:rsidRPr="00A35E19">
              <w:rPr>
                <w:sz w:val="16"/>
                <w:szCs w:val="16"/>
              </w:rPr>
              <w:t>lifts and stairwells</w:t>
            </w:r>
          </w:p>
          <w:p w:rsidR="00B11483" w:rsidRPr="00A35E19" w:rsidRDefault="00B11483" w:rsidP="00B26CE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57"/>
              <w:rPr>
                <w:rFonts w:eastAsia="Cambria"/>
                <w:sz w:val="16"/>
                <w:szCs w:val="16"/>
              </w:rPr>
            </w:pPr>
            <w:r w:rsidRPr="00A35E19">
              <w:rPr>
                <w:sz w:val="16"/>
                <w:szCs w:val="16"/>
              </w:rPr>
              <w:t>medication rooms and the pharmacy</w:t>
            </w:r>
          </w:p>
          <w:p w:rsidR="00B11483" w:rsidRPr="00A35E19" w:rsidRDefault="00B11483" w:rsidP="00B26CE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57"/>
              <w:rPr>
                <w:sz w:val="16"/>
                <w:szCs w:val="16"/>
              </w:rPr>
            </w:pPr>
            <w:r w:rsidRPr="00A35E19">
              <w:rPr>
                <w:sz w:val="16"/>
                <w:szCs w:val="16"/>
              </w:rPr>
              <w:t>the executive unit</w:t>
            </w:r>
          </w:p>
          <w:p w:rsidR="00B11483" w:rsidRPr="00A35E19" w:rsidRDefault="00B11483" w:rsidP="00B26CE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57"/>
              <w:rPr>
                <w:sz w:val="16"/>
                <w:szCs w:val="16"/>
              </w:rPr>
            </w:pPr>
            <w:r w:rsidRPr="00A35E19">
              <w:rPr>
                <w:sz w:val="16"/>
                <w:szCs w:val="16"/>
              </w:rPr>
              <w:t>the foyer or ward areas</w:t>
            </w:r>
          </w:p>
          <w:p w:rsidR="00B11483" w:rsidRPr="00A35E19" w:rsidRDefault="00B11483" w:rsidP="00B26CE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57"/>
              <w:rPr>
                <w:sz w:val="16"/>
                <w:szCs w:val="16"/>
              </w:rPr>
            </w:pPr>
            <w:r w:rsidRPr="00A35E19">
              <w:rPr>
                <w:sz w:val="16"/>
                <w:szCs w:val="16"/>
              </w:rPr>
              <w:t>outpatient clinic waiting areas/outpatient pharmacies</w:t>
            </w:r>
          </w:p>
          <w:p w:rsidR="00B26CEB" w:rsidRPr="00A35E19" w:rsidRDefault="00B26CEB" w:rsidP="00B26CEB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B11483" w:rsidRPr="00A35E19" w:rsidRDefault="00B11483" w:rsidP="00B26CEB">
            <w:pPr>
              <w:ind w:left="3"/>
              <w:rPr>
                <w:rFonts w:ascii="Arial" w:hAnsi="Arial" w:cs="Arial"/>
                <w:sz w:val="16"/>
                <w:szCs w:val="16"/>
              </w:rPr>
            </w:pPr>
            <w:r w:rsidRPr="00A35E19">
              <w:rPr>
                <w:rFonts w:ascii="Arial" w:hAnsi="Arial" w:cs="Arial"/>
                <w:b/>
                <w:sz w:val="16"/>
                <w:szCs w:val="16"/>
              </w:rPr>
              <w:t>Hint</w:t>
            </w:r>
            <w:r w:rsidRPr="00A35E19">
              <w:rPr>
                <w:rFonts w:ascii="Arial" w:hAnsi="Arial" w:cs="Arial"/>
                <w:sz w:val="16"/>
                <w:szCs w:val="16"/>
              </w:rPr>
              <w:t xml:space="preserve"> – while hanging posters, talk to people about planned activities for the w</w:t>
            </w:r>
            <w:r w:rsidR="00B26CEB" w:rsidRPr="00A35E19">
              <w:rPr>
                <w:rFonts w:ascii="Arial" w:hAnsi="Arial" w:cs="Arial"/>
                <w:sz w:val="16"/>
                <w:szCs w:val="16"/>
              </w:rPr>
              <w:t xml:space="preserve">eek and how they can participate. Also remember to follow your organisation’s procedure for displaying posters. </w:t>
            </w:r>
          </w:p>
        </w:tc>
        <w:tc>
          <w:tcPr>
            <w:tcW w:w="512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B11483" w:rsidRPr="00A35E19" w:rsidTr="00DC7983">
        <w:trPr>
          <w:trHeight w:val="469"/>
        </w:trPr>
        <w:tc>
          <w:tcPr>
            <w:tcW w:w="3722" w:type="pct"/>
            <w:tcBorders>
              <w:bottom w:val="single" w:sz="4" w:space="0" w:color="auto"/>
            </w:tcBorders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A35E19">
              <w:rPr>
                <w:rFonts w:ascii="Arial" w:eastAsia="Cambria" w:hAnsi="Arial" w:cs="Arial"/>
                <w:sz w:val="16"/>
                <w:szCs w:val="16"/>
              </w:rPr>
              <w:t xml:space="preserve">Organise printing and lamination of promotional </w:t>
            </w:r>
            <w:r w:rsidR="00953082" w:rsidRPr="00A35E19">
              <w:rPr>
                <w:rFonts w:ascii="Arial" w:eastAsia="Cambria" w:hAnsi="Arial" w:cs="Arial"/>
                <w:sz w:val="16"/>
                <w:szCs w:val="16"/>
              </w:rPr>
              <w:t xml:space="preserve">materials </w:t>
            </w:r>
            <w:r w:rsidR="0002540B">
              <w:rPr>
                <w:rFonts w:ascii="Arial" w:eastAsia="Cambria" w:hAnsi="Arial" w:cs="Arial"/>
                <w:sz w:val="16"/>
                <w:szCs w:val="16"/>
              </w:rPr>
              <w:t xml:space="preserve">(posters </w:t>
            </w:r>
            <w:r w:rsidRPr="00A35E19">
              <w:rPr>
                <w:rFonts w:ascii="Arial" w:eastAsia="Cambria" w:hAnsi="Arial" w:cs="Arial"/>
                <w:sz w:val="16"/>
                <w:szCs w:val="16"/>
              </w:rPr>
              <w:t xml:space="preserve">etc.) </w:t>
            </w:r>
          </w:p>
          <w:p w:rsidR="001C2698" w:rsidRPr="00A35E19" w:rsidRDefault="001C2698" w:rsidP="001C269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11483" w:rsidRPr="00A35E19" w:rsidRDefault="00953082" w:rsidP="001C269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35E19">
              <w:rPr>
                <w:rFonts w:ascii="Arial" w:hAnsi="Arial" w:cs="Arial"/>
                <w:b/>
                <w:sz w:val="16"/>
                <w:szCs w:val="16"/>
              </w:rPr>
              <w:t>Hint</w:t>
            </w:r>
            <w:r w:rsidRPr="00A35E19">
              <w:rPr>
                <w:rFonts w:ascii="Arial" w:hAnsi="Arial" w:cs="Arial"/>
                <w:sz w:val="16"/>
                <w:szCs w:val="16"/>
              </w:rPr>
              <w:t xml:space="preserve"> – see if the executive or communications u</w:t>
            </w:r>
            <w:r w:rsidR="00B11483" w:rsidRPr="00A35E19">
              <w:rPr>
                <w:rFonts w:ascii="Arial" w:hAnsi="Arial" w:cs="Arial"/>
                <w:sz w:val="16"/>
                <w:szCs w:val="16"/>
              </w:rPr>
              <w:t>nit</w:t>
            </w:r>
            <w:r w:rsidRPr="00A35E19">
              <w:rPr>
                <w:rFonts w:ascii="Arial" w:hAnsi="Arial" w:cs="Arial"/>
                <w:sz w:val="16"/>
                <w:szCs w:val="16"/>
              </w:rPr>
              <w:t xml:space="preserve"> can assist; they may provide </w:t>
            </w:r>
            <w:r w:rsidR="00B11483" w:rsidRPr="00A35E19">
              <w:rPr>
                <w:rFonts w:ascii="Arial" w:hAnsi="Arial" w:cs="Arial"/>
                <w:sz w:val="16"/>
                <w:szCs w:val="16"/>
              </w:rPr>
              <w:t>some funding for professional printing of materials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B11483" w:rsidRPr="00A35E19" w:rsidTr="00DC7983">
        <w:trPr>
          <w:trHeight w:val="20"/>
        </w:trPr>
        <w:tc>
          <w:tcPr>
            <w:tcW w:w="3722" w:type="pct"/>
            <w:tcBorders>
              <w:bottom w:val="single" w:sz="4" w:space="0" w:color="auto"/>
            </w:tcBorders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A35E19">
              <w:rPr>
                <w:rFonts w:ascii="Arial" w:eastAsia="Cambria" w:hAnsi="Arial" w:cs="Arial"/>
                <w:sz w:val="16"/>
                <w:szCs w:val="16"/>
              </w:rPr>
              <w:t xml:space="preserve">Circulate to all involved: </w:t>
            </w:r>
          </w:p>
          <w:p w:rsidR="00B11483" w:rsidRPr="00A35E19" w:rsidRDefault="00B11483" w:rsidP="00B1148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A35E19">
              <w:rPr>
                <w:rFonts w:ascii="Arial" w:hAnsi="Arial" w:cs="Arial"/>
                <w:sz w:val="16"/>
                <w:szCs w:val="16"/>
              </w:rPr>
              <w:t>Final list of roles and responsibilities, final run sheet</w:t>
            </w:r>
            <w:r w:rsidR="00905962" w:rsidRPr="00A35E19">
              <w:rPr>
                <w:rFonts w:ascii="Arial" w:hAnsi="Arial" w:cs="Arial"/>
                <w:sz w:val="16"/>
                <w:szCs w:val="16"/>
              </w:rPr>
              <w:t xml:space="preserve"> for any events planned</w:t>
            </w:r>
            <w:r w:rsidRPr="00A35E1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B11483" w:rsidRPr="00A35E19" w:rsidTr="00DC7983">
        <w:trPr>
          <w:trHeight w:val="20"/>
        </w:trPr>
        <w:tc>
          <w:tcPr>
            <w:tcW w:w="3722" w:type="pct"/>
            <w:tcBorders>
              <w:bottom w:val="single" w:sz="4" w:space="0" w:color="auto"/>
            </w:tcBorders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A35E19">
              <w:rPr>
                <w:rFonts w:ascii="Arial" w:eastAsia="Cambria" w:hAnsi="Arial" w:cs="Arial"/>
                <w:sz w:val="16"/>
                <w:szCs w:val="16"/>
              </w:rPr>
              <w:t xml:space="preserve">Finalise any catering 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B11483" w:rsidRPr="00A35E19" w:rsidTr="00DC7983">
        <w:trPr>
          <w:trHeight w:val="20"/>
        </w:trPr>
        <w:tc>
          <w:tcPr>
            <w:tcW w:w="5000" w:type="pct"/>
            <w:gridSpan w:val="3"/>
            <w:shd w:val="clear" w:color="auto" w:fill="1F4E79" w:themeFill="accent1" w:themeFillShade="80"/>
            <w:vAlign w:val="center"/>
          </w:tcPr>
          <w:p w:rsidR="00B11483" w:rsidRPr="00A35E19" w:rsidRDefault="00953082" w:rsidP="004F6009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A35E19">
              <w:rPr>
                <w:rFonts w:ascii="Arial" w:eastAsia="Cambria" w:hAnsi="Arial" w:cs="Arial"/>
                <w:b/>
                <w:color w:val="FFFFFF" w:themeColor="background1"/>
                <w:sz w:val="18"/>
                <w:szCs w:val="18"/>
              </w:rPr>
              <w:t xml:space="preserve">November: One </w:t>
            </w:r>
            <w:r w:rsidR="00B11483" w:rsidRPr="00A35E19">
              <w:rPr>
                <w:rFonts w:ascii="Arial" w:eastAsia="Cambria" w:hAnsi="Arial" w:cs="Arial"/>
                <w:b/>
                <w:color w:val="FFFFFF" w:themeColor="background1"/>
                <w:sz w:val="18"/>
                <w:szCs w:val="18"/>
              </w:rPr>
              <w:t xml:space="preserve">week to go </w:t>
            </w:r>
          </w:p>
        </w:tc>
      </w:tr>
      <w:tr w:rsidR="00B11483" w:rsidRPr="00A35E19" w:rsidTr="00DC7983">
        <w:trPr>
          <w:trHeight w:val="348"/>
        </w:trPr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83" w:rsidRPr="00A35E19" w:rsidRDefault="00953082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A35E19">
              <w:rPr>
                <w:rFonts w:ascii="Arial" w:eastAsia="Cambria" w:hAnsi="Arial" w:cs="Arial"/>
                <w:sz w:val="16"/>
                <w:szCs w:val="16"/>
              </w:rPr>
              <w:t>Do a final run-through</w:t>
            </w:r>
            <w:r w:rsidR="00B11483" w:rsidRPr="00A35E19">
              <w:rPr>
                <w:rFonts w:ascii="Arial" w:eastAsia="Cambria" w:hAnsi="Arial" w:cs="Arial"/>
                <w:sz w:val="16"/>
                <w:szCs w:val="16"/>
              </w:rPr>
              <w:t xml:space="preserve"> of all materials to make sure everything is prepared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B11483" w:rsidRPr="00A35E19" w:rsidTr="00DC7983">
        <w:trPr>
          <w:trHeight w:val="393"/>
        </w:trPr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A35E19">
              <w:rPr>
                <w:rFonts w:ascii="Arial" w:eastAsia="Cambria" w:hAnsi="Arial" w:cs="Arial"/>
                <w:sz w:val="16"/>
                <w:szCs w:val="16"/>
              </w:rPr>
              <w:t>If possible, visit any presentation venues and check set up of room and make sur</w:t>
            </w:r>
            <w:r w:rsidR="00DC7983" w:rsidRPr="00A35E19">
              <w:rPr>
                <w:rFonts w:ascii="Arial" w:eastAsia="Cambria" w:hAnsi="Arial" w:cs="Arial"/>
                <w:sz w:val="16"/>
                <w:szCs w:val="16"/>
              </w:rPr>
              <w:t>e you know how to use equipment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83" w:rsidRPr="00A35E19" w:rsidRDefault="00B11483" w:rsidP="004F6009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</w:tbl>
    <w:p w:rsidR="00B11483" w:rsidRPr="00A35E19" w:rsidRDefault="00B11483" w:rsidP="002D0292">
      <w:pPr>
        <w:spacing w:after="120" w:line="300" w:lineRule="exact"/>
        <w:rPr>
          <w:sz w:val="18"/>
          <w:szCs w:val="20"/>
        </w:rPr>
      </w:pPr>
    </w:p>
    <w:sectPr w:rsidR="00B11483" w:rsidRPr="00A35E19" w:rsidSect="00D06131">
      <w:headerReference w:type="default" r:id="rId8"/>
      <w:footerReference w:type="default" r:id="rId9"/>
      <w:pgSz w:w="11900" w:h="16840"/>
      <w:pgMar w:top="3392" w:right="1440" w:bottom="1600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23" w:rsidRDefault="00060723" w:rsidP="002F17B9">
      <w:r>
        <w:separator/>
      </w:r>
    </w:p>
  </w:endnote>
  <w:endnote w:type="continuationSeparator" w:id="0">
    <w:p w:rsidR="00060723" w:rsidRDefault="00060723" w:rsidP="002F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DE" w:rsidRDefault="00A468C4">
    <w:pPr>
      <w:pStyle w:val="Foot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63AFF5A3" wp14:editId="7ABE0CF1">
          <wp:simplePos x="0" y="0"/>
          <wp:positionH relativeFrom="column">
            <wp:posOffset>-638175</wp:posOffset>
          </wp:positionH>
          <wp:positionV relativeFrom="paragraph">
            <wp:posOffset>-114935</wp:posOffset>
          </wp:positionV>
          <wp:extent cx="7818120" cy="845185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23" w:rsidRDefault="00060723" w:rsidP="002F17B9">
      <w:r>
        <w:separator/>
      </w:r>
    </w:p>
  </w:footnote>
  <w:footnote w:type="continuationSeparator" w:id="0">
    <w:p w:rsidR="00060723" w:rsidRDefault="00060723" w:rsidP="002F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B9" w:rsidRDefault="00FC36F0" w:rsidP="00FC36F0">
    <w:pPr>
      <w:tabs>
        <w:tab w:val="left" w:pos="0"/>
      </w:tabs>
      <w:jc w:val="right"/>
    </w:pPr>
    <w:r w:rsidRPr="00926518">
      <w:rPr>
        <w:rFonts w:ascii="Arial" w:eastAsia="Cambria" w:hAnsi="Arial" w:cs="Arial"/>
        <w:sz w:val="16"/>
      </w:rPr>
      <w:t>D20-33096</w:t>
    </w:r>
    <w:r w:rsidR="000E2400">
      <w:rPr>
        <w:noProof/>
        <w:lang w:val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912620" cy="115633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17B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.25pt;height:2in" o:bullet="t">
        <v:imagedata r:id="rId1" o:title="MC900211979[1]"/>
      </v:shape>
    </w:pict>
  </w:numPicBullet>
  <w:abstractNum w:abstractNumId="0" w15:restartNumberingAfterBreak="0">
    <w:nsid w:val="120D361A"/>
    <w:multiLevelType w:val="hybridMultilevel"/>
    <w:tmpl w:val="02503224"/>
    <w:lvl w:ilvl="0" w:tplc="063CABA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8AAC84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C5307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3794A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F027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536E3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26B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483A5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2FD09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AAB598A"/>
    <w:multiLevelType w:val="hybridMultilevel"/>
    <w:tmpl w:val="967C9A04"/>
    <w:lvl w:ilvl="0" w:tplc="23C472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736E2"/>
    <w:multiLevelType w:val="hybridMultilevel"/>
    <w:tmpl w:val="6CA43282"/>
    <w:lvl w:ilvl="0" w:tplc="C628838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857648"/>
    <w:multiLevelType w:val="hybridMultilevel"/>
    <w:tmpl w:val="B1FE1316"/>
    <w:lvl w:ilvl="0" w:tplc="C628838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829B3"/>
    <w:multiLevelType w:val="multilevel"/>
    <w:tmpl w:val="13E6D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42110"/>
    <w:multiLevelType w:val="hybridMultilevel"/>
    <w:tmpl w:val="4F606DF0"/>
    <w:lvl w:ilvl="0" w:tplc="5A04DF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C13C00"/>
    <w:multiLevelType w:val="hybridMultilevel"/>
    <w:tmpl w:val="13E6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25793"/>
    <w:multiLevelType w:val="hybridMultilevel"/>
    <w:tmpl w:val="B40001A8"/>
    <w:lvl w:ilvl="0" w:tplc="498E590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13FDF"/>
    <w:multiLevelType w:val="hybridMultilevel"/>
    <w:tmpl w:val="0BC006AC"/>
    <w:lvl w:ilvl="0" w:tplc="5A04DF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B57224"/>
    <w:multiLevelType w:val="hybridMultilevel"/>
    <w:tmpl w:val="19902AD4"/>
    <w:lvl w:ilvl="0" w:tplc="5A04DF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053775"/>
    <w:multiLevelType w:val="hybridMultilevel"/>
    <w:tmpl w:val="FDEAB8B4"/>
    <w:lvl w:ilvl="0" w:tplc="C628838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8C"/>
    <w:rsid w:val="0002540B"/>
    <w:rsid w:val="00033D2B"/>
    <w:rsid w:val="00051BD2"/>
    <w:rsid w:val="00060723"/>
    <w:rsid w:val="000809F9"/>
    <w:rsid w:val="000A17D2"/>
    <w:rsid w:val="000E2400"/>
    <w:rsid w:val="00150433"/>
    <w:rsid w:val="001C2698"/>
    <w:rsid w:val="001D5BA2"/>
    <w:rsid w:val="001D7BF1"/>
    <w:rsid w:val="002B3529"/>
    <w:rsid w:val="002D0292"/>
    <w:rsid w:val="002F17B9"/>
    <w:rsid w:val="002F5D4A"/>
    <w:rsid w:val="00324ECD"/>
    <w:rsid w:val="00341B84"/>
    <w:rsid w:val="0037324F"/>
    <w:rsid w:val="003B458C"/>
    <w:rsid w:val="003B4C7C"/>
    <w:rsid w:val="00461B87"/>
    <w:rsid w:val="00496698"/>
    <w:rsid w:val="004B2B07"/>
    <w:rsid w:val="00502EA8"/>
    <w:rsid w:val="0051381E"/>
    <w:rsid w:val="005148D2"/>
    <w:rsid w:val="0053101D"/>
    <w:rsid w:val="00535D7A"/>
    <w:rsid w:val="00560897"/>
    <w:rsid w:val="00563BE3"/>
    <w:rsid w:val="00593A01"/>
    <w:rsid w:val="005E539C"/>
    <w:rsid w:val="00603F93"/>
    <w:rsid w:val="00661440"/>
    <w:rsid w:val="00692B13"/>
    <w:rsid w:val="006F6E50"/>
    <w:rsid w:val="00707E50"/>
    <w:rsid w:val="00762338"/>
    <w:rsid w:val="007840F1"/>
    <w:rsid w:val="0079693D"/>
    <w:rsid w:val="007B07DE"/>
    <w:rsid w:val="00886E0C"/>
    <w:rsid w:val="008929AD"/>
    <w:rsid w:val="008A48A4"/>
    <w:rsid w:val="008F6C31"/>
    <w:rsid w:val="00905962"/>
    <w:rsid w:val="00917DE5"/>
    <w:rsid w:val="00926518"/>
    <w:rsid w:val="0093315A"/>
    <w:rsid w:val="009403E0"/>
    <w:rsid w:val="00953082"/>
    <w:rsid w:val="009A4DE0"/>
    <w:rsid w:val="009C02D5"/>
    <w:rsid w:val="009C67CD"/>
    <w:rsid w:val="00A138F0"/>
    <w:rsid w:val="00A20627"/>
    <w:rsid w:val="00A35E19"/>
    <w:rsid w:val="00A468C4"/>
    <w:rsid w:val="00AD3835"/>
    <w:rsid w:val="00B06A2F"/>
    <w:rsid w:val="00B11483"/>
    <w:rsid w:val="00B26CEB"/>
    <w:rsid w:val="00B55B58"/>
    <w:rsid w:val="00B8693B"/>
    <w:rsid w:val="00BB2553"/>
    <w:rsid w:val="00BE344F"/>
    <w:rsid w:val="00BE5CC1"/>
    <w:rsid w:val="00C4579B"/>
    <w:rsid w:val="00C67802"/>
    <w:rsid w:val="00C73666"/>
    <w:rsid w:val="00C822B0"/>
    <w:rsid w:val="00C86B45"/>
    <w:rsid w:val="00CC2B52"/>
    <w:rsid w:val="00CC7562"/>
    <w:rsid w:val="00D06131"/>
    <w:rsid w:val="00D533D0"/>
    <w:rsid w:val="00D82EC9"/>
    <w:rsid w:val="00DA7502"/>
    <w:rsid w:val="00DC7983"/>
    <w:rsid w:val="00E34AC4"/>
    <w:rsid w:val="00E372C8"/>
    <w:rsid w:val="00E40C99"/>
    <w:rsid w:val="00E47E87"/>
    <w:rsid w:val="00E907C2"/>
    <w:rsid w:val="00EA6A46"/>
    <w:rsid w:val="00EB6619"/>
    <w:rsid w:val="00EC3D43"/>
    <w:rsid w:val="00F10373"/>
    <w:rsid w:val="00F26138"/>
    <w:rsid w:val="00F670FE"/>
    <w:rsid w:val="00F80C52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BB496D-B800-46A5-8B36-6FBAFF0F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0627"/>
    <w:pPr>
      <w:keepNext/>
      <w:keepLines/>
      <w:spacing w:before="120" w:after="120"/>
      <w:outlineLvl w:val="0"/>
    </w:pPr>
    <w:rPr>
      <w:rFonts w:ascii="Arial" w:eastAsia="MS Gothic" w:hAnsi="Arial"/>
      <w:b/>
      <w:bCs/>
      <w:color w:val="00B1B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B52"/>
    <w:pPr>
      <w:keepNext/>
      <w:keepLines/>
      <w:spacing w:before="120" w:after="120"/>
      <w:outlineLvl w:val="1"/>
    </w:pPr>
    <w:rPr>
      <w:rFonts w:ascii="Arial" w:eastAsia="MS Gothic" w:hAnsi="Arial"/>
      <w:b/>
      <w:bCs/>
      <w:color w:val="00B1B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H2">
    <w:name w:val="01_H2"/>
    <w:basedOn w:val="Normal"/>
    <w:uiPriority w:val="99"/>
    <w:rsid w:val="00886E0C"/>
    <w:pPr>
      <w:widowControl w:val="0"/>
      <w:autoSpaceDE w:val="0"/>
      <w:autoSpaceDN w:val="0"/>
      <w:adjustRightInd w:val="0"/>
      <w:spacing w:before="170" w:after="170" w:line="400" w:lineRule="atLeast"/>
      <w:textAlignment w:val="center"/>
    </w:pPr>
    <w:rPr>
      <w:rFonts w:ascii="Arial-BoldMT" w:hAnsi="Arial-BoldMT" w:cs="Arial-BoldMT"/>
      <w:b/>
      <w:bCs/>
      <w:color w:val="21FF9E"/>
      <w:sz w:val="34"/>
      <w:szCs w:val="34"/>
      <w:lang w:val="en-GB"/>
    </w:rPr>
  </w:style>
  <w:style w:type="character" w:customStyle="1" w:styleId="Italics">
    <w:name w:val="Italics"/>
    <w:uiPriority w:val="99"/>
    <w:rsid w:val="00886E0C"/>
    <w:rPr>
      <w:rFonts w:ascii="Arial-ItalicMT" w:hAnsi="Arial-ItalicMT" w:cs="Arial-ItalicMT"/>
      <w:i/>
      <w:iCs/>
    </w:rPr>
  </w:style>
  <w:style w:type="paragraph" w:styleId="Footer">
    <w:name w:val="footer"/>
    <w:basedOn w:val="Normal"/>
    <w:link w:val="FooterChar"/>
    <w:uiPriority w:val="99"/>
    <w:unhideWhenUsed/>
    <w:rsid w:val="002F17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7B9"/>
  </w:style>
  <w:style w:type="character" w:customStyle="1" w:styleId="Heading1Char">
    <w:name w:val="Heading 1 Char"/>
    <w:link w:val="Heading1"/>
    <w:uiPriority w:val="9"/>
    <w:rsid w:val="00A20627"/>
    <w:rPr>
      <w:rFonts w:ascii="Arial" w:eastAsia="MS Gothic" w:hAnsi="Arial"/>
      <w:b/>
      <w:bCs/>
      <w:color w:val="00B1B0"/>
      <w:sz w:val="48"/>
      <w:szCs w:val="32"/>
      <w:lang w:val="en-AU"/>
    </w:rPr>
  </w:style>
  <w:style w:type="character" w:customStyle="1" w:styleId="Heading2Char">
    <w:name w:val="Heading 2 Char"/>
    <w:link w:val="Heading2"/>
    <w:uiPriority w:val="9"/>
    <w:rsid w:val="00CC2B52"/>
    <w:rPr>
      <w:rFonts w:ascii="Arial" w:eastAsia="MS Gothic" w:hAnsi="Arial" w:cs="Times New Roman"/>
      <w:b/>
      <w:bCs/>
      <w:color w:val="00B1B0"/>
      <w:sz w:val="32"/>
      <w:szCs w:val="26"/>
    </w:rPr>
  </w:style>
  <w:style w:type="paragraph" w:styleId="NoSpacing">
    <w:name w:val="No Spacing"/>
    <w:uiPriority w:val="1"/>
    <w:qFormat/>
    <w:rsid w:val="00886E0C"/>
    <w:rPr>
      <w:sz w:val="24"/>
      <w:szCs w:val="24"/>
      <w:lang w:val="en-AU"/>
    </w:rPr>
  </w:style>
  <w:style w:type="paragraph" w:customStyle="1" w:styleId="TexboxBody">
    <w:name w:val="Tex box Body"/>
    <w:basedOn w:val="Normal"/>
    <w:qFormat/>
    <w:rsid w:val="00886E0C"/>
    <w:rPr>
      <w:rFonts w:ascii="Arial" w:hAnsi="Arial"/>
      <w:sz w:val="20"/>
    </w:rPr>
  </w:style>
  <w:style w:type="paragraph" w:customStyle="1" w:styleId="Texboxlist">
    <w:name w:val="Tex box list"/>
    <w:basedOn w:val="TexboxBody"/>
    <w:qFormat/>
    <w:rsid w:val="00886E0C"/>
    <w:pPr>
      <w:spacing w:before="120" w:after="120"/>
    </w:pPr>
  </w:style>
  <w:style w:type="paragraph" w:customStyle="1" w:styleId="02Body">
    <w:name w:val="02_Body"/>
    <w:basedOn w:val="Normal"/>
    <w:uiPriority w:val="99"/>
    <w:rsid w:val="00886E0C"/>
    <w:pPr>
      <w:widowControl w:val="0"/>
      <w:suppressAutoHyphens/>
      <w:autoSpaceDE w:val="0"/>
      <w:autoSpaceDN w:val="0"/>
      <w:adjustRightInd w:val="0"/>
      <w:spacing w:after="170" w:line="270" w:lineRule="atLeast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6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0C"/>
  </w:style>
  <w:style w:type="character" w:styleId="Hyperlink">
    <w:name w:val="Hyperlink"/>
    <w:rsid w:val="00B11483"/>
    <w:rPr>
      <w:color w:val="0000FF"/>
      <w:u w:val="single"/>
    </w:rPr>
  </w:style>
  <w:style w:type="character" w:styleId="FootnoteReference">
    <w:name w:val="footnote reference"/>
    <w:rsid w:val="00B11483"/>
    <w:rPr>
      <w:vertAlign w:val="superscript"/>
    </w:rPr>
  </w:style>
  <w:style w:type="paragraph" w:customStyle="1" w:styleId="Default">
    <w:name w:val="Default"/>
    <w:rsid w:val="00B11483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AU" w:eastAsia="en-AU"/>
    </w:rPr>
  </w:style>
  <w:style w:type="paragraph" w:styleId="ListParagraph">
    <w:name w:val="List Paragraph"/>
    <w:basedOn w:val="Normal"/>
    <w:autoRedefine/>
    <w:uiPriority w:val="34"/>
    <w:qFormat/>
    <w:rsid w:val="001D5BA2"/>
    <w:pPr>
      <w:numPr>
        <w:numId w:val="11"/>
      </w:numPr>
      <w:spacing w:after="120" w:line="300" w:lineRule="exact"/>
      <w:contextualSpacing/>
      <w:jc w:val="both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3B"/>
    <w:rPr>
      <w:rFonts w:ascii="Tahoma" w:hAnsi="Tahoma" w:cs="Tahoma"/>
      <w:sz w:val="16"/>
      <w:szCs w:val="1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67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fetyandquality.gov.au/our-work/healthcare-associated-infection/antimicrobial-stewardship/antibiotic-awareness-week/resources-for-antibiotic-awareness-we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Doukas</dc:creator>
  <cp:lastModifiedBy>Mertens, Kate</cp:lastModifiedBy>
  <cp:revision>2</cp:revision>
  <cp:lastPrinted>2015-09-22T06:19:00Z</cp:lastPrinted>
  <dcterms:created xsi:type="dcterms:W3CDTF">2020-10-28T01:23:00Z</dcterms:created>
  <dcterms:modified xsi:type="dcterms:W3CDTF">2020-10-28T01:23:00Z</dcterms:modified>
</cp:coreProperties>
</file>