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842B29">
        <w:rPr>
          <w:rFonts w:ascii="Garamond" w:hAnsi="Garamond"/>
          <w:lang w:val="en-AU"/>
        </w:rPr>
        <w:t>88</w:t>
      </w:r>
    </w:p>
    <w:p w:rsidR="00755242" w:rsidRDefault="008318B8" w:rsidP="00F738B5">
      <w:pPr>
        <w:rPr>
          <w:rFonts w:ascii="Garamond" w:hAnsi="Garamond"/>
          <w:lang w:val="en-AU"/>
        </w:rPr>
      </w:pPr>
      <w:r>
        <w:rPr>
          <w:rFonts w:ascii="Garamond" w:hAnsi="Garamond"/>
          <w:lang w:val="en-AU"/>
        </w:rPr>
        <w:t>2</w:t>
      </w:r>
      <w:r w:rsidR="00842B29">
        <w:rPr>
          <w:rFonts w:ascii="Garamond" w:hAnsi="Garamond"/>
          <w:lang w:val="en-AU"/>
        </w:rPr>
        <w:t xml:space="preserve"> Novem</w:t>
      </w:r>
      <w:r w:rsidR="00872A09">
        <w:rPr>
          <w:rFonts w:ascii="Garamond" w:hAnsi="Garamond"/>
          <w:lang w:val="en-AU"/>
        </w:rPr>
        <w:t xml:space="preserve">ber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15653F">
        <w:rPr>
          <w:rFonts w:ascii="Garamond" w:hAnsi="Garamond"/>
          <w:bCs/>
          <w:lang w:val="en-AU"/>
        </w:rPr>
        <w:t>, K</w:t>
      </w:r>
      <w:r w:rsidR="00842B29">
        <w:rPr>
          <w:rFonts w:ascii="Garamond" w:hAnsi="Garamond"/>
          <w:bCs/>
          <w:lang w:val="en-AU"/>
        </w:rPr>
        <w:t>ristin Xenos</w:t>
      </w:r>
      <w:r w:rsidR="00AD3DC5">
        <w:rPr>
          <w:rFonts w:ascii="Garamond" w:hAnsi="Garamond"/>
          <w:bCs/>
          <w:lang w:val="en-AU"/>
        </w:rPr>
        <w:t xml:space="preserve">, </w:t>
      </w:r>
      <w:r w:rsidR="00F56EBD">
        <w:rPr>
          <w:rFonts w:ascii="Garamond" w:hAnsi="Garamond"/>
          <w:bCs/>
          <w:lang w:val="en-AU"/>
        </w:rPr>
        <w:t>Luke Slawomirski</w:t>
      </w:r>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1B3E7F">
      <w:pPr>
        <w:pStyle w:val="ListParagraph"/>
        <w:keepNext/>
        <w:keepLines/>
        <w:numPr>
          <w:ilvl w:val="0"/>
          <w:numId w:val="17"/>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E671E7">
      <w:pPr>
        <w:pStyle w:val="ListParagraph"/>
        <w:keepNext/>
        <w:keepLines/>
        <w:numPr>
          <w:ilvl w:val="0"/>
          <w:numId w:val="17"/>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C202B8">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C202B8">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C202B8">
      <w:pPr>
        <w:pStyle w:val="ListParagraph"/>
        <w:numPr>
          <w:ilvl w:val="0"/>
          <w:numId w:val="17"/>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C202B8">
      <w:pPr>
        <w:pStyle w:val="ListParagraph"/>
        <w:numPr>
          <w:ilvl w:val="0"/>
          <w:numId w:val="17"/>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C54347">
      <w:pPr>
        <w:pStyle w:val="ListParagraph"/>
        <w:numPr>
          <w:ilvl w:val="0"/>
          <w:numId w:val="17"/>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C54347">
      <w:pPr>
        <w:pStyle w:val="ListParagraph"/>
        <w:numPr>
          <w:ilvl w:val="1"/>
          <w:numId w:val="17"/>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C54347">
      <w:pPr>
        <w:pStyle w:val="ListParagraph"/>
        <w:numPr>
          <w:ilvl w:val="1"/>
          <w:numId w:val="17"/>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5B54DD">
      <w:pPr>
        <w:pStyle w:val="ListParagraph"/>
        <w:numPr>
          <w:ilvl w:val="1"/>
          <w:numId w:val="17"/>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C54347">
      <w:pPr>
        <w:pStyle w:val="ListParagraph"/>
        <w:numPr>
          <w:ilvl w:val="0"/>
          <w:numId w:val="17"/>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C54347">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C54347">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C54347">
      <w:pPr>
        <w:pStyle w:val="ListParagraph"/>
        <w:numPr>
          <w:ilvl w:val="0"/>
          <w:numId w:val="17"/>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750BBB">
      <w:pPr>
        <w:pStyle w:val="ListParagraph"/>
        <w:numPr>
          <w:ilvl w:val="0"/>
          <w:numId w:val="17"/>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3"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title="COVID-19 and face masks information for consumers poster im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407238" w:rsidRPr="00407238" w:rsidRDefault="00407238" w:rsidP="00407238">
      <w:pPr>
        <w:keepNext/>
        <w:rPr>
          <w:rFonts w:ascii="Garamond" w:hAnsi="Garamond"/>
          <w:b/>
          <w:lang w:val="en-AU"/>
        </w:rPr>
      </w:pPr>
      <w:r w:rsidRPr="00407238">
        <w:rPr>
          <w:rFonts w:ascii="Garamond" w:hAnsi="Garamond"/>
          <w:b/>
          <w:lang w:val="en-AU"/>
        </w:rPr>
        <w:lastRenderedPageBreak/>
        <w:t>Antimicrobial Stewardship in Australian Health Care Book – Antimicrobial Stewardship in the Care of Children – Chapter 14</w:t>
      </w:r>
    </w:p>
    <w:p w:rsidR="00407238" w:rsidRDefault="002E621E" w:rsidP="00407238">
      <w:pPr>
        <w:keepNext/>
        <w:rPr>
          <w:rFonts w:ascii="Garamond" w:hAnsi="Garamond"/>
          <w:lang w:val="en-AU"/>
        </w:rPr>
      </w:pPr>
      <w:hyperlink r:id="rId36" w:history="1">
        <w:r w:rsidR="00407238" w:rsidRPr="00EE27F9">
          <w:rPr>
            <w:rStyle w:val="Hyperlink"/>
            <w:rFonts w:ascii="Garamond" w:hAnsi="Garamond"/>
            <w:lang w:val="en-AU"/>
          </w:rPr>
          <w:t>https://www.safetyandquality.gov.au/publications-and-resources/resource-library/antimicrobial-stewardship-australian-health-care-2018</w:t>
        </w:r>
      </w:hyperlink>
    </w:p>
    <w:p w:rsidR="00407238" w:rsidRDefault="00407238" w:rsidP="00407238">
      <w:pPr>
        <w:keepNext/>
        <w:rPr>
          <w:rFonts w:ascii="Garamond" w:hAnsi="Garamond"/>
          <w:lang w:val="en-AU"/>
        </w:rPr>
      </w:pPr>
      <w:r>
        <w:rPr>
          <w:rFonts w:ascii="Garamond" w:hAnsi="Garamond"/>
          <w:noProof/>
          <w:lang w:val="en-AU" w:eastAsia="en-AU"/>
        </w:rPr>
        <w:drawing>
          <wp:anchor distT="0" distB="0" distL="114300" distR="114300" simplePos="0" relativeHeight="251661312" behindDoc="1" locked="0" layoutInCell="1" allowOverlap="1" wp14:anchorId="162B75FD" wp14:editId="1C5A213C">
            <wp:simplePos x="0" y="0"/>
            <wp:positionH relativeFrom="page">
              <wp:posOffset>4610045</wp:posOffset>
            </wp:positionH>
            <wp:positionV relativeFrom="paragraph">
              <wp:posOffset>109993</wp:posOffset>
            </wp:positionV>
            <wp:extent cx="2533650" cy="3580765"/>
            <wp:effectExtent l="19050" t="19050" r="19050" b="19685"/>
            <wp:wrapTight wrapText="bothSides">
              <wp:wrapPolygon edited="0">
                <wp:start x="-162" y="-115"/>
                <wp:lineTo x="-162" y="21604"/>
                <wp:lineTo x="21600" y="21604"/>
                <wp:lineTo x="21600" y="-115"/>
                <wp:lineTo x="-162" y="-115"/>
              </wp:wrapPolygon>
            </wp:wrapTight>
            <wp:docPr id="5" name="Picture 5" title="Cover artwork for Antimicrobial Stewardship in Australian Health Care b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ams_in_australian_health_care_cover_image.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33650" cy="358076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407238" w:rsidRDefault="00407238" w:rsidP="00407238">
      <w:pPr>
        <w:keepNext/>
        <w:rPr>
          <w:rFonts w:ascii="Garamond" w:hAnsi="Garamond"/>
          <w:lang w:val="en-AU"/>
        </w:rPr>
      </w:pPr>
      <w:r w:rsidRPr="006C2316">
        <w:rPr>
          <w:rFonts w:ascii="Garamond" w:hAnsi="Garamond"/>
          <w:lang w:val="en-AU"/>
        </w:rPr>
        <w:t>Australian Commission on Safety and Quality in Health Care</w:t>
      </w:r>
    </w:p>
    <w:p w:rsidR="00407238" w:rsidRDefault="00407238" w:rsidP="00407238">
      <w:pPr>
        <w:keepNext/>
        <w:rPr>
          <w:rFonts w:ascii="Garamond" w:hAnsi="Garamond"/>
          <w:lang w:val="en-AU"/>
        </w:rPr>
      </w:pPr>
      <w:r w:rsidRPr="006C2316">
        <w:rPr>
          <w:rFonts w:ascii="Garamond" w:hAnsi="Garamond"/>
          <w:lang w:val="en-AU"/>
        </w:rPr>
        <w:t>Role of general practice</w:t>
      </w:r>
      <w:r>
        <w:rPr>
          <w:rFonts w:ascii="Garamond" w:hAnsi="Garamond"/>
          <w:lang w:val="en-AU"/>
        </w:rPr>
        <w:t xml:space="preserve"> in antimicrobial stewardship</w:t>
      </w:r>
    </w:p>
    <w:p w:rsidR="00407238" w:rsidRPr="006C2316" w:rsidRDefault="00407238" w:rsidP="00407238">
      <w:pPr>
        <w:keepNext/>
        <w:rPr>
          <w:rFonts w:ascii="Garamond" w:hAnsi="Garamond"/>
          <w:i/>
          <w:lang w:val="en-AU"/>
        </w:rPr>
      </w:pPr>
      <w:r w:rsidRPr="006C2316">
        <w:rPr>
          <w:rFonts w:ascii="Garamond" w:hAnsi="Garamond"/>
          <w:i/>
          <w:lang w:val="en-AU"/>
        </w:rPr>
        <w:t>A</w:t>
      </w:r>
      <w:r>
        <w:rPr>
          <w:rFonts w:ascii="Garamond" w:hAnsi="Garamond"/>
          <w:i/>
          <w:lang w:val="en-AU"/>
        </w:rPr>
        <w:t>n</w:t>
      </w:r>
      <w:r w:rsidRPr="006C2316">
        <w:rPr>
          <w:rFonts w:ascii="Garamond" w:hAnsi="Garamond"/>
          <w:i/>
          <w:lang w:val="en-AU"/>
        </w:rPr>
        <w:t>timicrobial Steward</w:t>
      </w:r>
      <w:r>
        <w:rPr>
          <w:rFonts w:ascii="Garamond" w:hAnsi="Garamond"/>
          <w:i/>
          <w:lang w:val="en-AU"/>
        </w:rPr>
        <w:t>ship in Australian Health Care</w:t>
      </w:r>
    </w:p>
    <w:p w:rsidR="00407238" w:rsidRDefault="00407238" w:rsidP="00407238">
      <w:pPr>
        <w:keepNext/>
        <w:rPr>
          <w:rFonts w:ascii="Garamond" w:hAnsi="Garamond"/>
          <w:lang w:val="en-AU"/>
        </w:rPr>
      </w:pPr>
      <w:r>
        <w:rPr>
          <w:rFonts w:ascii="Garamond" w:hAnsi="Garamond"/>
          <w:lang w:val="en-AU"/>
        </w:rPr>
        <w:t>Sydney: ACSQHC; 2020</w:t>
      </w:r>
      <w:r w:rsidRPr="006C2316">
        <w:rPr>
          <w:rFonts w:ascii="Garamond" w:hAnsi="Garamond"/>
          <w:lang w:val="en-AU"/>
        </w:rPr>
        <w:t>.</w:t>
      </w:r>
    </w:p>
    <w:p w:rsidR="00407238" w:rsidRDefault="00407238" w:rsidP="00407238">
      <w:pPr>
        <w:keepNext/>
        <w:rPr>
          <w:rFonts w:ascii="Garamond" w:hAnsi="Garamond"/>
          <w:lang w:val="en-AU"/>
        </w:rPr>
      </w:pPr>
    </w:p>
    <w:p w:rsidR="00407238" w:rsidRPr="00407238" w:rsidRDefault="00407238" w:rsidP="00407238">
      <w:pPr>
        <w:keepNext/>
        <w:rPr>
          <w:rFonts w:ascii="Garamond" w:hAnsi="Garamond"/>
          <w:lang w:val="en-AU"/>
        </w:rPr>
      </w:pPr>
      <w:r>
        <w:rPr>
          <w:rFonts w:ascii="Garamond" w:hAnsi="Garamond"/>
          <w:lang w:val="en-AU"/>
        </w:rPr>
        <w:t xml:space="preserve">A new chapter has been added to </w:t>
      </w:r>
      <w:r w:rsidRPr="006C2316">
        <w:rPr>
          <w:rFonts w:ascii="Garamond" w:hAnsi="Garamond"/>
          <w:i/>
          <w:lang w:val="en-AU"/>
        </w:rPr>
        <w:t>Antimicrobial Stewardship in Australian Health Care</w:t>
      </w:r>
      <w:r>
        <w:rPr>
          <w:rFonts w:ascii="Garamond" w:hAnsi="Garamond"/>
          <w:lang w:val="en-AU"/>
        </w:rPr>
        <w:t xml:space="preserve">. The new chapter, </w:t>
      </w:r>
      <w:r w:rsidRPr="00407238">
        <w:rPr>
          <w:rFonts w:ascii="Garamond" w:hAnsi="Garamond"/>
          <w:i/>
          <w:lang w:val="en-AU"/>
        </w:rPr>
        <w:t>Antimicrobial Stewardship in the Care of Children</w:t>
      </w:r>
      <w:r>
        <w:rPr>
          <w:rFonts w:ascii="Garamond" w:hAnsi="Garamond"/>
          <w:i/>
          <w:lang w:val="en-AU"/>
        </w:rPr>
        <w:t xml:space="preserve">, </w:t>
      </w:r>
      <w:r>
        <w:rPr>
          <w:rFonts w:ascii="Garamond" w:hAnsi="Garamond"/>
          <w:lang w:val="en-AU"/>
        </w:rPr>
        <w:t>deals with antimicrobial stewardship (</w:t>
      </w:r>
      <w:r w:rsidRPr="00407238">
        <w:rPr>
          <w:rFonts w:ascii="Garamond" w:hAnsi="Garamond"/>
          <w:lang w:val="en-AU"/>
        </w:rPr>
        <w:t>AMS</w:t>
      </w:r>
      <w:r>
        <w:rPr>
          <w:rFonts w:ascii="Garamond" w:hAnsi="Garamond"/>
          <w:lang w:val="en-AU"/>
        </w:rPr>
        <w:t>)</w:t>
      </w:r>
      <w:r w:rsidRPr="00407238">
        <w:rPr>
          <w:rFonts w:ascii="Garamond" w:hAnsi="Garamond"/>
          <w:lang w:val="en-AU"/>
        </w:rPr>
        <w:t xml:space="preserve"> and the care of children. Key elements include:</w:t>
      </w:r>
    </w:p>
    <w:p w:rsidR="00407238" w:rsidRPr="00407238" w:rsidRDefault="00407238" w:rsidP="00407238">
      <w:pPr>
        <w:pStyle w:val="ListParagraph"/>
        <w:numPr>
          <w:ilvl w:val="0"/>
          <w:numId w:val="43"/>
        </w:numPr>
        <w:rPr>
          <w:rFonts w:ascii="Garamond" w:hAnsi="Garamond"/>
          <w:lang w:val="en-AU"/>
        </w:rPr>
      </w:pPr>
      <w:r w:rsidRPr="00407238">
        <w:rPr>
          <w:rFonts w:ascii="Garamond" w:hAnsi="Garamond"/>
          <w:lang w:val="en-AU"/>
        </w:rPr>
        <w:t>An overview of antimicrobial use, resistance and stewardship for children and young people</w:t>
      </w:r>
    </w:p>
    <w:p w:rsidR="00407238" w:rsidRPr="00407238" w:rsidRDefault="00407238" w:rsidP="00407238">
      <w:pPr>
        <w:pStyle w:val="ListParagraph"/>
        <w:numPr>
          <w:ilvl w:val="0"/>
          <w:numId w:val="43"/>
        </w:numPr>
        <w:rPr>
          <w:rFonts w:ascii="Garamond" w:hAnsi="Garamond"/>
          <w:lang w:val="en-AU"/>
        </w:rPr>
      </w:pPr>
      <w:r w:rsidRPr="00407238">
        <w:rPr>
          <w:rFonts w:ascii="Garamond" w:hAnsi="Garamond"/>
          <w:lang w:val="en-AU"/>
        </w:rPr>
        <w:t>Factors that influence antimicrobial prescribing for children and young people</w:t>
      </w:r>
    </w:p>
    <w:p w:rsidR="00407238" w:rsidRPr="00407238" w:rsidRDefault="00407238" w:rsidP="00407238">
      <w:pPr>
        <w:pStyle w:val="ListParagraph"/>
        <w:numPr>
          <w:ilvl w:val="0"/>
          <w:numId w:val="43"/>
        </w:numPr>
        <w:rPr>
          <w:rFonts w:ascii="Garamond" w:hAnsi="Garamond"/>
          <w:lang w:val="en-AU"/>
        </w:rPr>
      </w:pPr>
      <w:r w:rsidRPr="00407238">
        <w:rPr>
          <w:rFonts w:ascii="Garamond" w:hAnsi="Garamond"/>
          <w:lang w:val="en-AU"/>
        </w:rPr>
        <w:t>Details to support antimicrobial stewardship strategies in paediatric settings</w:t>
      </w:r>
    </w:p>
    <w:p w:rsidR="00407238" w:rsidRPr="00407238" w:rsidRDefault="00407238" w:rsidP="00407238">
      <w:pPr>
        <w:pStyle w:val="ListParagraph"/>
        <w:numPr>
          <w:ilvl w:val="0"/>
          <w:numId w:val="43"/>
        </w:numPr>
        <w:rPr>
          <w:rFonts w:ascii="Garamond" w:hAnsi="Garamond"/>
          <w:lang w:val="en-AU"/>
        </w:rPr>
      </w:pPr>
      <w:r w:rsidRPr="00407238">
        <w:rPr>
          <w:rFonts w:ascii="Garamond" w:hAnsi="Garamond"/>
          <w:lang w:val="en-AU"/>
        </w:rPr>
        <w:t>Implementing and leading antimicrobial stewardship in paediatric care</w:t>
      </w:r>
    </w:p>
    <w:p w:rsidR="00407238" w:rsidRPr="00407238" w:rsidRDefault="00407238" w:rsidP="00407238">
      <w:pPr>
        <w:pStyle w:val="ListParagraph"/>
        <w:numPr>
          <w:ilvl w:val="0"/>
          <w:numId w:val="43"/>
        </w:numPr>
        <w:rPr>
          <w:rFonts w:ascii="Garamond" w:hAnsi="Garamond"/>
          <w:lang w:val="en-AU"/>
        </w:rPr>
      </w:pPr>
      <w:r>
        <w:rPr>
          <w:rFonts w:ascii="Garamond" w:hAnsi="Garamond"/>
          <w:lang w:val="en-AU"/>
        </w:rPr>
        <w:t>Measuring AMS performance.</w:t>
      </w:r>
    </w:p>
    <w:p w:rsidR="00407238" w:rsidRDefault="00407238" w:rsidP="00407238">
      <w:pPr>
        <w:rPr>
          <w:rFonts w:ascii="Garamond" w:hAnsi="Garamond"/>
          <w:lang w:val="en-AU"/>
        </w:rPr>
      </w:pPr>
    </w:p>
    <w:p w:rsidR="00407238" w:rsidRDefault="00407238" w:rsidP="00407238">
      <w:pPr>
        <w:rPr>
          <w:rFonts w:ascii="Garamond" w:hAnsi="Garamond"/>
          <w:lang w:val="en-AU"/>
        </w:rPr>
      </w:pPr>
      <w:r w:rsidRPr="00407238">
        <w:rPr>
          <w:rFonts w:ascii="Garamond" w:hAnsi="Garamond"/>
          <w:lang w:val="en-AU"/>
        </w:rPr>
        <w:t xml:space="preserve">The chapter is available from the Commission’s web page </w:t>
      </w:r>
      <w:r>
        <w:rPr>
          <w:rFonts w:ascii="Garamond" w:hAnsi="Garamond"/>
          <w:lang w:val="en-AU"/>
        </w:rPr>
        <w:t xml:space="preserve">at </w:t>
      </w:r>
      <w:hyperlink r:id="rId38" w:history="1">
        <w:r w:rsidRPr="001624CC">
          <w:rPr>
            <w:rStyle w:val="Hyperlink"/>
            <w:rFonts w:ascii="Garamond" w:hAnsi="Garamond"/>
            <w:lang w:val="en-AU"/>
          </w:rPr>
          <w:t>https://www.safetyandquality.gov.au/publications-and-resources/resource-library/antimicrobial-stewardship-australian-health-care-2018</w:t>
        </w:r>
      </w:hyperlink>
    </w:p>
    <w:p w:rsidR="00842B29" w:rsidRDefault="00842B29" w:rsidP="00E34A10">
      <w:pPr>
        <w:keepNext/>
        <w:keepLines/>
        <w:autoSpaceDE w:val="0"/>
        <w:autoSpaceDN w:val="0"/>
        <w:adjustRightInd w:val="0"/>
        <w:rPr>
          <w:rFonts w:ascii="Garamond" w:hAnsi="Garamond"/>
          <w:b/>
          <w:lang w:val="en-AU"/>
        </w:rPr>
      </w:pPr>
    </w:p>
    <w:p w:rsidR="00842B29" w:rsidRDefault="00842B29" w:rsidP="00E34A10">
      <w:pPr>
        <w:keepNext/>
        <w:keepLines/>
        <w:autoSpaceDE w:val="0"/>
        <w:autoSpaceDN w:val="0"/>
        <w:adjustRightInd w:val="0"/>
        <w:rPr>
          <w:rFonts w:ascii="Garamond" w:hAnsi="Garamond"/>
          <w:b/>
          <w:lang w:val="en-AU"/>
        </w:rPr>
      </w:pPr>
    </w:p>
    <w:p w:rsidR="004429F1" w:rsidRDefault="004429F1" w:rsidP="00E34A10">
      <w:pPr>
        <w:keepNext/>
        <w:keepLines/>
        <w:autoSpaceDE w:val="0"/>
        <w:autoSpaceDN w:val="0"/>
        <w:adjustRightInd w:val="0"/>
        <w:rPr>
          <w:rFonts w:ascii="Garamond" w:hAnsi="Garamond"/>
          <w:b/>
          <w:lang w:val="en-AU"/>
        </w:rPr>
      </w:pPr>
    </w:p>
    <w:p w:rsidR="00842B29" w:rsidRPr="00842B29" w:rsidRDefault="00842B29" w:rsidP="00E34A10">
      <w:pPr>
        <w:keepNext/>
        <w:keepLines/>
        <w:autoSpaceDE w:val="0"/>
        <w:autoSpaceDN w:val="0"/>
        <w:adjustRightInd w:val="0"/>
        <w:rPr>
          <w:rFonts w:ascii="Garamond" w:hAnsi="Garamond"/>
          <w:b/>
          <w:lang w:val="en-AU"/>
        </w:rPr>
      </w:pPr>
    </w:p>
    <w:p w:rsidR="005748EE" w:rsidRDefault="005748EE" w:rsidP="00E34A10">
      <w:pPr>
        <w:keepNext/>
        <w:keepLines/>
        <w:autoSpaceDE w:val="0"/>
        <w:autoSpaceDN w:val="0"/>
        <w:adjustRightInd w:val="0"/>
        <w:rPr>
          <w:rFonts w:ascii="Garamond" w:hAnsi="Garamond"/>
          <w:b/>
          <w:lang w:val="en-AU"/>
        </w:rPr>
      </w:pPr>
      <w:r>
        <w:rPr>
          <w:rFonts w:ascii="Garamond" w:hAnsi="Garamond"/>
          <w:b/>
          <w:lang w:val="en-AU"/>
        </w:rPr>
        <w:t>Reports</w:t>
      </w:r>
    </w:p>
    <w:p w:rsidR="005748EE" w:rsidRDefault="005748EE" w:rsidP="00E34A10">
      <w:pPr>
        <w:keepNext/>
        <w:keepLines/>
        <w:autoSpaceDE w:val="0"/>
        <w:autoSpaceDN w:val="0"/>
        <w:adjustRightInd w:val="0"/>
        <w:rPr>
          <w:rFonts w:ascii="Garamond" w:hAnsi="Garamond"/>
          <w:b/>
          <w:lang w:val="en-AU"/>
        </w:rPr>
      </w:pPr>
    </w:p>
    <w:p w:rsidR="00EC6038" w:rsidRPr="00EC6038" w:rsidRDefault="00EC6038" w:rsidP="00EC6038">
      <w:pPr>
        <w:keepNext/>
        <w:keepLines/>
        <w:autoSpaceDE w:val="0"/>
        <w:autoSpaceDN w:val="0"/>
        <w:adjustRightInd w:val="0"/>
        <w:rPr>
          <w:rFonts w:ascii="Garamond" w:hAnsi="Garamond"/>
          <w:i/>
          <w:lang w:val="en-AU"/>
        </w:rPr>
      </w:pPr>
      <w:r w:rsidRPr="00EC6038">
        <w:rPr>
          <w:rFonts w:ascii="Garamond" w:hAnsi="Garamond"/>
          <w:i/>
          <w:lang w:val="en-AU"/>
        </w:rPr>
        <w:t>The Economics of Patient Safety: From analysis to action</w:t>
      </w:r>
    </w:p>
    <w:p w:rsidR="00EC6038" w:rsidRDefault="00EC6038" w:rsidP="005748EE">
      <w:pPr>
        <w:keepNext/>
        <w:keepLines/>
        <w:autoSpaceDE w:val="0"/>
        <w:autoSpaceDN w:val="0"/>
        <w:adjustRightInd w:val="0"/>
        <w:rPr>
          <w:rFonts w:ascii="Garamond" w:hAnsi="Garamond"/>
          <w:lang w:val="en-AU"/>
        </w:rPr>
      </w:pPr>
      <w:r w:rsidRPr="00EC6038">
        <w:rPr>
          <w:rFonts w:ascii="Garamond" w:hAnsi="Garamond"/>
          <w:lang w:val="en-AU"/>
        </w:rPr>
        <w:t>Slawomirski L, Klazinga NS</w:t>
      </w:r>
    </w:p>
    <w:p w:rsidR="00E3747A" w:rsidRDefault="00EC6038" w:rsidP="005748EE">
      <w:pPr>
        <w:keepNext/>
        <w:keepLines/>
        <w:autoSpaceDE w:val="0"/>
        <w:autoSpaceDN w:val="0"/>
        <w:adjustRightInd w:val="0"/>
        <w:rPr>
          <w:rFonts w:ascii="Garamond" w:hAnsi="Garamond"/>
          <w:lang w:val="en-AU"/>
        </w:rPr>
      </w:pPr>
      <w:r w:rsidRPr="00EC6038">
        <w:rPr>
          <w:rFonts w:ascii="Garamond" w:hAnsi="Garamond"/>
          <w:lang w:val="en-AU"/>
        </w:rPr>
        <w:t>Paris: OECD; 2020. p. 77.</w:t>
      </w:r>
    </w:p>
    <w:tbl>
      <w:tblPr>
        <w:tblStyle w:val="TableGrid"/>
        <w:tblW w:w="9360" w:type="dxa"/>
        <w:tblInd w:w="288" w:type="dxa"/>
        <w:tblLayout w:type="fixed"/>
        <w:tblLook w:val="01E0" w:firstRow="1" w:lastRow="1" w:firstColumn="1" w:lastColumn="1" w:noHBand="0" w:noVBand="0"/>
      </w:tblPr>
      <w:tblGrid>
        <w:gridCol w:w="1080"/>
        <w:gridCol w:w="8280"/>
      </w:tblGrid>
      <w:tr w:rsidR="005748EE" w:rsidRPr="000170DA" w:rsidTr="00AA03C1">
        <w:tc>
          <w:tcPr>
            <w:tcW w:w="1080" w:type="dxa"/>
            <w:tcBorders>
              <w:top w:val="single" w:sz="4" w:space="0" w:color="auto"/>
              <w:left w:val="single" w:sz="4" w:space="0" w:color="auto"/>
              <w:bottom w:val="single" w:sz="4" w:space="0" w:color="auto"/>
              <w:right w:val="single" w:sz="4" w:space="0" w:color="auto"/>
            </w:tcBorders>
            <w:vAlign w:val="center"/>
          </w:tcPr>
          <w:p w:rsidR="005748EE" w:rsidRPr="000170DA" w:rsidRDefault="00387C16" w:rsidP="00AA03C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748EE" w:rsidRPr="000170DA" w:rsidRDefault="002E621E" w:rsidP="00E3747A">
            <w:pPr>
              <w:keepNext/>
              <w:rPr>
                <w:rStyle w:val="Hyperlink"/>
                <w:rFonts w:ascii="Garamond" w:hAnsi="Garamond"/>
                <w:color w:val="auto"/>
                <w:u w:val="none"/>
                <w:lang w:val="en-AU"/>
              </w:rPr>
            </w:pPr>
            <w:hyperlink r:id="rId39" w:history="1">
              <w:r w:rsidR="00EC6038" w:rsidRPr="001E7F07">
                <w:rPr>
                  <w:rStyle w:val="Hyperlink"/>
                  <w:rFonts w:ascii="Garamond" w:hAnsi="Garamond"/>
                  <w:lang w:val="en-AU"/>
                </w:rPr>
                <w:t>https://www.oecd.org/health/health-systems/Economics-of-Patient-Safety-October-2020.pdf</w:t>
              </w:r>
            </w:hyperlink>
          </w:p>
        </w:tc>
      </w:tr>
      <w:tr w:rsidR="005748EE" w:rsidRPr="000170DA" w:rsidTr="00AA03C1">
        <w:tc>
          <w:tcPr>
            <w:tcW w:w="1080" w:type="dxa"/>
            <w:tcBorders>
              <w:top w:val="single" w:sz="4" w:space="0" w:color="auto"/>
              <w:left w:val="single" w:sz="4" w:space="0" w:color="auto"/>
              <w:bottom w:val="single" w:sz="4" w:space="0" w:color="auto"/>
              <w:right w:val="single" w:sz="4" w:space="0" w:color="auto"/>
            </w:tcBorders>
            <w:vAlign w:val="center"/>
          </w:tcPr>
          <w:p w:rsidR="005748EE" w:rsidRPr="000170DA" w:rsidRDefault="005748EE" w:rsidP="00AA03C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429F1" w:rsidRDefault="004429F1" w:rsidP="004429F1">
            <w:pPr>
              <w:rPr>
                <w:rFonts w:ascii="Garamond" w:hAnsi="Garamond"/>
                <w:lang w:val="en-AU"/>
              </w:rPr>
            </w:pPr>
            <w:r w:rsidRPr="004429F1">
              <w:rPr>
                <w:rFonts w:ascii="Garamond" w:hAnsi="Garamond"/>
                <w:i/>
                <w:lang w:val="en-AU"/>
              </w:rPr>
              <w:t>From Analysis to Action</w:t>
            </w:r>
            <w:r w:rsidRPr="004429F1">
              <w:rPr>
                <w:rFonts w:ascii="Garamond" w:hAnsi="Garamond"/>
                <w:lang w:val="en-AU"/>
              </w:rPr>
              <w:t xml:space="preserve">, the latest </w:t>
            </w:r>
            <w:r>
              <w:rPr>
                <w:rFonts w:ascii="Garamond" w:hAnsi="Garamond"/>
                <w:lang w:val="en-AU"/>
              </w:rPr>
              <w:t xml:space="preserve">addition to </w:t>
            </w:r>
            <w:r w:rsidRPr="004429F1">
              <w:rPr>
                <w:rFonts w:ascii="Garamond" w:hAnsi="Garamond"/>
                <w:lang w:val="en-AU"/>
              </w:rPr>
              <w:t>the OECD’s Economics of Patient Safety reports</w:t>
            </w:r>
            <w:r>
              <w:rPr>
                <w:rFonts w:ascii="Garamond" w:hAnsi="Garamond"/>
                <w:lang w:val="en-AU"/>
              </w:rPr>
              <w:t>,</w:t>
            </w:r>
            <w:r w:rsidRPr="004429F1">
              <w:rPr>
                <w:rFonts w:ascii="Garamond" w:hAnsi="Garamond"/>
                <w:lang w:val="en-AU"/>
              </w:rPr>
              <w:t xml:space="preserve"> provides further evidence about the high cost of patient harm and the best way to address it across an entire healthcare system. Globally, unsafe care claims over 3 million lives each year. </w:t>
            </w:r>
            <w:r>
              <w:rPr>
                <w:rFonts w:ascii="Garamond" w:hAnsi="Garamond"/>
                <w:lang w:val="en-AU"/>
              </w:rPr>
              <w:t xml:space="preserve">The mortality </w:t>
            </w:r>
            <w:r w:rsidRPr="004429F1">
              <w:rPr>
                <w:rFonts w:ascii="Garamond" w:hAnsi="Garamond"/>
                <w:lang w:val="en-AU"/>
              </w:rPr>
              <w:t>burden exceeds that of malaria, TB and diabetes and is just below HIV/AIDS. Most of this is felt in the developing world, but adverse events continue to be a significant pr</w:t>
            </w:r>
            <w:r>
              <w:rPr>
                <w:rFonts w:ascii="Garamond" w:hAnsi="Garamond"/>
                <w:lang w:val="en-AU"/>
              </w:rPr>
              <w:t>oblem in high-income countries.</w:t>
            </w:r>
          </w:p>
          <w:p w:rsidR="004429F1" w:rsidRPr="004429F1" w:rsidRDefault="004429F1" w:rsidP="004429F1">
            <w:pPr>
              <w:rPr>
                <w:rFonts w:ascii="Garamond" w:hAnsi="Garamond"/>
                <w:lang w:val="en-AU"/>
              </w:rPr>
            </w:pPr>
            <w:r w:rsidRPr="004429F1">
              <w:rPr>
                <w:rFonts w:ascii="Garamond" w:hAnsi="Garamond"/>
                <w:lang w:val="en-AU"/>
              </w:rPr>
              <w:t>The report suggests that 12.6% of all health expenditure is consumed by managing the clinical effects of unsafe care. Factoring in preventability of adverse events reduces this figure to 8.6</w:t>
            </w:r>
            <w:r>
              <w:rPr>
                <w:rFonts w:ascii="Garamond" w:hAnsi="Garamond"/>
                <w:lang w:val="en-AU"/>
              </w:rPr>
              <w:t>%. This amounts to over USD 600</w:t>
            </w:r>
            <w:r w:rsidRPr="004429F1">
              <w:rPr>
                <w:rFonts w:ascii="Garamond" w:hAnsi="Garamond"/>
                <w:lang w:val="en-AU"/>
              </w:rPr>
              <w:t>billion per annum across OECD countries</w:t>
            </w:r>
            <w:r>
              <w:rPr>
                <w:rFonts w:ascii="Garamond" w:hAnsi="Garamond"/>
                <w:lang w:val="en-AU"/>
              </w:rPr>
              <w:t>; i</w:t>
            </w:r>
            <w:r w:rsidRPr="004429F1">
              <w:rPr>
                <w:rFonts w:ascii="Garamond" w:hAnsi="Garamond"/>
                <w:lang w:val="en-AU"/>
              </w:rPr>
              <w:t>n Australia it represents AUD 16.5 billion a year. The indirect costs are also considerable. The report estimates that the consequences of patient harm slow global economic growth by 0.76%. This amounts to trillions of dollars every year.</w:t>
            </w:r>
          </w:p>
          <w:p w:rsidR="004429F1" w:rsidRPr="00842B29" w:rsidRDefault="004429F1" w:rsidP="004429F1">
            <w:pPr>
              <w:rPr>
                <w:rFonts w:ascii="Garamond" w:hAnsi="Garamond"/>
                <w:lang w:val="en-AU"/>
              </w:rPr>
            </w:pPr>
            <w:r w:rsidRPr="004429F1">
              <w:rPr>
                <w:rFonts w:ascii="Garamond" w:hAnsi="Garamond"/>
                <w:lang w:val="en-AU"/>
              </w:rPr>
              <w:lastRenderedPageBreak/>
              <w:t xml:space="preserve">The report suggests that investing in safety can deliver high returns because it improves outcomes while, at the same time, reducing costs. For example, interventions targeting healthcare-associated infections can deliver a 7-fold return on investment, even in developed-world health systems. Also, evidence for the role of digital technologies in reducing harms such as adverse drug events and diagnostic error has grown considerably. But interventions aimed at minimising harm in the clinical microsystem are more effective if implemented within an overarching framework comprising </w:t>
            </w:r>
            <w:r w:rsidRPr="004429F1">
              <w:rPr>
                <w:rFonts w:ascii="Garamond" w:hAnsi="Garamond"/>
                <w:i/>
                <w:lang w:val="en-AU"/>
              </w:rPr>
              <w:t>inter alia</w:t>
            </w:r>
            <w:r w:rsidRPr="004429F1">
              <w:rPr>
                <w:rFonts w:ascii="Garamond" w:hAnsi="Garamond"/>
                <w:lang w:val="en-AU"/>
              </w:rPr>
              <w:t>: good governance, 21st century information infrastructure and data collection, appropriate staffing, education and training, aligned risks and incentives and a culture that puts patient welfare and outcomes at the heart of everything a health service or organisation does.</w:t>
            </w:r>
          </w:p>
        </w:tc>
      </w:tr>
    </w:tbl>
    <w:p w:rsidR="008318B8" w:rsidRDefault="008318B8" w:rsidP="005748EE">
      <w:pPr>
        <w:keepNext/>
        <w:keepLines/>
        <w:autoSpaceDE w:val="0"/>
        <w:autoSpaceDN w:val="0"/>
        <w:adjustRightInd w:val="0"/>
        <w:rPr>
          <w:rFonts w:ascii="Garamond" w:hAnsi="Garamond"/>
          <w:i/>
          <w:lang w:val="en-AU"/>
        </w:rPr>
      </w:pPr>
    </w:p>
    <w:p w:rsidR="00842B29" w:rsidRPr="00BB3AA1" w:rsidRDefault="00BB3AA1" w:rsidP="00842B29">
      <w:pPr>
        <w:keepNext/>
        <w:keepLines/>
        <w:autoSpaceDE w:val="0"/>
        <w:autoSpaceDN w:val="0"/>
        <w:adjustRightInd w:val="0"/>
        <w:rPr>
          <w:rFonts w:ascii="Garamond" w:hAnsi="Garamond"/>
          <w:i/>
          <w:lang w:val="en-AU"/>
        </w:rPr>
      </w:pPr>
      <w:r w:rsidRPr="00BB3AA1">
        <w:rPr>
          <w:rFonts w:ascii="Garamond" w:hAnsi="Garamond"/>
          <w:i/>
          <w:lang w:val="en-AU"/>
        </w:rPr>
        <w:t>Investigation into the Role of Clinical Pharmacy Services in Helping to Identify and Reduce High-risk Prescribing Errors in Hospital</w:t>
      </w:r>
    </w:p>
    <w:p w:rsidR="005935F6" w:rsidRDefault="005935F6" w:rsidP="005935F6">
      <w:pPr>
        <w:keepNext/>
        <w:keepLines/>
        <w:autoSpaceDE w:val="0"/>
        <w:autoSpaceDN w:val="0"/>
        <w:adjustRightInd w:val="0"/>
        <w:rPr>
          <w:rFonts w:ascii="Garamond" w:hAnsi="Garamond"/>
          <w:lang w:val="en-AU"/>
        </w:rPr>
      </w:pPr>
      <w:r w:rsidRPr="005935F6">
        <w:rPr>
          <w:rFonts w:ascii="Garamond" w:hAnsi="Garamond"/>
          <w:lang w:val="en-AU"/>
        </w:rPr>
        <w:t>Healthcare Safety Investigation I2018/019</w:t>
      </w:r>
    </w:p>
    <w:p w:rsidR="005935F6" w:rsidRDefault="005935F6" w:rsidP="00842B29">
      <w:pPr>
        <w:keepNext/>
        <w:keepLines/>
        <w:autoSpaceDE w:val="0"/>
        <w:autoSpaceDN w:val="0"/>
        <w:adjustRightInd w:val="0"/>
        <w:rPr>
          <w:rFonts w:ascii="Garamond" w:hAnsi="Garamond"/>
          <w:lang w:val="en-AU"/>
        </w:rPr>
      </w:pPr>
      <w:r w:rsidRPr="005935F6">
        <w:rPr>
          <w:rFonts w:ascii="Garamond" w:hAnsi="Garamond"/>
          <w:lang w:val="en-AU"/>
        </w:rPr>
        <w:t>Healthcare Safety Investigation Branch</w:t>
      </w:r>
    </w:p>
    <w:p w:rsidR="00BB3AA1" w:rsidRDefault="005935F6" w:rsidP="00842B29">
      <w:pPr>
        <w:keepNext/>
        <w:keepLines/>
        <w:autoSpaceDE w:val="0"/>
        <w:autoSpaceDN w:val="0"/>
        <w:adjustRightInd w:val="0"/>
        <w:rPr>
          <w:rFonts w:ascii="Garamond" w:hAnsi="Garamond"/>
          <w:lang w:val="en-AU"/>
        </w:rPr>
      </w:pPr>
      <w:r w:rsidRPr="005935F6">
        <w:rPr>
          <w:rFonts w:ascii="Garamond" w:hAnsi="Garamond"/>
          <w:lang w:val="en-AU"/>
        </w:rPr>
        <w:t>Farnborough: HSIB; 2020. p. 78.</w:t>
      </w:r>
    </w:p>
    <w:tbl>
      <w:tblPr>
        <w:tblStyle w:val="TableGrid"/>
        <w:tblW w:w="9360" w:type="dxa"/>
        <w:tblInd w:w="288" w:type="dxa"/>
        <w:tblLayout w:type="fixed"/>
        <w:tblLook w:val="01E0" w:firstRow="1" w:lastRow="1" w:firstColumn="1" w:lastColumn="1" w:noHBand="0" w:noVBand="0"/>
      </w:tblPr>
      <w:tblGrid>
        <w:gridCol w:w="1080"/>
        <w:gridCol w:w="8280"/>
      </w:tblGrid>
      <w:tr w:rsidR="00842B29" w:rsidRPr="000170DA" w:rsidTr="00F24969">
        <w:tc>
          <w:tcPr>
            <w:tcW w:w="1080" w:type="dxa"/>
            <w:tcBorders>
              <w:top w:val="single" w:sz="4" w:space="0" w:color="auto"/>
              <w:left w:val="single" w:sz="4" w:space="0" w:color="auto"/>
              <w:bottom w:val="single" w:sz="4" w:space="0" w:color="auto"/>
              <w:right w:val="single" w:sz="4" w:space="0" w:color="auto"/>
            </w:tcBorders>
            <w:vAlign w:val="center"/>
          </w:tcPr>
          <w:p w:rsidR="00842B29" w:rsidRPr="000170DA" w:rsidRDefault="00842B29" w:rsidP="00F2496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42B29" w:rsidRPr="000170DA" w:rsidRDefault="002E621E" w:rsidP="00BB3AA1">
            <w:pPr>
              <w:keepNext/>
              <w:rPr>
                <w:rStyle w:val="Hyperlink"/>
                <w:rFonts w:ascii="Garamond" w:hAnsi="Garamond"/>
                <w:color w:val="auto"/>
                <w:u w:val="none"/>
                <w:lang w:val="en-AU"/>
              </w:rPr>
            </w:pPr>
            <w:hyperlink r:id="rId40" w:history="1">
              <w:r w:rsidR="00BB3AA1" w:rsidRPr="00813972">
                <w:rPr>
                  <w:rStyle w:val="Hyperlink"/>
                  <w:rFonts w:ascii="Garamond" w:hAnsi="Garamond"/>
                  <w:lang w:val="en-AU"/>
                </w:rPr>
                <w:t>https://www.hsib.org.uk/investigations-cases/high-risk-prescribing-errors-hospital/</w:t>
              </w:r>
            </w:hyperlink>
          </w:p>
        </w:tc>
      </w:tr>
      <w:tr w:rsidR="00842B29" w:rsidRPr="000170DA" w:rsidTr="00F24969">
        <w:tc>
          <w:tcPr>
            <w:tcW w:w="1080" w:type="dxa"/>
            <w:tcBorders>
              <w:top w:val="single" w:sz="4" w:space="0" w:color="auto"/>
              <w:left w:val="single" w:sz="4" w:space="0" w:color="auto"/>
              <w:bottom w:val="single" w:sz="4" w:space="0" w:color="auto"/>
              <w:right w:val="single" w:sz="4" w:space="0" w:color="auto"/>
            </w:tcBorders>
            <w:vAlign w:val="center"/>
          </w:tcPr>
          <w:p w:rsidR="00842B29" w:rsidRPr="000170DA" w:rsidRDefault="00842B29" w:rsidP="00F2496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42B29" w:rsidRDefault="00BB3AA1" w:rsidP="00F24969">
            <w:pPr>
              <w:rPr>
                <w:rFonts w:ascii="Garamond" w:hAnsi="Garamond"/>
                <w:lang w:val="en-AU"/>
              </w:rPr>
            </w:pPr>
            <w:r>
              <w:rPr>
                <w:rFonts w:ascii="Garamond" w:hAnsi="Garamond"/>
                <w:lang w:val="en-AU"/>
              </w:rPr>
              <w:t xml:space="preserve">This is the latest report from the UK’s </w:t>
            </w:r>
            <w:r w:rsidRPr="00BB3AA1">
              <w:rPr>
                <w:rFonts w:ascii="Garamond" w:hAnsi="Garamond"/>
                <w:lang w:val="en-AU"/>
              </w:rPr>
              <w:t>Healthcare Safety Investigation Branch</w:t>
            </w:r>
            <w:r>
              <w:rPr>
                <w:rFonts w:ascii="Garamond" w:hAnsi="Garamond"/>
                <w:lang w:val="en-AU"/>
              </w:rPr>
              <w:t xml:space="preserve"> (HSIB) and examines </w:t>
            </w:r>
            <w:r w:rsidR="004060FF">
              <w:rPr>
                <w:rFonts w:ascii="Garamond" w:hAnsi="Garamond"/>
                <w:lang w:val="en-AU"/>
              </w:rPr>
              <w:t xml:space="preserve">how clinical pharmacy services could be engaged in preventing prescribing errors in the hospital setting. The investigation was spurred by </w:t>
            </w:r>
            <w:r w:rsidR="004060FF" w:rsidRPr="004060FF">
              <w:rPr>
                <w:rFonts w:ascii="Garamond" w:hAnsi="Garamond"/>
                <w:lang w:val="en-AU"/>
              </w:rPr>
              <w:t>an incident where a hospital inpatient was administered repeated doses of warfarin in error and suffered significant harm as a result.</w:t>
            </w:r>
            <w:r w:rsidR="004060FF">
              <w:rPr>
                <w:rFonts w:ascii="Garamond" w:hAnsi="Garamond"/>
                <w:lang w:val="en-AU"/>
              </w:rPr>
              <w:t xml:space="preserve"> The investigation examined:</w:t>
            </w:r>
          </w:p>
          <w:p w:rsidR="004060FF" w:rsidRPr="004060FF" w:rsidRDefault="004060FF" w:rsidP="004060FF">
            <w:pPr>
              <w:pStyle w:val="ListParagraph"/>
              <w:numPr>
                <w:ilvl w:val="0"/>
                <w:numId w:val="44"/>
              </w:numPr>
              <w:rPr>
                <w:rFonts w:ascii="Garamond" w:hAnsi="Garamond"/>
                <w:lang w:val="en-AU"/>
              </w:rPr>
            </w:pPr>
            <w:r w:rsidRPr="004060FF">
              <w:rPr>
                <w:rFonts w:ascii="Garamond" w:hAnsi="Garamond"/>
                <w:lang w:val="en-AU"/>
              </w:rPr>
              <w:t>Systems and processes which underpin the identification, prescribing and administration of warfarin for older inpatients.</w:t>
            </w:r>
          </w:p>
          <w:p w:rsidR="004060FF" w:rsidRPr="004060FF" w:rsidRDefault="004060FF" w:rsidP="004060FF">
            <w:pPr>
              <w:pStyle w:val="ListParagraph"/>
              <w:numPr>
                <w:ilvl w:val="0"/>
                <w:numId w:val="44"/>
              </w:numPr>
              <w:rPr>
                <w:rFonts w:ascii="Garamond" w:hAnsi="Garamond"/>
                <w:lang w:val="en-AU"/>
              </w:rPr>
            </w:pPr>
            <w:r w:rsidRPr="004060FF">
              <w:rPr>
                <w:rFonts w:ascii="Garamond" w:hAnsi="Garamond"/>
                <w:lang w:val="en-AU"/>
              </w:rPr>
              <w:t>Main patient safety risks arising from the prescribing and administration of warfarin and other high-risk drugs.</w:t>
            </w:r>
          </w:p>
          <w:p w:rsidR="004060FF" w:rsidRPr="004060FF" w:rsidRDefault="004060FF" w:rsidP="004060FF">
            <w:pPr>
              <w:pStyle w:val="ListParagraph"/>
              <w:numPr>
                <w:ilvl w:val="0"/>
                <w:numId w:val="44"/>
              </w:numPr>
              <w:rPr>
                <w:rFonts w:ascii="Garamond" w:hAnsi="Garamond"/>
                <w:lang w:val="en-AU"/>
              </w:rPr>
            </w:pPr>
            <w:r w:rsidRPr="004060FF">
              <w:rPr>
                <w:rFonts w:ascii="Garamond" w:hAnsi="Garamond"/>
                <w:lang w:val="en-AU"/>
              </w:rPr>
              <w:t>Main patient safety defences that act to protect people from medication errors with high-risk medicines.</w:t>
            </w:r>
          </w:p>
          <w:p w:rsidR="004060FF" w:rsidRDefault="005935F6" w:rsidP="00F24969">
            <w:pPr>
              <w:rPr>
                <w:rFonts w:ascii="Garamond" w:hAnsi="Garamond"/>
                <w:lang w:val="en-AU"/>
              </w:rPr>
            </w:pPr>
            <w:r>
              <w:rPr>
                <w:rFonts w:ascii="Garamond" w:hAnsi="Garamond"/>
                <w:lang w:val="en-AU"/>
              </w:rPr>
              <w:t>The report offers a number of findings, observations and recommendations, including</w:t>
            </w:r>
          </w:p>
          <w:p w:rsidR="005935F6" w:rsidRDefault="005935F6" w:rsidP="00EC4589">
            <w:pPr>
              <w:pStyle w:val="ListParagraph"/>
              <w:numPr>
                <w:ilvl w:val="0"/>
                <w:numId w:val="45"/>
              </w:numPr>
              <w:rPr>
                <w:rFonts w:ascii="Garamond" w:hAnsi="Garamond"/>
                <w:lang w:val="en-AU"/>
              </w:rPr>
            </w:pPr>
            <w:r w:rsidRPr="005935F6">
              <w:rPr>
                <w:rFonts w:ascii="Garamond" w:hAnsi="Garamond"/>
                <w:lang w:val="en-AU"/>
              </w:rPr>
              <w:t>Ward-based clinical pharmacy services can play an important role in helping the multidisciplinary team to identify and reduce high-risk</w:t>
            </w:r>
            <w:r>
              <w:rPr>
                <w:rFonts w:ascii="Garamond" w:hAnsi="Garamond"/>
                <w:lang w:val="en-AU"/>
              </w:rPr>
              <w:t xml:space="preserve"> </w:t>
            </w:r>
            <w:r w:rsidRPr="005935F6">
              <w:rPr>
                <w:rFonts w:ascii="Garamond" w:hAnsi="Garamond"/>
                <w:lang w:val="en-AU"/>
              </w:rPr>
              <w:t>medication errors.</w:t>
            </w:r>
          </w:p>
          <w:p w:rsidR="005935F6" w:rsidRDefault="005935F6" w:rsidP="007F2008">
            <w:pPr>
              <w:pStyle w:val="ListParagraph"/>
              <w:numPr>
                <w:ilvl w:val="0"/>
                <w:numId w:val="45"/>
              </w:numPr>
              <w:rPr>
                <w:rFonts w:ascii="Garamond" w:hAnsi="Garamond"/>
                <w:lang w:val="en-AU"/>
              </w:rPr>
            </w:pPr>
            <w:r w:rsidRPr="005935F6">
              <w:rPr>
                <w:rFonts w:ascii="Garamond" w:hAnsi="Garamond"/>
                <w:lang w:val="en-AU"/>
              </w:rPr>
              <w:t>The impact of a complex patient caseload or operational pressures on the ability of ward-based clinical pharmacy services to operate and</w:t>
            </w:r>
            <w:r>
              <w:rPr>
                <w:rFonts w:ascii="Garamond" w:hAnsi="Garamond"/>
                <w:lang w:val="en-AU"/>
              </w:rPr>
              <w:t xml:space="preserve"> </w:t>
            </w:r>
            <w:r w:rsidRPr="005935F6">
              <w:rPr>
                <w:rFonts w:ascii="Garamond" w:hAnsi="Garamond"/>
                <w:lang w:val="en-AU"/>
              </w:rPr>
              <w:t>adapt effectively is not well studied.</w:t>
            </w:r>
          </w:p>
          <w:p w:rsidR="002F3037" w:rsidRDefault="002F3037" w:rsidP="00807D7C">
            <w:pPr>
              <w:pStyle w:val="ListParagraph"/>
              <w:numPr>
                <w:ilvl w:val="0"/>
                <w:numId w:val="45"/>
              </w:numPr>
              <w:rPr>
                <w:rFonts w:ascii="Garamond" w:hAnsi="Garamond"/>
                <w:lang w:val="en-AU"/>
              </w:rPr>
            </w:pPr>
            <w:r w:rsidRPr="002F3037">
              <w:rPr>
                <w:rFonts w:ascii="Garamond" w:hAnsi="Garamond"/>
                <w:lang w:val="en-AU"/>
              </w:rPr>
              <w:t>Pharmaceutical care of older people is a complex and increasingly demanding specialty that involves caring for patients at the greatest risk</w:t>
            </w:r>
            <w:r>
              <w:rPr>
                <w:rFonts w:ascii="Garamond" w:hAnsi="Garamond"/>
                <w:lang w:val="en-AU"/>
              </w:rPr>
              <w:t xml:space="preserve"> </w:t>
            </w:r>
            <w:r w:rsidRPr="002F3037">
              <w:rPr>
                <w:rFonts w:ascii="Garamond" w:hAnsi="Garamond"/>
                <w:lang w:val="en-AU"/>
              </w:rPr>
              <w:t>of medicine-related harm.</w:t>
            </w:r>
          </w:p>
          <w:p w:rsidR="002F3037" w:rsidRPr="002F3037" w:rsidRDefault="002F3037" w:rsidP="00077B4E">
            <w:pPr>
              <w:pStyle w:val="ListParagraph"/>
              <w:numPr>
                <w:ilvl w:val="0"/>
                <w:numId w:val="45"/>
              </w:numPr>
              <w:rPr>
                <w:rFonts w:ascii="Garamond" w:hAnsi="Garamond"/>
                <w:lang w:val="en-AU"/>
              </w:rPr>
            </w:pPr>
            <w:r w:rsidRPr="002F3037">
              <w:rPr>
                <w:rFonts w:ascii="Garamond" w:hAnsi="Garamond"/>
                <w:lang w:val="en-AU"/>
              </w:rPr>
              <w:t>Effective clinical pharmacy services have been evidenced to improve a range of measures linked to efficiency</w:t>
            </w:r>
            <w:r>
              <w:rPr>
                <w:rFonts w:ascii="Garamond" w:hAnsi="Garamond"/>
                <w:lang w:val="en-AU"/>
              </w:rPr>
              <w:t xml:space="preserve"> </w:t>
            </w:r>
            <w:r w:rsidRPr="002F3037">
              <w:rPr>
                <w:rFonts w:ascii="Garamond" w:hAnsi="Garamond"/>
                <w:lang w:val="en-AU"/>
              </w:rPr>
              <w:t>and patient safety in acute hospitals.</w:t>
            </w:r>
          </w:p>
          <w:p w:rsidR="002F3037" w:rsidRDefault="002F3037" w:rsidP="00866571">
            <w:pPr>
              <w:pStyle w:val="ListParagraph"/>
              <w:numPr>
                <w:ilvl w:val="0"/>
                <w:numId w:val="45"/>
              </w:numPr>
              <w:rPr>
                <w:rFonts w:ascii="Garamond" w:hAnsi="Garamond"/>
                <w:lang w:val="en-AU"/>
              </w:rPr>
            </w:pPr>
            <w:r w:rsidRPr="002F3037">
              <w:rPr>
                <w:rFonts w:ascii="Garamond" w:hAnsi="Garamond"/>
                <w:lang w:val="en-AU"/>
              </w:rPr>
              <w:t>Further integration of clinical pharmacy services within the MDT and within strategic decision making may improve a shared understanding of which medicines and situations place patients at greater risk of</w:t>
            </w:r>
            <w:r>
              <w:rPr>
                <w:rFonts w:ascii="Garamond" w:hAnsi="Garamond"/>
                <w:lang w:val="en-AU"/>
              </w:rPr>
              <w:t xml:space="preserve"> </w:t>
            </w:r>
            <w:r w:rsidRPr="002F3037">
              <w:rPr>
                <w:rFonts w:ascii="Garamond" w:hAnsi="Garamond"/>
                <w:lang w:val="en-AU"/>
              </w:rPr>
              <w:t>serious medication errors occurring.</w:t>
            </w:r>
          </w:p>
          <w:p w:rsidR="002F3037" w:rsidRPr="002F3037" w:rsidRDefault="002F3037" w:rsidP="00B63BCB">
            <w:pPr>
              <w:pStyle w:val="ListParagraph"/>
              <w:numPr>
                <w:ilvl w:val="0"/>
                <w:numId w:val="45"/>
              </w:numPr>
              <w:rPr>
                <w:rFonts w:ascii="Garamond" w:hAnsi="Garamond"/>
                <w:lang w:val="en-AU"/>
              </w:rPr>
            </w:pPr>
            <w:r w:rsidRPr="002F3037">
              <w:rPr>
                <w:rFonts w:ascii="Garamond" w:hAnsi="Garamond"/>
                <w:lang w:val="en-AU"/>
              </w:rPr>
              <w:t>Clinical pharmacy services should consider using validated tools to assist in prioritising pharmacy care and identifying high-risk medicines and high-risk situations for medication error. Where electronic medical record systems are used, such tools could be integrated into</w:t>
            </w:r>
            <w:r>
              <w:rPr>
                <w:rFonts w:ascii="Garamond" w:hAnsi="Garamond"/>
                <w:lang w:val="en-AU"/>
              </w:rPr>
              <w:t xml:space="preserve"> </w:t>
            </w:r>
            <w:r w:rsidRPr="002F3037">
              <w:rPr>
                <w:rFonts w:ascii="Garamond" w:hAnsi="Garamond"/>
                <w:lang w:val="en-AU"/>
              </w:rPr>
              <w:t>these systems to aid prioritisation.</w:t>
            </w:r>
          </w:p>
          <w:p w:rsidR="002F3037" w:rsidRPr="002F3037" w:rsidRDefault="002F3037" w:rsidP="00374539">
            <w:pPr>
              <w:pStyle w:val="ListParagraph"/>
              <w:numPr>
                <w:ilvl w:val="0"/>
                <w:numId w:val="45"/>
              </w:numPr>
              <w:rPr>
                <w:rFonts w:ascii="Garamond" w:hAnsi="Garamond"/>
                <w:lang w:val="en-AU"/>
              </w:rPr>
            </w:pPr>
            <w:r w:rsidRPr="002F3037">
              <w:rPr>
                <w:rFonts w:ascii="Garamond" w:hAnsi="Garamond"/>
                <w:lang w:val="en-AU"/>
              </w:rPr>
              <w:t xml:space="preserve">Caring for older patients in hospital often presents a high-risk situation for medication errors occurring. Further efforts should be made to learn from </w:t>
            </w:r>
            <w:r w:rsidRPr="002F3037">
              <w:rPr>
                <w:rFonts w:ascii="Garamond" w:hAnsi="Garamond"/>
                <w:lang w:val="en-AU"/>
              </w:rPr>
              <w:lastRenderedPageBreak/>
              <w:t>technological developments and the organisation of pharmacy services in other high-risk areas of care that may improve system resilience in older</w:t>
            </w:r>
            <w:r>
              <w:rPr>
                <w:rFonts w:ascii="Garamond" w:hAnsi="Garamond"/>
                <w:lang w:val="en-AU"/>
              </w:rPr>
              <w:t xml:space="preserve"> </w:t>
            </w:r>
            <w:r w:rsidRPr="002F3037">
              <w:rPr>
                <w:rFonts w:ascii="Garamond" w:hAnsi="Garamond"/>
                <w:lang w:val="en-AU"/>
              </w:rPr>
              <w:t>persons care.</w:t>
            </w:r>
          </w:p>
          <w:p w:rsidR="00BB3AA1" w:rsidRPr="00842B29" w:rsidRDefault="00BB3AA1" w:rsidP="00F24969">
            <w:pPr>
              <w:rPr>
                <w:rFonts w:ascii="Garamond" w:hAnsi="Garamond"/>
                <w:lang w:val="en-AU"/>
              </w:rPr>
            </w:pPr>
            <w:r>
              <w:rPr>
                <w:rFonts w:ascii="Garamond" w:hAnsi="Garamond"/>
                <w:lang w:val="en-AU"/>
              </w:rPr>
              <w:t>A summary report is also available.</w:t>
            </w:r>
          </w:p>
        </w:tc>
      </w:tr>
    </w:tbl>
    <w:p w:rsidR="00842B29" w:rsidRDefault="00842B29" w:rsidP="00842B29">
      <w:pPr>
        <w:keepNext/>
        <w:keepLines/>
        <w:autoSpaceDE w:val="0"/>
        <w:autoSpaceDN w:val="0"/>
        <w:adjustRightInd w:val="0"/>
        <w:rPr>
          <w:rFonts w:ascii="Garamond" w:hAnsi="Garamond"/>
          <w:i/>
          <w:lang w:val="en-AU"/>
        </w:rPr>
      </w:pPr>
    </w:p>
    <w:p w:rsidR="00E3747A" w:rsidRDefault="002F3037" w:rsidP="00E34A10">
      <w:pPr>
        <w:keepNext/>
        <w:keepLines/>
        <w:autoSpaceDE w:val="0"/>
        <w:autoSpaceDN w:val="0"/>
        <w:adjustRightInd w:val="0"/>
        <w:rPr>
          <w:rFonts w:ascii="Garamond" w:hAnsi="Garamond"/>
          <w:lang w:val="en-AU"/>
        </w:rPr>
      </w:pPr>
      <w:r w:rsidRPr="00481C35">
        <w:rPr>
          <w:rFonts w:ascii="Garamond" w:hAnsi="Garamond"/>
          <w:lang w:val="en-AU"/>
        </w:rPr>
        <w:t xml:space="preserve">For information on the Commission’s work on </w:t>
      </w:r>
      <w:r>
        <w:rPr>
          <w:rFonts w:ascii="Garamond" w:hAnsi="Garamond"/>
          <w:lang w:val="en-AU"/>
        </w:rPr>
        <w:t xml:space="preserve">medication safety, see </w:t>
      </w:r>
      <w:hyperlink r:id="rId41" w:history="1">
        <w:r w:rsidRPr="008C7048">
          <w:rPr>
            <w:rStyle w:val="Hyperlink"/>
            <w:rFonts w:ascii="Garamond" w:hAnsi="Garamond"/>
            <w:lang w:val="en-AU"/>
          </w:rPr>
          <w:t>https://www.safetyandquality.gov.au/our-work/medication-safety</w:t>
        </w:r>
      </w:hyperlink>
      <w:r>
        <w:rPr>
          <w:rFonts w:ascii="Garamond" w:hAnsi="Garamond"/>
          <w:lang w:val="en-AU"/>
        </w:rPr>
        <w:t xml:space="preserve"> </w:t>
      </w:r>
    </w:p>
    <w:p w:rsidR="00E3747A" w:rsidRDefault="00E3747A" w:rsidP="00E34A10">
      <w:pPr>
        <w:keepNext/>
        <w:keepLines/>
        <w:autoSpaceDE w:val="0"/>
        <w:autoSpaceDN w:val="0"/>
        <w:adjustRightInd w:val="0"/>
        <w:rPr>
          <w:rFonts w:ascii="Garamond" w:hAnsi="Garamond"/>
          <w:lang w:val="en-AU"/>
        </w:rPr>
      </w:pPr>
    </w:p>
    <w:p w:rsidR="002F3037" w:rsidRDefault="002F3037" w:rsidP="00E34A10">
      <w:pPr>
        <w:keepNext/>
        <w:keepLines/>
        <w:autoSpaceDE w:val="0"/>
        <w:autoSpaceDN w:val="0"/>
        <w:adjustRightInd w:val="0"/>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E64D82" w:rsidRDefault="00E64D82" w:rsidP="00E34A10">
      <w:pPr>
        <w:keepNext/>
        <w:keepLines/>
        <w:autoSpaceDE w:val="0"/>
        <w:autoSpaceDN w:val="0"/>
        <w:adjustRightInd w:val="0"/>
        <w:rPr>
          <w:rFonts w:ascii="Garamond" w:hAnsi="Garamond"/>
          <w:b/>
          <w:lang w:val="en-AU"/>
        </w:rPr>
      </w:pPr>
    </w:p>
    <w:p w:rsidR="00175A77" w:rsidRPr="00175A77" w:rsidRDefault="00175A77" w:rsidP="00175A77">
      <w:pPr>
        <w:keepNext/>
        <w:keepLines/>
        <w:autoSpaceDE w:val="0"/>
        <w:autoSpaceDN w:val="0"/>
        <w:adjustRightInd w:val="0"/>
        <w:rPr>
          <w:rFonts w:ascii="Garamond" w:hAnsi="Garamond"/>
          <w:i/>
          <w:lang w:val="en-AU"/>
        </w:rPr>
      </w:pPr>
      <w:r w:rsidRPr="00175A77">
        <w:rPr>
          <w:rFonts w:ascii="Garamond" w:hAnsi="Garamond"/>
          <w:i/>
          <w:lang w:val="en-AU"/>
        </w:rPr>
        <w:t>Medical Care of Adults With Down Syndrome: A Clinical Guideline</w:t>
      </w:r>
    </w:p>
    <w:p w:rsidR="00175A77" w:rsidRDefault="00175A77" w:rsidP="00842B29">
      <w:pPr>
        <w:keepNext/>
        <w:keepLines/>
        <w:autoSpaceDE w:val="0"/>
        <w:autoSpaceDN w:val="0"/>
        <w:adjustRightInd w:val="0"/>
        <w:rPr>
          <w:rFonts w:ascii="Garamond" w:hAnsi="Garamond"/>
          <w:lang w:val="en-AU"/>
        </w:rPr>
      </w:pPr>
      <w:r w:rsidRPr="00175A77">
        <w:rPr>
          <w:rFonts w:ascii="Garamond" w:hAnsi="Garamond"/>
          <w:lang w:val="en-AU"/>
        </w:rPr>
        <w:t>Tsou AY, Bulova P, Capone G, Chicoine B, Gelaro B, Harville TO, et al</w:t>
      </w:r>
    </w:p>
    <w:p w:rsidR="00842B29" w:rsidRDefault="00175A77" w:rsidP="00842B29">
      <w:pPr>
        <w:keepNext/>
        <w:keepLines/>
        <w:autoSpaceDE w:val="0"/>
        <w:autoSpaceDN w:val="0"/>
        <w:adjustRightInd w:val="0"/>
        <w:rPr>
          <w:rFonts w:ascii="Garamond" w:hAnsi="Garamond"/>
          <w:lang w:val="en-AU"/>
        </w:rPr>
      </w:pPr>
      <w:r w:rsidRPr="00175A77">
        <w:rPr>
          <w:rFonts w:ascii="Garamond" w:hAnsi="Garamond"/>
          <w:lang w:val="en-AU"/>
        </w:rPr>
        <w:t>JAMA. 2020;324(15):1543-1556.</w:t>
      </w:r>
    </w:p>
    <w:tbl>
      <w:tblPr>
        <w:tblStyle w:val="TableGrid"/>
        <w:tblW w:w="9360" w:type="dxa"/>
        <w:tblInd w:w="288" w:type="dxa"/>
        <w:tblLayout w:type="fixed"/>
        <w:tblLook w:val="01E0" w:firstRow="1" w:lastRow="1" w:firstColumn="1" w:lastColumn="1" w:noHBand="0" w:noVBand="0"/>
      </w:tblPr>
      <w:tblGrid>
        <w:gridCol w:w="1080"/>
        <w:gridCol w:w="8280"/>
      </w:tblGrid>
      <w:tr w:rsidR="00842B29" w:rsidRPr="000170DA" w:rsidTr="00F24969">
        <w:tc>
          <w:tcPr>
            <w:tcW w:w="1080" w:type="dxa"/>
            <w:tcBorders>
              <w:top w:val="single" w:sz="4" w:space="0" w:color="auto"/>
              <w:left w:val="single" w:sz="4" w:space="0" w:color="auto"/>
              <w:bottom w:val="single" w:sz="4" w:space="0" w:color="auto"/>
              <w:right w:val="single" w:sz="4" w:space="0" w:color="auto"/>
            </w:tcBorders>
            <w:vAlign w:val="center"/>
          </w:tcPr>
          <w:p w:rsidR="00842B29" w:rsidRPr="000170DA" w:rsidRDefault="00842B29" w:rsidP="00F2496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42B29" w:rsidRPr="000170DA" w:rsidRDefault="002E621E" w:rsidP="00F24969">
            <w:pPr>
              <w:keepNext/>
              <w:rPr>
                <w:rStyle w:val="Hyperlink"/>
                <w:rFonts w:ascii="Garamond" w:hAnsi="Garamond"/>
                <w:color w:val="auto"/>
                <w:u w:val="none"/>
                <w:lang w:val="en-AU"/>
              </w:rPr>
            </w:pPr>
            <w:hyperlink r:id="rId42" w:history="1">
              <w:r w:rsidR="00175A77" w:rsidRPr="001E7F07">
                <w:rPr>
                  <w:rStyle w:val="Hyperlink"/>
                  <w:rFonts w:ascii="Garamond" w:hAnsi="Garamond"/>
                  <w:lang w:val="en-AU"/>
                </w:rPr>
                <w:t>https://doi.org/10.1001/jama.2020.17024</w:t>
              </w:r>
            </w:hyperlink>
          </w:p>
        </w:tc>
      </w:tr>
      <w:tr w:rsidR="00842B29" w:rsidRPr="000170DA" w:rsidTr="00F24969">
        <w:tc>
          <w:tcPr>
            <w:tcW w:w="1080" w:type="dxa"/>
            <w:tcBorders>
              <w:top w:val="single" w:sz="4" w:space="0" w:color="auto"/>
              <w:left w:val="single" w:sz="4" w:space="0" w:color="auto"/>
              <w:bottom w:val="single" w:sz="4" w:space="0" w:color="auto"/>
              <w:right w:val="single" w:sz="4" w:space="0" w:color="auto"/>
            </w:tcBorders>
            <w:vAlign w:val="center"/>
          </w:tcPr>
          <w:p w:rsidR="00842B29" w:rsidRPr="000170DA" w:rsidRDefault="00842B29" w:rsidP="00F2496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1FD5" w:rsidRPr="005748EE" w:rsidRDefault="00791FD5" w:rsidP="00523EF5">
            <w:pPr>
              <w:rPr>
                <w:rFonts w:ascii="Garamond" w:hAnsi="Garamond"/>
                <w:lang w:val="en-AU"/>
              </w:rPr>
            </w:pPr>
            <w:r>
              <w:rPr>
                <w:rFonts w:ascii="Garamond" w:hAnsi="Garamond"/>
                <w:lang w:val="en-AU"/>
              </w:rPr>
              <w:t>The authors of this piece observe that ‘</w:t>
            </w:r>
            <w:r w:rsidRPr="00791FD5">
              <w:rPr>
                <w:rFonts w:ascii="Garamond" w:hAnsi="Garamond"/>
                <w:lang w:val="en-AU"/>
              </w:rPr>
              <w:t>Down syndrome is the most common chromosomal condition</w:t>
            </w:r>
            <w:r>
              <w:rPr>
                <w:rFonts w:ascii="Garamond" w:hAnsi="Garamond"/>
                <w:lang w:val="en-AU"/>
              </w:rPr>
              <w:t>’. However, they also note that ‘</w:t>
            </w:r>
            <w:r w:rsidRPr="00791FD5">
              <w:rPr>
                <w:rFonts w:ascii="Garamond" w:hAnsi="Garamond"/>
                <w:lang w:val="en-AU"/>
              </w:rPr>
              <w:t xml:space="preserve">Despite the unique clinical comorbidities among adults with Down syndrome, there are no clinical guidelines for the </w:t>
            </w:r>
            <w:r>
              <w:rPr>
                <w:rFonts w:ascii="Garamond" w:hAnsi="Garamond"/>
                <w:lang w:val="en-AU"/>
              </w:rPr>
              <w:t xml:space="preserve">(primary) </w:t>
            </w:r>
            <w:r w:rsidRPr="00791FD5">
              <w:rPr>
                <w:rFonts w:ascii="Garamond" w:hAnsi="Garamond"/>
                <w:lang w:val="en-AU"/>
              </w:rPr>
              <w:t>care of these patients</w:t>
            </w:r>
            <w:r>
              <w:rPr>
                <w:rFonts w:ascii="Garamond" w:hAnsi="Garamond"/>
                <w:lang w:val="en-AU"/>
              </w:rPr>
              <w:t>.’ This has led to the development of this guideline providing evidence-based recommendations across behavioural health, dementia, diabetes, cardiovascular disease prevention, stroke prevention, obesity, a</w:t>
            </w:r>
            <w:r w:rsidRPr="00791FD5">
              <w:rPr>
                <w:rFonts w:ascii="Garamond" w:hAnsi="Garamond"/>
                <w:lang w:val="en-AU"/>
              </w:rPr>
              <w:t xml:space="preserve">tlantoaxial </w:t>
            </w:r>
            <w:r>
              <w:rPr>
                <w:rFonts w:ascii="Garamond" w:hAnsi="Garamond"/>
                <w:lang w:val="en-AU"/>
              </w:rPr>
              <w:t>i</w:t>
            </w:r>
            <w:r w:rsidRPr="00791FD5">
              <w:rPr>
                <w:rFonts w:ascii="Garamond" w:hAnsi="Garamond"/>
                <w:lang w:val="en-AU"/>
              </w:rPr>
              <w:t>nstability</w:t>
            </w:r>
            <w:r>
              <w:rPr>
                <w:rFonts w:ascii="Garamond" w:hAnsi="Garamond"/>
                <w:lang w:val="en-AU"/>
              </w:rPr>
              <w:t>, osteoporosis, thyroid disease, and celiac disease.</w:t>
            </w:r>
          </w:p>
        </w:tc>
      </w:tr>
    </w:tbl>
    <w:p w:rsidR="00842B29" w:rsidRDefault="00842B29" w:rsidP="00842B29">
      <w:pPr>
        <w:keepNext/>
        <w:keepLines/>
        <w:autoSpaceDE w:val="0"/>
        <w:autoSpaceDN w:val="0"/>
        <w:adjustRightInd w:val="0"/>
        <w:rPr>
          <w:rFonts w:ascii="Garamond" w:hAnsi="Garamond"/>
          <w:i/>
          <w:lang w:val="en-AU"/>
        </w:rPr>
      </w:pPr>
    </w:p>
    <w:p w:rsidR="00842B29" w:rsidRPr="00AE3092" w:rsidRDefault="00AE3092" w:rsidP="00842B29">
      <w:pPr>
        <w:keepNext/>
        <w:keepLines/>
        <w:autoSpaceDE w:val="0"/>
        <w:autoSpaceDN w:val="0"/>
        <w:adjustRightInd w:val="0"/>
        <w:rPr>
          <w:rFonts w:ascii="Garamond" w:hAnsi="Garamond"/>
          <w:i/>
          <w:lang w:val="en-AU"/>
        </w:rPr>
      </w:pPr>
      <w:r w:rsidRPr="00AE3092">
        <w:rPr>
          <w:rFonts w:ascii="Garamond" w:hAnsi="Garamond"/>
          <w:i/>
          <w:lang w:val="en-AU"/>
        </w:rPr>
        <w:t>Identifying Recommendations for Stopping or Scaling Back Unnecessary Routine Services in Primary Care</w:t>
      </w:r>
    </w:p>
    <w:p w:rsidR="009E6EFF" w:rsidRDefault="009E6EFF" w:rsidP="00842B29">
      <w:pPr>
        <w:keepNext/>
        <w:keepLines/>
        <w:autoSpaceDE w:val="0"/>
        <w:autoSpaceDN w:val="0"/>
        <w:adjustRightInd w:val="0"/>
        <w:rPr>
          <w:rFonts w:ascii="Garamond" w:hAnsi="Garamond"/>
          <w:lang w:val="en-AU"/>
        </w:rPr>
      </w:pPr>
      <w:r w:rsidRPr="009E6EFF">
        <w:rPr>
          <w:rFonts w:ascii="Garamond" w:hAnsi="Garamond"/>
          <w:lang w:val="en-AU"/>
        </w:rPr>
        <w:t>Kerr EA, Klamerus ML, Markovitz AA, Sussman JB, Bernstein SJ, Caverly TJ, et al</w:t>
      </w:r>
    </w:p>
    <w:p w:rsidR="00AE3092" w:rsidRDefault="009E6EFF" w:rsidP="00842B29">
      <w:pPr>
        <w:keepNext/>
        <w:keepLines/>
        <w:autoSpaceDE w:val="0"/>
        <w:autoSpaceDN w:val="0"/>
        <w:adjustRightInd w:val="0"/>
        <w:rPr>
          <w:rFonts w:ascii="Garamond" w:hAnsi="Garamond"/>
          <w:lang w:val="en-AU"/>
        </w:rPr>
      </w:pPr>
      <w:r w:rsidRPr="009E6EFF">
        <w:rPr>
          <w:rFonts w:ascii="Garamond" w:hAnsi="Garamond"/>
          <w:lang w:val="en-AU"/>
        </w:rPr>
        <w:t>JAMA Internal Medicine. 2020</w:t>
      </w:r>
      <w:r>
        <w:rPr>
          <w:rFonts w:ascii="Garamond" w:hAnsi="Garamond"/>
          <w:lang w:val="en-AU"/>
        </w:rPr>
        <w:t xml:space="preserve"> [epub]</w:t>
      </w:r>
      <w:r w:rsidRPr="009E6EFF">
        <w:rPr>
          <w:rFonts w:ascii="Garamond" w:hAnsi="Garamond"/>
          <w:lang w:val="en-AU"/>
        </w:rPr>
        <w:t>.</w:t>
      </w:r>
    </w:p>
    <w:p w:rsidR="009E6EFF" w:rsidRDefault="009E6EFF" w:rsidP="00842B29">
      <w:pPr>
        <w:keepNext/>
        <w:keepLines/>
        <w:autoSpaceDE w:val="0"/>
        <w:autoSpaceDN w:val="0"/>
        <w:adjustRightInd w:val="0"/>
        <w:rPr>
          <w:rFonts w:ascii="Garamond" w:hAnsi="Garamond"/>
          <w:lang w:val="en-AU"/>
        </w:rPr>
      </w:pPr>
    </w:p>
    <w:p w:rsidR="00AE3092" w:rsidRPr="00AE3092" w:rsidRDefault="00AE3092" w:rsidP="00AE3092">
      <w:pPr>
        <w:keepNext/>
        <w:keepLines/>
        <w:autoSpaceDE w:val="0"/>
        <w:autoSpaceDN w:val="0"/>
        <w:adjustRightInd w:val="0"/>
        <w:rPr>
          <w:rFonts w:ascii="Garamond" w:hAnsi="Garamond"/>
          <w:i/>
          <w:lang w:val="en-AU"/>
        </w:rPr>
      </w:pPr>
      <w:r w:rsidRPr="00AE3092">
        <w:rPr>
          <w:rFonts w:ascii="Garamond" w:hAnsi="Garamond"/>
          <w:i/>
          <w:lang w:val="en-AU"/>
        </w:rPr>
        <w:t>De-adopting Low-Value Care: Evidence, Eminence, and Economics</w:t>
      </w:r>
    </w:p>
    <w:p w:rsidR="00203041" w:rsidRDefault="00203041" w:rsidP="00AE3092">
      <w:pPr>
        <w:keepNext/>
        <w:keepLines/>
        <w:autoSpaceDE w:val="0"/>
        <w:autoSpaceDN w:val="0"/>
        <w:adjustRightInd w:val="0"/>
        <w:rPr>
          <w:rFonts w:ascii="Garamond" w:hAnsi="Garamond"/>
          <w:lang w:val="en-AU"/>
        </w:rPr>
      </w:pPr>
      <w:r w:rsidRPr="00203041">
        <w:rPr>
          <w:rFonts w:ascii="Garamond" w:hAnsi="Garamond"/>
          <w:lang w:val="en-AU"/>
        </w:rPr>
        <w:t>Powers BW, Jain SH, Shrank WH.</w:t>
      </w:r>
    </w:p>
    <w:p w:rsidR="00AE3092" w:rsidRDefault="00203041" w:rsidP="00AE3092">
      <w:pPr>
        <w:keepNext/>
        <w:keepLines/>
        <w:autoSpaceDE w:val="0"/>
        <w:autoSpaceDN w:val="0"/>
        <w:adjustRightInd w:val="0"/>
        <w:rPr>
          <w:rFonts w:ascii="Garamond" w:hAnsi="Garamond"/>
          <w:lang w:val="en-AU"/>
        </w:rPr>
      </w:pPr>
      <w:r w:rsidRPr="00203041">
        <w:rPr>
          <w:rFonts w:ascii="Garamond" w:hAnsi="Garamond"/>
          <w:lang w:val="en-AU"/>
        </w:rPr>
        <w:t>Journal of the American Medical Association. 2020;324(16):1603-1604.</w:t>
      </w:r>
    </w:p>
    <w:tbl>
      <w:tblPr>
        <w:tblStyle w:val="TableGrid"/>
        <w:tblW w:w="9360" w:type="dxa"/>
        <w:tblInd w:w="288" w:type="dxa"/>
        <w:tblLayout w:type="fixed"/>
        <w:tblLook w:val="01E0" w:firstRow="1" w:lastRow="1" w:firstColumn="1" w:lastColumn="1" w:noHBand="0" w:noVBand="0"/>
      </w:tblPr>
      <w:tblGrid>
        <w:gridCol w:w="1080"/>
        <w:gridCol w:w="8280"/>
      </w:tblGrid>
      <w:tr w:rsidR="00842B29" w:rsidRPr="000170DA" w:rsidTr="00F24969">
        <w:tc>
          <w:tcPr>
            <w:tcW w:w="1080" w:type="dxa"/>
            <w:tcBorders>
              <w:top w:val="single" w:sz="4" w:space="0" w:color="auto"/>
              <w:left w:val="single" w:sz="4" w:space="0" w:color="auto"/>
              <w:bottom w:val="single" w:sz="4" w:space="0" w:color="auto"/>
              <w:right w:val="single" w:sz="4" w:space="0" w:color="auto"/>
            </w:tcBorders>
            <w:vAlign w:val="center"/>
          </w:tcPr>
          <w:p w:rsidR="00842B29" w:rsidRPr="000170DA" w:rsidRDefault="00842B29" w:rsidP="00F2496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42B29" w:rsidRDefault="00AE3092" w:rsidP="00F24969">
            <w:pPr>
              <w:keepNext/>
              <w:rPr>
                <w:rStyle w:val="Hyperlink"/>
                <w:rFonts w:ascii="Garamond" w:hAnsi="Garamond"/>
                <w:color w:val="auto"/>
                <w:u w:val="none"/>
                <w:lang w:val="en-AU"/>
              </w:rPr>
            </w:pPr>
            <w:r>
              <w:rPr>
                <w:rStyle w:val="Hyperlink"/>
                <w:rFonts w:ascii="Garamond" w:hAnsi="Garamond"/>
                <w:color w:val="auto"/>
                <w:u w:val="none"/>
                <w:lang w:val="en-AU"/>
              </w:rPr>
              <w:t xml:space="preserve">Kerr et al </w:t>
            </w:r>
            <w:hyperlink r:id="rId43" w:history="1">
              <w:r w:rsidRPr="00813972">
                <w:rPr>
                  <w:rStyle w:val="Hyperlink"/>
                  <w:rFonts w:ascii="Garamond" w:hAnsi="Garamond"/>
                  <w:lang w:val="en-AU"/>
                </w:rPr>
                <w:t>https://doi.org/10.1001/jamainternmed.2020.4001</w:t>
              </w:r>
            </w:hyperlink>
          </w:p>
          <w:p w:rsidR="00AE3092" w:rsidRPr="000170DA" w:rsidRDefault="00AE3092" w:rsidP="00AE3092">
            <w:pPr>
              <w:keepNext/>
              <w:rPr>
                <w:rStyle w:val="Hyperlink"/>
                <w:rFonts w:ascii="Garamond" w:hAnsi="Garamond"/>
                <w:color w:val="auto"/>
                <w:u w:val="none"/>
                <w:lang w:val="en-AU"/>
              </w:rPr>
            </w:pPr>
            <w:r>
              <w:rPr>
                <w:rStyle w:val="Hyperlink"/>
                <w:rFonts w:ascii="Garamond" w:hAnsi="Garamond"/>
                <w:color w:val="auto"/>
                <w:u w:val="none"/>
                <w:lang w:val="en-AU"/>
              </w:rPr>
              <w:t xml:space="preserve">Powers et al </w:t>
            </w:r>
            <w:hyperlink r:id="rId44" w:history="1">
              <w:r w:rsidRPr="00813972">
                <w:rPr>
                  <w:rStyle w:val="Hyperlink"/>
                  <w:rFonts w:ascii="Garamond" w:hAnsi="Garamond"/>
                  <w:lang w:val="en-AU"/>
                </w:rPr>
                <w:t>https://doi.org/10.1001/jama.2020.17534</w:t>
              </w:r>
            </w:hyperlink>
          </w:p>
        </w:tc>
      </w:tr>
      <w:tr w:rsidR="00842B29" w:rsidRPr="000170DA" w:rsidTr="00F24969">
        <w:tc>
          <w:tcPr>
            <w:tcW w:w="1080" w:type="dxa"/>
            <w:tcBorders>
              <w:top w:val="single" w:sz="4" w:space="0" w:color="auto"/>
              <w:left w:val="single" w:sz="4" w:space="0" w:color="auto"/>
              <w:bottom w:val="single" w:sz="4" w:space="0" w:color="auto"/>
              <w:right w:val="single" w:sz="4" w:space="0" w:color="auto"/>
            </w:tcBorders>
            <w:vAlign w:val="center"/>
          </w:tcPr>
          <w:p w:rsidR="00842B29" w:rsidRPr="000170DA" w:rsidRDefault="00842B29" w:rsidP="00F2496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42B29" w:rsidRDefault="00203041" w:rsidP="00F24969">
            <w:pPr>
              <w:rPr>
                <w:rFonts w:ascii="Garamond" w:hAnsi="Garamond"/>
                <w:lang w:val="en-AU"/>
              </w:rPr>
            </w:pPr>
            <w:r>
              <w:rPr>
                <w:rFonts w:ascii="Garamond" w:hAnsi="Garamond"/>
                <w:lang w:val="en-AU"/>
              </w:rPr>
              <w:t>A p</w:t>
            </w:r>
            <w:r w:rsidR="00531A07">
              <w:rPr>
                <w:rFonts w:ascii="Garamond" w:hAnsi="Garamond"/>
                <w:lang w:val="en-AU"/>
              </w:rPr>
              <w:t>ai</w:t>
            </w:r>
            <w:r>
              <w:rPr>
                <w:rFonts w:ascii="Garamond" w:hAnsi="Garamond"/>
                <w:lang w:val="en-AU"/>
              </w:rPr>
              <w:t>r of articles looking at how to reduce (stopping, scaling back or de-</w:t>
            </w:r>
            <w:r w:rsidR="00523EF5">
              <w:rPr>
                <w:rFonts w:ascii="Garamond" w:hAnsi="Garamond"/>
                <w:lang w:val="en-AU"/>
              </w:rPr>
              <w:t>adopting</w:t>
            </w:r>
            <w:r>
              <w:rPr>
                <w:rFonts w:ascii="Garamond" w:hAnsi="Garamond"/>
                <w:lang w:val="en-AU"/>
              </w:rPr>
              <w:t xml:space="preserve">) the use of low value or unnecessary activity. </w:t>
            </w:r>
          </w:p>
          <w:p w:rsidR="00203041" w:rsidRDefault="00014972" w:rsidP="00F24969">
            <w:pPr>
              <w:rPr>
                <w:rFonts w:ascii="Garamond" w:hAnsi="Garamond"/>
                <w:lang w:val="en-AU"/>
              </w:rPr>
            </w:pPr>
            <w:r w:rsidRPr="00014972">
              <w:rPr>
                <w:rFonts w:ascii="Garamond" w:hAnsi="Garamond"/>
                <w:lang w:val="en-AU"/>
              </w:rPr>
              <w:t xml:space="preserve">Kerr at el </w:t>
            </w:r>
            <w:r>
              <w:rPr>
                <w:rFonts w:ascii="Garamond" w:hAnsi="Garamond"/>
                <w:lang w:val="en-AU"/>
              </w:rPr>
              <w:t xml:space="preserve">sought to determine </w:t>
            </w:r>
            <w:r w:rsidR="00523EF5">
              <w:rPr>
                <w:rFonts w:ascii="Garamond" w:hAnsi="Garamond"/>
                <w:lang w:val="en-AU"/>
              </w:rPr>
              <w:t xml:space="preserve">if </w:t>
            </w:r>
            <w:r w:rsidR="00523EF5" w:rsidRPr="00014972">
              <w:rPr>
                <w:rFonts w:ascii="Garamond" w:hAnsi="Garamond"/>
                <w:lang w:val="en-AU"/>
              </w:rPr>
              <w:t>a</w:t>
            </w:r>
            <w:r w:rsidRPr="00014972">
              <w:rPr>
                <w:rFonts w:ascii="Garamond" w:hAnsi="Garamond"/>
                <w:lang w:val="en-AU"/>
              </w:rPr>
              <w:t xml:space="preserve"> systematic, transparent, and reproducible approach </w:t>
            </w:r>
            <w:r>
              <w:rPr>
                <w:rFonts w:ascii="Garamond" w:hAnsi="Garamond"/>
                <w:lang w:val="en-AU"/>
              </w:rPr>
              <w:t xml:space="preserve">could </w:t>
            </w:r>
            <w:r w:rsidRPr="00014972">
              <w:rPr>
                <w:rFonts w:ascii="Garamond" w:hAnsi="Garamond"/>
                <w:lang w:val="en-AU"/>
              </w:rPr>
              <w:t xml:space="preserve">be developed to identify, specify, and validate </w:t>
            </w:r>
            <w:r>
              <w:rPr>
                <w:rFonts w:ascii="Garamond" w:hAnsi="Garamond"/>
                <w:lang w:val="en-AU"/>
              </w:rPr>
              <w:t>‘</w:t>
            </w:r>
            <w:r w:rsidRPr="00014972">
              <w:rPr>
                <w:rFonts w:ascii="Garamond" w:hAnsi="Garamond"/>
                <w:lang w:val="en-AU"/>
              </w:rPr>
              <w:t>deintensification recommendations</w:t>
            </w:r>
            <w:r>
              <w:rPr>
                <w:rFonts w:ascii="Garamond" w:hAnsi="Garamond"/>
                <w:lang w:val="en-AU"/>
              </w:rPr>
              <w:t>’</w:t>
            </w:r>
            <w:r w:rsidRPr="00014972">
              <w:rPr>
                <w:rFonts w:ascii="Garamond" w:hAnsi="Garamond"/>
                <w:lang w:val="en-AU"/>
              </w:rPr>
              <w:t xml:space="preserve"> associated with routine adult primary care</w:t>
            </w:r>
            <w:r>
              <w:rPr>
                <w:rFonts w:ascii="Garamond" w:hAnsi="Garamond"/>
                <w:lang w:val="en-AU"/>
              </w:rPr>
              <w:t>. Using a f</w:t>
            </w:r>
            <w:r w:rsidRPr="00014972">
              <w:rPr>
                <w:rFonts w:ascii="Garamond" w:hAnsi="Garamond"/>
                <w:lang w:val="en-AU"/>
              </w:rPr>
              <w:t>ocused review of existing guidelines and recommendations</w:t>
            </w:r>
            <w:r>
              <w:rPr>
                <w:rFonts w:ascii="Garamond" w:hAnsi="Garamond"/>
                <w:lang w:val="en-AU"/>
              </w:rPr>
              <w:t xml:space="preserve"> the authors report that 178 </w:t>
            </w:r>
            <w:r w:rsidRPr="00014972">
              <w:rPr>
                <w:rFonts w:ascii="Garamond" w:hAnsi="Garamond"/>
                <w:lang w:val="en-AU"/>
              </w:rPr>
              <w:t xml:space="preserve">recommendations that </w:t>
            </w:r>
            <w:r>
              <w:rPr>
                <w:rFonts w:ascii="Garamond" w:hAnsi="Garamond"/>
                <w:lang w:val="en-AU"/>
              </w:rPr>
              <w:t>‘</w:t>
            </w:r>
            <w:r w:rsidRPr="00014972">
              <w:rPr>
                <w:rFonts w:ascii="Garamond" w:hAnsi="Garamond"/>
                <w:lang w:val="en-AU"/>
              </w:rPr>
              <w:t>represented unique opportunities to stop or scale back routine services were identified from a set of established guidelines, measures, and Choosing Wisely recommendations</w:t>
            </w:r>
            <w:r>
              <w:rPr>
                <w:rFonts w:ascii="Garamond" w:hAnsi="Garamond"/>
                <w:lang w:val="en-AU"/>
              </w:rPr>
              <w:t xml:space="preserve">.’ Expert panels </w:t>
            </w:r>
            <w:r w:rsidR="00D43CA1">
              <w:rPr>
                <w:rFonts w:ascii="Garamond" w:hAnsi="Garamond"/>
                <w:lang w:val="en-AU"/>
              </w:rPr>
              <w:t>r</w:t>
            </w:r>
            <w:r w:rsidR="00D43CA1" w:rsidRPr="00D43CA1">
              <w:rPr>
                <w:rFonts w:ascii="Garamond" w:hAnsi="Garamond"/>
                <w:lang w:val="en-AU"/>
              </w:rPr>
              <w:t>eviewed the evidence and suggested modifications,</w:t>
            </w:r>
            <w:r w:rsidR="00D43CA1">
              <w:rPr>
                <w:rFonts w:ascii="Garamond" w:hAnsi="Garamond"/>
                <w:lang w:val="en-AU"/>
              </w:rPr>
              <w:t xml:space="preserve"> resulting in </w:t>
            </w:r>
            <w:r w:rsidR="00D43CA1" w:rsidRPr="00D43CA1">
              <w:rPr>
                <w:rFonts w:ascii="Garamond" w:hAnsi="Garamond"/>
                <w:lang w:val="en-AU"/>
              </w:rPr>
              <w:t xml:space="preserve">37 </w:t>
            </w:r>
            <w:r w:rsidR="00D43CA1">
              <w:rPr>
                <w:rFonts w:ascii="Garamond" w:hAnsi="Garamond"/>
                <w:lang w:val="en-AU"/>
              </w:rPr>
              <w:t xml:space="preserve">being </w:t>
            </w:r>
            <w:r w:rsidR="00D43CA1" w:rsidRPr="00D43CA1">
              <w:rPr>
                <w:rFonts w:ascii="Garamond" w:hAnsi="Garamond"/>
                <w:lang w:val="en-AU"/>
              </w:rPr>
              <w:t>validated as high-priority deintensification recommendations</w:t>
            </w:r>
            <w:r w:rsidR="00D43CA1">
              <w:rPr>
                <w:rFonts w:ascii="Garamond" w:hAnsi="Garamond"/>
                <w:lang w:val="en-AU"/>
              </w:rPr>
              <w:t>.</w:t>
            </w:r>
          </w:p>
          <w:p w:rsidR="00203041" w:rsidRDefault="00203041" w:rsidP="00F24969">
            <w:pPr>
              <w:rPr>
                <w:rFonts w:ascii="Garamond" w:hAnsi="Garamond"/>
                <w:lang w:val="en-AU"/>
              </w:rPr>
            </w:pPr>
            <w:r>
              <w:rPr>
                <w:rFonts w:ascii="Garamond" w:hAnsi="Garamond"/>
                <w:lang w:val="en-AU"/>
              </w:rPr>
              <w:t xml:space="preserve">Powers et al </w:t>
            </w:r>
            <w:r w:rsidR="00D43CA1">
              <w:rPr>
                <w:rFonts w:ascii="Garamond" w:hAnsi="Garamond"/>
                <w:lang w:val="en-AU"/>
              </w:rPr>
              <w:t>observe that while innovation can be slow to be adopted, medicine can also ‘</w:t>
            </w:r>
            <w:r w:rsidR="00D43CA1" w:rsidRPr="00D43CA1">
              <w:rPr>
                <w:rFonts w:ascii="Garamond" w:hAnsi="Garamond"/>
                <w:lang w:val="en-AU"/>
              </w:rPr>
              <w:t>slow to abandon practices that provide little or no benefit to patients</w:t>
            </w:r>
            <w:r w:rsidR="00D43CA1">
              <w:rPr>
                <w:rFonts w:ascii="Garamond" w:hAnsi="Garamond"/>
                <w:lang w:val="en-AU"/>
              </w:rPr>
              <w:t>’. The authors of this piece offer</w:t>
            </w:r>
            <w:r>
              <w:rPr>
                <w:rFonts w:ascii="Garamond" w:hAnsi="Garamond"/>
                <w:lang w:val="en-AU"/>
              </w:rPr>
              <w:t xml:space="preserve"> a trio of </w:t>
            </w:r>
            <w:r w:rsidR="00D43CA1">
              <w:rPr>
                <w:rFonts w:ascii="Garamond" w:hAnsi="Garamond"/>
                <w:lang w:val="en-AU"/>
              </w:rPr>
              <w:t>‘</w:t>
            </w:r>
            <w:r w:rsidR="00D43CA1" w:rsidRPr="00D43CA1">
              <w:rPr>
                <w:rFonts w:ascii="Garamond" w:hAnsi="Garamond"/>
                <w:lang w:val="en-AU"/>
              </w:rPr>
              <w:t>forces that govern the de-adoption of low-value care—evidence, eminence, and economics</w:t>
            </w:r>
            <w:r w:rsidR="00D43CA1">
              <w:rPr>
                <w:rFonts w:ascii="Garamond" w:hAnsi="Garamond"/>
                <w:lang w:val="en-AU"/>
              </w:rPr>
              <w:t xml:space="preserve">’ and provide some case examples to illustrate their point and discuss the policy implications. </w:t>
            </w:r>
          </w:p>
          <w:p w:rsidR="00203041" w:rsidRPr="005748EE" w:rsidRDefault="00203041" w:rsidP="00D43CA1">
            <w:pPr>
              <w:rPr>
                <w:rFonts w:ascii="Garamond" w:hAnsi="Garamond"/>
                <w:lang w:val="en-AU"/>
              </w:rPr>
            </w:pPr>
            <w:r>
              <w:rPr>
                <w:rFonts w:ascii="Garamond" w:hAnsi="Garamond"/>
                <w:lang w:val="en-AU"/>
              </w:rPr>
              <w:t>In locations where there is a single or dominant payer, often a government, the decision to not fund l</w:t>
            </w:r>
            <w:r w:rsidR="002F3037">
              <w:rPr>
                <w:rFonts w:ascii="Garamond" w:hAnsi="Garamond"/>
                <w:lang w:val="en-AU"/>
              </w:rPr>
              <w:t>ow value or unnecessary activit</w:t>
            </w:r>
            <w:r>
              <w:rPr>
                <w:rFonts w:ascii="Garamond" w:hAnsi="Garamond"/>
                <w:lang w:val="en-AU"/>
              </w:rPr>
              <w:t xml:space="preserve">y or limit the circumstances in which it will be funded or reimbursed </w:t>
            </w:r>
            <w:r w:rsidR="00D43CA1">
              <w:rPr>
                <w:rFonts w:ascii="Garamond" w:hAnsi="Garamond"/>
                <w:lang w:val="en-AU"/>
              </w:rPr>
              <w:t xml:space="preserve">has the potential to be quite </w:t>
            </w:r>
            <w:r>
              <w:rPr>
                <w:rFonts w:ascii="Garamond" w:hAnsi="Garamond"/>
                <w:lang w:val="en-AU"/>
              </w:rPr>
              <w:t>a strong lever – when it is used.</w:t>
            </w:r>
          </w:p>
        </w:tc>
      </w:tr>
    </w:tbl>
    <w:p w:rsidR="00AC0C31" w:rsidRDefault="00AC0C31" w:rsidP="00AC0C31">
      <w:pPr>
        <w:keepNext/>
        <w:rPr>
          <w:rFonts w:ascii="Garamond" w:hAnsi="Garamond"/>
          <w:i/>
          <w:lang w:val="en-AU"/>
        </w:rPr>
      </w:pPr>
      <w:r w:rsidRPr="00AC0C31">
        <w:rPr>
          <w:rFonts w:ascii="Garamond" w:hAnsi="Garamond"/>
          <w:i/>
          <w:lang w:val="en-AU"/>
        </w:rPr>
        <w:lastRenderedPageBreak/>
        <w:t>Journal of Patient Safety and Risk Management</w:t>
      </w:r>
    </w:p>
    <w:p w:rsidR="00301425" w:rsidRPr="00AC0C31" w:rsidRDefault="00AC0C31" w:rsidP="00301425">
      <w:pPr>
        <w:keepNext/>
        <w:rPr>
          <w:rFonts w:ascii="Garamond" w:hAnsi="Garamond"/>
          <w:lang w:val="en-AU"/>
        </w:rPr>
      </w:pPr>
      <w:r w:rsidRPr="00AC0C31">
        <w:rPr>
          <w:rFonts w:ascii="Garamond" w:hAnsi="Garamond"/>
          <w:lang w:val="en-AU"/>
        </w:rPr>
        <w:t>Volume: 25, Number: 5 (October 2020)</w:t>
      </w:r>
    </w:p>
    <w:tbl>
      <w:tblPr>
        <w:tblStyle w:val="TableGrid"/>
        <w:tblW w:w="9360" w:type="dxa"/>
        <w:tblInd w:w="288" w:type="dxa"/>
        <w:tblLayout w:type="fixed"/>
        <w:tblLook w:val="01E0" w:firstRow="1" w:lastRow="1" w:firstColumn="1" w:lastColumn="1" w:noHBand="0" w:noVBand="0"/>
      </w:tblPr>
      <w:tblGrid>
        <w:gridCol w:w="1080"/>
        <w:gridCol w:w="8280"/>
      </w:tblGrid>
      <w:tr w:rsidR="00301425" w:rsidRPr="000170DA" w:rsidTr="00D820F2">
        <w:tc>
          <w:tcPr>
            <w:tcW w:w="1080" w:type="dxa"/>
            <w:tcBorders>
              <w:top w:val="single" w:sz="4" w:space="0" w:color="auto"/>
              <w:left w:val="single" w:sz="4" w:space="0" w:color="auto"/>
              <w:bottom w:val="single" w:sz="4" w:space="0" w:color="auto"/>
              <w:right w:val="single" w:sz="4" w:space="0" w:color="auto"/>
            </w:tcBorders>
            <w:vAlign w:val="center"/>
          </w:tcPr>
          <w:p w:rsidR="00301425" w:rsidRPr="000170DA" w:rsidRDefault="00301425" w:rsidP="00D820F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01425" w:rsidRPr="006706B4" w:rsidRDefault="002E621E" w:rsidP="00D820F2">
            <w:pPr>
              <w:keepNext/>
              <w:rPr>
                <w:rStyle w:val="Hyperlink"/>
                <w:rFonts w:ascii="Garamond" w:hAnsi="Garamond"/>
                <w:color w:val="auto"/>
                <w:u w:val="none"/>
                <w:lang w:val="en-AU"/>
              </w:rPr>
            </w:pPr>
            <w:hyperlink r:id="rId45" w:history="1">
              <w:r w:rsidR="00AC0C31" w:rsidRPr="00813972">
                <w:rPr>
                  <w:rStyle w:val="Hyperlink"/>
                  <w:rFonts w:ascii="Garamond" w:hAnsi="Garamond"/>
                  <w:lang w:val="en-AU"/>
                </w:rPr>
                <w:t>https://journals.sagepub.com/toc/cric/25/5</w:t>
              </w:r>
            </w:hyperlink>
          </w:p>
        </w:tc>
      </w:tr>
      <w:tr w:rsidR="00301425" w:rsidRPr="000170DA" w:rsidTr="00D820F2">
        <w:tc>
          <w:tcPr>
            <w:tcW w:w="1080" w:type="dxa"/>
            <w:tcBorders>
              <w:top w:val="single" w:sz="4" w:space="0" w:color="auto"/>
              <w:left w:val="single" w:sz="4" w:space="0" w:color="auto"/>
              <w:bottom w:val="single" w:sz="4" w:space="0" w:color="auto"/>
              <w:right w:val="single" w:sz="4" w:space="0" w:color="auto"/>
            </w:tcBorders>
            <w:vAlign w:val="center"/>
          </w:tcPr>
          <w:p w:rsidR="00301425" w:rsidRPr="000170DA" w:rsidRDefault="00301425" w:rsidP="00D820F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01425" w:rsidRPr="00A85C9A" w:rsidRDefault="00301425" w:rsidP="00D820F2">
            <w:pPr>
              <w:keepNext/>
              <w:rPr>
                <w:rFonts w:ascii="Garamond" w:hAnsi="Garamond"/>
                <w:lang w:val="en-AU"/>
              </w:rPr>
            </w:pPr>
            <w:r w:rsidRPr="00E34A10">
              <w:rPr>
                <w:rFonts w:ascii="Garamond" w:hAnsi="Garamond"/>
                <w:lang w:val="en-AU"/>
              </w:rPr>
              <w:t xml:space="preserve">A new issue of </w:t>
            </w:r>
            <w:r w:rsidR="00AC0C31">
              <w:rPr>
                <w:rFonts w:ascii="Garamond" w:hAnsi="Garamond"/>
                <w:lang w:val="en-AU"/>
              </w:rPr>
              <w:t xml:space="preserve">the </w:t>
            </w:r>
            <w:r w:rsidR="00AC0C31" w:rsidRPr="00AC0C31">
              <w:rPr>
                <w:rFonts w:ascii="Garamond" w:hAnsi="Garamond"/>
                <w:i/>
                <w:lang w:val="en-AU"/>
              </w:rPr>
              <w:t>Journal of Patient Safety and Risk Management</w:t>
            </w:r>
            <w:r w:rsidR="00AC0C31"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w:t>
            </w:r>
            <w:r w:rsidRPr="00E34A10">
              <w:rPr>
                <w:rFonts w:ascii="Garamond" w:hAnsi="Garamond"/>
                <w:lang w:val="en-AU"/>
              </w:rPr>
              <w:t>. Articles in this issue of</w:t>
            </w:r>
            <w:r>
              <w:rPr>
                <w:rFonts w:ascii="Garamond" w:hAnsi="Garamond"/>
                <w:lang w:val="en-AU"/>
              </w:rPr>
              <w:t xml:space="preserve"> </w:t>
            </w:r>
            <w:r w:rsidR="00AC0C31" w:rsidRPr="00AC0C31">
              <w:rPr>
                <w:rFonts w:ascii="Garamond" w:hAnsi="Garamond"/>
                <w:lang w:val="en-AU"/>
              </w:rPr>
              <w:t>the</w:t>
            </w:r>
            <w:r w:rsidR="00AC0C31">
              <w:rPr>
                <w:rFonts w:ascii="Garamond" w:hAnsi="Garamond"/>
                <w:i/>
                <w:lang w:val="en-AU"/>
              </w:rPr>
              <w:t xml:space="preserve"> </w:t>
            </w:r>
            <w:r w:rsidR="00AC0C31" w:rsidRPr="00AC0C31">
              <w:rPr>
                <w:rFonts w:ascii="Garamond" w:hAnsi="Garamond"/>
                <w:i/>
                <w:lang w:val="en-AU"/>
              </w:rPr>
              <w:t>Journal of Patient Safety and Risk Management</w:t>
            </w:r>
            <w:r w:rsidR="00AC0C31"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2226F0" w:rsidRDefault="002226F0" w:rsidP="00BA5B8B">
            <w:pPr>
              <w:pStyle w:val="ListParagraph"/>
              <w:numPr>
                <w:ilvl w:val="0"/>
                <w:numId w:val="15"/>
              </w:numPr>
              <w:rPr>
                <w:rFonts w:ascii="Garamond" w:hAnsi="Garamond"/>
                <w:lang w:val="en-AU"/>
              </w:rPr>
            </w:pPr>
            <w:r w:rsidRPr="002226F0">
              <w:rPr>
                <w:rFonts w:ascii="Garamond" w:hAnsi="Garamond"/>
                <w:lang w:val="en-AU"/>
              </w:rPr>
              <w:t xml:space="preserve">Editorial: </w:t>
            </w:r>
            <w:r w:rsidRPr="002226F0">
              <w:rPr>
                <w:rFonts w:ascii="Garamond" w:hAnsi="Garamond"/>
                <w:b/>
                <w:lang w:val="en-AU"/>
              </w:rPr>
              <w:t>Health worker well-being and resilience</w:t>
            </w:r>
            <w:r w:rsidRPr="002226F0">
              <w:rPr>
                <w:rFonts w:ascii="Garamond" w:hAnsi="Garamond"/>
                <w:lang w:val="en-AU"/>
              </w:rPr>
              <w:t>: A Red Ball issue for the COVID-19 response (Albert W Wu</w:t>
            </w:r>
            <w:r>
              <w:rPr>
                <w:rFonts w:ascii="Garamond" w:hAnsi="Garamond"/>
                <w:lang w:val="en-AU"/>
              </w:rPr>
              <w:t>)</w:t>
            </w:r>
          </w:p>
          <w:p w:rsidR="002226F0" w:rsidRDefault="002226F0" w:rsidP="00A644F2">
            <w:pPr>
              <w:pStyle w:val="ListParagraph"/>
              <w:numPr>
                <w:ilvl w:val="0"/>
                <w:numId w:val="15"/>
              </w:numPr>
              <w:rPr>
                <w:rFonts w:ascii="Garamond" w:hAnsi="Garamond"/>
                <w:lang w:val="en-AU"/>
              </w:rPr>
            </w:pPr>
            <w:r w:rsidRPr="002226F0">
              <w:rPr>
                <w:rFonts w:ascii="Garamond" w:hAnsi="Garamond"/>
                <w:b/>
                <w:lang w:val="en-AU"/>
              </w:rPr>
              <w:t>World patient safety day</w:t>
            </w:r>
            <w:r w:rsidRPr="002226F0">
              <w:rPr>
                <w:rFonts w:ascii="Garamond" w:hAnsi="Garamond"/>
                <w:lang w:val="en-AU"/>
              </w:rPr>
              <w:t xml:space="preserve">: A call for action on </w:t>
            </w:r>
            <w:r w:rsidRPr="002226F0">
              <w:rPr>
                <w:rFonts w:ascii="Garamond" w:hAnsi="Garamond"/>
                <w:b/>
                <w:lang w:val="en-AU"/>
              </w:rPr>
              <w:t>health worker safety</w:t>
            </w:r>
            <w:r w:rsidRPr="002226F0">
              <w:rPr>
                <w:rFonts w:ascii="Garamond" w:hAnsi="Garamond"/>
                <w:lang w:val="en-AU"/>
              </w:rPr>
              <w:t xml:space="preserve"> (Liam J Donaldson and Dhingra Neelam</w:t>
            </w:r>
            <w:r>
              <w:rPr>
                <w:rFonts w:ascii="Garamond" w:hAnsi="Garamond"/>
                <w:lang w:val="en-AU"/>
              </w:rPr>
              <w:t>)</w:t>
            </w:r>
          </w:p>
          <w:p w:rsidR="002226F0" w:rsidRDefault="002226F0" w:rsidP="001A6895">
            <w:pPr>
              <w:pStyle w:val="ListParagraph"/>
              <w:numPr>
                <w:ilvl w:val="0"/>
                <w:numId w:val="15"/>
              </w:numPr>
              <w:rPr>
                <w:rFonts w:ascii="Garamond" w:hAnsi="Garamond"/>
                <w:lang w:val="en-AU"/>
              </w:rPr>
            </w:pPr>
            <w:r w:rsidRPr="002226F0">
              <w:rPr>
                <w:rFonts w:ascii="Garamond" w:hAnsi="Garamond"/>
                <w:b/>
                <w:lang w:val="en-AU"/>
              </w:rPr>
              <w:t>Lessons learned after six months at war with COVID-19</w:t>
            </w:r>
            <w:r w:rsidRPr="002226F0">
              <w:rPr>
                <w:rFonts w:ascii="Garamond" w:hAnsi="Garamond"/>
                <w:lang w:val="en-AU"/>
              </w:rPr>
              <w:t xml:space="preserve"> (Jennifer Milesky</w:t>
            </w:r>
            <w:r>
              <w:rPr>
                <w:rFonts w:ascii="Garamond" w:hAnsi="Garamond"/>
                <w:lang w:val="en-AU"/>
              </w:rPr>
              <w:t>)</w:t>
            </w:r>
          </w:p>
          <w:p w:rsidR="002226F0" w:rsidRDefault="002226F0" w:rsidP="00F648D4">
            <w:pPr>
              <w:pStyle w:val="ListParagraph"/>
              <w:numPr>
                <w:ilvl w:val="0"/>
                <w:numId w:val="15"/>
              </w:numPr>
              <w:rPr>
                <w:rFonts w:ascii="Garamond" w:hAnsi="Garamond"/>
                <w:lang w:val="en-AU"/>
              </w:rPr>
            </w:pPr>
            <w:r w:rsidRPr="002226F0">
              <w:rPr>
                <w:rFonts w:ascii="Garamond" w:hAnsi="Garamond"/>
                <w:b/>
                <w:lang w:val="en-AU"/>
              </w:rPr>
              <w:t>Hand hygiene compliance among healthcare workers</w:t>
            </w:r>
            <w:r w:rsidRPr="002226F0">
              <w:rPr>
                <w:rFonts w:ascii="Garamond" w:hAnsi="Garamond"/>
                <w:lang w:val="en-AU"/>
              </w:rPr>
              <w:t xml:space="preserve"> in Ghana’s health care institutions: An observational study (Aaron Asibi Abuosi, Samuel Kaba Akoriyea, Gloria Ntow-Kummi, Joseph Akanuwe, Patience Aseweh Abor, Anita Anima Daniels, and Robert Kaba Alhassan</w:t>
            </w:r>
            <w:r>
              <w:rPr>
                <w:rFonts w:ascii="Garamond" w:hAnsi="Garamond"/>
                <w:lang w:val="en-AU"/>
              </w:rPr>
              <w:t>)</w:t>
            </w:r>
          </w:p>
          <w:p w:rsidR="002226F0" w:rsidRDefault="002226F0" w:rsidP="0059303A">
            <w:pPr>
              <w:pStyle w:val="ListParagraph"/>
              <w:numPr>
                <w:ilvl w:val="0"/>
                <w:numId w:val="15"/>
              </w:numPr>
              <w:rPr>
                <w:rFonts w:ascii="Garamond" w:hAnsi="Garamond"/>
                <w:lang w:val="en-AU"/>
              </w:rPr>
            </w:pPr>
            <w:r w:rsidRPr="002226F0">
              <w:rPr>
                <w:rFonts w:ascii="Garamond" w:hAnsi="Garamond"/>
                <w:b/>
                <w:lang w:val="en-AU"/>
              </w:rPr>
              <w:t>Informed consent</w:t>
            </w:r>
            <w:r w:rsidRPr="002226F0">
              <w:rPr>
                <w:rFonts w:ascii="Garamond" w:hAnsi="Garamond"/>
                <w:lang w:val="en-AU"/>
              </w:rPr>
              <w:t>, Montgomery and the duty to discuss alternative treatments in England and Australia (Tracey Carver</w:t>
            </w:r>
            <w:r>
              <w:rPr>
                <w:rFonts w:ascii="Garamond" w:hAnsi="Garamond"/>
                <w:lang w:val="en-AU"/>
              </w:rPr>
              <w:t>)</w:t>
            </w:r>
          </w:p>
          <w:p w:rsidR="002226F0" w:rsidRDefault="002226F0" w:rsidP="00906B10">
            <w:pPr>
              <w:pStyle w:val="ListParagraph"/>
              <w:numPr>
                <w:ilvl w:val="0"/>
                <w:numId w:val="15"/>
              </w:numPr>
              <w:rPr>
                <w:rFonts w:ascii="Garamond" w:hAnsi="Garamond"/>
                <w:lang w:val="en-AU"/>
              </w:rPr>
            </w:pPr>
            <w:r w:rsidRPr="002226F0">
              <w:rPr>
                <w:rFonts w:ascii="Garamond" w:hAnsi="Garamond"/>
                <w:b/>
                <w:lang w:val="en-AU"/>
              </w:rPr>
              <w:t>No liability for rare complication</w:t>
            </w:r>
            <w:r w:rsidRPr="002226F0">
              <w:rPr>
                <w:rFonts w:ascii="Garamond" w:hAnsi="Garamond"/>
                <w:lang w:val="en-AU"/>
              </w:rPr>
              <w:t xml:space="preserve"> – Nicholas Collyer v. Mid Essex Hospital Services NHS Trust (High Court, 20 December 2019 – Judge Coe QC) (John Mead</w:t>
            </w:r>
            <w:r>
              <w:rPr>
                <w:rFonts w:ascii="Garamond" w:hAnsi="Garamond"/>
                <w:lang w:val="en-AU"/>
              </w:rPr>
              <w:t>)</w:t>
            </w:r>
          </w:p>
          <w:p w:rsidR="002226F0" w:rsidRDefault="002226F0" w:rsidP="0051568B">
            <w:pPr>
              <w:pStyle w:val="ListParagraph"/>
              <w:numPr>
                <w:ilvl w:val="0"/>
                <w:numId w:val="15"/>
              </w:numPr>
              <w:rPr>
                <w:rFonts w:ascii="Garamond" w:hAnsi="Garamond"/>
                <w:lang w:val="en-AU"/>
              </w:rPr>
            </w:pPr>
            <w:r w:rsidRPr="002226F0">
              <w:rPr>
                <w:rFonts w:ascii="Garamond" w:hAnsi="Garamond"/>
                <w:b/>
                <w:lang w:val="en-AU"/>
              </w:rPr>
              <w:t>Communication science lessons for patient safety and quality care</w:t>
            </w:r>
            <w:r w:rsidRPr="002226F0">
              <w:rPr>
                <w:rFonts w:ascii="Garamond" w:hAnsi="Garamond"/>
                <w:lang w:val="en-AU"/>
              </w:rPr>
              <w:t xml:space="preserve"> (Annegret F Hannawa, Brian H Spitzberg, Marcia D Childress, Richard Frankel, Julius C Pham, and Albert W Wu</w:t>
            </w:r>
            <w:r>
              <w:rPr>
                <w:rFonts w:ascii="Garamond" w:hAnsi="Garamond"/>
                <w:lang w:val="en-AU"/>
              </w:rPr>
              <w:t>)</w:t>
            </w:r>
          </w:p>
          <w:p w:rsidR="00301425" w:rsidRPr="00A85C9A" w:rsidRDefault="002226F0" w:rsidP="002226F0">
            <w:pPr>
              <w:pStyle w:val="ListParagraph"/>
              <w:numPr>
                <w:ilvl w:val="0"/>
                <w:numId w:val="15"/>
              </w:numPr>
              <w:rPr>
                <w:rFonts w:ascii="Garamond" w:hAnsi="Garamond"/>
                <w:lang w:val="en-AU"/>
              </w:rPr>
            </w:pPr>
            <w:r w:rsidRPr="002226F0">
              <w:rPr>
                <w:rFonts w:ascii="Garamond" w:hAnsi="Garamond"/>
                <w:b/>
                <w:lang w:val="en-AU"/>
              </w:rPr>
              <w:t>Occupational risk prevention, education and support</w:t>
            </w:r>
            <w:r w:rsidRPr="002226F0">
              <w:rPr>
                <w:rFonts w:ascii="Garamond" w:hAnsi="Garamond"/>
                <w:lang w:val="en-AU"/>
              </w:rPr>
              <w:t xml:space="preserve"> in black, Asian and ethnic minority health worker in the COVID-19 pandemic (Nicholas H Morris, Sohier Elneil, David Morris, Peter Ellis, and Sabaratnam Arulkumaran)</w:t>
            </w:r>
          </w:p>
        </w:tc>
      </w:tr>
    </w:tbl>
    <w:p w:rsidR="00301425" w:rsidRDefault="00301425" w:rsidP="00301425">
      <w:pPr>
        <w:keepNext/>
        <w:rPr>
          <w:rFonts w:ascii="Garamond" w:hAnsi="Garamond"/>
          <w:i/>
          <w:lang w:val="en-AU"/>
        </w:rPr>
      </w:pPr>
    </w:p>
    <w:p w:rsidR="004F5C60" w:rsidRDefault="004F5C60" w:rsidP="00842B29">
      <w:pPr>
        <w:keepNext/>
        <w:rPr>
          <w:rFonts w:ascii="Garamond" w:hAnsi="Garamond"/>
          <w:i/>
          <w:lang w:val="en-AU"/>
        </w:rPr>
      </w:pPr>
      <w:r>
        <w:rPr>
          <w:rFonts w:ascii="Garamond" w:hAnsi="Garamond"/>
          <w:i/>
          <w:lang w:val="en-AU"/>
        </w:rPr>
        <w:t>Healthcare Quarterly</w:t>
      </w:r>
    </w:p>
    <w:p w:rsidR="00842B29" w:rsidRPr="007C1FA9" w:rsidRDefault="00842B29" w:rsidP="00842B29">
      <w:pPr>
        <w:keepNext/>
        <w:rPr>
          <w:rFonts w:ascii="Garamond" w:hAnsi="Garamond"/>
          <w:lang w:val="en-AU"/>
        </w:rPr>
      </w:pPr>
      <w:r w:rsidRPr="007C1FA9">
        <w:rPr>
          <w:rFonts w:ascii="Garamond" w:hAnsi="Garamond"/>
          <w:lang w:val="en-AU"/>
        </w:rPr>
        <w:t xml:space="preserve">Volume </w:t>
      </w:r>
      <w:r w:rsidR="004F5C60">
        <w:rPr>
          <w:rFonts w:ascii="Garamond" w:hAnsi="Garamond"/>
          <w:lang w:val="en-AU"/>
        </w:rPr>
        <w:t>2</w:t>
      </w:r>
      <w:r w:rsidRPr="007C1FA9">
        <w:rPr>
          <w:rFonts w:ascii="Garamond" w:hAnsi="Garamond"/>
          <w:lang w:val="en-AU"/>
        </w:rPr>
        <w:t>3, Number 3, 2020</w:t>
      </w:r>
    </w:p>
    <w:tbl>
      <w:tblPr>
        <w:tblStyle w:val="TableGrid"/>
        <w:tblW w:w="9360" w:type="dxa"/>
        <w:tblInd w:w="288" w:type="dxa"/>
        <w:tblLayout w:type="fixed"/>
        <w:tblLook w:val="01E0" w:firstRow="1" w:lastRow="1" w:firstColumn="1" w:lastColumn="1" w:noHBand="0" w:noVBand="0"/>
      </w:tblPr>
      <w:tblGrid>
        <w:gridCol w:w="1080"/>
        <w:gridCol w:w="8280"/>
      </w:tblGrid>
      <w:tr w:rsidR="00842B29" w:rsidRPr="000170DA" w:rsidTr="00F24969">
        <w:tc>
          <w:tcPr>
            <w:tcW w:w="1080" w:type="dxa"/>
            <w:tcBorders>
              <w:top w:val="single" w:sz="4" w:space="0" w:color="auto"/>
              <w:left w:val="single" w:sz="4" w:space="0" w:color="auto"/>
              <w:bottom w:val="single" w:sz="4" w:space="0" w:color="auto"/>
              <w:right w:val="single" w:sz="4" w:space="0" w:color="auto"/>
            </w:tcBorders>
            <w:vAlign w:val="center"/>
          </w:tcPr>
          <w:p w:rsidR="00842B29" w:rsidRPr="000170DA" w:rsidRDefault="00842B29" w:rsidP="00F2496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42B29" w:rsidRPr="006706B4" w:rsidRDefault="002E621E" w:rsidP="00F24969">
            <w:pPr>
              <w:keepNext/>
              <w:rPr>
                <w:rStyle w:val="Hyperlink"/>
                <w:rFonts w:ascii="Garamond" w:hAnsi="Garamond"/>
                <w:color w:val="auto"/>
                <w:u w:val="none"/>
                <w:lang w:val="en-AU"/>
              </w:rPr>
            </w:pPr>
            <w:hyperlink r:id="rId46" w:history="1">
              <w:r w:rsidR="004F5C60" w:rsidRPr="008C7048">
                <w:rPr>
                  <w:rStyle w:val="Hyperlink"/>
                  <w:rFonts w:ascii="Garamond" w:hAnsi="Garamond"/>
                  <w:lang w:val="en-AU"/>
                </w:rPr>
                <w:t>https://www.longwoods.com/publications/healthcare-quarterly/26331/1/vol.-23-no.-3-2020</w:t>
              </w:r>
            </w:hyperlink>
          </w:p>
        </w:tc>
      </w:tr>
      <w:tr w:rsidR="00842B29" w:rsidRPr="000170DA" w:rsidTr="00F24969">
        <w:tc>
          <w:tcPr>
            <w:tcW w:w="1080" w:type="dxa"/>
            <w:tcBorders>
              <w:top w:val="single" w:sz="4" w:space="0" w:color="auto"/>
              <w:left w:val="single" w:sz="4" w:space="0" w:color="auto"/>
              <w:bottom w:val="single" w:sz="4" w:space="0" w:color="auto"/>
              <w:right w:val="single" w:sz="4" w:space="0" w:color="auto"/>
            </w:tcBorders>
            <w:vAlign w:val="center"/>
          </w:tcPr>
          <w:p w:rsidR="00842B29" w:rsidRPr="000170DA" w:rsidRDefault="00842B29" w:rsidP="00F2496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42B29" w:rsidRPr="00A85C9A" w:rsidRDefault="00842B29" w:rsidP="00F24969">
            <w:pPr>
              <w:keepNext/>
              <w:rPr>
                <w:rFonts w:ascii="Garamond" w:hAnsi="Garamond"/>
                <w:lang w:val="en-AU"/>
              </w:rPr>
            </w:pPr>
            <w:r w:rsidRPr="00E34A10">
              <w:rPr>
                <w:rFonts w:ascii="Garamond" w:hAnsi="Garamond"/>
                <w:lang w:val="en-AU"/>
              </w:rPr>
              <w:t xml:space="preserve">A new issue of </w:t>
            </w:r>
            <w:r w:rsidR="004F5C60">
              <w:rPr>
                <w:rFonts w:ascii="Garamond" w:hAnsi="Garamond"/>
                <w:i/>
                <w:lang w:val="en-AU"/>
              </w:rPr>
              <w:t xml:space="preserve">Healthcare Quarterly </w:t>
            </w:r>
            <w:r w:rsidRPr="00E34A10">
              <w:rPr>
                <w:rFonts w:ascii="Garamond" w:hAnsi="Garamond"/>
                <w:lang w:val="en-AU"/>
              </w:rPr>
              <w:t xml:space="preserve">has been </w:t>
            </w:r>
            <w:r>
              <w:rPr>
                <w:rFonts w:ascii="Garamond" w:hAnsi="Garamond"/>
                <w:lang w:val="en-AU"/>
              </w:rPr>
              <w:t>published</w:t>
            </w:r>
            <w:r w:rsidRPr="00E34A10">
              <w:rPr>
                <w:rFonts w:ascii="Garamond" w:hAnsi="Garamond"/>
                <w:lang w:val="en-AU"/>
              </w:rPr>
              <w:t>. Articles in this issue of</w:t>
            </w:r>
            <w:r>
              <w:rPr>
                <w:rFonts w:ascii="Garamond" w:hAnsi="Garamond"/>
                <w:lang w:val="en-AU"/>
              </w:rPr>
              <w:t xml:space="preserve"> </w:t>
            </w:r>
            <w:r w:rsidR="004F5C60">
              <w:rPr>
                <w:rFonts w:ascii="Garamond" w:hAnsi="Garamond"/>
                <w:i/>
                <w:lang w:val="en-AU"/>
              </w:rPr>
              <w:t xml:space="preserve">Healthcare Quarterly </w:t>
            </w:r>
            <w:r w:rsidRPr="00E34A10">
              <w:rPr>
                <w:rFonts w:ascii="Garamond" w:hAnsi="Garamond"/>
                <w:lang w:val="en-AU"/>
              </w:rPr>
              <w:t>include</w:t>
            </w:r>
            <w:r w:rsidRPr="00B440ED">
              <w:rPr>
                <w:rFonts w:ascii="Garamond" w:hAnsi="Garamond"/>
                <w:lang w:val="en-AU"/>
              </w:rPr>
              <w:t>:</w:t>
            </w:r>
          </w:p>
          <w:p w:rsidR="004F5C60" w:rsidRPr="004F5C60" w:rsidRDefault="004F5C60" w:rsidP="00F778A4">
            <w:pPr>
              <w:pStyle w:val="ListParagraph"/>
              <w:numPr>
                <w:ilvl w:val="0"/>
                <w:numId w:val="15"/>
              </w:numPr>
              <w:rPr>
                <w:rFonts w:ascii="Garamond" w:hAnsi="Garamond"/>
                <w:lang w:val="en-AU"/>
              </w:rPr>
            </w:pPr>
            <w:r w:rsidRPr="004F5C60">
              <w:rPr>
                <w:rFonts w:ascii="Garamond" w:hAnsi="Garamond"/>
                <w:b/>
                <w:lang w:val="en-AU"/>
              </w:rPr>
              <w:t>Mental Health and Addictions System Performance</w:t>
            </w:r>
            <w:r w:rsidRPr="004F5C60">
              <w:rPr>
                <w:rFonts w:ascii="Garamond" w:hAnsi="Garamond"/>
                <w:lang w:val="en-AU"/>
              </w:rPr>
              <w:t xml:space="preserve"> in Ontario: An Updated Scorecard, 2009–2017 (Maria Chiu, Astrid Guttmann and P Kurdyak</w:t>
            </w:r>
            <w:r>
              <w:rPr>
                <w:rFonts w:ascii="Garamond" w:hAnsi="Garamond"/>
                <w:lang w:val="en-AU"/>
              </w:rPr>
              <w:t>)</w:t>
            </w:r>
          </w:p>
          <w:p w:rsidR="004F5C60" w:rsidRPr="004F5C60" w:rsidRDefault="004F5C60" w:rsidP="005170B2">
            <w:pPr>
              <w:pStyle w:val="ListParagraph"/>
              <w:numPr>
                <w:ilvl w:val="0"/>
                <w:numId w:val="15"/>
              </w:numPr>
              <w:rPr>
                <w:rFonts w:ascii="Garamond" w:hAnsi="Garamond"/>
                <w:lang w:val="en-AU"/>
              </w:rPr>
            </w:pPr>
            <w:r w:rsidRPr="004F5C60">
              <w:rPr>
                <w:rFonts w:ascii="Garamond" w:hAnsi="Garamond"/>
                <w:b/>
                <w:lang w:val="en-AU"/>
              </w:rPr>
              <w:t>Hospital Stays for Harm Caused by Substance Use among Youth</w:t>
            </w:r>
            <w:r w:rsidRPr="004F5C60">
              <w:rPr>
                <w:rFonts w:ascii="Garamond" w:hAnsi="Garamond"/>
                <w:lang w:val="en-AU"/>
              </w:rPr>
              <w:t xml:space="preserve"> in Canada (Erin Pichora, Alexey Dudevich, Geoffrey Hynes and Christina Catley</w:t>
            </w:r>
            <w:r>
              <w:rPr>
                <w:rFonts w:ascii="Garamond" w:hAnsi="Garamond"/>
                <w:lang w:val="en-AU"/>
              </w:rPr>
              <w:t>)</w:t>
            </w:r>
          </w:p>
          <w:p w:rsidR="004F5C60" w:rsidRPr="004F5C60" w:rsidRDefault="004F5C60" w:rsidP="004F5C60">
            <w:pPr>
              <w:pStyle w:val="ListParagraph"/>
              <w:numPr>
                <w:ilvl w:val="0"/>
                <w:numId w:val="15"/>
              </w:numPr>
              <w:rPr>
                <w:rFonts w:ascii="Garamond" w:hAnsi="Garamond"/>
                <w:lang w:val="en-AU"/>
              </w:rPr>
            </w:pPr>
            <w:r w:rsidRPr="004F5C60">
              <w:rPr>
                <w:rFonts w:ascii="Garamond" w:hAnsi="Garamond"/>
                <w:lang w:val="en-AU"/>
              </w:rPr>
              <w:t>Responding To The Covid-19 Pandemic</w:t>
            </w:r>
            <w:r>
              <w:rPr>
                <w:rFonts w:ascii="Garamond" w:hAnsi="Garamond"/>
                <w:lang w:val="en-AU"/>
              </w:rPr>
              <w:t xml:space="preserve">: </w:t>
            </w:r>
            <w:r w:rsidRPr="004F5C60">
              <w:rPr>
                <w:rFonts w:ascii="Garamond" w:hAnsi="Garamond"/>
                <w:lang w:val="en-AU"/>
              </w:rPr>
              <w:t xml:space="preserve">Mobilizing a Whole Community: Policy and Strategy Implications of an </w:t>
            </w:r>
            <w:r w:rsidRPr="004F5C60">
              <w:rPr>
                <w:rFonts w:ascii="Garamond" w:hAnsi="Garamond"/>
                <w:b/>
                <w:lang w:val="en-AU"/>
              </w:rPr>
              <w:t>Integrated Local System Response to a Global Health Crisis</w:t>
            </w:r>
            <w:r w:rsidRPr="004F5C60">
              <w:rPr>
                <w:rFonts w:ascii="Garamond" w:hAnsi="Garamond"/>
                <w:lang w:val="en-AU"/>
              </w:rPr>
              <w:t xml:space="preserve"> (Anne Wojtak, Jason Altenberg, Carol Annett, Anne Babcock, Keith Chung, </w:t>
            </w:r>
            <w:r>
              <w:rPr>
                <w:rFonts w:ascii="Garamond" w:hAnsi="Garamond"/>
                <w:lang w:val="en-AU"/>
              </w:rPr>
              <w:t xml:space="preserve">Sarah Downey, Mark Fam, Ian </w:t>
            </w:r>
            <w:r w:rsidRPr="004F5C60">
              <w:rPr>
                <w:rFonts w:ascii="Garamond" w:hAnsi="Garamond"/>
                <w:lang w:val="en-AU"/>
              </w:rPr>
              <w:t>Fraser, Kate Mason, Thuy-Nga (Tia) Pham, Jeff Powis, Ashnoor Rahim, Jarred Rosenberg and Catherine Yu</w:t>
            </w:r>
            <w:r>
              <w:rPr>
                <w:rFonts w:ascii="Garamond" w:hAnsi="Garamond"/>
                <w:lang w:val="en-AU"/>
              </w:rPr>
              <w:t>)</w:t>
            </w:r>
          </w:p>
          <w:p w:rsidR="004F5C60" w:rsidRPr="004F5C60" w:rsidRDefault="004F5C60" w:rsidP="00535437">
            <w:pPr>
              <w:pStyle w:val="ListParagraph"/>
              <w:numPr>
                <w:ilvl w:val="0"/>
                <w:numId w:val="15"/>
              </w:numPr>
              <w:rPr>
                <w:rFonts w:ascii="Garamond" w:hAnsi="Garamond"/>
                <w:lang w:val="en-AU"/>
              </w:rPr>
            </w:pPr>
            <w:r w:rsidRPr="004F5C60">
              <w:rPr>
                <w:rFonts w:ascii="Garamond" w:hAnsi="Garamond"/>
                <w:lang w:val="en-AU"/>
              </w:rPr>
              <w:t>Responding To The Covid-19 Pandemic</w:t>
            </w:r>
            <w:r>
              <w:rPr>
                <w:rFonts w:ascii="Garamond" w:hAnsi="Garamond"/>
                <w:lang w:val="en-AU"/>
              </w:rPr>
              <w:t xml:space="preserve">: </w:t>
            </w:r>
            <w:r w:rsidRPr="004F5C60">
              <w:rPr>
                <w:rFonts w:ascii="Garamond" w:hAnsi="Garamond"/>
                <w:lang w:val="en-AU"/>
              </w:rPr>
              <w:t xml:space="preserve">Finding a New Normal: </w:t>
            </w:r>
            <w:r w:rsidRPr="004F5C60">
              <w:rPr>
                <w:rFonts w:ascii="Garamond" w:hAnsi="Garamond"/>
                <w:b/>
                <w:lang w:val="en-AU"/>
              </w:rPr>
              <w:t>Hospital Governance Best Practices during COVID-19</w:t>
            </w:r>
            <w:r w:rsidRPr="004F5C60">
              <w:rPr>
                <w:rFonts w:ascii="Garamond" w:hAnsi="Garamond"/>
                <w:lang w:val="en-AU"/>
              </w:rPr>
              <w:t xml:space="preserve"> (Nyranne Martin</w:t>
            </w:r>
            <w:r>
              <w:rPr>
                <w:rFonts w:ascii="Garamond" w:hAnsi="Garamond"/>
                <w:lang w:val="en-AU"/>
              </w:rPr>
              <w:t>)</w:t>
            </w:r>
          </w:p>
          <w:p w:rsidR="004F5C60" w:rsidRPr="004F5C60" w:rsidRDefault="004F5C60" w:rsidP="006025A9">
            <w:pPr>
              <w:pStyle w:val="ListParagraph"/>
              <w:numPr>
                <w:ilvl w:val="0"/>
                <w:numId w:val="15"/>
              </w:numPr>
              <w:rPr>
                <w:rFonts w:ascii="Garamond" w:hAnsi="Garamond"/>
                <w:lang w:val="en-AU"/>
              </w:rPr>
            </w:pPr>
            <w:r w:rsidRPr="004F5C60">
              <w:rPr>
                <w:rFonts w:ascii="Garamond" w:hAnsi="Garamond"/>
                <w:lang w:val="en-AU"/>
              </w:rPr>
              <w:t>Responding To The Covid-19 Pandemic</w:t>
            </w:r>
            <w:r>
              <w:rPr>
                <w:rFonts w:ascii="Garamond" w:hAnsi="Garamond"/>
                <w:lang w:val="en-AU"/>
              </w:rPr>
              <w:t xml:space="preserve">: </w:t>
            </w:r>
            <w:r w:rsidRPr="004F5C60">
              <w:rPr>
                <w:rFonts w:ascii="Garamond" w:hAnsi="Garamond"/>
                <w:lang w:val="en-AU"/>
              </w:rPr>
              <w:t xml:space="preserve">A </w:t>
            </w:r>
            <w:r w:rsidRPr="004F5C60">
              <w:rPr>
                <w:rFonts w:ascii="Garamond" w:hAnsi="Garamond"/>
                <w:b/>
                <w:lang w:val="en-AU"/>
              </w:rPr>
              <w:t>Rapid Primary Healthcare Response to COVID-19</w:t>
            </w:r>
            <w:r w:rsidRPr="004F5C60">
              <w:rPr>
                <w:rFonts w:ascii="Garamond" w:hAnsi="Garamond"/>
                <w:lang w:val="en-AU"/>
              </w:rPr>
              <w:t>: An Equity-Based and Systems- Thinking Approach to Care Ensuring that No One Is Left Behind (Sara Bhatti, Elana Commisso and Jennifer Rayner</w:t>
            </w:r>
            <w:r>
              <w:rPr>
                <w:rFonts w:ascii="Garamond" w:hAnsi="Garamond"/>
                <w:lang w:val="en-AU"/>
              </w:rPr>
              <w:t>)</w:t>
            </w:r>
          </w:p>
          <w:p w:rsidR="004F5C60" w:rsidRPr="004F5C60" w:rsidRDefault="004F5C60" w:rsidP="004F5C60">
            <w:pPr>
              <w:pStyle w:val="ListParagraph"/>
              <w:numPr>
                <w:ilvl w:val="0"/>
                <w:numId w:val="15"/>
              </w:numPr>
              <w:rPr>
                <w:rFonts w:ascii="Garamond" w:hAnsi="Garamond"/>
                <w:lang w:val="en-AU"/>
              </w:rPr>
            </w:pPr>
            <w:r>
              <w:rPr>
                <w:rFonts w:ascii="Garamond" w:hAnsi="Garamond"/>
                <w:lang w:val="en-AU"/>
              </w:rPr>
              <w:lastRenderedPageBreak/>
              <w:t xml:space="preserve">Innovation in Health Services: </w:t>
            </w:r>
            <w:r w:rsidRPr="004F5C60">
              <w:rPr>
                <w:rFonts w:ascii="Garamond" w:hAnsi="Garamond"/>
                <w:lang w:val="en-AU"/>
              </w:rPr>
              <w:t xml:space="preserve">Cost Impact of a </w:t>
            </w:r>
            <w:r w:rsidRPr="004F5C60">
              <w:rPr>
                <w:rFonts w:ascii="Garamond" w:hAnsi="Garamond"/>
                <w:b/>
                <w:lang w:val="en-AU"/>
              </w:rPr>
              <w:t>Pharmacist-Driven Medication Reconciliation Program during Transitions to Long-Term Care</w:t>
            </w:r>
            <w:r w:rsidRPr="004F5C60">
              <w:rPr>
                <w:rFonts w:ascii="Garamond" w:hAnsi="Garamond"/>
                <w:lang w:val="en-AU"/>
              </w:rPr>
              <w:t xml:space="preserve"> and Retirement Homes (Denis O’Donnell, Carla Beaton, June Liang, Kisalaya Basu, Michael Hum, Amanda Propp, Liz Yanni, Yannan Chen and Parnian Ghafari</w:t>
            </w:r>
            <w:r>
              <w:rPr>
                <w:rFonts w:ascii="Garamond" w:hAnsi="Garamond"/>
                <w:lang w:val="en-AU"/>
              </w:rPr>
              <w:t>)</w:t>
            </w:r>
          </w:p>
          <w:p w:rsidR="004F5C60" w:rsidRPr="004F5C60" w:rsidRDefault="004F5C60" w:rsidP="00290438">
            <w:pPr>
              <w:pStyle w:val="ListParagraph"/>
              <w:numPr>
                <w:ilvl w:val="0"/>
                <w:numId w:val="15"/>
              </w:numPr>
              <w:rPr>
                <w:rFonts w:ascii="Garamond" w:hAnsi="Garamond"/>
                <w:lang w:val="en-AU"/>
              </w:rPr>
            </w:pPr>
            <w:r w:rsidRPr="004F5C60">
              <w:rPr>
                <w:rFonts w:ascii="Garamond" w:hAnsi="Garamond"/>
                <w:lang w:val="en-AU"/>
              </w:rPr>
              <w:t xml:space="preserve">Healthcare Governance: </w:t>
            </w:r>
            <w:r w:rsidRPr="004F5C60">
              <w:rPr>
                <w:rFonts w:ascii="Garamond" w:hAnsi="Garamond"/>
                <w:b/>
                <w:lang w:val="en-AU"/>
              </w:rPr>
              <w:t>Measuring Boards</w:t>
            </w:r>
            <w:r w:rsidRPr="004F5C60">
              <w:rPr>
                <w:rFonts w:ascii="Garamond" w:hAnsi="Garamond"/>
                <w:lang w:val="en-AU"/>
              </w:rPr>
              <w:t xml:space="preserve"> Using Quantitative Tools from Natural Language Processing (Lewis Hooper</w:t>
            </w:r>
            <w:r>
              <w:rPr>
                <w:rFonts w:ascii="Garamond" w:hAnsi="Garamond"/>
                <w:lang w:val="en-AU"/>
              </w:rPr>
              <w:t>)</w:t>
            </w:r>
          </w:p>
          <w:p w:rsidR="004F5C60" w:rsidRPr="004F5C60" w:rsidRDefault="004F5C60" w:rsidP="006959DF">
            <w:pPr>
              <w:pStyle w:val="ListParagraph"/>
              <w:numPr>
                <w:ilvl w:val="0"/>
                <w:numId w:val="15"/>
              </w:numPr>
              <w:rPr>
                <w:rFonts w:ascii="Garamond" w:hAnsi="Garamond"/>
                <w:lang w:val="en-AU"/>
              </w:rPr>
            </w:pPr>
            <w:r w:rsidRPr="004F5C60">
              <w:rPr>
                <w:rFonts w:ascii="Garamond" w:hAnsi="Garamond"/>
                <w:lang w:val="en-AU"/>
              </w:rPr>
              <w:t xml:space="preserve">Quality Improvement: </w:t>
            </w:r>
            <w:r w:rsidRPr="004F5C60">
              <w:rPr>
                <w:rFonts w:ascii="Garamond" w:hAnsi="Garamond"/>
                <w:b/>
                <w:lang w:val="en-AU"/>
              </w:rPr>
              <w:t>Physician Initial Assessment Times</w:t>
            </w:r>
            <w:r w:rsidRPr="004F5C60">
              <w:rPr>
                <w:rFonts w:ascii="Garamond" w:hAnsi="Garamond"/>
                <w:lang w:val="en-AU"/>
              </w:rPr>
              <w:t xml:space="preserve"> Based on CTAS Scores: Are We Meeting the Recommendations? (Mazen El-Baba, Ryan Ramos, Leila Salehi, Qamar Amin, Shira Brown, Suneel Upadhye and Rahim Valani</w:t>
            </w:r>
            <w:r>
              <w:rPr>
                <w:rFonts w:ascii="Garamond" w:hAnsi="Garamond"/>
                <w:lang w:val="en-AU"/>
              </w:rPr>
              <w:t>)</w:t>
            </w:r>
          </w:p>
          <w:p w:rsidR="00842B29" w:rsidRPr="00A85C9A" w:rsidRDefault="004F5C60" w:rsidP="004F5C60">
            <w:pPr>
              <w:pStyle w:val="ListParagraph"/>
              <w:numPr>
                <w:ilvl w:val="0"/>
                <w:numId w:val="15"/>
              </w:numPr>
              <w:rPr>
                <w:rFonts w:ascii="Garamond" w:hAnsi="Garamond"/>
                <w:lang w:val="en-AU"/>
              </w:rPr>
            </w:pPr>
            <w:r w:rsidRPr="004F5C60">
              <w:rPr>
                <w:rFonts w:ascii="Garamond" w:hAnsi="Garamond"/>
                <w:lang w:val="en-AU"/>
              </w:rPr>
              <w:t xml:space="preserve">Digital Health: </w:t>
            </w:r>
            <w:r w:rsidRPr="004F5C60">
              <w:rPr>
                <w:rFonts w:ascii="Garamond" w:hAnsi="Garamond"/>
                <w:b/>
                <w:lang w:val="en-AU"/>
              </w:rPr>
              <w:t>Electronic Health Record-Related Burnout</w:t>
            </w:r>
            <w:r w:rsidRPr="004F5C60">
              <w:rPr>
                <w:rFonts w:ascii="Garamond" w:hAnsi="Garamond"/>
                <w:lang w:val="en-AU"/>
              </w:rPr>
              <w:t xml:space="preserve"> among Clinicians: Practical Recommendations for Canadian Healthcare Organizations </w:t>
            </w:r>
            <w:r>
              <w:rPr>
                <w:rFonts w:ascii="Garamond" w:hAnsi="Garamond"/>
                <w:lang w:val="en-AU"/>
              </w:rPr>
              <w:t>(</w:t>
            </w:r>
            <w:r w:rsidRPr="004F5C60">
              <w:rPr>
                <w:rFonts w:ascii="Garamond" w:hAnsi="Garamond"/>
                <w:lang w:val="en-AU"/>
              </w:rPr>
              <w:t>Brian Lo, Jessica Kemp, Clare Cullen, Tania Tajirian, Damian Jankowicz and Gillian Strudwick</w:t>
            </w:r>
            <w:r>
              <w:rPr>
                <w:rFonts w:ascii="Garamond" w:hAnsi="Garamond"/>
                <w:lang w:val="en-AU"/>
              </w:rPr>
              <w:t>)</w:t>
            </w:r>
          </w:p>
        </w:tc>
      </w:tr>
    </w:tbl>
    <w:p w:rsidR="00842B29" w:rsidRDefault="00842B29" w:rsidP="00842B29">
      <w:pPr>
        <w:keepNext/>
        <w:rPr>
          <w:rFonts w:ascii="Garamond" w:hAnsi="Garamond"/>
          <w:i/>
          <w:lang w:val="en-AU"/>
        </w:rPr>
      </w:pPr>
    </w:p>
    <w:p w:rsidR="00BB3BE3" w:rsidRPr="00467B47" w:rsidRDefault="00BB3BE3" w:rsidP="009A2546">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2E621E" w:rsidP="00DC09BF">
            <w:pPr>
              <w:keepNext/>
              <w:rPr>
                <w:rFonts w:ascii="Garamond" w:hAnsi="Garamond"/>
                <w:lang w:val="en-AU"/>
              </w:rPr>
            </w:pPr>
            <w:hyperlink r:id="rId47"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CA7580" w:rsidRDefault="00842B29" w:rsidP="00842B29">
            <w:pPr>
              <w:pStyle w:val="ListParagraph"/>
              <w:numPr>
                <w:ilvl w:val="0"/>
                <w:numId w:val="14"/>
              </w:numPr>
              <w:rPr>
                <w:rFonts w:ascii="Garamond" w:hAnsi="Garamond"/>
                <w:lang w:val="en-AU"/>
              </w:rPr>
            </w:pPr>
            <w:r w:rsidRPr="00842B29">
              <w:rPr>
                <w:rFonts w:ascii="Garamond" w:hAnsi="Garamond"/>
                <w:b/>
                <w:lang w:val="en-AU"/>
              </w:rPr>
              <w:t>Trauma Resuscitation Using in situ Simulation Team Training</w:t>
            </w:r>
            <w:r w:rsidRPr="00842B29">
              <w:rPr>
                <w:rFonts w:ascii="Garamond" w:hAnsi="Garamond"/>
                <w:lang w:val="en-AU"/>
              </w:rPr>
              <w:t xml:space="preserve"> (TRUST) study: latent safety threat evaluation using framework analysis and video review</w:t>
            </w:r>
            <w:r>
              <w:rPr>
                <w:rFonts w:ascii="Garamond" w:hAnsi="Garamond"/>
                <w:lang w:val="en-AU"/>
              </w:rPr>
              <w:t xml:space="preserve"> (</w:t>
            </w:r>
            <w:r w:rsidRPr="00842B29">
              <w:rPr>
                <w:rFonts w:ascii="Garamond" w:hAnsi="Garamond"/>
                <w:lang w:val="en-AU"/>
              </w:rPr>
              <w:t>Andrew Petrosoniak, Mark Fan, Christopher M Hicks, Kari White, Melissa McGowan, Doug Campbell, Patricia Trbovic</w:t>
            </w:r>
            <w:r w:rsidR="00C35BF5">
              <w:rPr>
                <w:rFonts w:ascii="Garamond" w:hAnsi="Garamond"/>
                <w:lang w:val="en-AU"/>
              </w:rPr>
              <w:t>h)</w:t>
            </w:r>
          </w:p>
          <w:p w:rsidR="00C35BF5" w:rsidRDefault="00C35BF5" w:rsidP="00C35BF5">
            <w:pPr>
              <w:pStyle w:val="ListParagraph"/>
              <w:numPr>
                <w:ilvl w:val="0"/>
                <w:numId w:val="14"/>
              </w:numPr>
              <w:rPr>
                <w:rFonts w:ascii="Garamond" w:hAnsi="Garamond"/>
                <w:lang w:val="en-AU"/>
              </w:rPr>
            </w:pPr>
            <w:r w:rsidRPr="00C35BF5">
              <w:rPr>
                <w:rFonts w:ascii="Garamond" w:hAnsi="Garamond"/>
                <w:b/>
                <w:lang w:val="en-AU"/>
              </w:rPr>
              <w:t>Inpatient patient safety events in vulnerable populations</w:t>
            </w:r>
            <w:r w:rsidRPr="00C35BF5">
              <w:rPr>
                <w:rFonts w:ascii="Garamond" w:hAnsi="Garamond"/>
                <w:lang w:val="en-AU"/>
              </w:rPr>
              <w:t>: a retrospective cohort study</w:t>
            </w:r>
            <w:r>
              <w:rPr>
                <w:rFonts w:ascii="Garamond" w:hAnsi="Garamond"/>
                <w:lang w:val="en-AU"/>
              </w:rPr>
              <w:t xml:space="preserve"> (</w:t>
            </w:r>
            <w:r w:rsidRPr="00C35BF5">
              <w:rPr>
                <w:rFonts w:ascii="Garamond" w:hAnsi="Garamond"/>
                <w:lang w:val="en-AU"/>
              </w:rPr>
              <w:t>Lucy B Schulson, Victor Novack, Patricia H Folcarelli, Jennifer P Stevens, Bruce E Landon</w:t>
            </w:r>
            <w:r>
              <w:rPr>
                <w:rFonts w:ascii="Garamond" w:hAnsi="Garamond"/>
                <w:lang w:val="en-AU"/>
              </w:rPr>
              <w:t>)</w:t>
            </w:r>
          </w:p>
          <w:p w:rsidR="008D4B38" w:rsidRPr="008D4B38" w:rsidRDefault="008D4B38" w:rsidP="00510E9E">
            <w:pPr>
              <w:pStyle w:val="ListParagraph"/>
              <w:numPr>
                <w:ilvl w:val="0"/>
                <w:numId w:val="14"/>
              </w:numPr>
              <w:rPr>
                <w:rFonts w:ascii="Garamond" w:hAnsi="Garamond"/>
                <w:lang w:val="en-AU"/>
              </w:rPr>
            </w:pPr>
            <w:r w:rsidRPr="008D4B38">
              <w:rPr>
                <w:rFonts w:ascii="Garamond" w:hAnsi="Garamond"/>
                <w:lang w:val="en-AU"/>
              </w:rPr>
              <w:t xml:space="preserve">Changes in </w:t>
            </w:r>
            <w:r w:rsidRPr="008D4B38">
              <w:rPr>
                <w:rFonts w:ascii="Garamond" w:hAnsi="Garamond"/>
                <w:b/>
                <w:lang w:val="en-AU"/>
              </w:rPr>
              <w:t>weekend and weekday care quality of emergency medical admissions</w:t>
            </w:r>
            <w:r w:rsidRPr="008D4B38">
              <w:rPr>
                <w:rFonts w:ascii="Garamond" w:hAnsi="Garamond"/>
                <w:lang w:val="en-AU"/>
              </w:rPr>
              <w:t xml:space="preserve"> to 20 hospitals in England during implementation of the 7-day services national health policy (Julian Bion, Cassie Aldridge, Alan J Girling, Gavin Rudge, Jianxia Sun, Carolyn Tarrant, Elizabeth Sutton, Janet Willars, Chris Beet, Amunpreet Boyal, Peter Rees, Chris Roseveare, Mark Temple, Samuel Ian Watson, Yen-Fu Chen, Mike Clancy, Louise Rowan, Joanne Lord, Russell Mannion, Timothy Hofer, Richard Lilford</w:t>
            </w:r>
            <w:r>
              <w:rPr>
                <w:rFonts w:ascii="Garamond" w:hAnsi="Garamond"/>
                <w:lang w:val="en-AU"/>
              </w:rPr>
              <w:t>)</w:t>
            </w:r>
          </w:p>
          <w:p w:rsidR="008D4B38" w:rsidRPr="009E6EFF" w:rsidRDefault="008D4B38" w:rsidP="005405BE">
            <w:pPr>
              <w:pStyle w:val="ListParagraph"/>
              <w:numPr>
                <w:ilvl w:val="0"/>
                <w:numId w:val="14"/>
              </w:numPr>
              <w:rPr>
                <w:rFonts w:ascii="Garamond" w:hAnsi="Garamond"/>
                <w:lang w:val="en-AU"/>
              </w:rPr>
            </w:pPr>
            <w:r w:rsidRPr="009E6EFF">
              <w:rPr>
                <w:rFonts w:ascii="Garamond" w:hAnsi="Garamond"/>
                <w:lang w:val="en-AU"/>
              </w:rPr>
              <w:t xml:space="preserve">Editorial: </w:t>
            </w:r>
            <w:r w:rsidRPr="009E6EFF">
              <w:rPr>
                <w:rFonts w:ascii="Garamond" w:hAnsi="Garamond"/>
                <w:b/>
                <w:lang w:val="en-AU"/>
              </w:rPr>
              <w:t>Achieving patient priorities</w:t>
            </w:r>
            <w:r w:rsidRPr="009E6EFF">
              <w:rPr>
                <w:rFonts w:ascii="Garamond" w:hAnsi="Garamond"/>
                <w:lang w:val="en-AU"/>
              </w:rPr>
              <w:t xml:space="preserve">: an alternative to patient-reported outcome measures (PROMs) for promoting patient-centred care </w:t>
            </w:r>
            <w:r w:rsidR="009E6EFF" w:rsidRPr="009E6EFF">
              <w:rPr>
                <w:rFonts w:ascii="Garamond" w:hAnsi="Garamond"/>
                <w:lang w:val="en-AU"/>
              </w:rPr>
              <w:t>(</w:t>
            </w:r>
            <w:r w:rsidRPr="009E6EFF">
              <w:rPr>
                <w:rFonts w:ascii="Garamond" w:hAnsi="Garamond"/>
                <w:lang w:val="en-AU"/>
              </w:rPr>
              <w:t>Aanand D Naik, Angela Catic</w:t>
            </w:r>
            <w:r w:rsidR="009E6EFF">
              <w:rPr>
                <w:rFonts w:ascii="Garamond" w:hAnsi="Garamond"/>
                <w:lang w:val="en-AU"/>
              </w:rPr>
              <w:t>)</w:t>
            </w:r>
          </w:p>
          <w:p w:rsidR="008D4B38" w:rsidRPr="009E6EFF" w:rsidRDefault="008D4B38" w:rsidP="00FA1AEF">
            <w:pPr>
              <w:pStyle w:val="ListParagraph"/>
              <w:numPr>
                <w:ilvl w:val="0"/>
                <w:numId w:val="14"/>
              </w:numPr>
              <w:rPr>
                <w:rFonts w:ascii="Garamond" w:hAnsi="Garamond"/>
                <w:lang w:val="en-AU"/>
              </w:rPr>
            </w:pPr>
            <w:r w:rsidRPr="009E6EFF">
              <w:rPr>
                <w:rFonts w:ascii="Garamond" w:hAnsi="Garamond"/>
                <w:lang w:val="en-AU"/>
              </w:rPr>
              <w:t xml:space="preserve">Role of practices and Clinical Commissioning Groups in </w:t>
            </w:r>
            <w:r w:rsidRPr="009E6EFF">
              <w:rPr>
                <w:rFonts w:ascii="Garamond" w:hAnsi="Garamond"/>
                <w:b/>
                <w:lang w:val="en-AU"/>
              </w:rPr>
              <w:t>measures of patient experience</w:t>
            </w:r>
            <w:r w:rsidRPr="009E6EFF">
              <w:rPr>
                <w:rFonts w:ascii="Garamond" w:hAnsi="Garamond"/>
                <w:lang w:val="en-AU"/>
              </w:rPr>
              <w:t xml:space="preserve">: analysis of routine data </w:t>
            </w:r>
            <w:r w:rsidR="009E6EFF" w:rsidRPr="009E6EFF">
              <w:rPr>
                <w:rFonts w:ascii="Garamond" w:hAnsi="Garamond"/>
                <w:lang w:val="en-AU"/>
              </w:rPr>
              <w:t>(</w:t>
            </w:r>
            <w:r w:rsidRPr="009E6EFF">
              <w:rPr>
                <w:rFonts w:ascii="Garamond" w:hAnsi="Garamond"/>
                <w:lang w:val="en-AU"/>
              </w:rPr>
              <w:t>Mayam Gomez-Cano, Emily Fletcher, John L Campbell, Marc Elliott, Jenni Burt, Gary Abel</w:t>
            </w:r>
            <w:r w:rsidR="009E6EFF">
              <w:rPr>
                <w:rFonts w:ascii="Garamond" w:hAnsi="Garamond"/>
                <w:lang w:val="en-AU"/>
              </w:rPr>
              <w:t>)</w:t>
            </w:r>
          </w:p>
          <w:p w:rsidR="008D4B38" w:rsidRPr="00543B3B" w:rsidRDefault="008D4B38" w:rsidP="009E6EFF">
            <w:pPr>
              <w:pStyle w:val="ListParagraph"/>
              <w:numPr>
                <w:ilvl w:val="0"/>
                <w:numId w:val="14"/>
              </w:numPr>
              <w:rPr>
                <w:rFonts w:ascii="Garamond" w:hAnsi="Garamond"/>
                <w:lang w:val="en-AU"/>
              </w:rPr>
            </w:pPr>
            <w:r w:rsidRPr="009E6EFF">
              <w:rPr>
                <w:rFonts w:ascii="Garamond" w:hAnsi="Garamond"/>
                <w:lang w:val="en-AU"/>
              </w:rPr>
              <w:t>Editorial</w:t>
            </w:r>
            <w:r w:rsidR="009E6EFF" w:rsidRPr="009E6EFF">
              <w:rPr>
                <w:rFonts w:ascii="Garamond" w:hAnsi="Garamond"/>
                <w:lang w:val="en-AU"/>
              </w:rPr>
              <w:t xml:space="preserve">: </w:t>
            </w:r>
            <w:r w:rsidRPr="009E6EFF">
              <w:rPr>
                <w:rFonts w:ascii="Garamond" w:hAnsi="Garamond"/>
                <w:lang w:val="en-AU"/>
              </w:rPr>
              <w:t xml:space="preserve">Unravelling the magic of </w:t>
            </w:r>
            <w:r w:rsidRPr="009E6EFF">
              <w:rPr>
                <w:rFonts w:ascii="Garamond" w:hAnsi="Garamond"/>
                <w:b/>
                <w:lang w:val="en-AU"/>
              </w:rPr>
              <w:t>latent safety threats</w:t>
            </w:r>
            <w:r w:rsidRPr="009E6EFF">
              <w:rPr>
                <w:rFonts w:ascii="Garamond" w:hAnsi="Garamond"/>
                <w:lang w:val="en-AU"/>
              </w:rPr>
              <w:t xml:space="preserve"> </w:t>
            </w:r>
            <w:r w:rsidR="009E6EFF">
              <w:rPr>
                <w:rFonts w:ascii="Garamond" w:hAnsi="Garamond"/>
                <w:lang w:val="en-AU"/>
              </w:rPr>
              <w:t>(</w:t>
            </w:r>
            <w:r w:rsidRPr="008D4B38">
              <w:rPr>
                <w:rFonts w:ascii="Garamond" w:hAnsi="Garamond"/>
                <w:lang w:val="en-AU"/>
              </w:rPr>
              <w:t>Yadin David</w:t>
            </w:r>
            <w:r w:rsidR="009E6EFF">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2E621E" w:rsidP="002C5882">
            <w:pPr>
              <w:keepNext/>
              <w:rPr>
                <w:rFonts w:ascii="Garamond" w:hAnsi="Garamond"/>
                <w:lang w:val="en-AU"/>
              </w:rPr>
            </w:pPr>
            <w:hyperlink r:id="rId48" w:history="1">
              <w:r w:rsidR="00977E92" w:rsidRPr="00D31E10">
                <w:rPr>
                  <w:rStyle w:val="Hyperlink"/>
                  <w:rFonts w:ascii="Garamond" w:hAnsi="Garamond"/>
                  <w:lang w:val="en-AU"/>
                </w:rPr>
                <w:t>https://academic.oup.com/intqhc/advance-articles</w:t>
              </w:r>
            </w:hyperlink>
          </w:p>
        </w:tc>
      </w:tr>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276178" w:rsidRDefault="00407238" w:rsidP="00407238">
            <w:pPr>
              <w:pStyle w:val="ListParagraph"/>
              <w:numPr>
                <w:ilvl w:val="0"/>
                <w:numId w:val="14"/>
              </w:numPr>
              <w:jc w:val="both"/>
              <w:rPr>
                <w:rFonts w:ascii="Garamond" w:hAnsi="Garamond"/>
                <w:lang w:val="en-AU"/>
              </w:rPr>
            </w:pPr>
            <w:r w:rsidRPr="00407238">
              <w:rPr>
                <w:rFonts w:ascii="Garamond" w:hAnsi="Garamond"/>
                <w:lang w:val="en-AU"/>
              </w:rPr>
              <w:t xml:space="preserve">A Novel Method of </w:t>
            </w:r>
            <w:r w:rsidRPr="00407238">
              <w:rPr>
                <w:rFonts w:ascii="Garamond" w:hAnsi="Garamond"/>
                <w:b/>
                <w:lang w:val="en-AU"/>
              </w:rPr>
              <w:t>Assessing Clinical Preparedness</w:t>
            </w:r>
            <w:r w:rsidRPr="00407238">
              <w:rPr>
                <w:rFonts w:ascii="Garamond" w:hAnsi="Garamond"/>
                <w:lang w:val="en-AU"/>
              </w:rPr>
              <w:t xml:space="preserve"> for COVID-19 and Other Disasters </w:t>
            </w:r>
            <w:r>
              <w:rPr>
                <w:rFonts w:ascii="Garamond" w:hAnsi="Garamond"/>
                <w:lang w:val="en-AU"/>
              </w:rPr>
              <w:t>(</w:t>
            </w:r>
            <w:r w:rsidRPr="00407238">
              <w:rPr>
                <w:rFonts w:ascii="Garamond" w:hAnsi="Garamond"/>
                <w:lang w:val="en-AU"/>
              </w:rPr>
              <w:t>Harriet Fisher, Cherilyn Re, Jeffrey A Wilhite, Kathleen Hanley, Lisa Altshuler, James Schmidtberger, Morris Gagliardi, Sondra Zabar</w:t>
            </w:r>
            <w:r>
              <w:rPr>
                <w:rFonts w:ascii="Garamond" w:hAnsi="Garamond"/>
                <w:lang w:val="en-AU"/>
              </w:rPr>
              <w:t>)</w:t>
            </w:r>
          </w:p>
          <w:p w:rsidR="00C35BF5" w:rsidRPr="00721A1B" w:rsidRDefault="00C35BF5" w:rsidP="00C35BF5">
            <w:pPr>
              <w:pStyle w:val="ListParagraph"/>
              <w:numPr>
                <w:ilvl w:val="0"/>
                <w:numId w:val="14"/>
              </w:numPr>
              <w:jc w:val="both"/>
              <w:rPr>
                <w:rFonts w:ascii="Garamond" w:hAnsi="Garamond"/>
                <w:lang w:val="en-AU"/>
              </w:rPr>
            </w:pPr>
            <w:r w:rsidRPr="00C35BF5">
              <w:rPr>
                <w:rFonts w:ascii="Garamond" w:hAnsi="Garamond"/>
                <w:b/>
                <w:lang w:val="en-AU"/>
              </w:rPr>
              <w:t>30-Day Readmission Rate Of Covid-19 Patients Discharged</w:t>
            </w:r>
            <w:r w:rsidRPr="00C35BF5">
              <w:rPr>
                <w:rFonts w:ascii="Garamond" w:hAnsi="Garamond"/>
                <w:lang w:val="en-AU"/>
              </w:rPr>
              <w:t xml:space="preserve"> From A Tertiary Care University Hospital In Turkey; An Observational, Single-Center </w:t>
            </w:r>
            <w:r w:rsidRPr="00C35BF5">
              <w:rPr>
                <w:rFonts w:ascii="Garamond" w:hAnsi="Garamond"/>
                <w:lang w:val="en-AU"/>
              </w:rPr>
              <w:lastRenderedPageBreak/>
              <w:t xml:space="preserve">Study </w:t>
            </w:r>
            <w:r>
              <w:rPr>
                <w:rFonts w:ascii="Garamond" w:hAnsi="Garamond"/>
                <w:lang w:val="en-AU"/>
              </w:rPr>
              <w:t xml:space="preserve"> (</w:t>
            </w:r>
            <w:r w:rsidRPr="00C35BF5">
              <w:rPr>
                <w:rFonts w:ascii="Garamond" w:hAnsi="Garamond"/>
                <w:lang w:val="en-AU"/>
              </w:rPr>
              <w:t>Oğuz Abdullah Uyaroğlu, Nursel Çalık Başaran, Lale Özişik, Gülçin Telli Dizman, İmdat Eroğlu, Taha Koray Şahin, Zahit Taş, Ahmet Çağkan Inkaya, Mine Durusu Tanriover, Gökhan Metan, Gülay Sain Güven, Serhat Ünal</w:t>
            </w:r>
            <w:r>
              <w:rPr>
                <w:rFonts w:ascii="Garamond" w:hAnsi="Garamond"/>
                <w:lang w:val="en-AU"/>
              </w:rPr>
              <w:t>)</w:t>
            </w:r>
          </w:p>
        </w:tc>
      </w:tr>
    </w:tbl>
    <w:p w:rsidR="00B24501" w:rsidRDefault="00B24501" w:rsidP="00977E92">
      <w:pPr>
        <w:rPr>
          <w:rFonts w:ascii="Garamond" w:hAnsi="Garamond"/>
          <w:b/>
          <w:lang w:val="en-AU"/>
        </w:rPr>
      </w:pPr>
    </w:p>
    <w:p w:rsidR="002F5579" w:rsidRDefault="002F5579" w:rsidP="00977E92">
      <w:pPr>
        <w:rPr>
          <w:rFonts w:ascii="Garamond" w:hAnsi="Garamond"/>
          <w:b/>
          <w:lang w:val="en-AU"/>
        </w:rPr>
      </w:pPr>
    </w:p>
    <w:p w:rsidR="002F5579" w:rsidRDefault="002F5579"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9E5360">
      <w:pPr>
        <w:keepLines/>
        <w:rPr>
          <w:rFonts w:ascii="Garamond" w:hAnsi="Garamond"/>
          <w:i/>
          <w:lang w:val="en-AU"/>
        </w:rPr>
      </w:pPr>
    </w:p>
    <w:p w:rsidR="00F56EBD" w:rsidRDefault="00F56EBD" w:rsidP="00F56EBD">
      <w:pPr>
        <w:keepNext/>
        <w:keepLines/>
        <w:rPr>
          <w:rFonts w:ascii="Garamond" w:hAnsi="Garamond"/>
          <w:i/>
          <w:lang w:val="en-AU"/>
        </w:rPr>
      </w:pPr>
      <w:r w:rsidRPr="006F1140">
        <w:rPr>
          <w:rFonts w:ascii="Garamond" w:hAnsi="Garamond"/>
          <w:i/>
          <w:lang w:val="en-AU"/>
        </w:rPr>
        <w:t>Future Leaders Communiqué</w:t>
      </w:r>
    </w:p>
    <w:p w:rsidR="00F56EBD" w:rsidRDefault="002E621E" w:rsidP="00F56EBD">
      <w:pPr>
        <w:keepNext/>
        <w:keepLines/>
        <w:rPr>
          <w:rFonts w:ascii="Garamond" w:hAnsi="Garamond"/>
          <w:lang w:val="en-AU"/>
        </w:rPr>
      </w:pPr>
      <w:hyperlink r:id="rId49" w:history="1">
        <w:r w:rsidR="00F56EBD" w:rsidRPr="00DE2037">
          <w:rPr>
            <w:rStyle w:val="Hyperlink"/>
            <w:rFonts w:ascii="Garamond" w:hAnsi="Garamond"/>
            <w:lang w:val="en-AU"/>
          </w:rPr>
          <w:t>https://www.thecommuniques.com/post/future-leaders-communiqu%C3%A9-volume-5-issue-4-october-2020</w:t>
        </w:r>
      </w:hyperlink>
    </w:p>
    <w:p w:rsidR="00F56EBD" w:rsidRPr="006F1140" w:rsidRDefault="00F56EBD" w:rsidP="00F56EBD">
      <w:pPr>
        <w:keepNext/>
        <w:keepLines/>
        <w:rPr>
          <w:rFonts w:ascii="Garamond" w:hAnsi="Garamond"/>
          <w:lang w:val="en-AU"/>
        </w:rPr>
      </w:pPr>
      <w:r>
        <w:rPr>
          <w:rFonts w:ascii="Garamond" w:hAnsi="Garamond"/>
          <w:lang w:val="en-AU"/>
        </w:rPr>
        <w:t>Volume 5, Issue 4, October 2020</w:t>
      </w:r>
    </w:p>
    <w:p w:rsidR="00F56EBD" w:rsidRDefault="00F56EBD" w:rsidP="00F56EBD">
      <w:pPr>
        <w:keepNext/>
        <w:keepLines/>
        <w:rPr>
          <w:rFonts w:ascii="Garamond" w:hAnsi="Garamond"/>
          <w:i/>
          <w:lang w:val="en-AU"/>
        </w:rPr>
      </w:pPr>
      <w:r w:rsidRPr="006F1140">
        <w:rPr>
          <w:rFonts w:ascii="Garamond" w:hAnsi="Garamond"/>
          <w:lang w:val="en-AU"/>
        </w:rPr>
        <w:t xml:space="preserve">This issue of the </w:t>
      </w:r>
      <w:r w:rsidRPr="009B278A">
        <w:rPr>
          <w:rFonts w:ascii="Garamond" w:hAnsi="Garamond"/>
          <w:i/>
          <w:lang w:val="en-AU"/>
        </w:rPr>
        <w:t>Future Leaders Communiqué</w:t>
      </w:r>
      <w:r w:rsidRPr="006F1140">
        <w:rPr>
          <w:rFonts w:ascii="Garamond" w:hAnsi="Garamond"/>
          <w:lang w:val="en-AU"/>
        </w:rPr>
        <w:t xml:space="preserve"> </w:t>
      </w:r>
      <w:r>
        <w:rPr>
          <w:rFonts w:ascii="Garamond" w:hAnsi="Garamond"/>
          <w:lang w:val="en-AU"/>
        </w:rPr>
        <w:t xml:space="preserve">focuses on </w:t>
      </w:r>
      <w:r w:rsidRPr="000B28CC">
        <w:rPr>
          <w:rFonts w:ascii="Garamond" w:hAnsi="Garamond"/>
          <w:b/>
          <w:lang w:val="en-AU"/>
        </w:rPr>
        <w:t>clinical documentation</w:t>
      </w:r>
      <w:r w:rsidRPr="00F56EBD">
        <w:rPr>
          <w:rFonts w:ascii="Garamond" w:hAnsi="Garamond"/>
          <w:lang w:val="en-AU"/>
        </w:rPr>
        <w:t xml:space="preserve"> and </w:t>
      </w:r>
      <w:r w:rsidRPr="000B28CC">
        <w:rPr>
          <w:rFonts w:ascii="Garamond" w:hAnsi="Garamond"/>
          <w:b/>
          <w:lang w:val="en-AU"/>
        </w:rPr>
        <w:t>handover</w:t>
      </w:r>
      <w:r w:rsidRPr="00F56EBD">
        <w:rPr>
          <w:rFonts w:ascii="Garamond" w:hAnsi="Garamond"/>
          <w:lang w:val="en-AU"/>
        </w:rPr>
        <w:t xml:space="preserve"> with an illustrative case and two expert commentaries.</w:t>
      </w:r>
      <w:r>
        <w:rPr>
          <w:rFonts w:ascii="Garamond" w:hAnsi="Garamond"/>
          <w:lang w:val="en-AU"/>
        </w:rPr>
        <w:t xml:space="preserve"> The case examines the </w:t>
      </w:r>
      <w:r w:rsidRPr="00F56EBD">
        <w:rPr>
          <w:rFonts w:ascii="Garamond" w:hAnsi="Garamond"/>
          <w:lang w:val="en-AU"/>
        </w:rPr>
        <w:t xml:space="preserve">tragic death of a 6-year-old boy following delays in the diagnosis and management of bacterial sepsis. This case </w:t>
      </w:r>
      <w:r w:rsidR="000B28CC">
        <w:rPr>
          <w:rFonts w:ascii="Garamond" w:hAnsi="Garamond"/>
          <w:lang w:val="en-AU"/>
        </w:rPr>
        <w:t xml:space="preserve">highlights </w:t>
      </w:r>
      <w:r w:rsidRPr="00F56EBD">
        <w:rPr>
          <w:rFonts w:ascii="Garamond" w:hAnsi="Garamond"/>
          <w:lang w:val="en-AU"/>
        </w:rPr>
        <w:t>the importance of clinical handover and documentation</w:t>
      </w:r>
      <w:r w:rsidR="00014972">
        <w:rPr>
          <w:rFonts w:ascii="Garamond" w:hAnsi="Garamond"/>
          <w:lang w:val="en-AU"/>
        </w:rPr>
        <w:t>.</w:t>
      </w:r>
      <w:r w:rsidRPr="00F56EBD">
        <w:rPr>
          <w:rFonts w:ascii="Garamond" w:hAnsi="Garamond"/>
          <w:lang w:val="en-AU"/>
        </w:rPr>
        <w:t xml:space="preserve"> The two expert commentaries focus on the importance of the medical record</w:t>
      </w:r>
      <w:r w:rsidR="000B28CC">
        <w:rPr>
          <w:rFonts w:ascii="Garamond" w:hAnsi="Garamond"/>
          <w:lang w:val="en-AU"/>
        </w:rPr>
        <w:t xml:space="preserve"> and provide </w:t>
      </w:r>
      <w:r w:rsidRPr="00F56EBD">
        <w:rPr>
          <w:rFonts w:ascii="Garamond" w:hAnsi="Garamond"/>
          <w:lang w:val="en-AU"/>
        </w:rPr>
        <w:t>a reflection on the art of clinical communication and record-keeping.</w:t>
      </w:r>
    </w:p>
    <w:p w:rsidR="00F56EBD" w:rsidRDefault="00F56EBD" w:rsidP="009E5360">
      <w:pPr>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2E621E" w:rsidP="00310503">
      <w:pPr>
        <w:keepNext/>
        <w:keepLines/>
        <w:rPr>
          <w:rFonts w:ascii="Garamond" w:hAnsi="Garamond"/>
          <w:lang w:val="en-AU"/>
        </w:rPr>
      </w:pPr>
      <w:hyperlink r:id="rId50"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t>COVID-19 Critical Intelligence Unit</w:t>
      </w:r>
    </w:p>
    <w:p w:rsidR="00603C16" w:rsidRDefault="002E621E" w:rsidP="00603C16">
      <w:pPr>
        <w:keepNext/>
        <w:keepLines/>
        <w:rPr>
          <w:rFonts w:ascii="Garamond" w:hAnsi="Garamond"/>
          <w:lang w:val="en-AU"/>
        </w:rPr>
      </w:pPr>
      <w:hyperlink r:id="rId51" w:history="1">
        <w:r w:rsidR="00603C16" w:rsidRPr="00E11CC6">
          <w:rPr>
            <w:rStyle w:val="Hyperlink"/>
            <w:rFonts w:ascii="Garamond" w:hAnsi="Garamond"/>
            <w:lang w:val="en-AU"/>
          </w:rPr>
          <w:t>https://www.aci.health.nsw.gov.au/covid-19/critical-intelligence-unit</w:t>
        </w:r>
      </w:hyperlink>
    </w:p>
    <w:p w:rsidR="00402A78" w:rsidRDefault="00603C16" w:rsidP="001C50DD">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402A78">
        <w:rPr>
          <w:rFonts w:ascii="Garamond" w:hAnsi="Garamond"/>
          <w:lang w:val="en-AU"/>
        </w:rPr>
        <w:t xml:space="preserve"> </w:t>
      </w:r>
    </w:p>
    <w:p w:rsidR="001C50DD" w:rsidRDefault="001C50DD" w:rsidP="009E5360">
      <w:pPr>
        <w:keepLines/>
        <w:rPr>
          <w:rFonts w:ascii="Garamond" w:hAnsi="Garamond"/>
          <w:i/>
          <w:lang w:val="en-AU"/>
        </w:rPr>
      </w:pPr>
    </w:p>
    <w:p w:rsidR="006A346E" w:rsidRPr="008F3909" w:rsidRDefault="006A346E" w:rsidP="006A346E">
      <w:pPr>
        <w:rPr>
          <w:rFonts w:ascii="Garamond" w:hAnsi="Garamond"/>
          <w:i/>
          <w:lang w:val="en-AU"/>
        </w:rPr>
      </w:pPr>
      <w:r>
        <w:rPr>
          <w:rFonts w:ascii="Garamond" w:hAnsi="Garamond"/>
          <w:lang w:val="en-AU"/>
        </w:rPr>
        <w:t>[</w:t>
      </w:r>
      <w:r w:rsidRPr="008F3909">
        <w:rPr>
          <w:rFonts w:ascii="Garamond" w:hAnsi="Garamond"/>
          <w:i/>
          <w:lang w:val="en-AU"/>
        </w:rPr>
        <w:t>UK] NICE Guidelines and Quality Standards</w:t>
      </w:r>
    </w:p>
    <w:p w:rsidR="006A346E" w:rsidRPr="008F3909" w:rsidRDefault="002E621E" w:rsidP="006A346E">
      <w:pPr>
        <w:rPr>
          <w:rFonts w:ascii="Garamond" w:hAnsi="Garamond"/>
          <w:lang w:val="en-AU"/>
        </w:rPr>
      </w:pPr>
      <w:hyperlink r:id="rId52" w:history="1">
        <w:r w:rsidR="006A346E" w:rsidRPr="00B91B4F">
          <w:rPr>
            <w:rStyle w:val="Hyperlink"/>
            <w:rFonts w:ascii="Garamond" w:hAnsi="Garamond"/>
            <w:lang w:val="en-AU"/>
          </w:rPr>
          <w:t>https://www.nice.org.uk/guidance</w:t>
        </w:r>
      </w:hyperlink>
      <w:r w:rsidR="006A346E">
        <w:rPr>
          <w:rFonts w:ascii="Garamond" w:hAnsi="Garamond"/>
          <w:lang w:val="en-AU"/>
        </w:rPr>
        <w:t xml:space="preserve"> </w:t>
      </w:r>
    </w:p>
    <w:p w:rsidR="006A346E" w:rsidRPr="008F3909" w:rsidRDefault="006A346E" w:rsidP="006A346E">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9E6EFF" w:rsidRDefault="009E6EFF" w:rsidP="009E6EFF">
      <w:pPr>
        <w:pStyle w:val="ListParagraph"/>
        <w:numPr>
          <w:ilvl w:val="0"/>
          <w:numId w:val="14"/>
        </w:numPr>
        <w:rPr>
          <w:rFonts w:ascii="Garamond" w:hAnsi="Garamond"/>
          <w:lang w:val="en-AU"/>
        </w:rPr>
      </w:pPr>
      <w:r>
        <w:rPr>
          <w:rFonts w:ascii="Garamond" w:hAnsi="Garamond"/>
          <w:lang w:val="en-AU"/>
        </w:rPr>
        <w:t xml:space="preserve">Diagnostics Guideline DG42 </w:t>
      </w:r>
      <w:r w:rsidRPr="009E6EFF">
        <w:rPr>
          <w:rFonts w:ascii="Garamond" w:hAnsi="Garamond"/>
          <w:i/>
          <w:lang w:val="en-AU"/>
        </w:rPr>
        <w:t xml:space="preserve">Testing strategies for Lynch syndrome in people with </w:t>
      </w:r>
      <w:r w:rsidRPr="009E6EFF">
        <w:rPr>
          <w:rFonts w:ascii="Garamond" w:hAnsi="Garamond"/>
          <w:b/>
          <w:i/>
          <w:lang w:val="en-AU"/>
        </w:rPr>
        <w:t>endometrial cancer</w:t>
      </w:r>
      <w:r>
        <w:rPr>
          <w:rFonts w:ascii="Garamond" w:hAnsi="Garamond"/>
          <w:lang w:val="en-AU"/>
        </w:rPr>
        <w:t xml:space="preserve"> </w:t>
      </w:r>
      <w:hyperlink r:id="rId53" w:history="1">
        <w:r w:rsidRPr="00813972">
          <w:rPr>
            <w:rStyle w:val="Hyperlink"/>
            <w:rFonts w:ascii="Garamond" w:hAnsi="Garamond"/>
            <w:lang w:val="en-AU"/>
          </w:rPr>
          <w:t>https://www.nice.org.uk/guidance/dg42</w:t>
        </w:r>
      </w:hyperlink>
    </w:p>
    <w:p w:rsidR="003C78CF" w:rsidRDefault="003C78CF" w:rsidP="009E5360">
      <w:pPr>
        <w:keepLines/>
        <w:rPr>
          <w:rFonts w:ascii="Garamond" w:hAnsi="Garamond"/>
          <w:lang w:val="en-AU"/>
        </w:rPr>
      </w:pPr>
    </w:p>
    <w:p w:rsidR="00B61D97" w:rsidRDefault="00B61D97">
      <w:pPr>
        <w:rPr>
          <w:rFonts w:ascii="Garamond" w:hAnsi="Garamond"/>
          <w:i/>
          <w:lang w:val="en-AU"/>
        </w:rPr>
      </w:pPr>
      <w:r>
        <w:rPr>
          <w:rFonts w:ascii="Garamond" w:hAnsi="Garamond"/>
          <w:i/>
          <w:lang w:val="en-AU"/>
        </w:rPr>
        <w:br w:type="page"/>
      </w:r>
    </w:p>
    <w:p w:rsidR="00AC0C31" w:rsidRDefault="00AC0C31" w:rsidP="00AC0C31">
      <w:pPr>
        <w:keepNext/>
        <w:rPr>
          <w:rFonts w:ascii="Garamond" w:hAnsi="Garamond"/>
          <w:i/>
          <w:lang w:val="en-AU"/>
        </w:rPr>
      </w:pPr>
      <w:r>
        <w:rPr>
          <w:rFonts w:ascii="Garamond" w:hAnsi="Garamond"/>
          <w:i/>
          <w:lang w:val="en-AU"/>
        </w:rPr>
        <w:lastRenderedPageBreak/>
        <w:t>[UK] NIHR Evidence alert</w:t>
      </w:r>
    </w:p>
    <w:p w:rsidR="00AC0C31" w:rsidRDefault="002E621E" w:rsidP="00AC0C31">
      <w:pPr>
        <w:keepNext/>
        <w:rPr>
          <w:rFonts w:ascii="Garamond" w:hAnsi="Garamond"/>
          <w:lang w:val="en-AU"/>
        </w:rPr>
      </w:pPr>
      <w:hyperlink r:id="rId54" w:history="1">
        <w:r w:rsidR="00AC0C31" w:rsidRPr="00392AF4">
          <w:rPr>
            <w:rStyle w:val="Hyperlink"/>
            <w:rFonts w:ascii="Garamond" w:hAnsi="Garamond"/>
            <w:lang w:val="en-AU"/>
          </w:rPr>
          <w:t>https://evidence.nihr.ac.uk/</w:t>
        </w:r>
      </w:hyperlink>
    </w:p>
    <w:p w:rsidR="00AC0C31" w:rsidRDefault="00AC0C31" w:rsidP="00AC0C31">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2226F0" w:rsidRPr="002226F0" w:rsidRDefault="002226F0" w:rsidP="002226F0">
      <w:pPr>
        <w:pStyle w:val="ListParagraph"/>
        <w:numPr>
          <w:ilvl w:val="0"/>
          <w:numId w:val="16"/>
        </w:numPr>
        <w:rPr>
          <w:rFonts w:ascii="Garamond" w:hAnsi="Garamond"/>
          <w:lang w:val="en-AU"/>
        </w:rPr>
      </w:pPr>
      <w:r w:rsidRPr="002226F0">
        <w:rPr>
          <w:rFonts w:ascii="Garamond" w:hAnsi="Garamond"/>
          <w:lang w:val="en-AU"/>
        </w:rPr>
        <w:t xml:space="preserve">People with </w:t>
      </w:r>
      <w:r w:rsidRPr="002226F0">
        <w:rPr>
          <w:rFonts w:ascii="Garamond" w:hAnsi="Garamond"/>
          <w:b/>
          <w:lang w:val="en-AU"/>
        </w:rPr>
        <w:t>anorectal melanoma</w:t>
      </w:r>
      <w:r w:rsidRPr="002226F0">
        <w:rPr>
          <w:rFonts w:ascii="Garamond" w:hAnsi="Garamond"/>
          <w:lang w:val="en-AU"/>
        </w:rPr>
        <w:t xml:space="preserve"> may not benefit from radical surgery</w:t>
      </w:r>
    </w:p>
    <w:p w:rsidR="002226F0" w:rsidRPr="002226F0" w:rsidRDefault="002226F0" w:rsidP="002226F0">
      <w:pPr>
        <w:pStyle w:val="ListParagraph"/>
        <w:numPr>
          <w:ilvl w:val="0"/>
          <w:numId w:val="16"/>
        </w:numPr>
        <w:rPr>
          <w:rFonts w:ascii="Garamond" w:hAnsi="Garamond"/>
          <w:lang w:val="en-AU"/>
        </w:rPr>
      </w:pPr>
      <w:r w:rsidRPr="002226F0">
        <w:rPr>
          <w:rFonts w:ascii="Garamond" w:hAnsi="Garamond"/>
          <w:lang w:val="en-AU"/>
        </w:rPr>
        <w:t xml:space="preserve">A new technique could make more </w:t>
      </w:r>
      <w:r w:rsidRPr="002226F0">
        <w:rPr>
          <w:rFonts w:ascii="Garamond" w:hAnsi="Garamond"/>
          <w:b/>
          <w:lang w:val="en-AU"/>
        </w:rPr>
        <w:t>livers available for transplant</w:t>
      </w:r>
    </w:p>
    <w:p w:rsidR="002226F0" w:rsidRPr="002226F0" w:rsidRDefault="002226F0" w:rsidP="002226F0">
      <w:pPr>
        <w:pStyle w:val="ListParagraph"/>
        <w:numPr>
          <w:ilvl w:val="0"/>
          <w:numId w:val="16"/>
        </w:numPr>
        <w:rPr>
          <w:rFonts w:ascii="Garamond" w:hAnsi="Garamond"/>
          <w:lang w:val="en-AU"/>
        </w:rPr>
      </w:pPr>
      <w:r w:rsidRPr="002226F0">
        <w:rPr>
          <w:rFonts w:ascii="Garamond" w:hAnsi="Garamond"/>
          <w:lang w:val="en-AU"/>
        </w:rPr>
        <w:t xml:space="preserve">Tackling fear and misinformation may help increase </w:t>
      </w:r>
      <w:r w:rsidRPr="002226F0">
        <w:rPr>
          <w:rFonts w:ascii="Garamond" w:hAnsi="Garamond"/>
          <w:b/>
          <w:lang w:val="en-AU"/>
        </w:rPr>
        <w:t>hepatitis C testing</w:t>
      </w:r>
      <w:r w:rsidRPr="002226F0">
        <w:rPr>
          <w:rFonts w:ascii="Garamond" w:hAnsi="Garamond"/>
          <w:lang w:val="en-AU"/>
        </w:rPr>
        <w:t xml:space="preserve"> in prison</w:t>
      </w:r>
    </w:p>
    <w:p w:rsidR="002226F0" w:rsidRPr="002226F0" w:rsidRDefault="002226F0" w:rsidP="002226F0">
      <w:pPr>
        <w:pStyle w:val="ListParagraph"/>
        <w:numPr>
          <w:ilvl w:val="0"/>
          <w:numId w:val="16"/>
        </w:numPr>
        <w:rPr>
          <w:rFonts w:ascii="Garamond" w:hAnsi="Garamond"/>
          <w:lang w:val="en-AU"/>
        </w:rPr>
      </w:pPr>
      <w:r w:rsidRPr="002226F0">
        <w:rPr>
          <w:rFonts w:ascii="Garamond" w:hAnsi="Garamond"/>
          <w:lang w:val="en-AU"/>
        </w:rPr>
        <w:t xml:space="preserve">Tranexamic acid should not be used for patients with </w:t>
      </w:r>
      <w:r w:rsidRPr="002226F0">
        <w:rPr>
          <w:rFonts w:ascii="Garamond" w:hAnsi="Garamond"/>
          <w:b/>
          <w:lang w:val="en-AU"/>
        </w:rPr>
        <w:t>severe gastrointestinal bleeding</w:t>
      </w:r>
    </w:p>
    <w:p w:rsidR="002226F0" w:rsidRPr="002226F0" w:rsidRDefault="002226F0" w:rsidP="002226F0">
      <w:pPr>
        <w:pStyle w:val="ListParagraph"/>
        <w:numPr>
          <w:ilvl w:val="0"/>
          <w:numId w:val="16"/>
        </w:numPr>
        <w:rPr>
          <w:rFonts w:ascii="Garamond" w:hAnsi="Garamond"/>
          <w:lang w:val="en-AU"/>
        </w:rPr>
      </w:pPr>
      <w:r w:rsidRPr="002226F0">
        <w:rPr>
          <w:rFonts w:ascii="Garamond" w:hAnsi="Garamond"/>
          <w:lang w:val="en-AU"/>
        </w:rPr>
        <w:t xml:space="preserve">A </w:t>
      </w:r>
      <w:r w:rsidRPr="002226F0">
        <w:rPr>
          <w:rFonts w:ascii="Garamond" w:hAnsi="Garamond"/>
          <w:b/>
          <w:lang w:val="en-AU"/>
        </w:rPr>
        <w:t>decision aid</w:t>
      </w:r>
      <w:r w:rsidRPr="002226F0">
        <w:rPr>
          <w:rFonts w:ascii="Garamond" w:hAnsi="Garamond"/>
          <w:lang w:val="en-AU"/>
        </w:rPr>
        <w:t xml:space="preserve"> may help people with newly-diagnosed </w:t>
      </w:r>
      <w:r w:rsidRPr="00014972">
        <w:rPr>
          <w:rFonts w:ascii="Garamond" w:hAnsi="Garamond"/>
          <w:b/>
          <w:lang w:val="en-AU"/>
        </w:rPr>
        <w:t>multiple sclerosis</w:t>
      </w:r>
      <w:r w:rsidRPr="002226F0">
        <w:rPr>
          <w:rFonts w:ascii="Garamond" w:hAnsi="Garamond"/>
          <w:lang w:val="en-AU"/>
        </w:rPr>
        <w:t xml:space="preserve"> consider their options for treatment</w:t>
      </w:r>
    </w:p>
    <w:p w:rsidR="002226F0" w:rsidRPr="002226F0" w:rsidRDefault="002226F0" w:rsidP="002226F0">
      <w:pPr>
        <w:pStyle w:val="ListParagraph"/>
        <w:numPr>
          <w:ilvl w:val="0"/>
          <w:numId w:val="16"/>
        </w:numPr>
        <w:rPr>
          <w:rFonts w:ascii="Garamond" w:hAnsi="Garamond"/>
          <w:lang w:val="en-AU"/>
        </w:rPr>
      </w:pPr>
      <w:r w:rsidRPr="002226F0">
        <w:rPr>
          <w:rFonts w:ascii="Garamond" w:hAnsi="Garamond"/>
          <w:lang w:val="en-AU"/>
        </w:rPr>
        <w:t xml:space="preserve">Working may improve quality of life for carers of people with </w:t>
      </w:r>
      <w:r w:rsidRPr="002226F0">
        <w:rPr>
          <w:rFonts w:ascii="Garamond" w:hAnsi="Garamond"/>
          <w:b/>
          <w:lang w:val="en-AU"/>
        </w:rPr>
        <w:t>dementia</w:t>
      </w:r>
    </w:p>
    <w:p w:rsidR="002226F0" w:rsidRPr="002226F0" w:rsidRDefault="002226F0" w:rsidP="002226F0">
      <w:pPr>
        <w:pStyle w:val="ListParagraph"/>
        <w:numPr>
          <w:ilvl w:val="0"/>
          <w:numId w:val="16"/>
        </w:numPr>
        <w:rPr>
          <w:rFonts w:ascii="Garamond" w:hAnsi="Garamond"/>
          <w:lang w:val="en-AU"/>
        </w:rPr>
      </w:pPr>
      <w:r w:rsidRPr="002226F0">
        <w:rPr>
          <w:rFonts w:ascii="Garamond" w:hAnsi="Garamond"/>
          <w:lang w:val="en-AU"/>
        </w:rPr>
        <w:t xml:space="preserve">Play and social skills may protect </w:t>
      </w:r>
      <w:r w:rsidRPr="002226F0">
        <w:rPr>
          <w:rFonts w:ascii="Garamond" w:hAnsi="Garamond"/>
          <w:b/>
          <w:lang w:val="en-AU"/>
        </w:rPr>
        <w:t>children who have difficulties with spoken language</w:t>
      </w:r>
    </w:p>
    <w:p w:rsidR="002226F0" w:rsidRPr="002226F0" w:rsidRDefault="002226F0" w:rsidP="002226F0">
      <w:pPr>
        <w:pStyle w:val="ListParagraph"/>
        <w:numPr>
          <w:ilvl w:val="0"/>
          <w:numId w:val="16"/>
        </w:numPr>
        <w:rPr>
          <w:rFonts w:ascii="Garamond" w:hAnsi="Garamond"/>
          <w:lang w:val="en-AU"/>
        </w:rPr>
      </w:pPr>
      <w:r w:rsidRPr="002226F0">
        <w:rPr>
          <w:rFonts w:ascii="Garamond" w:hAnsi="Garamond"/>
          <w:lang w:val="en-AU"/>
        </w:rPr>
        <w:t xml:space="preserve">Prozac may be the best treatment for </w:t>
      </w:r>
      <w:r w:rsidRPr="002226F0">
        <w:rPr>
          <w:rFonts w:ascii="Garamond" w:hAnsi="Garamond"/>
          <w:b/>
          <w:lang w:val="en-AU"/>
        </w:rPr>
        <w:t>young people with depression</w:t>
      </w:r>
      <w:r w:rsidRPr="002226F0">
        <w:rPr>
          <w:rFonts w:ascii="Garamond" w:hAnsi="Garamond"/>
          <w:lang w:val="en-AU"/>
        </w:rPr>
        <w:t xml:space="preserve"> – but more research is needed</w:t>
      </w:r>
    </w:p>
    <w:p w:rsidR="002226F0" w:rsidRPr="002226F0" w:rsidRDefault="002226F0" w:rsidP="002226F0">
      <w:pPr>
        <w:pStyle w:val="ListParagraph"/>
        <w:numPr>
          <w:ilvl w:val="0"/>
          <w:numId w:val="16"/>
        </w:numPr>
        <w:rPr>
          <w:rFonts w:ascii="Garamond" w:hAnsi="Garamond"/>
          <w:lang w:val="en-AU"/>
        </w:rPr>
      </w:pPr>
      <w:r w:rsidRPr="002226F0">
        <w:rPr>
          <w:rFonts w:ascii="Garamond" w:hAnsi="Garamond"/>
          <w:lang w:val="en-AU"/>
        </w:rPr>
        <w:t xml:space="preserve">Brain and nerve complications are more common than expected in younger patients with </w:t>
      </w:r>
      <w:r w:rsidRPr="002226F0">
        <w:rPr>
          <w:rFonts w:ascii="Garamond" w:hAnsi="Garamond"/>
          <w:b/>
          <w:lang w:val="en-AU"/>
        </w:rPr>
        <w:t>severe COVID-19</w:t>
      </w:r>
    </w:p>
    <w:p w:rsidR="002226F0" w:rsidRPr="002226F0" w:rsidRDefault="002226F0" w:rsidP="002226F0">
      <w:pPr>
        <w:pStyle w:val="ListParagraph"/>
        <w:numPr>
          <w:ilvl w:val="0"/>
          <w:numId w:val="16"/>
        </w:numPr>
        <w:rPr>
          <w:rFonts w:ascii="Garamond" w:hAnsi="Garamond"/>
          <w:lang w:val="en-AU"/>
        </w:rPr>
      </w:pPr>
      <w:r w:rsidRPr="002226F0">
        <w:rPr>
          <w:rFonts w:ascii="Garamond" w:hAnsi="Garamond"/>
          <w:lang w:val="en-AU"/>
        </w:rPr>
        <w:t xml:space="preserve">Results from a routine blood test could help in </w:t>
      </w:r>
      <w:r w:rsidRPr="002226F0">
        <w:rPr>
          <w:rFonts w:ascii="Garamond" w:hAnsi="Garamond"/>
          <w:b/>
          <w:lang w:val="en-AU"/>
        </w:rPr>
        <w:t>early detection of cancer</w:t>
      </w:r>
    </w:p>
    <w:p w:rsidR="002226F0" w:rsidRPr="002226F0" w:rsidRDefault="002226F0" w:rsidP="002226F0">
      <w:pPr>
        <w:pStyle w:val="ListParagraph"/>
        <w:numPr>
          <w:ilvl w:val="0"/>
          <w:numId w:val="16"/>
        </w:numPr>
        <w:rPr>
          <w:rFonts w:ascii="Garamond" w:hAnsi="Garamond"/>
          <w:lang w:val="en-AU"/>
        </w:rPr>
      </w:pPr>
      <w:r w:rsidRPr="002226F0">
        <w:rPr>
          <w:rFonts w:ascii="Garamond" w:hAnsi="Garamond"/>
          <w:lang w:val="en-AU"/>
        </w:rPr>
        <w:t xml:space="preserve">Recommendations from </w:t>
      </w:r>
      <w:r w:rsidRPr="002226F0">
        <w:rPr>
          <w:rFonts w:ascii="Garamond" w:hAnsi="Garamond"/>
          <w:b/>
          <w:lang w:val="en-AU"/>
        </w:rPr>
        <w:t xml:space="preserve">male students </w:t>
      </w:r>
      <w:r w:rsidRPr="002226F0">
        <w:rPr>
          <w:rFonts w:ascii="Garamond" w:hAnsi="Garamond"/>
          <w:lang w:val="en-AU"/>
        </w:rPr>
        <w:t>help shape</w:t>
      </w:r>
      <w:r w:rsidRPr="002226F0">
        <w:rPr>
          <w:rFonts w:ascii="Garamond" w:hAnsi="Garamond"/>
          <w:b/>
          <w:lang w:val="en-AU"/>
        </w:rPr>
        <w:t xml:space="preserve"> mental health</w:t>
      </w:r>
      <w:r w:rsidRPr="002226F0">
        <w:rPr>
          <w:rFonts w:ascii="Garamond" w:hAnsi="Garamond"/>
          <w:lang w:val="en-AU"/>
        </w:rPr>
        <w:t xml:space="preserve"> support for this high-risk group</w:t>
      </w:r>
    </w:p>
    <w:p w:rsidR="002226F0" w:rsidRPr="002226F0" w:rsidRDefault="002226F0" w:rsidP="002226F0">
      <w:pPr>
        <w:pStyle w:val="ListParagraph"/>
        <w:numPr>
          <w:ilvl w:val="0"/>
          <w:numId w:val="16"/>
        </w:numPr>
        <w:rPr>
          <w:rFonts w:ascii="Garamond" w:hAnsi="Garamond"/>
          <w:lang w:val="en-AU"/>
        </w:rPr>
      </w:pPr>
      <w:r w:rsidRPr="002226F0">
        <w:rPr>
          <w:rFonts w:ascii="Garamond" w:hAnsi="Garamond"/>
          <w:lang w:val="en-AU"/>
        </w:rPr>
        <w:t xml:space="preserve">Sharing electronic records with patients led to improved control of type two </w:t>
      </w:r>
      <w:r w:rsidRPr="002226F0">
        <w:rPr>
          <w:rFonts w:ascii="Garamond" w:hAnsi="Garamond"/>
          <w:b/>
          <w:lang w:val="en-AU"/>
        </w:rPr>
        <w:t>diabetes</w:t>
      </w:r>
    </w:p>
    <w:p w:rsidR="002226F0" w:rsidRPr="002226F0" w:rsidRDefault="002226F0" w:rsidP="002226F0">
      <w:pPr>
        <w:pStyle w:val="ListParagraph"/>
        <w:numPr>
          <w:ilvl w:val="0"/>
          <w:numId w:val="16"/>
        </w:numPr>
        <w:rPr>
          <w:rFonts w:ascii="Garamond" w:hAnsi="Garamond"/>
          <w:lang w:val="en-AU"/>
        </w:rPr>
      </w:pPr>
      <w:r w:rsidRPr="002226F0">
        <w:rPr>
          <w:rFonts w:ascii="Garamond" w:hAnsi="Garamond"/>
          <w:b/>
          <w:lang w:val="en-AU"/>
        </w:rPr>
        <w:t>People with mild memory problems</w:t>
      </w:r>
      <w:r w:rsidRPr="002226F0">
        <w:rPr>
          <w:rFonts w:ascii="Garamond" w:hAnsi="Garamond"/>
          <w:lang w:val="en-AU"/>
        </w:rPr>
        <w:t xml:space="preserve"> are left in limbo between health and dementia, and need help to make lifestyle changes</w:t>
      </w:r>
    </w:p>
    <w:p w:rsidR="00AC0C31" w:rsidRPr="002226F0" w:rsidRDefault="002226F0" w:rsidP="00D81D29">
      <w:pPr>
        <w:pStyle w:val="ListParagraph"/>
        <w:numPr>
          <w:ilvl w:val="0"/>
          <w:numId w:val="16"/>
        </w:numPr>
        <w:rPr>
          <w:rFonts w:ascii="Garamond" w:hAnsi="Garamond"/>
          <w:lang w:val="en-AU"/>
        </w:rPr>
      </w:pPr>
      <w:r w:rsidRPr="002226F0">
        <w:rPr>
          <w:rFonts w:ascii="Garamond" w:hAnsi="Garamond"/>
          <w:b/>
          <w:lang w:val="en-AU"/>
        </w:rPr>
        <w:t>Stroke survivors with vision impairments</w:t>
      </w:r>
      <w:r w:rsidRPr="002226F0">
        <w:rPr>
          <w:rFonts w:ascii="Garamond" w:hAnsi="Garamond"/>
          <w:lang w:val="en-AU"/>
        </w:rPr>
        <w:t xml:space="preserve"> need personalised rehabilitation and greater support</w:t>
      </w:r>
      <w:r>
        <w:rPr>
          <w:rFonts w:ascii="Garamond" w:hAnsi="Garamond"/>
          <w:lang w:val="en-AU"/>
        </w:rPr>
        <w:t>.</w:t>
      </w:r>
    </w:p>
    <w:p w:rsidR="00AC0C31" w:rsidRDefault="00AC0C31" w:rsidP="00B24501">
      <w:pPr>
        <w:rPr>
          <w:rFonts w:ascii="Garamond" w:hAnsi="Garamond"/>
          <w:lang w:val="en-AU"/>
        </w:rPr>
      </w:pPr>
    </w:p>
    <w:p w:rsidR="002226F0" w:rsidRDefault="002226F0"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5"/>
      <w:footerReference w:type="default" r:id="rId5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C9" w:rsidRDefault="00B820C9">
      <w:r>
        <w:separator/>
      </w:r>
    </w:p>
  </w:endnote>
  <w:endnote w:type="continuationSeparator" w:id="0">
    <w:p w:rsidR="00B820C9" w:rsidRDefault="00B8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C9" w:rsidRDefault="00B820C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E621E">
      <w:rPr>
        <w:rStyle w:val="PageNumber"/>
        <w:noProof/>
      </w:rPr>
      <w:t>6</w:t>
    </w:r>
    <w:r>
      <w:rPr>
        <w:rStyle w:val="PageNumber"/>
      </w:rPr>
      <w:fldChar w:fldCharType="end"/>
    </w:r>
  </w:p>
  <w:p w:rsidR="00B820C9" w:rsidRPr="001E78F0" w:rsidRDefault="00B820C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48</w:t>
    </w:r>
    <w:r w:rsidR="009746E9">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C9" w:rsidRPr="001E78F0" w:rsidRDefault="00B820C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E621E">
      <w:rPr>
        <w:rStyle w:val="PageNumber"/>
        <w:rFonts w:ascii="Garamond" w:hAnsi="Garamond"/>
        <w:noProof/>
      </w:rPr>
      <w:t>5</w:t>
    </w:r>
    <w:r w:rsidRPr="001E78F0">
      <w:rPr>
        <w:rStyle w:val="PageNumber"/>
        <w:rFonts w:ascii="Garamond" w:hAnsi="Garamond"/>
      </w:rPr>
      <w:fldChar w:fldCharType="end"/>
    </w:r>
  </w:p>
  <w:p w:rsidR="00B820C9" w:rsidRPr="001E78F0" w:rsidRDefault="00B820C9"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A346E">
      <w:rPr>
        <w:rFonts w:ascii="Garamond" w:hAnsi="Garamond"/>
      </w:rPr>
      <w:t xml:space="preserve"> Issue 48</w:t>
    </w:r>
    <w:r w:rsidR="009746E9">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C9" w:rsidRDefault="00B820C9">
      <w:r>
        <w:separator/>
      </w:r>
    </w:p>
  </w:footnote>
  <w:footnote w:type="continuationSeparator" w:id="0">
    <w:p w:rsidR="00B820C9" w:rsidRDefault="00B8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1D0"/>
    <w:multiLevelType w:val="hybridMultilevel"/>
    <w:tmpl w:val="345AA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531289"/>
    <w:multiLevelType w:val="hybridMultilevel"/>
    <w:tmpl w:val="8884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244275"/>
    <w:multiLevelType w:val="hybridMultilevel"/>
    <w:tmpl w:val="CA745D7E"/>
    <w:lvl w:ilvl="0" w:tplc="469A06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688498F"/>
    <w:multiLevelType w:val="hybridMultilevel"/>
    <w:tmpl w:val="8738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C14201"/>
    <w:multiLevelType w:val="hybridMultilevel"/>
    <w:tmpl w:val="E6DC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A41CBB"/>
    <w:multiLevelType w:val="hybridMultilevel"/>
    <w:tmpl w:val="F268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7C4A6E"/>
    <w:multiLevelType w:val="hybridMultilevel"/>
    <w:tmpl w:val="5E32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3144EF"/>
    <w:multiLevelType w:val="hybridMultilevel"/>
    <w:tmpl w:val="9BE2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1E4228"/>
    <w:multiLevelType w:val="hybridMultilevel"/>
    <w:tmpl w:val="93D6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8C6960"/>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C0B44"/>
    <w:multiLevelType w:val="hybridMultilevel"/>
    <w:tmpl w:val="DCFE8D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AA25A5"/>
    <w:multiLevelType w:val="hybridMultilevel"/>
    <w:tmpl w:val="C85E7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644A1A"/>
    <w:multiLevelType w:val="hybridMultilevel"/>
    <w:tmpl w:val="FC96D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09C0006"/>
    <w:multiLevelType w:val="hybridMultilevel"/>
    <w:tmpl w:val="1E2E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9B1F11"/>
    <w:multiLevelType w:val="hybridMultilevel"/>
    <w:tmpl w:val="1F043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55135B"/>
    <w:multiLevelType w:val="hybridMultilevel"/>
    <w:tmpl w:val="7AA48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BF63F5"/>
    <w:multiLevelType w:val="hybridMultilevel"/>
    <w:tmpl w:val="E6864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303EDB"/>
    <w:multiLevelType w:val="hybridMultilevel"/>
    <w:tmpl w:val="0CF2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3320BE"/>
    <w:multiLevelType w:val="hybridMultilevel"/>
    <w:tmpl w:val="9F620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A41C52"/>
    <w:multiLevelType w:val="hybridMultilevel"/>
    <w:tmpl w:val="3F10C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E22F71"/>
    <w:multiLevelType w:val="hybridMultilevel"/>
    <w:tmpl w:val="1BCE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826B3C"/>
    <w:multiLevelType w:val="hybridMultilevel"/>
    <w:tmpl w:val="5BB8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B35831"/>
    <w:multiLevelType w:val="hybridMultilevel"/>
    <w:tmpl w:val="287EC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0F00DE"/>
    <w:multiLevelType w:val="hybridMultilevel"/>
    <w:tmpl w:val="DB6C6E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2147FC"/>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190AB7"/>
    <w:multiLevelType w:val="hybridMultilevel"/>
    <w:tmpl w:val="88C0B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BC053D"/>
    <w:multiLevelType w:val="hybridMultilevel"/>
    <w:tmpl w:val="3A2C3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30"/>
  </w:num>
  <w:num w:numId="15">
    <w:abstractNumId w:val="22"/>
  </w:num>
  <w:num w:numId="16">
    <w:abstractNumId w:val="16"/>
  </w:num>
  <w:num w:numId="17">
    <w:abstractNumId w:val="33"/>
  </w:num>
  <w:num w:numId="18">
    <w:abstractNumId w:val="14"/>
  </w:num>
  <w:num w:numId="19">
    <w:abstractNumId w:val="25"/>
  </w:num>
  <w:num w:numId="20">
    <w:abstractNumId w:val="10"/>
  </w:num>
  <w:num w:numId="21">
    <w:abstractNumId w:val="21"/>
  </w:num>
  <w:num w:numId="22">
    <w:abstractNumId w:val="40"/>
  </w:num>
  <w:num w:numId="23">
    <w:abstractNumId w:val="13"/>
  </w:num>
  <w:num w:numId="24">
    <w:abstractNumId w:val="26"/>
  </w:num>
  <w:num w:numId="25">
    <w:abstractNumId w:val="17"/>
  </w:num>
  <w:num w:numId="26">
    <w:abstractNumId w:val="18"/>
  </w:num>
  <w:num w:numId="27">
    <w:abstractNumId w:val="19"/>
  </w:num>
  <w:num w:numId="28">
    <w:abstractNumId w:val="12"/>
  </w:num>
  <w:num w:numId="29">
    <w:abstractNumId w:val="44"/>
  </w:num>
  <w:num w:numId="30">
    <w:abstractNumId w:val="27"/>
  </w:num>
  <w:num w:numId="31">
    <w:abstractNumId w:val="31"/>
  </w:num>
  <w:num w:numId="32">
    <w:abstractNumId w:val="28"/>
  </w:num>
  <w:num w:numId="33">
    <w:abstractNumId w:val="37"/>
  </w:num>
  <w:num w:numId="34">
    <w:abstractNumId w:val="41"/>
  </w:num>
  <w:num w:numId="35">
    <w:abstractNumId w:val="23"/>
  </w:num>
  <w:num w:numId="36">
    <w:abstractNumId w:val="43"/>
  </w:num>
  <w:num w:numId="37">
    <w:abstractNumId w:val="35"/>
  </w:num>
  <w:num w:numId="38">
    <w:abstractNumId w:val="20"/>
  </w:num>
  <w:num w:numId="39">
    <w:abstractNumId w:val="15"/>
  </w:num>
  <w:num w:numId="40">
    <w:abstractNumId w:val="11"/>
  </w:num>
  <w:num w:numId="41">
    <w:abstractNumId w:val="39"/>
  </w:num>
  <w:num w:numId="42">
    <w:abstractNumId w:val="24"/>
  </w:num>
  <w:num w:numId="43">
    <w:abstractNumId w:val="38"/>
  </w:num>
  <w:num w:numId="44">
    <w:abstractNumId w:val="36"/>
  </w:num>
  <w:num w:numId="45">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0"/>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BF1"/>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0A"/>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1E"/>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9F1"/>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3EF5"/>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360"/>
    <w:rsid w:val="009E55B6"/>
    <w:rsid w:val="009E570F"/>
    <w:rsid w:val="009E5A41"/>
    <w:rsid w:val="009E5C0E"/>
    <w:rsid w:val="009E5DE7"/>
    <w:rsid w:val="009E6132"/>
    <w:rsid w:val="009E615D"/>
    <w:rsid w:val="009E61E2"/>
    <w:rsid w:val="009E66F3"/>
    <w:rsid w:val="009E66FB"/>
    <w:rsid w:val="009E67F4"/>
    <w:rsid w:val="009E6936"/>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D97"/>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A4C"/>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1F6E"/>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www.oecd.org/health/health-systems/Economics-of-Patient-Safety-October-2020.pdf"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hyperlink" Target="https://www.safetyandquality.gov.au/sites/default/files/2020-07/covid-19_and_face_masks_-_information_for_consumers.pdf" TargetMode="External"/><Relationship Id="rId42" Type="http://schemas.openxmlformats.org/officeDocument/2006/relationships/hyperlink" Target="https://doi.org/10.1001/jama.2020.17024" TargetMode="External"/><Relationship Id="rId47" Type="http://schemas.openxmlformats.org/officeDocument/2006/relationships/hyperlink" Target="https://qualitysafety.bmj.com/content/early/recent" TargetMode="External"/><Relationship Id="rId50" Type="http://schemas.openxmlformats.org/officeDocument/2006/relationships/hyperlink" Target="https://covid19evidence.net.au/"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wearing-face-masks-community" TargetMode="External"/><Relationship Id="rId38" Type="http://schemas.openxmlformats.org/officeDocument/2006/relationships/hyperlink" Target="https://www.safetyandquality.gov.au/publications-and-resources/resource-library/antimicrobial-stewardship-australian-health-care-2018" TargetMode="External"/><Relationship Id="rId46" Type="http://schemas.openxmlformats.org/officeDocument/2006/relationships/hyperlink" Target="https://www.longwoods.com/publications/healthcare-quarterly/26331/1/vol.-23-no.-3-2020"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www.safetyandquality.gov.au/our-work/medication-safety" TargetMode="External"/><Relationship Id="rId54" Type="http://schemas.openxmlformats.org/officeDocument/2006/relationships/hyperlink" Target="https://evidence.nih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image" Target="media/image5.png"/><Relationship Id="rId40" Type="http://schemas.openxmlformats.org/officeDocument/2006/relationships/hyperlink" Target="https://www.hsib.org.uk/investigations-cases/high-risk-prescribing-errors-hospital/" TargetMode="External"/><Relationship Id="rId45" Type="http://schemas.openxmlformats.org/officeDocument/2006/relationships/hyperlink" Target="https://journals.sagepub.com/toc/cric/25/5" TargetMode="External"/><Relationship Id="rId53" Type="http://schemas.openxmlformats.org/officeDocument/2006/relationships/hyperlink" Target="https://www.nice.org.uk/guidance/dg4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www.safetyandquality.gov.au/publications-and-resources/resource-library/antimicrobial-stewardship-australian-health-care-2018" TargetMode="External"/><Relationship Id="rId49" Type="http://schemas.openxmlformats.org/officeDocument/2006/relationships/hyperlink" Target="https://www.thecommuniques.com/post/future-leaders-communiqu%C3%A9-volume-5-issue-4-october-2020" TargetMode="External"/><Relationship Id="rId57"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doi.org/10.1001/jama.2020.17534" TargetMode="External"/><Relationship Id="rId52" Type="http://schemas.openxmlformats.org/officeDocument/2006/relationships/hyperlink" Target="https://www.nice.org.uk/guidance"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image" Target="media/image4.png"/><Relationship Id="rId43" Type="http://schemas.openxmlformats.org/officeDocument/2006/relationships/hyperlink" Target="https://doi.org/10.1001/jamainternmed.2020.4001" TargetMode="External"/><Relationship Id="rId48" Type="http://schemas.openxmlformats.org/officeDocument/2006/relationships/hyperlink" Target="https://academic.oup.com/intqhc/advance-articles" TargetMode="External"/><Relationship Id="rId5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aci.health.nsw.gov.au/covid-19/critical-intelligence-uni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F242-37A5-4342-BCF5-E49AC003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11</Pages>
  <Words>4238</Words>
  <Characters>24159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Draft On the Radar Issue 488</vt:lpstr>
    </vt:vector>
  </TitlesOfParts>
  <Company>ACSQHC</Company>
  <LinksUpToDate>false</LinksUpToDate>
  <CharactersWithSpaces>28341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488</dc:title>
  <dc:subject/>
  <dc:creator>Dr Niall Johnson</dc:creator>
  <cp:keywords/>
  <dc:description/>
  <cp:lastModifiedBy>Johnson, Niall</cp:lastModifiedBy>
  <cp:revision>19</cp:revision>
  <cp:lastPrinted>2018-03-02T02:34:00Z</cp:lastPrinted>
  <dcterms:created xsi:type="dcterms:W3CDTF">2020-10-25T21:16:00Z</dcterms:created>
  <dcterms:modified xsi:type="dcterms:W3CDTF">2020-10-30T05:18:00Z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