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CE6115">
        <w:rPr>
          <w:rFonts w:ascii="Garamond" w:hAnsi="Garamond"/>
          <w:lang w:val="en-AU"/>
        </w:rPr>
        <w:t>9</w:t>
      </w:r>
      <w:r w:rsidR="00C106AD">
        <w:rPr>
          <w:rFonts w:ascii="Garamond" w:hAnsi="Garamond"/>
          <w:lang w:val="en-AU"/>
        </w:rPr>
        <w:t>1</w:t>
      </w:r>
    </w:p>
    <w:p w:rsidR="00755242" w:rsidRDefault="00C106AD" w:rsidP="00F738B5">
      <w:pPr>
        <w:rPr>
          <w:rFonts w:ascii="Garamond" w:hAnsi="Garamond"/>
          <w:lang w:val="en-AU"/>
        </w:rPr>
      </w:pPr>
      <w:r>
        <w:rPr>
          <w:rFonts w:ascii="Garamond" w:hAnsi="Garamond"/>
          <w:lang w:val="en-AU"/>
        </w:rPr>
        <w:t>23</w:t>
      </w:r>
      <w:r w:rsidR="00842B29">
        <w:rPr>
          <w:rFonts w:ascii="Garamond" w:hAnsi="Garamond"/>
          <w:lang w:val="en-AU"/>
        </w:rPr>
        <w:t xml:space="preserve"> Novem</w:t>
      </w:r>
      <w:r w:rsidR="00872A09">
        <w:rPr>
          <w:rFonts w:ascii="Garamond" w:hAnsi="Garamond"/>
          <w:lang w:val="en-AU"/>
        </w:rPr>
        <w:t xml:space="preserve">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00180A">
      <w:pPr>
        <w:pStyle w:val="ListParagraph"/>
        <w:numPr>
          <w:ilvl w:val="0"/>
          <w:numId w:val="16"/>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3"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Journal articles</w:t>
      </w:r>
    </w:p>
    <w:p w:rsidR="00E64D82" w:rsidRDefault="00E64D82" w:rsidP="00E34A10">
      <w:pPr>
        <w:keepNext/>
        <w:keepLines/>
        <w:autoSpaceDE w:val="0"/>
        <w:autoSpaceDN w:val="0"/>
        <w:adjustRightInd w:val="0"/>
        <w:rPr>
          <w:rFonts w:ascii="Garamond" w:hAnsi="Garamond"/>
          <w:b/>
          <w:lang w:val="en-AU"/>
        </w:rPr>
      </w:pPr>
    </w:p>
    <w:p w:rsidR="00AD3DC5" w:rsidRPr="00197725" w:rsidRDefault="00197725" w:rsidP="00D6022F">
      <w:pPr>
        <w:keepNext/>
        <w:keepLines/>
        <w:autoSpaceDE w:val="0"/>
        <w:autoSpaceDN w:val="0"/>
        <w:adjustRightInd w:val="0"/>
        <w:rPr>
          <w:rFonts w:ascii="Garamond" w:hAnsi="Garamond"/>
          <w:i/>
          <w:lang w:val="en-AU"/>
        </w:rPr>
      </w:pPr>
      <w:r w:rsidRPr="00197725">
        <w:rPr>
          <w:rFonts w:ascii="Garamond" w:hAnsi="Garamond"/>
          <w:i/>
          <w:lang w:val="en-AU"/>
        </w:rPr>
        <w:t>Incidence, nature and causes of avoidable significant harm in primary care in England: retrospective case note review</w:t>
      </w:r>
    </w:p>
    <w:p w:rsidR="00E54FBA" w:rsidRDefault="00E54FBA" w:rsidP="00D6022F">
      <w:pPr>
        <w:keepNext/>
        <w:keepLines/>
        <w:autoSpaceDE w:val="0"/>
        <w:autoSpaceDN w:val="0"/>
        <w:adjustRightInd w:val="0"/>
        <w:rPr>
          <w:rFonts w:ascii="Garamond" w:hAnsi="Garamond"/>
          <w:lang w:val="en-AU"/>
        </w:rPr>
      </w:pPr>
      <w:r w:rsidRPr="00E54FBA">
        <w:rPr>
          <w:rFonts w:ascii="Garamond" w:hAnsi="Garamond"/>
          <w:lang w:val="en-AU"/>
        </w:rPr>
        <w:t>Avery AJ, Sheehan C, Bell B, Armstrong S, Ashcroft DM, Boyd MJ, et al</w:t>
      </w:r>
    </w:p>
    <w:p w:rsidR="00197725" w:rsidRDefault="00E54FBA" w:rsidP="00D6022F">
      <w:pPr>
        <w:keepNext/>
        <w:keepLines/>
        <w:autoSpaceDE w:val="0"/>
        <w:autoSpaceDN w:val="0"/>
        <w:adjustRightInd w:val="0"/>
        <w:rPr>
          <w:rFonts w:ascii="Garamond" w:hAnsi="Garamond"/>
          <w:lang w:val="en-AU"/>
        </w:rPr>
      </w:pPr>
      <w:r w:rsidRPr="00E54FBA">
        <w:rPr>
          <w:rFonts w:ascii="Garamond" w:hAnsi="Garamond"/>
          <w:lang w:val="en-AU"/>
        </w:rPr>
        <w:t>BMJ Quality &amp; Safety. 2020</w:t>
      </w:r>
      <w:r w:rsidR="001971FA">
        <w:rPr>
          <w:rFonts w:ascii="Garamond" w:hAnsi="Garamond"/>
          <w:lang w:val="en-AU"/>
        </w:rPr>
        <w:t xml:space="preserve"> [epub]</w:t>
      </w:r>
      <w:r w:rsidRPr="00E54FBA">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81E33"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D6107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3DC5" w:rsidRPr="000170DA" w:rsidRDefault="00B560CE" w:rsidP="00AD3DC5">
            <w:pPr>
              <w:keepNext/>
              <w:rPr>
                <w:rStyle w:val="Hyperlink"/>
                <w:rFonts w:ascii="Garamond" w:hAnsi="Garamond"/>
                <w:color w:val="auto"/>
                <w:u w:val="none"/>
                <w:lang w:val="en-AU"/>
              </w:rPr>
            </w:pPr>
            <w:hyperlink r:id="rId36" w:history="1">
              <w:r w:rsidR="00E54FBA" w:rsidRPr="000E3527">
                <w:rPr>
                  <w:rStyle w:val="Hyperlink"/>
                  <w:rFonts w:ascii="Garamond" w:hAnsi="Garamond"/>
                  <w:lang w:val="en-AU"/>
                </w:rPr>
                <w:t>https://doi.org/10.1136/bmjqs-2020-011405</w:t>
              </w:r>
            </w:hyperlink>
          </w:p>
        </w:tc>
      </w:tr>
      <w:tr w:rsidR="00B81E33"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107A" w:rsidRDefault="001A7EA3" w:rsidP="001A7EA3">
            <w:pPr>
              <w:rPr>
                <w:rFonts w:ascii="Garamond" w:hAnsi="Garamond"/>
                <w:lang w:val="en-AU"/>
              </w:rPr>
            </w:pPr>
            <w:r>
              <w:rPr>
                <w:rFonts w:ascii="Garamond" w:hAnsi="Garamond"/>
                <w:lang w:val="en-AU"/>
              </w:rPr>
              <w:t xml:space="preserve">The true extent of patient safety issues in primary care is something of an unknown. This study sought to </w:t>
            </w:r>
            <w:r w:rsidRPr="001A7EA3">
              <w:rPr>
                <w:rFonts w:ascii="Garamond" w:hAnsi="Garamond"/>
                <w:lang w:val="en-AU"/>
              </w:rPr>
              <w:t>estimate the incidence of avoidable significant harm in primary care in England</w:t>
            </w:r>
            <w:r>
              <w:rPr>
                <w:rFonts w:ascii="Garamond" w:hAnsi="Garamond"/>
                <w:lang w:val="en-AU"/>
              </w:rPr>
              <w:t>. This was a r</w:t>
            </w:r>
            <w:r w:rsidRPr="001A7EA3">
              <w:rPr>
                <w:rFonts w:ascii="Garamond" w:hAnsi="Garamond"/>
                <w:lang w:val="en-AU"/>
              </w:rPr>
              <w:t>etrospective case note review</w:t>
            </w:r>
            <w:r>
              <w:rPr>
                <w:rFonts w:ascii="Garamond" w:hAnsi="Garamond"/>
                <w:lang w:val="en-AU"/>
              </w:rPr>
              <w:t xml:space="preserve"> </w:t>
            </w:r>
            <w:r w:rsidRPr="001A7EA3">
              <w:rPr>
                <w:rFonts w:ascii="Garamond" w:hAnsi="Garamond"/>
                <w:lang w:val="en-AU"/>
              </w:rPr>
              <w:t xml:space="preserve">of a sample of 14 407 primary care patients registered with 12 randomly selected general practices from three regions in England </w:t>
            </w:r>
            <w:r>
              <w:rPr>
                <w:rFonts w:ascii="Garamond" w:hAnsi="Garamond"/>
                <w:lang w:val="en-AU"/>
              </w:rPr>
              <w:t xml:space="preserve">hat was undertaken by 13 </w:t>
            </w:r>
            <w:r w:rsidRPr="001A7EA3">
              <w:rPr>
                <w:rFonts w:ascii="Garamond" w:hAnsi="Garamond"/>
                <w:lang w:val="en-AU"/>
              </w:rPr>
              <w:t>general practitioners (GPs)</w:t>
            </w:r>
            <w:r>
              <w:rPr>
                <w:rFonts w:ascii="Garamond" w:hAnsi="Garamond"/>
                <w:lang w:val="en-AU"/>
              </w:rPr>
              <w:t>. The reviewers identified p</w:t>
            </w:r>
            <w:r w:rsidRPr="001A7EA3">
              <w:rPr>
                <w:rFonts w:ascii="Garamond" w:hAnsi="Garamond"/>
                <w:lang w:val="en-AU"/>
              </w:rPr>
              <w:t>atients with significant health problems and clinical judgements were made on avoidability and severity of harm. Factors contributing to avoidable harm were identified and recorded.</w:t>
            </w:r>
          </w:p>
          <w:p w:rsidR="001A7EA3" w:rsidRDefault="001A7EA3" w:rsidP="001A7EA3">
            <w:pPr>
              <w:rPr>
                <w:rFonts w:ascii="Garamond" w:hAnsi="Garamond"/>
                <w:lang w:val="en-AU"/>
              </w:rPr>
            </w:pPr>
            <w:r>
              <w:rPr>
                <w:rFonts w:ascii="Garamond" w:hAnsi="Garamond"/>
                <w:lang w:val="en-AU"/>
              </w:rPr>
              <w:t>The review found:</w:t>
            </w:r>
          </w:p>
          <w:p w:rsidR="001A7EA3" w:rsidRDefault="001A7EA3" w:rsidP="001A7EA3">
            <w:pPr>
              <w:pStyle w:val="ListParagraph"/>
              <w:numPr>
                <w:ilvl w:val="0"/>
                <w:numId w:val="20"/>
              </w:numPr>
              <w:rPr>
                <w:rFonts w:ascii="Garamond" w:hAnsi="Garamond"/>
                <w:lang w:val="en-AU"/>
              </w:rPr>
            </w:pPr>
            <w:r w:rsidRPr="001A7EA3">
              <w:rPr>
                <w:rFonts w:ascii="Garamond" w:hAnsi="Garamond"/>
                <w:lang w:val="en-AU"/>
              </w:rPr>
              <w:t>74 cases of avoidable harm were d</w:t>
            </w:r>
            <w:r>
              <w:rPr>
                <w:rFonts w:ascii="Garamond" w:hAnsi="Garamond"/>
                <w:lang w:val="en-AU"/>
              </w:rPr>
              <w:t>etected, involving 72 patients (from the 14 407 patients in the sample).</w:t>
            </w:r>
          </w:p>
          <w:p w:rsidR="001A7EA3" w:rsidRDefault="001A7EA3" w:rsidP="001A7EA3">
            <w:pPr>
              <w:pStyle w:val="ListParagraph"/>
              <w:numPr>
                <w:ilvl w:val="0"/>
                <w:numId w:val="20"/>
              </w:numPr>
              <w:rPr>
                <w:rFonts w:ascii="Garamond" w:hAnsi="Garamond"/>
                <w:lang w:val="en-AU"/>
              </w:rPr>
            </w:pPr>
            <w:r w:rsidRPr="001A7EA3">
              <w:rPr>
                <w:rFonts w:ascii="Garamond" w:hAnsi="Garamond"/>
                <w:lang w:val="en-AU"/>
              </w:rPr>
              <w:t>The rate of significant harm considered at least probably avoidable was 35.6 (95% CI 23.3 to 48.0) per 100 000 patient-years (57.9, 95% CI 42.2 to 73.7, per 100 000 based on a sensitivity analysis).</w:t>
            </w:r>
          </w:p>
          <w:p w:rsidR="001A7EA3" w:rsidRDefault="001A7EA3" w:rsidP="001A7EA3">
            <w:pPr>
              <w:pStyle w:val="ListParagraph"/>
              <w:numPr>
                <w:ilvl w:val="0"/>
                <w:numId w:val="20"/>
              </w:numPr>
              <w:rPr>
                <w:rFonts w:ascii="Garamond" w:hAnsi="Garamond"/>
                <w:lang w:val="en-AU"/>
              </w:rPr>
            </w:pPr>
            <w:r w:rsidRPr="001A7EA3">
              <w:rPr>
                <w:rFonts w:ascii="Garamond" w:hAnsi="Garamond"/>
                <w:lang w:val="en-AU"/>
              </w:rPr>
              <w:t xml:space="preserve">Three types of incident accounted for more than 90% of the problems: problems with </w:t>
            </w:r>
            <w:r w:rsidRPr="001A7EA3">
              <w:rPr>
                <w:rFonts w:ascii="Garamond" w:hAnsi="Garamond"/>
                <w:b/>
                <w:lang w:val="en-AU"/>
              </w:rPr>
              <w:t>diagnosis</w:t>
            </w:r>
            <w:r w:rsidRPr="001A7EA3">
              <w:rPr>
                <w:rFonts w:ascii="Garamond" w:hAnsi="Garamond"/>
                <w:lang w:val="en-AU"/>
              </w:rPr>
              <w:t xml:space="preserve"> accounted for 45/74 (60.8%) primary incidents, followed by </w:t>
            </w:r>
            <w:r w:rsidRPr="001A7EA3">
              <w:rPr>
                <w:rFonts w:ascii="Garamond" w:hAnsi="Garamond"/>
                <w:b/>
                <w:lang w:val="en-AU"/>
              </w:rPr>
              <w:t>medication-related</w:t>
            </w:r>
            <w:r w:rsidRPr="001A7EA3">
              <w:rPr>
                <w:rFonts w:ascii="Garamond" w:hAnsi="Garamond"/>
                <w:lang w:val="en-AU"/>
              </w:rPr>
              <w:t xml:space="preserve"> problems (n=19, 25.7%) and </w:t>
            </w:r>
            <w:r w:rsidRPr="001A7EA3">
              <w:rPr>
                <w:rFonts w:ascii="Garamond" w:hAnsi="Garamond"/>
                <w:b/>
                <w:lang w:val="en-AU"/>
              </w:rPr>
              <w:t>delayed referrals</w:t>
            </w:r>
            <w:r w:rsidRPr="001A7EA3">
              <w:rPr>
                <w:rFonts w:ascii="Garamond" w:hAnsi="Garamond"/>
                <w:lang w:val="en-AU"/>
              </w:rPr>
              <w:t xml:space="preserve"> (n=8, 10.8%).</w:t>
            </w:r>
          </w:p>
          <w:p w:rsidR="001A7EA3" w:rsidRDefault="001A7EA3" w:rsidP="001A7EA3">
            <w:pPr>
              <w:pStyle w:val="ListParagraph"/>
              <w:numPr>
                <w:ilvl w:val="0"/>
                <w:numId w:val="20"/>
              </w:numPr>
              <w:rPr>
                <w:rFonts w:ascii="Garamond" w:hAnsi="Garamond"/>
                <w:lang w:val="en-AU"/>
              </w:rPr>
            </w:pPr>
            <w:r w:rsidRPr="001A7EA3">
              <w:rPr>
                <w:rFonts w:ascii="Garamond" w:hAnsi="Garamond"/>
                <w:lang w:val="en-AU"/>
              </w:rPr>
              <w:t>In 59 (79.7%) cases, the significant harm could have been identified sooner (n=48) or prevented (n=11) if the GP had taken actions aligned with evidence-based guidelines.</w:t>
            </w:r>
          </w:p>
          <w:p w:rsidR="001A7EA3" w:rsidRPr="001A7EA3" w:rsidRDefault="001A7EA3" w:rsidP="001A7EA3">
            <w:pPr>
              <w:rPr>
                <w:rFonts w:ascii="Garamond" w:hAnsi="Garamond"/>
                <w:lang w:val="en-AU"/>
              </w:rPr>
            </w:pPr>
            <w:r>
              <w:rPr>
                <w:rFonts w:ascii="Garamond" w:hAnsi="Garamond"/>
                <w:lang w:val="en-AU"/>
              </w:rPr>
              <w:t>The authors suggest that ‘</w:t>
            </w:r>
            <w:r w:rsidRPr="001A7EA3">
              <w:rPr>
                <w:rFonts w:ascii="Garamond" w:hAnsi="Garamond"/>
                <w:lang w:val="en-AU"/>
              </w:rPr>
              <w:t xml:space="preserve">improvements could be made through more effective implementation of existing </w:t>
            </w:r>
            <w:r w:rsidRPr="001A7EA3">
              <w:rPr>
                <w:rFonts w:ascii="Garamond" w:hAnsi="Garamond"/>
                <w:b/>
                <w:lang w:val="en-AU"/>
              </w:rPr>
              <w:t>information technology</w:t>
            </w:r>
            <w:r w:rsidRPr="001A7EA3">
              <w:rPr>
                <w:rFonts w:ascii="Garamond" w:hAnsi="Garamond"/>
                <w:lang w:val="en-AU"/>
              </w:rPr>
              <w:t xml:space="preserve">, enhanced </w:t>
            </w:r>
            <w:r w:rsidRPr="001A7EA3">
              <w:rPr>
                <w:rFonts w:ascii="Garamond" w:hAnsi="Garamond"/>
                <w:b/>
                <w:lang w:val="en-AU"/>
              </w:rPr>
              <w:t>team coordination and communication</w:t>
            </w:r>
            <w:r w:rsidRPr="001A7EA3">
              <w:rPr>
                <w:rFonts w:ascii="Garamond" w:hAnsi="Garamond"/>
                <w:lang w:val="en-AU"/>
              </w:rPr>
              <w:t xml:space="preserve">, and greater personal and informational </w:t>
            </w:r>
            <w:r w:rsidRPr="001A7EA3">
              <w:rPr>
                <w:rFonts w:ascii="Garamond" w:hAnsi="Garamond"/>
                <w:b/>
                <w:lang w:val="en-AU"/>
              </w:rPr>
              <w:t>continuity of care</w:t>
            </w:r>
            <w:r w:rsidRPr="001A7EA3">
              <w:rPr>
                <w:rFonts w:ascii="Garamond" w:hAnsi="Garamond"/>
                <w:lang w:val="en-AU"/>
              </w:rPr>
              <w:t>.</w:t>
            </w:r>
            <w:r>
              <w:rPr>
                <w:rFonts w:ascii="Garamond" w:hAnsi="Garamond"/>
                <w:lang w:val="en-AU"/>
              </w:rPr>
              <w:t>’</w:t>
            </w:r>
          </w:p>
        </w:tc>
      </w:tr>
    </w:tbl>
    <w:p w:rsidR="00842B29" w:rsidRDefault="00842B29" w:rsidP="008318B8">
      <w:pPr>
        <w:keepNext/>
        <w:keepLines/>
        <w:autoSpaceDE w:val="0"/>
        <w:autoSpaceDN w:val="0"/>
        <w:adjustRightInd w:val="0"/>
        <w:rPr>
          <w:rFonts w:ascii="Garamond" w:hAnsi="Garamond"/>
          <w:i/>
          <w:lang w:val="en-AU"/>
        </w:rPr>
      </w:pPr>
    </w:p>
    <w:p w:rsidR="00C106AD" w:rsidRDefault="001A7EA3" w:rsidP="00C106AD">
      <w:pPr>
        <w:keepNext/>
        <w:keepLines/>
        <w:autoSpaceDE w:val="0"/>
        <w:autoSpaceDN w:val="0"/>
        <w:adjustRightInd w:val="0"/>
        <w:rPr>
          <w:rFonts w:ascii="Garamond" w:hAnsi="Garamond"/>
          <w:lang w:val="en-AU"/>
        </w:rPr>
      </w:pPr>
      <w:r w:rsidRPr="00481C35">
        <w:rPr>
          <w:rFonts w:ascii="Garamond" w:hAnsi="Garamond"/>
          <w:lang w:val="en-AU"/>
        </w:rPr>
        <w:t xml:space="preserve">For information on the Commission’s work on </w:t>
      </w:r>
      <w:r>
        <w:rPr>
          <w:rFonts w:ascii="Garamond" w:hAnsi="Garamond"/>
          <w:lang w:val="en-AU"/>
        </w:rPr>
        <w:t xml:space="preserve">primary health care, see </w:t>
      </w:r>
      <w:hyperlink r:id="rId37" w:history="1">
        <w:r w:rsidRPr="00113F2B">
          <w:rPr>
            <w:rStyle w:val="Hyperlink"/>
            <w:rFonts w:ascii="Garamond" w:hAnsi="Garamond"/>
            <w:lang w:val="en-AU"/>
          </w:rPr>
          <w:t>https://www.safetyandquality.gov.au/our-work/primary-health-care</w:t>
        </w:r>
      </w:hyperlink>
    </w:p>
    <w:p w:rsidR="001A7EA3" w:rsidRDefault="001A7EA3" w:rsidP="00C106AD">
      <w:pPr>
        <w:keepNext/>
        <w:keepLines/>
        <w:autoSpaceDE w:val="0"/>
        <w:autoSpaceDN w:val="0"/>
        <w:adjustRightInd w:val="0"/>
        <w:rPr>
          <w:rFonts w:ascii="Garamond" w:hAnsi="Garamond"/>
          <w:lang w:val="en-AU"/>
        </w:rPr>
      </w:pPr>
    </w:p>
    <w:p w:rsidR="001A7EA3" w:rsidRPr="00810F30" w:rsidRDefault="00810F30" w:rsidP="00810F30">
      <w:pPr>
        <w:keepNext/>
        <w:keepLines/>
        <w:autoSpaceDE w:val="0"/>
        <w:autoSpaceDN w:val="0"/>
        <w:adjustRightInd w:val="0"/>
        <w:rPr>
          <w:rFonts w:ascii="Garamond" w:hAnsi="Garamond"/>
          <w:i/>
          <w:lang w:val="en-AU"/>
        </w:rPr>
      </w:pPr>
      <w:r w:rsidRPr="00810F30">
        <w:rPr>
          <w:rFonts w:ascii="Garamond" w:hAnsi="Garamond"/>
          <w:i/>
          <w:lang w:val="en-AU"/>
        </w:rPr>
        <w:t>Evaluation of a Patient-Centered Fall-Prevention Tool Kit to Reduce Falls and Injuries</w:t>
      </w:r>
      <w:r>
        <w:rPr>
          <w:rFonts w:ascii="Garamond" w:hAnsi="Garamond"/>
          <w:i/>
          <w:lang w:val="en-AU"/>
        </w:rPr>
        <w:t xml:space="preserve">: </w:t>
      </w:r>
      <w:r w:rsidRPr="00810F30">
        <w:rPr>
          <w:rFonts w:ascii="Garamond" w:hAnsi="Garamond"/>
          <w:i/>
          <w:lang w:val="en-AU"/>
        </w:rPr>
        <w:t>A Nonrandomized Controlled Trial</w:t>
      </w:r>
    </w:p>
    <w:p w:rsidR="00810F30" w:rsidRDefault="00810F30" w:rsidP="00810F30">
      <w:pPr>
        <w:keepNext/>
        <w:keepLines/>
        <w:autoSpaceDE w:val="0"/>
        <w:autoSpaceDN w:val="0"/>
        <w:adjustRightInd w:val="0"/>
        <w:rPr>
          <w:rFonts w:ascii="Garamond" w:hAnsi="Garamond"/>
          <w:lang w:val="en-AU"/>
        </w:rPr>
      </w:pPr>
      <w:r w:rsidRPr="00810F30">
        <w:rPr>
          <w:rFonts w:ascii="Garamond" w:hAnsi="Garamond"/>
          <w:lang w:val="en-AU"/>
        </w:rPr>
        <w:t>Dykes PC, Burns Z, Adelman J, Benneyan J, Bogaisky M, Carter E, et al</w:t>
      </w:r>
    </w:p>
    <w:p w:rsidR="00810F30" w:rsidRDefault="00810F30" w:rsidP="00810F30">
      <w:pPr>
        <w:keepNext/>
        <w:keepLines/>
        <w:autoSpaceDE w:val="0"/>
        <w:autoSpaceDN w:val="0"/>
        <w:adjustRightInd w:val="0"/>
        <w:rPr>
          <w:rFonts w:ascii="Garamond" w:hAnsi="Garamond"/>
          <w:lang w:val="en-AU"/>
        </w:rPr>
      </w:pPr>
      <w:r w:rsidRPr="00810F30">
        <w:rPr>
          <w:rFonts w:ascii="Garamond" w:hAnsi="Garamond"/>
          <w:lang w:val="en-AU"/>
        </w:rPr>
        <w:t>JAMA Network Open. 2020;3(11):e2025889-e2025889.</w:t>
      </w:r>
    </w:p>
    <w:tbl>
      <w:tblPr>
        <w:tblStyle w:val="TableGrid"/>
        <w:tblW w:w="9360" w:type="dxa"/>
        <w:tblInd w:w="288" w:type="dxa"/>
        <w:tblLayout w:type="fixed"/>
        <w:tblLook w:val="01E0" w:firstRow="1" w:lastRow="1" w:firstColumn="1" w:lastColumn="1" w:noHBand="0" w:noVBand="0"/>
      </w:tblPr>
      <w:tblGrid>
        <w:gridCol w:w="1080"/>
        <w:gridCol w:w="8280"/>
      </w:tblGrid>
      <w:tr w:rsidR="00C106AD" w:rsidRPr="000170DA" w:rsidTr="00211365">
        <w:tc>
          <w:tcPr>
            <w:tcW w:w="1080" w:type="dxa"/>
            <w:tcBorders>
              <w:top w:val="single" w:sz="4" w:space="0" w:color="auto"/>
              <w:left w:val="single" w:sz="4" w:space="0" w:color="auto"/>
              <w:bottom w:val="single" w:sz="4" w:space="0" w:color="auto"/>
              <w:right w:val="single" w:sz="4" w:space="0" w:color="auto"/>
            </w:tcBorders>
            <w:vAlign w:val="center"/>
          </w:tcPr>
          <w:p w:rsidR="00C106AD" w:rsidRPr="000170DA" w:rsidRDefault="00C106AD" w:rsidP="0021136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106AD" w:rsidRPr="000170DA" w:rsidRDefault="00810F30" w:rsidP="00211365">
            <w:pPr>
              <w:keepNext/>
              <w:rPr>
                <w:rStyle w:val="Hyperlink"/>
                <w:rFonts w:ascii="Garamond" w:hAnsi="Garamond"/>
                <w:color w:val="auto"/>
                <w:u w:val="none"/>
                <w:lang w:val="en-AU"/>
              </w:rPr>
            </w:pPr>
            <w:hyperlink r:id="rId38" w:history="1">
              <w:r w:rsidRPr="00387566">
                <w:rPr>
                  <w:rStyle w:val="Hyperlink"/>
                  <w:rFonts w:ascii="Garamond" w:hAnsi="Garamond"/>
                  <w:lang w:val="en-AU"/>
                </w:rPr>
                <w:t>https://doi.org/10.1001/jamanetworkopen.2020.25889</w:t>
              </w:r>
            </w:hyperlink>
          </w:p>
        </w:tc>
      </w:tr>
      <w:tr w:rsidR="00C106AD" w:rsidRPr="000170DA" w:rsidTr="00211365">
        <w:tc>
          <w:tcPr>
            <w:tcW w:w="1080" w:type="dxa"/>
            <w:tcBorders>
              <w:top w:val="single" w:sz="4" w:space="0" w:color="auto"/>
              <w:left w:val="single" w:sz="4" w:space="0" w:color="auto"/>
              <w:bottom w:val="single" w:sz="4" w:space="0" w:color="auto"/>
              <w:right w:val="single" w:sz="4" w:space="0" w:color="auto"/>
            </w:tcBorders>
            <w:vAlign w:val="center"/>
          </w:tcPr>
          <w:p w:rsidR="00C106AD" w:rsidRPr="000170DA" w:rsidRDefault="00C106AD" w:rsidP="0021136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106AD" w:rsidRPr="005748EE" w:rsidRDefault="00810F30" w:rsidP="009F0D34">
            <w:pPr>
              <w:rPr>
                <w:rFonts w:ascii="Garamond" w:hAnsi="Garamond"/>
                <w:lang w:val="en-AU"/>
              </w:rPr>
            </w:pPr>
            <w:r w:rsidRPr="00810F30">
              <w:rPr>
                <w:rFonts w:ascii="Garamond" w:hAnsi="Garamond"/>
                <w:lang w:val="en-AU"/>
              </w:rPr>
              <w:t>Falls remain a major safety and quality risk in health service organisations. Falls prevention and harm minimisation plans based on best practice and evidence can improve patient outcomes.</w:t>
            </w:r>
            <w:r>
              <w:rPr>
                <w:rFonts w:ascii="Garamond" w:hAnsi="Garamond"/>
                <w:lang w:val="en-AU"/>
              </w:rPr>
              <w:t xml:space="preserve"> This study reports on the </w:t>
            </w:r>
            <w:r w:rsidR="009F0D34">
              <w:rPr>
                <w:rFonts w:ascii="Garamond" w:hAnsi="Garamond"/>
                <w:lang w:val="en-AU"/>
              </w:rPr>
              <w:t xml:space="preserve">implementation of a </w:t>
            </w:r>
            <w:r w:rsidR="009F0D34" w:rsidRPr="009F0D34">
              <w:rPr>
                <w:rFonts w:ascii="Garamond" w:hAnsi="Garamond"/>
                <w:lang w:val="en-AU"/>
              </w:rPr>
              <w:t>nurse-led fall-prevention tool kit</w:t>
            </w:r>
            <w:r w:rsidR="009F0D34">
              <w:rPr>
                <w:rFonts w:ascii="Garamond" w:hAnsi="Garamond"/>
                <w:lang w:val="en-AU"/>
              </w:rPr>
              <w:t xml:space="preserve"> in </w:t>
            </w:r>
            <w:r w:rsidR="009F0D34" w:rsidRPr="009F0D34">
              <w:rPr>
                <w:rFonts w:ascii="Garamond" w:hAnsi="Garamond"/>
                <w:lang w:val="en-AU"/>
              </w:rPr>
              <w:t xml:space="preserve">n 14 medical units within 3 </w:t>
            </w:r>
            <w:r w:rsidR="009F0D34">
              <w:rPr>
                <w:rFonts w:ascii="Garamond" w:hAnsi="Garamond"/>
                <w:lang w:val="en-AU"/>
              </w:rPr>
              <w:t>hospitals in the USA that involved 37,231 patients over 3 years. The authors report that ‘</w:t>
            </w:r>
            <w:r w:rsidR="009F0D34" w:rsidRPr="009F0D34">
              <w:rPr>
                <w:rFonts w:ascii="Garamond" w:hAnsi="Garamond"/>
                <w:lang w:val="en-AU"/>
              </w:rPr>
              <w:t>implementation of a fall-prevention tool kit was associated with a statistically significant 15% reduction in overall inpatient falls and a 34% reduction in injurious falls.</w:t>
            </w:r>
            <w:r w:rsidR="009F0D34">
              <w:rPr>
                <w:rFonts w:ascii="Garamond" w:hAnsi="Garamond"/>
                <w:lang w:val="en-AU"/>
              </w:rPr>
              <w:t>’</w:t>
            </w:r>
          </w:p>
        </w:tc>
      </w:tr>
    </w:tbl>
    <w:p w:rsidR="00810F30" w:rsidRDefault="00810F30" w:rsidP="00C106AD">
      <w:pPr>
        <w:keepNext/>
        <w:keepLines/>
        <w:autoSpaceDE w:val="0"/>
        <w:autoSpaceDN w:val="0"/>
        <w:adjustRightInd w:val="0"/>
        <w:rPr>
          <w:rFonts w:ascii="Garamond" w:hAnsi="Garamond"/>
          <w:lang w:val="en-AU"/>
        </w:rPr>
      </w:pPr>
      <w:r w:rsidRPr="00481C35">
        <w:rPr>
          <w:rFonts w:ascii="Garamond" w:hAnsi="Garamond"/>
          <w:lang w:val="en-AU"/>
        </w:rPr>
        <w:lastRenderedPageBreak/>
        <w:t xml:space="preserve">For information on the Commission’s work on </w:t>
      </w:r>
      <w:r>
        <w:rPr>
          <w:rFonts w:ascii="Garamond" w:hAnsi="Garamond"/>
          <w:lang w:val="en-AU"/>
        </w:rPr>
        <w:t>falls prevention</w:t>
      </w:r>
      <w:r>
        <w:rPr>
          <w:rFonts w:ascii="Garamond" w:hAnsi="Garamond"/>
          <w:lang w:val="en-AU"/>
        </w:rPr>
        <w:t xml:space="preserve">, see </w:t>
      </w:r>
      <w:hyperlink r:id="rId39" w:history="1">
        <w:r w:rsidRPr="00387566">
          <w:rPr>
            <w:rStyle w:val="Hyperlink"/>
            <w:rFonts w:ascii="Garamond" w:hAnsi="Garamond"/>
            <w:lang w:val="en-AU"/>
          </w:rPr>
          <w:t>https://www.safetyandquality.gov.au/our-work/comprehensive-care/related-topics/falls-prevention</w:t>
        </w:r>
      </w:hyperlink>
    </w:p>
    <w:p w:rsidR="00C106AD" w:rsidRDefault="00C106AD" w:rsidP="00C106AD">
      <w:pPr>
        <w:keepNext/>
        <w:keepLines/>
        <w:autoSpaceDE w:val="0"/>
        <w:autoSpaceDN w:val="0"/>
        <w:adjustRightInd w:val="0"/>
        <w:rPr>
          <w:rFonts w:ascii="Garamond" w:hAnsi="Garamond"/>
          <w:lang w:val="en-AU"/>
        </w:rPr>
      </w:pPr>
    </w:p>
    <w:p w:rsidR="00D61DC0" w:rsidRPr="00D61DC0" w:rsidRDefault="00D61DC0" w:rsidP="00D61DC0">
      <w:pPr>
        <w:keepNext/>
        <w:keepLines/>
        <w:autoSpaceDE w:val="0"/>
        <w:autoSpaceDN w:val="0"/>
        <w:adjustRightInd w:val="0"/>
        <w:rPr>
          <w:rFonts w:ascii="Garamond" w:hAnsi="Garamond"/>
          <w:i/>
          <w:lang w:val="en-AU"/>
        </w:rPr>
      </w:pPr>
      <w:r w:rsidRPr="00D61DC0">
        <w:rPr>
          <w:rFonts w:ascii="Garamond" w:hAnsi="Garamond"/>
          <w:i/>
          <w:lang w:val="en-AU"/>
        </w:rPr>
        <w:t>Speaking truth to power: why leaders cannot hear what they need to hear</w:t>
      </w:r>
    </w:p>
    <w:p w:rsidR="00D61DC0" w:rsidRDefault="00D61DC0" w:rsidP="00C106AD">
      <w:pPr>
        <w:keepNext/>
        <w:keepLines/>
        <w:autoSpaceDE w:val="0"/>
        <w:autoSpaceDN w:val="0"/>
        <w:adjustRightInd w:val="0"/>
        <w:rPr>
          <w:rFonts w:ascii="Garamond" w:hAnsi="Garamond"/>
          <w:lang w:val="en-AU"/>
        </w:rPr>
      </w:pPr>
      <w:r w:rsidRPr="00D61DC0">
        <w:rPr>
          <w:rFonts w:ascii="Garamond" w:hAnsi="Garamond"/>
          <w:lang w:val="en-AU"/>
        </w:rPr>
        <w:t>Reitz M, Higgins J</w:t>
      </w:r>
    </w:p>
    <w:p w:rsidR="00810F30" w:rsidRDefault="00D61DC0" w:rsidP="00C106AD">
      <w:pPr>
        <w:keepNext/>
        <w:keepLines/>
        <w:autoSpaceDE w:val="0"/>
        <w:autoSpaceDN w:val="0"/>
        <w:adjustRightInd w:val="0"/>
        <w:rPr>
          <w:rFonts w:ascii="Garamond" w:hAnsi="Garamond"/>
          <w:lang w:val="en-AU"/>
        </w:rPr>
      </w:pPr>
      <w:r w:rsidRPr="00D61DC0">
        <w:rPr>
          <w:rFonts w:ascii="Garamond" w:hAnsi="Garamond"/>
          <w:lang w:val="en-AU"/>
        </w:rPr>
        <w:t>BMJ Leader. 2020</w:t>
      </w:r>
      <w:r>
        <w:rPr>
          <w:rFonts w:ascii="Garamond" w:hAnsi="Garamond"/>
          <w:lang w:val="en-AU"/>
        </w:rPr>
        <w:t xml:space="preserve"> </w:t>
      </w:r>
      <w:r w:rsidR="00B560CE">
        <w:rPr>
          <w:rFonts w:ascii="Garamond" w:hAnsi="Garamond"/>
          <w:lang w:val="en-AU"/>
        </w:rPr>
        <w:t>[</w:t>
      </w:r>
      <w:r>
        <w:rPr>
          <w:rFonts w:ascii="Garamond" w:hAnsi="Garamond"/>
          <w:lang w:val="en-AU"/>
        </w:rPr>
        <w:t>epub]</w:t>
      </w:r>
    </w:p>
    <w:tbl>
      <w:tblPr>
        <w:tblStyle w:val="TableGrid"/>
        <w:tblW w:w="9360" w:type="dxa"/>
        <w:tblInd w:w="288" w:type="dxa"/>
        <w:tblLayout w:type="fixed"/>
        <w:tblLook w:val="01E0" w:firstRow="1" w:lastRow="1" w:firstColumn="1" w:lastColumn="1" w:noHBand="0" w:noVBand="0"/>
      </w:tblPr>
      <w:tblGrid>
        <w:gridCol w:w="1080"/>
        <w:gridCol w:w="8280"/>
      </w:tblGrid>
      <w:tr w:rsidR="00C106AD" w:rsidRPr="000170DA" w:rsidTr="00211365">
        <w:tc>
          <w:tcPr>
            <w:tcW w:w="1080" w:type="dxa"/>
            <w:tcBorders>
              <w:top w:val="single" w:sz="4" w:space="0" w:color="auto"/>
              <w:left w:val="single" w:sz="4" w:space="0" w:color="auto"/>
              <w:bottom w:val="single" w:sz="4" w:space="0" w:color="auto"/>
              <w:right w:val="single" w:sz="4" w:space="0" w:color="auto"/>
            </w:tcBorders>
            <w:vAlign w:val="center"/>
          </w:tcPr>
          <w:p w:rsidR="00C106AD" w:rsidRPr="000170DA" w:rsidRDefault="00C106AD" w:rsidP="0021136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106AD" w:rsidRPr="000170DA" w:rsidRDefault="00D61DC0" w:rsidP="00211365">
            <w:pPr>
              <w:keepNext/>
              <w:rPr>
                <w:rStyle w:val="Hyperlink"/>
                <w:rFonts w:ascii="Garamond" w:hAnsi="Garamond"/>
                <w:color w:val="auto"/>
                <w:u w:val="none"/>
                <w:lang w:val="en-AU"/>
              </w:rPr>
            </w:pPr>
            <w:hyperlink r:id="rId40" w:history="1">
              <w:r w:rsidRPr="00387566">
                <w:rPr>
                  <w:rStyle w:val="Hyperlink"/>
                  <w:rFonts w:ascii="Garamond" w:hAnsi="Garamond"/>
                  <w:lang w:val="en-AU"/>
                </w:rPr>
                <w:t>http://dx.doi.org/10.1136/leader-2020-000394</w:t>
              </w:r>
            </w:hyperlink>
          </w:p>
        </w:tc>
      </w:tr>
      <w:tr w:rsidR="00C106AD" w:rsidRPr="000170DA" w:rsidTr="00211365">
        <w:tc>
          <w:tcPr>
            <w:tcW w:w="1080" w:type="dxa"/>
            <w:tcBorders>
              <w:top w:val="single" w:sz="4" w:space="0" w:color="auto"/>
              <w:left w:val="single" w:sz="4" w:space="0" w:color="auto"/>
              <w:bottom w:val="single" w:sz="4" w:space="0" w:color="auto"/>
              <w:right w:val="single" w:sz="4" w:space="0" w:color="auto"/>
            </w:tcBorders>
            <w:vAlign w:val="center"/>
          </w:tcPr>
          <w:p w:rsidR="00C106AD" w:rsidRPr="000170DA" w:rsidRDefault="00C106AD" w:rsidP="0021136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106AD" w:rsidRDefault="009F0D34" w:rsidP="009F0D34">
            <w:pPr>
              <w:rPr>
                <w:rFonts w:ascii="Garamond" w:hAnsi="Garamond"/>
                <w:lang w:val="en-AU"/>
              </w:rPr>
            </w:pPr>
            <w:r>
              <w:rPr>
                <w:rFonts w:ascii="Garamond" w:hAnsi="Garamond"/>
                <w:lang w:val="en-AU"/>
              </w:rPr>
              <w:t xml:space="preserve">The importance of speaking up and its impact on safety and quality </w:t>
            </w:r>
            <w:r w:rsidR="00D61DC0">
              <w:rPr>
                <w:rFonts w:ascii="Garamond" w:hAnsi="Garamond"/>
                <w:lang w:val="en-AU"/>
              </w:rPr>
              <w:t xml:space="preserve">–and the need to create a culture that encourages it– </w:t>
            </w:r>
            <w:r>
              <w:rPr>
                <w:rFonts w:ascii="Garamond" w:hAnsi="Garamond"/>
                <w:lang w:val="en-AU"/>
              </w:rPr>
              <w:t xml:space="preserve">is widely accepted. However, as is also well understood, speaking up is not easy. This commentary piece reflects on the difficulties of ‘speaking truth to power’ and how it can be encouraged. The imperative to speak up and the costs of silence, and why so many of us stay silent, are canvassed, along with issues of who speaks, who listens and ‘advantage blindness’. The authors offer some advice as to how leaders may </w:t>
            </w:r>
            <w:r w:rsidR="00D61DC0">
              <w:rPr>
                <w:rFonts w:ascii="Garamond" w:hAnsi="Garamond"/>
                <w:lang w:val="en-AU"/>
              </w:rPr>
              <w:t>‘become more adept at</w:t>
            </w:r>
            <w:r w:rsidR="00D61DC0" w:rsidRPr="00D61DC0">
              <w:rPr>
                <w:rFonts w:ascii="Garamond" w:hAnsi="Garamond"/>
                <w:lang w:val="en-AU"/>
              </w:rPr>
              <w:t xml:space="preserve"> inviting others to speak up and then listening up</w:t>
            </w:r>
            <w:r w:rsidR="00D61DC0">
              <w:rPr>
                <w:rFonts w:ascii="Garamond" w:hAnsi="Garamond"/>
                <w:lang w:val="en-AU"/>
              </w:rPr>
              <w:t>’. These include:</w:t>
            </w:r>
          </w:p>
          <w:p w:rsidR="00D61DC0" w:rsidRDefault="00D61DC0" w:rsidP="00D61DC0">
            <w:pPr>
              <w:pStyle w:val="ListParagraph"/>
              <w:numPr>
                <w:ilvl w:val="0"/>
                <w:numId w:val="21"/>
              </w:numPr>
              <w:rPr>
                <w:rFonts w:ascii="Garamond" w:hAnsi="Garamond"/>
                <w:lang w:val="en-AU"/>
              </w:rPr>
            </w:pPr>
            <w:r w:rsidRPr="00D61DC0">
              <w:rPr>
                <w:rFonts w:ascii="Garamond" w:hAnsi="Garamond"/>
                <w:lang w:val="en-AU"/>
              </w:rPr>
              <w:t>Assume you are scarier than you think</w:t>
            </w:r>
          </w:p>
          <w:p w:rsidR="00D61DC0" w:rsidRDefault="00D61DC0" w:rsidP="00D61DC0">
            <w:pPr>
              <w:pStyle w:val="ListParagraph"/>
              <w:numPr>
                <w:ilvl w:val="0"/>
                <w:numId w:val="21"/>
              </w:numPr>
              <w:rPr>
                <w:rFonts w:ascii="Garamond" w:hAnsi="Garamond"/>
                <w:lang w:val="en-AU"/>
              </w:rPr>
            </w:pPr>
            <w:r w:rsidRPr="00D61DC0">
              <w:rPr>
                <w:rFonts w:ascii="Garamond" w:hAnsi="Garamond"/>
                <w:lang w:val="en-AU"/>
              </w:rPr>
              <w:t>Question your ‘little list’ of whose opinion counts</w:t>
            </w:r>
          </w:p>
          <w:p w:rsidR="00D61DC0" w:rsidRDefault="00D61DC0" w:rsidP="00D61DC0">
            <w:pPr>
              <w:pStyle w:val="ListParagraph"/>
              <w:numPr>
                <w:ilvl w:val="0"/>
                <w:numId w:val="21"/>
              </w:numPr>
              <w:rPr>
                <w:rFonts w:ascii="Garamond" w:hAnsi="Garamond"/>
                <w:lang w:val="en-AU"/>
              </w:rPr>
            </w:pPr>
            <w:r w:rsidRPr="00D61DC0">
              <w:rPr>
                <w:rFonts w:ascii="Garamond" w:hAnsi="Garamond"/>
                <w:lang w:val="en-AU"/>
              </w:rPr>
              <w:t>Send ‘speak up’ rather than ‘shut up’ signals and responses.</w:t>
            </w:r>
          </w:p>
          <w:p w:rsidR="00D61DC0" w:rsidRPr="00D61DC0" w:rsidRDefault="00D61DC0" w:rsidP="00D61DC0">
            <w:pPr>
              <w:rPr>
                <w:rFonts w:ascii="Garamond" w:hAnsi="Garamond"/>
                <w:lang w:val="en-AU"/>
              </w:rPr>
            </w:pPr>
            <w:r>
              <w:rPr>
                <w:rFonts w:ascii="Garamond" w:hAnsi="Garamond"/>
                <w:lang w:val="en-AU"/>
              </w:rPr>
              <w:t>However, as is also observed, ‘</w:t>
            </w:r>
            <w:r w:rsidRPr="00D61DC0">
              <w:rPr>
                <w:rFonts w:ascii="Garamond" w:hAnsi="Garamond"/>
                <w:lang w:val="en-AU"/>
              </w:rPr>
              <w:t xml:space="preserve">Most fundamentally it requires leaders to </w:t>
            </w:r>
            <w:r w:rsidRPr="00D61DC0">
              <w:rPr>
                <w:rFonts w:ascii="Garamond" w:hAnsi="Garamond"/>
                <w:i/>
                <w:lang w:val="en-AU"/>
              </w:rPr>
              <w:t>want</w:t>
            </w:r>
            <w:r w:rsidRPr="00D61DC0">
              <w:rPr>
                <w:rFonts w:ascii="Garamond" w:hAnsi="Garamond"/>
                <w:lang w:val="en-AU"/>
              </w:rPr>
              <w:t xml:space="preserve"> to listen</w:t>
            </w:r>
            <w:r>
              <w:rPr>
                <w:rFonts w:ascii="Garamond" w:hAnsi="Garamond"/>
                <w:lang w:val="en-AU"/>
              </w:rPr>
              <w:t>’.</w:t>
            </w:r>
          </w:p>
        </w:tc>
      </w:tr>
    </w:tbl>
    <w:p w:rsidR="00C106AD" w:rsidRDefault="00C106AD" w:rsidP="00C106AD">
      <w:pPr>
        <w:keepNext/>
        <w:keepLines/>
        <w:autoSpaceDE w:val="0"/>
        <w:autoSpaceDN w:val="0"/>
        <w:adjustRightInd w:val="0"/>
        <w:rPr>
          <w:rFonts w:ascii="Garamond" w:hAnsi="Garamond"/>
          <w:i/>
          <w:lang w:val="en-AU"/>
        </w:rPr>
      </w:pPr>
    </w:p>
    <w:p w:rsidR="00B560CE" w:rsidRDefault="00B560CE" w:rsidP="00B560CE">
      <w:pPr>
        <w:jc w:val="both"/>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B560CE" w:rsidP="00310503">
      <w:pPr>
        <w:keepNext/>
        <w:keepLines/>
        <w:rPr>
          <w:rFonts w:ascii="Garamond" w:hAnsi="Garamond"/>
          <w:lang w:val="en-AU"/>
        </w:rPr>
      </w:pPr>
      <w:hyperlink r:id="rId41"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B560CE" w:rsidP="00603C16">
      <w:pPr>
        <w:keepNext/>
        <w:keepLines/>
        <w:rPr>
          <w:rFonts w:ascii="Garamond" w:hAnsi="Garamond"/>
          <w:lang w:val="en-AU"/>
        </w:rPr>
      </w:pPr>
      <w:hyperlink r:id="rId42" w:history="1">
        <w:r w:rsidR="00603C16" w:rsidRPr="00E11CC6">
          <w:rPr>
            <w:rStyle w:val="Hyperlink"/>
            <w:rFonts w:ascii="Garamond" w:hAnsi="Garamond"/>
            <w:lang w:val="en-AU"/>
          </w:rPr>
          <w:t>https://www.aci.health.nsw.gov.au/covid-19/critical-intelligence-unit</w:t>
        </w:r>
      </w:hyperlink>
    </w:p>
    <w:p w:rsidR="00402A78" w:rsidRDefault="00603C16" w:rsidP="001C50DD">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402A78">
        <w:rPr>
          <w:rFonts w:ascii="Garamond" w:hAnsi="Garamond"/>
          <w:lang w:val="en-AU"/>
        </w:rPr>
        <w:t xml:space="preserve"> </w:t>
      </w:r>
      <w:r w:rsidR="00AB7534" w:rsidRPr="00AB7534">
        <w:rPr>
          <w:rFonts w:ascii="Garamond" w:hAnsi="Garamond"/>
          <w:lang w:val="en-AU"/>
        </w:rPr>
        <w:t>. Recent evidence checks include</w:t>
      </w:r>
      <w:r w:rsidR="00AB7534">
        <w:rPr>
          <w:rFonts w:ascii="Garamond" w:hAnsi="Garamond"/>
          <w:lang w:val="en-AU"/>
        </w:rPr>
        <w:t>:</w:t>
      </w:r>
    </w:p>
    <w:p w:rsidR="001C50DD" w:rsidRPr="001D1EE8" w:rsidRDefault="001A7EA3" w:rsidP="001A7EA3">
      <w:pPr>
        <w:pStyle w:val="ListParagraph"/>
        <w:keepNext/>
        <w:keepLines/>
        <w:numPr>
          <w:ilvl w:val="0"/>
          <w:numId w:val="14"/>
        </w:numPr>
        <w:rPr>
          <w:rFonts w:ascii="Garamond" w:hAnsi="Garamond"/>
          <w:b/>
          <w:i/>
          <w:lang w:val="en-AU"/>
        </w:rPr>
      </w:pPr>
      <w:r w:rsidRPr="001A7EA3">
        <w:rPr>
          <w:rFonts w:ascii="Garamond" w:hAnsi="Garamond"/>
          <w:b/>
          <w:i/>
          <w:lang w:val="en-AU"/>
        </w:rPr>
        <w:t>High-risk settings for transmission of COVID-19</w:t>
      </w:r>
      <w:r>
        <w:rPr>
          <w:rFonts w:ascii="Garamond" w:hAnsi="Garamond"/>
          <w:b/>
          <w:i/>
          <w:lang w:val="en-AU"/>
        </w:rPr>
        <w:t>.</w:t>
      </w:r>
    </w:p>
    <w:p w:rsidR="00835A5A" w:rsidRDefault="00835A5A" w:rsidP="006A346E">
      <w:pPr>
        <w:rPr>
          <w:rFonts w:ascii="Garamond" w:hAnsi="Garamond"/>
          <w:lang w:val="en-AU"/>
        </w:rPr>
      </w:pPr>
    </w:p>
    <w:p w:rsidR="006A346E" w:rsidRPr="008F3909" w:rsidRDefault="006A346E" w:rsidP="007C63B3">
      <w:pPr>
        <w:keepNext/>
        <w:rPr>
          <w:rFonts w:ascii="Garamond" w:hAnsi="Garamond"/>
          <w:i/>
          <w:lang w:val="en-AU"/>
        </w:rPr>
      </w:pPr>
      <w:r>
        <w:rPr>
          <w:rFonts w:ascii="Garamond" w:hAnsi="Garamond"/>
          <w:lang w:val="en-AU"/>
        </w:rPr>
        <w:t>[</w:t>
      </w:r>
      <w:r w:rsidRPr="008F3909">
        <w:rPr>
          <w:rFonts w:ascii="Garamond" w:hAnsi="Garamond"/>
          <w:i/>
          <w:lang w:val="en-AU"/>
        </w:rPr>
        <w:t>UK] NICE Guidelines and Quality Standards</w:t>
      </w:r>
    </w:p>
    <w:p w:rsidR="006A346E" w:rsidRPr="008F3909" w:rsidRDefault="00B560CE" w:rsidP="007C63B3">
      <w:pPr>
        <w:keepNext/>
        <w:rPr>
          <w:rFonts w:ascii="Garamond" w:hAnsi="Garamond"/>
          <w:lang w:val="en-AU"/>
        </w:rPr>
      </w:pPr>
      <w:hyperlink r:id="rId43" w:history="1">
        <w:r w:rsidR="006A346E" w:rsidRPr="00B91B4F">
          <w:rPr>
            <w:rStyle w:val="Hyperlink"/>
            <w:rFonts w:ascii="Garamond" w:hAnsi="Garamond"/>
            <w:lang w:val="en-AU"/>
          </w:rPr>
          <w:t>https://www.nice.org.uk/guidance</w:t>
        </w:r>
      </w:hyperlink>
    </w:p>
    <w:p w:rsidR="006A346E" w:rsidRPr="008F3909" w:rsidRDefault="006A346E" w:rsidP="006A346E">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835A5A" w:rsidRDefault="009A1F90" w:rsidP="001A7EA3">
      <w:pPr>
        <w:pStyle w:val="ListParagraph"/>
        <w:numPr>
          <w:ilvl w:val="0"/>
          <w:numId w:val="14"/>
        </w:numPr>
        <w:rPr>
          <w:rFonts w:ascii="Garamond" w:hAnsi="Garamond"/>
          <w:lang w:val="en-AU"/>
        </w:rPr>
      </w:pPr>
      <w:r>
        <w:rPr>
          <w:rFonts w:ascii="Garamond" w:hAnsi="Garamond"/>
          <w:lang w:val="en-AU"/>
        </w:rPr>
        <w:t>NICE Guideline NG</w:t>
      </w:r>
      <w:r w:rsidR="001A7EA3">
        <w:rPr>
          <w:rFonts w:ascii="Garamond" w:hAnsi="Garamond"/>
          <w:lang w:val="en-AU"/>
        </w:rPr>
        <w:t xml:space="preserve">185 </w:t>
      </w:r>
      <w:r w:rsidR="001A7EA3" w:rsidRPr="001A7EA3">
        <w:rPr>
          <w:rFonts w:ascii="Garamond" w:hAnsi="Garamond"/>
          <w:b/>
          <w:i/>
          <w:lang w:val="en-AU"/>
        </w:rPr>
        <w:t>Acute coronary syndromes</w:t>
      </w:r>
      <w:r w:rsidR="001A7EA3" w:rsidRPr="001A7EA3">
        <w:rPr>
          <w:rFonts w:ascii="Garamond" w:hAnsi="Garamond"/>
          <w:lang w:val="en-AU"/>
        </w:rPr>
        <w:t xml:space="preserve"> </w:t>
      </w:r>
      <w:hyperlink r:id="rId44" w:history="1">
        <w:r w:rsidR="001A7EA3" w:rsidRPr="00113F2B">
          <w:rPr>
            <w:rStyle w:val="Hyperlink"/>
            <w:rFonts w:ascii="Garamond" w:hAnsi="Garamond"/>
            <w:lang w:val="en-AU"/>
          </w:rPr>
          <w:t>https://www.nice.org.uk/guidance/ng185</w:t>
        </w:r>
      </w:hyperlink>
    </w:p>
    <w:p w:rsidR="003C78CF" w:rsidRPr="001A7EA3" w:rsidRDefault="001A7EA3" w:rsidP="001A7EA3">
      <w:pPr>
        <w:pStyle w:val="ListParagraph"/>
        <w:numPr>
          <w:ilvl w:val="0"/>
          <w:numId w:val="14"/>
        </w:numPr>
        <w:rPr>
          <w:rFonts w:ascii="Garamond" w:hAnsi="Garamond"/>
          <w:lang w:val="en-AU"/>
        </w:rPr>
      </w:pPr>
      <w:r w:rsidRPr="001A7EA3">
        <w:rPr>
          <w:rFonts w:ascii="Garamond" w:hAnsi="Garamond"/>
          <w:lang w:val="en-AU"/>
        </w:rPr>
        <w:t xml:space="preserve">Quality Standard QS68 </w:t>
      </w:r>
      <w:r w:rsidRPr="001A7EA3">
        <w:rPr>
          <w:rFonts w:ascii="Garamond" w:hAnsi="Garamond"/>
          <w:b/>
          <w:i/>
          <w:lang w:val="en-AU"/>
        </w:rPr>
        <w:t>Acute coronary syndromes</w:t>
      </w:r>
      <w:r w:rsidRPr="001A7EA3">
        <w:rPr>
          <w:rFonts w:ascii="Garamond" w:hAnsi="Garamond"/>
          <w:i/>
          <w:lang w:val="en-AU"/>
        </w:rPr>
        <w:t xml:space="preserve"> in adults</w:t>
      </w:r>
      <w:r w:rsidRPr="001A7EA3">
        <w:rPr>
          <w:rFonts w:ascii="Garamond" w:hAnsi="Garamond"/>
          <w:lang w:val="en-AU"/>
        </w:rPr>
        <w:t xml:space="preserve"> </w:t>
      </w:r>
      <w:hyperlink r:id="rId45" w:history="1">
        <w:r w:rsidRPr="001A7EA3">
          <w:rPr>
            <w:rStyle w:val="Hyperlink"/>
            <w:rFonts w:ascii="Garamond" w:hAnsi="Garamond"/>
            <w:lang w:val="en-AU"/>
          </w:rPr>
          <w:t>https://www.nice.org.uk/guidance/qs68</w:t>
        </w:r>
      </w:hyperlink>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lastRenderedPageBreak/>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7A" w:rsidRDefault="00D6107A">
      <w:r>
        <w:separator/>
      </w:r>
    </w:p>
  </w:endnote>
  <w:endnote w:type="continuationSeparator" w:id="0">
    <w:p w:rsidR="00D6107A" w:rsidRDefault="00D6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7A" w:rsidRDefault="00D6107A"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560CE">
      <w:rPr>
        <w:rStyle w:val="PageNumber"/>
        <w:noProof/>
      </w:rPr>
      <w:t>2</w:t>
    </w:r>
    <w:r>
      <w:rPr>
        <w:rStyle w:val="PageNumber"/>
      </w:rPr>
      <w:fldChar w:fldCharType="end"/>
    </w:r>
  </w:p>
  <w:p w:rsidR="00D6107A" w:rsidRPr="001E78F0" w:rsidRDefault="00D6107A"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C106AD">
      <w:rPr>
        <w:rFonts w:ascii="Garamond" w:hAnsi="Garamond"/>
      </w:rPr>
      <w:t xml:space="preserve"> Issue 491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7A" w:rsidRPr="001E78F0" w:rsidRDefault="00D6107A"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560CE">
      <w:rPr>
        <w:rStyle w:val="PageNumber"/>
        <w:rFonts w:ascii="Garamond" w:hAnsi="Garamond"/>
        <w:noProof/>
      </w:rPr>
      <w:t>7</w:t>
    </w:r>
    <w:r w:rsidRPr="001E78F0">
      <w:rPr>
        <w:rStyle w:val="PageNumber"/>
        <w:rFonts w:ascii="Garamond" w:hAnsi="Garamond"/>
      </w:rPr>
      <w:fldChar w:fldCharType="end"/>
    </w:r>
  </w:p>
  <w:p w:rsidR="00D6107A" w:rsidRPr="001E78F0" w:rsidRDefault="00D6107A"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C106AD">
      <w:rPr>
        <w:rFonts w:ascii="Garamond" w:hAnsi="Garamond"/>
      </w:rPr>
      <w:t xml:space="preserve"> Issue 491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7A" w:rsidRDefault="00D6107A">
      <w:r>
        <w:separator/>
      </w:r>
    </w:p>
  </w:footnote>
  <w:footnote w:type="continuationSeparator" w:id="0">
    <w:p w:rsidR="00D6107A" w:rsidRDefault="00D61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3C274C"/>
    <w:multiLevelType w:val="hybridMultilevel"/>
    <w:tmpl w:val="8FB0B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727B28"/>
    <w:multiLevelType w:val="hybridMultilevel"/>
    <w:tmpl w:val="1D7EE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F63F5"/>
    <w:multiLevelType w:val="hybridMultilevel"/>
    <w:tmpl w:val="5C127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0E5B68"/>
    <w:multiLevelType w:val="hybridMultilevel"/>
    <w:tmpl w:val="CF60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AE5972"/>
    <w:multiLevelType w:val="hybridMultilevel"/>
    <w:tmpl w:val="63809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1"/>
  </w:num>
  <w:num w:numId="16">
    <w:abstractNumId w:val="15"/>
  </w:num>
  <w:num w:numId="17">
    <w:abstractNumId w:val="19"/>
  </w:num>
  <w:num w:numId="18">
    <w:abstractNumId w:val="12"/>
  </w:num>
  <w:num w:numId="19">
    <w:abstractNumId w:val="17"/>
  </w:num>
  <w:num w:numId="20">
    <w:abstractNumId w:val="20"/>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1FA"/>
    <w:rsid w:val="00197212"/>
    <w:rsid w:val="001974AF"/>
    <w:rsid w:val="0019756A"/>
    <w:rsid w:val="00197725"/>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EA3"/>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14C"/>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05"/>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13D"/>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0F30"/>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061"/>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31E"/>
    <w:rsid w:val="009E66F3"/>
    <w:rsid w:val="009E66FB"/>
    <w:rsid w:val="009E67F4"/>
    <w:rsid w:val="009E6936"/>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34"/>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0C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A4C"/>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6AD"/>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0"/>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4FBA"/>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578B2748"/>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www.safetyandquality.gov.au/our-work/comprehensive-care/related-topics/falls-prevention" TargetMode="External"/><Relationship Id="rId3" Type="http://schemas.openxmlformats.org/officeDocument/2006/relationships/styles" Target="styles.xm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hyperlink" Target="https://www.safetyandquality.gov.au/sites/default/files/2020-07/covid-19_and_face_masks_-_information_for_consumers.pdf" TargetMode="External"/><Relationship Id="rId42" Type="http://schemas.openxmlformats.org/officeDocument/2006/relationships/hyperlink" Target="https://www.aci.health.nsw.gov.au/covid-19/critical-intelligence-unit"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wearing-face-masks-community" TargetMode="External"/><Relationship Id="rId38" Type="http://schemas.openxmlformats.org/officeDocument/2006/relationships/hyperlink" Target="https://doi.org/10.1001/jamanetworkopen.2020.25889"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covid19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safetyandquality.gov.au/our-work/primary-health-care" TargetMode="External"/><Relationship Id="rId40" Type="http://schemas.openxmlformats.org/officeDocument/2006/relationships/hyperlink" Target="http://dx.doi.org/10.1136/leader-2020-000394" TargetMode="External"/><Relationship Id="rId45" Type="http://schemas.openxmlformats.org/officeDocument/2006/relationships/hyperlink" Target="https://www.nice.org.uk/guidance/qs68"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doi.org/10.1136/bmjqs-2020-011405" TargetMode="External"/><Relationship Id="rId49"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www.nice.org.uk/guidance/ng185"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image" Target="media/image4.png"/><Relationship Id="rId43" Type="http://schemas.openxmlformats.org/officeDocument/2006/relationships/hyperlink" Target="https://www.nice.org.uk/guidance" TargetMode="External"/><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4A1C-FDF9-4D02-99A2-48D3D62E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Draft On the Radar Issue 491</vt:lpstr>
    </vt:vector>
  </TitlesOfParts>
  <Company>ACSQHC</Company>
  <LinksUpToDate>false</LinksUpToDate>
  <CharactersWithSpaces>14525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491</dc:title>
  <dc:subject/>
  <dc:creator>Dr Niall Johnson</dc:creator>
  <cp:keywords/>
  <dc:description/>
  <cp:lastModifiedBy>Johnson, Niall</cp:lastModifiedBy>
  <cp:revision>7</cp:revision>
  <cp:lastPrinted>2018-03-02T02:34:00Z</cp:lastPrinted>
  <dcterms:created xsi:type="dcterms:W3CDTF">2020-11-16T00:14:00Z</dcterms:created>
  <dcterms:modified xsi:type="dcterms:W3CDTF">2020-11-20T00:22:00Z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