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B14032" w:rsidRDefault="00B06F6A" w:rsidP="00F738B5">
      <w:pPr>
        <w:rPr>
          <w:rFonts w:ascii="Garamond" w:hAnsi="Garamond"/>
          <w:b/>
          <w:color w:val="F79646" w:themeColor="accent6"/>
          <w:lang w:val="en-AU"/>
        </w:rPr>
      </w:pPr>
      <w:r w:rsidRPr="00B14032">
        <w:rPr>
          <w:rFonts w:ascii="Garamond" w:hAnsi="Garamond"/>
          <w:b/>
          <w:color w:val="F79646" w:themeColor="accent6"/>
          <w:lang w:val="en-AU"/>
        </w:rPr>
        <w:t xml:space="preserve">Issue </w:t>
      </w:r>
      <w:r w:rsidR="00651E60" w:rsidRPr="00B14032">
        <w:rPr>
          <w:rFonts w:ascii="Garamond" w:hAnsi="Garamond"/>
          <w:b/>
          <w:color w:val="F79646" w:themeColor="accent6"/>
          <w:lang w:val="en-AU"/>
        </w:rPr>
        <w:t>500</w:t>
      </w:r>
    </w:p>
    <w:p w:rsidR="00755242" w:rsidRDefault="00651E60" w:rsidP="00F738B5">
      <w:pPr>
        <w:rPr>
          <w:rFonts w:ascii="Garamond" w:hAnsi="Garamond"/>
          <w:lang w:val="en-AU"/>
        </w:rPr>
      </w:pPr>
      <w:r>
        <w:rPr>
          <w:rFonts w:ascii="Garamond" w:hAnsi="Garamond"/>
          <w:lang w:val="en-AU"/>
        </w:rPr>
        <w:t>22</w:t>
      </w:r>
      <w:r w:rsidR="00A65ED8">
        <w:rPr>
          <w:rFonts w:ascii="Garamond" w:hAnsi="Garamond"/>
          <w:lang w:val="en-AU"/>
        </w:rPr>
        <w:t xml:space="preserve"> Febr</w:t>
      </w:r>
      <w:r w:rsidR="001144E6">
        <w:rPr>
          <w:rFonts w:ascii="Garamond" w:hAnsi="Garamond"/>
          <w:lang w:val="en-AU"/>
        </w:rPr>
        <w:t>uary 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651E60">
        <w:rPr>
          <w:rFonts w:ascii="Garamond" w:hAnsi="Garamond"/>
          <w:bCs/>
          <w:lang w:val="en-AU"/>
        </w:rPr>
        <w:t>, Professor Chris Baggoley</w:t>
      </w:r>
      <w:r w:rsidR="002102BC">
        <w:rPr>
          <w:rFonts w:ascii="Garamond" w:hAnsi="Garamond"/>
          <w:bCs/>
          <w:lang w:val="en-AU"/>
        </w:rPr>
        <w:t xml:space="preserve"> AO</w:t>
      </w:r>
      <w:r w:rsidR="00AA5CBF">
        <w:rPr>
          <w:rFonts w:ascii="Garamond" w:hAnsi="Garamond"/>
          <w:bCs/>
          <w:lang w:val="en-AU"/>
        </w:rPr>
        <w:t>, Leanne Vidler</w:t>
      </w:r>
    </w:p>
    <w:p w:rsidR="00776AE4" w:rsidRDefault="00776AE4">
      <w:pPr>
        <w:rPr>
          <w:rFonts w:ascii="Garamond" w:hAnsi="Garamond"/>
          <w:b/>
          <w:lang w:val="en-AU"/>
        </w:rPr>
      </w:pPr>
    </w:p>
    <w:p w:rsidR="00776AE4" w:rsidRDefault="00776AE4">
      <w:pPr>
        <w:rPr>
          <w:rFonts w:ascii="Garamond" w:hAnsi="Garamond"/>
          <w:b/>
          <w:lang w:val="en-AU"/>
        </w:rPr>
      </w:pPr>
    </w:p>
    <w:p w:rsidR="00D22F09" w:rsidRDefault="00D22F09">
      <w:pPr>
        <w:rPr>
          <w:rFonts w:ascii="Garamond" w:hAnsi="Garamond"/>
          <w:b/>
          <w:lang w:val="en-AU"/>
        </w:rPr>
      </w:pPr>
      <w:r>
        <w:rPr>
          <w:rFonts w:ascii="Garamond" w:hAnsi="Garamond"/>
          <w:b/>
          <w:lang w:val="en-AU"/>
        </w:rPr>
        <w:br w:type="page"/>
      </w:r>
    </w:p>
    <w:p w:rsidR="00651E60" w:rsidRDefault="004D1680">
      <w:pPr>
        <w:rPr>
          <w:rFonts w:ascii="Garamond" w:hAnsi="Garamond"/>
          <w:b/>
          <w:lang w:val="en-AU"/>
        </w:rPr>
      </w:pPr>
      <w:r>
        <w:rPr>
          <w:rFonts w:ascii="Garamond" w:hAnsi="Garamond"/>
          <w:b/>
          <w:lang w:val="en-AU"/>
        </w:rPr>
        <w:lastRenderedPageBreak/>
        <w:t xml:space="preserve">Foreword </w:t>
      </w:r>
      <w:r w:rsidR="00B14032" w:rsidRPr="00B14032">
        <w:rPr>
          <w:rFonts w:ascii="Garamond" w:hAnsi="Garamond"/>
          <w:b/>
          <w:lang w:val="en-AU"/>
        </w:rPr>
        <w:t>by Professor Chris Baggoley AO</w:t>
      </w:r>
    </w:p>
    <w:p w:rsidR="00776AE4" w:rsidRDefault="00776AE4" w:rsidP="00776AE4">
      <w:pPr>
        <w:rPr>
          <w:rFonts w:ascii="Garamond" w:hAnsi="Garamond"/>
          <w:lang w:val="en-AU"/>
        </w:rPr>
      </w:pPr>
    </w:p>
    <w:p w:rsidR="00776AE4" w:rsidRPr="00D22F09" w:rsidRDefault="00776AE4" w:rsidP="00776AE4">
      <w:pPr>
        <w:rPr>
          <w:rFonts w:ascii="Garamond" w:hAnsi="Garamond"/>
          <w:lang w:val="en-AU"/>
        </w:rPr>
      </w:pPr>
      <w:r w:rsidRPr="00776AE4">
        <w:rPr>
          <w:rFonts w:ascii="Garamond" w:hAnsi="Garamond"/>
          <w:lang w:val="en-AU"/>
        </w:rPr>
        <w:t>It is with great pleasure that I am taking up an offer to mark the</w:t>
      </w:r>
      <w:r>
        <w:rPr>
          <w:rFonts w:ascii="Garamond" w:hAnsi="Garamond"/>
          <w:lang w:val="en-AU"/>
        </w:rPr>
        <w:t xml:space="preserve"> 500th edition of </w:t>
      </w:r>
      <w:r w:rsidRPr="00776AE4">
        <w:rPr>
          <w:rFonts w:ascii="Garamond" w:hAnsi="Garamond"/>
          <w:i/>
          <w:lang w:val="en-AU"/>
        </w:rPr>
        <w:t>On the radar</w:t>
      </w:r>
      <w:r w:rsidRPr="00776AE4">
        <w:rPr>
          <w:rFonts w:ascii="Garamond" w:hAnsi="Garamond"/>
          <w:lang w:val="en-AU"/>
        </w:rPr>
        <w:t xml:space="preserve">. I have received and read each and every </w:t>
      </w:r>
      <w:r w:rsidRPr="00D22F09">
        <w:rPr>
          <w:rFonts w:ascii="Garamond" w:hAnsi="Garamond"/>
          <w:lang w:val="en-AU"/>
        </w:rPr>
        <w:t xml:space="preserve">edition since it was first published on 5 July 2010. </w:t>
      </w:r>
    </w:p>
    <w:p w:rsidR="00776AE4" w:rsidRPr="00D22F09" w:rsidRDefault="00776AE4" w:rsidP="00776AE4">
      <w:pPr>
        <w:rPr>
          <w:rFonts w:ascii="Garamond" w:hAnsi="Garamond"/>
          <w:lang w:val="en-AU"/>
        </w:rPr>
      </w:pPr>
    </w:p>
    <w:p w:rsidR="00D22F09" w:rsidRPr="00D22F09" w:rsidRDefault="00D22F09" w:rsidP="00776AE4">
      <w:pPr>
        <w:rPr>
          <w:rFonts w:ascii="Garamond" w:hAnsi="Garamond"/>
          <w:lang w:val="en-AU"/>
        </w:rPr>
      </w:pPr>
      <w:r w:rsidRPr="00D22F09">
        <w:rPr>
          <w:rFonts w:ascii="Garamond" w:hAnsi="Garamond"/>
          <w:lang w:val="en-AU"/>
        </w:rPr>
        <w:t xml:space="preserve">In 2010, </w:t>
      </w:r>
      <w:r w:rsidR="00776AE4" w:rsidRPr="00D22F09">
        <w:rPr>
          <w:rFonts w:ascii="Garamond" w:hAnsi="Garamond"/>
          <w:lang w:val="en-AU"/>
        </w:rPr>
        <w:t>as Chief Executive of the Australian Commission on Safety and Quality on Health Care</w:t>
      </w:r>
      <w:r w:rsidRPr="00D22F09">
        <w:rPr>
          <w:rFonts w:ascii="Garamond" w:hAnsi="Garamond"/>
          <w:lang w:val="en-AU"/>
        </w:rPr>
        <w:t>,</w:t>
      </w:r>
      <w:r w:rsidR="00776AE4" w:rsidRPr="00D22F09">
        <w:rPr>
          <w:rFonts w:ascii="Garamond" w:hAnsi="Garamond"/>
          <w:lang w:val="en-AU"/>
        </w:rPr>
        <w:t xml:space="preserve"> I felt that the Commission staff, at the very least, should be abreast of the current literature. I approached Dr Niall Johnson, Senior Project Officer at the Commission, and author of what is now a very topical book, </w:t>
      </w:r>
      <w:r w:rsidR="00776AE4" w:rsidRPr="00D22F09">
        <w:rPr>
          <w:rFonts w:ascii="Garamond" w:hAnsi="Garamond"/>
          <w:i/>
          <w:lang w:val="en-AU"/>
        </w:rPr>
        <w:t>Britain and the 1918-19 Influenza Pandemic: A Dark Epilogue</w:t>
      </w:r>
      <w:r w:rsidR="00776AE4" w:rsidRPr="00D22F09">
        <w:rPr>
          <w:rFonts w:ascii="Garamond" w:hAnsi="Garamond"/>
          <w:lang w:val="en-AU"/>
        </w:rPr>
        <w:t xml:space="preserve">, to undertake this role. </w:t>
      </w:r>
      <w:r w:rsidR="00776AE4" w:rsidRPr="00D22F09">
        <w:rPr>
          <w:rFonts w:ascii="Garamond" w:hAnsi="Garamond"/>
          <w:i/>
          <w:lang w:val="en-AU"/>
        </w:rPr>
        <w:t>On the radar</w:t>
      </w:r>
      <w:r w:rsidR="00776AE4" w:rsidRPr="00D22F09">
        <w:rPr>
          <w:rFonts w:ascii="Garamond" w:hAnsi="Garamond"/>
          <w:lang w:val="en-AU"/>
        </w:rPr>
        <w:t xml:space="preserve"> was thus born, on 5 July 2010.</w:t>
      </w:r>
      <w:r w:rsidRPr="00D22F09">
        <w:rPr>
          <w:rFonts w:ascii="Garamond" w:hAnsi="Garamond"/>
          <w:lang w:val="en-AU"/>
        </w:rPr>
        <w:t xml:space="preserve"> </w:t>
      </w:r>
      <w:r w:rsidR="00776AE4" w:rsidRPr="00D22F09">
        <w:rPr>
          <w:rFonts w:ascii="Garamond" w:hAnsi="Garamond"/>
          <w:lang w:val="en-AU"/>
        </w:rPr>
        <w:t xml:space="preserve">This he has continued to produce with great constancy, resolve and excellent results, thereby providing </w:t>
      </w:r>
      <w:r w:rsidRPr="00D22F09">
        <w:rPr>
          <w:rFonts w:ascii="Garamond" w:hAnsi="Garamond"/>
          <w:lang w:val="en-AU"/>
        </w:rPr>
        <w:t xml:space="preserve">what I think of as </w:t>
      </w:r>
      <w:r w:rsidR="00776AE4" w:rsidRPr="00D22F09">
        <w:rPr>
          <w:rFonts w:ascii="Garamond" w:hAnsi="Garamond"/>
          <w:lang w:val="en-AU"/>
        </w:rPr>
        <w:t xml:space="preserve">a key plank in the reputation the Commission enjoys. </w:t>
      </w:r>
    </w:p>
    <w:p w:rsidR="00D22F09" w:rsidRPr="00D22F09" w:rsidRDefault="00D22F09" w:rsidP="00776AE4">
      <w:pPr>
        <w:rPr>
          <w:rFonts w:ascii="Garamond" w:hAnsi="Garamond"/>
          <w:lang w:val="en-AU"/>
        </w:rPr>
      </w:pPr>
    </w:p>
    <w:p w:rsidR="00776AE4" w:rsidRPr="00D22F09" w:rsidRDefault="00776AE4" w:rsidP="00776AE4">
      <w:pPr>
        <w:rPr>
          <w:rFonts w:ascii="Garamond" w:hAnsi="Garamond"/>
          <w:lang w:val="en-AU"/>
        </w:rPr>
      </w:pPr>
      <w:r w:rsidRPr="00D22F09">
        <w:rPr>
          <w:rFonts w:ascii="Garamond" w:hAnsi="Garamond"/>
          <w:lang w:val="en-AU"/>
        </w:rPr>
        <w:t xml:space="preserve">The Commission is now, and has been for quite some time, a sapiential authority for safety and quality matters for Australia. While </w:t>
      </w:r>
      <w:r w:rsidRPr="00D22F09">
        <w:rPr>
          <w:rFonts w:ascii="Garamond" w:hAnsi="Garamond"/>
          <w:i/>
          <w:lang w:val="en-AU"/>
        </w:rPr>
        <w:t>On the radar</w:t>
      </w:r>
      <w:r w:rsidRPr="00D22F09">
        <w:rPr>
          <w:rFonts w:ascii="Garamond" w:hAnsi="Garamond"/>
          <w:lang w:val="en-AU"/>
        </w:rPr>
        <w:t xml:space="preserve"> was originally intended for internal consumption by Commission staff it soon became a resource for all involved in the delivery of safe and high quality health care. Niall has reasonably estimated that it now has a readership of 70,000 people each week.</w:t>
      </w:r>
    </w:p>
    <w:p w:rsidR="00776AE4" w:rsidRPr="00D22F09" w:rsidRDefault="00776AE4" w:rsidP="00776AE4">
      <w:pPr>
        <w:rPr>
          <w:rFonts w:ascii="Garamond" w:hAnsi="Garamond"/>
          <w:lang w:val="en-AU"/>
        </w:rPr>
      </w:pPr>
    </w:p>
    <w:p w:rsidR="00776AE4" w:rsidRPr="00D22F09" w:rsidRDefault="00776AE4" w:rsidP="00776AE4">
      <w:pPr>
        <w:rPr>
          <w:rFonts w:ascii="Garamond" w:hAnsi="Garamond"/>
          <w:lang w:val="en-AU"/>
        </w:rPr>
      </w:pPr>
      <w:r w:rsidRPr="00D22F09">
        <w:rPr>
          <w:rFonts w:ascii="Garamond" w:hAnsi="Garamond"/>
          <w:lang w:val="en-AU"/>
        </w:rPr>
        <w:t xml:space="preserve">I have had a number of roles since my time at the Commission but through all these roles, whether they be at a national level, in the public hospital system or in the private hospital system, or, indeed as a patient, I have always found there to be references which resonate and which assist my understanding and planning. </w:t>
      </w:r>
    </w:p>
    <w:p w:rsidR="00776AE4" w:rsidRPr="00BA3B0E" w:rsidRDefault="00776AE4" w:rsidP="00776AE4">
      <w:pPr>
        <w:rPr>
          <w:rFonts w:ascii="Garamond" w:hAnsi="Garamond"/>
          <w:highlight w:val="yellow"/>
          <w:lang w:val="en-AU"/>
        </w:rPr>
      </w:pPr>
    </w:p>
    <w:p w:rsidR="00776AE4" w:rsidRPr="00776AE4" w:rsidRDefault="00D22F09" w:rsidP="00776AE4">
      <w:pPr>
        <w:rPr>
          <w:rFonts w:ascii="Garamond" w:hAnsi="Garamond"/>
          <w:lang w:val="en-AU"/>
        </w:rPr>
      </w:pPr>
      <w:r w:rsidRPr="00D22F09">
        <w:rPr>
          <w:rFonts w:ascii="Garamond" w:hAnsi="Garamond"/>
          <w:lang w:val="en-AU"/>
        </w:rPr>
        <w:t>In planning this for</w:t>
      </w:r>
      <w:r w:rsidR="001F3849">
        <w:rPr>
          <w:rFonts w:ascii="Garamond" w:hAnsi="Garamond"/>
          <w:lang w:val="en-AU"/>
        </w:rPr>
        <w:t>e</w:t>
      </w:r>
      <w:r w:rsidRPr="00D22F09">
        <w:rPr>
          <w:rFonts w:ascii="Garamond" w:hAnsi="Garamond"/>
          <w:lang w:val="en-AU"/>
        </w:rPr>
        <w:t>w</w:t>
      </w:r>
      <w:r w:rsidR="001F3849">
        <w:rPr>
          <w:rFonts w:ascii="Garamond" w:hAnsi="Garamond"/>
          <w:lang w:val="en-AU"/>
        </w:rPr>
        <w:t>o</w:t>
      </w:r>
      <w:bookmarkStart w:id="1" w:name="_GoBack"/>
      <w:bookmarkEnd w:id="1"/>
      <w:r w:rsidRPr="00D22F09">
        <w:rPr>
          <w:rFonts w:ascii="Garamond" w:hAnsi="Garamond"/>
          <w:lang w:val="en-AU"/>
        </w:rPr>
        <w:t>rd I compared the contents of the first edition with the 499th.</w:t>
      </w:r>
      <w:r w:rsidR="00776AE4" w:rsidRPr="00776AE4">
        <w:rPr>
          <w:rFonts w:ascii="Garamond" w:hAnsi="Garamond"/>
          <w:lang w:val="en-AU"/>
        </w:rPr>
        <w:t xml:space="preserve"> One aspect is totally new, the focus on COVID-19. I do wonder if </w:t>
      </w:r>
      <w:r w:rsidR="00776AE4" w:rsidRPr="00776AE4">
        <w:rPr>
          <w:rFonts w:ascii="Garamond" w:hAnsi="Garamond"/>
          <w:i/>
          <w:lang w:val="en-AU"/>
        </w:rPr>
        <w:t>On the radar</w:t>
      </w:r>
      <w:r w:rsidR="00776AE4" w:rsidRPr="00776AE4">
        <w:rPr>
          <w:rFonts w:ascii="Garamond" w:hAnsi="Garamond"/>
          <w:lang w:val="en-AU"/>
        </w:rPr>
        <w:t xml:space="preserve"> had been produced in 2009 whether there would have been a plethora of articles on the H1N1 influenza pandemic? I imagine so. </w:t>
      </w:r>
    </w:p>
    <w:p w:rsidR="00776AE4" w:rsidRPr="00776AE4" w:rsidRDefault="00776AE4" w:rsidP="00776AE4">
      <w:pPr>
        <w:rPr>
          <w:rFonts w:ascii="Garamond" w:hAnsi="Garamond"/>
          <w:lang w:val="en-AU"/>
        </w:rPr>
      </w:pPr>
    </w:p>
    <w:p w:rsidR="00776AE4" w:rsidRPr="00776AE4" w:rsidRDefault="00776AE4" w:rsidP="00776AE4">
      <w:pPr>
        <w:rPr>
          <w:rFonts w:ascii="Garamond" w:hAnsi="Garamond"/>
          <w:lang w:val="en-AU"/>
        </w:rPr>
      </w:pPr>
      <w:r w:rsidRPr="00776AE4">
        <w:rPr>
          <w:rFonts w:ascii="Garamond" w:hAnsi="Garamond"/>
          <w:lang w:val="en-AU"/>
        </w:rPr>
        <w:t xml:space="preserve">Some things remain eerily similar. Thus in the first edition there were two consecutive articles: </w:t>
      </w:r>
    </w:p>
    <w:p w:rsidR="00776AE4" w:rsidRPr="00776AE4" w:rsidRDefault="00776AE4" w:rsidP="00776AE4">
      <w:pPr>
        <w:pStyle w:val="ListParagraph"/>
        <w:numPr>
          <w:ilvl w:val="0"/>
          <w:numId w:val="37"/>
        </w:numPr>
        <w:rPr>
          <w:rFonts w:ascii="Garamond" w:hAnsi="Garamond"/>
          <w:lang w:val="en-AU"/>
        </w:rPr>
      </w:pPr>
      <w:r w:rsidRPr="00776AE4">
        <w:rPr>
          <w:rFonts w:ascii="Garamond" w:hAnsi="Garamond"/>
          <w:i/>
          <w:lang w:val="en-AU"/>
        </w:rPr>
        <w:t>Devastatingly Human: An Analysis of Registered Nurses' Medication Error Accounts</w:t>
      </w:r>
      <w:r w:rsidRPr="00776AE4">
        <w:rPr>
          <w:rFonts w:ascii="Garamond" w:hAnsi="Garamond"/>
          <w:lang w:val="en-AU"/>
        </w:rPr>
        <w:t>. Qualitative Health Research 2010.</w:t>
      </w:r>
    </w:p>
    <w:p w:rsidR="00776AE4" w:rsidRPr="00776AE4" w:rsidRDefault="00776AE4" w:rsidP="00776AE4">
      <w:pPr>
        <w:pStyle w:val="ListParagraph"/>
        <w:numPr>
          <w:ilvl w:val="0"/>
          <w:numId w:val="37"/>
        </w:numPr>
        <w:rPr>
          <w:rFonts w:ascii="Garamond" w:hAnsi="Garamond"/>
          <w:lang w:val="en-AU"/>
        </w:rPr>
      </w:pPr>
      <w:r w:rsidRPr="00776AE4">
        <w:rPr>
          <w:rFonts w:ascii="Garamond" w:hAnsi="Garamond"/>
          <w:i/>
          <w:lang w:val="en-AU"/>
        </w:rPr>
        <w:t>Adherence to Surgical Care Improvement Project Measures and the Association With Postoperative Infections</w:t>
      </w:r>
      <w:r w:rsidRPr="00776AE4">
        <w:rPr>
          <w:rFonts w:ascii="Garamond" w:hAnsi="Garamond"/>
          <w:lang w:val="en-AU"/>
        </w:rPr>
        <w:t>. JAMA 2010;303:2479-85.</w:t>
      </w:r>
    </w:p>
    <w:p w:rsidR="00776AE4" w:rsidRPr="00776AE4" w:rsidRDefault="00776AE4" w:rsidP="00776AE4">
      <w:pPr>
        <w:rPr>
          <w:rFonts w:ascii="Garamond" w:hAnsi="Garamond"/>
          <w:lang w:val="en-AU"/>
        </w:rPr>
      </w:pPr>
    </w:p>
    <w:p w:rsidR="00776AE4" w:rsidRPr="00776AE4" w:rsidRDefault="00776AE4" w:rsidP="00776AE4">
      <w:pPr>
        <w:rPr>
          <w:rFonts w:ascii="Garamond" w:hAnsi="Garamond"/>
          <w:lang w:val="en-AU"/>
        </w:rPr>
      </w:pPr>
      <w:r w:rsidRPr="00776AE4">
        <w:rPr>
          <w:rFonts w:ascii="Garamond" w:hAnsi="Garamond"/>
          <w:lang w:val="en-AU"/>
        </w:rPr>
        <w:t>In edition 499 these consecutive articles appeared:</w:t>
      </w:r>
    </w:p>
    <w:p w:rsidR="00776AE4" w:rsidRPr="00776AE4" w:rsidRDefault="00776AE4" w:rsidP="00776AE4">
      <w:pPr>
        <w:pStyle w:val="ListParagraph"/>
        <w:numPr>
          <w:ilvl w:val="0"/>
          <w:numId w:val="38"/>
        </w:numPr>
        <w:rPr>
          <w:rFonts w:ascii="Garamond" w:hAnsi="Garamond"/>
          <w:lang w:val="en-AU"/>
        </w:rPr>
      </w:pPr>
      <w:r w:rsidRPr="00776AE4">
        <w:rPr>
          <w:rFonts w:ascii="Garamond" w:hAnsi="Garamond"/>
          <w:i/>
          <w:lang w:val="en-AU"/>
        </w:rPr>
        <w:t>The impact of critical incidents on nurses and midwives: a systematic review</w:t>
      </w:r>
      <w:r w:rsidRPr="00776AE4">
        <w:rPr>
          <w:rFonts w:ascii="Garamond" w:hAnsi="Garamond"/>
          <w:lang w:val="en-AU"/>
        </w:rPr>
        <w:t>. Journal of Clinical Nursing. 2021 [epub].</w:t>
      </w:r>
    </w:p>
    <w:p w:rsidR="00776AE4" w:rsidRPr="00776AE4" w:rsidRDefault="00776AE4" w:rsidP="00776AE4">
      <w:pPr>
        <w:pStyle w:val="ListParagraph"/>
        <w:numPr>
          <w:ilvl w:val="0"/>
          <w:numId w:val="38"/>
        </w:numPr>
        <w:rPr>
          <w:rFonts w:ascii="Garamond" w:hAnsi="Garamond"/>
          <w:lang w:val="en-AU"/>
        </w:rPr>
      </w:pPr>
      <w:r w:rsidRPr="00776AE4">
        <w:rPr>
          <w:rFonts w:ascii="Garamond" w:hAnsi="Garamond"/>
          <w:i/>
          <w:lang w:val="en-AU"/>
        </w:rPr>
        <w:t>Supporting recovery after adverse events: an essential component of surgeon well-being</w:t>
      </w:r>
      <w:r w:rsidRPr="00776AE4">
        <w:rPr>
          <w:rFonts w:ascii="Garamond" w:hAnsi="Garamond"/>
          <w:lang w:val="en-AU"/>
        </w:rPr>
        <w:t>. Journal of Pediatric Surgery. 2021 [epub].</w:t>
      </w:r>
    </w:p>
    <w:p w:rsidR="00776AE4" w:rsidRPr="00776AE4" w:rsidRDefault="00776AE4" w:rsidP="00776AE4">
      <w:pPr>
        <w:rPr>
          <w:rFonts w:ascii="Garamond" w:hAnsi="Garamond"/>
          <w:lang w:val="en-AU"/>
        </w:rPr>
      </w:pPr>
    </w:p>
    <w:p w:rsidR="00776AE4" w:rsidRPr="00776AE4" w:rsidRDefault="00776AE4" w:rsidP="00776AE4">
      <w:pPr>
        <w:rPr>
          <w:rFonts w:ascii="Garamond" w:hAnsi="Garamond"/>
          <w:lang w:val="en-AU"/>
        </w:rPr>
      </w:pPr>
      <w:r w:rsidRPr="00776AE4">
        <w:rPr>
          <w:rFonts w:ascii="Garamond" w:hAnsi="Garamond"/>
          <w:lang w:val="en-AU"/>
        </w:rPr>
        <w:t>What is new in the latter articles is their method of publication. I don’t recall seeing the reference to “epub” in the first edition!</w:t>
      </w:r>
    </w:p>
    <w:p w:rsidR="00776AE4" w:rsidRPr="00776AE4" w:rsidRDefault="00776AE4" w:rsidP="00776AE4">
      <w:pPr>
        <w:rPr>
          <w:rFonts w:ascii="Garamond" w:hAnsi="Garamond"/>
          <w:lang w:val="en-AU"/>
        </w:rPr>
      </w:pPr>
    </w:p>
    <w:p w:rsidR="00776AE4" w:rsidRPr="00776AE4" w:rsidRDefault="00776AE4" w:rsidP="00776AE4">
      <w:pPr>
        <w:rPr>
          <w:rFonts w:ascii="Garamond" w:hAnsi="Garamond"/>
          <w:lang w:val="en-AU"/>
        </w:rPr>
      </w:pPr>
      <w:r w:rsidRPr="00776AE4">
        <w:rPr>
          <w:rFonts w:ascii="Garamond" w:hAnsi="Garamond"/>
          <w:lang w:val="en-AU"/>
        </w:rPr>
        <w:t xml:space="preserve">Congratulations to Niall and to all at the Commission on providing this enduring resource for well over 10 years and, of course, for the totality of its work. One aspect of the Commission’s work which I, and countless others, are reminded of on a daily basis, as we work to ensure that the highest levels of safety and quality of health care in our environments are being provided, are the National Safety and Quality Health Service Standards. Thank goodness for all the assisting publications from the Commission to </w:t>
      </w:r>
      <w:r w:rsidR="001F3849">
        <w:rPr>
          <w:rFonts w:ascii="Garamond" w:hAnsi="Garamond"/>
          <w:lang w:val="en-AU"/>
        </w:rPr>
        <w:t xml:space="preserve">help </w:t>
      </w:r>
      <w:r w:rsidRPr="00776AE4">
        <w:rPr>
          <w:rFonts w:ascii="Garamond" w:hAnsi="Garamond"/>
          <w:lang w:val="en-AU"/>
        </w:rPr>
        <w:t>in that process.</w:t>
      </w:r>
    </w:p>
    <w:p w:rsidR="00776AE4" w:rsidRPr="00776AE4" w:rsidRDefault="00776AE4" w:rsidP="00776AE4">
      <w:pPr>
        <w:rPr>
          <w:rFonts w:ascii="Garamond" w:hAnsi="Garamond"/>
          <w:lang w:val="en-AU"/>
        </w:rPr>
      </w:pPr>
    </w:p>
    <w:p w:rsidR="00776AE4" w:rsidRPr="00776AE4" w:rsidRDefault="00776AE4" w:rsidP="00776AE4">
      <w:pPr>
        <w:rPr>
          <w:rFonts w:ascii="Garamond" w:hAnsi="Garamond"/>
          <w:lang w:val="en-AU"/>
        </w:rPr>
      </w:pPr>
      <w:r w:rsidRPr="00776AE4">
        <w:rPr>
          <w:rFonts w:ascii="Garamond" w:hAnsi="Garamond"/>
          <w:lang w:val="en-AU"/>
        </w:rPr>
        <w:t>I just hope that I’m around to write a foreword to the 1,000th edition!</w:t>
      </w:r>
    </w:p>
    <w:p w:rsidR="00776AE4" w:rsidRPr="00776AE4" w:rsidRDefault="00776AE4" w:rsidP="00776AE4">
      <w:pPr>
        <w:rPr>
          <w:rFonts w:ascii="Garamond" w:hAnsi="Garamond"/>
          <w:lang w:val="en-AU"/>
        </w:rPr>
      </w:pPr>
    </w:p>
    <w:p w:rsidR="00B14032" w:rsidRPr="00B14032" w:rsidRDefault="00776AE4" w:rsidP="00776AE4">
      <w:pPr>
        <w:rPr>
          <w:rFonts w:ascii="Garamond" w:hAnsi="Garamond"/>
          <w:lang w:val="en-AU"/>
        </w:rPr>
      </w:pPr>
      <w:r w:rsidRPr="00776AE4">
        <w:rPr>
          <w:rFonts w:ascii="Garamond" w:hAnsi="Garamond"/>
          <w:lang w:val="en-AU"/>
        </w:rPr>
        <w:t>Chris Baggoley</w:t>
      </w: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w:t>
      </w:r>
      <w:r w:rsidR="001F4BA0">
        <w:rPr>
          <w:rFonts w:ascii="Garamond" w:hAnsi="Garamond"/>
          <w:lang w:val="en-AU"/>
        </w:rPr>
        <w:t xml:space="preserve">se resource </w:t>
      </w:r>
      <w:r w:rsidRPr="00504597">
        <w:rPr>
          <w:rFonts w:ascii="Garamond" w:hAnsi="Garamond"/>
          <w:lang w:val="en-AU"/>
        </w:rPr>
        <w:t>include:</w:t>
      </w:r>
    </w:p>
    <w:p w:rsidR="001B3E7F" w:rsidRPr="001B3E7F" w:rsidRDefault="001B3E7F" w:rsidP="0000180A">
      <w:pPr>
        <w:pStyle w:val="ListParagraph"/>
        <w:keepNext/>
        <w:keepLines/>
        <w:numPr>
          <w:ilvl w:val="0"/>
          <w:numId w:val="16"/>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00180A">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00180A">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00180A">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00180A">
      <w:pPr>
        <w:pStyle w:val="ListParagraph"/>
        <w:numPr>
          <w:ilvl w:val="0"/>
          <w:numId w:val="16"/>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00180A">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00180A">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00180A">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00180A">
      <w:pPr>
        <w:pStyle w:val="ListParagraph"/>
        <w:numPr>
          <w:ilvl w:val="0"/>
          <w:numId w:val="16"/>
        </w:numPr>
        <w:tabs>
          <w:tab w:val="left" w:pos="0"/>
        </w:tabs>
        <w:rPr>
          <w:rFonts w:ascii="Garamond" w:hAnsi="Garamond"/>
          <w:lang w:val="en-AU"/>
        </w:rPr>
      </w:pPr>
      <w:r w:rsidRPr="000F7B68">
        <w:rPr>
          <w:rFonts w:ascii="Garamond" w:hAnsi="Garamond"/>
          <w:b/>
          <w:i/>
          <w:lang w:val="en-AU"/>
        </w:rPr>
        <w:t>Potential medicines to treat COVID-19</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00180A">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00180A">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3"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title="COVID-19 and face masks information for consumers poster im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7F0962" w:rsidRPr="007F0962" w:rsidRDefault="007F0962" w:rsidP="007F0962">
      <w:pPr>
        <w:keepNext/>
        <w:keepLines/>
        <w:rPr>
          <w:rFonts w:ascii="Garamond" w:hAnsi="Garamond"/>
          <w:i/>
          <w:lang w:val="en-AU"/>
        </w:rPr>
      </w:pPr>
      <w:r w:rsidRPr="007F0962">
        <w:rPr>
          <w:rFonts w:ascii="Garamond" w:hAnsi="Garamond"/>
          <w:i/>
          <w:lang w:val="en-AU"/>
        </w:rPr>
        <w:lastRenderedPageBreak/>
        <w:t>National COVID-19 Clinical Evidence Taskforce</w:t>
      </w:r>
    </w:p>
    <w:p w:rsidR="007F0962" w:rsidRPr="007F0962" w:rsidRDefault="001F3849" w:rsidP="007F0962">
      <w:pPr>
        <w:keepNext/>
        <w:keepLines/>
        <w:rPr>
          <w:rFonts w:ascii="Garamond" w:hAnsi="Garamond"/>
          <w:lang w:val="en-AU"/>
        </w:rPr>
      </w:pPr>
      <w:hyperlink r:id="rId36" w:history="1">
        <w:r w:rsidR="007F0962" w:rsidRPr="007F0962">
          <w:rPr>
            <w:rStyle w:val="Hyperlink"/>
            <w:rFonts w:ascii="Garamond" w:hAnsi="Garamond"/>
            <w:lang w:val="en-AU"/>
          </w:rPr>
          <w:t>https://covid19evidence.net.au/</w:t>
        </w:r>
      </w:hyperlink>
    </w:p>
    <w:p w:rsidR="007F0962" w:rsidRPr="007F0962" w:rsidRDefault="007F0962" w:rsidP="007F0962">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7F0962" w:rsidRPr="007F0962" w:rsidRDefault="007F0962" w:rsidP="007F0962">
      <w:pPr>
        <w:keepLines/>
        <w:rPr>
          <w:rFonts w:ascii="Garamond" w:hAnsi="Garamond"/>
          <w:i/>
          <w:lang w:val="en-AU"/>
        </w:rPr>
      </w:pPr>
    </w:p>
    <w:p w:rsidR="007230D7" w:rsidRPr="007F0962" w:rsidRDefault="007230D7" w:rsidP="007230D7">
      <w:pPr>
        <w:keepNext/>
        <w:keepLines/>
        <w:rPr>
          <w:rFonts w:ascii="Garamond" w:hAnsi="Garamond"/>
          <w:i/>
          <w:lang w:val="en-AU"/>
        </w:rPr>
      </w:pPr>
      <w:r w:rsidRPr="007F0962">
        <w:rPr>
          <w:rFonts w:ascii="Garamond" w:hAnsi="Garamond"/>
          <w:i/>
          <w:lang w:val="en-AU"/>
        </w:rPr>
        <w:t>COVID-19 Critical Intelligence Unit</w:t>
      </w:r>
    </w:p>
    <w:p w:rsidR="007230D7" w:rsidRPr="007F0962" w:rsidRDefault="001F3849" w:rsidP="007230D7">
      <w:pPr>
        <w:keepNext/>
        <w:keepLines/>
        <w:rPr>
          <w:rFonts w:ascii="Garamond" w:hAnsi="Garamond"/>
          <w:lang w:val="en-AU"/>
        </w:rPr>
      </w:pPr>
      <w:hyperlink r:id="rId37" w:history="1">
        <w:r w:rsidR="007230D7" w:rsidRPr="007F0962">
          <w:rPr>
            <w:rStyle w:val="Hyperlink"/>
            <w:rFonts w:ascii="Garamond" w:hAnsi="Garamond"/>
            <w:lang w:val="en-AU"/>
          </w:rPr>
          <w:t>https://www.aci.health.nsw.gov.au/covid-19/critical-intelligence-unit</w:t>
        </w:r>
      </w:hyperlink>
    </w:p>
    <w:p w:rsidR="009E0CB6" w:rsidRDefault="007230D7" w:rsidP="00AD66BA">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p>
    <w:p w:rsidR="00AD66BA" w:rsidRDefault="00AD66BA" w:rsidP="00AD66BA">
      <w:pPr>
        <w:keepNext/>
        <w:keepLines/>
        <w:rPr>
          <w:rFonts w:ascii="Garamond" w:hAnsi="Garamond"/>
          <w:lang w:val="en-AU"/>
        </w:rPr>
      </w:pPr>
    </w:p>
    <w:p w:rsidR="00AD66BA" w:rsidRDefault="00AD66BA" w:rsidP="00AD66BA">
      <w:pPr>
        <w:keepNext/>
        <w:keepLines/>
        <w:rPr>
          <w:rFonts w:ascii="Garamond" w:hAnsi="Garamond"/>
          <w:lang w:val="en-AU"/>
        </w:rPr>
      </w:pPr>
    </w:p>
    <w:p w:rsidR="00AD66BA" w:rsidRDefault="00AD66BA" w:rsidP="00AD66BA">
      <w:pPr>
        <w:keepNext/>
        <w:keepLines/>
        <w:rPr>
          <w:rFonts w:ascii="Garamond" w:hAnsi="Garamond"/>
          <w:i/>
          <w:lang w:val="en-AU"/>
        </w:rPr>
      </w:pPr>
    </w:p>
    <w:p w:rsidR="00453658" w:rsidRPr="00453658" w:rsidRDefault="00453658" w:rsidP="00453658">
      <w:pPr>
        <w:keepNext/>
        <w:rPr>
          <w:rFonts w:ascii="Garamond" w:hAnsi="Garamond"/>
          <w:b/>
          <w:lang w:val="en-AU"/>
        </w:rPr>
      </w:pPr>
      <w:r w:rsidRPr="00453658">
        <w:rPr>
          <w:rFonts w:ascii="Garamond" w:hAnsi="Garamond"/>
          <w:b/>
          <w:lang w:val="en-AU"/>
        </w:rPr>
        <w:t xml:space="preserve">How to analyse </w:t>
      </w:r>
      <w:r w:rsidRPr="00453658">
        <w:rPr>
          <w:rFonts w:ascii="Garamond" w:hAnsi="Garamond"/>
          <w:b/>
          <w:i/>
          <w:lang w:val="en-AU"/>
        </w:rPr>
        <w:t>Staphylococcus aureus</w:t>
      </w:r>
      <w:r w:rsidRPr="00453658">
        <w:rPr>
          <w:rFonts w:ascii="Garamond" w:hAnsi="Garamond"/>
          <w:b/>
          <w:lang w:val="en-AU"/>
        </w:rPr>
        <w:t xml:space="preserve"> bloodstream infection (SABSI) data for quality improvement</w:t>
      </w:r>
    </w:p>
    <w:p w:rsidR="00453658" w:rsidRDefault="00453658" w:rsidP="007F0962">
      <w:pPr>
        <w:keepNext/>
        <w:rPr>
          <w:rFonts w:ascii="Garamond" w:hAnsi="Garamond"/>
          <w:lang w:val="en-AU"/>
        </w:rPr>
      </w:pPr>
      <w:r w:rsidRPr="00453658">
        <w:rPr>
          <w:rFonts w:ascii="Garamond" w:hAnsi="Garamond"/>
          <w:lang w:val="en-AU"/>
        </w:rPr>
        <w:t>Australian Commission on Safety and Quality in Health Care</w:t>
      </w:r>
    </w:p>
    <w:p w:rsidR="00453658" w:rsidRDefault="00453658" w:rsidP="007F0962">
      <w:pPr>
        <w:keepNext/>
        <w:rPr>
          <w:rFonts w:ascii="Garamond" w:hAnsi="Garamond"/>
          <w:lang w:val="en-AU"/>
        </w:rPr>
      </w:pPr>
      <w:r w:rsidRPr="00453658">
        <w:rPr>
          <w:rFonts w:ascii="Garamond" w:hAnsi="Garamond"/>
          <w:lang w:val="en-AU"/>
        </w:rPr>
        <w:t>Sydney: ACSQHC; 2021. p. 4.</w:t>
      </w:r>
    </w:p>
    <w:p w:rsidR="00AA5CBF" w:rsidRDefault="001F3849" w:rsidP="007F0962">
      <w:pPr>
        <w:keepNext/>
        <w:rPr>
          <w:rFonts w:ascii="Garamond" w:hAnsi="Garamond"/>
          <w:lang w:val="en-AU"/>
        </w:rPr>
      </w:pPr>
      <w:hyperlink r:id="rId38" w:history="1">
        <w:r w:rsidR="00AA5CBF" w:rsidRPr="009A077D">
          <w:rPr>
            <w:rStyle w:val="Hyperlink"/>
            <w:rFonts w:ascii="Garamond" w:hAnsi="Garamond"/>
            <w:lang w:val="en-AU"/>
          </w:rPr>
          <w:t>https://www.safetyandquality.gov.au/publications-and-resources/resource-library/staphylococcus-aureus-bloodstream-infection-data-analysis-information-sheet</w:t>
        </w:r>
      </w:hyperlink>
    </w:p>
    <w:p w:rsidR="00AA5CBF" w:rsidRDefault="00AA5CBF" w:rsidP="007F0962">
      <w:pPr>
        <w:keepNext/>
        <w:rPr>
          <w:rFonts w:ascii="Garamond" w:hAnsi="Garamond"/>
          <w:lang w:val="en-AU"/>
        </w:rPr>
      </w:pPr>
    </w:p>
    <w:p w:rsidR="00AA5CBF" w:rsidRPr="00AA5CBF" w:rsidRDefault="00AA5CBF" w:rsidP="00AA5CBF">
      <w:pPr>
        <w:keepNext/>
        <w:rPr>
          <w:rFonts w:ascii="Garamond" w:hAnsi="Garamond"/>
          <w:lang w:val="en-AU"/>
        </w:rPr>
      </w:pPr>
      <w:r w:rsidRPr="00AA5CBF">
        <w:rPr>
          <w:rFonts w:ascii="Garamond" w:hAnsi="Garamond"/>
          <w:lang w:val="en-AU"/>
        </w:rPr>
        <w:t xml:space="preserve">The Australian Health Ministers Advisory Council (AHMAC) previously endorsed a revised national benchmark for healthcare-associated </w:t>
      </w:r>
      <w:r w:rsidRPr="00AA5CBF">
        <w:rPr>
          <w:rFonts w:ascii="Garamond" w:hAnsi="Garamond"/>
          <w:i/>
          <w:lang w:val="en-AU"/>
        </w:rPr>
        <w:t>Staphylococcus aureus bacteraemia</w:t>
      </w:r>
      <w:r w:rsidRPr="00AA5CBF">
        <w:rPr>
          <w:rFonts w:ascii="Garamond" w:hAnsi="Garamond"/>
          <w:lang w:val="en-AU"/>
        </w:rPr>
        <w:t xml:space="preserve"> (SAB) of 1.0 per 10,000 patient days for public hospitals, for the </w:t>
      </w:r>
      <w:r>
        <w:rPr>
          <w:rFonts w:ascii="Garamond" w:hAnsi="Garamond"/>
          <w:lang w:val="en-AU"/>
        </w:rPr>
        <w:t xml:space="preserve">purpose of national reporting. </w:t>
      </w:r>
      <w:r w:rsidRPr="00AA5CBF">
        <w:rPr>
          <w:rFonts w:ascii="Garamond" w:hAnsi="Garamond"/>
          <w:lang w:val="en-AU"/>
        </w:rPr>
        <w:t>The revised benchmark was implemented from 1 July 2020 to promote ongoing and sustained local safety and quality improvements.</w:t>
      </w:r>
    </w:p>
    <w:p w:rsidR="00AA5CBF" w:rsidRPr="00AA5CBF" w:rsidRDefault="00AA5CBF" w:rsidP="00AA5CBF">
      <w:pPr>
        <w:keepNext/>
        <w:rPr>
          <w:rFonts w:ascii="Garamond" w:hAnsi="Garamond"/>
          <w:lang w:val="en-AU"/>
        </w:rPr>
      </w:pPr>
    </w:p>
    <w:p w:rsidR="00AA5CBF" w:rsidRPr="00AA5CBF" w:rsidRDefault="00AA5CBF" w:rsidP="00AA5CBF">
      <w:pPr>
        <w:keepNext/>
        <w:rPr>
          <w:rFonts w:ascii="Garamond" w:hAnsi="Garamond"/>
          <w:lang w:val="en-AU"/>
        </w:rPr>
      </w:pPr>
      <w:r w:rsidRPr="00AA5CBF">
        <w:rPr>
          <w:rFonts w:ascii="Garamond" w:hAnsi="Garamond"/>
          <w:lang w:val="en-AU"/>
        </w:rPr>
        <w:t xml:space="preserve">To support the implementation of the revised benchmark, the </w:t>
      </w:r>
      <w:r>
        <w:rPr>
          <w:rFonts w:ascii="Garamond" w:hAnsi="Garamond"/>
          <w:lang w:val="en-AU"/>
        </w:rPr>
        <w:t xml:space="preserve">Australian </w:t>
      </w:r>
      <w:r w:rsidRPr="00AA5CBF">
        <w:rPr>
          <w:rFonts w:ascii="Garamond" w:hAnsi="Garamond"/>
          <w:lang w:val="en-AU"/>
        </w:rPr>
        <w:t xml:space="preserve">Commission </w:t>
      </w:r>
      <w:r>
        <w:rPr>
          <w:rFonts w:ascii="Garamond" w:hAnsi="Garamond"/>
          <w:lang w:val="en-AU"/>
        </w:rPr>
        <w:t xml:space="preserve">on Safety and Quality in Health Care </w:t>
      </w:r>
      <w:r w:rsidRPr="00AA5CBF">
        <w:rPr>
          <w:rFonts w:ascii="Garamond" w:hAnsi="Garamond"/>
          <w:lang w:val="en-AU"/>
        </w:rPr>
        <w:t xml:space="preserve">has recently published a new </w:t>
      </w:r>
      <w:hyperlink r:id="rId39" w:history="1">
        <w:r w:rsidRPr="009E0CB6">
          <w:rPr>
            <w:rStyle w:val="Hyperlink"/>
            <w:rFonts w:ascii="Garamond" w:hAnsi="Garamond"/>
            <w:lang w:val="en-AU"/>
          </w:rPr>
          <w:t>Information Sheet</w:t>
        </w:r>
      </w:hyperlink>
      <w:r w:rsidRPr="00AA5CBF">
        <w:rPr>
          <w:rFonts w:ascii="Garamond" w:hAnsi="Garamond"/>
          <w:lang w:val="en-AU"/>
        </w:rPr>
        <w:t xml:space="preserve"> to </w:t>
      </w:r>
      <w:r>
        <w:rPr>
          <w:rFonts w:ascii="Garamond" w:hAnsi="Garamond"/>
          <w:lang w:val="en-AU"/>
        </w:rPr>
        <w:t xml:space="preserve">assist </w:t>
      </w:r>
      <w:r w:rsidRPr="00AA5CBF">
        <w:rPr>
          <w:rFonts w:ascii="Garamond" w:hAnsi="Garamond"/>
          <w:lang w:val="en-AU"/>
        </w:rPr>
        <w:t>hospitals on how to better analyse and use their SAB surveillance data as part of a quality improvement approach. Understanding where and why these infections occur in a hospital should be an essential part of every hospital’s infection pr</w:t>
      </w:r>
      <w:r>
        <w:rPr>
          <w:rFonts w:ascii="Garamond" w:hAnsi="Garamond"/>
          <w:lang w:val="en-AU"/>
        </w:rPr>
        <w:t xml:space="preserve">evention and control strategy. </w:t>
      </w:r>
      <w:hyperlink r:id="rId40" w:history="1">
        <w:r w:rsidRPr="00AA5CBF">
          <w:rPr>
            <w:rStyle w:val="Hyperlink"/>
            <w:rFonts w:ascii="Garamond" w:hAnsi="Garamond"/>
            <w:lang w:val="en-AU"/>
          </w:rPr>
          <w:t>SAB surveillance</w:t>
        </w:r>
      </w:hyperlink>
      <w:r w:rsidRPr="00AA5CBF">
        <w:rPr>
          <w:rFonts w:ascii="Garamond" w:hAnsi="Garamond"/>
          <w:lang w:val="en-AU"/>
        </w:rPr>
        <w:t xml:space="preserve"> should be complemented with robust data analysis that breaks down data in a meaningful way and allows for hospitals to pinpoint where there have been wins and improvements in SAB prevention as well as areas where additional resources, different strategies and further efforts are needed. This new resource was developed in consultation with the Commission’s HAI Advisory Committee and jurisdictional infection prevention and control programs. </w:t>
      </w:r>
    </w:p>
    <w:p w:rsidR="00AA5CBF" w:rsidRPr="00AA5CBF" w:rsidRDefault="00AA5CBF" w:rsidP="00AA5CBF">
      <w:pPr>
        <w:keepNext/>
        <w:rPr>
          <w:rFonts w:ascii="Garamond" w:hAnsi="Garamond"/>
          <w:lang w:val="en-AU"/>
        </w:rPr>
      </w:pPr>
    </w:p>
    <w:p w:rsidR="00AA5CBF" w:rsidRDefault="00AA5CBF" w:rsidP="000F1C5A">
      <w:pPr>
        <w:rPr>
          <w:rFonts w:ascii="Garamond" w:hAnsi="Garamond"/>
          <w:lang w:val="en-AU"/>
        </w:rPr>
      </w:pPr>
      <w:r w:rsidRPr="00AA5CBF">
        <w:rPr>
          <w:rFonts w:ascii="Garamond" w:hAnsi="Garamond"/>
          <w:lang w:val="en-AU"/>
        </w:rPr>
        <w:t>This new Information Sheet is featured on the Commission’s website as part of the Commission’s online SAB prevention compendium</w:t>
      </w:r>
      <w:r>
        <w:rPr>
          <w:rFonts w:ascii="Garamond" w:hAnsi="Garamond"/>
          <w:lang w:val="en-AU"/>
        </w:rPr>
        <w:t xml:space="preserve"> at </w:t>
      </w:r>
      <w:hyperlink r:id="rId41" w:history="1">
        <w:r w:rsidR="00453658" w:rsidRPr="009A077D">
          <w:rPr>
            <w:rStyle w:val="Hyperlink"/>
            <w:rFonts w:ascii="Garamond" w:hAnsi="Garamond"/>
            <w:lang w:val="en-AU"/>
          </w:rPr>
          <w:t>https://www.safetyandquality.gov.au/sab</w:t>
        </w:r>
      </w:hyperlink>
      <w:r w:rsidR="00453658">
        <w:rPr>
          <w:rFonts w:ascii="Garamond" w:hAnsi="Garamond"/>
          <w:lang w:val="en-AU"/>
        </w:rPr>
        <w:t xml:space="preserve"> </w:t>
      </w:r>
      <w:r w:rsidRPr="00AA5CBF">
        <w:rPr>
          <w:rFonts w:ascii="Garamond" w:hAnsi="Garamond"/>
          <w:lang w:val="en-AU"/>
        </w:rPr>
        <w:t>and SAB surveillance resources</w:t>
      </w:r>
      <w:r>
        <w:rPr>
          <w:rFonts w:ascii="Garamond" w:hAnsi="Garamond"/>
          <w:lang w:val="en-AU"/>
        </w:rPr>
        <w:t xml:space="preserve"> at </w:t>
      </w:r>
      <w:hyperlink r:id="rId42" w:history="1">
        <w:r w:rsidRPr="009A077D">
          <w:rPr>
            <w:rStyle w:val="Hyperlink"/>
            <w:rFonts w:ascii="Garamond" w:hAnsi="Garamond"/>
            <w:lang w:val="en-AU"/>
          </w:rPr>
          <w:t>https://www.safetyandquality.gov.au/our-work/healthcare-associated-infection/national-hai-surveillance-initiative/myhospitals-staphylococcus-aureus-bacteraemia-data</w:t>
        </w:r>
      </w:hyperlink>
    </w:p>
    <w:p w:rsidR="00623191" w:rsidRDefault="00623191" w:rsidP="00E34A10">
      <w:pPr>
        <w:keepNext/>
        <w:keepLines/>
        <w:autoSpaceDE w:val="0"/>
        <w:autoSpaceDN w:val="0"/>
        <w:adjustRightInd w:val="0"/>
        <w:rPr>
          <w:rFonts w:ascii="Garamond" w:hAnsi="Garamond"/>
          <w:b/>
          <w:lang w:val="en-AU"/>
        </w:rPr>
      </w:pPr>
      <w:r>
        <w:rPr>
          <w:rFonts w:ascii="Garamond" w:hAnsi="Garamond"/>
          <w:b/>
          <w:lang w:val="en-AU"/>
        </w:rPr>
        <w:lastRenderedPageBreak/>
        <w:t>Reports</w:t>
      </w:r>
    </w:p>
    <w:p w:rsidR="00623191" w:rsidRDefault="00623191" w:rsidP="00E34A10">
      <w:pPr>
        <w:keepNext/>
        <w:keepLines/>
        <w:autoSpaceDE w:val="0"/>
        <w:autoSpaceDN w:val="0"/>
        <w:adjustRightInd w:val="0"/>
        <w:rPr>
          <w:rFonts w:ascii="Garamond" w:hAnsi="Garamond"/>
          <w:b/>
          <w:lang w:val="en-AU"/>
        </w:rPr>
      </w:pPr>
    </w:p>
    <w:p w:rsidR="00670948" w:rsidRPr="00670948" w:rsidRDefault="00670948" w:rsidP="00670948">
      <w:pPr>
        <w:keepNext/>
        <w:keepLines/>
        <w:autoSpaceDE w:val="0"/>
        <w:autoSpaceDN w:val="0"/>
        <w:adjustRightInd w:val="0"/>
        <w:rPr>
          <w:rFonts w:ascii="Garamond" w:hAnsi="Garamond"/>
          <w:i/>
          <w:lang w:val="en-AU"/>
        </w:rPr>
      </w:pPr>
      <w:r w:rsidRPr="00670948">
        <w:rPr>
          <w:rFonts w:ascii="Garamond" w:hAnsi="Garamond"/>
          <w:i/>
          <w:lang w:val="en-AU"/>
        </w:rPr>
        <w:t>Australia’s aged care system: the quality of care experience and community expectations</w:t>
      </w:r>
    </w:p>
    <w:p w:rsidR="00670948" w:rsidRPr="00670948" w:rsidRDefault="00670948" w:rsidP="00670948">
      <w:pPr>
        <w:keepNext/>
        <w:keepLines/>
        <w:autoSpaceDE w:val="0"/>
        <w:autoSpaceDN w:val="0"/>
        <w:adjustRightInd w:val="0"/>
        <w:rPr>
          <w:rFonts w:ascii="Garamond" w:hAnsi="Garamond"/>
          <w:lang w:val="en-AU"/>
        </w:rPr>
      </w:pPr>
      <w:r w:rsidRPr="00670948">
        <w:rPr>
          <w:rFonts w:ascii="Garamond" w:hAnsi="Garamond"/>
          <w:lang w:val="en-AU"/>
        </w:rPr>
        <w:t>A research study for the Royal Commission into Aged Care Quality and Safety</w:t>
      </w:r>
    </w:p>
    <w:p w:rsidR="00670948" w:rsidRPr="00670948" w:rsidRDefault="00670948" w:rsidP="00670948">
      <w:pPr>
        <w:keepNext/>
        <w:keepLines/>
        <w:autoSpaceDE w:val="0"/>
        <w:autoSpaceDN w:val="0"/>
        <w:adjustRightInd w:val="0"/>
        <w:rPr>
          <w:rFonts w:ascii="Garamond" w:hAnsi="Garamond"/>
          <w:lang w:val="en-AU"/>
        </w:rPr>
      </w:pPr>
      <w:r w:rsidRPr="00670948">
        <w:rPr>
          <w:rFonts w:ascii="Garamond" w:hAnsi="Garamond"/>
          <w:lang w:val="en-AU"/>
        </w:rPr>
        <w:t>Ratcliffe J, Chen G, Khadka J, Kumaran S, Hutchinson C, Milte R, et al</w:t>
      </w:r>
    </w:p>
    <w:p w:rsidR="00670948" w:rsidRDefault="00670948" w:rsidP="00670948">
      <w:pPr>
        <w:keepNext/>
        <w:keepLines/>
        <w:autoSpaceDE w:val="0"/>
        <w:autoSpaceDN w:val="0"/>
        <w:adjustRightInd w:val="0"/>
        <w:rPr>
          <w:rFonts w:ascii="Garamond" w:hAnsi="Garamond"/>
          <w:lang w:val="en-AU"/>
        </w:rPr>
      </w:pPr>
      <w:r w:rsidRPr="00670948">
        <w:rPr>
          <w:rFonts w:ascii="Garamond" w:hAnsi="Garamond"/>
          <w:lang w:val="en-AU"/>
        </w:rPr>
        <w:t>Adelaide: Caring Futures Institute, Flinders University; 2020.</w:t>
      </w:r>
    </w:p>
    <w:p w:rsidR="002810C1" w:rsidRDefault="002810C1" w:rsidP="00670948">
      <w:pPr>
        <w:keepNext/>
        <w:keepLines/>
        <w:autoSpaceDE w:val="0"/>
        <w:autoSpaceDN w:val="0"/>
        <w:adjustRightInd w:val="0"/>
        <w:rPr>
          <w:rFonts w:ascii="Garamond" w:hAnsi="Garamond"/>
          <w:lang w:val="en-AU"/>
        </w:rPr>
      </w:pPr>
    </w:p>
    <w:p w:rsidR="002810C1" w:rsidRPr="002810C1" w:rsidRDefault="002810C1" w:rsidP="002810C1">
      <w:pPr>
        <w:keepNext/>
        <w:keepLines/>
        <w:autoSpaceDE w:val="0"/>
        <w:autoSpaceDN w:val="0"/>
        <w:adjustRightInd w:val="0"/>
        <w:rPr>
          <w:rFonts w:ascii="Garamond" w:hAnsi="Garamond"/>
          <w:i/>
          <w:lang w:val="en-AU"/>
        </w:rPr>
      </w:pPr>
      <w:r w:rsidRPr="002810C1">
        <w:rPr>
          <w:rFonts w:ascii="Garamond" w:hAnsi="Garamond"/>
          <w:i/>
          <w:lang w:val="en-AU"/>
        </w:rPr>
        <w:t>A new measure of quality of care experience in aged care: psychometric assessment and validation of the Quality of Care Experience (QCE) questionnaire</w:t>
      </w:r>
    </w:p>
    <w:p w:rsidR="002810C1" w:rsidRDefault="002810C1" w:rsidP="00670948">
      <w:pPr>
        <w:keepNext/>
        <w:keepLines/>
        <w:autoSpaceDE w:val="0"/>
        <w:autoSpaceDN w:val="0"/>
        <w:adjustRightInd w:val="0"/>
        <w:rPr>
          <w:rFonts w:ascii="Garamond" w:hAnsi="Garamond"/>
          <w:lang w:val="en-AU"/>
        </w:rPr>
      </w:pPr>
      <w:r w:rsidRPr="002810C1">
        <w:rPr>
          <w:rFonts w:ascii="Garamond" w:hAnsi="Garamond"/>
          <w:lang w:val="en-AU"/>
        </w:rPr>
        <w:t>Ratcliffe J, Chen G, Khadka J, Kumaran S, Hutchinson C, Milte R, et al</w:t>
      </w:r>
    </w:p>
    <w:p w:rsidR="002810C1" w:rsidRPr="00670948" w:rsidRDefault="002810C1" w:rsidP="00670948">
      <w:pPr>
        <w:keepNext/>
        <w:keepLines/>
        <w:autoSpaceDE w:val="0"/>
        <w:autoSpaceDN w:val="0"/>
        <w:adjustRightInd w:val="0"/>
        <w:rPr>
          <w:rFonts w:ascii="Garamond" w:hAnsi="Garamond"/>
          <w:lang w:val="en-AU"/>
        </w:rPr>
      </w:pPr>
      <w:r w:rsidRPr="002810C1">
        <w:rPr>
          <w:rFonts w:ascii="Garamond" w:hAnsi="Garamond"/>
          <w:lang w:val="en-AU"/>
        </w:rPr>
        <w:t>Adelaide: Caring Futures Institute, Flinders University; 2020.</w:t>
      </w:r>
    </w:p>
    <w:tbl>
      <w:tblPr>
        <w:tblStyle w:val="TableGrid"/>
        <w:tblW w:w="9360" w:type="dxa"/>
        <w:tblInd w:w="288" w:type="dxa"/>
        <w:tblLayout w:type="fixed"/>
        <w:tblLook w:val="01E0" w:firstRow="1" w:lastRow="1" w:firstColumn="1" w:lastColumn="1" w:noHBand="0" w:noVBand="0"/>
      </w:tblPr>
      <w:tblGrid>
        <w:gridCol w:w="1080"/>
        <w:gridCol w:w="8280"/>
      </w:tblGrid>
      <w:tr w:rsidR="00623191"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623191" w:rsidRPr="000170DA" w:rsidRDefault="00037479" w:rsidP="00FB774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23191" w:rsidRPr="000170DA" w:rsidRDefault="001F3849" w:rsidP="00FB7748">
            <w:pPr>
              <w:keepNext/>
              <w:rPr>
                <w:rStyle w:val="Hyperlink"/>
                <w:rFonts w:ascii="Garamond" w:hAnsi="Garamond"/>
                <w:color w:val="auto"/>
                <w:u w:val="none"/>
                <w:lang w:val="en-AU"/>
              </w:rPr>
            </w:pPr>
            <w:hyperlink r:id="rId43" w:history="1">
              <w:r w:rsidR="00037479" w:rsidRPr="00E921E3">
                <w:rPr>
                  <w:rStyle w:val="Hyperlink"/>
                  <w:rFonts w:ascii="Garamond" w:hAnsi="Garamond"/>
                  <w:lang w:val="en-AU"/>
                </w:rPr>
                <w:t>https://agedcare.royalcommission.gov.au/publications/research-paper-20-quality-care-experience-and-community-expectations</w:t>
              </w:r>
            </w:hyperlink>
          </w:p>
        </w:tc>
      </w:tr>
      <w:tr w:rsidR="00623191"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623191" w:rsidRPr="000170DA" w:rsidRDefault="00623191" w:rsidP="00FB77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810C1" w:rsidRPr="002810C1" w:rsidRDefault="00037479" w:rsidP="002810C1">
            <w:pPr>
              <w:rPr>
                <w:rFonts w:ascii="Garamond" w:hAnsi="Garamond"/>
                <w:lang w:val="en-AU"/>
              </w:rPr>
            </w:pPr>
            <w:r>
              <w:rPr>
                <w:rFonts w:ascii="Garamond" w:hAnsi="Garamond"/>
                <w:lang w:val="en-AU"/>
              </w:rPr>
              <w:t xml:space="preserve">The Royal Commission into Aged Care Quality and Safety has commissioned a number of research projects and reports. </w:t>
            </w:r>
            <w:r w:rsidR="002810C1">
              <w:rPr>
                <w:rFonts w:ascii="Garamond" w:hAnsi="Garamond"/>
                <w:lang w:val="en-AU"/>
              </w:rPr>
              <w:t xml:space="preserve">This research paper, produced by the Caring Futures Institute at Flinders University, is the most recent release. A number of the research projects have </w:t>
            </w:r>
            <w:r w:rsidR="002810C1" w:rsidRPr="002810C1">
              <w:rPr>
                <w:rFonts w:ascii="Garamond" w:hAnsi="Garamond"/>
                <w:lang w:val="en-AU"/>
              </w:rPr>
              <w:t>utilised a large-scale general public survey of Australians and two surveys of older people receiving home care and residential care in Australia (or their family carer as a proxy).</w:t>
            </w:r>
            <w:r w:rsidR="002810C1">
              <w:rPr>
                <w:rFonts w:ascii="Garamond" w:hAnsi="Garamond"/>
                <w:lang w:val="en-AU"/>
              </w:rPr>
              <w:t xml:space="preserve"> </w:t>
            </w:r>
            <w:r w:rsidR="002810C1" w:rsidRPr="002810C1">
              <w:rPr>
                <w:rFonts w:ascii="Garamond" w:hAnsi="Garamond"/>
                <w:lang w:val="en-AU"/>
              </w:rPr>
              <w:t>The surveys of people receiving care used a new questionnaire that measures the Quality of</w:t>
            </w:r>
            <w:r w:rsidR="002810C1">
              <w:rPr>
                <w:rFonts w:ascii="Garamond" w:hAnsi="Garamond"/>
                <w:lang w:val="en-AU"/>
              </w:rPr>
              <w:t xml:space="preserve"> </w:t>
            </w:r>
            <w:r w:rsidR="002810C1" w:rsidRPr="002810C1">
              <w:rPr>
                <w:rFonts w:ascii="Garamond" w:hAnsi="Garamond"/>
                <w:lang w:val="en-AU"/>
              </w:rPr>
              <w:t>Care Experience (QCE) in aged care containing 6 attributes rated on a 5-point Likert response</w:t>
            </w:r>
            <w:r w:rsidR="002810C1">
              <w:rPr>
                <w:rFonts w:ascii="Garamond" w:hAnsi="Garamond"/>
                <w:lang w:val="en-AU"/>
              </w:rPr>
              <w:t xml:space="preserve"> </w:t>
            </w:r>
            <w:r w:rsidR="002810C1" w:rsidRPr="002810C1">
              <w:rPr>
                <w:rFonts w:ascii="Garamond" w:hAnsi="Garamond"/>
                <w:lang w:val="en-AU"/>
              </w:rPr>
              <w:t>scale. The attributes were:</w:t>
            </w:r>
          </w:p>
          <w:p w:rsidR="002810C1" w:rsidRPr="002810C1" w:rsidRDefault="002810C1" w:rsidP="002810C1">
            <w:pPr>
              <w:pStyle w:val="ListParagraph"/>
              <w:numPr>
                <w:ilvl w:val="0"/>
                <w:numId w:val="35"/>
              </w:numPr>
              <w:rPr>
                <w:rFonts w:ascii="Garamond" w:hAnsi="Garamond"/>
                <w:lang w:val="en-AU"/>
              </w:rPr>
            </w:pPr>
            <w:r w:rsidRPr="002810C1">
              <w:rPr>
                <w:rFonts w:ascii="Garamond" w:hAnsi="Garamond"/>
                <w:lang w:val="en-AU"/>
              </w:rPr>
              <w:t>I am treated with respect and dignity</w:t>
            </w:r>
          </w:p>
          <w:p w:rsidR="002810C1" w:rsidRPr="002810C1" w:rsidRDefault="002810C1" w:rsidP="002810C1">
            <w:pPr>
              <w:pStyle w:val="ListParagraph"/>
              <w:numPr>
                <w:ilvl w:val="0"/>
                <w:numId w:val="35"/>
              </w:numPr>
              <w:rPr>
                <w:rFonts w:ascii="Garamond" w:hAnsi="Garamond"/>
                <w:lang w:val="en-AU"/>
              </w:rPr>
            </w:pPr>
            <w:r w:rsidRPr="002810C1">
              <w:rPr>
                <w:rFonts w:ascii="Garamond" w:hAnsi="Garamond"/>
                <w:lang w:val="en-AU"/>
              </w:rPr>
              <w:t>I am supported to make my own decisions about the care and services I receive</w:t>
            </w:r>
          </w:p>
          <w:p w:rsidR="002810C1" w:rsidRPr="00385401" w:rsidRDefault="002810C1" w:rsidP="005D6AA8">
            <w:pPr>
              <w:pStyle w:val="ListParagraph"/>
              <w:numPr>
                <w:ilvl w:val="0"/>
                <w:numId w:val="35"/>
              </w:numPr>
              <w:rPr>
                <w:rFonts w:ascii="Garamond" w:hAnsi="Garamond"/>
                <w:lang w:val="en-AU"/>
              </w:rPr>
            </w:pPr>
            <w:r w:rsidRPr="00385401">
              <w:rPr>
                <w:rFonts w:ascii="Garamond" w:hAnsi="Garamond"/>
                <w:lang w:val="en-AU"/>
              </w:rPr>
              <w:t>I receive care and support from aged care staff who have the appropriate skills and</w:t>
            </w:r>
            <w:r w:rsidR="00385401">
              <w:rPr>
                <w:rFonts w:ascii="Garamond" w:hAnsi="Garamond"/>
                <w:lang w:val="en-AU"/>
              </w:rPr>
              <w:t xml:space="preserve"> </w:t>
            </w:r>
            <w:r w:rsidRPr="00385401">
              <w:rPr>
                <w:rFonts w:ascii="Garamond" w:hAnsi="Garamond"/>
                <w:lang w:val="en-AU"/>
              </w:rPr>
              <w:t>training</w:t>
            </w:r>
          </w:p>
          <w:p w:rsidR="002810C1" w:rsidRPr="00385401" w:rsidRDefault="002810C1" w:rsidP="00FF7C67">
            <w:pPr>
              <w:pStyle w:val="ListParagraph"/>
              <w:numPr>
                <w:ilvl w:val="0"/>
                <w:numId w:val="35"/>
              </w:numPr>
              <w:rPr>
                <w:rFonts w:ascii="Garamond" w:hAnsi="Garamond"/>
                <w:lang w:val="en-AU"/>
              </w:rPr>
            </w:pPr>
            <w:r w:rsidRPr="00385401">
              <w:rPr>
                <w:rFonts w:ascii="Garamond" w:hAnsi="Garamond"/>
                <w:lang w:val="en-AU"/>
              </w:rPr>
              <w:t>I receive services and support for daily living that are important for my health and</w:t>
            </w:r>
            <w:r w:rsidR="00385401">
              <w:rPr>
                <w:rFonts w:ascii="Garamond" w:hAnsi="Garamond"/>
                <w:lang w:val="en-AU"/>
              </w:rPr>
              <w:t xml:space="preserve"> </w:t>
            </w:r>
            <w:r w:rsidRPr="00385401">
              <w:rPr>
                <w:rFonts w:ascii="Garamond" w:hAnsi="Garamond"/>
                <w:lang w:val="en-AU"/>
              </w:rPr>
              <w:t>wellbeing</w:t>
            </w:r>
          </w:p>
          <w:p w:rsidR="002810C1" w:rsidRPr="002810C1" w:rsidRDefault="002810C1" w:rsidP="002810C1">
            <w:pPr>
              <w:pStyle w:val="ListParagraph"/>
              <w:numPr>
                <w:ilvl w:val="0"/>
                <w:numId w:val="35"/>
              </w:numPr>
              <w:rPr>
                <w:rFonts w:ascii="Garamond" w:hAnsi="Garamond"/>
                <w:lang w:val="en-AU"/>
              </w:rPr>
            </w:pPr>
            <w:r w:rsidRPr="002810C1">
              <w:rPr>
                <w:rFonts w:ascii="Garamond" w:hAnsi="Garamond"/>
                <w:lang w:val="en-AU"/>
              </w:rPr>
              <w:t>I am supported to maintain my social relationships and connections with the community</w:t>
            </w:r>
          </w:p>
          <w:p w:rsidR="002810C1" w:rsidRDefault="002810C1" w:rsidP="002810C1">
            <w:pPr>
              <w:pStyle w:val="ListParagraph"/>
              <w:numPr>
                <w:ilvl w:val="0"/>
                <w:numId w:val="35"/>
              </w:numPr>
              <w:rPr>
                <w:rFonts w:ascii="Garamond" w:hAnsi="Garamond"/>
                <w:lang w:val="en-AU"/>
              </w:rPr>
            </w:pPr>
            <w:r w:rsidRPr="002810C1">
              <w:rPr>
                <w:rFonts w:ascii="Garamond" w:hAnsi="Garamond"/>
                <w:lang w:val="en-AU"/>
              </w:rPr>
              <w:t>I am comfortable lodging complaints, with confidence that appropriate action will be taken.</w:t>
            </w:r>
          </w:p>
          <w:p w:rsidR="002810C1" w:rsidRDefault="002810C1" w:rsidP="002810C1">
            <w:pPr>
              <w:rPr>
                <w:rFonts w:ascii="Garamond" w:hAnsi="Garamond"/>
                <w:lang w:val="en-AU"/>
              </w:rPr>
            </w:pPr>
            <w:r>
              <w:rPr>
                <w:rFonts w:ascii="Garamond" w:hAnsi="Garamond"/>
                <w:lang w:val="en-AU"/>
              </w:rPr>
              <w:t>The authors of this report observe that ‘</w:t>
            </w:r>
            <w:r w:rsidRPr="002810C1">
              <w:rPr>
                <w:rFonts w:ascii="Garamond" w:hAnsi="Garamond"/>
                <w:lang w:val="en-AU"/>
              </w:rPr>
              <w:t>Results from the national surveys of care recipients were alarming. Only 24% of people</w:t>
            </w:r>
            <w:r>
              <w:rPr>
                <w:rFonts w:ascii="Garamond" w:hAnsi="Garamond"/>
                <w:lang w:val="en-AU"/>
              </w:rPr>
              <w:t xml:space="preserve"> </w:t>
            </w:r>
            <w:r w:rsidRPr="002810C1">
              <w:rPr>
                <w:rFonts w:ascii="Garamond" w:hAnsi="Garamond"/>
                <w:lang w:val="en-AU"/>
              </w:rPr>
              <w:t>receiving residential care, and 20% of people in home care, felt their care needs were always</w:t>
            </w:r>
            <w:r>
              <w:rPr>
                <w:rFonts w:ascii="Garamond" w:hAnsi="Garamond"/>
                <w:lang w:val="en-AU"/>
              </w:rPr>
              <w:t xml:space="preserve"> </w:t>
            </w:r>
            <w:r w:rsidRPr="002810C1">
              <w:rPr>
                <w:rFonts w:ascii="Garamond" w:hAnsi="Garamond"/>
                <w:lang w:val="en-AU"/>
              </w:rPr>
              <w:t>met across all quality of care experience attributes (including the amalgamated complaints</w:t>
            </w:r>
            <w:r>
              <w:rPr>
                <w:rFonts w:ascii="Garamond" w:hAnsi="Garamond"/>
                <w:lang w:val="en-AU"/>
              </w:rPr>
              <w:t xml:space="preserve"> </w:t>
            </w:r>
            <w:r w:rsidRPr="002810C1">
              <w:rPr>
                <w:rFonts w:ascii="Garamond" w:hAnsi="Garamond"/>
                <w:lang w:val="en-AU"/>
              </w:rPr>
              <w:t>attribute).</w:t>
            </w:r>
            <w:r>
              <w:rPr>
                <w:rFonts w:ascii="Garamond" w:hAnsi="Garamond"/>
                <w:lang w:val="en-AU"/>
              </w:rPr>
              <w:t>’</w:t>
            </w:r>
          </w:p>
          <w:p w:rsidR="002810C1" w:rsidRPr="002810C1" w:rsidRDefault="002810C1" w:rsidP="002810C1">
            <w:pPr>
              <w:rPr>
                <w:rFonts w:ascii="Garamond" w:hAnsi="Garamond"/>
                <w:lang w:val="en-AU"/>
              </w:rPr>
            </w:pPr>
            <w:r>
              <w:rPr>
                <w:rFonts w:ascii="Garamond" w:hAnsi="Garamond"/>
                <w:lang w:val="en-AU"/>
              </w:rPr>
              <w:t>They go on to state that ‘</w:t>
            </w:r>
            <w:r w:rsidRPr="002810C1">
              <w:rPr>
                <w:rFonts w:ascii="Garamond" w:hAnsi="Garamond"/>
                <w:lang w:val="en-AU"/>
              </w:rPr>
              <w:t>These surveys provide Australia with an important set of baseline data from which to evaluate</w:t>
            </w:r>
            <w:r>
              <w:rPr>
                <w:rFonts w:ascii="Garamond" w:hAnsi="Garamond"/>
                <w:lang w:val="en-AU"/>
              </w:rPr>
              <w:t xml:space="preserve"> </w:t>
            </w:r>
            <w:r w:rsidRPr="002810C1">
              <w:rPr>
                <w:rFonts w:ascii="Garamond" w:hAnsi="Garamond"/>
                <w:lang w:val="en-AU"/>
              </w:rPr>
              <w:t>aged care reform and public expectations in the future. Importantly, they also enabled the</w:t>
            </w:r>
            <w:r>
              <w:rPr>
                <w:rFonts w:ascii="Garamond" w:hAnsi="Garamond"/>
                <w:lang w:val="en-AU"/>
              </w:rPr>
              <w:t xml:space="preserve"> </w:t>
            </w:r>
            <w:r w:rsidRPr="002810C1">
              <w:rPr>
                <w:rFonts w:ascii="Garamond" w:hAnsi="Garamond"/>
                <w:lang w:val="en-AU"/>
              </w:rPr>
              <w:t>development and validation of the QCE which has filled the gap in the research toolkit needed</w:t>
            </w:r>
            <w:r>
              <w:rPr>
                <w:rFonts w:ascii="Garamond" w:hAnsi="Garamond"/>
                <w:lang w:val="en-AU"/>
              </w:rPr>
              <w:t xml:space="preserve"> </w:t>
            </w:r>
            <w:r w:rsidRPr="002810C1">
              <w:rPr>
                <w:rFonts w:ascii="Garamond" w:hAnsi="Garamond"/>
                <w:lang w:val="en-AU"/>
              </w:rPr>
              <w:t>to measure the overall quality of care experience from the care recipient’s perspective.</w:t>
            </w:r>
            <w:r>
              <w:rPr>
                <w:rFonts w:ascii="Garamond" w:hAnsi="Garamond"/>
                <w:lang w:val="en-AU"/>
              </w:rPr>
              <w:t xml:space="preserve"> </w:t>
            </w:r>
          </w:p>
          <w:p w:rsidR="002810C1" w:rsidRPr="002810C1" w:rsidRDefault="002810C1" w:rsidP="002810C1">
            <w:pPr>
              <w:rPr>
                <w:rFonts w:ascii="Garamond" w:hAnsi="Garamond"/>
                <w:lang w:val="en-AU"/>
              </w:rPr>
            </w:pPr>
            <w:r w:rsidRPr="002810C1">
              <w:rPr>
                <w:rFonts w:ascii="Garamond" w:hAnsi="Garamond"/>
                <w:lang w:val="en-AU"/>
              </w:rPr>
              <w:t>Routine measurement and public reporting of quality of care experience, as well as quality of</w:t>
            </w:r>
            <w:r>
              <w:rPr>
                <w:rFonts w:ascii="Garamond" w:hAnsi="Garamond"/>
                <w:lang w:val="en-AU"/>
              </w:rPr>
              <w:t xml:space="preserve"> </w:t>
            </w:r>
            <w:r w:rsidRPr="002810C1">
              <w:rPr>
                <w:rFonts w:ascii="Garamond" w:hAnsi="Garamond"/>
                <w:lang w:val="en-AU"/>
              </w:rPr>
              <w:t>life, are essential to understanding the effectiveness of aged care in Australia and</w:t>
            </w:r>
            <w:r>
              <w:rPr>
                <w:rFonts w:ascii="Garamond" w:hAnsi="Garamond"/>
                <w:lang w:val="en-AU"/>
              </w:rPr>
              <w:t xml:space="preserve"> </w:t>
            </w:r>
            <w:r w:rsidRPr="002810C1">
              <w:rPr>
                <w:rFonts w:ascii="Garamond" w:hAnsi="Garamond"/>
                <w:lang w:val="en-AU"/>
              </w:rPr>
              <w:t>internationally. By repeating the surveys at regular intervals, it will be possible to monitor the</w:t>
            </w:r>
            <w:r>
              <w:rPr>
                <w:rFonts w:ascii="Garamond" w:hAnsi="Garamond"/>
                <w:lang w:val="en-AU"/>
              </w:rPr>
              <w:t xml:space="preserve"> </w:t>
            </w:r>
            <w:r w:rsidRPr="002810C1">
              <w:rPr>
                <w:rFonts w:ascii="Garamond" w:hAnsi="Garamond"/>
                <w:lang w:val="en-AU"/>
              </w:rPr>
              <w:t>progress of Australian aged care, promote continuous quality improvement among service</w:t>
            </w:r>
            <w:r>
              <w:rPr>
                <w:rFonts w:ascii="Garamond" w:hAnsi="Garamond"/>
                <w:lang w:val="en-AU"/>
              </w:rPr>
              <w:t xml:space="preserve"> </w:t>
            </w:r>
            <w:r w:rsidRPr="002810C1">
              <w:rPr>
                <w:rFonts w:ascii="Garamond" w:hAnsi="Garamond"/>
                <w:lang w:val="en-AU"/>
              </w:rPr>
              <w:t>providers, and move more quickly to address problems within the system.</w:t>
            </w:r>
            <w:r>
              <w:rPr>
                <w:rFonts w:ascii="Garamond" w:hAnsi="Garamond"/>
                <w:lang w:val="en-AU"/>
              </w:rPr>
              <w:t>’</w:t>
            </w:r>
          </w:p>
        </w:tc>
      </w:tr>
    </w:tbl>
    <w:p w:rsidR="000A4614" w:rsidRPr="00037479" w:rsidRDefault="000A4614" w:rsidP="00623191">
      <w:pPr>
        <w:keepNext/>
        <w:keepLines/>
        <w:autoSpaceDE w:val="0"/>
        <w:autoSpaceDN w:val="0"/>
        <w:adjustRightInd w:val="0"/>
        <w:rPr>
          <w:rFonts w:ascii="Garamond" w:hAnsi="Garamond"/>
          <w:i/>
          <w:lang w:val="en-AU"/>
        </w:rPr>
      </w:pPr>
      <w:r w:rsidRPr="00037479">
        <w:rPr>
          <w:rFonts w:ascii="Garamond" w:hAnsi="Garamond"/>
          <w:i/>
          <w:lang w:val="en-AU"/>
        </w:rPr>
        <w:lastRenderedPageBreak/>
        <w:t>Aged health services in NSW</w:t>
      </w:r>
    </w:p>
    <w:p w:rsidR="00C06F7D" w:rsidRDefault="00C06F7D" w:rsidP="000A4614">
      <w:pPr>
        <w:keepNext/>
        <w:keepLines/>
        <w:autoSpaceDE w:val="0"/>
        <w:autoSpaceDN w:val="0"/>
        <w:adjustRightInd w:val="0"/>
        <w:rPr>
          <w:rFonts w:ascii="Garamond" w:hAnsi="Garamond"/>
          <w:lang w:val="en-AU"/>
        </w:rPr>
      </w:pPr>
      <w:r w:rsidRPr="00C06F7D">
        <w:rPr>
          <w:rFonts w:ascii="Garamond" w:hAnsi="Garamond"/>
          <w:lang w:val="en-AU"/>
        </w:rPr>
        <w:t>NSW Agency for Clinical Innovation</w:t>
      </w:r>
    </w:p>
    <w:p w:rsidR="000A4614" w:rsidRDefault="00C06F7D" w:rsidP="000A4614">
      <w:pPr>
        <w:keepNext/>
        <w:keepLines/>
        <w:autoSpaceDE w:val="0"/>
        <w:autoSpaceDN w:val="0"/>
        <w:adjustRightInd w:val="0"/>
        <w:rPr>
          <w:rFonts w:ascii="Garamond" w:hAnsi="Garamond"/>
          <w:lang w:val="en-AU"/>
        </w:rPr>
      </w:pPr>
      <w:r w:rsidRPr="00C06F7D">
        <w:rPr>
          <w:rFonts w:ascii="Garamond" w:hAnsi="Garamond"/>
          <w:lang w:val="en-AU"/>
        </w:rPr>
        <w:t>Sydney: ACI; 2021.</w:t>
      </w:r>
    </w:p>
    <w:tbl>
      <w:tblPr>
        <w:tblStyle w:val="TableGrid"/>
        <w:tblW w:w="9360" w:type="dxa"/>
        <w:tblInd w:w="288" w:type="dxa"/>
        <w:tblLayout w:type="fixed"/>
        <w:tblLook w:val="01E0" w:firstRow="1" w:lastRow="1" w:firstColumn="1" w:lastColumn="1" w:noHBand="0" w:noVBand="0"/>
      </w:tblPr>
      <w:tblGrid>
        <w:gridCol w:w="1080"/>
        <w:gridCol w:w="8280"/>
      </w:tblGrid>
      <w:tr w:rsidR="000A4614"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0A4614" w:rsidRPr="000170DA" w:rsidRDefault="00037479" w:rsidP="00FB774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A4614" w:rsidRPr="000170DA" w:rsidRDefault="001F3849" w:rsidP="00FB7748">
            <w:pPr>
              <w:keepNext/>
              <w:rPr>
                <w:rStyle w:val="Hyperlink"/>
                <w:rFonts w:ascii="Garamond" w:hAnsi="Garamond"/>
                <w:color w:val="auto"/>
                <w:u w:val="none"/>
                <w:lang w:val="en-AU"/>
              </w:rPr>
            </w:pPr>
            <w:hyperlink r:id="rId44" w:history="1">
              <w:r w:rsidR="000A4614" w:rsidRPr="00E921E3">
                <w:rPr>
                  <w:rStyle w:val="Hyperlink"/>
                  <w:rFonts w:ascii="Garamond" w:hAnsi="Garamond"/>
                  <w:lang w:val="en-AU"/>
                </w:rPr>
                <w:t>https://aci.health.nsw.gov.au/networks/aged-health/resources/aged-health-services-in-nsw</w:t>
              </w:r>
            </w:hyperlink>
          </w:p>
        </w:tc>
      </w:tr>
      <w:tr w:rsidR="000A4614"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0A4614" w:rsidRPr="000170DA" w:rsidRDefault="000A4614" w:rsidP="00FB77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06F7D" w:rsidRPr="00C06F7D" w:rsidRDefault="000A4614" w:rsidP="00C06F7D">
            <w:pPr>
              <w:rPr>
                <w:rFonts w:ascii="Garamond" w:hAnsi="Garamond"/>
                <w:lang w:val="en-AU"/>
              </w:rPr>
            </w:pPr>
            <w:r>
              <w:rPr>
                <w:rFonts w:ascii="Garamond" w:hAnsi="Garamond"/>
                <w:lang w:val="en-AU"/>
              </w:rPr>
              <w:t xml:space="preserve">The Agency for Clinical Innovation at NSW Health </w:t>
            </w:r>
            <w:r w:rsidR="00C06F7D">
              <w:rPr>
                <w:rFonts w:ascii="Garamond" w:hAnsi="Garamond"/>
                <w:lang w:val="en-AU"/>
              </w:rPr>
              <w:t>has produced this document in order to ‘</w:t>
            </w:r>
            <w:r w:rsidR="00C06F7D" w:rsidRPr="00C06F7D">
              <w:rPr>
                <w:rFonts w:ascii="Garamond" w:hAnsi="Garamond"/>
                <w:lang w:val="en-AU"/>
              </w:rPr>
              <w:t>develop an</w:t>
            </w:r>
            <w:r w:rsidR="00C06F7D">
              <w:rPr>
                <w:rFonts w:ascii="Garamond" w:hAnsi="Garamond"/>
                <w:lang w:val="en-AU"/>
              </w:rPr>
              <w:t xml:space="preserve"> </w:t>
            </w:r>
            <w:r w:rsidR="00C06F7D" w:rsidRPr="00C06F7D">
              <w:rPr>
                <w:rFonts w:ascii="Garamond" w:hAnsi="Garamond"/>
                <w:lang w:val="en-AU"/>
              </w:rPr>
              <w:t>ideal model for NSW Health to deliver aged health</w:t>
            </w:r>
            <w:r w:rsidR="00C06F7D">
              <w:rPr>
                <w:rFonts w:ascii="Garamond" w:hAnsi="Garamond"/>
                <w:lang w:val="en-AU"/>
              </w:rPr>
              <w:t xml:space="preserve"> </w:t>
            </w:r>
            <w:r w:rsidR="00C06F7D" w:rsidRPr="00C06F7D">
              <w:rPr>
                <w:rFonts w:ascii="Garamond" w:hAnsi="Garamond"/>
                <w:lang w:val="en-AU"/>
              </w:rPr>
              <w:t>services, with the aim of improving the care of older</w:t>
            </w:r>
            <w:r w:rsidR="00C06F7D">
              <w:rPr>
                <w:rFonts w:ascii="Garamond" w:hAnsi="Garamond"/>
                <w:lang w:val="en-AU"/>
              </w:rPr>
              <w:t xml:space="preserve"> </w:t>
            </w:r>
            <w:r w:rsidR="00C06F7D" w:rsidRPr="00C06F7D">
              <w:rPr>
                <w:rFonts w:ascii="Garamond" w:hAnsi="Garamond"/>
                <w:lang w:val="en-AU"/>
              </w:rPr>
              <w:t>people.</w:t>
            </w:r>
            <w:r w:rsidR="00C06F7D">
              <w:rPr>
                <w:rFonts w:ascii="Garamond" w:hAnsi="Garamond"/>
                <w:lang w:val="en-AU"/>
              </w:rPr>
              <w:t xml:space="preserve">’ In the document, </w:t>
            </w:r>
            <w:r w:rsidR="00C06F7D" w:rsidRPr="00C06F7D">
              <w:rPr>
                <w:rFonts w:ascii="Garamond" w:hAnsi="Garamond"/>
                <w:lang w:val="en-AU"/>
              </w:rPr>
              <w:t>three different service models are presented that reflect different aspects of aged health services in NSW.</w:t>
            </w:r>
            <w:r w:rsidR="00C06F7D">
              <w:rPr>
                <w:rFonts w:ascii="Garamond" w:hAnsi="Garamond"/>
                <w:lang w:val="en-AU"/>
              </w:rPr>
              <w:t xml:space="preserve"> </w:t>
            </w:r>
            <w:r w:rsidR="00C06F7D" w:rsidRPr="00C06F7D">
              <w:rPr>
                <w:rFonts w:ascii="Garamond" w:hAnsi="Garamond"/>
                <w:lang w:val="en-AU"/>
              </w:rPr>
              <w:t>The service models in this document are:</w:t>
            </w:r>
          </w:p>
          <w:p w:rsidR="00C06F7D" w:rsidRPr="00C06F7D" w:rsidRDefault="00C06F7D" w:rsidP="00C06F7D">
            <w:pPr>
              <w:pStyle w:val="ListParagraph"/>
              <w:numPr>
                <w:ilvl w:val="0"/>
                <w:numId w:val="40"/>
              </w:numPr>
              <w:rPr>
                <w:rFonts w:ascii="Garamond" w:hAnsi="Garamond"/>
                <w:lang w:val="en-AU"/>
              </w:rPr>
            </w:pPr>
            <w:r w:rsidRPr="00C06F7D">
              <w:rPr>
                <w:rFonts w:ascii="Garamond" w:hAnsi="Garamond"/>
                <w:lang w:val="en-AU"/>
              </w:rPr>
              <w:t>intended as a practical tool to demonstrate the current and ideal aged health services requirements for care of the older person in NSW</w:t>
            </w:r>
          </w:p>
          <w:p w:rsidR="000F1C5A" w:rsidRPr="00C06F7D" w:rsidRDefault="00C06F7D" w:rsidP="00C06F7D">
            <w:pPr>
              <w:pStyle w:val="ListParagraph"/>
              <w:numPr>
                <w:ilvl w:val="0"/>
                <w:numId w:val="40"/>
              </w:numPr>
              <w:rPr>
                <w:rFonts w:ascii="Garamond" w:hAnsi="Garamond"/>
                <w:lang w:val="en-AU"/>
              </w:rPr>
            </w:pPr>
            <w:r w:rsidRPr="00C06F7D">
              <w:rPr>
                <w:rFonts w:ascii="Garamond" w:hAnsi="Garamond"/>
                <w:lang w:val="en-AU"/>
              </w:rPr>
              <w:t>accompanied by a decision support tool to assist in identifying the impact on patient care, service and the aged health system, if services are transferred, reduced, changed or enhanced.</w:t>
            </w:r>
          </w:p>
        </w:tc>
      </w:tr>
    </w:tbl>
    <w:p w:rsidR="000A4614" w:rsidRDefault="000A4614" w:rsidP="000A4614">
      <w:pPr>
        <w:keepNext/>
        <w:keepLines/>
        <w:autoSpaceDE w:val="0"/>
        <w:autoSpaceDN w:val="0"/>
        <w:adjustRightInd w:val="0"/>
        <w:rPr>
          <w:rFonts w:ascii="Garamond" w:hAnsi="Garamond"/>
          <w:lang w:val="en-AU"/>
        </w:rPr>
      </w:pPr>
    </w:p>
    <w:p w:rsidR="00037479" w:rsidRPr="00037479" w:rsidRDefault="00037479" w:rsidP="00037479">
      <w:pPr>
        <w:keepNext/>
        <w:keepLines/>
        <w:autoSpaceDE w:val="0"/>
        <w:autoSpaceDN w:val="0"/>
        <w:adjustRightInd w:val="0"/>
        <w:rPr>
          <w:rFonts w:ascii="Garamond" w:hAnsi="Garamond"/>
          <w:i/>
          <w:lang w:val="en-AU"/>
        </w:rPr>
      </w:pPr>
      <w:r w:rsidRPr="00037479">
        <w:rPr>
          <w:rFonts w:ascii="Garamond" w:hAnsi="Garamond"/>
          <w:i/>
          <w:lang w:val="en-AU"/>
        </w:rPr>
        <w:t>Advance Care Yarning Guide: Decision Making for End of Life For Aboriginal People in Iutruwita/Tasmania</w:t>
      </w:r>
    </w:p>
    <w:p w:rsidR="0037058D" w:rsidRDefault="0037058D" w:rsidP="00037479">
      <w:pPr>
        <w:keepNext/>
        <w:keepLines/>
        <w:autoSpaceDE w:val="0"/>
        <w:autoSpaceDN w:val="0"/>
        <w:adjustRightInd w:val="0"/>
        <w:rPr>
          <w:rFonts w:ascii="Garamond" w:hAnsi="Garamond"/>
          <w:lang w:val="en-AU"/>
        </w:rPr>
      </w:pPr>
      <w:r w:rsidRPr="0037058D">
        <w:rPr>
          <w:rFonts w:ascii="Garamond" w:hAnsi="Garamond"/>
          <w:lang w:val="en-AU"/>
        </w:rPr>
        <w:t>Palliative Care Tasmania</w:t>
      </w:r>
    </w:p>
    <w:p w:rsidR="00037479" w:rsidRDefault="0037058D" w:rsidP="00265013">
      <w:pPr>
        <w:keepNext/>
        <w:keepLines/>
        <w:autoSpaceDE w:val="0"/>
        <w:autoSpaceDN w:val="0"/>
        <w:adjustRightInd w:val="0"/>
        <w:jc w:val="both"/>
        <w:rPr>
          <w:rFonts w:ascii="Garamond" w:hAnsi="Garamond"/>
          <w:lang w:val="en-AU"/>
        </w:rPr>
      </w:pPr>
      <w:r w:rsidRPr="0037058D">
        <w:rPr>
          <w:rFonts w:ascii="Garamond" w:hAnsi="Garamond"/>
          <w:lang w:val="en-AU"/>
        </w:rPr>
        <w:t>Hobart: Palliative Care Tasmania; 2020. p. 12.</w:t>
      </w:r>
      <w:r>
        <w:rPr>
          <w:rFonts w:ascii="Garamond" w:hAnsi="Garamond"/>
          <w:lang w:val="en-AU"/>
        </w:rPr>
        <w:t>u</w:t>
      </w:r>
    </w:p>
    <w:tbl>
      <w:tblPr>
        <w:tblStyle w:val="TableGrid"/>
        <w:tblW w:w="9360" w:type="dxa"/>
        <w:tblInd w:w="288" w:type="dxa"/>
        <w:tblLayout w:type="fixed"/>
        <w:tblLook w:val="01E0" w:firstRow="1" w:lastRow="1" w:firstColumn="1" w:lastColumn="1" w:noHBand="0" w:noVBand="0"/>
      </w:tblPr>
      <w:tblGrid>
        <w:gridCol w:w="1080"/>
        <w:gridCol w:w="8280"/>
      </w:tblGrid>
      <w:tr w:rsidR="00037479"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037479" w:rsidRPr="000170DA" w:rsidRDefault="00037479" w:rsidP="00FB774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37479" w:rsidRPr="000170DA" w:rsidRDefault="001F3849" w:rsidP="00037479">
            <w:pPr>
              <w:keepNext/>
              <w:rPr>
                <w:rStyle w:val="Hyperlink"/>
                <w:rFonts w:ascii="Garamond" w:hAnsi="Garamond"/>
                <w:color w:val="auto"/>
                <w:u w:val="none"/>
                <w:lang w:val="en-AU"/>
              </w:rPr>
            </w:pPr>
            <w:hyperlink r:id="rId45" w:history="1">
              <w:r w:rsidR="00037479" w:rsidRPr="00E921E3">
                <w:rPr>
                  <w:rStyle w:val="Hyperlink"/>
                  <w:rFonts w:ascii="Garamond" w:hAnsi="Garamond"/>
                  <w:lang w:val="en-AU"/>
                </w:rPr>
                <w:t>https://www.pallcaretas.org.au/advance-care-yarning-guide/</w:t>
              </w:r>
            </w:hyperlink>
          </w:p>
        </w:tc>
      </w:tr>
      <w:tr w:rsidR="00037479"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037479" w:rsidRPr="000170DA" w:rsidRDefault="00037479" w:rsidP="00FB77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C5A" w:rsidRPr="00623191" w:rsidRDefault="005F30E2" w:rsidP="005F30E2">
            <w:pPr>
              <w:rPr>
                <w:rFonts w:ascii="Garamond" w:hAnsi="Garamond"/>
                <w:lang w:val="en-AU"/>
              </w:rPr>
            </w:pPr>
            <w:r>
              <w:rPr>
                <w:rFonts w:ascii="Garamond" w:hAnsi="Garamond"/>
                <w:lang w:val="en-AU"/>
              </w:rPr>
              <w:t xml:space="preserve">Palliative Care Tasmania has developed this resource </w:t>
            </w:r>
            <w:r w:rsidRPr="005F30E2">
              <w:rPr>
                <w:rFonts w:ascii="Garamond" w:hAnsi="Garamond"/>
                <w:lang w:val="en-AU"/>
              </w:rPr>
              <w:t>as a guide for Aboriginal people, their families and their community, who live in lutruwita/Tasmania, to better understand their choices at end of life and how to explain these choices to medical and health professionals through Advance Care Planning (Yarning).</w:t>
            </w:r>
          </w:p>
        </w:tc>
      </w:tr>
    </w:tbl>
    <w:p w:rsidR="00037479" w:rsidRDefault="00037479" w:rsidP="00037479">
      <w:pPr>
        <w:keepNext/>
        <w:keepLines/>
        <w:autoSpaceDE w:val="0"/>
        <w:autoSpaceDN w:val="0"/>
        <w:adjustRightInd w:val="0"/>
        <w:rPr>
          <w:rFonts w:ascii="Garamond" w:hAnsi="Garamond"/>
          <w:lang w:val="en-AU"/>
        </w:rPr>
      </w:pPr>
    </w:p>
    <w:p w:rsidR="00037479" w:rsidRDefault="00037479" w:rsidP="00623191">
      <w:pPr>
        <w:keepNext/>
        <w:keepLines/>
        <w:autoSpaceDE w:val="0"/>
        <w:autoSpaceDN w:val="0"/>
        <w:adjustRightInd w:val="0"/>
        <w:rPr>
          <w:rFonts w:ascii="Garamond" w:hAnsi="Garamond"/>
          <w:lang w:val="en-AU"/>
        </w:rPr>
      </w:pPr>
    </w:p>
    <w:p w:rsidR="00623191" w:rsidRDefault="00623191" w:rsidP="00623191">
      <w:pPr>
        <w:keepNext/>
        <w:keepLines/>
        <w:autoSpaceDE w:val="0"/>
        <w:autoSpaceDN w:val="0"/>
        <w:adjustRightInd w:val="0"/>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E64D82" w:rsidRDefault="00E64D82" w:rsidP="00E34A10">
      <w:pPr>
        <w:keepNext/>
        <w:keepLines/>
        <w:autoSpaceDE w:val="0"/>
        <w:autoSpaceDN w:val="0"/>
        <w:adjustRightInd w:val="0"/>
        <w:rPr>
          <w:rFonts w:ascii="Garamond" w:hAnsi="Garamond"/>
          <w:b/>
          <w:lang w:val="en-AU"/>
        </w:rPr>
      </w:pPr>
    </w:p>
    <w:p w:rsidR="002B0427" w:rsidRPr="00037479" w:rsidRDefault="00037479" w:rsidP="00385814">
      <w:pPr>
        <w:keepNext/>
        <w:keepLines/>
        <w:autoSpaceDE w:val="0"/>
        <w:autoSpaceDN w:val="0"/>
        <w:adjustRightInd w:val="0"/>
        <w:rPr>
          <w:rFonts w:ascii="Garamond" w:hAnsi="Garamond"/>
          <w:i/>
          <w:lang w:val="en-AU"/>
        </w:rPr>
      </w:pPr>
      <w:r w:rsidRPr="00037479">
        <w:rPr>
          <w:rFonts w:ascii="Garamond" w:hAnsi="Garamond"/>
          <w:i/>
          <w:lang w:val="en-AU"/>
        </w:rPr>
        <w:t>Development and Validation of a Tool to Measure Patient Assessment of Clinical Compassion</w:t>
      </w:r>
    </w:p>
    <w:p w:rsidR="00265013" w:rsidRDefault="00265013" w:rsidP="00385814">
      <w:pPr>
        <w:keepNext/>
        <w:keepLines/>
        <w:autoSpaceDE w:val="0"/>
        <w:autoSpaceDN w:val="0"/>
        <w:adjustRightInd w:val="0"/>
        <w:rPr>
          <w:rFonts w:ascii="Garamond" w:hAnsi="Garamond"/>
          <w:lang w:val="en-AU"/>
        </w:rPr>
      </w:pPr>
      <w:r w:rsidRPr="00265013">
        <w:rPr>
          <w:rFonts w:ascii="Garamond" w:hAnsi="Garamond"/>
          <w:lang w:val="en-AU"/>
        </w:rPr>
        <w:t>Roberts BW, Roberts MB, Yao J, Bosire J, Mazzarelli A, Trzeciak S</w:t>
      </w:r>
    </w:p>
    <w:p w:rsidR="00037479" w:rsidRDefault="00265013" w:rsidP="00385814">
      <w:pPr>
        <w:keepNext/>
        <w:keepLines/>
        <w:autoSpaceDE w:val="0"/>
        <w:autoSpaceDN w:val="0"/>
        <w:adjustRightInd w:val="0"/>
        <w:rPr>
          <w:rFonts w:ascii="Garamond" w:hAnsi="Garamond"/>
          <w:lang w:val="en-AU"/>
        </w:rPr>
      </w:pPr>
      <w:r w:rsidRPr="00265013">
        <w:rPr>
          <w:rFonts w:ascii="Garamond" w:hAnsi="Garamond"/>
          <w:lang w:val="en-AU"/>
        </w:rPr>
        <w:t>JAMA Network Open. 2019;2(5):e193976.</w:t>
      </w:r>
    </w:p>
    <w:p w:rsidR="00265013" w:rsidRDefault="00265013" w:rsidP="00385814">
      <w:pPr>
        <w:keepNext/>
        <w:keepLines/>
        <w:autoSpaceDE w:val="0"/>
        <w:autoSpaceDN w:val="0"/>
        <w:adjustRightInd w:val="0"/>
        <w:rPr>
          <w:rFonts w:ascii="Garamond" w:hAnsi="Garamond"/>
          <w:lang w:val="en-AU"/>
        </w:rPr>
      </w:pPr>
    </w:p>
    <w:p w:rsidR="00037479" w:rsidRPr="00037479" w:rsidRDefault="00037479" w:rsidP="00037479">
      <w:pPr>
        <w:keepNext/>
        <w:keepLines/>
        <w:autoSpaceDE w:val="0"/>
        <w:autoSpaceDN w:val="0"/>
        <w:adjustRightInd w:val="0"/>
        <w:rPr>
          <w:rFonts w:ascii="Garamond" w:hAnsi="Garamond"/>
          <w:i/>
          <w:lang w:val="en-AU"/>
        </w:rPr>
      </w:pPr>
      <w:r w:rsidRPr="00037479">
        <w:rPr>
          <w:rFonts w:ascii="Garamond" w:hAnsi="Garamond"/>
          <w:i/>
          <w:lang w:val="en-AU"/>
        </w:rPr>
        <w:t>Curricula for empathy and compassion training in medical education: A systematic review</w:t>
      </w:r>
    </w:p>
    <w:p w:rsidR="00037479" w:rsidRDefault="00037479" w:rsidP="00037479">
      <w:pPr>
        <w:keepNext/>
        <w:keepLines/>
        <w:autoSpaceDE w:val="0"/>
        <w:autoSpaceDN w:val="0"/>
        <w:adjustRightInd w:val="0"/>
        <w:rPr>
          <w:rFonts w:ascii="Garamond" w:hAnsi="Garamond"/>
          <w:lang w:val="en-AU"/>
        </w:rPr>
      </w:pPr>
      <w:r w:rsidRPr="00037479">
        <w:rPr>
          <w:rFonts w:ascii="Garamond" w:hAnsi="Garamond"/>
          <w:lang w:val="en-AU"/>
        </w:rPr>
        <w:t>Patel S, Pelletier-Bui A, Smith S, Roberts MB, Kilgannon H, et al. (2019) Curricula for empathy and compassion training in medical education: A systematic re</w:t>
      </w:r>
      <w:r w:rsidR="00385401">
        <w:rPr>
          <w:rFonts w:ascii="Garamond" w:hAnsi="Garamond"/>
          <w:lang w:val="en-AU"/>
        </w:rPr>
        <w:t>view. PLOS ONE 14(8): e0221412.</w:t>
      </w:r>
    </w:p>
    <w:tbl>
      <w:tblPr>
        <w:tblStyle w:val="TableGrid"/>
        <w:tblW w:w="9360" w:type="dxa"/>
        <w:tblInd w:w="288" w:type="dxa"/>
        <w:tblLayout w:type="fixed"/>
        <w:tblLook w:val="01E0" w:firstRow="1" w:lastRow="1" w:firstColumn="1" w:lastColumn="1" w:noHBand="0" w:noVBand="0"/>
      </w:tblPr>
      <w:tblGrid>
        <w:gridCol w:w="1080"/>
        <w:gridCol w:w="8280"/>
      </w:tblGrid>
      <w:tr w:rsidR="00385814"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385814" w:rsidRPr="000170DA" w:rsidRDefault="00385814" w:rsidP="00313F3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36CAF" w:rsidRDefault="00037479" w:rsidP="00B1069A">
            <w:pPr>
              <w:keepNext/>
              <w:rPr>
                <w:rStyle w:val="Hyperlink"/>
                <w:rFonts w:ascii="Garamond" w:hAnsi="Garamond"/>
                <w:color w:val="auto"/>
                <w:u w:val="none"/>
                <w:lang w:val="en-AU"/>
              </w:rPr>
            </w:pPr>
            <w:r>
              <w:rPr>
                <w:rStyle w:val="Hyperlink"/>
                <w:rFonts w:ascii="Garamond" w:hAnsi="Garamond"/>
                <w:color w:val="auto"/>
                <w:u w:val="none"/>
                <w:lang w:val="en-AU"/>
              </w:rPr>
              <w:t xml:space="preserve">Roberts et al </w:t>
            </w:r>
            <w:hyperlink r:id="rId46" w:history="1">
              <w:r w:rsidRPr="00E921E3">
                <w:rPr>
                  <w:rStyle w:val="Hyperlink"/>
                  <w:rFonts w:ascii="Garamond" w:hAnsi="Garamond"/>
                  <w:lang w:val="en-AU"/>
                </w:rPr>
                <w:t>https://doi.org/10.1001/jamanetworkopen.2019.3976</w:t>
              </w:r>
            </w:hyperlink>
          </w:p>
          <w:p w:rsidR="00037479" w:rsidRPr="000170DA" w:rsidRDefault="00037479" w:rsidP="00B1069A">
            <w:pPr>
              <w:keepNext/>
              <w:rPr>
                <w:rStyle w:val="Hyperlink"/>
                <w:rFonts w:ascii="Garamond" w:hAnsi="Garamond"/>
                <w:color w:val="auto"/>
                <w:u w:val="none"/>
                <w:lang w:val="en-AU"/>
              </w:rPr>
            </w:pPr>
            <w:r>
              <w:rPr>
                <w:rStyle w:val="Hyperlink"/>
                <w:rFonts w:ascii="Garamond" w:hAnsi="Garamond"/>
                <w:color w:val="auto"/>
                <w:u w:val="none"/>
                <w:lang w:val="en-AU"/>
              </w:rPr>
              <w:t xml:space="preserve">Patel et al </w:t>
            </w:r>
            <w:hyperlink r:id="rId47" w:history="1">
              <w:r w:rsidRPr="00E921E3">
                <w:rPr>
                  <w:rStyle w:val="Hyperlink"/>
                  <w:rFonts w:ascii="Garamond" w:hAnsi="Garamond"/>
                  <w:lang w:val="en-AU"/>
                </w:rPr>
                <w:t>https://doi.org/10.1371/journal.pone.0221412</w:t>
              </w:r>
            </w:hyperlink>
            <w:r>
              <w:rPr>
                <w:rStyle w:val="Hyperlink"/>
                <w:rFonts w:ascii="Garamond" w:hAnsi="Garamond"/>
                <w:color w:val="auto"/>
                <w:u w:val="none"/>
                <w:lang w:val="en-AU"/>
              </w:rPr>
              <w:t xml:space="preserve"> </w:t>
            </w:r>
          </w:p>
        </w:tc>
      </w:tr>
      <w:tr w:rsidR="00385814"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385814" w:rsidRPr="000170DA" w:rsidRDefault="00385814" w:rsidP="00313F3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243D" w:rsidRDefault="00776AE4" w:rsidP="00623191">
            <w:pPr>
              <w:rPr>
                <w:rFonts w:ascii="Garamond" w:hAnsi="Garamond"/>
                <w:lang w:val="en-AU"/>
              </w:rPr>
            </w:pPr>
            <w:r>
              <w:rPr>
                <w:rFonts w:ascii="Garamond" w:hAnsi="Garamond"/>
                <w:lang w:val="en-AU"/>
              </w:rPr>
              <w:t>The measure for age</w:t>
            </w:r>
            <w:r w:rsidR="000F1C5A">
              <w:rPr>
                <w:rFonts w:ascii="Garamond" w:hAnsi="Garamond"/>
                <w:lang w:val="en-AU"/>
              </w:rPr>
              <w:t xml:space="preserve">d care quality </w:t>
            </w:r>
            <w:r w:rsidR="002810C1">
              <w:rPr>
                <w:rFonts w:ascii="Garamond" w:hAnsi="Garamond"/>
                <w:lang w:val="en-AU"/>
              </w:rPr>
              <w:t>experience</w:t>
            </w:r>
            <w:r w:rsidR="00385401">
              <w:rPr>
                <w:rFonts w:ascii="Garamond" w:hAnsi="Garamond"/>
                <w:lang w:val="en-AU"/>
              </w:rPr>
              <w:t xml:space="preserve"> (above)</w:t>
            </w:r>
            <w:r w:rsidR="002810C1">
              <w:rPr>
                <w:rFonts w:ascii="Garamond" w:hAnsi="Garamond"/>
                <w:lang w:val="en-AU"/>
              </w:rPr>
              <w:t xml:space="preserve"> </w:t>
            </w:r>
            <w:r w:rsidR="000F1C5A">
              <w:rPr>
                <w:rFonts w:ascii="Garamond" w:hAnsi="Garamond"/>
                <w:lang w:val="en-AU"/>
              </w:rPr>
              <w:t>has some similarities</w:t>
            </w:r>
            <w:r>
              <w:rPr>
                <w:rFonts w:ascii="Garamond" w:hAnsi="Garamond"/>
                <w:lang w:val="en-AU"/>
              </w:rPr>
              <w:t xml:space="preserve"> to this measure of compassionate care</w:t>
            </w:r>
            <w:r w:rsidR="00265013">
              <w:rPr>
                <w:rFonts w:ascii="Garamond" w:hAnsi="Garamond"/>
                <w:lang w:val="en-AU"/>
              </w:rPr>
              <w:t xml:space="preserve"> described by Roberts et al</w:t>
            </w:r>
            <w:r>
              <w:rPr>
                <w:rFonts w:ascii="Garamond" w:hAnsi="Garamond"/>
                <w:lang w:val="en-AU"/>
              </w:rPr>
              <w:t>.</w:t>
            </w:r>
            <w:r w:rsidR="000F1C5A">
              <w:rPr>
                <w:rFonts w:ascii="Garamond" w:hAnsi="Garamond"/>
                <w:lang w:val="en-AU"/>
              </w:rPr>
              <w:t xml:space="preserve"> </w:t>
            </w:r>
            <w:r w:rsidR="00265013">
              <w:rPr>
                <w:rFonts w:ascii="Garamond" w:hAnsi="Garamond"/>
                <w:lang w:val="en-AU"/>
              </w:rPr>
              <w:t xml:space="preserve">This paper reports on a cohort study of 6493 that sought to validate a 5-item compassion measure that had been developed </w:t>
            </w:r>
            <w:r w:rsidR="00265013" w:rsidRPr="00265013">
              <w:rPr>
                <w:rFonts w:ascii="Garamond" w:hAnsi="Garamond"/>
                <w:lang w:val="en-AU"/>
              </w:rPr>
              <w:t>to measure patient assessment of clinician compassion</w:t>
            </w:r>
            <w:r w:rsidR="00265013">
              <w:rPr>
                <w:rFonts w:ascii="Garamond" w:hAnsi="Garamond"/>
                <w:lang w:val="en-AU"/>
              </w:rPr>
              <w:t>. This 3-month cohort study found that the measure ‘</w:t>
            </w:r>
            <w:r w:rsidR="00265013" w:rsidRPr="00265013">
              <w:rPr>
                <w:rFonts w:ascii="Garamond" w:hAnsi="Garamond"/>
                <w:lang w:val="en-AU"/>
              </w:rPr>
              <w:t>demonstrated good internal consistency and convergent validity</w:t>
            </w:r>
            <w:r w:rsidR="00265013">
              <w:rPr>
                <w:rFonts w:ascii="Garamond" w:hAnsi="Garamond"/>
                <w:lang w:val="en-AU"/>
              </w:rPr>
              <w:t>’. The items in the compassion measure were:</w:t>
            </w:r>
          </w:p>
          <w:p w:rsidR="00265013" w:rsidRPr="00265013" w:rsidRDefault="00265013" w:rsidP="00265013">
            <w:pPr>
              <w:pStyle w:val="ListParagraph"/>
              <w:numPr>
                <w:ilvl w:val="0"/>
                <w:numId w:val="41"/>
              </w:numPr>
              <w:rPr>
                <w:rFonts w:ascii="Garamond" w:hAnsi="Garamond"/>
                <w:lang w:val="en-AU"/>
              </w:rPr>
            </w:pPr>
            <w:r w:rsidRPr="00265013">
              <w:rPr>
                <w:rFonts w:ascii="Garamond" w:hAnsi="Garamond"/>
                <w:lang w:val="en-AU"/>
              </w:rPr>
              <w:t>How often do you feel your provider cares about your emotional or psychological well-being?</w:t>
            </w:r>
          </w:p>
          <w:p w:rsidR="00265013" w:rsidRPr="00265013" w:rsidRDefault="00265013" w:rsidP="00265013">
            <w:pPr>
              <w:pStyle w:val="ListParagraph"/>
              <w:numPr>
                <w:ilvl w:val="0"/>
                <w:numId w:val="41"/>
              </w:numPr>
              <w:rPr>
                <w:rFonts w:ascii="Garamond" w:hAnsi="Garamond"/>
                <w:lang w:val="en-AU"/>
              </w:rPr>
            </w:pPr>
            <w:r w:rsidRPr="00265013">
              <w:rPr>
                <w:rFonts w:ascii="Garamond" w:hAnsi="Garamond"/>
                <w:lang w:val="en-AU"/>
              </w:rPr>
              <w:t>How often do you feel your provider is interested in you as a whole person?</w:t>
            </w:r>
          </w:p>
          <w:p w:rsidR="00265013" w:rsidRPr="00265013" w:rsidRDefault="00265013" w:rsidP="00265013">
            <w:pPr>
              <w:pStyle w:val="ListParagraph"/>
              <w:numPr>
                <w:ilvl w:val="0"/>
                <w:numId w:val="41"/>
              </w:numPr>
              <w:rPr>
                <w:rFonts w:ascii="Garamond" w:hAnsi="Garamond"/>
                <w:lang w:val="en-AU"/>
              </w:rPr>
            </w:pPr>
            <w:r w:rsidRPr="00265013">
              <w:rPr>
                <w:rFonts w:ascii="Garamond" w:hAnsi="Garamond"/>
                <w:lang w:val="en-AU"/>
              </w:rPr>
              <w:t>How often do you feel your provider is considerate of your personal needs?</w:t>
            </w:r>
          </w:p>
          <w:p w:rsidR="00265013" w:rsidRPr="00265013" w:rsidRDefault="00265013" w:rsidP="00265013">
            <w:pPr>
              <w:pStyle w:val="ListParagraph"/>
              <w:numPr>
                <w:ilvl w:val="0"/>
                <w:numId w:val="41"/>
              </w:numPr>
              <w:rPr>
                <w:rFonts w:ascii="Garamond" w:hAnsi="Garamond"/>
                <w:lang w:val="en-AU"/>
              </w:rPr>
            </w:pPr>
            <w:r w:rsidRPr="00265013">
              <w:rPr>
                <w:rFonts w:ascii="Garamond" w:hAnsi="Garamond"/>
                <w:lang w:val="en-AU"/>
              </w:rPr>
              <w:t>How often do you feel your provider is able to gain your trust?</w:t>
            </w:r>
          </w:p>
          <w:p w:rsidR="00265013" w:rsidRPr="00265013" w:rsidRDefault="00265013" w:rsidP="00265013">
            <w:pPr>
              <w:pStyle w:val="ListParagraph"/>
              <w:numPr>
                <w:ilvl w:val="0"/>
                <w:numId w:val="41"/>
              </w:numPr>
              <w:rPr>
                <w:rFonts w:ascii="Garamond" w:hAnsi="Garamond"/>
                <w:lang w:val="en-AU"/>
              </w:rPr>
            </w:pPr>
            <w:r w:rsidRPr="00265013">
              <w:rPr>
                <w:rFonts w:ascii="Garamond" w:hAnsi="Garamond"/>
                <w:lang w:val="en-AU"/>
              </w:rPr>
              <w:t>How often do you feel your provider shows you care and compassion?</w:t>
            </w:r>
          </w:p>
          <w:p w:rsidR="00BE1C96" w:rsidRDefault="00265013" w:rsidP="00BE1C96">
            <w:pPr>
              <w:rPr>
                <w:rFonts w:ascii="Garamond" w:hAnsi="Garamond"/>
                <w:lang w:val="en-AU"/>
              </w:rPr>
            </w:pPr>
            <w:r>
              <w:rPr>
                <w:rFonts w:ascii="Garamond" w:hAnsi="Garamond"/>
                <w:lang w:val="en-AU"/>
              </w:rPr>
              <w:lastRenderedPageBreak/>
              <w:t>Furthermore, not only is compassionate care measurable, it is teachable. Patel et al provide a systematic review of the literature on empathy and compassion training in medicine.</w:t>
            </w:r>
            <w:r w:rsidR="00C44664">
              <w:rPr>
                <w:rFonts w:ascii="Garamond" w:hAnsi="Garamond"/>
                <w:lang w:val="en-AU"/>
              </w:rPr>
              <w:t xml:space="preserve"> The review focused on 52 studies looking for </w:t>
            </w:r>
            <w:r w:rsidR="00BE1C96">
              <w:rPr>
                <w:rFonts w:ascii="Garamond" w:hAnsi="Garamond"/>
                <w:lang w:val="en-AU"/>
              </w:rPr>
              <w:t>s</w:t>
            </w:r>
            <w:r w:rsidR="00BE1C96" w:rsidRPr="00BE1C96">
              <w:rPr>
                <w:rFonts w:ascii="Garamond" w:hAnsi="Garamond"/>
                <w:lang w:val="en-AU"/>
              </w:rPr>
              <w:t>pecific curricula components (skills and behavio</w:t>
            </w:r>
            <w:r w:rsidR="00BE1C96">
              <w:rPr>
                <w:rFonts w:ascii="Garamond" w:hAnsi="Garamond"/>
                <w:lang w:val="en-AU"/>
              </w:rPr>
              <w:t>u</w:t>
            </w:r>
            <w:r w:rsidR="00BE1C96" w:rsidRPr="00BE1C96">
              <w:rPr>
                <w:rFonts w:ascii="Garamond" w:hAnsi="Garamond"/>
                <w:lang w:val="en-AU"/>
              </w:rPr>
              <w:t>rs) demonstrated to be effective.</w:t>
            </w:r>
            <w:r w:rsidR="00BE1C96">
              <w:rPr>
                <w:rFonts w:ascii="Garamond" w:hAnsi="Garamond"/>
                <w:lang w:val="en-AU"/>
              </w:rPr>
              <w:t xml:space="preserve"> The review ‘</w:t>
            </w:r>
            <w:r w:rsidR="00BE1C96" w:rsidRPr="00BE1C96">
              <w:rPr>
                <w:rFonts w:ascii="Garamond" w:hAnsi="Garamond"/>
                <w:lang w:val="en-AU"/>
              </w:rPr>
              <w:t>identified the following key behaviors to be effective:</w:t>
            </w:r>
          </w:p>
          <w:p w:rsidR="00BE1C96" w:rsidRPr="00BE1C96" w:rsidRDefault="00BE1C96" w:rsidP="00BE1C96">
            <w:pPr>
              <w:pStyle w:val="ListParagraph"/>
              <w:numPr>
                <w:ilvl w:val="0"/>
                <w:numId w:val="42"/>
              </w:numPr>
              <w:rPr>
                <w:rFonts w:ascii="Garamond" w:hAnsi="Garamond"/>
                <w:lang w:val="en-AU"/>
              </w:rPr>
            </w:pPr>
            <w:r w:rsidRPr="00BE1C96">
              <w:rPr>
                <w:rFonts w:ascii="Garamond" w:hAnsi="Garamond"/>
                <w:lang w:val="en-AU"/>
              </w:rPr>
              <w:t>sitting (versus standing) during the interview;</w:t>
            </w:r>
          </w:p>
          <w:p w:rsidR="00BE1C96" w:rsidRPr="00BE1C96" w:rsidRDefault="00BE1C96" w:rsidP="00BE1C96">
            <w:pPr>
              <w:pStyle w:val="ListParagraph"/>
              <w:numPr>
                <w:ilvl w:val="0"/>
                <w:numId w:val="42"/>
              </w:numPr>
              <w:rPr>
                <w:rFonts w:ascii="Garamond" w:hAnsi="Garamond"/>
                <w:lang w:val="en-AU"/>
              </w:rPr>
            </w:pPr>
            <w:r w:rsidRPr="00BE1C96">
              <w:rPr>
                <w:rFonts w:ascii="Garamond" w:hAnsi="Garamond"/>
                <w:lang w:val="en-AU"/>
              </w:rPr>
              <w:t>detecting patients’ non-verbal cues of emotion;</w:t>
            </w:r>
          </w:p>
          <w:p w:rsidR="00BE1C96" w:rsidRPr="00BE1C96" w:rsidRDefault="00BE1C96" w:rsidP="00BE1C96">
            <w:pPr>
              <w:pStyle w:val="ListParagraph"/>
              <w:numPr>
                <w:ilvl w:val="0"/>
                <w:numId w:val="42"/>
              </w:numPr>
              <w:rPr>
                <w:rFonts w:ascii="Garamond" w:hAnsi="Garamond"/>
                <w:lang w:val="en-AU"/>
              </w:rPr>
            </w:pPr>
            <w:r w:rsidRPr="00BE1C96">
              <w:rPr>
                <w:rFonts w:ascii="Garamond" w:hAnsi="Garamond"/>
                <w:lang w:val="en-AU"/>
              </w:rPr>
              <w:t>recognizing and responding to opportunities for compassion;</w:t>
            </w:r>
          </w:p>
          <w:p w:rsidR="00BE1C96" w:rsidRPr="00BE1C96" w:rsidRDefault="00BE1C96" w:rsidP="00BE1C96">
            <w:pPr>
              <w:pStyle w:val="ListParagraph"/>
              <w:numPr>
                <w:ilvl w:val="0"/>
                <w:numId w:val="42"/>
              </w:numPr>
              <w:rPr>
                <w:rFonts w:ascii="Garamond" w:hAnsi="Garamond"/>
                <w:lang w:val="en-AU"/>
              </w:rPr>
            </w:pPr>
            <w:r w:rsidRPr="00BE1C96">
              <w:rPr>
                <w:rFonts w:ascii="Garamond" w:hAnsi="Garamond"/>
                <w:lang w:val="en-AU"/>
              </w:rPr>
              <w:t xml:space="preserve">non-verbal communication of caring (e.g. eye contact); and </w:t>
            </w:r>
          </w:p>
          <w:p w:rsidR="00BE1C96" w:rsidRPr="00BE1C96" w:rsidRDefault="00BE1C96" w:rsidP="00BE1C96">
            <w:pPr>
              <w:pStyle w:val="ListParagraph"/>
              <w:numPr>
                <w:ilvl w:val="0"/>
                <w:numId w:val="42"/>
              </w:numPr>
              <w:rPr>
                <w:rFonts w:ascii="Garamond" w:hAnsi="Garamond"/>
                <w:lang w:val="en-AU"/>
              </w:rPr>
            </w:pPr>
            <w:r w:rsidRPr="00BE1C96">
              <w:rPr>
                <w:rFonts w:ascii="Garamond" w:hAnsi="Garamond"/>
                <w:lang w:val="en-AU"/>
              </w:rPr>
              <w:t>verbal statements of acknowledgement, validation, and support.</w:t>
            </w:r>
          </w:p>
          <w:p w:rsidR="00BE1C96" w:rsidRPr="00BE1C96" w:rsidRDefault="00BE1C96" w:rsidP="00BE1C96">
            <w:pPr>
              <w:rPr>
                <w:rFonts w:ascii="Garamond" w:hAnsi="Garamond"/>
                <w:lang w:val="en-AU"/>
              </w:rPr>
            </w:pPr>
            <w:r w:rsidRPr="00BE1C96">
              <w:rPr>
                <w:rFonts w:ascii="Garamond" w:hAnsi="Garamond"/>
                <w:lang w:val="en-AU"/>
              </w:rPr>
              <w:t>These behaviors were found to improve patient perception of physician empathy and/or compassion.</w:t>
            </w:r>
            <w:r>
              <w:rPr>
                <w:rFonts w:ascii="Garamond" w:hAnsi="Garamond"/>
                <w:lang w:val="en-AU"/>
              </w:rPr>
              <w:t>’</w:t>
            </w:r>
          </w:p>
          <w:p w:rsidR="00776AE4" w:rsidRPr="00623191" w:rsidRDefault="00776AE4" w:rsidP="002810C1">
            <w:pPr>
              <w:rPr>
                <w:rFonts w:ascii="Garamond" w:hAnsi="Garamond"/>
                <w:lang w:val="en-AU"/>
              </w:rPr>
            </w:pPr>
            <w:r>
              <w:rPr>
                <w:rFonts w:ascii="Garamond" w:hAnsi="Garamond"/>
                <w:lang w:val="en-AU"/>
              </w:rPr>
              <w:t>A recent No Harm Done podcast</w:t>
            </w:r>
            <w:r w:rsidR="00037479">
              <w:rPr>
                <w:rFonts w:ascii="Garamond" w:hAnsi="Garamond"/>
                <w:lang w:val="en-AU"/>
              </w:rPr>
              <w:t xml:space="preserve"> (</w:t>
            </w:r>
            <w:hyperlink r:id="rId48" w:history="1">
              <w:r w:rsidR="00037479" w:rsidRPr="00E921E3">
                <w:rPr>
                  <w:rStyle w:val="Hyperlink"/>
                  <w:rFonts w:ascii="Garamond" w:hAnsi="Garamond"/>
                  <w:lang w:val="en-AU"/>
                </w:rPr>
                <w:t>http://noharmdonepodcast.com/</w:t>
              </w:r>
            </w:hyperlink>
            <w:r w:rsidR="00037479">
              <w:rPr>
                <w:rFonts w:ascii="Garamond" w:hAnsi="Garamond"/>
                <w:lang w:val="en-AU"/>
              </w:rPr>
              <w:t>)</w:t>
            </w:r>
            <w:r>
              <w:rPr>
                <w:rFonts w:ascii="Garamond" w:hAnsi="Garamond"/>
                <w:lang w:val="en-AU"/>
              </w:rPr>
              <w:t xml:space="preserve"> focused on compassionate care and the safety and quality benefits (to providers and patients)</w:t>
            </w:r>
            <w:r w:rsidR="002810C1">
              <w:rPr>
                <w:rFonts w:ascii="Garamond" w:hAnsi="Garamond"/>
                <w:lang w:val="en-AU"/>
              </w:rPr>
              <w:t>.</w:t>
            </w:r>
            <w:r w:rsidR="00BE1C96">
              <w:rPr>
                <w:rFonts w:ascii="Garamond" w:hAnsi="Garamond"/>
                <w:lang w:val="en-AU"/>
              </w:rPr>
              <w:t xml:space="preserve"> The podcast discussed these two papers and a number of other resources.</w:t>
            </w:r>
          </w:p>
        </w:tc>
      </w:tr>
    </w:tbl>
    <w:p w:rsidR="00A84524" w:rsidRDefault="00A84524" w:rsidP="00A65ED8">
      <w:pPr>
        <w:keepNext/>
        <w:keepLines/>
        <w:autoSpaceDE w:val="0"/>
        <w:autoSpaceDN w:val="0"/>
        <w:adjustRightInd w:val="0"/>
        <w:rPr>
          <w:rFonts w:ascii="Garamond" w:hAnsi="Garamond"/>
          <w:lang w:val="en-AU"/>
        </w:rPr>
      </w:pPr>
    </w:p>
    <w:p w:rsidR="00776AE4" w:rsidRPr="000A4614" w:rsidRDefault="000A4614" w:rsidP="000A4614">
      <w:pPr>
        <w:keepNext/>
        <w:keepLines/>
        <w:autoSpaceDE w:val="0"/>
        <w:autoSpaceDN w:val="0"/>
        <w:adjustRightInd w:val="0"/>
        <w:rPr>
          <w:rFonts w:ascii="Garamond" w:hAnsi="Garamond"/>
          <w:i/>
          <w:lang w:val="en-AU"/>
        </w:rPr>
      </w:pPr>
      <w:r w:rsidRPr="000A4614">
        <w:rPr>
          <w:rFonts w:ascii="Garamond" w:hAnsi="Garamond"/>
          <w:i/>
          <w:lang w:val="en-AU"/>
        </w:rPr>
        <w:t>Cultural Humility: A Proposed Model for a Continuing Professional Development Program</w:t>
      </w:r>
    </w:p>
    <w:p w:rsidR="006E193D" w:rsidRDefault="006E193D" w:rsidP="000A4614">
      <w:pPr>
        <w:keepNext/>
        <w:keepLines/>
        <w:autoSpaceDE w:val="0"/>
        <w:autoSpaceDN w:val="0"/>
        <w:adjustRightInd w:val="0"/>
        <w:rPr>
          <w:rFonts w:ascii="Garamond" w:hAnsi="Garamond"/>
          <w:lang w:val="en-AU"/>
        </w:rPr>
      </w:pPr>
      <w:r w:rsidRPr="006E193D">
        <w:rPr>
          <w:rFonts w:ascii="Garamond" w:hAnsi="Garamond"/>
          <w:lang w:val="en-AU"/>
        </w:rPr>
        <w:t>Cox JL, Simpson MD</w:t>
      </w:r>
    </w:p>
    <w:p w:rsidR="000A4614" w:rsidRDefault="006E193D" w:rsidP="000A4614">
      <w:pPr>
        <w:keepNext/>
        <w:keepLines/>
        <w:autoSpaceDE w:val="0"/>
        <w:autoSpaceDN w:val="0"/>
        <w:adjustRightInd w:val="0"/>
        <w:rPr>
          <w:rFonts w:ascii="Garamond" w:hAnsi="Garamond"/>
          <w:lang w:val="en-AU"/>
        </w:rPr>
      </w:pPr>
      <w:r w:rsidRPr="006E193D">
        <w:rPr>
          <w:rFonts w:ascii="Garamond" w:hAnsi="Garamond"/>
          <w:lang w:val="en-AU"/>
        </w:rPr>
        <w:t>Pharmacy. 2020;8(4).</w:t>
      </w:r>
    </w:p>
    <w:p w:rsidR="006E193D" w:rsidRDefault="006E193D" w:rsidP="000A4614">
      <w:pPr>
        <w:keepNext/>
        <w:keepLines/>
        <w:autoSpaceDE w:val="0"/>
        <w:autoSpaceDN w:val="0"/>
        <w:adjustRightInd w:val="0"/>
        <w:rPr>
          <w:rFonts w:ascii="Garamond" w:hAnsi="Garamond"/>
          <w:i/>
          <w:lang w:val="en-AU"/>
        </w:rPr>
      </w:pPr>
    </w:p>
    <w:p w:rsidR="00037479" w:rsidRPr="00037479" w:rsidRDefault="00037479" w:rsidP="000A4614">
      <w:pPr>
        <w:keepNext/>
        <w:keepLines/>
        <w:autoSpaceDE w:val="0"/>
        <w:autoSpaceDN w:val="0"/>
        <w:adjustRightInd w:val="0"/>
        <w:rPr>
          <w:rFonts w:ascii="Garamond" w:hAnsi="Garamond"/>
          <w:i/>
          <w:lang w:val="en-AU"/>
        </w:rPr>
      </w:pPr>
      <w:r w:rsidRPr="00037479">
        <w:rPr>
          <w:rFonts w:ascii="Garamond" w:hAnsi="Garamond"/>
          <w:i/>
          <w:lang w:val="en-AU"/>
        </w:rPr>
        <w:t>Cultural respect in midwifery service provision for Aboriginal women: longitudinal follow-up reveals the enduring legacy of targeted program initiatives</w:t>
      </w:r>
    </w:p>
    <w:p w:rsidR="002136CA" w:rsidRDefault="002136CA" w:rsidP="000A4614">
      <w:pPr>
        <w:keepNext/>
        <w:keepLines/>
        <w:autoSpaceDE w:val="0"/>
        <w:autoSpaceDN w:val="0"/>
        <w:adjustRightInd w:val="0"/>
        <w:rPr>
          <w:rFonts w:ascii="Garamond" w:hAnsi="Garamond"/>
          <w:lang w:val="en-AU"/>
        </w:rPr>
      </w:pPr>
      <w:r w:rsidRPr="002136CA">
        <w:rPr>
          <w:rFonts w:ascii="Garamond" w:hAnsi="Garamond"/>
          <w:lang w:val="en-AU"/>
        </w:rPr>
        <w:t>Thackrah RD, Wood J, Thompson SC</w:t>
      </w:r>
    </w:p>
    <w:p w:rsidR="00037479" w:rsidRDefault="002136CA" w:rsidP="000A4614">
      <w:pPr>
        <w:keepNext/>
        <w:keepLines/>
        <w:autoSpaceDE w:val="0"/>
        <w:autoSpaceDN w:val="0"/>
        <w:adjustRightInd w:val="0"/>
        <w:rPr>
          <w:rFonts w:ascii="Garamond" w:hAnsi="Garamond"/>
          <w:lang w:val="en-AU"/>
        </w:rPr>
      </w:pPr>
      <w:r w:rsidRPr="002136CA">
        <w:rPr>
          <w:rFonts w:ascii="Garamond" w:hAnsi="Garamond"/>
          <w:lang w:val="en-AU"/>
        </w:rPr>
        <w:t>International Journal for Equity in Health. 2020;19(1):210.</w:t>
      </w:r>
    </w:p>
    <w:tbl>
      <w:tblPr>
        <w:tblStyle w:val="TableGrid"/>
        <w:tblW w:w="9360" w:type="dxa"/>
        <w:tblInd w:w="288" w:type="dxa"/>
        <w:tblLayout w:type="fixed"/>
        <w:tblLook w:val="01E0" w:firstRow="1" w:lastRow="1" w:firstColumn="1" w:lastColumn="1" w:noHBand="0" w:noVBand="0"/>
      </w:tblPr>
      <w:tblGrid>
        <w:gridCol w:w="1080"/>
        <w:gridCol w:w="8280"/>
      </w:tblGrid>
      <w:tr w:rsidR="00776AE4"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776AE4" w:rsidRPr="000170DA" w:rsidRDefault="00776AE4" w:rsidP="00FB774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76AE4" w:rsidRDefault="006E193D" w:rsidP="000A4614">
            <w:pPr>
              <w:keepNext/>
              <w:rPr>
                <w:rStyle w:val="Hyperlink"/>
                <w:rFonts w:ascii="Garamond" w:hAnsi="Garamond"/>
                <w:color w:val="auto"/>
                <w:u w:val="none"/>
                <w:lang w:val="en-AU"/>
              </w:rPr>
            </w:pPr>
            <w:r>
              <w:rPr>
                <w:rStyle w:val="Hyperlink"/>
                <w:rFonts w:ascii="Garamond" w:hAnsi="Garamond"/>
                <w:color w:val="auto"/>
                <w:u w:val="none"/>
                <w:lang w:val="en-AU"/>
              </w:rPr>
              <w:t>Cox and Simpson</w:t>
            </w:r>
            <w:r w:rsidR="00037479">
              <w:rPr>
                <w:rStyle w:val="Hyperlink"/>
                <w:rFonts w:ascii="Garamond" w:hAnsi="Garamond"/>
                <w:color w:val="auto"/>
                <w:u w:val="none"/>
                <w:lang w:val="en-AU"/>
              </w:rPr>
              <w:t xml:space="preserve"> </w:t>
            </w:r>
            <w:hyperlink r:id="rId49" w:history="1">
              <w:r w:rsidR="000A4614" w:rsidRPr="00E921E3">
                <w:rPr>
                  <w:rStyle w:val="Hyperlink"/>
                  <w:rFonts w:ascii="Garamond" w:hAnsi="Garamond"/>
                  <w:lang w:val="en-AU"/>
                </w:rPr>
                <w:t>https://doi.org/10.3390/pharmacy8040214</w:t>
              </w:r>
            </w:hyperlink>
          </w:p>
          <w:p w:rsidR="00037479" w:rsidRPr="000170DA" w:rsidRDefault="00037479" w:rsidP="000A4614">
            <w:pPr>
              <w:keepNext/>
              <w:rPr>
                <w:rStyle w:val="Hyperlink"/>
                <w:rFonts w:ascii="Garamond" w:hAnsi="Garamond"/>
                <w:color w:val="auto"/>
                <w:u w:val="none"/>
                <w:lang w:val="en-AU"/>
              </w:rPr>
            </w:pPr>
            <w:r>
              <w:rPr>
                <w:rStyle w:val="Hyperlink"/>
                <w:rFonts w:ascii="Garamond" w:hAnsi="Garamond"/>
                <w:color w:val="auto"/>
                <w:u w:val="none"/>
                <w:lang w:val="en-AU"/>
              </w:rPr>
              <w:t xml:space="preserve">Thackrah et al </w:t>
            </w:r>
            <w:hyperlink r:id="rId50" w:history="1">
              <w:r w:rsidRPr="00E921E3">
                <w:rPr>
                  <w:rStyle w:val="Hyperlink"/>
                  <w:rFonts w:ascii="Garamond" w:hAnsi="Garamond"/>
                  <w:lang w:val="en-AU"/>
                </w:rPr>
                <w:t>https://doi.org/10.1186/s12939-020-01325-x</w:t>
              </w:r>
            </w:hyperlink>
          </w:p>
        </w:tc>
      </w:tr>
      <w:tr w:rsidR="00776AE4"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776AE4" w:rsidRPr="000170DA" w:rsidRDefault="00776AE4" w:rsidP="00FB77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6AE4" w:rsidRDefault="006E193D" w:rsidP="006E193D">
            <w:pPr>
              <w:rPr>
                <w:rFonts w:ascii="Garamond" w:hAnsi="Garamond"/>
                <w:lang w:val="en-AU"/>
              </w:rPr>
            </w:pPr>
            <w:r w:rsidRPr="006E193D">
              <w:rPr>
                <w:rFonts w:ascii="Garamond" w:hAnsi="Garamond"/>
                <w:lang w:val="en-AU"/>
              </w:rPr>
              <w:t xml:space="preserve">Recent years have seen </w:t>
            </w:r>
            <w:r>
              <w:rPr>
                <w:rFonts w:ascii="Garamond" w:hAnsi="Garamond"/>
                <w:lang w:val="en-AU"/>
              </w:rPr>
              <w:t xml:space="preserve">an increasing awareness of the need for culturally appropriate and safe care delivery. This has been accompanied by the development of training in “cultural safety”. </w:t>
            </w:r>
            <w:r>
              <w:rPr>
                <w:rStyle w:val="Hyperlink"/>
                <w:rFonts w:ascii="Garamond" w:hAnsi="Garamond"/>
                <w:color w:val="auto"/>
                <w:u w:val="none"/>
                <w:lang w:val="en-AU"/>
              </w:rPr>
              <w:t>Cox and Simpson</w:t>
            </w:r>
            <w:r>
              <w:rPr>
                <w:rFonts w:ascii="Garamond" w:hAnsi="Garamond"/>
                <w:lang w:val="en-AU"/>
              </w:rPr>
              <w:t xml:space="preserve"> describes a model for a continuing professional development program on “cultural humility’. The proposed </w:t>
            </w:r>
            <w:r w:rsidRPr="006E193D">
              <w:rPr>
                <w:rFonts w:ascii="Garamond" w:hAnsi="Garamond"/>
                <w:lang w:val="en-AU"/>
              </w:rPr>
              <w:t>model program for a cultural humility CPD activity incorporat</w:t>
            </w:r>
            <w:r>
              <w:rPr>
                <w:rFonts w:ascii="Garamond" w:hAnsi="Garamond"/>
                <w:lang w:val="en-AU"/>
              </w:rPr>
              <w:t>es</w:t>
            </w:r>
            <w:r w:rsidRPr="006E193D">
              <w:rPr>
                <w:rFonts w:ascii="Garamond" w:hAnsi="Garamond"/>
                <w:lang w:val="en-AU"/>
              </w:rPr>
              <w:t xml:space="preserve"> pre-work, online modules, interactive workshop, reflection on professional practice and a post-workshop evaluation.</w:t>
            </w:r>
          </w:p>
          <w:p w:rsidR="006E193D" w:rsidRPr="006E193D" w:rsidRDefault="006E193D" w:rsidP="00852F37">
            <w:pPr>
              <w:rPr>
                <w:rFonts w:ascii="Garamond" w:hAnsi="Garamond"/>
                <w:lang w:val="en-AU"/>
              </w:rPr>
            </w:pPr>
            <w:r>
              <w:rPr>
                <w:rFonts w:ascii="Garamond" w:hAnsi="Garamond"/>
                <w:lang w:val="en-AU"/>
              </w:rPr>
              <w:t xml:space="preserve">Thackrah et al provide an example of how cultural respect or cultural safety can have an impact on care. Based on interviews with 14 </w:t>
            </w:r>
            <w:r w:rsidRPr="006E193D">
              <w:rPr>
                <w:rFonts w:ascii="Garamond" w:hAnsi="Garamond"/>
                <w:lang w:val="en-AU"/>
              </w:rPr>
              <w:t>non-Indigenous midwives</w:t>
            </w:r>
            <w:r>
              <w:rPr>
                <w:rFonts w:ascii="Garamond" w:hAnsi="Garamond"/>
                <w:lang w:val="en-AU"/>
              </w:rPr>
              <w:t xml:space="preserve"> who had c</w:t>
            </w:r>
            <w:r w:rsidRPr="006E193D">
              <w:rPr>
                <w:rFonts w:ascii="Garamond" w:hAnsi="Garamond"/>
                <w:lang w:val="en-AU"/>
              </w:rPr>
              <w:t>ore Indigenous content and community placements</w:t>
            </w:r>
            <w:r>
              <w:rPr>
                <w:rFonts w:ascii="Garamond" w:hAnsi="Garamond"/>
                <w:lang w:val="en-AU"/>
              </w:rPr>
              <w:t xml:space="preserve"> in their </w:t>
            </w:r>
            <w:r w:rsidR="00852F37">
              <w:rPr>
                <w:rFonts w:ascii="Garamond" w:hAnsi="Garamond"/>
                <w:lang w:val="en-AU"/>
              </w:rPr>
              <w:t>training in 2012–14. The interviews revealed that ‘</w:t>
            </w:r>
            <w:r w:rsidR="00852F37" w:rsidRPr="00852F37">
              <w:rPr>
                <w:rFonts w:ascii="Garamond" w:hAnsi="Garamond"/>
                <w:lang w:val="en-AU"/>
              </w:rPr>
              <w:t>Exposure to Indigenous content and settings during training had an enduring impact on participants’ midwifery practice; most felt better prepared to provide culturally safe care, build respectful relationships and advocate for improved services for Aboriginal women.</w:t>
            </w:r>
            <w:r w:rsidR="00852F37">
              <w:rPr>
                <w:rFonts w:ascii="Garamond" w:hAnsi="Garamond"/>
                <w:lang w:val="en-AU"/>
              </w:rPr>
              <w:t xml:space="preserve">’ They also recognised some apprehension about </w:t>
            </w:r>
            <w:r w:rsidR="00852F37" w:rsidRPr="00852F37">
              <w:rPr>
                <w:rFonts w:ascii="Garamond" w:hAnsi="Garamond"/>
                <w:lang w:val="en-AU"/>
              </w:rPr>
              <w:t>causing offence and recognised their own knowledge deficits with regard to Aboriginal cultural practices</w:t>
            </w:r>
            <w:r w:rsidR="00852F37">
              <w:rPr>
                <w:rFonts w:ascii="Garamond" w:hAnsi="Garamond"/>
                <w:lang w:val="en-AU"/>
              </w:rPr>
              <w:t>, and that o</w:t>
            </w:r>
            <w:r w:rsidR="00852F37" w:rsidRPr="00852F37">
              <w:rPr>
                <w:rFonts w:ascii="Garamond" w:hAnsi="Garamond"/>
                <w:lang w:val="en-AU"/>
              </w:rPr>
              <w:t>rganisational constraints</w:t>
            </w:r>
            <w:r w:rsidR="00852F37">
              <w:rPr>
                <w:rFonts w:ascii="Garamond" w:hAnsi="Garamond"/>
                <w:lang w:val="en-AU"/>
              </w:rPr>
              <w:t xml:space="preserve"> also existed. The authors conclude that ‘</w:t>
            </w:r>
            <w:r w:rsidR="00852F37" w:rsidRPr="00852F37">
              <w:rPr>
                <w:rFonts w:ascii="Garamond" w:hAnsi="Garamond"/>
                <w:lang w:val="en-AU"/>
              </w:rPr>
              <w:t>well-designed and delivered Indigenous content and community placement opportunities in midwifery programs can have a lasting impact on service provision to Aboriginal women, contribute to a more informed, empathetic and culturally competent maternity workforce and help catalyse health service changes towards more culturally safe care.</w:t>
            </w:r>
            <w:r w:rsidR="00852F37">
              <w:rPr>
                <w:rFonts w:ascii="Garamond" w:hAnsi="Garamond"/>
                <w:lang w:val="en-AU"/>
              </w:rPr>
              <w:t>’</w:t>
            </w:r>
          </w:p>
        </w:tc>
      </w:tr>
    </w:tbl>
    <w:p w:rsidR="002136CA" w:rsidRDefault="002136CA" w:rsidP="002136CA">
      <w:pPr>
        <w:keepNext/>
        <w:keepLines/>
        <w:autoSpaceDE w:val="0"/>
        <w:autoSpaceDN w:val="0"/>
        <w:adjustRightInd w:val="0"/>
        <w:rPr>
          <w:rFonts w:ascii="Garamond" w:hAnsi="Garamond"/>
          <w:i/>
          <w:lang w:val="en-AU"/>
        </w:rPr>
      </w:pPr>
    </w:p>
    <w:p w:rsidR="002136CA" w:rsidRDefault="002136CA">
      <w:pPr>
        <w:rPr>
          <w:rFonts w:ascii="Garamond" w:hAnsi="Garamond"/>
          <w:i/>
          <w:lang w:val="en-AU"/>
        </w:rPr>
      </w:pPr>
      <w:r>
        <w:rPr>
          <w:rFonts w:ascii="Garamond" w:hAnsi="Garamond"/>
          <w:i/>
          <w:lang w:val="en-AU"/>
        </w:rPr>
        <w:br w:type="page"/>
      </w:r>
    </w:p>
    <w:p w:rsidR="002136CA" w:rsidRPr="00037479" w:rsidRDefault="002136CA" w:rsidP="002136CA">
      <w:pPr>
        <w:keepNext/>
        <w:keepLines/>
        <w:autoSpaceDE w:val="0"/>
        <w:autoSpaceDN w:val="0"/>
        <w:adjustRightInd w:val="0"/>
        <w:rPr>
          <w:rFonts w:ascii="Garamond" w:hAnsi="Garamond"/>
          <w:i/>
          <w:lang w:val="en-AU"/>
        </w:rPr>
      </w:pPr>
      <w:r w:rsidRPr="00037479">
        <w:rPr>
          <w:rFonts w:ascii="Garamond" w:hAnsi="Garamond"/>
          <w:i/>
          <w:lang w:val="en-AU"/>
        </w:rPr>
        <w:lastRenderedPageBreak/>
        <w:t>Preventable medication harm across health care settings: a systematic review and meta-analysis</w:t>
      </w:r>
    </w:p>
    <w:p w:rsidR="002136CA" w:rsidRDefault="002136CA" w:rsidP="002136CA">
      <w:pPr>
        <w:keepNext/>
        <w:keepLines/>
        <w:autoSpaceDE w:val="0"/>
        <w:autoSpaceDN w:val="0"/>
        <w:adjustRightInd w:val="0"/>
        <w:rPr>
          <w:rFonts w:ascii="Garamond" w:hAnsi="Garamond"/>
          <w:lang w:val="en-AU"/>
        </w:rPr>
      </w:pPr>
      <w:r w:rsidRPr="002136CA">
        <w:rPr>
          <w:rFonts w:ascii="Garamond" w:hAnsi="Garamond"/>
          <w:lang w:val="en-AU"/>
        </w:rPr>
        <w:t>Hodkinson A, Tyler N, Ashcroft DM, Keers RN, Khan K, Phipps D, et al</w:t>
      </w:r>
    </w:p>
    <w:p w:rsidR="002136CA" w:rsidRDefault="002136CA" w:rsidP="002136CA">
      <w:pPr>
        <w:keepNext/>
        <w:keepLines/>
        <w:autoSpaceDE w:val="0"/>
        <w:autoSpaceDN w:val="0"/>
        <w:adjustRightInd w:val="0"/>
        <w:rPr>
          <w:rFonts w:ascii="Garamond" w:hAnsi="Garamond"/>
          <w:lang w:val="en-AU"/>
        </w:rPr>
      </w:pPr>
      <w:r w:rsidRPr="002136CA">
        <w:rPr>
          <w:rFonts w:ascii="Garamond" w:hAnsi="Garamond"/>
          <w:lang w:val="en-AU"/>
        </w:rPr>
        <w:t>BMC Medicine. 2020;18(1):313.</w:t>
      </w:r>
    </w:p>
    <w:tbl>
      <w:tblPr>
        <w:tblStyle w:val="TableGrid"/>
        <w:tblW w:w="9360" w:type="dxa"/>
        <w:tblInd w:w="288" w:type="dxa"/>
        <w:tblLayout w:type="fixed"/>
        <w:tblLook w:val="01E0" w:firstRow="1" w:lastRow="1" w:firstColumn="1" w:lastColumn="1" w:noHBand="0" w:noVBand="0"/>
      </w:tblPr>
      <w:tblGrid>
        <w:gridCol w:w="1080"/>
        <w:gridCol w:w="8280"/>
      </w:tblGrid>
      <w:tr w:rsidR="002136CA" w:rsidRPr="000170DA" w:rsidTr="009248AE">
        <w:tc>
          <w:tcPr>
            <w:tcW w:w="1080" w:type="dxa"/>
            <w:tcBorders>
              <w:top w:val="single" w:sz="4" w:space="0" w:color="auto"/>
              <w:left w:val="single" w:sz="4" w:space="0" w:color="auto"/>
              <w:bottom w:val="single" w:sz="4" w:space="0" w:color="auto"/>
              <w:right w:val="single" w:sz="4" w:space="0" w:color="auto"/>
            </w:tcBorders>
            <w:vAlign w:val="center"/>
          </w:tcPr>
          <w:p w:rsidR="002136CA" w:rsidRPr="000170DA" w:rsidRDefault="002136CA" w:rsidP="009248A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136CA" w:rsidRPr="000170DA" w:rsidRDefault="001F3849" w:rsidP="009248AE">
            <w:pPr>
              <w:keepNext/>
              <w:rPr>
                <w:rStyle w:val="Hyperlink"/>
                <w:rFonts w:ascii="Garamond" w:hAnsi="Garamond"/>
                <w:color w:val="auto"/>
                <w:u w:val="none"/>
                <w:lang w:val="en-AU"/>
              </w:rPr>
            </w:pPr>
            <w:hyperlink r:id="rId51" w:history="1">
              <w:r w:rsidR="002136CA" w:rsidRPr="00E921E3">
                <w:rPr>
                  <w:rStyle w:val="Hyperlink"/>
                  <w:rFonts w:ascii="Garamond" w:hAnsi="Garamond"/>
                  <w:lang w:val="en-AU"/>
                </w:rPr>
                <w:t>http://doi.org/10.1186/s12916-020-01774-9</w:t>
              </w:r>
            </w:hyperlink>
          </w:p>
        </w:tc>
      </w:tr>
      <w:tr w:rsidR="002136CA" w:rsidRPr="000170DA" w:rsidTr="009248AE">
        <w:tc>
          <w:tcPr>
            <w:tcW w:w="1080" w:type="dxa"/>
            <w:tcBorders>
              <w:top w:val="single" w:sz="4" w:space="0" w:color="auto"/>
              <w:left w:val="single" w:sz="4" w:space="0" w:color="auto"/>
              <w:bottom w:val="single" w:sz="4" w:space="0" w:color="auto"/>
              <w:right w:val="single" w:sz="4" w:space="0" w:color="auto"/>
            </w:tcBorders>
            <w:vAlign w:val="center"/>
          </w:tcPr>
          <w:p w:rsidR="002136CA" w:rsidRPr="000170DA" w:rsidRDefault="002136CA" w:rsidP="009248A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1696" w:rsidRDefault="00DA1696" w:rsidP="009248AE">
            <w:pPr>
              <w:rPr>
                <w:rFonts w:ascii="Garamond" w:hAnsi="Garamond"/>
                <w:lang w:val="en-AU"/>
              </w:rPr>
            </w:pPr>
            <w:r w:rsidRPr="00BA3382">
              <w:rPr>
                <w:rFonts w:ascii="Garamond" w:hAnsi="Garamond"/>
                <w:lang w:val="en-AU"/>
              </w:rPr>
              <w:t>Medication errors are among the most common forms of error in health. This paper reports on a review and meta-analysis to examine the prevale</w:t>
            </w:r>
            <w:r w:rsidRPr="00DA1696">
              <w:rPr>
                <w:rFonts w:ascii="Garamond" w:hAnsi="Garamond"/>
                <w:lang w:val="en-AU"/>
              </w:rPr>
              <w:t>nce of preventable medication harm</w:t>
            </w:r>
            <w:r>
              <w:rPr>
                <w:rFonts w:ascii="Garamond" w:hAnsi="Garamond"/>
                <w:lang w:val="en-AU"/>
              </w:rPr>
              <w:t>. Based on 81 studies involving 285,687 patients, the authors report that ‘</w:t>
            </w:r>
            <w:r w:rsidRPr="00DA1696">
              <w:rPr>
                <w:rFonts w:ascii="Garamond" w:hAnsi="Garamond"/>
                <w:b/>
                <w:lang w:val="en-AU"/>
              </w:rPr>
              <w:t>around one in 30 patients are exposed to preventable medication harm in medical care, and more than a quarter of this harm is considered severe or life-threatening.</w:t>
            </w:r>
            <w:r>
              <w:rPr>
                <w:rFonts w:ascii="Garamond" w:hAnsi="Garamond"/>
                <w:lang w:val="en-AU"/>
              </w:rPr>
              <w:t>’</w:t>
            </w:r>
          </w:p>
          <w:p w:rsidR="00BA3382" w:rsidRDefault="00DA1696" w:rsidP="009248AE">
            <w:pPr>
              <w:rPr>
                <w:rFonts w:ascii="Garamond" w:hAnsi="Garamond"/>
                <w:lang w:val="en-AU"/>
              </w:rPr>
            </w:pPr>
            <w:r>
              <w:rPr>
                <w:rFonts w:ascii="Garamond" w:hAnsi="Garamond"/>
                <w:lang w:val="en-AU"/>
              </w:rPr>
              <w:t xml:space="preserve">The authors also report that </w:t>
            </w:r>
          </w:p>
          <w:p w:rsidR="00BA3382" w:rsidRPr="00BA3382" w:rsidRDefault="00BA3382" w:rsidP="00BA3382">
            <w:pPr>
              <w:pStyle w:val="ListParagraph"/>
              <w:numPr>
                <w:ilvl w:val="0"/>
                <w:numId w:val="43"/>
              </w:numPr>
              <w:rPr>
                <w:rFonts w:ascii="Garamond" w:hAnsi="Garamond"/>
                <w:lang w:val="en-AU"/>
              </w:rPr>
            </w:pPr>
            <w:r w:rsidRPr="00BA3382">
              <w:rPr>
                <w:rFonts w:ascii="Garamond" w:hAnsi="Garamond"/>
                <w:lang w:val="en-AU"/>
              </w:rPr>
              <w:t>t</w:t>
            </w:r>
            <w:r w:rsidR="00DA1696" w:rsidRPr="00BA3382">
              <w:rPr>
                <w:rFonts w:ascii="Garamond" w:hAnsi="Garamond"/>
                <w:lang w:val="en-AU"/>
              </w:rPr>
              <w:t>he highest rates of preventable medication harm were seen in elderly patient care settings, intensive care, highly specialised or surgical care and emergency medicine</w:t>
            </w:r>
          </w:p>
          <w:p w:rsidR="00BA3382" w:rsidRPr="00BA3382" w:rsidRDefault="00BA3382" w:rsidP="00BA3382">
            <w:pPr>
              <w:pStyle w:val="ListParagraph"/>
              <w:numPr>
                <w:ilvl w:val="0"/>
                <w:numId w:val="43"/>
              </w:numPr>
              <w:rPr>
                <w:rFonts w:ascii="Garamond" w:hAnsi="Garamond"/>
                <w:lang w:val="en-AU"/>
              </w:rPr>
            </w:pPr>
            <w:r w:rsidRPr="00BA3382">
              <w:rPr>
                <w:rFonts w:ascii="Garamond" w:hAnsi="Garamond"/>
                <w:lang w:val="en-AU"/>
              </w:rPr>
              <w:t>t</w:t>
            </w:r>
            <w:r w:rsidR="00DA1696" w:rsidRPr="00BA3382">
              <w:rPr>
                <w:rFonts w:ascii="Garamond" w:hAnsi="Garamond"/>
                <w:lang w:val="en-AU"/>
              </w:rPr>
              <w:t xml:space="preserve">he proportion of mild preventable medication harm was 39%, moderate preventable harm 40% and clinically severe or life-threatening preventable harm 26%. </w:t>
            </w:r>
          </w:p>
          <w:p w:rsidR="00DA1696" w:rsidRPr="00BA3382" w:rsidRDefault="00BA3382" w:rsidP="00BA3382">
            <w:pPr>
              <w:pStyle w:val="ListParagraph"/>
              <w:numPr>
                <w:ilvl w:val="0"/>
                <w:numId w:val="43"/>
              </w:numPr>
              <w:rPr>
                <w:rFonts w:ascii="Garamond" w:hAnsi="Garamond"/>
                <w:lang w:val="en-AU"/>
              </w:rPr>
            </w:pPr>
            <w:r w:rsidRPr="00BA3382">
              <w:rPr>
                <w:rFonts w:ascii="Garamond" w:hAnsi="Garamond"/>
                <w:lang w:val="en-AU"/>
              </w:rPr>
              <w:t>t</w:t>
            </w:r>
            <w:r w:rsidR="00DA1696" w:rsidRPr="00BA3382">
              <w:rPr>
                <w:rFonts w:ascii="Garamond" w:hAnsi="Garamond"/>
                <w:lang w:val="en-AU"/>
              </w:rPr>
              <w:t>he source of the highest prevalence rates of preventable harm were at the prescribing and monitoring stages of medication use.</w:t>
            </w:r>
          </w:p>
        </w:tc>
      </w:tr>
    </w:tbl>
    <w:p w:rsidR="002136CA" w:rsidRDefault="002136CA" w:rsidP="002136CA">
      <w:pPr>
        <w:keepNext/>
        <w:keepLines/>
        <w:autoSpaceDE w:val="0"/>
        <w:autoSpaceDN w:val="0"/>
        <w:adjustRightInd w:val="0"/>
        <w:rPr>
          <w:rFonts w:ascii="Garamond" w:hAnsi="Garamond"/>
          <w:lang w:val="en-AU"/>
        </w:rPr>
      </w:pPr>
    </w:p>
    <w:p w:rsidR="002136CA" w:rsidRDefault="002136CA" w:rsidP="002136CA">
      <w:pPr>
        <w:keepNext/>
        <w:keepLines/>
        <w:autoSpaceDE w:val="0"/>
        <w:autoSpaceDN w:val="0"/>
        <w:adjustRightInd w:val="0"/>
        <w:rPr>
          <w:rFonts w:ascii="Garamond" w:hAnsi="Garamond"/>
          <w:lang w:val="en-AU"/>
        </w:rPr>
      </w:pPr>
      <w:r w:rsidRPr="00C34B29">
        <w:rPr>
          <w:rFonts w:ascii="Garamond" w:hAnsi="Garamond"/>
          <w:lang w:val="en-AU"/>
        </w:rPr>
        <w:t xml:space="preserve">For information on the Commission’s work on </w:t>
      </w:r>
      <w:r>
        <w:rPr>
          <w:rFonts w:ascii="Garamond" w:hAnsi="Garamond"/>
          <w:lang w:val="en-AU"/>
        </w:rPr>
        <w:t>medication safety</w:t>
      </w:r>
      <w:r w:rsidRPr="00C34B29">
        <w:rPr>
          <w:rFonts w:ascii="Garamond" w:hAnsi="Garamond"/>
          <w:lang w:val="en-AU"/>
        </w:rPr>
        <w:t>, see</w:t>
      </w:r>
      <w:r>
        <w:rPr>
          <w:rFonts w:ascii="Garamond" w:hAnsi="Garamond"/>
          <w:lang w:val="en-AU"/>
        </w:rPr>
        <w:t xml:space="preserve"> </w:t>
      </w:r>
      <w:hyperlink r:id="rId52" w:history="1">
        <w:r w:rsidRPr="00BE7719">
          <w:rPr>
            <w:rStyle w:val="Hyperlink"/>
            <w:rFonts w:ascii="Garamond" w:hAnsi="Garamond"/>
            <w:lang w:val="en-AU"/>
          </w:rPr>
          <w:t>https://www.safetyandquality.gov.au/our-work/medication-safety</w:t>
        </w:r>
      </w:hyperlink>
    </w:p>
    <w:p w:rsidR="002136CA" w:rsidRDefault="002136CA" w:rsidP="002136CA">
      <w:pPr>
        <w:keepNext/>
        <w:keepLines/>
        <w:autoSpaceDE w:val="0"/>
        <w:autoSpaceDN w:val="0"/>
        <w:adjustRightInd w:val="0"/>
        <w:rPr>
          <w:rFonts w:ascii="Garamond" w:hAnsi="Garamond"/>
          <w:lang w:val="en-AU"/>
        </w:rPr>
      </w:pPr>
    </w:p>
    <w:p w:rsidR="002136CA" w:rsidRPr="00037479" w:rsidRDefault="002136CA" w:rsidP="002136CA">
      <w:pPr>
        <w:keepNext/>
        <w:keepLines/>
        <w:tabs>
          <w:tab w:val="left" w:pos="1065"/>
        </w:tabs>
        <w:autoSpaceDE w:val="0"/>
        <w:autoSpaceDN w:val="0"/>
        <w:adjustRightInd w:val="0"/>
        <w:rPr>
          <w:rFonts w:ascii="Garamond" w:hAnsi="Garamond"/>
          <w:i/>
          <w:lang w:val="en-AU"/>
        </w:rPr>
      </w:pPr>
      <w:r w:rsidRPr="00037479">
        <w:rPr>
          <w:rFonts w:ascii="Garamond" w:hAnsi="Garamond"/>
          <w:i/>
          <w:lang w:val="en-AU"/>
        </w:rPr>
        <w:t>The I-READI quality and safety framework: a health system’s response to airway complications in mechanically ventilated patients with Covid-19</w:t>
      </w:r>
    </w:p>
    <w:p w:rsidR="002136CA" w:rsidRDefault="002136CA" w:rsidP="002136CA">
      <w:pPr>
        <w:keepNext/>
        <w:keepLines/>
        <w:tabs>
          <w:tab w:val="left" w:pos="1065"/>
        </w:tabs>
        <w:autoSpaceDE w:val="0"/>
        <w:autoSpaceDN w:val="0"/>
        <w:adjustRightInd w:val="0"/>
        <w:rPr>
          <w:rFonts w:ascii="Garamond" w:hAnsi="Garamond"/>
          <w:lang w:val="en-AU"/>
        </w:rPr>
      </w:pPr>
      <w:r w:rsidRPr="002136CA">
        <w:rPr>
          <w:rFonts w:ascii="Garamond" w:hAnsi="Garamond"/>
          <w:lang w:val="en-AU"/>
        </w:rPr>
        <w:t>Ginestra Jennifer C, Atkins J, Mikkelsen M, Mitchell Oscar JL, Gutsche J, Jablonski J, et al</w:t>
      </w:r>
    </w:p>
    <w:p w:rsidR="002136CA" w:rsidRDefault="002136CA" w:rsidP="002136CA">
      <w:pPr>
        <w:keepNext/>
        <w:keepLines/>
        <w:tabs>
          <w:tab w:val="left" w:pos="1065"/>
        </w:tabs>
        <w:autoSpaceDE w:val="0"/>
        <w:autoSpaceDN w:val="0"/>
        <w:adjustRightInd w:val="0"/>
        <w:rPr>
          <w:rFonts w:ascii="Garamond" w:hAnsi="Garamond"/>
          <w:lang w:val="en-AU"/>
        </w:rPr>
      </w:pPr>
      <w:r w:rsidRPr="002136CA">
        <w:rPr>
          <w:rFonts w:ascii="Garamond" w:hAnsi="Garamond"/>
          <w:lang w:val="en-AU"/>
        </w:rPr>
        <w:t>NEJM Catalyst.2(1).</w:t>
      </w:r>
    </w:p>
    <w:tbl>
      <w:tblPr>
        <w:tblStyle w:val="TableGrid"/>
        <w:tblW w:w="9360" w:type="dxa"/>
        <w:tblInd w:w="288" w:type="dxa"/>
        <w:tblLayout w:type="fixed"/>
        <w:tblLook w:val="01E0" w:firstRow="1" w:lastRow="1" w:firstColumn="1" w:lastColumn="1" w:noHBand="0" w:noVBand="0"/>
      </w:tblPr>
      <w:tblGrid>
        <w:gridCol w:w="1080"/>
        <w:gridCol w:w="8280"/>
      </w:tblGrid>
      <w:tr w:rsidR="002136CA" w:rsidRPr="000170DA" w:rsidTr="009248AE">
        <w:tc>
          <w:tcPr>
            <w:tcW w:w="1080" w:type="dxa"/>
            <w:tcBorders>
              <w:top w:val="single" w:sz="4" w:space="0" w:color="auto"/>
              <w:left w:val="single" w:sz="4" w:space="0" w:color="auto"/>
              <w:bottom w:val="single" w:sz="4" w:space="0" w:color="auto"/>
              <w:right w:val="single" w:sz="4" w:space="0" w:color="auto"/>
            </w:tcBorders>
            <w:vAlign w:val="center"/>
          </w:tcPr>
          <w:p w:rsidR="002136CA" w:rsidRPr="000170DA" w:rsidRDefault="002136CA" w:rsidP="009248A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136CA" w:rsidRPr="000170DA" w:rsidRDefault="001F3849" w:rsidP="009248AE">
            <w:pPr>
              <w:keepNext/>
              <w:rPr>
                <w:rStyle w:val="Hyperlink"/>
                <w:rFonts w:ascii="Garamond" w:hAnsi="Garamond"/>
                <w:color w:val="auto"/>
                <w:u w:val="none"/>
                <w:lang w:val="en-AU"/>
              </w:rPr>
            </w:pPr>
            <w:hyperlink r:id="rId53" w:history="1">
              <w:r w:rsidR="002136CA" w:rsidRPr="00E921E3">
                <w:rPr>
                  <w:rStyle w:val="Hyperlink"/>
                  <w:rFonts w:ascii="Garamond" w:hAnsi="Garamond"/>
                  <w:lang w:val="en-AU"/>
                </w:rPr>
                <w:t>http://doi.org/10.1056/CAT.20.0305</w:t>
              </w:r>
            </w:hyperlink>
          </w:p>
        </w:tc>
      </w:tr>
      <w:tr w:rsidR="002136CA" w:rsidRPr="000170DA" w:rsidTr="009248AE">
        <w:tc>
          <w:tcPr>
            <w:tcW w:w="1080" w:type="dxa"/>
            <w:tcBorders>
              <w:top w:val="single" w:sz="4" w:space="0" w:color="auto"/>
              <w:left w:val="single" w:sz="4" w:space="0" w:color="auto"/>
              <w:bottom w:val="single" w:sz="4" w:space="0" w:color="auto"/>
              <w:right w:val="single" w:sz="4" w:space="0" w:color="auto"/>
            </w:tcBorders>
            <w:vAlign w:val="center"/>
          </w:tcPr>
          <w:p w:rsidR="002136CA" w:rsidRPr="000170DA" w:rsidRDefault="002136CA" w:rsidP="009248A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136CA" w:rsidRPr="00623191" w:rsidRDefault="002136CA" w:rsidP="009248AE">
            <w:pPr>
              <w:rPr>
                <w:rFonts w:ascii="Garamond" w:hAnsi="Garamond"/>
                <w:lang w:val="en-AU"/>
              </w:rPr>
            </w:pPr>
            <w:r w:rsidRPr="00FB7748">
              <w:rPr>
                <w:rFonts w:ascii="Garamond" w:hAnsi="Garamond"/>
                <w:lang w:val="en-AU"/>
              </w:rPr>
              <w:t xml:space="preserve">Item reporting </w:t>
            </w:r>
            <w:r>
              <w:rPr>
                <w:rFonts w:ascii="Garamond" w:hAnsi="Garamond"/>
                <w:lang w:val="en-AU"/>
              </w:rPr>
              <w:t>on the development of t</w:t>
            </w:r>
            <w:r w:rsidRPr="00FB7748">
              <w:rPr>
                <w:rFonts w:ascii="Garamond" w:hAnsi="Garamond"/>
                <w:lang w:val="en-AU"/>
              </w:rPr>
              <w:t xml:space="preserve">he I-READI (integration, root cause analysis, evidence review, adaptation, dissemination, and implementation) conceptual framework to assist hospitals in preparing for and responding to safety </w:t>
            </w:r>
            <w:r>
              <w:rPr>
                <w:rFonts w:ascii="Garamond" w:hAnsi="Garamond"/>
                <w:lang w:val="en-AU"/>
              </w:rPr>
              <w:t xml:space="preserve">and quality </w:t>
            </w:r>
            <w:r w:rsidRPr="00FB7748">
              <w:rPr>
                <w:rFonts w:ascii="Garamond" w:hAnsi="Garamond"/>
                <w:lang w:val="en-AU"/>
              </w:rPr>
              <w:t xml:space="preserve">challenges during times of crisis, such as the COVID-19 pandemic. The I-READI approach </w:t>
            </w:r>
            <w:r>
              <w:rPr>
                <w:rFonts w:ascii="Garamond" w:hAnsi="Garamond"/>
                <w:lang w:val="en-AU"/>
              </w:rPr>
              <w:t xml:space="preserve">is intended to </w:t>
            </w:r>
            <w:r w:rsidRPr="00FB7748">
              <w:rPr>
                <w:rFonts w:ascii="Garamond" w:hAnsi="Garamond"/>
                <w:lang w:val="en-AU"/>
              </w:rPr>
              <w:t>streamline communication</w:t>
            </w:r>
            <w:r>
              <w:rPr>
                <w:rFonts w:ascii="Garamond" w:hAnsi="Garamond"/>
                <w:lang w:val="en-AU"/>
              </w:rPr>
              <w:t xml:space="preserve"> of clinical concerns</w:t>
            </w:r>
            <w:r w:rsidRPr="00FB7748">
              <w:rPr>
                <w:rFonts w:ascii="Garamond" w:hAnsi="Garamond"/>
                <w:lang w:val="en-AU"/>
              </w:rPr>
              <w:t>, enrich collaboration</w:t>
            </w:r>
            <w:r>
              <w:rPr>
                <w:rFonts w:ascii="Garamond" w:hAnsi="Garamond"/>
                <w:lang w:val="en-AU"/>
              </w:rPr>
              <w:t xml:space="preserve"> on solutions</w:t>
            </w:r>
            <w:r w:rsidRPr="00FB7748">
              <w:rPr>
                <w:rFonts w:ascii="Garamond" w:hAnsi="Garamond"/>
                <w:lang w:val="en-AU"/>
              </w:rPr>
              <w:t>, and coordinate rapid change through the use of daily safety huddles, roo</w:t>
            </w:r>
            <w:r>
              <w:rPr>
                <w:rFonts w:ascii="Garamond" w:hAnsi="Garamond"/>
                <w:lang w:val="en-AU"/>
              </w:rPr>
              <w:t xml:space="preserve">t cause analysis and evidence review, and technology that </w:t>
            </w:r>
            <w:r w:rsidRPr="002136CA">
              <w:rPr>
                <w:rFonts w:ascii="Garamond" w:hAnsi="Garamond"/>
                <w:lang w:val="en-AU"/>
              </w:rPr>
              <w:t>enables standardi</w:t>
            </w:r>
            <w:r>
              <w:rPr>
                <w:rFonts w:ascii="Garamond" w:hAnsi="Garamond"/>
                <w:lang w:val="en-AU"/>
              </w:rPr>
              <w:t>s</w:t>
            </w:r>
            <w:r w:rsidRPr="002136CA">
              <w:rPr>
                <w:rFonts w:ascii="Garamond" w:hAnsi="Garamond"/>
                <w:lang w:val="en-AU"/>
              </w:rPr>
              <w:t>ed implementation, goal setting, and real-time performance feedback to support practice improvements.</w:t>
            </w:r>
          </w:p>
        </w:tc>
      </w:tr>
    </w:tbl>
    <w:p w:rsidR="002136CA" w:rsidRDefault="002136CA" w:rsidP="002136CA">
      <w:pPr>
        <w:keepNext/>
        <w:keepLines/>
        <w:autoSpaceDE w:val="0"/>
        <w:autoSpaceDN w:val="0"/>
        <w:adjustRightInd w:val="0"/>
        <w:rPr>
          <w:rFonts w:ascii="Garamond" w:hAnsi="Garamond"/>
          <w:lang w:val="en-AU"/>
        </w:rPr>
      </w:pPr>
    </w:p>
    <w:p w:rsidR="00BA3382" w:rsidRPr="00037479" w:rsidRDefault="00BA3382" w:rsidP="00BA3382">
      <w:pPr>
        <w:keepNext/>
        <w:keepLines/>
        <w:autoSpaceDE w:val="0"/>
        <w:autoSpaceDN w:val="0"/>
        <w:adjustRightInd w:val="0"/>
        <w:rPr>
          <w:rFonts w:ascii="Garamond" w:hAnsi="Garamond"/>
          <w:i/>
          <w:lang w:val="en-AU"/>
        </w:rPr>
      </w:pPr>
      <w:r w:rsidRPr="00037479">
        <w:rPr>
          <w:rFonts w:ascii="Garamond" w:hAnsi="Garamond"/>
          <w:i/>
          <w:lang w:val="en-AU"/>
        </w:rPr>
        <w:t>Implementing patient and family involvement interventions for promoting patient safety: a systematic review and meta-analysis</w:t>
      </w:r>
    </w:p>
    <w:p w:rsidR="00BA3382" w:rsidRDefault="00BA3382" w:rsidP="00BA3382">
      <w:pPr>
        <w:keepNext/>
        <w:keepLines/>
        <w:autoSpaceDE w:val="0"/>
        <w:autoSpaceDN w:val="0"/>
        <w:adjustRightInd w:val="0"/>
        <w:rPr>
          <w:rFonts w:ascii="Garamond" w:hAnsi="Garamond"/>
          <w:lang w:val="en-AU"/>
        </w:rPr>
      </w:pPr>
      <w:r w:rsidRPr="00B67559">
        <w:rPr>
          <w:rFonts w:ascii="Garamond" w:hAnsi="Garamond"/>
          <w:lang w:val="en-AU"/>
        </w:rPr>
        <w:t>Giap T-T-T, Park M</w:t>
      </w:r>
    </w:p>
    <w:p w:rsidR="00BA3382" w:rsidRDefault="00BA3382" w:rsidP="00BA3382">
      <w:pPr>
        <w:keepNext/>
        <w:keepLines/>
        <w:autoSpaceDE w:val="0"/>
        <w:autoSpaceDN w:val="0"/>
        <w:adjustRightInd w:val="0"/>
        <w:rPr>
          <w:rFonts w:ascii="Garamond" w:hAnsi="Garamond"/>
          <w:lang w:val="en-AU"/>
        </w:rPr>
      </w:pPr>
      <w:r w:rsidRPr="00B67559">
        <w:rPr>
          <w:rFonts w:ascii="Garamond" w:hAnsi="Garamond"/>
          <w:lang w:val="en-AU"/>
        </w:rPr>
        <w:t>Journal of Patient Safety. 2021</w:t>
      </w:r>
      <w:r>
        <w:rPr>
          <w:rFonts w:ascii="Garamond" w:hAnsi="Garamond"/>
          <w:lang w:val="en-AU"/>
        </w:rPr>
        <w:t xml:space="preserve"> [epub]</w:t>
      </w:r>
      <w:r w:rsidRPr="00B67559">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A3382" w:rsidRPr="000170DA" w:rsidTr="006A14EB">
        <w:tc>
          <w:tcPr>
            <w:tcW w:w="1080" w:type="dxa"/>
            <w:tcBorders>
              <w:top w:val="single" w:sz="4" w:space="0" w:color="auto"/>
              <w:left w:val="single" w:sz="4" w:space="0" w:color="auto"/>
              <w:bottom w:val="single" w:sz="4" w:space="0" w:color="auto"/>
              <w:right w:val="single" w:sz="4" w:space="0" w:color="auto"/>
            </w:tcBorders>
            <w:vAlign w:val="center"/>
          </w:tcPr>
          <w:p w:rsidR="00BA3382" w:rsidRPr="000170DA" w:rsidRDefault="00BA3382" w:rsidP="006A14E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A3382" w:rsidRPr="000170DA" w:rsidRDefault="001F3849" w:rsidP="006A14EB">
            <w:pPr>
              <w:keepNext/>
              <w:rPr>
                <w:rStyle w:val="Hyperlink"/>
                <w:rFonts w:ascii="Garamond" w:hAnsi="Garamond"/>
                <w:color w:val="auto"/>
                <w:u w:val="none"/>
                <w:lang w:val="en-AU"/>
              </w:rPr>
            </w:pPr>
            <w:hyperlink r:id="rId54" w:history="1">
              <w:r w:rsidR="00BA3382" w:rsidRPr="00E921E3">
                <w:rPr>
                  <w:rStyle w:val="Hyperlink"/>
                  <w:rFonts w:ascii="Garamond" w:hAnsi="Garamond"/>
                  <w:lang w:val="en-AU"/>
                </w:rPr>
                <w:t>http://doi.org/10.1097/PTS.0000000000000714</w:t>
              </w:r>
            </w:hyperlink>
          </w:p>
        </w:tc>
      </w:tr>
      <w:tr w:rsidR="00BA3382" w:rsidRPr="000170DA" w:rsidTr="006A14EB">
        <w:tc>
          <w:tcPr>
            <w:tcW w:w="1080" w:type="dxa"/>
            <w:tcBorders>
              <w:top w:val="single" w:sz="4" w:space="0" w:color="auto"/>
              <w:left w:val="single" w:sz="4" w:space="0" w:color="auto"/>
              <w:bottom w:val="single" w:sz="4" w:space="0" w:color="auto"/>
              <w:right w:val="single" w:sz="4" w:space="0" w:color="auto"/>
            </w:tcBorders>
            <w:vAlign w:val="center"/>
          </w:tcPr>
          <w:p w:rsidR="00BA3382" w:rsidRPr="000170DA" w:rsidRDefault="00BA3382" w:rsidP="006A14E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3382" w:rsidRPr="00623191" w:rsidRDefault="00BA3382" w:rsidP="006A14EB">
            <w:pPr>
              <w:rPr>
                <w:rFonts w:ascii="Garamond" w:hAnsi="Garamond"/>
                <w:lang w:val="en-AU"/>
              </w:rPr>
            </w:pPr>
            <w:r w:rsidRPr="00DA1696">
              <w:rPr>
                <w:rFonts w:ascii="Garamond" w:hAnsi="Garamond"/>
                <w:lang w:val="en-AU"/>
              </w:rPr>
              <w:t xml:space="preserve">The engagement of patients, families, carers and advocates in patient safety has been happening at various levels and to varying degrees for some time. This paper reports a review and meta-analysis that sought to evaluate and to quantify the effects of </w:t>
            </w:r>
            <w:r w:rsidRPr="00DA1696">
              <w:rPr>
                <w:rFonts w:ascii="Garamond" w:hAnsi="Garamond"/>
                <w:b/>
                <w:lang w:val="en-AU"/>
              </w:rPr>
              <w:t>patient and family involvement (PFI) interventions on patient safety</w:t>
            </w:r>
            <w:r w:rsidRPr="00DA1696">
              <w:rPr>
                <w:rFonts w:ascii="Garamond" w:hAnsi="Garamond"/>
                <w:lang w:val="en-AU"/>
              </w:rPr>
              <w:t xml:space="preserve">. Based on just 22 studies, the meta-analysis found that such interventions were </w:t>
            </w:r>
            <w:r w:rsidRPr="00DA1696">
              <w:rPr>
                <w:rFonts w:ascii="Garamond" w:hAnsi="Garamond"/>
                <w:b/>
                <w:lang w:val="en-AU"/>
              </w:rPr>
              <w:t>beneficial in significantly reducing adverse events</w:t>
            </w:r>
            <w:r w:rsidRPr="00DA1696">
              <w:rPr>
                <w:rFonts w:ascii="Garamond" w:hAnsi="Garamond"/>
                <w:lang w:val="en-AU"/>
              </w:rPr>
              <w:t xml:space="preserve">, </w:t>
            </w:r>
            <w:r w:rsidRPr="00DA1696">
              <w:rPr>
                <w:rFonts w:ascii="Garamond" w:hAnsi="Garamond"/>
                <w:b/>
                <w:lang w:val="en-AU"/>
              </w:rPr>
              <w:t>decreasing the length of hospital stay</w:t>
            </w:r>
            <w:r w:rsidRPr="00DA1696">
              <w:rPr>
                <w:rFonts w:ascii="Garamond" w:hAnsi="Garamond"/>
                <w:lang w:val="en-AU"/>
              </w:rPr>
              <w:t xml:space="preserve">, </w:t>
            </w:r>
            <w:r w:rsidRPr="00DA1696">
              <w:rPr>
                <w:rFonts w:ascii="Garamond" w:hAnsi="Garamond"/>
                <w:b/>
                <w:lang w:val="en-AU"/>
              </w:rPr>
              <w:t>increasing patient safety experiences</w:t>
            </w:r>
            <w:r w:rsidRPr="00DA1696">
              <w:rPr>
                <w:rFonts w:ascii="Garamond" w:hAnsi="Garamond"/>
                <w:lang w:val="en-AU"/>
              </w:rPr>
              <w:t xml:space="preserve">, and </w:t>
            </w:r>
            <w:r w:rsidRPr="00DA1696">
              <w:rPr>
                <w:rFonts w:ascii="Garamond" w:hAnsi="Garamond"/>
                <w:b/>
                <w:lang w:val="en-AU"/>
              </w:rPr>
              <w:t>improving patient satisfaction</w:t>
            </w:r>
            <w:r w:rsidRPr="00DA1696">
              <w:rPr>
                <w:rFonts w:ascii="Garamond" w:hAnsi="Garamond"/>
                <w:lang w:val="en-AU"/>
              </w:rPr>
              <w:t>, but did not significantly enhance the perception of patient safety or the quality of life.</w:t>
            </w:r>
          </w:p>
        </w:tc>
      </w:tr>
    </w:tbl>
    <w:p w:rsidR="00BA3382" w:rsidRDefault="00BA3382" w:rsidP="00BA3382">
      <w:pPr>
        <w:keepNext/>
        <w:keepLines/>
        <w:autoSpaceDE w:val="0"/>
        <w:autoSpaceDN w:val="0"/>
        <w:adjustRightInd w:val="0"/>
        <w:rPr>
          <w:rFonts w:ascii="Garamond" w:hAnsi="Garamond"/>
          <w:lang w:val="en-AU"/>
        </w:rPr>
      </w:pPr>
      <w:r w:rsidRPr="00C34B29">
        <w:rPr>
          <w:rFonts w:ascii="Garamond" w:hAnsi="Garamond"/>
          <w:lang w:val="en-AU"/>
        </w:rPr>
        <w:lastRenderedPageBreak/>
        <w:t xml:space="preserve">For information on the Commission’s work on </w:t>
      </w:r>
      <w:r>
        <w:rPr>
          <w:rFonts w:ascii="Garamond" w:hAnsi="Garamond"/>
          <w:lang w:val="en-AU"/>
        </w:rPr>
        <w:t>partnering with consumers</w:t>
      </w:r>
      <w:r w:rsidRPr="00C34B29">
        <w:rPr>
          <w:rFonts w:ascii="Garamond" w:hAnsi="Garamond"/>
          <w:lang w:val="en-AU"/>
        </w:rPr>
        <w:t>, see</w:t>
      </w:r>
      <w:r>
        <w:rPr>
          <w:rFonts w:ascii="Garamond" w:hAnsi="Garamond"/>
          <w:lang w:val="en-AU"/>
        </w:rPr>
        <w:t xml:space="preserve"> </w:t>
      </w:r>
      <w:hyperlink r:id="rId55" w:history="1">
        <w:r w:rsidRPr="00BE7719">
          <w:rPr>
            <w:rStyle w:val="Hyperlink"/>
            <w:rFonts w:ascii="Garamond" w:hAnsi="Garamond"/>
            <w:lang w:val="en-AU"/>
          </w:rPr>
          <w:t>https://www.safetyandquality.gov.au/our-work/partnering-consumers</w:t>
        </w:r>
      </w:hyperlink>
    </w:p>
    <w:p w:rsidR="00BA3382" w:rsidRDefault="00BA3382" w:rsidP="00BA3382">
      <w:pPr>
        <w:keepNext/>
        <w:keepLines/>
        <w:tabs>
          <w:tab w:val="left" w:pos="1065"/>
        </w:tabs>
        <w:autoSpaceDE w:val="0"/>
        <w:autoSpaceDN w:val="0"/>
        <w:adjustRightInd w:val="0"/>
        <w:rPr>
          <w:rFonts w:ascii="Garamond" w:hAnsi="Garamond"/>
          <w:lang w:val="en-AU"/>
        </w:rPr>
      </w:pPr>
    </w:p>
    <w:p w:rsidR="00776AE4" w:rsidRPr="00037479" w:rsidRDefault="00037479" w:rsidP="00776AE4">
      <w:pPr>
        <w:keepNext/>
        <w:keepLines/>
        <w:autoSpaceDE w:val="0"/>
        <w:autoSpaceDN w:val="0"/>
        <w:adjustRightInd w:val="0"/>
        <w:rPr>
          <w:rFonts w:ascii="Garamond" w:hAnsi="Garamond"/>
          <w:i/>
          <w:lang w:val="en-AU"/>
        </w:rPr>
      </w:pPr>
      <w:r w:rsidRPr="00037479">
        <w:rPr>
          <w:rFonts w:ascii="Garamond" w:hAnsi="Garamond"/>
          <w:i/>
          <w:lang w:val="en-AU"/>
        </w:rPr>
        <w:t>Association between intrahospital transfer and hospital-acquired infection in the elderly: a retrospective case–control study in a UK hospital network</w:t>
      </w:r>
    </w:p>
    <w:p w:rsidR="00AD66BA" w:rsidRDefault="00AD66BA" w:rsidP="00776AE4">
      <w:pPr>
        <w:keepNext/>
        <w:keepLines/>
        <w:autoSpaceDE w:val="0"/>
        <w:autoSpaceDN w:val="0"/>
        <w:adjustRightInd w:val="0"/>
        <w:rPr>
          <w:rFonts w:ascii="Garamond" w:hAnsi="Garamond"/>
          <w:lang w:val="en-AU"/>
        </w:rPr>
      </w:pPr>
      <w:r w:rsidRPr="00AD66BA">
        <w:rPr>
          <w:rFonts w:ascii="Garamond" w:hAnsi="Garamond"/>
          <w:lang w:val="en-AU"/>
        </w:rPr>
        <w:t>Boncea EE, Expert P, Honeyford K, Kinderlerer A, Mitchell C, Cooke GS, et al</w:t>
      </w:r>
    </w:p>
    <w:p w:rsidR="00037479" w:rsidRDefault="00AD66BA" w:rsidP="00776AE4">
      <w:pPr>
        <w:keepNext/>
        <w:keepLines/>
        <w:autoSpaceDE w:val="0"/>
        <w:autoSpaceDN w:val="0"/>
        <w:adjustRightInd w:val="0"/>
        <w:rPr>
          <w:rFonts w:ascii="Garamond" w:hAnsi="Garamond"/>
          <w:lang w:val="en-AU"/>
        </w:rPr>
      </w:pPr>
      <w:r w:rsidRPr="00AD66BA">
        <w:rPr>
          <w:rFonts w:ascii="Garamond" w:hAnsi="Garamond"/>
          <w:lang w:val="en-AU"/>
        </w:rPr>
        <w:t>BMJ Quality &amp; Safety. 2021</w:t>
      </w:r>
      <w:r>
        <w:rPr>
          <w:rFonts w:ascii="Garamond" w:hAnsi="Garamond"/>
          <w:lang w:val="en-AU"/>
        </w:rPr>
        <w:t xml:space="preserve"> [epub]</w:t>
      </w:r>
      <w:r w:rsidRPr="00AD66BA">
        <w:rPr>
          <w:rFonts w:ascii="Garamond" w:hAnsi="Garamond"/>
          <w:lang w:val="en-AU"/>
        </w:rPr>
        <w:t>.</w:t>
      </w:r>
    </w:p>
    <w:p w:rsidR="00AD66BA" w:rsidRDefault="00AD66BA" w:rsidP="00776AE4">
      <w:pPr>
        <w:keepNext/>
        <w:keepLines/>
        <w:autoSpaceDE w:val="0"/>
        <w:autoSpaceDN w:val="0"/>
        <w:adjustRightInd w:val="0"/>
        <w:rPr>
          <w:rFonts w:ascii="Garamond" w:hAnsi="Garamond"/>
          <w:lang w:val="en-AU"/>
        </w:rPr>
      </w:pPr>
    </w:p>
    <w:p w:rsidR="00037479" w:rsidRPr="00037479" w:rsidRDefault="00037479" w:rsidP="00776AE4">
      <w:pPr>
        <w:keepNext/>
        <w:keepLines/>
        <w:autoSpaceDE w:val="0"/>
        <w:autoSpaceDN w:val="0"/>
        <w:adjustRightInd w:val="0"/>
        <w:rPr>
          <w:rFonts w:ascii="Garamond" w:hAnsi="Garamond"/>
          <w:i/>
          <w:lang w:val="en-AU"/>
        </w:rPr>
      </w:pPr>
      <w:r w:rsidRPr="00037479">
        <w:rPr>
          <w:rFonts w:ascii="Garamond" w:hAnsi="Garamond"/>
          <w:i/>
          <w:lang w:val="en-AU"/>
        </w:rPr>
        <w:t>High delayed and missed injury rate after inter-hospital transfer of severely injured trauma patients</w:t>
      </w:r>
    </w:p>
    <w:p w:rsidR="00B67559" w:rsidRDefault="00B67559" w:rsidP="00776AE4">
      <w:pPr>
        <w:keepNext/>
        <w:keepLines/>
        <w:autoSpaceDE w:val="0"/>
        <w:autoSpaceDN w:val="0"/>
        <w:adjustRightInd w:val="0"/>
        <w:rPr>
          <w:rFonts w:ascii="Garamond" w:hAnsi="Garamond"/>
          <w:lang w:val="en-AU"/>
        </w:rPr>
      </w:pPr>
      <w:r w:rsidRPr="00B67559">
        <w:rPr>
          <w:rFonts w:ascii="Garamond" w:hAnsi="Garamond"/>
          <w:lang w:val="en-AU"/>
        </w:rPr>
        <w:t>Hensgens RL, El Moumni M, Ijpma FFA, Harbers JS, Duis Kt, Wendt KW, et al</w:t>
      </w:r>
    </w:p>
    <w:p w:rsidR="00037479" w:rsidRDefault="00B67559" w:rsidP="00776AE4">
      <w:pPr>
        <w:keepNext/>
        <w:keepLines/>
        <w:autoSpaceDE w:val="0"/>
        <w:autoSpaceDN w:val="0"/>
        <w:adjustRightInd w:val="0"/>
        <w:rPr>
          <w:rFonts w:ascii="Garamond" w:hAnsi="Garamond"/>
          <w:lang w:val="en-AU"/>
        </w:rPr>
      </w:pPr>
      <w:r w:rsidRPr="00B67559">
        <w:rPr>
          <w:rFonts w:ascii="Garamond" w:hAnsi="Garamond"/>
          <w:lang w:val="en-AU"/>
        </w:rPr>
        <w:t>European Journal of Trauma and Emergency Surgery. 2020;46(6):1367-74.</w:t>
      </w:r>
    </w:p>
    <w:tbl>
      <w:tblPr>
        <w:tblStyle w:val="TableGrid"/>
        <w:tblW w:w="9360" w:type="dxa"/>
        <w:tblInd w:w="288" w:type="dxa"/>
        <w:tblLayout w:type="fixed"/>
        <w:tblLook w:val="01E0" w:firstRow="1" w:lastRow="1" w:firstColumn="1" w:lastColumn="1" w:noHBand="0" w:noVBand="0"/>
      </w:tblPr>
      <w:tblGrid>
        <w:gridCol w:w="1080"/>
        <w:gridCol w:w="8280"/>
      </w:tblGrid>
      <w:tr w:rsidR="00776AE4"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776AE4" w:rsidRPr="000170DA" w:rsidRDefault="00776AE4" w:rsidP="00FB774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76AE4" w:rsidRDefault="00037479" w:rsidP="00FB7748">
            <w:pPr>
              <w:keepNext/>
              <w:rPr>
                <w:rStyle w:val="Hyperlink"/>
                <w:rFonts w:ascii="Garamond" w:hAnsi="Garamond"/>
                <w:color w:val="auto"/>
                <w:u w:val="none"/>
                <w:lang w:val="en-AU"/>
              </w:rPr>
            </w:pPr>
            <w:r>
              <w:rPr>
                <w:rStyle w:val="Hyperlink"/>
                <w:rFonts w:ascii="Garamond" w:hAnsi="Garamond"/>
                <w:color w:val="auto"/>
                <w:u w:val="none"/>
                <w:lang w:val="en-AU"/>
              </w:rPr>
              <w:t xml:space="preserve">Boncea et al </w:t>
            </w:r>
            <w:hyperlink r:id="rId56" w:history="1">
              <w:r w:rsidRPr="00E921E3">
                <w:rPr>
                  <w:rStyle w:val="Hyperlink"/>
                  <w:rFonts w:ascii="Garamond" w:hAnsi="Garamond"/>
                  <w:lang w:val="en-AU"/>
                </w:rPr>
                <w:t>https://doi.org/10.1136/bmjqs-2020-012124</w:t>
              </w:r>
            </w:hyperlink>
          </w:p>
          <w:p w:rsidR="00037479" w:rsidRPr="000170DA" w:rsidRDefault="00037479" w:rsidP="00037479">
            <w:pPr>
              <w:keepNext/>
              <w:rPr>
                <w:rStyle w:val="Hyperlink"/>
                <w:rFonts w:ascii="Garamond" w:hAnsi="Garamond"/>
                <w:color w:val="auto"/>
                <w:u w:val="none"/>
                <w:lang w:val="en-AU"/>
              </w:rPr>
            </w:pPr>
            <w:r>
              <w:rPr>
                <w:rStyle w:val="Hyperlink"/>
                <w:rFonts w:ascii="Garamond" w:hAnsi="Garamond"/>
                <w:color w:val="auto"/>
                <w:u w:val="none"/>
                <w:lang w:val="en-AU"/>
              </w:rPr>
              <w:t xml:space="preserve">Hensgens et al </w:t>
            </w:r>
            <w:hyperlink r:id="rId57" w:history="1">
              <w:r w:rsidRPr="00E921E3">
                <w:rPr>
                  <w:rStyle w:val="Hyperlink"/>
                  <w:rFonts w:ascii="Garamond" w:hAnsi="Garamond"/>
                  <w:lang w:val="en-AU"/>
                </w:rPr>
                <w:t>http://doi.org/10.1007/s00068-019-01195-1</w:t>
              </w:r>
            </w:hyperlink>
          </w:p>
        </w:tc>
      </w:tr>
      <w:tr w:rsidR="00776AE4"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776AE4" w:rsidRPr="000170DA" w:rsidRDefault="00776AE4" w:rsidP="00FB77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6AE4" w:rsidRPr="00FB7748" w:rsidRDefault="00AD66BA" w:rsidP="00FB7748">
            <w:pPr>
              <w:rPr>
                <w:rFonts w:ascii="Garamond" w:hAnsi="Garamond"/>
                <w:lang w:val="en-AU"/>
              </w:rPr>
            </w:pPr>
            <w:r w:rsidRPr="00FB7748">
              <w:rPr>
                <w:rFonts w:ascii="Garamond" w:hAnsi="Garamond"/>
                <w:lang w:val="en-AU"/>
              </w:rPr>
              <w:t>The risk during clinical handoff or handovers has been well-known for many years, particularly around the communication of clinically relevant information. These two pieces look at aspects of transfers/movements of patients between and within hospitals.</w:t>
            </w:r>
          </w:p>
          <w:p w:rsidR="00AD66BA" w:rsidRDefault="00AD66BA" w:rsidP="00FB7748">
            <w:pPr>
              <w:rPr>
                <w:rFonts w:ascii="Garamond" w:hAnsi="Garamond"/>
                <w:lang w:val="en-AU"/>
              </w:rPr>
            </w:pPr>
            <w:r>
              <w:rPr>
                <w:rFonts w:ascii="Garamond" w:hAnsi="Garamond"/>
                <w:lang w:val="en-AU"/>
              </w:rPr>
              <w:t xml:space="preserve">Boncea et al report </w:t>
            </w:r>
            <w:r w:rsidR="00B67559">
              <w:rPr>
                <w:rFonts w:ascii="Garamond" w:hAnsi="Garamond"/>
                <w:lang w:val="en-AU"/>
              </w:rPr>
              <w:t xml:space="preserve">looked at intrahospital transfers and the association with hospital-acquired infection (HAI). This was a </w:t>
            </w:r>
            <w:r w:rsidR="00B67559" w:rsidRPr="00B67559">
              <w:rPr>
                <w:rFonts w:ascii="Garamond" w:hAnsi="Garamond"/>
                <w:lang w:val="en-AU"/>
              </w:rPr>
              <w:t xml:space="preserve">retrospective case–control study using data extracted from electronic health records and microbiology cultures of non-elective, medical admissions to a large urban hospital network </w:t>
            </w:r>
            <w:r w:rsidR="00B67559">
              <w:rPr>
                <w:rFonts w:ascii="Garamond" w:hAnsi="Garamond"/>
                <w:lang w:val="en-AU"/>
              </w:rPr>
              <w:t xml:space="preserve">of </w:t>
            </w:r>
            <w:r w:rsidR="00B67559" w:rsidRPr="00B67559">
              <w:rPr>
                <w:rFonts w:ascii="Garamond" w:hAnsi="Garamond"/>
                <w:lang w:val="en-AU"/>
              </w:rPr>
              <w:t xml:space="preserve">three hospital sites between 2015 and 2018 </w:t>
            </w:r>
            <w:r w:rsidR="00B67559">
              <w:rPr>
                <w:rFonts w:ascii="Garamond" w:hAnsi="Garamond"/>
                <w:lang w:val="en-AU"/>
              </w:rPr>
              <w:t xml:space="preserve">in the UK </w:t>
            </w:r>
            <w:r w:rsidR="00B67559" w:rsidRPr="00B67559">
              <w:rPr>
                <w:rFonts w:ascii="Garamond" w:hAnsi="Garamond"/>
                <w:lang w:val="en-AU"/>
              </w:rPr>
              <w:t>(n=24</w:t>
            </w:r>
            <w:r w:rsidR="00B67559" w:rsidRPr="00B67559">
              <w:rPr>
                <w:lang w:val="en-AU"/>
              </w:rPr>
              <w:t> </w:t>
            </w:r>
            <w:r w:rsidR="00B67559" w:rsidRPr="00B67559">
              <w:rPr>
                <w:rFonts w:ascii="Garamond" w:hAnsi="Garamond"/>
                <w:lang w:val="en-AU"/>
              </w:rPr>
              <w:t>240).</w:t>
            </w:r>
            <w:r w:rsidR="00B67559">
              <w:rPr>
                <w:rFonts w:ascii="Garamond" w:hAnsi="Garamond"/>
                <w:lang w:val="en-AU"/>
              </w:rPr>
              <w:t xml:space="preserve"> The analysis focused on older patients (aged 65 and over) as ‘</w:t>
            </w:r>
            <w:r w:rsidR="00B67559" w:rsidRPr="00B67559">
              <w:rPr>
                <w:rFonts w:ascii="Garamond" w:hAnsi="Garamond"/>
                <w:lang w:val="en-AU"/>
              </w:rPr>
              <w:t>elderly patients comprise a large proportion of hospital users and are a high-risk population for HAIs</w:t>
            </w:r>
            <w:r w:rsidR="00B67559">
              <w:rPr>
                <w:rFonts w:ascii="Garamond" w:hAnsi="Garamond"/>
                <w:lang w:val="en-AU"/>
              </w:rPr>
              <w:t>’.</w:t>
            </w:r>
            <w:r w:rsidR="00FB7748">
              <w:rPr>
                <w:rFonts w:ascii="Garamond" w:hAnsi="Garamond"/>
                <w:lang w:val="en-AU"/>
              </w:rPr>
              <w:t xml:space="preserve"> The analysis found that ‘e</w:t>
            </w:r>
            <w:r w:rsidR="00FB7748" w:rsidRPr="00FB7748">
              <w:rPr>
                <w:rFonts w:ascii="Garamond" w:hAnsi="Garamond"/>
                <w:lang w:val="en-AU"/>
              </w:rPr>
              <w:t>ach additional intrahospital transfer increased the odds of acquiring an HAI by 9% (OR=1.09; 95% CI 1.05 to 1.13).</w:t>
            </w:r>
            <w:r w:rsidR="00FB7748">
              <w:rPr>
                <w:rFonts w:ascii="Garamond" w:hAnsi="Garamond"/>
                <w:lang w:val="en-AU"/>
              </w:rPr>
              <w:t>’ These findings led the authors to conclude that ‘</w:t>
            </w:r>
            <w:r w:rsidR="00FB7748" w:rsidRPr="00FB7748">
              <w:rPr>
                <w:rFonts w:ascii="Garamond" w:hAnsi="Garamond"/>
                <w:lang w:val="en-AU"/>
              </w:rPr>
              <w:t>Intrahospital transfers are associated with increased odds of developing an HAI. Strategies for minimising intrahospital transfers should be considered, and further research is needed to identify unnecessary transfers. Their reduction may diminish spread of contagious pathogens in the hospital environment.</w:t>
            </w:r>
            <w:r w:rsidR="00FB7748">
              <w:rPr>
                <w:rFonts w:ascii="Garamond" w:hAnsi="Garamond"/>
                <w:lang w:val="en-AU"/>
              </w:rPr>
              <w:t>’</w:t>
            </w:r>
          </w:p>
          <w:p w:rsidR="00AD66BA" w:rsidRPr="00623191" w:rsidRDefault="00AD66BA" w:rsidP="00FB7748">
            <w:pPr>
              <w:rPr>
                <w:rFonts w:ascii="Garamond" w:hAnsi="Garamond"/>
                <w:lang w:val="en-AU"/>
              </w:rPr>
            </w:pPr>
            <w:r>
              <w:rPr>
                <w:rFonts w:ascii="Garamond" w:hAnsi="Garamond"/>
                <w:lang w:val="en-AU"/>
              </w:rPr>
              <w:t xml:space="preserve">Hensgens et al </w:t>
            </w:r>
            <w:r w:rsidR="00FB7748">
              <w:rPr>
                <w:rFonts w:ascii="Garamond" w:hAnsi="Garamond"/>
                <w:lang w:val="en-AU"/>
              </w:rPr>
              <w:t xml:space="preserve">report on a Dutch study that sought to </w:t>
            </w:r>
            <w:r w:rsidR="00FB7748" w:rsidRPr="00FB7748">
              <w:rPr>
                <w:rFonts w:ascii="Garamond" w:hAnsi="Garamond"/>
                <w:lang w:val="en-AU"/>
              </w:rPr>
              <w:t xml:space="preserve">establish the incidence and clinical relevance of missed injuries in severely injured patients who require inter-hospital transfer to a </w:t>
            </w:r>
            <w:r w:rsidR="00FB7748">
              <w:rPr>
                <w:rFonts w:ascii="Garamond" w:hAnsi="Garamond"/>
                <w:lang w:val="en-AU"/>
              </w:rPr>
              <w:t>level 1 trauma cent</w:t>
            </w:r>
            <w:r w:rsidR="00FB7748" w:rsidRPr="00FB7748">
              <w:rPr>
                <w:rFonts w:ascii="Garamond" w:hAnsi="Garamond"/>
                <w:lang w:val="en-AU"/>
              </w:rPr>
              <w:t>r</w:t>
            </w:r>
            <w:r w:rsidR="00FB7748">
              <w:rPr>
                <w:rFonts w:ascii="Garamond" w:hAnsi="Garamond"/>
                <w:lang w:val="en-AU"/>
              </w:rPr>
              <w:t>e</w:t>
            </w:r>
            <w:r w:rsidR="00FB7748" w:rsidRPr="00FB7748">
              <w:rPr>
                <w:rFonts w:ascii="Garamond" w:hAnsi="Garamond"/>
                <w:lang w:val="en-AU"/>
              </w:rPr>
              <w:t>.</w:t>
            </w:r>
            <w:r w:rsidR="00FB7748">
              <w:rPr>
                <w:rFonts w:ascii="Garamond" w:hAnsi="Garamond"/>
                <w:lang w:val="en-AU"/>
              </w:rPr>
              <w:t xml:space="preserve"> The study included all 251 patients who had been transferred </w:t>
            </w:r>
            <w:r w:rsidR="00FB7748" w:rsidRPr="00FB7748">
              <w:rPr>
                <w:rFonts w:ascii="Garamond" w:hAnsi="Garamond"/>
                <w:lang w:val="en-AU"/>
              </w:rPr>
              <w:t>to the University Medical Center Groningen (UMCG) between January 2010 and July 2015</w:t>
            </w:r>
            <w:r w:rsidR="00FB7748">
              <w:rPr>
                <w:rFonts w:ascii="Garamond" w:hAnsi="Garamond"/>
                <w:lang w:val="en-AU"/>
              </w:rPr>
              <w:t xml:space="preserve"> with an Injury Severity Score (ISS) </w:t>
            </w:r>
            <w:r w:rsidR="00FB7748" w:rsidRPr="00FB7748">
              <w:rPr>
                <w:lang w:val="en-AU"/>
              </w:rPr>
              <w:t> </w:t>
            </w:r>
            <w:r w:rsidR="00FB7748" w:rsidRPr="00FB7748">
              <w:rPr>
                <w:rFonts w:ascii="Garamond" w:hAnsi="Garamond" w:cs="Garamond"/>
                <w:lang w:val="en-AU"/>
              </w:rPr>
              <w:t>≥</w:t>
            </w:r>
            <w:r w:rsidR="00FB7748" w:rsidRPr="00FB7748">
              <w:rPr>
                <w:lang w:val="en-AU"/>
              </w:rPr>
              <w:t> </w:t>
            </w:r>
            <w:r w:rsidR="00FB7748" w:rsidRPr="00FB7748">
              <w:rPr>
                <w:rFonts w:ascii="Garamond" w:hAnsi="Garamond"/>
                <w:lang w:val="en-AU"/>
              </w:rPr>
              <w:t>16</w:t>
            </w:r>
            <w:r w:rsidR="00FB7748">
              <w:rPr>
                <w:rFonts w:ascii="Garamond" w:hAnsi="Garamond"/>
                <w:lang w:val="en-AU"/>
              </w:rPr>
              <w:t>. The authors report that ‘</w:t>
            </w:r>
            <w:r w:rsidR="00FB7748" w:rsidRPr="00FB7748">
              <w:rPr>
                <w:rFonts w:ascii="Garamond" w:hAnsi="Garamond"/>
                <w:lang w:val="en-AU"/>
              </w:rPr>
              <w:t>Inter-hospital transfer of severely injured patients increases the risk of a delayed detection of injuries. We found that 35% of all transferred patients with an ISS</w:t>
            </w:r>
            <w:r w:rsidR="00FB7748" w:rsidRPr="00FB7748">
              <w:rPr>
                <w:lang w:val="en-AU"/>
              </w:rPr>
              <w:t> </w:t>
            </w:r>
            <w:r w:rsidR="00FB7748" w:rsidRPr="00FB7748">
              <w:rPr>
                <w:rFonts w:ascii="Garamond" w:hAnsi="Garamond" w:cs="Garamond"/>
                <w:lang w:val="en-AU"/>
              </w:rPr>
              <w:t>≥</w:t>
            </w:r>
            <w:r w:rsidR="00FB7748" w:rsidRPr="00FB7748">
              <w:rPr>
                <w:lang w:val="en-AU"/>
              </w:rPr>
              <w:t> </w:t>
            </w:r>
            <w:r w:rsidR="00FB7748" w:rsidRPr="00FB7748">
              <w:rPr>
                <w:rFonts w:ascii="Garamond" w:hAnsi="Garamond"/>
                <w:lang w:val="en-AU"/>
              </w:rPr>
              <w:t>16 have at least new diagnoses, with over half of these diagnoses requiring a change of management. Given these findings, clinicians should maintain a high index of suspicion when receiving a transferred severely injured trauma patient.</w:t>
            </w:r>
            <w:r w:rsidR="00FB7748">
              <w:rPr>
                <w:rFonts w:ascii="Garamond" w:hAnsi="Garamond"/>
                <w:lang w:val="en-AU"/>
              </w:rPr>
              <w:t>’</w:t>
            </w:r>
          </w:p>
        </w:tc>
      </w:tr>
    </w:tbl>
    <w:p w:rsidR="00776AE4" w:rsidRDefault="00776AE4" w:rsidP="00037479">
      <w:pPr>
        <w:keepNext/>
        <w:keepLines/>
        <w:tabs>
          <w:tab w:val="left" w:pos="1065"/>
        </w:tabs>
        <w:autoSpaceDE w:val="0"/>
        <w:autoSpaceDN w:val="0"/>
        <w:adjustRightInd w:val="0"/>
        <w:rPr>
          <w:rFonts w:ascii="Garamond" w:hAnsi="Garamond"/>
          <w:lang w:val="en-AU"/>
        </w:rPr>
      </w:pPr>
    </w:p>
    <w:p w:rsidR="00AD66BA" w:rsidRDefault="00AD66BA" w:rsidP="00AD66BA">
      <w:pPr>
        <w:keepNext/>
        <w:keepLines/>
        <w:autoSpaceDE w:val="0"/>
        <w:autoSpaceDN w:val="0"/>
        <w:adjustRightInd w:val="0"/>
        <w:rPr>
          <w:rFonts w:ascii="Garamond" w:hAnsi="Garamond"/>
          <w:lang w:val="en-AU"/>
        </w:rPr>
      </w:pPr>
      <w:r w:rsidRPr="00C34B29">
        <w:rPr>
          <w:rFonts w:ascii="Garamond" w:hAnsi="Garamond"/>
          <w:lang w:val="en-AU"/>
        </w:rPr>
        <w:t xml:space="preserve">For information on the Commission’s work on clinical handover, see </w:t>
      </w:r>
      <w:hyperlink r:id="rId58" w:history="1">
        <w:r w:rsidRPr="00A67D19">
          <w:rPr>
            <w:rStyle w:val="Hyperlink"/>
            <w:rFonts w:ascii="Garamond" w:hAnsi="Garamond"/>
            <w:lang w:val="en-AU"/>
          </w:rPr>
          <w:t>https://www.safetyandquality.gov.au/our-work/communicating-safety/clinical-handover</w:t>
        </w:r>
      </w:hyperlink>
    </w:p>
    <w:p w:rsidR="00AD66BA" w:rsidRDefault="00AD66BA" w:rsidP="00BA3382">
      <w:pPr>
        <w:keepLines/>
        <w:tabs>
          <w:tab w:val="left" w:pos="1065"/>
        </w:tabs>
        <w:autoSpaceDE w:val="0"/>
        <w:autoSpaceDN w:val="0"/>
        <w:adjustRightInd w:val="0"/>
        <w:rPr>
          <w:rFonts w:ascii="Garamond" w:hAnsi="Garamond"/>
          <w:lang w:val="en-AU"/>
        </w:rPr>
      </w:pPr>
    </w:p>
    <w:p w:rsidR="00CD553C" w:rsidRPr="00CD553C" w:rsidRDefault="00CD553C" w:rsidP="00CD553C">
      <w:pPr>
        <w:keepNext/>
        <w:keepLines/>
        <w:autoSpaceDE w:val="0"/>
        <w:autoSpaceDN w:val="0"/>
        <w:adjustRightInd w:val="0"/>
        <w:rPr>
          <w:rFonts w:ascii="Garamond" w:hAnsi="Garamond"/>
          <w:i/>
          <w:lang w:val="en-AU"/>
        </w:rPr>
      </w:pPr>
      <w:r w:rsidRPr="00CD553C">
        <w:rPr>
          <w:rFonts w:ascii="Garamond" w:hAnsi="Garamond"/>
          <w:i/>
          <w:lang w:val="en-AU"/>
        </w:rPr>
        <w:lastRenderedPageBreak/>
        <w:t>Australian Journal of Primary Health</w:t>
      </w:r>
    </w:p>
    <w:p w:rsidR="00CD553C" w:rsidRDefault="00CD553C" w:rsidP="00CD553C">
      <w:pPr>
        <w:keepNext/>
        <w:keepLines/>
        <w:autoSpaceDE w:val="0"/>
        <w:autoSpaceDN w:val="0"/>
        <w:adjustRightInd w:val="0"/>
        <w:rPr>
          <w:rFonts w:ascii="Garamond" w:hAnsi="Garamond"/>
          <w:lang w:val="en-AU"/>
        </w:rPr>
      </w:pPr>
      <w:r w:rsidRPr="00CD553C">
        <w:rPr>
          <w:rFonts w:ascii="Garamond" w:hAnsi="Garamond"/>
          <w:lang w:val="en-AU"/>
        </w:rPr>
        <w:t>Volume 27 Number 1 2021</w:t>
      </w:r>
    </w:p>
    <w:tbl>
      <w:tblPr>
        <w:tblStyle w:val="TableGrid"/>
        <w:tblW w:w="9360" w:type="dxa"/>
        <w:tblInd w:w="288" w:type="dxa"/>
        <w:tblLayout w:type="fixed"/>
        <w:tblLook w:val="01E0" w:firstRow="1" w:lastRow="1" w:firstColumn="1" w:lastColumn="1" w:noHBand="0" w:noVBand="0"/>
      </w:tblPr>
      <w:tblGrid>
        <w:gridCol w:w="1080"/>
        <w:gridCol w:w="8280"/>
      </w:tblGrid>
      <w:tr w:rsidR="00CD553C"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CD553C" w:rsidRPr="000170DA" w:rsidRDefault="00CD553C" w:rsidP="00FB774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D553C" w:rsidRPr="006706B4" w:rsidRDefault="001F3849" w:rsidP="00FB7748">
            <w:pPr>
              <w:keepNext/>
              <w:rPr>
                <w:rStyle w:val="Hyperlink"/>
                <w:rFonts w:ascii="Garamond" w:hAnsi="Garamond"/>
                <w:color w:val="auto"/>
                <w:u w:val="none"/>
                <w:lang w:val="en-AU"/>
              </w:rPr>
            </w:pPr>
            <w:hyperlink r:id="rId59" w:history="1">
              <w:r w:rsidR="00CD553C" w:rsidRPr="00E62D72">
                <w:rPr>
                  <w:rStyle w:val="Hyperlink"/>
                  <w:rFonts w:ascii="Garamond" w:hAnsi="Garamond"/>
                  <w:lang w:val="en-AU"/>
                </w:rPr>
                <w:t>https://www.publish.csiro.au/py/issue/10181</w:t>
              </w:r>
            </w:hyperlink>
          </w:p>
        </w:tc>
      </w:tr>
      <w:tr w:rsidR="00CD553C"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CD553C" w:rsidRPr="000170DA" w:rsidRDefault="00CD553C" w:rsidP="00FB77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D553C" w:rsidRPr="00A85C9A" w:rsidRDefault="00CD553C" w:rsidP="00FB7748">
            <w:pPr>
              <w:keepNext/>
              <w:rPr>
                <w:rFonts w:ascii="Garamond" w:hAnsi="Garamond"/>
                <w:lang w:val="en-AU"/>
              </w:rPr>
            </w:pPr>
            <w:r w:rsidRPr="00E34A10">
              <w:rPr>
                <w:rFonts w:ascii="Garamond" w:hAnsi="Garamond"/>
                <w:lang w:val="en-AU"/>
              </w:rPr>
              <w:t xml:space="preserve">A new issue of </w:t>
            </w:r>
            <w:r>
              <w:rPr>
                <w:rFonts w:ascii="Garamond" w:hAnsi="Garamond"/>
                <w:lang w:val="en-AU"/>
              </w:rPr>
              <w:t xml:space="preserve">the </w:t>
            </w:r>
            <w:r w:rsidRPr="00CD553C">
              <w:rPr>
                <w:rFonts w:ascii="Garamond" w:hAnsi="Garamond"/>
                <w:i/>
                <w:lang w:val="en-AU"/>
              </w:rPr>
              <w:t>Australian Journal of Primary Health</w:t>
            </w:r>
            <w:r w:rsidRPr="00E34A10">
              <w:rPr>
                <w:rFonts w:ascii="Garamond" w:hAnsi="Garamond"/>
                <w:lang w:val="en-AU"/>
              </w:rPr>
              <w:t xml:space="preserve"> has been </w:t>
            </w:r>
            <w:r>
              <w:rPr>
                <w:rFonts w:ascii="Garamond" w:hAnsi="Garamond"/>
                <w:lang w:val="en-AU"/>
              </w:rPr>
              <w:t>published with the theme “</w:t>
            </w:r>
            <w:r w:rsidRPr="00CD553C">
              <w:rPr>
                <w:rFonts w:ascii="Garamond" w:hAnsi="Garamond"/>
                <w:b/>
                <w:lang w:val="en-AU"/>
              </w:rPr>
              <w:t>Primary Health Care Nursing</w:t>
            </w:r>
            <w:r w:rsidRPr="00CD553C">
              <w:rPr>
                <w:rFonts w:ascii="Garamond" w:hAnsi="Garamond"/>
                <w:lang w:val="en-AU"/>
              </w:rPr>
              <w:t>: A celebration of the Year of the Nurse and Midwife</w:t>
            </w:r>
            <w:r>
              <w:rPr>
                <w:rFonts w:ascii="Garamond" w:hAnsi="Garamond"/>
                <w:lang w:val="en-AU"/>
              </w:rPr>
              <w:t xml:space="preserve">”. </w:t>
            </w:r>
            <w:r w:rsidRPr="00E34A10">
              <w:rPr>
                <w:rFonts w:ascii="Garamond" w:hAnsi="Garamond"/>
                <w:lang w:val="en-AU"/>
              </w:rPr>
              <w:t xml:space="preserve">Articles in this issue of </w:t>
            </w:r>
            <w:r>
              <w:rPr>
                <w:rFonts w:ascii="Garamond" w:hAnsi="Garamond"/>
                <w:lang w:val="en-AU"/>
              </w:rPr>
              <w:t xml:space="preserve">the </w:t>
            </w:r>
            <w:r w:rsidRPr="00CD553C">
              <w:rPr>
                <w:rFonts w:ascii="Garamond" w:hAnsi="Garamond"/>
                <w:i/>
                <w:lang w:val="en-AU"/>
              </w:rPr>
              <w:t>Australian Journal of Primary Health</w:t>
            </w:r>
            <w:r w:rsidRPr="00E34A10">
              <w:rPr>
                <w:rFonts w:ascii="Garamond" w:hAnsi="Garamond"/>
                <w:lang w:val="en-AU"/>
              </w:rPr>
              <w:t xml:space="preserve"> include</w:t>
            </w:r>
            <w:r w:rsidRPr="00B440ED">
              <w:rPr>
                <w:rFonts w:ascii="Garamond" w:hAnsi="Garamond"/>
                <w:lang w:val="en-AU"/>
              </w:rPr>
              <w:t>:</w:t>
            </w:r>
          </w:p>
          <w:p w:rsidR="00CD553C" w:rsidRPr="00CD553C" w:rsidRDefault="00CD553C" w:rsidP="00FB7748">
            <w:pPr>
              <w:pStyle w:val="ListParagraph"/>
              <w:numPr>
                <w:ilvl w:val="0"/>
                <w:numId w:val="15"/>
              </w:numPr>
              <w:rPr>
                <w:rFonts w:ascii="Garamond" w:hAnsi="Garamond"/>
                <w:lang w:val="en-AU"/>
              </w:rPr>
            </w:pPr>
            <w:r w:rsidRPr="00CD553C">
              <w:rPr>
                <w:rFonts w:ascii="Garamond" w:hAnsi="Garamond"/>
                <w:lang w:val="en-AU"/>
              </w:rPr>
              <w:t xml:space="preserve">Editorial: Celebrating the </w:t>
            </w:r>
            <w:r w:rsidRPr="00CD553C">
              <w:rPr>
                <w:rFonts w:ascii="Garamond" w:hAnsi="Garamond"/>
                <w:b/>
                <w:lang w:val="en-AU"/>
              </w:rPr>
              <w:t>Year of the Nurse and Midwife in primary health care</w:t>
            </w:r>
            <w:r w:rsidRPr="00CD553C">
              <w:rPr>
                <w:rFonts w:ascii="Garamond" w:hAnsi="Garamond"/>
                <w:lang w:val="en-AU"/>
              </w:rPr>
              <w:t xml:space="preserve"> (Elizabeth Halcomb, Anna Williams and Susan McInnes</w:t>
            </w:r>
            <w:r>
              <w:rPr>
                <w:rFonts w:ascii="Garamond" w:hAnsi="Garamond"/>
                <w:lang w:val="en-AU"/>
              </w:rPr>
              <w:t>)</w:t>
            </w:r>
          </w:p>
          <w:p w:rsidR="00CD553C" w:rsidRDefault="00CD553C" w:rsidP="00FB7748">
            <w:pPr>
              <w:pStyle w:val="ListParagraph"/>
              <w:numPr>
                <w:ilvl w:val="0"/>
                <w:numId w:val="15"/>
              </w:numPr>
              <w:rPr>
                <w:rFonts w:ascii="Garamond" w:hAnsi="Garamond"/>
                <w:lang w:val="en-AU"/>
              </w:rPr>
            </w:pPr>
            <w:r w:rsidRPr="00CD553C">
              <w:rPr>
                <w:rFonts w:ascii="Garamond" w:hAnsi="Garamond"/>
                <w:b/>
                <w:lang w:val="en-AU"/>
              </w:rPr>
              <w:t>Nurse practitioner locums</w:t>
            </w:r>
            <w:r w:rsidRPr="00CD553C">
              <w:rPr>
                <w:rFonts w:ascii="Garamond" w:hAnsi="Garamond"/>
                <w:lang w:val="en-AU"/>
              </w:rPr>
              <w:t>: a plausible solution for augmenting health care access for rural communities (Natasha Jennings, Grainne Lowe and K Tori</w:t>
            </w:r>
            <w:r>
              <w:rPr>
                <w:rFonts w:ascii="Garamond" w:hAnsi="Garamond"/>
                <w:lang w:val="en-AU"/>
              </w:rPr>
              <w:t>)</w:t>
            </w:r>
          </w:p>
          <w:p w:rsidR="00CD553C" w:rsidRPr="00552B2F" w:rsidRDefault="00CD553C" w:rsidP="00FB7748">
            <w:pPr>
              <w:pStyle w:val="ListParagraph"/>
              <w:numPr>
                <w:ilvl w:val="0"/>
                <w:numId w:val="15"/>
              </w:numPr>
              <w:rPr>
                <w:rFonts w:ascii="Garamond" w:hAnsi="Garamond"/>
                <w:lang w:val="en-AU"/>
              </w:rPr>
            </w:pPr>
            <w:r w:rsidRPr="00552B2F">
              <w:rPr>
                <w:rFonts w:ascii="Garamond" w:hAnsi="Garamond"/>
                <w:lang w:val="en-AU"/>
              </w:rPr>
              <w:t xml:space="preserve">Mobile memory clinic: implementing a </w:t>
            </w:r>
            <w:r w:rsidRPr="00552B2F">
              <w:rPr>
                <w:rFonts w:ascii="Garamond" w:hAnsi="Garamond"/>
                <w:b/>
                <w:lang w:val="en-AU"/>
              </w:rPr>
              <w:t>nurse practitioner-led, collaborative dementia model of care</w:t>
            </w:r>
            <w:r w:rsidRPr="00552B2F">
              <w:rPr>
                <w:rFonts w:ascii="Garamond" w:hAnsi="Garamond"/>
                <w:lang w:val="en-AU"/>
              </w:rPr>
              <w:t xml:space="preserve"> within general practice</w:t>
            </w:r>
            <w:r w:rsidR="00552B2F" w:rsidRPr="00552B2F">
              <w:rPr>
                <w:rFonts w:ascii="Garamond" w:hAnsi="Garamond"/>
                <w:lang w:val="en-AU"/>
              </w:rPr>
              <w:t xml:space="preserve"> (</w:t>
            </w:r>
            <w:r w:rsidRPr="00552B2F">
              <w:rPr>
                <w:rFonts w:ascii="Garamond" w:hAnsi="Garamond"/>
                <w:lang w:val="en-AU"/>
              </w:rPr>
              <w:t>Dimity Pond, Isabel Higgins, Karen Mate, Helga Merl, Dianne Mills and Karen McNeil</w:t>
            </w:r>
            <w:r w:rsidR="00552B2F">
              <w:rPr>
                <w:rFonts w:ascii="Garamond" w:hAnsi="Garamond"/>
                <w:lang w:val="en-AU"/>
              </w:rPr>
              <w:t>)</w:t>
            </w:r>
          </w:p>
          <w:p w:rsidR="00CD553C" w:rsidRPr="00552B2F" w:rsidRDefault="00CD553C" w:rsidP="00FB7748">
            <w:pPr>
              <w:pStyle w:val="ListParagraph"/>
              <w:numPr>
                <w:ilvl w:val="0"/>
                <w:numId w:val="15"/>
              </w:numPr>
              <w:rPr>
                <w:rFonts w:ascii="Garamond" w:hAnsi="Garamond"/>
                <w:lang w:val="en-AU"/>
              </w:rPr>
            </w:pPr>
            <w:r w:rsidRPr="00552B2F">
              <w:rPr>
                <w:rFonts w:ascii="Garamond" w:hAnsi="Garamond"/>
                <w:lang w:val="en-AU"/>
              </w:rPr>
              <w:t xml:space="preserve">Practice nurses and </w:t>
            </w:r>
            <w:r w:rsidRPr="00552B2F">
              <w:rPr>
                <w:rFonts w:ascii="Garamond" w:hAnsi="Garamond"/>
                <w:b/>
                <w:lang w:val="en-AU"/>
              </w:rPr>
              <w:t>providing preconception care to women</w:t>
            </w:r>
            <w:r w:rsidRPr="00552B2F">
              <w:rPr>
                <w:rFonts w:ascii="Garamond" w:hAnsi="Garamond"/>
                <w:lang w:val="en-AU"/>
              </w:rPr>
              <w:t xml:space="preserve"> in Australia: a qualitative study</w:t>
            </w:r>
            <w:r w:rsidR="00552B2F" w:rsidRPr="00552B2F">
              <w:rPr>
                <w:rFonts w:ascii="Garamond" w:hAnsi="Garamond"/>
                <w:lang w:val="en-AU"/>
              </w:rPr>
              <w:t xml:space="preserve"> (</w:t>
            </w:r>
            <w:r w:rsidRPr="00552B2F">
              <w:rPr>
                <w:rFonts w:ascii="Garamond" w:hAnsi="Garamond"/>
                <w:lang w:val="en-AU"/>
              </w:rPr>
              <w:t>Ruth Walker, Pragya Kandel, Briony Hill, Sharon Hills, James Dunbar and Helen Skouteris</w:t>
            </w:r>
            <w:r w:rsidR="00552B2F">
              <w:rPr>
                <w:rFonts w:ascii="Garamond" w:hAnsi="Garamond"/>
                <w:lang w:val="en-AU"/>
              </w:rPr>
              <w:t>)</w:t>
            </w:r>
          </w:p>
          <w:p w:rsidR="00CD553C" w:rsidRPr="008C1B40" w:rsidRDefault="00CD553C" w:rsidP="00FB7748">
            <w:pPr>
              <w:pStyle w:val="ListParagraph"/>
              <w:numPr>
                <w:ilvl w:val="0"/>
                <w:numId w:val="15"/>
              </w:numPr>
              <w:rPr>
                <w:rFonts w:ascii="Garamond" w:hAnsi="Garamond"/>
                <w:lang w:val="en-AU"/>
              </w:rPr>
            </w:pPr>
            <w:r w:rsidRPr="008C1B40">
              <w:rPr>
                <w:rFonts w:ascii="Garamond" w:hAnsi="Garamond"/>
                <w:lang w:val="en-AU"/>
              </w:rPr>
              <w:t xml:space="preserve">Understanding the </w:t>
            </w:r>
            <w:r w:rsidRPr="008C1B40">
              <w:rPr>
                <w:rFonts w:ascii="Garamond" w:hAnsi="Garamond"/>
                <w:b/>
                <w:lang w:val="en-AU"/>
              </w:rPr>
              <w:t>general practice nursing workforce in New Zealand</w:t>
            </w:r>
            <w:r w:rsidRPr="008C1B40">
              <w:rPr>
                <w:rFonts w:ascii="Garamond" w:hAnsi="Garamond"/>
                <w:lang w:val="en-AU"/>
              </w:rPr>
              <w:t>: an overview of characteristics 2015–19</w:t>
            </w:r>
            <w:r w:rsidR="008C1B40" w:rsidRPr="008C1B40">
              <w:rPr>
                <w:rFonts w:ascii="Garamond" w:hAnsi="Garamond"/>
                <w:lang w:val="en-AU"/>
              </w:rPr>
              <w:t xml:space="preserve"> (</w:t>
            </w:r>
            <w:r w:rsidRPr="008C1B40">
              <w:rPr>
                <w:rFonts w:ascii="Garamond" w:hAnsi="Garamond"/>
                <w:lang w:val="en-AU"/>
              </w:rPr>
              <w:t>Sarah L Hewitt, Nicolette F Sheridan, Karen Hoare and Jane E Mills</w:t>
            </w:r>
            <w:r w:rsidR="008C1B40">
              <w:rPr>
                <w:rFonts w:ascii="Garamond" w:hAnsi="Garamond"/>
                <w:lang w:val="en-AU"/>
              </w:rPr>
              <w:t>)</w:t>
            </w:r>
          </w:p>
          <w:p w:rsidR="00CD553C" w:rsidRPr="008C1B40" w:rsidRDefault="00CD553C" w:rsidP="00FB7748">
            <w:pPr>
              <w:pStyle w:val="ListParagraph"/>
              <w:numPr>
                <w:ilvl w:val="0"/>
                <w:numId w:val="15"/>
              </w:numPr>
              <w:rPr>
                <w:rFonts w:ascii="Garamond" w:hAnsi="Garamond"/>
                <w:lang w:val="en-AU"/>
              </w:rPr>
            </w:pPr>
            <w:r w:rsidRPr="008C1B40">
              <w:rPr>
                <w:rFonts w:ascii="Garamond" w:hAnsi="Garamond"/>
                <w:lang w:val="en-AU"/>
              </w:rPr>
              <w:t xml:space="preserve">Barriers and facilitators to </w:t>
            </w:r>
            <w:r w:rsidRPr="008C1B40">
              <w:rPr>
                <w:rFonts w:ascii="Garamond" w:hAnsi="Garamond"/>
                <w:b/>
                <w:lang w:val="en-AU"/>
              </w:rPr>
              <w:t>lifestyle risk communication</w:t>
            </w:r>
            <w:r w:rsidRPr="008C1B40">
              <w:rPr>
                <w:rFonts w:ascii="Garamond" w:hAnsi="Garamond"/>
                <w:lang w:val="en-AU"/>
              </w:rPr>
              <w:t xml:space="preserve"> by Australian general practice nurses</w:t>
            </w:r>
            <w:r w:rsidR="008C1B40" w:rsidRPr="008C1B40">
              <w:rPr>
                <w:rFonts w:ascii="Garamond" w:hAnsi="Garamond"/>
                <w:lang w:val="en-AU"/>
              </w:rPr>
              <w:t xml:space="preserve"> (</w:t>
            </w:r>
            <w:r w:rsidRPr="008C1B40">
              <w:rPr>
                <w:rFonts w:ascii="Garamond" w:hAnsi="Garamond"/>
                <w:lang w:val="en-AU"/>
              </w:rPr>
              <w:t>Sharon James, Elizabeth Halcomb, Jane Desborough and Susan McInnes</w:t>
            </w:r>
            <w:r w:rsidR="008C1B40">
              <w:rPr>
                <w:rFonts w:ascii="Garamond" w:hAnsi="Garamond"/>
                <w:lang w:val="en-AU"/>
              </w:rPr>
              <w:t>)</w:t>
            </w:r>
          </w:p>
          <w:p w:rsidR="00CD553C" w:rsidRPr="008C1B40" w:rsidRDefault="00CD553C" w:rsidP="00FB7748">
            <w:pPr>
              <w:pStyle w:val="ListParagraph"/>
              <w:numPr>
                <w:ilvl w:val="0"/>
                <w:numId w:val="15"/>
              </w:numPr>
              <w:rPr>
                <w:rFonts w:ascii="Garamond" w:hAnsi="Garamond"/>
                <w:lang w:val="en-AU"/>
              </w:rPr>
            </w:pPr>
            <w:r w:rsidRPr="008C1B40">
              <w:rPr>
                <w:rFonts w:ascii="Garamond" w:hAnsi="Garamond"/>
                <w:lang w:val="en-AU"/>
              </w:rPr>
              <w:t xml:space="preserve">A chlamydia education and training program for general practice nurses: reporting the effect on </w:t>
            </w:r>
            <w:r w:rsidRPr="00385401">
              <w:rPr>
                <w:rFonts w:ascii="Garamond" w:hAnsi="Garamond"/>
                <w:b/>
                <w:lang w:val="en-AU"/>
              </w:rPr>
              <w:t>chlamydia testing uptake</w:t>
            </w:r>
            <w:r w:rsidR="008C1B40" w:rsidRPr="008C1B40">
              <w:rPr>
                <w:rFonts w:ascii="Garamond" w:hAnsi="Garamond"/>
                <w:lang w:val="en-AU"/>
              </w:rPr>
              <w:t xml:space="preserve"> (</w:t>
            </w:r>
            <w:r w:rsidRPr="008C1B40">
              <w:rPr>
                <w:rFonts w:ascii="Garamond" w:hAnsi="Garamond"/>
                <w:lang w:val="en-AU"/>
              </w:rPr>
              <w:t>Anna Wood, Sabine Braat, Meredith Temple-Smith, Rebecca Lorch, Alaina Vaisey, R Guy and J Hocking</w:t>
            </w:r>
            <w:r w:rsidR="008C1B40">
              <w:rPr>
                <w:rFonts w:ascii="Garamond" w:hAnsi="Garamond"/>
                <w:lang w:val="en-AU"/>
              </w:rPr>
              <w:t>)</w:t>
            </w:r>
          </w:p>
          <w:p w:rsidR="00CD553C" w:rsidRPr="008C1B40" w:rsidRDefault="00CD553C" w:rsidP="00FB7748">
            <w:pPr>
              <w:pStyle w:val="ListParagraph"/>
              <w:numPr>
                <w:ilvl w:val="0"/>
                <w:numId w:val="15"/>
              </w:numPr>
              <w:rPr>
                <w:rFonts w:ascii="Garamond" w:hAnsi="Garamond"/>
                <w:lang w:val="en-AU"/>
              </w:rPr>
            </w:pPr>
            <w:r w:rsidRPr="008C1B40">
              <w:rPr>
                <w:rFonts w:ascii="Garamond" w:hAnsi="Garamond"/>
                <w:lang w:val="en-AU"/>
              </w:rPr>
              <w:t xml:space="preserve">Victorian </w:t>
            </w:r>
            <w:r w:rsidRPr="008C1B40">
              <w:rPr>
                <w:rFonts w:ascii="Garamond" w:hAnsi="Garamond"/>
                <w:b/>
                <w:lang w:val="en-AU"/>
              </w:rPr>
              <w:t>maternal and child health nurses’ family violence practices and training needs</w:t>
            </w:r>
            <w:r w:rsidRPr="008C1B40">
              <w:rPr>
                <w:rFonts w:ascii="Garamond" w:hAnsi="Garamond"/>
                <w:lang w:val="en-AU"/>
              </w:rPr>
              <w:t>: a cross-sectional analysis of routine data</w:t>
            </w:r>
            <w:r w:rsidR="008C1B40" w:rsidRPr="008C1B40">
              <w:rPr>
                <w:rFonts w:ascii="Garamond" w:hAnsi="Garamond"/>
                <w:lang w:val="en-AU"/>
              </w:rPr>
              <w:t xml:space="preserve"> (</w:t>
            </w:r>
            <w:r w:rsidRPr="008C1B40">
              <w:rPr>
                <w:rFonts w:ascii="Garamond" w:hAnsi="Garamond"/>
                <w:lang w:val="en-AU"/>
              </w:rPr>
              <w:t>Leesa Hooker, Jan Nicholson, Kelsey Hegarty, Lael Ridgway and Angela Taft</w:t>
            </w:r>
            <w:r w:rsidR="008C1B40">
              <w:rPr>
                <w:rFonts w:ascii="Garamond" w:hAnsi="Garamond"/>
                <w:lang w:val="en-AU"/>
              </w:rPr>
              <w:t>)</w:t>
            </w:r>
          </w:p>
          <w:p w:rsidR="00CD553C" w:rsidRPr="008C1B40" w:rsidRDefault="00CD553C" w:rsidP="00FB7748">
            <w:pPr>
              <w:pStyle w:val="ListParagraph"/>
              <w:numPr>
                <w:ilvl w:val="0"/>
                <w:numId w:val="15"/>
              </w:numPr>
              <w:rPr>
                <w:rFonts w:ascii="Garamond" w:hAnsi="Garamond"/>
                <w:lang w:val="en-AU"/>
              </w:rPr>
            </w:pPr>
            <w:r w:rsidRPr="008C1B40">
              <w:rPr>
                <w:rFonts w:ascii="Garamond" w:hAnsi="Garamond"/>
                <w:lang w:val="en-AU"/>
              </w:rPr>
              <w:t xml:space="preserve">New to the community setting: </w:t>
            </w:r>
            <w:r w:rsidRPr="008C1B40">
              <w:rPr>
                <w:rFonts w:ascii="Garamond" w:hAnsi="Garamond"/>
                <w:b/>
                <w:lang w:val="en-AU"/>
              </w:rPr>
              <w:t>nurses’ experiences and the importance of orientation</w:t>
            </w:r>
            <w:r w:rsidR="008C1B40" w:rsidRPr="008C1B40">
              <w:rPr>
                <w:rFonts w:ascii="Garamond" w:hAnsi="Garamond"/>
                <w:lang w:val="en-AU"/>
              </w:rPr>
              <w:t xml:space="preserve"> (</w:t>
            </w:r>
            <w:r w:rsidRPr="008C1B40">
              <w:rPr>
                <w:rFonts w:ascii="Garamond" w:hAnsi="Garamond"/>
                <w:lang w:val="en-AU"/>
              </w:rPr>
              <w:t>Linda Foley, Panagiota Avramidis and Sue Randall</w:t>
            </w:r>
            <w:r w:rsidR="008C1B40">
              <w:rPr>
                <w:rFonts w:ascii="Garamond" w:hAnsi="Garamond"/>
                <w:lang w:val="en-AU"/>
              </w:rPr>
              <w:t>)</w:t>
            </w:r>
          </w:p>
          <w:p w:rsidR="00CD553C" w:rsidRPr="008C1B40" w:rsidRDefault="00CD553C" w:rsidP="00FB7748">
            <w:pPr>
              <w:pStyle w:val="ListParagraph"/>
              <w:numPr>
                <w:ilvl w:val="0"/>
                <w:numId w:val="15"/>
              </w:numPr>
              <w:rPr>
                <w:rFonts w:ascii="Garamond" w:hAnsi="Garamond"/>
                <w:lang w:val="en-AU"/>
              </w:rPr>
            </w:pPr>
            <w:r w:rsidRPr="008C1B40">
              <w:rPr>
                <w:rFonts w:ascii="Garamond" w:hAnsi="Garamond"/>
                <w:b/>
                <w:lang w:val="en-AU"/>
              </w:rPr>
              <w:t>Community midwifery</w:t>
            </w:r>
            <w:r w:rsidRPr="008C1B40">
              <w:rPr>
                <w:rFonts w:ascii="Garamond" w:hAnsi="Garamond"/>
                <w:lang w:val="en-AU"/>
              </w:rPr>
              <w:t>: a primary health care approach to care during pregnancy for Aboriginal and Torres Strait Islander women</w:t>
            </w:r>
            <w:r w:rsidR="008C1B40" w:rsidRPr="008C1B40">
              <w:rPr>
                <w:rFonts w:ascii="Garamond" w:hAnsi="Garamond"/>
                <w:lang w:val="en-AU"/>
              </w:rPr>
              <w:t xml:space="preserve"> (</w:t>
            </w:r>
            <w:r w:rsidRPr="008C1B40">
              <w:rPr>
                <w:rFonts w:ascii="Garamond" w:hAnsi="Garamond"/>
                <w:lang w:val="en-AU"/>
              </w:rPr>
              <w:t>Ailsa Munns</w:t>
            </w:r>
            <w:r w:rsidR="008C1B40">
              <w:rPr>
                <w:rFonts w:ascii="Garamond" w:hAnsi="Garamond"/>
                <w:lang w:val="en-AU"/>
              </w:rPr>
              <w:t>)</w:t>
            </w:r>
          </w:p>
          <w:p w:rsidR="00CD553C" w:rsidRPr="00A85C9A" w:rsidRDefault="00CD553C" w:rsidP="008C1B40">
            <w:pPr>
              <w:pStyle w:val="ListParagraph"/>
              <w:numPr>
                <w:ilvl w:val="0"/>
                <w:numId w:val="15"/>
              </w:numPr>
              <w:rPr>
                <w:rFonts w:ascii="Garamond" w:hAnsi="Garamond"/>
                <w:lang w:val="en-AU"/>
              </w:rPr>
            </w:pPr>
            <w:r w:rsidRPr="008C1B40">
              <w:rPr>
                <w:rFonts w:ascii="Garamond" w:hAnsi="Garamond"/>
                <w:b/>
                <w:lang w:val="en-AU"/>
              </w:rPr>
              <w:t>Remote area nursing</w:t>
            </w:r>
            <w:r w:rsidRPr="00CD553C">
              <w:rPr>
                <w:rFonts w:ascii="Garamond" w:hAnsi="Garamond"/>
                <w:lang w:val="en-AU"/>
              </w:rPr>
              <w:t>: best practice or paternalism in action? The importance of consumer perspectives on primary health care nursing practice in remote communities</w:t>
            </w:r>
            <w:r w:rsidR="008C1B40">
              <w:rPr>
                <w:rFonts w:ascii="Garamond" w:hAnsi="Garamond"/>
                <w:lang w:val="en-AU"/>
              </w:rPr>
              <w:t xml:space="preserve"> (</w:t>
            </w:r>
            <w:r w:rsidRPr="00CD553C">
              <w:rPr>
                <w:rFonts w:ascii="Garamond" w:hAnsi="Garamond"/>
                <w:lang w:val="en-AU"/>
              </w:rPr>
              <w:t>Kylie McCullough, Lisa Whitehead, Sara Bayes and R Schultz</w:t>
            </w:r>
            <w:r w:rsidR="008C1B40">
              <w:rPr>
                <w:rFonts w:ascii="Garamond" w:hAnsi="Garamond"/>
                <w:lang w:val="en-AU"/>
              </w:rPr>
              <w:t>)</w:t>
            </w:r>
          </w:p>
        </w:tc>
      </w:tr>
    </w:tbl>
    <w:p w:rsidR="00CD553C" w:rsidRDefault="00CD553C" w:rsidP="00CD553C">
      <w:pPr>
        <w:keepNext/>
        <w:keepLines/>
        <w:autoSpaceDE w:val="0"/>
        <w:autoSpaceDN w:val="0"/>
        <w:adjustRightInd w:val="0"/>
        <w:rPr>
          <w:rFonts w:ascii="Garamond" w:hAnsi="Garamond"/>
          <w:lang w:val="en-AU"/>
        </w:rPr>
      </w:pPr>
    </w:p>
    <w:p w:rsidR="006A12DF" w:rsidRPr="0099573A" w:rsidRDefault="006A12DF" w:rsidP="006A12DF">
      <w:pPr>
        <w:keepNext/>
        <w:rPr>
          <w:rFonts w:ascii="Garamond" w:hAnsi="Garamond"/>
          <w:i/>
          <w:lang w:val="en-AU"/>
        </w:rPr>
      </w:pPr>
      <w:r>
        <w:rPr>
          <w:rFonts w:ascii="Garamond" w:hAnsi="Garamond"/>
          <w:i/>
          <w:lang w:val="en-AU"/>
        </w:rPr>
        <w:t>Health Expectations</w:t>
      </w:r>
    </w:p>
    <w:p w:rsidR="006A12DF" w:rsidRPr="0099573A" w:rsidRDefault="006A12DF" w:rsidP="006A12DF">
      <w:pPr>
        <w:keepNext/>
        <w:rPr>
          <w:rFonts w:ascii="Garamond" w:hAnsi="Garamond"/>
          <w:lang w:val="en-AU"/>
        </w:rPr>
      </w:pPr>
      <w:r>
        <w:rPr>
          <w:rFonts w:ascii="Garamond" w:hAnsi="Garamond"/>
          <w:lang w:val="en-AU"/>
        </w:rPr>
        <w:t>Volume</w:t>
      </w:r>
      <w:r w:rsidRPr="0099573A">
        <w:rPr>
          <w:rFonts w:ascii="Garamond" w:hAnsi="Garamond"/>
          <w:lang w:val="en-AU"/>
        </w:rPr>
        <w:t xml:space="preserve"> </w:t>
      </w:r>
      <w:r>
        <w:rPr>
          <w:rFonts w:ascii="Garamond" w:hAnsi="Garamond"/>
          <w:lang w:val="en-AU"/>
        </w:rPr>
        <w:t>24</w:t>
      </w:r>
      <w:r w:rsidRPr="0099573A">
        <w:rPr>
          <w:rFonts w:ascii="Garamond" w:hAnsi="Garamond"/>
          <w:lang w:val="en-AU"/>
        </w:rPr>
        <w:t xml:space="preserve">, </w:t>
      </w:r>
      <w:r>
        <w:rPr>
          <w:rFonts w:ascii="Garamond" w:hAnsi="Garamond"/>
          <w:lang w:val="en-AU"/>
        </w:rPr>
        <w:t>Issue</w:t>
      </w:r>
      <w:r w:rsidRPr="0099573A">
        <w:rPr>
          <w:rFonts w:ascii="Garamond" w:hAnsi="Garamond"/>
          <w:lang w:val="en-AU"/>
        </w:rPr>
        <w:t xml:space="preserve"> 1, February 2021</w:t>
      </w:r>
    </w:p>
    <w:tbl>
      <w:tblPr>
        <w:tblStyle w:val="TableGrid"/>
        <w:tblW w:w="9360" w:type="dxa"/>
        <w:tblInd w:w="288" w:type="dxa"/>
        <w:tblLayout w:type="fixed"/>
        <w:tblLook w:val="01E0" w:firstRow="1" w:lastRow="1" w:firstColumn="1" w:lastColumn="1" w:noHBand="0" w:noVBand="0"/>
      </w:tblPr>
      <w:tblGrid>
        <w:gridCol w:w="1080"/>
        <w:gridCol w:w="8280"/>
      </w:tblGrid>
      <w:tr w:rsidR="006A12DF"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6A12DF" w:rsidRPr="000170DA" w:rsidRDefault="006A12DF" w:rsidP="00FB774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A12DF" w:rsidRPr="006706B4" w:rsidRDefault="001F3849" w:rsidP="00FB7748">
            <w:pPr>
              <w:keepNext/>
              <w:rPr>
                <w:rStyle w:val="Hyperlink"/>
                <w:rFonts w:ascii="Garamond" w:hAnsi="Garamond"/>
                <w:color w:val="auto"/>
                <w:u w:val="none"/>
                <w:lang w:val="en-AU"/>
              </w:rPr>
            </w:pPr>
            <w:hyperlink r:id="rId60" w:history="1">
              <w:r w:rsidR="006A12DF" w:rsidRPr="009A077D">
                <w:rPr>
                  <w:rStyle w:val="Hyperlink"/>
                  <w:rFonts w:ascii="Garamond" w:hAnsi="Garamond"/>
                  <w:lang w:val="en-AU"/>
                </w:rPr>
                <w:t>https://onlinelibrary.wiley.com/toc/13697625/2021/24/1</w:t>
              </w:r>
            </w:hyperlink>
          </w:p>
        </w:tc>
      </w:tr>
      <w:tr w:rsidR="006A12DF"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6A12DF" w:rsidRPr="000170DA" w:rsidRDefault="006A12DF" w:rsidP="00FB77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A12DF" w:rsidRPr="00A85C9A" w:rsidRDefault="006A12DF" w:rsidP="006A12DF">
            <w:pPr>
              <w:keepNext/>
              <w:rPr>
                <w:rFonts w:ascii="Garamond" w:hAnsi="Garamond"/>
                <w:lang w:val="en-AU"/>
              </w:rPr>
            </w:pPr>
            <w:r w:rsidRPr="00E34A10">
              <w:rPr>
                <w:rFonts w:ascii="Garamond" w:hAnsi="Garamond"/>
                <w:lang w:val="en-AU"/>
              </w:rPr>
              <w:t xml:space="preserve">A new issue of </w:t>
            </w:r>
            <w:r>
              <w:rPr>
                <w:rFonts w:ascii="Garamond" w:hAnsi="Garamond"/>
                <w:i/>
                <w:lang w:val="en-AU"/>
              </w:rPr>
              <w:t>Health Expectations</w:t>
            </w:r>
            <w:r w:rsidRPr="00E34A10">
              <w:rPr>
                <w:rFonts w:ascii="Garamond" w:hAnsi="Garamond"/>
                <w:lang w:val="en-AU"/>
              </w:rPr>
              <w:t xml:space="preserve"> has been </w:t>
            </w:r>
            <w:r>
              <w:rPr>
                <w:rFonts w:ascii="Garamond" w:hAnsi="Garamond"/>
                <w:lang w:val="en-AU"/>
              </w:rPr>
              <w:t xml:space="preserve">published. </w:t>
            </w:r>
            <w:r w:rsidRPr="00E34A10">
              <w:rPr>
                <w:rFonts w:ascii="Garamond" w:hAnsi="Garamond"/>
                <w:lang w:val="en-AU"/>
              </w:rPr>
              <w:t xml:space="preserve">Articles in this issue of </w:t>
            </w:r>
            <w:r>
              <w:rPr>
                <w:rFonts w:ascii="Garamond" w:hAnsi="Garamond"/>
                <w:i/>
                <w:lang w:val="en-AU"/>
              </w:rPr>
              <w:t xml:space="preserve">Health Expectations </w:t>
            </w:r>
            <w:r w:rsidRPr="00E34A10">
              <w:rPr>
                <w:rFonts w:ascii="Garamond" w:hAnsi="Garamond"/>
                <w:lang w:val="en-AU"/>
              </w:rPr>
              <w:t>include</w:t>
            </w:r>
            <w:r w:rsidRPr="00B440ED">
              <w:rPr>
                <w:rFonts w:ascii="Garamond" w:hAnsi="Garamond"/>
                <w:lang w:val="en-AU"/>
              </w:rPr>
              <w:t>:</w:t>
            </w:r>
          </w:p>
          <w:p w:rsidR="006A12DF" w:rsidRPr="006A12DF" w:rsidRDefault="006A12DF" w:rsidP="00FB7748">
            <w:pPr>
              <w:pStyle w:val="ListParagraph"/>
              <w:numPr>
                <w:ilvl w:val="0"/>
                <w:numId w:val="15"/>
              </w:numPr>
              <w:rPr>
                <w:rFonts w:ascii="Garamond" w:hAnsi="Garamond"/>
                <w:lang w:val="en-AU"/>
              </w:rPr>
            </w:pPr>
            <w:r w:rsidRPr="006A12DF">
              <w:rPr>
                <w:rFonts w:ascii="Garamond" w:hAnsi="Garamond"/>
                <w:lang w:val="en-AU"/>
              </w:rPr>
              <w:t xml:space="preserve"> ‘I think I will need help’: A systematic review of who facilitates the </w:t>
            </w:r>
            <w:r w:rsidRPr="006A12DF">
              <w:rPr>
                <w:rFonts w:ascii="Garamond" w:hAnsi="Garamond"/>
                <w:b/>
                <w:lang w:val="en-AU"/>
              </w:rPr>
              <w:t>recovery from gender</w:t>
            </w:r>
            <w:r w:rsidRPr="006A12DF">
              <w:rPr>
                <w:b/>
                <w:lang w:val="en-AU"/>
              </w:rPr>
              <w:t>‐</w:t>
            </w:r>
            <w:r w:rsidRPr="006A12DF">
              <w:rPr>
                <w:rFonts w:ascii="Garamond" w:hAnsi="Garamond"/>
                <w:b/>
                <w:lang w:val="en-AU"/>
              </w:rPr>
              <w:t>based violence</w:t>
            </w:r>
            <w:r w:rsidRPr="006A12DF">
              <w:rPr>
                <w:rFonts w:ascii="Garamond" w:hAnsi="Garamond"/>
                <w:lang w:val="en-AU"/>
              </w:rPr>
              <w:t xml:space="preserve"> and how they do so (Patricia Melgar Alcantud</w:t>
            </w:r>
            <w:r>
              <w:rPr>
                <w:rFonts w:ascii="Garamond" w:hAnsi="Garamond"/>
                <w:lang w:val="en-AU"/>
              </w:rPr>
              <w:t>,</w:t>
            </w:r>
            <w:r w:rsidRPr="006A12DF">
              <w:rPr>
                <w:rFonts w:ascii="Garamond" w:hAnsi="Garamond"/>
                <w:lang w:val="en-AU"/>
              </w:rPr>
              <w:t xml:space="preserve"> Roger Campdepadrós</w:t>
            </w:r>
            <w:r w:rsidRPr="006A12DF">
              <w:rPr>
                <w:lang w:val="en-AU"/>
              </w:rPr>
              <w:t>‐</w:t>
            </w:r>
            <w:r>
              <w:rPr>
                <w:rFonts w:ascii="Garamond" w:hAnsi="Garamond"/>
                <w:lang w:val="en-AU"/>
              </w:rPr>
              <w:t xml:space="preserve">Cullell, </w:t>
            </w:r>
            <w:r w:rsidRPr="006A12DF">
              <w:rPr>
                <w:rFonts w:ascii="Garamond" w:hAnsi="Garamond"/>
                <w:lang w:val="en-AU"/>
              </w:rPr>
              <w:t>Concepci</w:t>
            </w:r>
            <w:r w:rsidRPr="006A12DF">
              <w:rPr>
                <w:rFonts w:ascii="Garamond" w:hAnsi="Garamond" w:cs="Garamond"/>
                <w:lang w:val="en-AU"/>
              </w:rPr>
              <w:t>ó</w:t>
            </w:r>
            <w:r w:rsidRPr="006A12DF">
              <w:rPr>
                <w:rFonts w:ascii="Garamond" w:hAnsi="Garamond"/>
                <w:lang w:val="en-AU"/>
              </w:rPr>
              <w:t xml:space="preserve"> Fuentes</w:t>
            </w:r>
            <w:r w:rsidRPr="006A12DF">
              <w:rPr>
                <w:lang w:val="en-AU"/>
              </w:rPr>
              <w:t>‐</w:t>
            </w:r>
            <w:r w:rsidRPr="006A12DF">
              <w:rPr>
                <w:rFonts w:ascii="Garamond" w:hAnsi="Garamond"/>
                <w:lang w:val="en-AU"/>
              </w:rPr>
              <w:t>Pumarola</w:t>
            </w:r>
            <w:r>
              <w:rPr>
                <w:rFonts w:ascii="Garamond" w:hAnsi="Garamond"/>
                <w:lang w:val="en-AU"/>
              </w:rPr>
              <w:t>,</w:t>
            </w:r>
            <w:r w:rsidRPr="006A12DF">
              <w:rPr>
                <w:rFonts w:ascii="Garamond" w:hAnsi="Garamond"/>
                <w:lang w:val="en-AU"/>
              </w:rPr>
              <w:t xml:space="preserve"> E Mut</w:t>
            </w:r>
            <w:r w:rsidRPr="006A12DF">
              <w:rPr>
                <w:lang w:val="en-AU"/>
              </w:rPr>
              <w:t>‐</w:t>
            </w:r>
            <w:r w:rsidRPr="006A12DF">
              <w:rPr>
                <w:rFonts w:ascii="Garamond" w:hAnsi="Garamond"/>
                <w:lang w:val="en-AU"/>
              </w:rPr>
              <w:t>Montalv</w:t>
            </w:r>
            <w:r w:rsidRPr="006A12DF">
              <w:rPr>
                <w:rFonts w:ascii="Garamond" w:hAnsi="Garamond" w:cs="Garamond"/>
                <w:lang w:val="en-AU"/>
              </w:rPr>
              <w:t>à</w:t>
            </w:r>
            <w:r>
              <w:rPr>
                <w:rFonts w:ascii="Garamond" w:hAnsi="Garamond" w:cs="Garamond"/>
                <w:lang w:val="en-AU"/>
              </w:rPr>
              <w:t>)</w:t>
            </w:r>
          </w:p>
          <w:p w:rsidR="006A12DF" w:rsidRPr="006A12DF" w:rsidRDefault="006A12DF" w:rsidP="00FB7748">
            <w:pPr>
              <w:pStyle w:val="ListParagraph"/>
              <w:numPr>
                <w:ilvl w:val="0"/>
                <w:numId w:val="15"/>
              </w:numPr>
              <w:rPr>
                <w:rFonts w:ascii="Garamond" w:hAnsi="Garamond"/>
                <w:lang w:val="en-AU"/>
              </w:rPr>
            </w:pPr>
            <w:r w:rsidRPr="006A12DF">
              <w:rPr>
                <w:rFonts w:ascii="Garamond" w:hAnsi="Garamond"/>
                <w:lang w:val="en-AU"/>
              </w:rPr>
              <w:t xml:space="preserve">Exploring disconnected discourses about </w:t>
            </w:r>
            <w:r w:rsidRPr="006A12DF">
              <w:rPr>
                <w:rFonts w:ascii="Garamond" w:hAnsi="Garamond"/>
                <w:b/>
                <w:lang w:val="en-AU"/>
              </w:rPr>
              <w:t>Patient and Public Involvement and Volunteer Involvement</w:t>
            </w:r>
            <w:r w:rsidRPr="006A12DF">
              <w:rPr>
                <w:rFonts w:ascii="Garamond" w:hAnsi="Garamond"/>
                <w:lang w:val="en-AU"/>
              </w:rPr>
              <w:t xml:space="preserve"> in English health and social care (Jurgen Grotz, Linda Birt, Heather Edwards</w:t>
            </w:r>
            <w:r>
              <w:rPr>
                <w:rFonts w:ascii="Garamond" w:hAnsi="Garamond"/>
                <w:lang w:val="en-AU"/>
              </w:rPr>
              <w:t>,</w:t>
            </w:r>
            <w:r w:rsidRPr="006A12DF">
              <w:rPr>
                <w:rFonts w:ascii="Garamond" w:hAnsi="Garamond"/>
                <w:lang w:val="en-AU"/>
              </w:rPr>
              <w:t xml:space="preserve"> Michael Locke</w:t>
            </w:r>
            <w:r>
              <w:rPr>
                <w:rFonts w:ascii="Garamond" w:hAnsi="Garamond"/>
                <w:lang w:val="en-AU"/>
              </w:rPr>
              <w:t xml:space="preserve">, </w:t>
            </w:r>
            <w:r w:rsidRPr="006A12DF">
              <w:rPr>
                <w:rFonts w:ascii="Garamond" w:hAnsi="Garamond"/>
                <w:lang w:val="en-AU"/>
              </w:rPr>
              <w:t>Fiona Poland</w:t>
            </w:r>
            <w:r>
              <w:rPr>
                <w:rFonts w:ascii="Garamond" w:hAnsi="Garamond"/>
                <w:lang w:val="en-AU"/>
              </w:rPr>
              <w:t>)</w:t>
            </w:r>
          </w:p>
          <w:p w:rsidR="006A12DF" w:rsidRDefault="006A12DF" w:rsidP="00FB7748">
            <w:pPr>
              <w:pStyle w:val="ListParagraph"/>
              <w:numPr>
                <w:ilvl w:val="0"/>
                <w:numId w:val="15"/>
              </w:numPr>
              <w:rPr>
                <w:rFonts w:ascii="Garamond" w:hAnsi="Garamond"/>
                <w:lang w:val="en-AU"/>
              </w:rPr>
            </w:pPr>
            <w:r w:rsidRPr="006A12DF">
              <w:rPr>
                <w:rFonts w:ascii="Garamond" w:hAnsi="Garamond"/>
                <w:lang w:val="en-AU"/>
              </w:rPr>
              <w:t xml:space="preserve">Enhancing </w:t>
            </w:r>
            <w:r w:rsidRPr="006A12DF">
              <w:rPr>
                <w:rFonts w:ascii="Garamond" w:hAnsi="Garamond"/>
                <w:b/>
                <w:lang w:val="en-AU"/>
              </w:rPr>
              <w:t>shared and surrogate decision making for people living with dementia</w:t>
            </w:r>
            <w:r w:rsidRPr="006A12DF">
              <w:rPr>
                <w:rFonts w:ascii="Garamond" w:hAnsi="Garamond"/>
                <w:lang w:val="en-AU"/>
              </w:rPr>
              <w:t xml:space="preserve">: A systematic review of the effectiveness of interventions (Andrew </w:t>
            </w:r>
            <w:r w:rsidRPr="006A12DF">
              <w:rPr>
                <w:rFonts w:ascii="Garamond" w:hAnsi="Garamond"/>
                <w:lang w:val="en-AU"/>
              </w:rPr>
              <w:lastRenderedPageBreak/>
              <w:t>Geddis</w:t>
            </w:r>
            <w:r w:rsidRPr="006A12DF">
              <w:rPr>
                <w:lang w:val="en-AU"/>
              </w:rPr>
              <w:t>‐</w:t>
            </w:r>
            <w:r w:rsidRPr="006A12DF">
              <w:rPr>
                <w:rFonts w:ascii="Garamond" w:hAnsi="Garamond"/>
                <w:lang w:val="en-AU"/>
              </w:rPr>
              <w:t>Regan, Linda Errington</w:t>
            </w:r>
            <w:r>
              <w:rPr>
                <w:rFonts w:ascii="Garamond" w:hAnsi="Garamond"/>
                <w:lang w:val="en-AU"/>
              </w:rPr>
              <w:t xml:space="preserve">, </w:t>
            </w:r>
            <w:r w:rsidRPr="006A12DF">
              <w:rPr>
                <w:rFonts w:ascii="Garamond" w:hAnsi="Garamond"/>
                <w:lang w:val="en-AU"/>
              </w:rPr>
              <w:t>Clare Abley, Rebecca Wassall, Catherine Exley, Richard Thomson</w:t>
            </w:r>
            <w:r>
              <w:rPr>
                <w:rFonts w:ascii="Garamond" w:hAnsi="Garamond"/>
                <w:lang w:val="en-AU"/>
              </w:rPr>
              <w:t>)</w:t>
            </w:r>
          </w:p>
          <w:p w:rsidR="006A12DF" w:rsidRPr="006A12DF" w:rsidRDefault="006A12DF" w:rsidP="00FB7748">
            <w:pPr>
              <w:pStyle w:val="ListParagraph"/>
              <w:numPr>
                <w:ilvl w:val="0"/>
                <w:numId w:val="15"/>
              </w:numPr>
              <w:rPr>
                <w:rFonts w:ascii="Garamond" w:hAnsi="Garamond"/>
                <w:lang w:val="en-AU"/>
              </w:rPr>
            </w:pPr>
            <w:r w:rsidRPr="006A12DF">
              <w:rPr>
                <w:rFonts w:ascii="Garamond" w:hAnsi="Garamond"/>
                <w:lang w:val="en-AU"/>
              </w:rPr>
              <w:t>Cross</w:t>
            </w:r>
            <w:r w:rsidRPr="006A12DF">
              <w:rPr>
                <w:lang w:val="en-AU"/>
              </w:rPr>
              <w:t>‐</w:t>
            </w:r>
            <w:r w:rsidRPr="006A12DF">
              <w:rPr>
                <w:rFonts w:ascii="Garamond" w:hAnsi="Garamond"/>
                <w:lang w:val="en-AU"/>
              </w:rPr>
              <w:t xml:space="preserve">cultural validation of the </w:t>
            </w:r>
            <w:r w:rsidRPr="006A12DF">
              <w:rPr>
                <w:rFonts w:ascii="Garamond" w:hAnsi="Garamond"/>
                <w:b/>
                <w:lang w:val="en-AU"/>
              </w:rPr>
              <w:t>patient</w:t>
            </w:r>
            <w:r w:rsidRPr="006A12DF">
              <w:rPr>
                <w:b/>
                <w:lang w:val="en-AU"/>
              </w:rPr>
              <w:t>‐</w:t>
            </w:r>
            <w:r w:rsidRPr="006A12DF">
              <w:rPr>
                <w:rFonts w:ascii="Garamond" w:hAnsi="Garamond"/>
                <w:b/>
                <w:lang w:val="en-AU"/>
              </w:rPr>
              <w:t>practitioner orientation scale</w:t>
            </w:r>
            <w:r w:rsidRPr="006A12DF">
              <w:rPr>
                <w:rFonts w:ascii="Garamond" w:hAnsi="Garamond"/>
                <w:lang w:val="en-AU"/>
              </w:rPr>
              <w:t xml:space="preserve"> among primary care professionals in Spain (Lilisbeth Perestelo</w:t>
            </w:r>
            <w:r w:rsidRPr="006A12DF">
              <w:rPr>
                <w:lang w:val="en-AU"/>
              </w:rPr>
              <w:t>‐</w:t>
            </w:r>
            <w:r w:rsidRPr="006A12DF">
              <w:rPr>
                <w:rFonts w:ascii="Garamond" w:hAnsi="Garamond"/>
                <w:lang w:val="en-AU"/>
              </w:rPr>
              <w:t>P</w:t>
            </w:r>
            <w:r w:rsidRPr="006A12DF">
              <w:rPr>
                <w:rFonts w:ascii="Garamond" w:hAnsi="Garamond" w:cs="Garamond"/>
                <w:lang w:val="en-AU"/>
              </w:rPr>
              <w:t>é</w:t>
            </w:r>
            <w:r w:rsidRPr="006A12DF">
              <w:rPr>
                <w:rFonts w:ascii="Garamond" w:hAnsi="Garamond"/>
                <w:lang w:val="en-AU"/>
              </w:rPr>
              <w:t>rez</w:t>
            </w:r>
            <w:r>
              <w:rPr>
                <w:rFonts w:ascii="Garamond" w:hAnsi="Garamond"/>
                <w:lang w:val="en-AU"/>
              </w:rPr>
              <w:t>,</w:t>
            </w:r>
            <w:r w:rsidRPr="006A12DF">
              <w:rPr>
                <w:rFonts w:ascii="Garamond" w:hAnsi="Garamond"/>
                <w:lang w:val="en-AU"/>
              </w:rPr>
              <w:t xml:space="preserve"> Amado Rivero</w:t>
            </w:r>
            <w:r w:rsidRPr="006A12DF">
              <w:rPr>
                <w:lang w:val="en-AU"/>
              </w:rPr>
              <w:t>‐</w:t>
            </w:r>
            <w:r w:rsidRPr="006A12DF">
              <w:rPr>
                <w:rFonts w:ascii="Garamond" w:hAnsi="Garamond"/>
                <w:lang w:val="en-AU"/>
              </w:rPr>
              <w:t>Santana</w:t>
            </w:r>
            <w:r>
              <w:rPr>
                <w:rFonts w:ascii="Garamond" w:hAnsi="Garamond"/>
                <w:lang w:val="en-AU"/>
              </w:rPr>
              <w:t>,</w:t>
            </w:r>
            <w:r w:rsidRPr="006A12DF">
              <w:rPr>
                <w:rFonts w:ascii="Garamond" w:hAnsi="Garamond"/>
                <w:lang w:val="en-AU"/>
              </w:rPr>
              <w:t xml:space="preserve"> Ana Isabel Gonz</w:t>
            </w:r>
            <w:r w:rsidRPr="006A12DF">
              <w:rPr>
                <w:rFonts w:ascii="Garamond" w:hAnsi="Garamond" w:cs="Garamond"/>
                <w:lang w:val="en-AU"/>
              </w:rPr>
              <w:t>á</w:t>
            </w:r>
            <w:r w:rsidRPr="006A12DF">
              <w:rPr>
                <w:rFonts w:ascii="Garamond" w:hAnsi="Garamond"/>
                <w:lang w:val="en-AU"/>
              </w:rPr>
              <w:t>lez</w:t>
            </w:r>
            <w:r w:rsidRPr="006A12DF">
              <w:rPr>
                <w:lang w:val="en-AU"/>
              </w:rPr>
              <w:t>‐</w:t>
            </w:r>
            <w:r w:rsidRPr="006A12DF">
              <w:rPr>
                <w:rFonts w:ascii="Garamond" w:hAnsi="Garamond"/>
                <w:lang w:val="en-AU"/>
              </w:rPr>
              <w:t>Gonz</w:t>
            </w:r>
            <w:r w:rsidRPr="006A12DF">
              <w:rPr>
                <w:rFonts w:ascii="Garamond" w:hAnsi="Garamond" w:cs="Garamond"/>
                <w:lang w:val="en-AU"/>
              </w:rPr>
              <w:t>á</w:t>
            </w:r>
            <w:r w:rsidRPr="006A12DF">
              <w:rPr>
                <w:rFonts w:ascii="Garamond" w:hAnsi="Garamond"/>
                <w:lang w:val="en-AU"/>
              </w:rPr>
              <w:t>lez</w:t>
            </w:r>
            <w:r>
              <w:rPr>
                <w:rFonts w:ascii="Garamond" w:hAnsi="Garamond"/>
                <w:lang w:val="en-AU"/>
              </w:rPr>
              <w:t>,</w:t>
            </w:r>
            <w:r w:rsidRPr="006A12DF">
              <w:rPr>
                <w:rFonts w:ascii="Garamond" w:hAnsi="Garamond"/>
                <w:lang w:val="en-AU"/>
              </w:rPr>
              <w:t xml:space="preserve"> Carlos Jes</w:t>
            </w:r>
            <w:r w:rsidRPr="006A12DF">
              <w:rPr>
                <w:rFonts w:ascii="Garamond" w:hAnsi="Garamond" w:cs="Garamond"/>
                <w:lang w:val="en-AU"/>
              </w:rPr>
              <w:t>ú</w:t>
            </w:r>
            <w:r w:rsidRPr="006A12DF">
              <w:rPr>
                <w:rFonts w:ascii="Garamond" w:hAnsi="Garamond"/>
                <w:lang w:val="en-AU"/>
              </w:rPr>
              <w:t>s Bermejo</w:t>
            </w:r>
            <w:r w:rsidRPr="006A12DF">
              <w:rPr>
                <w:lang w:val="en-AU"/>
              </w:rPr>
              <w:t>‐</w:t>
            </w:r>
            <w:r w:rsidRPr="006A12DF">
              <w:rPr>
                <w:rFonts w:ascii="Garamond" w:hAnsi="Garamond"/>
                <w:lang w:val="en-AU"/>
              </w:rPr>
              <w:t>Caja</w:t>
            </w:r>
            <w:r>
              <w:rPr>
                <w:rFonts w:ascii="Garamond" w:hAnsi="Garamond"/>
                <w:lang w:val="en-AU"/>
              </w:rPr>
              <w:t>,</w:t>
            </w:r>
            <w:r w:rsidRPr="006A12DF">
              <w:rPr>
                <w:rFonts w:ascii="Garamond" w:hAnsi="Garamond"/>
                <w:lang w:val="en-AU"/>
              </w:rPr>
              <w:t xml:space="preserve"> Vanesa Ramos</w:t>
            </w:r>
            <w:r w:rsidRPr="006A12DF">
              <w:rPr>
                <w:lang w:val="en-AU"/>
              </w:rPr>
              <w:t>‐</w:t>
            </w:r>
            <w:r w:rsidRPr="006A12DF">
              <w:rPr>
                <w:rFonts w:ascii="Garamond" w:hAnsi="Garamond"/>
                <w:lang w:val="en-AU"/>
              </w:rPr>
              <w:t>Garc</w:t>
            </w:r>
            <w:r w:rsidRPr="006A12DF">
              <w:rPr>
                <w:rFonts w:ascii="Garamond" w:hAnsi="Garamond" w:cs="Garamond"/>
                <w:lang w:val="en-AU"/>
              </w:rPr>
              <w:t>í</w:t>
            </w:r>
            <w:r w:rsidRPr="006A12DF">
              <w:rPr>
                <w:rFonts w:ascii="Garamond" w:hAnsi="Garamond"/>
                <w:lang w:val="en-AU"/>
              </w:rPr>
              <w:t>a</w:t>
            </w:r>
            <w:r>
              <w:rPr>
                <w:rFonts w:ascii="Garamond" w:hAnsi="Garamond"/>
                <w:lang w:val="en-AU"/>
              </w:rPr>
              <w:t>,</w:t>
            </w:r>
            <w:r w:rsidRPr="006A12DF">
              <w:rPr>
                <w:rFonts w:ascii="Garamond" w:hAnsi="Garamond"/>
                <w:lang w:val="en-AU"/>
              </w:rPr>
              <w:t xml:space="preserve"> D</w:t>
            </w:r>
            <w:r w:rsidRPr="006A12DF">
              <w:rPr>
                <w:rFonts w:ascii="Garamond" w:hAnsi="Garamond" w:cs="Garamond"/>
                <w:lang w:val="en-AU"/>
              </w:rPr>
              <w:t>é</w:t>
            </w:r>
            <w:r w:rsidRPr="006A12DF">
              <w:rPr>
                <w:rFonts w:ascii="Garamond" w:hAnsi="Garamond"/>
                <w:lang w:val="en-AU"/>
              </w:rPr>
              <w:t>bora Koatz</w:t>
            </w:r>
            <w:r>
              <w:rPr>
                <w:rFonts w:ascii="Garamond" w:hAnsi="Garamond"/>
                <w:lang w:val="en-AU"/>
              </w:rPr>
              <w:t>,</w:t>
            </w:r>
            <w:r w:rsidRPr="006A12DF">
              <w:rPr>
                <w:rFonts w:ascii="Garamond" w:hAnsi="Garamond"/>
                <w:lang w:val="en-AU"/>
              </w:rPr>
              <w:t xml:space="preserve"> Alezandra Torres</w:t>
            </w:r>
            <w:r w:rsidRPr="006A12DF">
              <w:rPr>
                <w:lang w:val="en-AU"/>
              </w:rPr>
              <w:t>‐</w:t>
            </w:r>
            <w:r w:rsidRPr="006A12DF">
              <w:rPr>
                <w:rFonts w:ascii="Garamond" w:hAnsi="Garamond"/>
                <w:lang w:val="en-AU"/>
              </w:rPr>
              <w:t>Casta</w:t>
            </w:r>
            <w:r w:rsidRPr="006A12DF">
              <w:rPr>
                <w:rFonts w:ascii="Garamond" w:hAnsi="Garamond" w:cs="Garamond"/>
                <w:lang w:val="en-AU"/>
              </w:rPr>
              <w:t>ñ</w:t>
            </w:r>
            <w:r w:rsidRPr="006A12DF">
              <w:rPr>
                <w:rFonts w:ascii="Garamond" w:hAnsi="Garamond"/>
                <w:lang w:val="en-AU"/>
              </w:rPr>
              <w:t>o</w:t>
            </w:r>
            <w:r>
              <w:rPr>
                <w:rFonts w:ascii="Garamond" w:hAnsi="Garamond"/>
                <w:lang w:val="en-AU"/>
              </w:rPr>
              <w:t>,</w:t>
            </w:r>
            <w:r w:rsidRPr="006A12DF">
              <w:rPr>
                <w:rFonts w:ascii="Garamond" w:hAnsi="Garamond"/>
                <w:lang w:val="en-AU"/>
              </w:rPr>
              <w:t xml:space="preserve"> Marta Ballester</w:t>
            </w:r>
            <w:r>
              <w:rPr>
                <w:rFonts w:ascii="Garamond" w:hAnsi="Garamond"/>
                <w:lang w:val="en-AU"/>
              </w:rPr>
              <w:t>,</w:t>
            </w:r>
            <w:r w:rsidRPr="006A12DF">
              <w:rPr>
                <w:rFonts w:ascii="Garamond" w:hAnsi="Garamond"/>
                <w:lang w:val="en-AU"/>
              </w:rPr>
              <w:t xml:space="preserve"> Marcos Mu</w:t>
            </w:r>
            <w:r w:rsidRPr="006A12DF">
              <w:rPr>
                <w:rFonts w:ascii="Garamond" w:hAnsi="Garamond" w:cs="Garamond"/>
                <w:lang w:val="en-AU"/>
              </w:rPr>
              <w:t>ñ</w:t>
            </w:r>
            <w:r w:rsidRPr="006A12DF">
              <w:rPr>
                <w:rFonts w:ascii="Garamond" w:hAnsi="Garamond"/>
                <w:lang w:val="en-AU"/>
              </w:rPr>
              <w:t>oz</w:t>
            </w:r>
            <w:r w:rsidRPr="006A12DF">
              <w:rPr>
                <w:lang w:val="en-AU"/>
              </w:rPr>
              <w:t>‐</w:t>
            </w:r>
            <w:r w:rsidRPr="006A12DF">
              <w:rPr>
                <w:rFonts w:ascii="Garamond" w:hAnsi="Garamond"/>
                <w:lang w:val="en-AU"/>
              </w:rPr>
              <w:t>Balsa</w:t>
            </w:r>
            <w:r>
              <w:rPr>
                <w:rFonts w:ascii="Garamond" w:hAnsi="Garamond"/>
                <w:lang w:val="en-AU"/>
              </w:rPr>
              <w:t>,</w:t>
            </w:r>
            <w:r w:rsidRPr="006A12DF">
              <w:rPr>
                <w:rFonts w:ascii="Garamond" w:hAnsi="Garamond"/>
                <w:lang w:val="en-AU"/>
              </w:rPr>
              <w:t xml:space="preserve"> Yolanda del Rey</w:t>
            </w:r>
            <w:r w:rsidRPr="006A12DF">
              <w:rPr>
                <w:lang w:val="en-AU"/>
              </w:rPr>
              <w:t>‐</w:t>
            </w:r>
            <w:r w:rsidRPr="006A12DF">
              <w:rPr>
                <w:rFonts w:ascii="Garamond" w:hAnsi="Garamond"/>
                <w:lang w:val="en-AU"/>
              </w:rPr>
              <w:t>Granado</w:t>
            </w:r>
            <w:r>
              <w:rPr>
                <w:rFonts w:ascii="Garamond" w:hAnsi="Garamond"/>
                <w:lang w:val="en-AU"/>
              </w:rPr>
              <w:t>,</w:t>
            </w:r>
            <w:r w:rsidRPr="006A12DF">
              <w:rPr>
                <w:rFonts w:ascii="Garamond" w:hAnsi="Garamond"/>
                <w:lang w:val="en-AU"/>
              </w:rPr>
              <w:t xml:space="preserve"> Francisco Javier P</w:t>
            </w:r>
            <w:r w:rsidRPr="006A12DF">
              <w:rPr>
                <w:rFonts w:ascii="Garamond" w:hAnsi="Garamond" w:cs="Garamond"/>
                <w:lang w:val="en-AU"/>
              </w:rPr>
              <w:t>é</w:t>
            </w:r>
            <w:r w:rsidRPr="006A12DF">
              <w:rPr>
                <w:rFonts w:ascii="Garamond" w:hAnsi="Garamond"/>
                <w:lang w:val="en-AU"/>
              </w:rPr>
              <w:t>rez</w:t>
            </w:r>
            <w:r w:rsidRPr="006A12DF">
              <w:rPr>
                <w:lang w:val="en-AU"/>
              </w:rPr>
              <w:t>‐</w:t>
            </w:r>
            <w:r w:rsidRPr="006A12DF">
              <w:rPr>
                <w:rFonts w:ascii="Garamond" w:hAnsi="Garamond"/>
                <w:lang w:val="en-AU"/>
              </w:rPr>
              <w:t>Rivas</w:t>
            </w:r>
            <w:r>
              <w:rPr>
                <w:rFonts w:ascii="Garamond" w:hAnsi="Garamond"/>
                <w:lang w:val="en-AU"/>
              </w:rPr>
              <w:t>,</w:t>
            </w:r>
            <w:r w:rsidRPr="006A12DF">
              <w:rPr>
                <w:rFonts w:ascii="Garamond" w:hAnsi="Garamond"/>
                <w:lang w:val="en-AU"/>
              </w:rPr>
              <w:t xml:space="preserve"> Yolanda Canellas</w:t>
            </w:r>
            <w:r w:rsidRPr="006A12DF">
              <w:rPr>
                <w:lang w:val="en-AU"/>
              </w:rPr>
              <w:t>‐</w:t>
            </w:r>
            <w:r w:rsidRPr="006A12DF">
              <w:rPr>
                <w:rFonts w:ascii="Garamond" w:hAnsi="Garamond"/>
                <w:lang w:val="en-AU"/>
              </w:rPr>
              <w:t>Criado</w:t>
            </w:r>
            <w:r>
              <w:rPr>
                <w:rFonts w:ascii="Garamond" w:hAnsi="Garamond"/>
                <w:lang w:val="en-AU"/>
              </w:rPr>
              <w:t>,</w:t>
            </w:r>
            <w:r w:rsidRPr="006A12DF">
              <w:rPr>
                <w:rFonts w:ascii="Garamond" w:hAnsi="Garamond"/>
                <w:lang w:val="en-AU"/>
              </w:rPr>
              <w:t xml:space="preserve"> A B Ram</w:t>
            </w:r>
            <w:r w:rsidRPr="006A12DF">
              <w:rPr>
                <w:rFonts w:ascii="Garamond" w:hAnsi="Garamond" w:cs="Garamond"/>
                <w:lang w:val="en-AU"/>
              </w:rPr>
              <w:t>í</w:t>
            </w:r>
            <w:r w:rsidRPr="006A12DF">
              <w:rPr>
                <w:rFonts w:ascii="Garamond" w:hAnsi="Garamond"/>
                <w:lang w:val="en-AU"/>
              </w:rPr>
              <w:t>rez</w:t>
            </w:r>
            <w:r w:rsidRPr="006A12DF">
              <w:rPr>
                <w:lang w:val="en-AU"/>
              </w:rPr>
              <w:t>‐</w:t>
            </w:r>
            <w:r w:rsidRPr="006A12DF">
              <w:rPr>
                <w:rFonts w:ascii="Garamond" w:hAnsi="Garamond"/>
                <w:lang w:val="en-AU"/>
              </w:rPr>
              <w:t>Puerta</w:t>
            </w:r>
            <w:r>
              <w:rPr>
                <w:rFonts w:ascii="Garamond" w:hAnsi="Garamond"/>
                <w:lang w:val="en-AU"/>
              </w:rPr>
              <w:t>,</w:t>
            </w:r>
            <w:r w:rsidRPr="006A12DF">
              <w:rPr>
                <w:rFonts w:ascii="Garamond" w:hAnsi="Garamond"/>
                <w:lang w:val="en-AU"/>
              </w:rPr>
              <w:t xml:space="preserve"> V Pacheco</w:t>
            </w:r>
            <w:r w:rsidRPr="006A12DF">
              <w:rPr>
                <w:lang w:val="en-AU"/>
              </w:rPr>
              <w:t>‐</w:t>
            </w:r>
            <w:r w:rsidRPr="006A12DF">
              <w:rPr>
                <w:rFonts w:ascii="Garamond" w:hAnsi="Garamond"/>
                <w:lang w:val="en-AU"/>
              </w:rPr>
              <w:t>Huergo</w:t>
            </w:r>
            <w:r>
              <w:rPr>
                <w:rFonts w:ascii="Garamond" w:hAnsi="Garamond"/>
                <w:lang w:val="en-AU"/>
              </w:rPr>
              <w:t>,</w:t>
            </w:r>
            <w:r w:rsidRPr="006A12DF">
              <w:rPr>
                <w:rFonts w:ascii="Garamond" w:hAnsi="Garamond"/>
                <w:lang w:val="en-AU"/>
              </w:rPr>
              <w:t xml:space="preserve"> C Orrego</w:t>
            </w:r>
            <w:r>
              <w:rPr>
                <w:rFonts w:ascii="Garamond" w:hAnsi="Garamond"/>
                <w:lang w:val="en-AU"/>
              </w:rPr>
              <w:t>)</w:t>
            </w:r>
          </w:p>
          <w:p w:rsidR="006A12DF" w:rsidRDefault="006A12DF" w:rsidP="00FB7748">
            <w:pPr>
              <w:pStyle w:val="ListParagraph"/>
              <w:numPr>
                <w:ilvl w:val="0"/>
                <w:numId w:val="15"/>
              </w:numPr>
              <w:rPr>
                <w:rFonts w:ascii="Garamond" w:hAnsi="Garamond"/>
                <w:lang w:val="en-AU"/>
              </w:rPr>
            </w:pPr>
            <w:r w:rsidRPr="006A12DF">
              <w:rPr>
                <w:rFonts w:ascii="Garamond" w:hAnsi="Garamond"/>
                <w:lang w:val="en-AU"/>
              </w:rPr>
              <w:t xml:space="preserve">Developing a </w:t>
            </w:r>
            <w:r w:rsidRPr="006A12DF">
              <w:rPr>
                <w:rFonts w:ascii="Garamond" w:hAnsi="Garamond"/>
                <w:b/>
                <w:lang w:val="en-AU"/>
              </w:rPr>
              <w:t>patient safety guide for primary care</w:t>
            </w:r>
            <w:r w:rsidRPr="006A12DF">
              <w:rPr>
                <w:rFonts w:ascii="Garamond" w:hAnsi="Garamond"/>
                <w:lang w:val="en-AU"/>
              </w:rPr>
              <w:t>: A co</w:t>
            </w:r>
            <w:r w:rsidRPr="006A12DF">
              <w:rPr>
                <w:lang w:val="en-AU"/>
              </w:rPr>
              <w:t>‐</w:t>
            </w:r>
            <w:r w:rsidRPr="006A12DF">
              <w:rPr>
                <w:rFonts w:ascii="Garamond" w:hAnsi="Garamond"/>
                <w:lang w:val="en-AU"/>
              </w:rPr>
              <w:t>design approach involving patients, carers and clinicians (Rebecca L Morris</w:t>
            </w:r>
            <w:r>
              <w:rPr>
                <w:rFonts w:ascii="Garamond" w:hAnsi="Garamond"/>
                <w:lang w:val="en-AU"/>
              </w:rPr>
              <w:t>,</w:t>
            </w:r>
            <w:r w:rsidRPr="006A12DF">
              <w:rPr>
                <w:rFonts w:ascii="Garamond" w:hAnsi="Garamond"/>
                <w:lang w:val="en-AU"/>
              </w:rPr>
              <w:t xml:space="preserve"> Angela Ruddock Kay Gallacher</w:t>
            </w:r>
            <w:r>
              <w:rPr>
                <w:rFonts w:ascii="Garamond" w:hAnsi="Garamond"/>
                <w:lang w:val="en-AU"/>
              </w:rPr>
              <w:t>,</w:t>
            </w:r>
            <w:r w:rsidRPr="006A12DF">
              <w:rPr>
                <w:rFonts w:ascii="Garamond" w:hAnsi="Garamond"/>
                <w:lang w:val="en-AU"/>
              </w:rPr>
              <w:t xml:space="preserve"> Carly Rolfe</w:t>
            </w:r>
            <w:r>
              <w:rPr>
                <w:rFonts w:ascii="Garamond" w:hAnsi="Garamond"/>
                <w:lang w:val="en-AU"/>
              </w:rPr>
              <w:t>,</w:t>
            </w:r>
            <w:r w:rsidRPr="006A12DF">
              <w:rPr>
                <w:rFonts w:ascii="Garamond" w:hAnsi="Garamond"/>
                <w:lang w:val="en-AU"/>
              </w:rPr>
              <w:t xml:space="preserve"> Sally Giles</w:t>
            </w:r>
            <w:r>
              <w:rPr>
                <w:rFonts w:ascii="Garamond" w:hAnsi="Garamond"/>
                <w:lang w:val="en-AU"/>
              </w:rPr>
              <w:t>,</w:t>
            </w:r>
            <w:r w:rsidRPr="006A12DF">
              <w:rPr>
                <w:rFonts w:ascii="Garamond" w:hAnsi="Garamond"/>
                <w:lang w:val="en-AU"/>
              </w:rPr>
              <w:t xml:space="preserve"> Stephen Campbell</w:t>
            </w:r>
            <w:r>
              <w:rPr>
                <w:rFonts w:ascii="Garamond" w:hAnsi="Garamond"/>
                <w:lang w:val="en-AU"/>
              </w:rPr>
              <w:t>)</w:t>
            </w:r>
          </w:p>
          <w:p w:rsidR="006A12DF" w:rsidRPr="006A12DF" w:rsidRDefault="006A12DF" w:rsidP="00FB7748">
            <w:pPr>
              <w:pStyle w:val="ListParagraph"/>
              <w:numPr>
                <w:ilvl w:val="0"/>
                <w:numId w:val="15"/>
              </w:numPr>
              <w:rPr>
                <w:rFonts w:ascii="Garamond" w:hAnsi="Garamond"/>
                <w:lang w:val="en-AU"/>
              </w:rPr>
            </w:pPr>
            <w:r w:rsidRPr="006A12DF">
              <w:rPr>
                <w:rFonts w:ascii="Garamond" w:hAnsi="Garamond"/>
                <w:lang w:val="en-AU"/>
              </w:rPr>
              <w:t xml:space="preserve">Stakeholder engagement from problem analysis to implementation strategies for a </w:t>
            </w:r>
            <w:r w:rsidRPr="006A12DF">
              <w:rPr>
                <w:rFonts w:ascii="Garamond" w:hAnsi="Garamond"/>
                <w:b/>
                <w:lang w:val="en-AU"/>
              </w:rPr>
              <w:t>patient</w:t>
            </w:r>
            <w:r w:rsidRPr="006A12DF">
              <w:rPr>
                <w:b/>
                <w:lang w:val="en-AU"/>
              </w:rPr>
              <w:t>‐</w:t>
            </w:r>
            <w:r w:rsidRPr="006A12DF">
              <w:rPr>
                <w:rFonts w:ascii="Garamond" w:hAnsi="Garamond"/>
                <w:b/>
                <w:lang w:val="en-AU"/>
              </w:rPr>
              <w:t>reported experience measure in disability care</w:t>
            </w:r>
            <w:r w:rsidRPr="006A12DF">
              <w:rPr>
                <w:rFonts w:ascii="Garamond" w:hAnsi="Garamond"/>
                <w:lang w:val="en-AU"/>
              </w:rPr>
              <w:t>: A qualitative study on the process and experiences (Marjolein van Rooijen</w:t>
            </w:r>
            <w:r>
              <w:rPr>
                <w:rFonts w:ascii="Garamond" w:hAnsi="Garamond"/>
                <w:lang w:val="en-AU"/>
              </w:rPr>
              <w:t>,</w:t>
            </w:r>
            <w:r w:rsidRPr="006A12DF">
              <w:rPr>
                <w:rFonts w:ascii="Garamond" w:hAnsi="Garamond"/>
                <w:lang w:val="en-AU"/>
              </w:rPr>
              <w:t xml:space="preserve"> Stephanie Lenzen</w:t>
            </w:r>
            <w:r>
              <w:rPr>
                <w:rFonts w:ascii="Garamond" w:hAnsi="Garamond"/>
                <w:lang w:val="en-AU"/>
              </w:rPr>
              <w:t xml:space="preserve">, Ruth Dalemans, </w:t>
            </w:r>
            <w:r w:rsidRPr="006A12DF">
              <w:rPr>
                <w:rFonts w:ascii="Garamond" w:hAnsi="Garamond"/>
                <w:lang w:val="en-AU"/>
              </w:rPr>
              <w:t>Anna Beurskens</w:t>
            </w:r>
            <w:r>
              <w:rPr>
                <w:rFonts w:ascii="Garamond" w:hAnsi="Garamond"/>
                <w:lang w:val="en-AU"/>
              </w:rPr>
              <w:t>,</w:t>
            </w:r>
            <w:r w:rsidRPr="006A12DF">
              <w:rPr>
                <w:rFonts w:ascii="Garamond" w:hAnsi="Garamond"/>
                <w:lang w:val="en-AU"/>
              </w:rPr>
              <w:t xml:space="preserve"> Albine Moser</w:t>
            </w:r>
            <w:r>
              <w:rPr>
                <w:rFonts w:ascii="Garamond" w:hAnsi="Garamond"/>
                <w:lang w:val="en-AU"/>
              </w:rPr>
              <w:t>)</w:t>
            </w:r>
          </w:p>
          <w:p w:rsidR="006A12DF" w:rsidRPr="006A12DF" w:rsidRDefault="006A12DF" w:rsidP="00FB7748">
            <w:pPr>
              <w:pStyle w:val="ListParagraph"/>
              <w:numPr>
                <w:ilvl w:val="0"/>
                <w:numId w:val="15"/>
              </w:numPr>
              <w:rPr>
                <w:rFonts w:ascii="Garamond" w:hAnsi="Garamond"/>
                <w:lang w:val="en-AU"/>
              </w:rPr>
            </w:pPr>
            <w:r w:rsidRPr="006A12DF">
              <w:rPr>
                <w:rFonts w:ascii="Garamond" w:hAnsi="Garamond"/>
                <w:lang w:val="en-AU"/>
              </w:rPr>
              <w:t xml:space="preserve">Can you see me? </w:t>
            </w:r>
            <w:r w:rsidRPr="006A12DF">
              <w:rPr>
                <w:rFonts w:ascii="Garamond" w:hAnsi="Garamond"/>
                <w:b/>
                <w:lang w:val="en-AU"/>
              </w:rPr>
              <w:t>Participant experience of accessing a weight management programme via group videoconference</w:t>
            </w:r>
            <w:r w:rsidRPr="006A12DF">
              <w:rPr>
                <w:rFonts w:ascii="Garamond" w:hAnsi="Garamond"/>
                <w:lang w:val="en-AU"/>
              </w:rPr>
              <w:t xml:space="preserve"> to overcome barriers to engagement (Marion Cliffe</w:t>
            </w:r>
            <w:r>
              <w:rPr>
                <w:rFonts w:ascii="Garamond" w:hAnsi="Garamond"/>
                <w:lang w:val="en-AU"/>
              </w:rPr>
              <w:t>,</w:t>
            </w:r>
            <w:r w:rsidRPr="006A12DF">
              <w:rPr>
                <w:rFonts w:ascii="Garamond" w:hAnsi="Garamond"/>
                <w:lang w:val="en-AU"/>
              </w:rPr>
              <w:t xml:space="preserve"> Enzo Di Battista</w:t>
            </w:r>
            <w:r>
              <w:rPr>
                <w:rFonts w:ascii="Garamond" w:hAnsi="Garamond"/>
                <w:lang w:val="en-AU"/>
              </w:rPr>
              <w:t>,</w:t>
            </w:r>
            <w:r w:rsidRPr="006A12DF">
              <w:rPr>
                <w:rFonts w:ascii="Garamond" w:hAnsi="Garamond"/>
                <w:lang w:val="en-AU"/>
              </w:rPr>
              <w:t xml:space="preserve"> Simon Bishop</w:t>
            </w:r>
            <w:r>
              <w:rPr>
                <w:rFonts w:ascii="Garamond" w:hAnsi="Garamond"/>
                <w:lang w:val="en-AU"/>
              </w:rPr>
              <w:t>)</w:t>
            </w:r>
          </w:p>
          <w:p w:rsidR="006A12DF" w:rsidRDefault="006A12DF" w:rsidP="00FB7748">
            <w:pPr>
              <w:pStyle w:val="ListParagraph"/>
              <w:numPr>
                <w:ilvl w:val="0"/>
                <w:numId w:val="15"/>
              </w:numPr>
              <w:rPr>
                <w:rFonts w:ascii="Garamond" w:hAnsi="Garamond"/>
                <w:lang w:val="en-AU"/>
              </w:rPr>
            </w:pPr>
            <w:r w:rsidRPr="006A12DF">
              <w:rPr>
                <w:rFonts w:ascii="Garamond" w:hAnsi="Garamond"/>
                <w:b/>
                <w:lang w:val="en-AU"/>
              </w:rPr>
              <w:t>Introducing physician associates to hospital patients</w:t>
            </w:r>
            <w:r w:rsidRPr="006A12DF">
              <w:rPr>
                <w:rFonts w:ascii="Garamond" w:hAnsi="Garamond"/>
                <w:lang w:val="en-AU"/>
              </w:rPr>
              <w:t>: Development and feasibility testing of a patient experience</w:t>
            </w:r>
            <w:r w:rsidRPr="006A12DF">
              <w:rPr>
                <w:lang w:val="en-AU"/>
              </w:rPr>
              <w:t>‐</w:t>
            </w:r>
            <w:r w:rsidRPr="006A12DF">
              <w:rPr>
                <w:rFonts w:ascii="Garamond" w:hAnsi="Garamond"/>
                <w:lang w:val="en-AU"/>
              </w:rPr>
              <w:t>based intervention</w:t>
            </w:r>
            <w:r>
              <w:rPr>
                <w:rFonts w:ascii="Garamond" w:hAnsi="Garamond"/>
                <w:lang w:val="en-AU"/>
              </w:rPr>
              <w:t xml:space="preserve"> </w:t>
            </w:r>
            <w:r w:rsidRPr="006A12DF">
              <w:rPr>
                <w:rFonts w:ascii="Garamond" w:hAnsi="Garamond"/>
                <w:lang w:val="en-AU"/>
              </w:rPr>
              <w:t>(Francesca Taylor, Jonathan Ogidi, Rakhee Chauhan, Zeena Ladva, Sally Brearley, V M Drennan</w:t>
            </w:r>
            <w:r>
              <w:rPr>
                <w:rFonts w:ascii="Garamond" w:hAnsi="Garamond"/>
                <w:lang w:val="en-AU"/>
              </w:rPr>
              <w:t>)</w:t>
            </w:r>
          </w:p>
          <w:p w:rsidR="006A12DF" w:rsidRDefault="006A12DF" w:rsidP="00FB7748">
            <w:pPr>
              <w:pStyle w:val="ListParagraph"/>
              <w:numPr>
                <w:ilvl w:val="0"/>
                <w:numId w:val="15"/>
              </w:numPr>
              <w:rPr>
                <w:rFonts w:ascii="Garamond" w:hAnsi="Garamond"/>
                <w:lang w:val="en-AU"/>
              </w:rPr>
            </w:pPr>
            <w:r w:rsidRPr="006A12DF">
              <w:rPr>
                <w:rFonts w:ascii="Garamond" w:hAnsi="Garamond"/>
                <w:lang w:val="en-AU"/>
              </w:rPr>
              <w:t xml:space="preserve">A patient and public involvement workshop using visual art and priority setting to provide </w:t>
            </w:r>
            <w:r w:rsidRPr="006A12DF">
              <w:rPr>
                <w:rFonts w:ascii="Garamond" w:hAnsi="Garamond"/>
                <w:b/>
                <w:lang w:val="en-AU"/>
              </w:rPr>
              <w:t>patients with a voice to describe quality and safety concerns:</w:t>
            </w:r>
            <w:r w:rsidRPr="006A12DF">
              <w:rPr>
                <w:rFonts w:ascii="Garamond" w:hAnsi="Garamond"/>
                <w:lang w:val="en-AU"/>
              </w:rPr>
              <w:t xml:space="preserve"> Vitamin B12 deficiency and pernicious anaemia (Natasha Tyler, Sally Giles, Gavin Daker</w:t>
            </w:r>
            <w:r w:rsidRPr="006A12DF">
              <w:rPr>
                <w:lang w:val="en-AU"/>
              </w:rPr>
              <w:t>‐</w:t>
            </w:r>
            <w:r w:rsidRPr="006A12DF">
              <w:rPr>
                <w:rFonts w:ascii="Garamond" w:hAnsi="Garamond"/>
                <w:lang w:val="en-AU"/>
              </w:rPr>
              <w:t>White, Beth Clare McManus, Maria Panagioti</w:t>
            </w:r>
            <w:r>
              <w:rPr>
                <w:rFonts w:ascii="Garamond" w:hAnsi="Garamond"/>
                <w:lang w:val="en-AU"/>
              </w:rPr>
              <w:t>)</w:t>
            </w:r>
          </w:p>
          <w:p w:rsidR="006A12DF" w:rsidRPr="006A12DF" w:rsidRDefault="006A12DF" w:rsidP="00FB7748">
            <w:pPr>
              <w:pStyle w:val="ListParagraph"/>
              <w:numPr>
                <w:ilvl w:val="0"/>
                <w:numId w:val="15"/>
              </w:numPr>
              <w:rPr>
                <w:rFonts w:ascii="Garamond" w:hAnsi="Garamond"/>
                <w:lang w:val="en-AU"/>
              </w:rPr>
            </w:pPr>
            <w:r w:rsidRPr="00AA5CBF">
              <w:rPr>
                <w:rFonts w:ascii="Garamond" w:hAnsi="Garamond"/>
                <w:b/>
                <w:lang w:val="en-AU"/>
              </w:rPr>
              <w:t>Changes in public perceptions and experiences of the Australian health</w:t>
            </w:r>
            <w:r w:rsidRPr="00AA5CBF">
              <w:rPr>
                <w:b/>
                <w:lang w:val="en-AU"/>
              </w:rPr>
              <w:t>‐</w:t>
            </w:r>
            <w:r w:rsidRPr="00AA5CBF">
              <w:rPr>
                <w:rFonts w:ascii="Garamond" w:hAnsi="Garamond"/>
                <w:b/>
                <w:lang w:val="en-AU"/>
              </w:rPr>
              <w:t>care system</w:t>
            </w:r>
            <w:r w:rsidRPr="006A12DF">
              <w:rPr>
                <w:rFonts w:ascii="Garamond" w:hAnsi="Garamond"/>
                <w:lang w:val="en-AU"/>
              </w:rPr>
              <w:t>: A decade of change (Louise A Ellis</w:t>
            </w:r>
            <w:r w:rsidR="00AA5CBF">
              <w:rPr>
                <w:rFonts w:ascii="Garamond" w:hAnsi="Garamond"/>
                <w:lang w:val="en-AU"/>
              </w:rPr>
              <w:t>,</w:t>
            </w:r>
            <w:r w:rsidRPr="006A12DF">
              <w:rPr>
                <w:rFonts w:ascii="Garamond" w:hAnsi="Garamond"/>
                <w:lang w:val="en-AU"/>
              </w:rPr>
              <w:t xml:space="preserve"> Chiara Pomare</w:t>
            </w:r>
            <w:r w:rsidR="00AA5CBF">
              <w:rPr>
                <w:rFonts w:ascii="Garamond" w:hAnsi="Garamond"/>
                <w:lang w:val="en-AU"/>
              </w:rPr>
              <w:t>,</w:t>
            </w:r>
            <w:r w:rsidRPr="006A12DF">
              <w:rPr>
                <w:rFonts w:ascii="Garamond" w:hAnsi="Garamond"/>
                <w:lang w:val="en-AU"/>
              </w:rPr>
              <w:t xml:space="preserve"> James A Gillespie</w:t>
            </w:r>
            <w:r w:rsidR="00AA5CBF">
              <w:rPr>
                <w:rFonts w:ascii="Garamond" w:hAnsi="Garamond"/>
                <w:lang w:val="en-AU"/>
              </w:rPr>
              <w:t>,</w:t>
            </w:r>
            <w:r w:rsidRPr="006A12DF">
              <w:rPr>
                <w:rFonts w:ascii="Garamond" w:hAnsi="Garamond"/>
                <w:lang w:val="en-AU"/>
              </w:rPr>
              <w:t xml:space="preserve"> Jo Root</w:t>
            </w:r>
            <w:r w:rsidR="00AA5CBF">
              <w:rPr>
                <w:rFonts w:ascii="Garamond" w:hAnsi="Garamond"/>
                <w:lang w:val="en-AU"/>
              </w:rPr>
              <w:t>,</w:t>
            </w:r>
            <w:r w:rsidRPr="006A12DF">
              <w:rPr>
                <w:rFonts w:ascii="Garamond" w:hAnsi="Garamond"/>
                <w:lang w:val="en-AU"/>
              </w:rPr>
              <w:t xml:space="preserve"> James Ansell</w:t>
            </w:r>
            <w:r w:rsidR="00AA5CBF">
              <w:rPr>
                <w:rFonts w:ascii="Garamond" w:hAnsi="Garamond"/>
                <w:lang w:val="en-AU"/>
              </w:rPr>
              <w:t>,</w:t>
            </w:r>
            <w:r w:rsidRPr="006A12DF">
              <w:rPr>
                <w:rFonts w:ascii="Garamond" w:hAnsi="Garamond"/>
                <w:lang w:val="en-AU"/>
              </w:rPr>
              <w:t xml:space="preserve"> Joanna Holt</w:t>
            </w:r>
            <w:r w:rsidR="00AA5CBF">
              <w:rPr>
                <w:rFonts w:ascii="Garamond" w:hAnsi="Garamond"/>
                <w:lang w:val="en-AU"/>
              </w:rPr>
              <w:t>,</w:t>
            </w:r>
            <w:r w:rsidRPr="006A12DF">
              <w:rPr>
                <w:rFonts w:ascii="Garamond" w:hAnsi="Garamond"/>
                <w:lang w:val="en-AU"/>
              </w:rPr>
              <w:t xml:space="preserve"> Leanne Wells</w:t>
            </w:r>
            <w:r w:rsidR="00AA5CBF">
              <w:rPr>
                <w:rFonts w:ascii="Garamond" w:hAnsi="Garamond"/>
                <w:lang w:val="en-AU"/>
              </w:rPr>
              <w:t>,</w:t>
            </w:r>
            <w:r w:rsidRPr="006A12DF">
              <w:rPr>
                <w:rFonts w:ascii="Garamond" w:hAnsi="Garamond"/>
                <w:lang w:val="en-AU"/>
              </w:rPr>
              <w:t xml:space="preserve"> Yvonne Tran</w:t>
            </w:r>
            <w:r w:rsidR="00AA5CBF">
              <w:rPr>
                <w:rFonts w:ascii="Garamond" w:hAnsi="Garamond"/>
                <w:lang w:val="en-AU"/>
              </w:rPr>
              <w:t>,</w:t>
            </w:r>
            <w:r w:rsidRPr="006A12DF">
              <w:rPr>
                <w:rFonts w:ascii="Garamond" w:hAnsi="Garamond"/>
                <w:lang w:val="en-AU"/>
              </w:rPr>
              <w:t xml:space="preserve"> Jeffrey Braithwaite</w:t>
            </w:r>
            <w:r w:rsidR="00AA5CBF">
              <w:rPr>
                <w:rFonts w:ascii="Garamond" w:hAnsi="Garamond"/>
                <w:lang w:val="en-AU"/>
              </w:rPr>
              <w:t>,</w:t>
            </w:r>
            <w:r w:rsidRPr="006A12DF">
              <w:rPr>
                <w:rFonts w:ascii="Garamond" w:hAnsi="Garamond"/>
                <w:lang w:val="en-AU"/>
              </w:rPr>
              <w:t xml:space="preserve"> Yvonne Zurynski</w:t>
            </w:r>
            <w:r>
              <w:rPr>
                <w:rFonts w:ascii="Garamond" w:hAnsi="Garamond"/>
                <w:lang w:val="en-AU"/>
              </w:rPr>
              <w:t>)</w:t>
            </w:r>
          </w:p>
          <w:p w:rsidR="006A12DF" w:rsidRPr="006A12DF" w:rsidRDefault="006A12DF" w:rsidP="00FB7748">
            <w:pPr>
              <w:pStyle w:val="ListParagraph"/>
              <w:numPr>
                <w:ilvl w:val="0"/>
                <w:numId w:val="15"/>
              </w:numPr>
              <w:rPr>
                <w:rFonts w:ascii="Garamond" w:hAnsi="Garamond"/>
                <w:lang w:val="en-AU"/>
              </w:rPr>
            </w:pPr>
            <w:r w:rsidRPr="00AA5CBF">
              <w:rPr>
                <w:rFonts w:ascii="Garamond" w:hAnsi="Garamond"/>
                <w:b/>
                <w:lang w:val="en-AU"/>
              </w:rPr>
              <w:t>Responsibilities and capabilities of health engagement professionals (HEPs)</w:t>
            </w:r>
            <w:r w:rsidRPr="006A12DF">
              <w:rPr>
                <w:rFonts w:ascii="Garamond" w:hAnsi="Garamond"/>
                <w:lang w:val="en-AU"/>
              </w:rPr>
              <w:t>: Perspectives from HEPs and health consumers in Australia (</w:t>
            </w:r>
            <w:r w:rsidR="00AA5CBF">
              <w:rPr>
                <w:rFonts w:ascii="Garamond" w:hAnsi="Garamond"/>
                <w:lang w:val="en-AU"/>
              </w:rPr>
              <w:t xml:space="preserve">Lisa Tam, </w:t>
            </w:r>
            <w:r w:rsidRPr="006A12DF">
              <w:rPr>
                <w:rFonts w:ascii="Garamond" w:hAnsi="Garamond"/>
                <w:lang w:val="en-AU"/>
              </w:rPr>
              <w:t>Kara Burns</w:t>
            </w:r>
            <w:r w:rsidR="00AA5CBF">
              <w:rPr>
                <w:rFonts w:ascii="Garamond" w:hAnsi="Garamond"/>
                <w:lang w:val="en-AU"/>
              </w:rPr>
              <w:t>,</w:t>
            </w:r>
            <w:r w:rsidRPr="006A12DF">
              <w:rPr>
                <w:rFonts w:ascii="Garamond" w:hAnsi="Garamond"/>
                <w:lang w:val="en-AU"/>
              </w:rPr>
              <w:t xml:space="preserve"> Katherine Barnes</w:t>
            </w:r>
            <w:r>
              <w:rPr>
                <w:rFonts w:ascii="Garamond" w:hAnsi="Garamond"/>
                <w:lang w:val="en-AU"/>
              </w:rPr>
              <w:t>)</w:t>
            </w:r>
          </w:p>
          <w:p w:rsidR="006A12DF" w:rsidRPr="006A12DF" w:rsidRDefault="006A12DF" w:rsidP="00FB7748">
            <w:pPr>
              <w:pStyle w:val="ListParagraph"/>
              <w:numPr>
                <w:ilvl w:val="0"/>
                <w:numId w:val="15"/>
              </w:numPr>
              <w:rPr>
                <w:rFonts w:ascii="Garamond" w:hAnsi="Garamond"/>
                <w:lang w:val="en-AU"/>
              </w:rPr>
            </w:pPr>
            <w:r w:rsidRPr="00AA5CBF">
              <w:rPr>
                <w:rFonts w:ascii="Garamond" w:hAnsi="Garamond"/>
                <w:b/>
                <w:lang w:val="en-AU"/>
              </w:rPr>
              <w:t>Perceptions of patients</w:t>
            </w:r>
            <w:r w:rsidRPr="006A12DF">
              <w:rPr>
                <w:rFonts w:ascii="Garamond" w:hAnsi="Garamond"/>
                <w:lang w:val="en-AU"/>
              </w:rPr>
              <w:t xml:space="preserve"> undergoing percutaneous coronary intervention </w:t>
            </w:r>
            <w:r w:rsidRPr="00AA5CBF">
              <w:rPr>
                <w:rFonts w:ascii="Garamond" w:hAnsi="Garamond"/>
                <w:b/>
                <w:lang w:val="en-AU"/>
              </w:rPr>
              <w:t>on pre</w:t>
            </w:r>
            <w:r w:rsidRPr="00AA5CBF">
              <w:rPr>
                <w:b/>
                <w:lang w:val="en-AU"/>
              </w:rPr>
              <w:t>‐</w:t>
            </w:r>
            <w:r w:rsidRPr="00AA5CBF">
              <w:rPr>
                <w:rFonts w:ascii="Garamond" w:hAnsi="Garamond"/>
                <w:b/>
                <w:lang w:val="en-AU"/>
              </w:rPr>
              <w:t>operative education</w:t>
            </w:r>
            <w:r w:rsidRPr="006A12DF">
              <w:rPr>
                <w:rFonts w:ascii="Garamond" w:hAnsi="Garamond"/>
                <w:lang w:val="en-AU"/>
              </w:rPr>
              <w:t xml:space="preserve"> in China: A qualitative study (Qiqi Zhuo</w:t>
            </w:r>
            <w:r w:rsidR="00AA5CBF">
              <w:rPr>
                <w:rFonts w:ascii="Garamond" w:hAnsi="Garamond"/>
                <w:lang w:val="en-AU"/>
              </w:rPr>
              <w:t>,</w:t>
            </w:r>
            <w:r w:rsidRPr="006A12DF">
              <w:rPr>
                <w:rFonts w:ascii="Garamond" w:hAnsi="Garamond"/>
                <w:lang w:val="en-AU"/>
              </w:rPr>
              <w:t xml:space="preserve"> Hongmin Liang</w:t>
            </w:r>
            <w:r w:rsidR="00AA5CBF">
              <w:rPr>
                <w:rFonts w:ascii="Garamond" w:hAnsi="Garamond"/>
                <w:lang w:val="en-AU"/>
              </w:rPr>
              <w:t>,</w:t>
            </w:r>
            <w:r w:rsidRPr="006A12DF">
              <w:rPr>
                <w:rFonts w:ascii="Garamond" w:hAnsi="Garamond"/>
                <w:lang w:val="en-AU"/>
              </w:rPr>
              <w:t xml:space="preserve"> Yangjuan Bai</w:t>
            </w:r>
            <w:r w:rsidR="00AA5CBF">
              <w:rPr>
                <w:rFonts w:ascii="Garamond" w:hAnsi="Garamond"/>
                <w:lang w:val="en-AU"/>
              </w:rPr>
              <w:t>,</w:t>
            </w:r>
            <w:r w:rsidRPr="006A12DF">
              <w:rPr>
                <w:rFonts w:ascii="Garamond" w:hAnsi="Garamond"/>
                <w:lang w:val="en-AU"/>
              </w:rPr>
              <w:t xml:space="preserve"> Qiulan Hu</w:t>
            </w:r>
            <w:r w:rsidR="00AA5CBF">
              <w:rPr>
                <w:rFonts w:ascii="Garamond" w:hAnsi="Garamond"/>
                <w:lang w:val="en-AU"/>
              </w:rPr>
              <w:t>,</w:t>
            </w:r>
            <w:r w:rsidRPr="006A12DF">
              <w:rPr>
                <w:rFonts w:ascii="Garamond" w:hAnsi="Garamond"/>
                <w:lang w:val="en-AU"/>
              </w:rPr>
              <w:t xml:space="preserve"> Ardani Latifah Hanum</w:t>
            </w:r>
            <w:r w:rsidR="00AA5CBF">
              <w:rPr>
                <w:rFonts w:ascii="Garamond" w:hAnsi="Garamond"/>
                <w:lang w:val="en-AU"/>
              </w:rPr>
              <w:t>,</w:t>
            </w:r>
            <w:r w:rsidRPr="006A12DF">
              <w:rPr>
                <w:rFonts w:ascii="Garamond" w:hAnsi="Garamond"/>
                <w:lang w:val="en-AU"/>
              </w:rPr>
              <w:t xml:space="preserve"> Mingfang Yang</w:t>
            </w:r>
            <w:r w:rsidR="00AA5CBF">
              <w:rPr>
                <w:rFonts w:ascii="Garamond" w:hAnsi="Garamond"/>
                <w:lang w:val="en-AU"/>
              </w:rPr>
              <w:t>,</w:t>
            </w:r>
            <w:r w:rsidRPr="006A12DF">
              <w:rPr>
                <w:rFonts w:ascii="Garamond" w:hAnsi="Garamond"/>
                <w:lang w:val="en-AU"/>
              </w:rPr>
              <w:t xml:space="preserve"> Yanjiao Wang</w:t>
            </w:r>
            <w:r w:rsidR="00AA5CBF">
              <w:rPr>
                <w:rFonts w:ascii="Garamond" w:hAnsi="Garamond"/>
                <w:lang w:val="en-AU"/>
              </w:rPr>
              <w:t>,</w:t>
            </w:r>
            <w:r w:rsidRPr="006A12DF">
              <w:rPr>
                <w:rFonts w:ascii="Garamond" w:hAnsi="Garamond"/>
                <w:lang w:val="en-AU"/>
              </w:rPr>
              <w:t xml:space="preserve"> Wei Wei</w:t>
            </w:r>
            <w:r w:rsidR="00AA5CBF">
              <w:rPr>
                <w:rFonts w:ascii="Garamond" w:hAnsi="Garamond"/>
                <w:lang w:val="en-AU"/>
              </w:rPr>
              <w:t>,</w:t>
            </w:r>
            <w:r w:rsidRPr="006A12DF">
              <w:rPr>
                <w:rFonts w:ascii="Garamond" w:hAnsi="Garamond"/>
                <w:lang w:val="en-AU"/>
              </w:rPr>
              <w:t xml:space="preserve"> Lan Ding</w:t>
            </w:r>
            <w:r w:rsidR="00AA5CBF">
              <w:rPr>
                <w:rFonts w:ascii="Garamond" w:hAnsi="Garamond"/>
                <w:lang w:val="en-AU"/>
              </w:rPr>
              <w:t>,</w:t>
            </w:r>
            <w:r w:rsidRPr="006A12DF">
              <w:rPr>
                <w:rFonts w:ascii="Garamond" w:hAnsi="Garamond"/>
                <w:lang w:val="en-AU"/>
              </w:rPr>
              <w:t xml:space="preserve"> Fang Ma</w:t>
            </w:r>
            <w:r>
              <w:rPr>
                <w:rFonts w:ascii="Garamond" w:hAnsi="Garamond"/>
                <w:lang w:val="en-AU"/>
              </w:rPr>
              <w:t>)</w:t>
            </w:r>
          </w:p>
          <w:p w:rsidR="006A12DF" w:rsidRDefault="006A12DF" w:rsidP="00FB7748">
            <w:pPr>
              <w:pStyle w:val="ListParagraph"/>
              <w:numPr>
                <w:ilvl w:val="0"/>
                <w:numId w:val="15"/>
              </w:numPr>
              <w:rPr>
                <w:rFonts w:ascii="Garamond" w:hAnsi="Garamond"/>
                <w:lang w:val="en-AU"/>
              </w:rPr>
            </w:pPr>
            <w:r w:rsidRPr="006A12DF">
              <w:rPr>
                <w:rFonts w:ascii="Garamond" w:hAnsi="Garamond"/>
                <w:lang w:val="en-AU"/>
              </w:rPr>
              <w:t xml:space="preserve">Mapping the </w:t>
            </w:r>
            <w:r w:rsidRPr="00AA5CBF">
              <w:rPr>
                <w:rFonts w:ascii="Garamond" w:hAnsi="Garamond"/>
                <w:b/>
                <w:lang w:val="en-AU"/>
              </w:rPr>
              <w:t>experiences of people with achalasia</w:t>
            </w:r>
            <w:r w:rsidRPr="006A12DF">
              <w:rPr>
                <w:rFonts w:ascii="Garamond" w:hAnsi="Garamond"/>
                <w:lang w:val="en-AU"/>
              </w:rPr>
              <w:t xml:space="preserve"> from initial symptoms to long</w:t>
            </w:r>
            <w:r w:rsidRPr="006A12DF">
              <w:rPr>
                <w:lang w:val="en-AU"/>
              </w:rPr>
              <w:t>‐</w:t>
            </w:r>
            <w:r w:rsidRPr="006A12DF">
              <w:rPr>
                <w:rFonts w:ascii="Garamond" w:hAnsi="Garamond"/>
                <w:lang w:val="en-AU"/>
              </w:rPr>
              <w:t>term management (Melika Kalantari, A Hollywood, R Lim, M Hashemi</w:t>
            </w:r>
            <w:r>
              <w:rPr>
                <w:rFonts w:ascii="Garamond" w:hAnsi="Garamond"/>
                <w:lang w:val="en-AU"/>
              </w:rPr>
              <w:t>)</w:t>
            </w:r>
          </w:p>
          <w:p w:rsidR="006A12DF" w:rsidRDefault="006A12DF" w:rsidP="00FB7748">
            <w:pPr>
              <w:pStyle w:val="ListParagraph"/>
              <w:numPr>
                <w:ilvl w:val="0"/>
                <w:numId w:val="15"/>
              </w:numPr>
              <w:rPr>
                <w:rFonts w:ascii="Garamond" w:hAnsi="Garamond"/>
                <w:lang w:val="en-AU"/>
              </w:rPr>
            </w:pPr>
            <w:r w:rsidRPr="006A12DF">
              <w:rPr>
                <w:rFonts w:ascii="Garamond" w:hAnsi="Garamond"/>
                <w:lang w:val="en-AU"/>
              </w:rPr>
              <w:t xml:space="preserve">What are the underlying reasons behind </w:t>
            </w:r>
            <w:r w:rsidRPr="00AA5CBF">
              <w:rPr>
                <w:rFonts w:ascii="Garamond" w:hAnsi="Garamond"/>
                <w:b/>
                <w:lang w:val="en-AU"/>
              </w:rPr>
              <w:t>socioeconomic differences in doctor</w:t>
            </w:r>
            <w:r w:rsidRPr="00AA5CBF">
              <w:rPr>
                <w:b/>
                <w:lang w:val="en-AU"/>
              </w:rPr>
              <w:t>‐</w:t>
            </w:r>
            <w:r w:rsidRPr="00AA5CBF">
              <w:rPr>
                <w:rFonts w:ascii="Garamond" w:hAnsi="Garamond"/>
                <w:b/>
                <w:lang w:val="en-AU"/>
              </w:rPr>
              <w:t>patient communication in head and neck oncology review clinics</w:t>
            </w:r>
            <w:r w:rsidRPr="006A12DF">
              <w:rPr>
                <w:rFonts w:ascii="Garamond" w:hAnsi="Garamond"/>
                <w:lang w:val="en-AU"/>
              </w:rPr>
              <w:t>? (Sarah Allen, Simon N Rogers, Steven Brown, Rebecca V Harris</w:t>
            </w:r>
            <w:r>
              <w:rPr>
                <w:rFonts w:ascii="Garamond" w:hAnsi="Garamond"/>
                <w:lang w:val="en-AU"/>
              </w:rPr>
              <w:t>)</w:t>
            </w:r>
          </w:p>
          <w:p w:rsidR="006A12DF" w:rsidRPr="006A12DF" w:rsidRDefault="006A12DF" w:rsidP="00FB7748">
            <w:pPr>
              <w:pStyle w:val="ListParagraph"/>
              <w:numPr>
                <w:ilvl w:val="0"/>
                <w:numId w:val="15"/>
              </w:numPr>
              <w:rPr>
                <w:rFonts w:ascii="Garamond" w:hAnsi="Garamond"/>
                <w:lang w:val="en-AU"/>
              </w:rPr>
            </w:pPr>
            <w:r w:rsidRPr="00AA5CBF">
              <w:rPr>
                <w:rFonts w:ascii="Garamond" w:hAnsi="Garamond"/>
                <w:b/>
                <w:lang w:val="en-AU"/>
              </w:rPr>
              <w:t>Inclusion under the Mental Capacity Act</w:t>
            </w:r>
            <w:r w:rsidRPr="006A12DF">
              <w:rPr>
                <w:rFonts w:ascii="Garamond" w:hAnsi="Garamond"/>
                <w:lang w:val="en-AU"/>
              </w:rPr>
              <w:t xml:space="preserve"> (2005): A review of research policy guidance and governance structures in England and Wales (Hayley Ryan</w:t>
            </w:r>
            <w:r w:rsidR="00AA5CBF">
              <w:rPr>
                <w:rFonts w:ascii="Garamond" w:hAnsi="Garamond"/>
                <w:lang w:val="en-AU"/>
              </w:rPr>
              <w:t>,</w:t>
            </w:r>
            <w:r w:rsidRPr="006A12DF">
              <w:rPr>
                <w:rFonts w:ascii="Garamond" w:hAnsi="Garamond"/>
                <w:lang w:val="en-AU"/>
              </w:rPr>
              <w:t xml:space="preserve"> Rob Heywood</w:t>
            </w:r>
            <w:r w:rsidR="00AA5CBF">
              <w:rPr>
                <w:rFonts w:ascii="Garamond" w:hAnsi="Garamond"/>
                <w:lang w:val="en-AU"/>
              </w:rPr>
              <w:t>,</w:t>
            </w:r>
            <w:r w:rsidRPr="006A12DF">
              <w:rPr>
                <w:rFonts w:ascii="Garamond" w:hAnsi="Garamond"/>
                <w:lang w:val="en-AU"/>
              </w:rPr>
              <w:t xml:space="preserve"> Oluseyi Jimoh</w:t>
            </w:r>
            <w:r w:rsidR="00AA5CBF">
              <w:rPr>
                <w:rFonts w:ascii="Garamond" w:hAnsi="Garamond"/>
                <w:lang w:val="en-AU"/>
              </w:rPr>
              <w:t>,</w:t>
            </w:r>
            <w:r w:rsidRPr="006A12DF">
              <w:rPr>
                <w:rFonts w:ascii="Garamond" w:hAnsi="Garamond"/>
                <w:lang w:val="en-AU"/>
              </w:rPr>
              <w:t xml:space="preserve"> Anne Killett</w:t>
            </w:r>
            <w:r w:rsidR="00AA5CBF">
              <w:rPr>
                <w:rFonts w:ascii="Garamond" w:hAnsi="Garamond"/>
                <w:lang w:val="en-AU"/>
              </w:rPr>
              <w:t>,</w:t>
            </w:r>
            <w:r w:rsidRPr="006A12DF">
              <w:rPr>
                <w:rFonts w:ascii="Garamond" w:hAnsi="Garamond"/>
                <w:lang w:val="en-AU"/>
              </w:rPr>
              <w:t xml:space="preserve"> Peter E Langdon</w:t>
            </w:r>
            <w:r w:rsidR="00AA5CBF">
              <w:rPr>
                <w:rFonts w:ascii="Garamond" w:hAnsi="Garamond"/>
                <w:lang w:val="en-AU"/>
              </w:rPr>
              <w:t>,</w:t>
            </w:r>
            <w:r w:rsidRPr="006A12DF">
              <w:rPr>
                <w:rFonts w:ascii="Garamond" w:hAnsi="Garamond"/>
                <w:lang w:val="en-AU"/>
              </w:rPr>
              <w:t xml:space="preserve"> Ciara Shiggins</w:t>
            </w:r>
            <w:r w:rsidR="00AA5CBF">
              <w:rPr>
                <w:rFonts w:ascii="Garamond" w:hAnsi="Garamond"/>
                <w:lang w:val="en-AU"/>
              </w:rPr>
              <w:t>,</w:t>
            </w:r>
            <w:r w:rsidRPr="006A12DF">
              <w:rPr>
                <w:rFonts w:ascii="Garamond" w:hAnsi="Garamond"/>
                <w:lang w:val="en-AU"/>
              </w:rPr>
              <w:t xml:space="preserve"> Karen Bunning</w:t>
            </w:r>
            <w:r>
              <w:rPr>
                <w:rFonts w:ascii="Garamond" w:hAnsi="Garamond"/>
                <w:lang w:val="en-AU"/>
              </w:rPr>
              <w:t>)</w:t>
            </w:r>
          </w:p>
          <w:p w:rsidR="006A12DF" w:rsidRPr="00A85C9A" w:rsidRDefault="006A12DF" w:rsidP="00AA5CBF">
            <w:pPr>
              <w:pStyle w:val="ListParagraph"/>
              <w:numPr>
                <w:ilvl w:val="0"/>
                <w:numId w:val="15"/>
              </w:numPr>
              <w:rPr>
                <w:rFonts w:ascii="Garamond" w:hAnsi="Garamond"/>
                <w:lang w:val="en-AU"/>
              </w:rPr>
            </w:pPr>
            <w:r w:rsidRPr="006A12DF">
              <w:rPr>
                <w:rFonts w:ascii="Garamond" w:hAnsi="Garamond"/>
                <w:lang w:val="en-AU"/>
              </w:rPr>
              <w:t xml:space="preserve">Mediated roles of generalized trust and perceived social support in the effects of </w:t>
            </w:r>
            <w:r w:rsidRPr="00AA5CBF">
              <w:rPr>
                <w:rFonts w:ascii="Garamond" w:hAnsi="Garamond"/>
                <w:b/>
                <w:lang w:val="en-AU"/>
              </w:rPr>
              <w:t>problematic social media use on mental health</w:t>
            </w:r>
            <w:r w:rsidRPr="006A12DF">
              <w:rPr>
                <w:rFonts w:ascii="Garamond" w:hAnsi="Garamond"/>
                <w:lang w:val="en-AU"/>
              </w:rPr>
              <w:t>: A cross</w:t>
            </w:r>
            <w:r w:rsidRPr="006A12DF">
              <w:rPr>
                <w:lang w:val="en-AU"/>
              </w:rPr>
              <w:t>‐</w:t>
            </w:r>
            <w:r w:rsidRPr="006A12DF">
              <w:rPr>
                <w:rFonts w:ascii="Garamond" w:hAnsi="Garamond"/>
                <w:lang w:val="en-AU"/>
              </w:rPr>
              <w:t>sectional study</w:t>
            </w:r>
            <w:r>
              <w:rPr>
                <w:rFonts w:ascii="Garamond" w:hAnsi="Garamond"/>
                <w:lang w:val="en-AU"/>
              </w:rPr>
              <w:t xml:space="preserve"> (</w:t>
            </w:r>
            <w:r w:rsidRPr="006A12DF">
              <w:rPr>
                <w:rFonts w:ascii="Garamond" w:hAnsi="Garamond"/>
                <w:lang w:val="en-AU"/>
              </w:rPr>
              <w:t>Chung</w:t>
            </w:r>
            <w:r w:rsidRPr="006A12DF">
              <w:rPr>
                <w:lang w:val="en-AU"/>
              </w:rPr>
              <w:t>‐</w:t>
            </w:r>
            <w:r w:rsidR="00AA5CBF">
              <w:rPr>
                <w:rFonts w:ascii="Garamond" w:hAnsi="Garamond"/>
                <w:lang w:val="en-AU"/>
              </w:rPr>
              <w:t xml:space="preserve">Ying Lin, </w:t>
            </w:r>
            <w:r w:rsidRPr="006A12DF">
              <w:rPr>
                <w:rFonts w:ascii="Garamond" w:hAnsi="Garamond"/>
                <w:lang w:val="en-AU"/>
              </w:rPr>
              <w:t>Peyman Namdar</w:t>
            </w:r>
            <w:r w:rsidR="00AA5CBF">
              <w:rPr>
                <w:rFonts w:ascii="Garamond" w:hAnsi="Garamond"/>
                <w:lang w:val="en-AU"/>
              </w:rPr>
              <w:t xml:space="preserve">, </w:t>
            </w:r>
            <w:r w:rsidRPr="006A12DF">
              <w:rPr>
                <w:rFonts w:ascii="Garamond" w:hAnsi="Garamond"/>
                <w:lang w:val="en-AU"/>
              </w:rPr>
              <w:t>Mark D</w:t>
            </w:r>
            <w:r w:rsidR="00AA5CBF">
              <w:rPr>
                <w:rFonts w:ascii="Garamond" w:hAnsi="Garamond"/>
                <w:lang w:val="en-AU"/>
              </w:rPr>
              <w:t xml:space="preserve"> Griffiths,</w:t>
            </w:r>
            <w:r w:rsidRPr="006A12DF">
              <w:rPr>
                <w:rFonts w:ascii="Garamond" w:hAnsi="Garamond"/>
                <w:lang w:val="en-AU"/>
              </w:rPr>
              <w:t xml:space="preserve"> Amir H Pakpour</w:t>
            </w:r>
            <w:r>
              <w:rPr>
                <w:rFonts w:ascii="Garamond" w:hAnsi="Garamond"/>
                <w:lang w:val="en-AU"/>
              </w:rPr>
              <w:t>)</w:t>
            </w:r>
          </w:p>
        </w:tc>
      </w:tr>
    </w:tbl>
    <w:p w:rsidR="006A12DF" w:rsidRDefault="006A12DF" w:rsidP="006A12DF">
      <w:pPr>
        <w:rPr>
          <w:lang w:val="en-AU"/>
        </w:rPr>
      </w:pPr>
    </w:p>
    <w:p w:rsidR="00BB3BE3" w:rsidRPr="00467B47" w:rsidRDefault="00BB3BE3" w:rsidP="009A2546">
      <w:pPr>
        <w:keepNext/>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1F3849" w:rsidP="00DC09BF">
            <w:pPr>
              <w:keepNext/>
              <w:rPr>
                <w:rFonts w:ascii="Garamond" w:hAnsi="Garamond"/>
                <w:lang w:val="en-AU"/>
              </w:rPr>
            </w:pPr>
            <w:hyperlink r:id="rId61"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0A4614" w:rsidRPr="000A4614" w:rsidRDefault="000A4614" w:rsidP="00FB7748">
            <w:pPr>
              <w:pStyle w:val="ListParagraph"/>
              <w:numPr>
                <w:ilvl w:val="0"/>
                <w:numId w:val="14"/>
              </w:numPr>
              <w:rPr>
                <w:rFonts w:ascii="Garamond" w:hAnsi="Garamond"/>
                <w:lang w:val="en-AU"/>
              </w:rPr>
            </w:pPr>
            <w:r w:rsidRPr="000A4614">
              <w:rPr>
                <w:rFonts w:ascii="Garamond" w:hAnsi="Garamond"/>
                <w:b/>
                <w:lang w:val="en-AU"/>
              </w:rPr>
              <w:t>Medical crisis checklists in the emergency department</w:t>
            </w:r>
            <w:r w:rsidRPr="000A4614">
              <w:rPr>
                <w:rFonts w:ascii="Garamond" w:hAnsi="Garamond"/>
                <w:lang w:val="en-AU"/>
              </w:rPr>
              <w:t>: a simulation-based multi-institutional randomised controlled trial (Eric Dryver, Jakob Lundager Forberg, Caroline Hård af Segerstad, William D Dupont, Anders Bergenfelz, Ulf Ekelund</w:t>
            </w:r>
            <w:r>
              <w:rPr>
                <w:rFonts w:ascii="Garamond" w:hAnsi="Garamond"/>
                <w:lang w:val="en-AU"/>
              </w:rPr>
              <w:t>)</w:t>
            </w:r>
          </w:p>
          <w:p w:rsidR="000F1C5A" w:rsidRPr="00543B3B" w:rsidRDefault="000A4614" w:rsidP="00AD66BA">
            <w:pPr>
              <w:pStyle w:val="ListParagraph"/>
              <w:numPr>
                <w:ilvl w:val="0"/>
                <w:numId w:val="14"/>
              </w:numPr>
              <w:rPr>
                <w:rFonts w:ascii="Garamond" w:hAnsi="Garamond"/>
                <w:lang w:val="en-AU"/>
              </w:rPr>
            </w:pPr>
            <w:r w:rsidRPr="000A4614">
              <w:rPr>
                <w:rFonts w:ascii="Garamond" w:hAnsi="Garamond"/>
                <w:lang w:val="en-AU"/>
              </w:rPr>
              <w:t xml:space="preserve">Use of </w:t>
            </w:r>
            <w:r w:rsidRPr="000A4614">
              <w:rPr>
                <w:rFonts w:ascii="Garamond" w:hAnsi="Garamond"/>
                <w:b/>
                <w:lang w:val="en-AU"/>
              </w:rPr>
              <w:t>patient complaints to identify diagnosis-related safety concerns</w:t>
            </w:r>
            <w:r w:rsidRPr="000A4614">
              <w:rPr>
                <w:rFonts w:ascii="Garamond" w:hAnsi="Garamond"/>
                <w:lang w:val="en-AU"/>
              </w:rPr>
              <w:t xml:space="preserve">: a mixed-method evaluation </w:t>
            </w:r>
            <w:r>
              <w:rPr>
                <w:rFonts w:ascii="Garamond" w:hAnsi="Garamond"/>
                <w:lang w:val="en-AU"/>
              </w:rPr>
              <w:t>(</w:t>
            </w:r>
            <w:r w:rsidRPr="000A4614">
              <w:rPr>
                <w:rFonts w:ascii="Garamond" w:hAnsi="Garamond"/>
                <w:lang w:val="en-AU"/>
              </w:rPr>
              <w:t>Traber D Giardina, Saritha Korukonda, Umber Shahid, Viralkumar Vaghani, Divvy K Upadhyay, Greg F Burke, Hardeep Singh</w:t>
            </w:r>
            <w:r>
              <w:rPr>
                <w:rFonts w:ascii="Garamond" w:hAnsi="Garamond"/>
                <w:lang w:val="en-AU"/>
              </w:rPr>
              <w:t>)</w:t>
            </w:r>
          </w:p>
        </w:tc>
      </w:tr>
    </w:tbl>
    <w:p w:rsidR="002F5579" w:rsidRDefault="002F5579" w:rsidP="00977E92">
      <w:pPr>
        <w:rPr>
          <w:rFonts w:ascii="Garamond" w:hAnsi="Garamond"/>
          <w:b/>
          <w:lang w:val="en-AU"/>
        </w:rPr>
      </w:pPr>
    </w:p>
    <w:p w:rsidR="0010303D" w:rsidRPr="00467B47" w:rsidRDefault="0010303D" w:rsidP="0010303D">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F3849" w:rsidP="00315157">
            <w:pPr>
              <w:keepNext/>
              <w:rPr>
                <w:rFonts w:ascii="Garamond" w:hAnsi="Garamond"/>
                <w:lang w:val="en-AU"/>
              </w:rPr>
            </w:pPr>
            <w:hyperlink r:id="rId62"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0A4614" w:rsidRDefault="000A4614" w:rsidP="002102BC">
            <w:pPr>
              <w:pStyle w:val="ListParagraph"/>
              <w:numPr>
                <w:ilvl w:val="0"/>
                <w:numId w:val="14"/>
              </w:numPr>
              <w:jc w:val="both"/>
              <w:rPr>
                <w:rFonts w:ascii="Garamond" w:hAnsi="Garamond"/>
                <w:lang w:val="en-AU"/>
              </w:rPr>
            </w:pPr>
            <w:r w:rsidRPr="002102BC">
              <w:rPr>
                <w:rFonts w:ascii="Garamond" w:hAnsi="Garamond"/>
                <w:b/>
                <w:lang w:val="en-AU"/>
              </w:rPr>
              <w:t>Measuring patient voice matters</w:t>
            </w:r>
            <w:r w:rsidRPr="002102BC">
              <w:rPr>
                <w:rFonts w:ascii="Garamond" w:hAnsi="Garamond"/>
                <w:lang w:val="en-AU"/>
              </w:rPr>
              <w:t xml:space="preserve">: setting the scene for patient-reported indicators </w:t>
            </w:r>
            <w:r>
              <w:rPr>
                <w:rFonts w:ascii="Garamond" w:hAnsi="Garamond"/>
                <w:lang w:val="en-AU"/>
              </w:rPr>
              <w:t>(</w:t>
            </w:r>
            <w:r w:rsidRPr="002102BC">
              <w:rPr>
                <w:rFonts w:ascii="Garamond" w:hAnsi="Garamond"/>
                <w:lang w:val="en-AU"/>
              </w:rPr>
              <w:t>Katherine de Bienassis, Solvejg Kristensen, Emily Hewlett, David Roe, Jan Mainz</w:t>
            </w:r>
            <w:r>
              <w:rPr>
                <w:rFonts w:ascii="Garamond" w:hAnsi="Garamond"/>
                <w:lang w:val="en-AU"/>
              </w:rPr>
              <w:t xml:space="preserve">, </w:t>
            </w:r>
            <w:r w:rsidRPr="002102BC">
              <w:rPr>
                <w:rFonts w:ascii="Garamond" w:hAnsi="Garamond"/>
                <w:lang w:val="en-AU"/>
              </w:rPr>
              <w:t>Niek Klazinga</w:t>
            </w:r>
            <w:r>
              <w:rPr>
                <w:rFonts w:ascii="Garamond" w:hAnsi="Garamond"/>
                <w:lang w:val="en-AU"/>
              </w:rPr>
              <w:t>)</w:t>
            </w:r>
          </w:p>
          <w:p w:rsidR="000F1C5A" w:rsidRPr="00721A1B" w:rsidRDefault="002102BC" w:rsidP="00AD66BA">
            <w:pPr>
              <w:pStyle w:val="ListParagraph"/>
              <w:numPr>
                <w:ilvl w:val="0"/>
                <w:numId w:val="14"/>
              </w:numPr>
              <w:rPr>
                <w:rFonts w:ascii="Garamond" w:hAnsi="Garamond"/>
                <w:lang w:val="en-AU"/>
              </w:rPr>
            </w:pPr>
            <w:r w:rsidRPr="002102BC">
              <w:rPr>
                <w:rFonts w:ascii="Garamond" w:hAnsi="Garamond"/>
                <w:lang w:val="en-AU"/>
              </w:rPr>
              <w:t xml:space="preserve">Top Four Types of </w:t>
            </w:r>
            <w:r w:rsidRPr="002102BC">
              <w:rPr>
                <w:rFonts w:ascii="Garamond" w:hAnsi="Garamond"/>
                <w:b/>
                <w:lang w:val="en-AU"/>
              </w:rPr>
              <w:t>Sentinel Events in Saudi Arabia</w:t>
            </w:r>
            <w:r w:rsidRPr="002102BC">
              <w:rPr>
                <w:rFonts w:ascii="Garamond" w:hAnsi="Garamond"/>
                <w:lang w:val="en-AU"/>
              </w:rPr>
              <w:t xml:space="preserve"> During the Period 2016–2019 (Nasser Altalhi, Haifa Alnaimi, Mafaten Chaouali, Falaa Alahmari, Noor Alabdulkareem</w:t>
            </w:r>
            <w:r>
              <w:rPr>
                <w:rFonts w:ascii="Garamond" w:hAnsi="Garamond"/>
                <w:lang w:val="en-AU"/>
              </w:rPr>
              <w:t xml:space="preserve">, </w:t>
            </w:r>
            <w:r w:rsidRPr="002102BC">
              <w:rPr>
                <w:rFonts w:ascii="Garamond" w:hAnsi="Garamond"/>
                <w:lang w:val="en-AU"/>
              </w:rPr>
              <w:t>Tareef Alaama</w:t>
            </w:r>
            <w:r>
              <w:rPr>
                <w:rFonts w:ascii="Garamond" w:hAnsi="Garamond"/>
                <w:lang w:val="en-AU"/>
              </w:rPr>
              <w:t>)</w:t>
            </w:r>
          </w:p>
        </w:tc>
      </w:tr>
    </w:tbl>
    <w:p w:rsidR="002F5579" w:rsidRDefault="002F5579" w:rsidP="00977E92">
      <w:pPr>
        <w:rPr>
          <w:rFonts w:ascii="Garamond" w:hAnsi="Garamond"/>
          <w:b/>
          <w:lang w:val="en-AU"/>
        </w:rPr>
      </w:pPr>
    </w:p>
    <w:p w:rsidR="009D3349" w:rsidRDefault="009D3349"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4112E2" w:rsidRDefault="004112E2" w:rsidP="003A1DC3">
      <w:pPr>
        <w:keepNext/>
        <w:keepLines/>
        <w:rPr>
          <w:rFonts w:ascii="Garamond" w:hAnsi="Garamond"/>
          <w:lang w:val="en-AU"/>
        </w:rPr>
      </w:pPr>
    </w:p>
    <w:p w:rsidR="00253AF1" w:rsidRPr="008F3909" w:rsidRDefault="00253AF1" w:rsidP="00253AF1">
      <w:pPr>
        <w:keepNext/>
        <w:rPr>
          <w:rFonts w:ascii="Garamond" w:hAnsi="Garamond"/>
          <w:i/>
          <w:lang w:val="en-AU"/>
        </w:rPr>
      </w:pPr>
      <w:r>
        <w:rPr>
          <w:rFonts w:ascii="Garamond" w:hAnsi="Garamond"/>
          <w:lang w:val="en-AU"/>
        </w:rPr>
        <w:t>[</w:t>
      </w:r>
      <w:r w:rsidRPr="008F3909">
        <w:rPr>
          <w:rFonts w:ascii="Garamond" w:hAnsi="Garamond"/>
          <w:i/>
          <w:lang w:val="en-AU"/>
        </w:rPr>
        <w:t>UK] NICE Guidelines and Quality Standards</w:t>
      </w:r>
    </w:p>
    <w:p w:rsidR="00253AF1" w:rsidRPr="008F3909" w:rsidRDefault="001F3849" w:rsidP="00253AF1">
      <w:pPr>
        <w:keepNext/>
        <w:rPr>
          <w:rFonts w:ascii="Garamond" w:hAnsi="Garamond"/>
          <w:lang w:val="en-AU"/>
        </w:rPr>
      </w:pPr>
      <w:hyperlink r:id="rId63" w:history="1">
        <w:r w:rsidR="00253AF1" w:rsidRPr="00B91B4F">
          <w:rPr>
            <w:rStyle w:val="Hyperlink"/>
            <w:rFonts w:ascii="Garamond" w:hAnsi="Garamond"/>
            <w:lang w:val="en-AU"/>
          </w:rPr>
          <w:t>https://www.nice.org.uk/guidance</w:t>
        </w:r>
      </w:hyperlink>
    </w:p>
    <w:p w:rsidR="00253AF1" w:rsidRPr="008F3909" w:rsidRDefault="00253AF1" w:rsidP="00253AF1">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2102BC" w:rsidRDefault="002102BC" w:rsidP="002102BC">
      <w:pPr>
        <w:pStyle w:val="ListParagraph"/>
        <w:numPr>
          <w:ilvl w:val="0"/>
          <w:numId w:val="14"/>
        </w:numPr>
        <w:rPr>
          <w:rFonts w:ascii="Garamond" w:hAnsi="Garamond"/>
          <w:lang w:val="en-AU"/>
        </w:rPr>
      </w:pPr>
      <w:r>
        <w:rPr>
          <w:rFonts w:ascii="Garamond" w:hAnsi="Garamond"/>
          <w:lang w:val="en-AU"/>
        </w:rPr>
        <w:t xml:space="preserve">NICE Guideline NG159 </w:t>
      </w:r>
      <w:r w:rsidRPr="002102BC">
        <w:rPr>
          <w:rFonts w:ascii="Garamond" w:hAnsi="Garamond"/>
          <w:b/>
          <w:i/>
          <w:lang w:val="en-AU"/>
        </w:rPr>
        <w:t>COVID-19</w:t>
      </w:r>
      <w:r w:rsidRPr="002102BC">
        <w:rPr>
          <w:rFonts w:ascii="Garamond" w:hAnsi="Garamond"/>
          <w:i/>
          <w:lang w:val="en-AU"/>
        </w:rPr>
        <w:t xml:space="preserve"> rapid guideline: </w:t>
      </w:r>
      <w:r w:rsidRPr="002102BC">
        <w:rPr>
          <w:rFonts w:ascii="Garamond" w:hAnsi="Garamond"/>
          <w:b/>
          <w:i/>
          <w:lang w:val="en-AU"/>
        </w:rPr>
        <w:t>critical care in adults</w:t>
      </w:r>
      <w:r>
        <w:rPr>
          <w:rFonts w:ascii="Garamond" w:hAnsi="Garamond"/>
          <w:lang w:val="en-AU"/>
        </w:rPr>
        <w:t xml:space="preserve"> </w:t>
      </w:r>
      <w:hyperlink r:id="rId64" w:history="1">
        <w:r w:rsidRPr="009A077D">
          <w:rPr>
            <w:rStyle w:val="Hyperlink"/>
            <w:rFonts w:ascii="Garamond" w:hAnsi="Garamond"/>
            <w:lang w:val="en-AU"/>
          </w:rPr>
          <w:t>https://www.nice.org.uk/guidance/ng159</w:t>
        </w:r>
      </w:hyperlink>
    </w:p>
    <w:p w:rsidR="002102BC" w:rsidRDefault="002102BC" w:rsidP="002102BC">
      <w:pPr>
        <w:pStyle w:val="ListParagraph"/>
        <w:numPr>
          <w:ilvl w:val="0"/>
          <w:numId w:val="14"/>
        </w:numPr>
        <w:rPr>
          <w:rFonts w:ascii="Garamond" w:hAnsi="Garamond"/>
          <w:lang w:val="en-AU"/>
        </w:rPr>
      </w:pPr>
      <w:r>
        <w:rPr>
          <w:rFonts w:ascii="Garamond" w:hAnsi="Garamond"/>
          <w:lang w:val="en-AU"/>
        </w:rPr>
        <w:t xml:space="preserve">NICE Guideline NG161 </w:t>
      </w:r>
      <w:r w:rsidRPr="002102BC">
        <w:rPr>
          <w:rFonts w:ascii="Garamond" w:hAnsi="Garamond"/>
          <w:b/>
          <w:i/>
          <w:lang w:val="en-AU"/>
        </w:rPr>
        <w:t>COVID-19</w:t>
      </w:r>
      <w:r w:rsidRPr="002102BC">
        <w:rPr>
          <w:rFonts w:ascii="Garamond" w:hAnsi="Garamond"/>
          <w:i/>
          <w:lang w:val="en-AU"/>
        </w:rPr>
        <w:t xml:space="preserve"> rapid guideline: delivery of </w:t>
      </w:r>
      <w:r w:rsidRPr="002102BC">
        <w:rPr>
          <w:rFonts w:ascii="Garamond" w:hAnsi="Garamond"/>
          <w:b/>
          <w:i/>
          <w:lang w:val="en-AU"/>
        </w:rPr>
        <w:t>systemic anticancer treatments</w:t>
      </w:r>
      <w:r>
        <w:rPr>
          <w:rFonts w:ascii="Garamond" w:hAnsi="Garamond"/>
          <w:lang w:val="en-AU"/>
        </w:rPr>
        <w:t xml:space="preserve"> </w:t>
      </w:r>
      <w:hyperlink r:id="rId65" w:history="1">
        <w:r w:rsidRPr="009A077D">
          <w:rPr>
            <w:rStyle w:val="Hyperlink"/>
            <w:rFonts w:ascii="Garamond" w:hAnsi="Garamond"/>
            <w:lang w:val="en-AU"/>
          </w:rPr>
          <w:t>https://www.nice.org.uk/guidance/ng161</w:t>
        </w:r>
      </w:hyperlink>
    </w:p>
    <w:p w:rsidR="000F1C5A" w:rsidRPr="00265013" w:rsidRDefault="002102BC" w:rsidP="00FB7748">
      <w:pPr>
        <w:pStyle w:val="ListParagraph"/>
        <w:numPr>
          <w:ilvl w:val="0"/>
          <w:numId w:val="14"/>
        </w:numPr>
        <w:rPr>
          <w:rFonts w:ascii="Garamond" w:hAnsi="Garamond"/>
          <w:lang w:val="en-AU"/>
        </w:rPr>
      </w:pPr>
      <w:r w:rsidRPr="00265013">
        <w:rPr>
          <w:rFonts w:ascii="Garamond" w:hAnsi="Garamond"/>
          <w:lang w:val="en-AU"/>
        </w:rPr>
        <w:t xml:space="preserve">NICE Guideline NG162 </w:t>
      </w:r>
      <w:r w:rsidRPr="00265013">
        <w:rPr>
          <w:rFonts w:ascii="Garamond" w:hAnsi="Garamond"/>
          <w:b/>
          <w:i/>
          <w:lang w:val="en-AU"/>
        </w:rPr>
        <w:t>COVID-19</w:t>
      </w:r>
      <w:r w:rsidRPr="00265013">
        <w:rPr>
          <w:rFonts w:ascii="Garamond" w:hAnsi="Garamond"/>
          <w:i/>
          <w:lang w:val="en-AU"/>
        </w:rPr>
        <w:t xml:space="preserve"> rapid guideline: delivery of </w:t>
      </w:r>
      <w:r w:rsidRPr="00265013">
        <w:rPr>
          <w:rFonts w:ascii="Garamond" w:hAnsi="Garamond"/>
          <w:b/>
          <w:i/>
          <w:lang w:val="en-AU"/>
        </w:rPr>
        <w:t>radiotherapy</w:t>
      </w:r>
      <w:r w:rsidRPr="00265013">
        <w:rPr>
          <w:rFonts w:ascii="Garamond" w:hAnsi="Garamond"/>
          <w:i/>
          <w:lang w:val="en-AU"/>
        </w:rPr>
        <w:t xml:space="preserve"> </w:t>
      </w:r>
      <w:hyperlink r:id="rId66" w:history="1">
        <w:r w:rsidRPr="00265013">
          <w:rPr>
            <w:rStyle w:val="Hyperlink"/>
            <w:rFonts w:ascii="Garamond" w:hAnsi="Garamond"/>
            <w:lang w:val="en-AU"/>
          </w:rPr>
          <w:t>https://www.nice.org.uk/guidance/ng162</w:t>
        </w:r>
      </w:hyperlink>
    </w:p>
    <w:p w:rsidR="00232F81" w:rsidRDefault="00232F81" w:rsidP="00B24501">
      <w:pPr>
        <w:rPr>
          <w:rFonts w:ascii="Garamond" w:hAnsi="Garamond"/>
          <w:lang w:val="en-AU"/>
        </w:rPr>
      </w:pPr>
    </w:p>
    <w:p w:rsidR="00767B70" w:rsidRPr="000170DA" w:rsidRDefault="00767B70" w:rsidP="00767B70">
      <w:pPr>
        <w:keepNext/>
        <w:keepLines/>
        <w:rPr>
          <w:rFonts w:ascii="Garamond" w:hAnsi="Garamond"/>
          <w:i/>
          <w:lang w:val="en-AU"/>
        </w:rPr>
      </w:pPr>
      <w:r w:rsidRPr="000170DA">
        <w:rPr>
          <w:rFonts w:ascii="Garamond" w:hAnsi="Garamond"/>
          <w:i/>
          <w:lang w:val="en-AU"/>
        </w:rPr>
        <w:t>[USA] Effective Health Care Program reports</w:t>
      </w:r>
    </w:p>
    <w:p w:rsidR="00767B70" w:rsidRPr="000170DA" w:rsidRDefault="001F3849" w:rsidP="00767B70">
      <w:pPr>
        <w:keepNext/>
        <w:keepLines/>
        <w:rPr>
          <w:rFonts w:ascii="Garamond" w:hAnsi="Garamond"/>
          <w:u w:val="single"/>
          <w:lang w:val="en-AU"/>
        </w:rPr>
      </w:pPr>
      <w:hyperlink r:id="rId67" w:history="1">
        <w:r w:rsidR="00767B70" w:rsidRPr="000170DA">
          <w:rPr>
            <w:rStyle w:val="Hyperlink"/>
            <w:rFonts w:ascii="Garamond" w:hAnsi="Garamond"/>
            <w:lang w:val="en-AU"/>
          </w:rPr>
          <w:t>https://effectivehealthcare.ahrq.gov/</w:t>
        </w:r>
      </w:hyperlink>
    </w:p>
    <w:p w:rsidR="00767B70" w:rsidRDefault="00767B70" w:rsidP="00767B70">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767B70" w:rsidRDefault="00767B70" w:rsidP="00767B70">
      <w:pPr>
        <w:pStyle w:val="ListParagraph"/>
        <w:numPr>
          <w:ilvl w:val="0"/>
          <w:numId w:val="14"/>
        </w:numPr>
        <w:rPr>
          <w:rFonts w:ascii="Garamond" w:hAnsi="Garamond"/>
          <w:lang w:val="en-AU"/>
        </w:rPr>
      </w:pPr>
      <w:r w:rsidRPr="00767B70">
        <w:rPr>
          <w:rFonts w:ascii="Garamond" w:hAnsi="Garamond"/>
          <w:i/>
          <w:lang w:val="en-AU"/>
        </w:rPr>
        <w:t xml:space="preserve">Integrating </w:t>
      </w:r>
      <w:r w:rsidRPr="00767B70">
        <w:rPr>
          <w:rFonts w:ascii="Garamond" w:hAnsi="Garamond"/>
          <w:b/>
          <w:i/>
          <w:lang w:val="en-AU"/>
        </w:rPr>
        <w:t>Palliative Care</w:t>
      </w:r>
      <w:r w:rsidRPr="00767B70">
        <w:rPr>
          <w:rFonts w:ascii="Garamond" w:hAnsi="Garamond"/>
          <w:i/>
          <w:lang w:val="en-AU"/>
        </w:rPr>
        <w:t xml:space="preserve"> in Ambulatory Care of Noncancer Serious Chronic Illness: A Systematic Review </w:t>
      </w:r>
      <w:r>
        <w:rPr>
          <w:rFonts w:ascii="Garamond" w:hAnsi="Garamond"/>
          <w:lang w:val="en-AU"/>
        </w:rPr>
        <w:br/>
      </w:r>
      <w:hyperlink r:id="rId68" w:history="1">
        <w:r w:rsidRPr="008953A3">
          <w:rPr>
            <w:rStyle w:val="Hyperlink"/>
            <w:rFonts w:ascii="Garamond" w:hAnsi="Garamond"/>
            <w:lang w:val="en-AU"/>
          </w:rPr>
          <w:t>https://effectivehealthcare.ahrq.gov/products/palliative-care-integration/research</w:t>
        </w:r>
      </w:hyperlink>
    </w:p>
    <w:p w:rsidR="00925618" w:rsidRDefault="00925618"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9"/>
      <w:footerReference w:type="default" r:id="rId7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748" w:rsidRDefault="00FB7748">
      <w:r>
        <w:separator/>
      </w:r>
    </w:p>
  </w:endnote>
  <w:endnote w:type="continuationSeparator" w:id="0">
    <w:p w:rsidR="00FB7748" w:rsidRDefault="00FB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48" w:rsidRDefault="00FB7748"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3849">
      <w:rPr>
        <w:rStyle w:val="PageNumber"/>
        <w:noProof/>
      </w:rPr>
      <w:t>4</w:t>
    </w:r>
    <w:r>
      <w:rPr>
        <w:rStyle w:val="PageNumber"/>
      </w:rPr>
      <w:fldChar w:fldCharType="end"/>
    </w:r>
  </w:p>
  <w:p w:rsidR="00FB7748" w:rsidRPr="001E78F0" w:rsidRDefault="00FB7748"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48" w:rsidRPr="001E78F0" w:rsidRDefault="00FB7748"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1F3849">
      <w:rPr>
        <w:rStyle w:val="PageNumber"/>
        <w:rFonts w:ascii="Garamond" w:hAnsi="Garamond"/>
        <w:noProof/>
      </w:rPr>
      <w:t>3</w:t>
    </w:r>
    <w:r w:rsidRPr="001E78F0">
      <w:rPr>
        <w:rStyle w:val="PageNumber"/>
        <w:rFonts w:ascii="Garamond" w:hAnsi="Garamond"/>
      </w:rPr>
      <w:fldChar w:fldCharType="end"/>
    </w:r>
  </w:p>
  <w:p w:rsidR="00FB7748" w:rsidRPr="001E78F0" w:rsidRDefault="00FB7748"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500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748" w:rsidRDefault="00FB7748">
      <w:r>
        <w:separator/>
      </w:r>
    </w:p>
  </w:footnote>
  <w:footnote w:type="continuationSeparator" w:id="0">
    <w:p w:rsidR="00FB7748" w:rsidRDefault="00FB7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631AC"/>
    <w:multiLevelType w:val="hybridMultilevel"/>
    <w:tmpl w:val="3812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7F430D"/>
    <w:multiLevelType w:val="hybridMultilevel"/>
    <w:tmpl w:val="0012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20111A"/>
    <w:multiLevelType w:val="hybridMultilevel"/>
    <w:tmpl w:val="8BAA7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A35959"/>
    <w:multiLevelType w:val="hybridMultilevel"/>
    <w:tmpl w:val="DAF6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1352EB"/>
    <w:multiLevelType w:val="hybridMultilevel"/>
    <w:tmpl w:val="3AF08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E3072"/>
    <w:multiLevelType w:val="hybridMultilevel"/>
    <w:tmpl w:val="6B4E0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CF144C"/>
    <w:multiLevelType w:val="hybridMultilevel"/>
    <w:tmpl w:val="98E8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727B28"/>
    <w:multiLevelType w:val="hybridMultilevel"/>
    <w:tmpl w:val="1D7EE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AB7ED8"/>
    <w:multiLevelType w:val="hybridMultilevel"/>
    <w:tmpl w:val="E6B65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C66C20"/>
    <w:multiLevelType w:val="hybridMultilevel"/>
    <w:tmpl w:val="A612A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F63F5"/>
    <w:multiLevelType w:val="hybridMultilevel"/>
    <w:tmpl w:val="011E1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810862"/>
    <w:multiLevelType w:val="hybridMultilevel"/>
    <w:tmpl w:val="B108F822"/>
    <w:lvl w:ilvl="0" w:tplc="EB361A9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8434A4"/>
    <w:multiLevelType w:val="hybridMultilevel"/>
    <w:tmpl w:val="6A6AE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9A5786"/>
    <w:multiLevelType w:val="hybridMultilevel"/>
    <w:tmpl w:val="FB442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442F48"/>
    <w:multiLevelType w:val="hybridMultilevel"/>
    <w:tmpl w:val="20DAB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70F6D"/>
    <w:multiLevelType w:val="hybridMultilevel"/>
    <w:tmpl w:val="E886E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AC593C"/>
    <w:multiLevelType w:val="hybridMultilevel"/>
    <w:tmpl w:val="57666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6519C4"/>
    <w:multiLevelType w:val="hybridMultilevel"/>
    <w:tmpl w:val="5C00D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0E5B68"/>
    <w:multiLevelType w:val="hybridMultilevel"/>
    <w:tmpl w:val="CF60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B35831"/>
    <w:multiLevelType w:val="hybridMultilevel"/>
    <w:tmpl w:val="287EC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45205"/>
    <w:multiLevelType w:val="hybridMultilevel"/>
    <w:tmpl w:val="BE1A5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48137A"/>
    <w:multiLevelType w:val="hybridMultilevel"/>
    <w:tmpl w:val="B8562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0C60B8"/>
    <w:multiLevelType w:val="hybridMultilevel"/>
    <w:tmpl w:val="6100B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9E1313"/>
    <w:multiLevelType w:val="hybridMultilevel"/>
    <w:tmpl w:val="E6F0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404986"/>
    <w:multiLevelType w:val="hybridMultilevel"/>
    <w:tmpl w:val="D5AA8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794BD2"/>
    <w:multiLevelType w:val="hybridMultilevel"/>
    <w:tmpl w:val="F68E3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3"/>
  </w:num>
  <w:num w:numId="15">
    <w:abstractNumId w:val="17"/>
  </w:num>
  <w:num w:numId="16">
    <w:abstractNumId w:val="28"/>
  </w:num>
  <w:num w:numId="17">
    <w:abstractNumId w:val="37"/>
  </w:num>
  <w:num w:numId="18">
    <w:abstractNumId w:val="19"/>
  </w:num>
  <w:num w:numId="19">
    <w:abstractNumId w:val="33"/>
  </w:num>
  <w:num w:numId="20">
    <w:abstractNumId w:val="40"/>
  </w:num>
  <w:num w:numId="21">
    <w:abstractNumId w:val="12"/>
  </w:num>
  <w:num w:numId="22">
    <w:abstractNumId w:val="16"/>
  </w:num>
  <w:num w:numId="23">
    <w:abstractNumId w:val="18"/>
  </w:num>
  <w:num w:numId="24">
    <w:abstractNumId w:val="13"/>
  </w:num>
  <w:num w:numId="25">
    <w:abstractNumId w:val="35"/>
  </w:num>
  <w:num w:numId="26">
    <w:abstractNumId w:val="27"/>
  </w:num>
  <w:num w:numId="27">
    <w:abstractNumId w:val="29"/>
  </w:num>
  <w:num w:numId="28">
    <w:abstractNumId w:val="38"/>
  </w:num>
  <w:num w:numId="29">
    <w:abstractNumId w:val="15"/>
  </w:num>
  <w:num w:numId="30">
    <w:abstractNumId w:val="25"/>
  </w:num>
  <w:num w:numId="31">
    <w:abstractNumId w:val="34"/>
  </w:num>
  <w:num w:numId="32">
    <w:abstractNumId w:val="20"/>
  </w:num>
  <w:num w:numId="33">
    <w:abstractNumId w:val="41"/>
  </w:num>
  <w:num w:numId="34">
    <w:abstractNumId w:val="31"/>
  </w:num>
  <w:num w:numId="35">
    <w:abstractNumId w:val="10"/>
  </w:num>
  <w:num w:numId="36">
    <w:abstractNumId w:val="26"/>
  </w:num>
  <w:num w:numId="37">
    <w:abstractNumId w:val="11"/>
  </w:num>
  <w:num w:numId="38">
    <w:abstractNumId w:val="14"/>
  </w:num>
  <w:num w:numId="39">
    <w:abstractNumId w:val="24"/>
  </w:num>
  <w:num w:numId="40">
    <w:abstractNumId w:val="42"/>
  </w:num>
  <w:num w:numId="41">
    <w:abstractNumId w:val="32"/>
  </w:num>
  <w:num w:numId="42">
    <w:abstractNumId w:val="39"/>
  </w:num>
  <w:num w:numId="4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93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DC3"/>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680"/>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6C8"/>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139"/>
    <w:rsid w:val="00690565"/>
    <w:rsid w:val="006905FA"/>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2F37"/>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2FD"/>
    <w:rsid w:val="00A50624"/>
    <w:rsid w:val="00A50824"/>
    <w:rsid w:val="00A50B72"/>
    <w:rsid w:val="00A50B77"/>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044"/>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76E"/>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0F0"/>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3889"/>
    <o:shapelayout v:ext="edit">
      <o:idmap v:ext="edit" data="1"/>
    </o:shapelayout>
  </w:shapeDefaults>
  <w:decimalSymbol w:val="."/>
  <w:listSeparator w:val=","/>
  <w14:docId w14:val="07CEAEE1"/>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www.safetyandquality.gov.au/publications-and-resources/resource-library/staphylococcus-aureus-bloodstream-infection-data-analysis-information-sheet"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hyperlink" Target="https://www.safetyandquality.gov.au/sites/default/files/2020-07/covid-19_and_face_masks_-_information_for_consumers.pdf" TargetMode="External"/><Relationship Id="rId42" Type="http://schemas.openxmlformats.org/officeDocument/2006/relationships/hyperlink" Target="https://www.safetyandquality.gov.au/our-work/healthcare-associated-infection/national-hai-surveillance-initiative/myhospitals-staphylococcus-aureus-bacteraemia-data" TargetMode="External"/><Relationship Id="rId47" Type="http://schemas.openxmlformats.org/officeDocument/2006/relationships/hyperlink" Target="https://doi.org/10.1371/journal.pone.0221412" TargetMode="External"/><Relationship Id="rId50" Type="http://schemas.openxmlformats.org/officeDocument/2006/relationships/hyperlink" Target="https://doi.org/10.1186/s12939-020-01325-x" TargetMode="External"/><Relationship Id="rId55" Type="http://schemas.openxmlformats.org/officeDocument/2006/relationships/hyperlink" Target="https://www.safetyandquality.gov.au/our-work/partnering-consumers" TargetMode="External"/><Relationship Id="rId63" Type="http://schemas.openxmlformats.org/officeDocument/2006/relationships/hyperlink" Target="https://www.nice.org.uk/guidance" TargetMode="External"/><Relationship Id="rId68" Type="http://schemas.openxmlformats.org/officeDocument/2006/relationships/hyperlink" Target="https://effectivehealthcare.ahrq.gov/products/palliative-care-integration/research"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9" Type="http://schemas.openxmlformats.org/officeDocument/2006/relationships/hyperlink" Target="https://www.safetyandquality.gov.au/node/57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www.aci.health.nsw.gov.au/covid-19/critical-intelligence-unit" TargetMode="External"/><Relationship Id="rId40" Type="http://schemas.openxmlformats.org/officeDocument/2006/relationships/hyperlink" Target="https://www.safetyandquality.gov.au/publications-and-resources/resource-library/implementation-guide-surveillance-staphylococcus-aureus-bacteraemia-0" TargetMode="External"/><Relationship Id="rId45" Type="http://schemas.openxmlformats.org/officeDocument/2006/relationships/hyperlink" Target="https://www.pallcaretas.org.au/advance-care-yarning-guide/" TargetMode="External"/><Relationship Id="rId53" Type="http://schemas.openxmlformats.org/officeDocument/2006/relationships/hyperlink" Target="http://doi.org/10.1056/CAT.20.0305" TargetMode="External"/><Relationship Id="rId58" Type="http://schemas.openxmlformats.org/officeDocument/2006/relationships/hyperlink" Target="https://www.safetyandquality.gov.au/our-work/communicating-safety/clinical-handover" TargetMode="External"/><Relationship Id="rId66" Type="http://schemas.openxmlformats.org/officeDocument/2006/relationships/hyperlink" Target="https://www.nice.org.uk/guidance/ng162" TargetMode="Externa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covid19evidence.net.au/" TargetMode="External"/><Relationship Id="rId49" Type="http://schemas.openxmlformats.org/officeDocument/2006/relationships/hyperlink" Target="https://doi.org/10.3390/pharmacy8040214" TargetMode="External"/><Relationship Id="rId57" Type="http://schemas.openxmlformats.org/officeDocument/2006/relationships/hyperlink" Target="http://doi.org/10.1007/s00068-019-01195-1" TargetMode="External"/><Relationship Id="rId61" Type="http://schemas.openxmlformats.org/officeDocument/2006/relationships/hyperlink" Target="https://qualitysafety.bmj.com/content/early/recent"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aci.health.nsw.gov.au/networks/aged-health/resources/aged-health-services-in-nsw" TargetMode="External"/><Relationship Id="rId52" Type="http://schemas.openxmlformats.org/officeDocument/2006/relationships/hyperlink" Target="https://www.safetyandquality.gov.au/our-work/medication-safety" TargetMode="External"/><Relationship Id="rId60" Type="http://schemas.openxmlformats.org/officeDocument/2006/relationships/hyperlink" Target="https://onlinelibrary.wiley.com/toc/13697625/2021/24/1" TargetMode="External"/><Relationship Id="rId65" Type="http://schemas.openxmlformats.org/officeDocument/2006/relationships/hyperlink" Target="https://www.nice.org.uk/guidance/ng161"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image" Target="media/image4.png"/><Relationship Id="rId43" Type="http://schemas.openxmlformats.org/officeDocument/2006/relationships/hyperlink" Target="https://agedcare.royalcommission.gov.au/publications/research-paper-20-quality-care-experience-and-community-expectations" TargetMode="External"/><Relationship Id="rId48" Type="http://schemas.openxmlformats.org/officeDocument/2006/relationships/hyperlink" Target="http://noharmdonepodcast.com/" TargetMode="External"/><Relationship Id="rId56" Type="http://schemas.openxmlformats.org/officeDocument/2006/relationships/hyperlink" Target="https://doi.org/10.1136/bmjqs-2020-012124" TargetMode="External"/><Relationship Id="rId64" Type="http://schemas.openxmlformats.org/officeDocument/2006/relationships/hyperlink" Target="https://www.nice.org.uk/guidance/ng159" TargetMode="External"/><Relationship Id="rId69"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doi.org/10.1186/s12916-020-01774-9"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wearing-face-masks-community" TargetMode="External"/><Relationship Id="rId38" Type="http://schemas.openxmlformats.org/officeDocument/2006/relationships/hyperlink" Target="https://www.safetyandquality.gov.au/publications-and-resources/resource-library/staphylococcus-aureus-bloodstream-infection-data-analysis-information-sheet" TargetMode="External"/><Relationship Id="rId46" Type="http://schemas.openxmlformats.org/officeDocument/2006/relationships/hyperlink" Target="https://doi.org/10.1001/jamanetworkopen.2019.3976" TargetMode="External"/><Relationship Id="rId59" Type="http://schemas.openxmlformats.org/officeDocument/2006/relationships/hyperlink" Target="https://www.publish.csiro.au/py/issue/10181" TargetMode="External"/><Relationship Id="rId67" Type="http://schemas.openxmlformats.org/officeDocument/2006/relationships/hyperlink" Target="https://effectivehealthcare.ahrq.gov/" TargetMode="External"/><Relationship Id="rId20" Type="http://schemas.openxmlformats.org/officeDocument/2006/relationships/hyperlink" Target="https://www.safetyandquality.gov.au/publications-and-resources/resource-library/special-precautions-covid-19-designated-zones" TargetMode="External"/><Relationship Id="rId41" Type="http://schemas.openxmlformats.org/officeDocument/2006/relationships/hyperlink" Target="https://www.safetyandquality.gov.au/sab" TargetMode="External"/><Relationship Id="rId54" Type="http://schemas.openxmlformats.org/officeDocument/2006/relationships/hyperlink" Target="http://doi.org/10.1097/PTS.0000000000000714" TargetMode="External"/><Relationship Id="rId62" Type="http://schemas.openxmlformats.org/officeDocument/2006/relationships/hyperlink" Target="https://academic.oup.com/intqhc/advance-articles" TargetMode="External"/><Relationship Id="rId7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41B31-92E4-4D2B-A14B-AE54A3DE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14</Pages>
  <Words>6163</Words>
  <Characters>35130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On the Radar Issue 500</vt:lpstr>
    </vt:vector>
  </TitlesOfParts>
  <Company>ACSQHC</Company>
  <LinksUpToDate>false</LinksUpToDate>
  <CharactersWithSpaces>41211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500</dc:title>
  <dc:subject/>
  <dc:creator>Dr Niall Johnson</dc:creator>
  <cp:keywords>On the Radar</cp:keywords>
  <dc:description/>
  <cp:lastModifiedBy>Johnson, Niall</cp:lastModifiedBy>
  <cp:revision>21</cp:revision>
  <cp:lastPrinted>2018-03-02T02:34:00Z</cp:lastPrinted>
  <dcterms:created xsi:type="dcterms:W3CDTF">2021-02-14T23:02:00Z</dcterms:created>
  <dcterms:modified xsi:type="dcterms:W3CDTF">2021-02-21T03:22:00Z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