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w:t>
      </w:r>
      <w:r w:rsidR="00F63671">
        <w:rPr>
          <w:rFonts w:ascii="Garamond" w:hAnsi="Garamond"/>
          <w:color w:val="000000" w:themeColor="text1"/>
          <w:lang w:val="en-AU"/>
        </w:rPr>
        <w:t>7</w:t>
      </w:r>
    </w:p>
    <w:p w:rsidR="00755242" w:rsidRDefault="003B2FFF" w:rsidP="00F738B5">
      <w:pPr>
        <w:rPr>
          <w:rFonts w:ascii="Garamond" w:hAnsi="Garamond"/>
          <w:lang w:val="en-AU"/>
        </w:rPr>
      </w:pPr>
      <w:r>
        <w:rPr>
          <w:rFonts w:ascii="Garamond" w:hAnsi="Garamond"/>
          <w:lang w:val="en-AU"/>
        </w:rPr>
        <w:t>2</w:t>
      </w:r>
      <w:r w:rsidR="00F63671">
        <w:rPr>
          <w:rFonts w:ascii="Garamond" w:hAnsi="Garamond"/>
          <w:lang w:val="en-AU"/>
        </w:rPr>
        <w:t>8</w:t>
      </w:r>
      <w:r w:rsidR="00E66B3F">
        <w:rPr>
          <w:rFonts w:ascii="Garamond" w:hAnsi="Garamond"/>
          <w:lang w:val="en-AU"/>
        </w:rPr>
        <w:t xml:space="preserve"> June</w:t>
      </w:r>
      <w:r w:rsidR="00CC7FAD">
        <w:rPr>
          <w:rFonts w:ascii="Garamond" w:hAnsi="Garamond"/>
          <w:lang w:val="en-AU"/>
        </w:rPr>
        <w:t xml:space="preserve">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FA65D6">
        <w:rPr>
          <w:rFonts w:ascii="Garamond" w:hAnsi="Garamond"/>
          <w:bCs/>
          <w:lang w:val="en-AU"/>
        </w:rPr>
        <w:t>, Jennifer Caldwell</w:t>
      </w:r>
    </w:p>
    <w:p w:rsidR="00A56354" w:rsidRDefault="00A56354" w:rsidP="00275FD0">
      <w:pPr>
        <w:rPr>
          <w:rFonts w:ascii="Garamond" w:hAnsi="Garamond"/>
          <w:lang w:val="en-AU"/>
        </w:rPr>
      </w:pPr>
    </w:p>
    <w:p w:rsidR="00FA65D6" w:rsidRDefault="00FA65D6" w:rsidP="00FA65D6">
      <w:pPr>
        <w:keepNext/>
        <w:keepLines/>
        <w:autoSpaceDE w:val="0"/>
        <w:autoSpaceDN w:val="0"/>
        <w:adjustRightInd w:val="0"/>
        <w:rPr>
          <w:rFonts w:ascii="Garamond" w:hAnsi="Garamond"/>
          <w:b/>
          <w:lang w:val="en-AU"/>
        </w:rPr>
      </w:pPr>
      <w:r>
        <w:rPr>
          <w:rFonts w:ascii="Garamond" w:hAnsi="Garamond"/>
          <w:b/>
          <w:lang w:val="en-AU"/>
        </w:rPr>
        <w:lastRenderedPageBreak/>
        <w:t>Environmental cleaning</w:t>
      </w:r>
    </w:p>
    <w:p w:rsidR="00FA65D6" w:rsidRPr="00FA65D6" w:rsidRDefault="00FA65D6" w:rsidP="00E34A10">
      <w:pPr>
        <w:keepNext/>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simplePos x="0" y="0"/>
            <wp:positionH relativeFrom="column">
              <wp:posOffset>4592320</wp:posOffset>
            </wp:positionH>
            <wp:positionV relativeFrom="paragraph">
              <wp:posOffset>177655</wp:posOffset>
            </wp:positionV>
            <wp:extent cx="2082800" cy="2656840"/>
            <wp:effectExtent l="0" t="0" r="0" b="0"/>
            <wp:wrapTight wrapText="bothSides">
              <wp:wrapPolygon edited="0">
                <wp:start x="0" y="0"/>
                <wp:lineTo x="0" y="21373"/>
                <wp:lineTo x="21337" y="21373"/>
                <wp:lineTo x="21337" y="0"/>
                <wp:lineTo x="0" y="0"/>
              </wp:wrapPolygon>
            </wp:wrapTight>
            <wp:docPr id="6" name="Picture 6" descr="Environmental cleaning principles for small health organisations" title="Environmental cleaning principles for small health organisati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Env cleaning principl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800" cy="26568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Pr="00FA65D6">
          <w:rPr>
            <w:rStyle w:val="Hyperlink"/>
            <w:rFonts w:ascii="Garamond" w:hAnsi="Garamond"/>
            <w:lang w:val="en-AU"/>
          </w:rPr>
          <w:t>https://www.safetyandquality.gov.au/our-work/infection-prevention-and-control/environmental-cleaning-and-infection-prevention-and-control</w:t>
        </w:r>
      </w:hyperlink>
    </w:p>
    <w:p w:rsidR="00FA65D6" w:rsidRDefault="00FA65D6" w:rsidP="00FA65D6">
      <w:pPr>
        <w:keepNext/>
        <w:keepLines/>
        <w:autoSpaceDE w:val="0"/>
        <w:autoSpaceDN w:val="0"/>
        <w:adjustRightInd w:val="0"/>
        <w:rPr>
          <w:rFonts w:ascii="Garamond" w:hAnsi="Garamond"/>
          <w:lang w:val="en-AU"/>
        </w:rPr>
      </w:pPr>
    </w:p>
    <w:p w:rsidR="00FA65D6" w:rsidRPr="00FA65D6" w:rsidRDefault="00FA65D6" w:rsidP="00FA65D6">
      <w:pPr>
        <w:keepNext/>
        <w:keepLines/>
        <w:autoSpaceDE w:val="0"/>
        <w:autoSpaceDN w:val="0"/>
        <w:adjustRightInd w:val="0"/>
        <w:rPr>
          <w:rFonts w:ascii="Garamond" w:hAnsi="Garamond"/>
          <w:lang w:val="en-AU"/>
        </w:rPr>
      </w:pPr>
      <w:r w:rsidRPr="00FA65D6">
        <w:rPr>
          <w:rFonts w:ascii="Garamond" w:hAnsi="Garamond"/>
          <w:lang w:val="en-AU"/>
        </w:rPr>
        <w:t>The Australian Commission on Safety and Quality in Health Care has produced a suite of environmental cleaning resources to support health service organisations in their infection prevention and control activities,</w:t>
      </w:r>
      <w:r>
        <w:rPr>
          <w:rFonts w:ascii="Garamond" w:hAnsi="Garamond"/>
          <w:lang w:val="en-AU"/>
        </w:rPr>
        <w:t xml:space="preserve"> particularly during COVID-19. </w:t>
      </w:r>
      <w:r w:rsidRPr="00FA65D6">
        <w:rPr>
          <w:rFonts w:ascii="Garamond" w:hAnsi="Garamond"/>
          <w:lang w:val="en-AU"/>
        </w:rPr>
        <w:t xml:space="preserve">Two new resources have been added to the existing suite of environmental cleaning resources. </w:t>
      </w:r>
    </w:p>
    <w:p w:rsidR="00FA65D6" w:rsidRPr="00FA65D6" w:rsidRDefault="00FA65D6" w:rsidP="006A2250">
      <w:pPr>
        <w:pStyle w:val="ListParagraph"/>
        <w:keepNext/>
        <w:keepLines/>
        <w:numPr>
          <w:ilvl w:val="0"/>
          <w:numId w:val="20"/>
        </w:numPr>
        <w:autoSpaceDE w:val="0"/>
        <w:autoSpaceDN w:val="0"/>
        <w:adjustRightInd w:val="0"/>
        <w:rPr>
          <w:rFonts w:ascii="Garamond" w:hAnsi="Garamond"/>
          <w:lang w:val="en-AU"/>
        </w:rPr>
      </w:pPr>
      <w:r w:rsidRPr="00FA65D6">
        <w:rPr>
          <w:rFonts w:ascii="Garamond" w:hAnsi="Garamond"/>
          <w:b/>
          <w:i/>
          <w:lang w:val="en-AU"/>
        </w:rPr>
        <w:t>Environmental cleaning principles for small health organisations</w:t>
      </w:r>
      <w:r w:rsidRPr="00FA65D6">
        <w:rPr>
          <w:rFonts w:ascii="Garamond" w:hAnsi="Garamond"/>
          <w:lang w:val="en-AU"/>
        </w:rPr>
        <w:t xml:space="preserve"> has been developed to support the unique needs of small health service organisations to develop environmental cleaning programs. The target audience for this resource includes small health service organisation, such as, but not limited to rural and remote settings, aged care facilities, general medical and dental practices, outpatient or day only procedural services and rehabilitation services. </w:t>
      </w:r>
    </w:p>
    <w:p w:rsidR="00FA65D6" w:rsidRPr="00FA65D6" w:rsidRDefault="00FA65D6" w:rsidP="006A2250">
      <w:pPr>
        <w:pStyle w:val="ListParagraph"/>
        <w:keepNext/>
        <w:keepLines/>
        <w:numPr>
          <w:ilvl w:val="0"/>
          <w:numId w:val="20"/>
        </w:numPr>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1312" behindDoc="1" locked="0" layoutInCell="1" allowOverlap="1">
            <wp:simplePos x="0" y="0"/>
            <wp:positionH relativeFrom="column">
              <wp:posOffset>4592955</wp:posOffset>
            </wp:positionH>
            <wp:positionV relativeFrom="paragraph">
              <wp:posOffset>83675</wp:posOffset>
            </wp:positionV>
            <wp:extent cx="2070000" cy="2674800"/>
            <wp:effectExtent l="0" t="0" r="6985" b="0"/>
            <wp:wrapTight wrapText="bothSides">
              <wp:wrapPolygon edited="0">
                <wp:start x="0" y="0"/>
                <wp:lineTo x="0" y="21385"/>
                <wp:lineTo x="21474" y="21385"/>
                <wp:lineTo x="21474" y="0"/>
                <wp:lineTo x="0" y="0"/>
              </wp:wrapPolygon>
            </wp:wrapTight>
            <wp:docPr id="7" name="Picture 7" descr="Environmental cleaning: Information for cleaners" title="Environmental cleaning: Information for cleane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Env cleaning Cleaner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000" cy="26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5D6">
        <w:rPr>
          <w:rFonts w:ascii="Garamond" w:hAnsi="Garamond"/>
          <w:b/>
          <w:i/>
          <w:lang w:val="en-AU"/>
        </w:rPr>
        <w:t>Environmental cleaning: Information for cleaners</w:t>
      </w:r>
      <w:r w:rsidRPr="00FA65D6">
        <w:rPr>
          <w:rFonts w:ascii="Garamond" w:hAnsi="Garamond"/>
          <w:lang w:val="en-AU"/>
        </w:rPr>
        <w:t xml:space="preserve"> was developed to highlight the importance of cleaners in health service organisations and provide cleaning staff with basic information on the principles of environmental cleaning in health service facilities. The target audience is cleaning staff in all health service organisations, aged care and disability services, clinics and general medical and dental practice.</w:t>
      </w:r>
    </w:p>
    <w:p w:rsidR="00FA65D6" w:rsidRPr="00FA65D6" w:rsidRDefault="00FA65D6" w:rsidP="00FA65D6">
      <w:pPr>
        <w:keepNext/>
        <w:keepLines/>
        <w:autoSpaceDE w:val="0"/>
        <w:autoSpaceDN w:val="0"/>
        <w:adjustRightInd w:val="0"/>
        <w:rPr>
          <w:rFonts w:ascii="Garamond" w:hAnsi="Garamond"/>
          <w:lang w:val="en-AU"/>
        </w:rPr>
      </w:pPr>
    </w:p>
    <w:p w:rsidR="00FA65D6" w:rsidRDefault="00FA65D6" w:rsidP="00FA65D6">
      <w:pPr>
        <w:keepNext/>
        <w:keepLines/>
        <w:autoSpaceDE w:val="0"/>
        <w:autoSpaceDN w:val="0"/>
        <w:adjustRightInd w:val="0"/>
        <w:rPr>
          <w:rFonts w:ascii="Garamond" w:hAnsi="Garamond"/>
          <w:lang w:val="en-AU"/>
        </w:rPr>
      </w:pPr>
      <w:r w:rsidRPr="00FA65D6">
        <w:rPr>
          <w:rFonts w:ascii="Garamond" w:hAnsi="Garamond"/>
          <w:lang w:val="en-AU"/>
        </w:rPr>
        <w:t xml:space="preserve">These resources support the recommendations for environmental cleaning from the National Safety and Quality Health Services standards and the implementation of the environmental cleaning requirements of the </w:t>
      </w:r>
      <w:r w:rsidRPr="00FA65D6">
        <w:rPr>
          <w:rFonts w:ascii="Garamond" w:hAnsi="Garamond"/>
          <w:i/>
          <w:lang w:val="en-AU"/>
        </w:rPr>
        <w:t>Australian Guidelines for the Prevention and Control of Infection in Healthcare</w:t>
      </w:r>
      <w:r w:rsidRPr="00FA65D6">
        <w:rPr>
          <w:rFonts w:ascii="Garamond" w:hAnsi="Garamond"/>
          <w:lang w:val="en-AU"/>
        </w:rPr>
        <w:t>.</w:t>
      </w:r>
    </w:p>
    <w:p w:rsidR="00FA65D6" w:rsidRDefault="00FA65D6" w:rsidP="00E34A10">
      <w:pPr>
        <w:keepNext/>
        <w:keepLines/>
        <w:autoSpaceDE w:val="0"/>
        <w:autoSpaceDN w:val="0"/>
        <w:adjustRightInd w:val="0"/>
        <w:rPr>
          <w:rFonts w:ascii="Garamond" w:hAnsi="Garamond"/>
          <w:lang w:val="en-AU"/>
        </w:rPr>
      </w:pPr>
    </w:p>
    <w:p w:rsidR="00FA65D6" w:rsidRPr="00FA65D6" w:rsidRDefault="00FA65D6" w:rsidP="00E34A10">
      <w:pPr>
        <w:keepNext/>
        <w:keepLines/>
        <w:autoSpaceDE w:val="0"/>
        <w:autoSpaceDN w:val="0"/>
        <w:adjustRightInd w:val="0"/>
        <w:rPr>
          <w:rFonts w:ascii="Garamond" w:hAnsi="Garamond"/>
          <w:lang w:val="en-AU"/>
        </w:rPr>
      </w:pPr>
    </w:p>
    <w:p w:rsidR="00F8243D" w:rsidRDefault="00F8243D" w:rsidP="00E34A10">
      <w:pPr>
        <w:keepNext/>
        <w:keepLines/>
        <w:autoSpaceDE w:val="0"/>
        <w:autoSpaceDN w:val="0"/>
        <w:adjustRightInd w:val="0"/>
        <w:rPr>
          <w:rFonts w:ascii="Garamond" w:hAnsi="Garamond"/>
          <w:b/>
          <w:lang w:val="en-AU"/>
        </w:rPr>
      </w:pPr>
      <w:r>
        <w:rPr>
          <w:rFonts w:ascii="Garamond" w:hAnsi="Garamond"/>
          <w:b/>
          <w:lang w:val="en-AU"/>
        </w:rPr>
        <w:t>Reports</w:t>
      </w:r>
    </w:p>
    <w:p w:rsidR="00F8243D" w:rsidRDefault="00F8243D" w:rsidP="00F8243D">
      <w:pPr>
        <w:keepNext/>
        <w:keepLines/>
        <w:autoSpaceDE w:val="0"/>
        <w:autoSpaceDN w:val="0"/>
        <w:adjustRightInd w:val="0"/>
        <w:rPr>
          <w:rFonts w:ascii="Garamond" w:hAnsi="Garamond"/>
          <w:i/>
          <w:lang w:val="en-AU"/>
        </w:rPr>
      </w:pPr>
    </w:p>
    <w:p w:rsidR="00011712" w:rsidRPr="00B524BD" w:rsidRDefault="00011712" w:rsidP="00011712">
      <w:pPr>
        <w:keepNext/>
        <w:keepLines/>
        <w:autoSpaceDE w:val="0"/>
        <w:autoSpaceDN w:val="0"/>
        <w:adjustRightInd w:val="0"/>
        <w:rPr>
          <w:rFonts w:ascii="Garamond" w:hAnsi="Garamond"/>
          <w:i/>
          <w:lang w:val="en-AU"/>
        </w:rPr>
      </w:pPr>
      <w:r w:rsidRPr="00B524BD">
        <w:rPr>
          <w:rFonts w:ascii="Garamond" w:hAnsi="Garamond"/>
          <w:i/>
          <w:lang w:val="en-AU"/>
        </w:rPr>
        <w:t>Towards a sustainable funding model for telehealth in Australia</w:t>
      </w:r>
    </w:p>
    <w:p w:rsidR="00011712" w:rsidRDefault="00011712" w:rsidP="00011712">
      <w:pPr>
        <w:keepNext/>
        <w:keepLines/>
        <w:autoSpaceDE w:val="0"/>
        <w:autoSpaceDN w:val="0"/>
        <w:adjustRightInd w:val="0"/>
        <w:rPr>
          <w:rFonts w:ascii="Garamond" w:hAnsi="Garamond"/>
          <w:lang w:val="en-AU"/>
        </w:rPr>
      </w:pPr>
      <w:r w:rsidRPr="00B524BD">
        <w:rPr>
          <w:rFonts w:ascii="Garamond" w:hAnsi="Garamond"/>
          <w:lang w:val="en-AU"/>
        </w:rPr>
        <w:t>Deeble Institute Issues Brief No. 43</w:t>
      </w:r>
    </w:p>
    <w:p w:rsidR="00011712" w:rsidRDefault="00011712" w:rsidP="00011712">
      <w:pPr>
        <w:keepNext/>
        <w:keepLines/>
        <w:autoSpaceDE w:val="0"/>
        <w:autoSpaceDN w:val="0"/>
        <w:adjustRightInd w:val="0"/>
        <w:rPr>
          <w:rFonts w:ascii="Garamond" w:hAnsi="Garamond"/>
          <w:lang w:val="en-AU"/>
        </w:rPr>
      </w:pPr>
      <w:r w:rsidRPr="00B524BD">
        <w:rPr>
          <w:rFonts w:ascii="Garamond" w:hAnsi="Garamond"/>
          <w:lang w:val="en-AU"/>
        </w:rPr>
        <w:t>Tran M, Haddock R</w:t>
      </w:r>
    </w:p>
    <w:p w:rsidR="00011712" w:rsidRDefault="00011712" w:rsidP="00011712">
      <w:pPr>
        <w:keepNext/>
        <w:keepLines/>
        <w:autoSpaceDE w:val="0"/>
        <w:autoSpaceDN w:val="0"/>
        <w:adjustRightInd w:val="0"/>
        <w:rPr>
          <w:rFonts w:ascii="Garamond" w:hAnsi="Garamond"/>
          <w:lang w:val="en-AU"/>
        </w:rPr>
      </w:pPr>
      <w:r w:rsidRPr="00B524BD">
        <w:rPr>
          <w:rFonts w:ascii="Garamond" w:hAnsi="Garamond"/>
          <w:lang w:val="en-AU"/>
        </w:rPr>
        <w:t>Canberra: Australian Healthcare and Hospitals Association; 2021. p. 45.</w:t>
      </w:r>
    </w:p>
    <w:tbl>
      <w:tblPr>
        <w:tblStyle w:val="TableGrid"/>
        <w:tblW w:w="9360" w:type="dxa"/>
        <w:tblInd w:w="288" w:type="dxa"/>
        <w:tblLayout w:type="fixed"/>
        <w:tblLook w:val="01E0" w:firstRow="1" w:lastRow="1" w:firstColumn="1" w:lastColumn="1" w:noHBand="0" w:noVBand="0"/>
      </w:tblPr>
      <w:tblGrid>
        <w:gridCol w:w="1080"/>
        <w:gridCol w:w="8280"/>
      </w:tblGrid>
      <w:tr w:rsidR="00011712" w:rsidRPr="000170DA" w:rsidTr="003B50FC">
        <w:tc>
          <w:tcPr>
            <w:tcW w:w="1080" w:type="dxa"/>
            <w:tcBorders>
              <w:top w:val="single" w:sz="4" w:space="0" w:color="auto"/>
              <w:left w:val="single" w:sz="4" w:space="0" w:color="auto"/>
              <w:bottom w:val="single" w:sz="4" w:space="0" w:color="auto"/>
              <w:right w:val="single" w:sz="4" w:space="0" w:color="auto"/>
            </w:tcBorders>
            <w:vAlign w:val="center"/>
          </w:tcPr>
          <w:p w:rsidR="00011712" w:rsidRPr="000170DA" w:rsidRDefault="00011712" w:rsidP="003B50F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1712" w:rsidRPr="000170DA" w:rsidRDefault="00204C6E" w:rsidP="003B50FC">
            <w:pPr>
              <w:keepNext/>
              <w:rPr>
                <w:rStyle w:val="Hyperlink"/>
                <w:rFonts w:ascii="Garamond" w:hAnsi="Garamond"/>
                <w:color w:val="auto"/>
                <w:u w:val="none"/>
                <w:lang w:val="en-AU"/>
              </w:rPr>
            </w:pPr>
            <w:hyperlink r:id="rId19" w:history="1">
              <w:r w:rsidR="00011712" w:rsidRPr="00E752BE">
                <w:rPr>
                  <w:rStyle w:val="Hyperlink"/>
                  <w:rFonts w:ascii="Garamond" w:hAnsi="Garamond"/>
                  <w:lang w:val="en-AU"/>
                </w:rPr>
                <w:t>https://ahha.asn.au/publication/health-policy-issue-briefs/deeble-issues-brief-no-43-towards-sustainable-funding-model</w:t>
              </w:r>
            </w:hyperlink>
          </w:p>
        </w:tc>
      </w:tr>
      <w:tr w:rsidR="00011712" w:rsidRPr="000170DA" w:rsidTr="003B50FC">
        <w:tc>
          <w:tcPr>
            <w:tcW w:w="1080" w:type="dxa"/>
            <w:tcBorders>
              <w:top w:val="single" w:sz="4" w:space="0" w:color="auto"/>
              <w:left w:val="single" w:sz="4" w:space="0" w:color="auto"/>
              <w:bottom w:val="single" w:sz="4" w:space="0" w:color="auto"/>
              <w:right w:val="single" w:sz="4" w:space="0" w:color="auto"/>
            </w:tcBorders>
            <w:vAlign w:val="center"/>
          </w:tcPr>
          <w:p w:rsidR="00011712" w:rsidRPr="000170DA" w:rsidRDefault="00011712" w:rsidP="003B50F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1712" w:rsidRDefault="00011712" w:rsidP="003B50FC">
            <w:pPr>
              <w:rPr>
                <w:rFonts w:ascii="Garamond" w:hAnsi="Garamond"/>
                <w:lang w:val="en-AU"/>
              </w:rPr>
            </w:pPr>
            <w:r>
              <w:rPr>
                <w:rFonts w:ascii="Garamond" w:hAnsi="Garamond"/>
                <w:lang w:val="en-AU"/>
              </w:rPr>
              <w:t xml:space="preserve">The COVID-19 pandemic saw the rapid expansion of the use of telehealth. </w:t>
            </w:r>
            <w:r w:rsidRPr="00B524BD">
              <w:rPr>
                <w:rFonts w:ascii="Garamond" w:hAnsi="Garamond"/>
                <w:lang w:val="en-AU"/>
              </w:rPr>
              <w:t>This issues brief from the Australian Healthcare and Hospitals Association’s Deeble Institute examines the</w:t>
            </w:r>
            <w:r>
              <w:rPr>
                <w:rFonts w:ascii="Garamond" w:hAnsi="Garamond"/>
                <w:lang w:val="en-AU"/>
              </w:rPr>
              <w:t xml:space="preserve"> implications of telehealth, particularly the costs for Australia’s health system. The brief has a number of recommendations aimed at ensuring the quality and value of care delivered by telehealth. The recommendations include:</w:t>
            </w:r>
          </w:p>
          <w:p w:rsidR="00011712" w:rsidRDefault="00011712" w:rsidP="006A2250">
            <w:pPr>
              <w:pStyle w:val="ListParagraph"/>
              <w:numPr>
                <w:ilvl w:val="0"/>
                <w:numId w:val="17"/>
              </w:numPr>
              <w:rPr>
                <w:rFonts w:ascii="Garamond" w:hAnsi="Garamond"/>
                <w:lang w:val="en-AU"/>
              </w:rPr>
            </w:pPr>
            <w:r w:rsidRPr="00B524BD">
              <w:rPr>
                <w:rFonts w:ascii="Garamond" w:hAnsi="Garamond"/>
                <w:lang w:val="en-AU"/>
              </w:rPr>
              <w:t>Blend payment methods for telehealth such as bundled payments and add-on payments to improve efficiency and reduce unnecessary costs</w:t>
            </w:r>
          </w:p>
          <w:p w:rsidR="00011712" w:rsidRDefault="00011712" w:rsidP="006A2250">
            <w:pPr>
              <w:pStyle w:val="ListParagraph"/>
              <w:numPr>
                <w:ilvl w:val="0"/>
                <w:numId w:val="17"/>
              </w:numPr>
              <w:rPr>
                <w:rFonts w:ascii="Garamond" w:hAnsi="Garamond"/>
                <w:lang w:val="en-AU"/>
              </w:rPr>
            </w:pPr>
            <w:r w:rsidRPr="00B524BD">
              <w:rPr>
                <w:rFonts w:ascii="Garamond" w:hAnsi="Garamond"/>
                <w:lang w:val="en-AU"/>
              </w:rPr>
              <w:t>Reviewing MBS telehealth items and re-directing funding towards high value services to reduce unwarranted variation</w:t>
            </w:r>
          </w:p>
          <w:p w:rsidR="00011712" w:rsidRDefault="00011712" w:rsidP="006A2250">
            <w:pPr>
              <w:pStyle w:val="ListParagraph"/>
              <w:numPr>
                <w:ilvl w:val="0"/>
                <w:numId w:val="17"/>
              </w:numPr>
              <w:rPr>
                <w:rFonts w:ascii="Garamond" w:hAnsi="Garamond"/>
                <w:lang w:val="en-AU"/>
              </w:rPr>
            </w:pPr>
            <w:r w:rsidRPr="00B524BD">
              <w:rPr>
                <w:rFonts w:ascii="Garamond" w:hAnsi="Garamond"/>
                <w:lang w:val="en-AU"/>
              </w:rPr>
              <w:t>Monitoring and evaluating the impacts of telehealth services on secondary care</w:t>
            </w:r>
          </w:p>
          <w:p w:rsidR="00011712" w:rsidRDefault="00011712" w:rsidP="006A2250">
            <w:pPr>
              <w:pStyle w:val="ListParagraph"/>
              <w:numPr>
                <w:ilvl w:val="0"/>
                <w:numId w:val="17"/>
              </w:numPr>
              <w:rPr>
                <w:rFonts w:ascii="Garamond" w:hAnsi="Garamond"/>
                <w:lang w:val="en-AU"/>
              </w:rPr>
            </w:pPr>
            <w:r w:rsidRPr="00B524BD">
              <w:rPr>
                <w:rFonts w:ascii="Garamond" w:hAnsi="Garamond"/>
                <w:lang w:val="en-AU"/>
              </w:rPr>
              <w:t>Establish a primary care dataset, linkable to hospital and aged care data to support evidence-based funding reforms</w:t>
            </w:r>
          </w:p>
          <w:p w:rsidR="00011712" w:rsidRPr="00B524BD" w:rsidRDefault="00011712" w:rsidP="006A2250">
            <w:pPr>
              <w:pStyle w:val="ListParagraph"/>
              <w:numPr>
                <w:ilvl w:val="0"/>
                <w:numId w:val="17"/>
              </w:numPr>
              <w:rPr>
                <w:rFonts w:ascii="Garamond" w:hAnsi="Garamond"/>
                <w:lang w:val="en-AU"/>
              </w:rPr>
            </w:pPr>
            <w:r w:rsidRPr="00B524BD">
              <w:rPr>
                <w:rFonts w:ascii="Garamond" w:hAnsi="Garamond"/>
                <w:lang w:val="en-AU"/>
              </w:rPr>
              <w:t>Develop national telehealth standards to promote safe and high quality care</w:t>
            </w:r>
            <w:r>
              <w:rPr>
                <w:rFonts w:ascii="Garamond" w:hAnsi="Garamond"/>
                <w:lang w:val="en-AU"/>
              </w:rPr>
              <w:t>.</w:t>
            </w:r>
          </w:p>
        </w:tc>
      </w:tr>
    </w:tbl>
    <w:p w:rsidR="00AC3A56" w:rsidRPr="003C7C95" w:rsidRDefault="003C7C95" w:rsidP="003C7C95">
      <w:pPr>
        <w:keepNext/>
        <w:keepLines/>
        <w:autoSpaceDE w:val="0"/>
        <w:autoSpaceDN w:val="0"/>
        <w:adjustRightInd w:val="0"/>
        <w:rPr>
          <w:rFonts w:ascii="Garamond" w:hAnsi="Garamond"/>
          <w:i/>
          <w:lang w:val="en-AU"/>
        </w:rPr>
      </w:pPr>
      <w:r w:rsidRPr="003C7C95">
        <w:rPr>
          <w:rFonts w:ascii="Garamond" w:hAnsi="Garamond"/>
          <w:i/>
          <w:lang w:val="en-AU"/>
        </w:rPr>
        <w:t>Whole System Quality: A Unified Approach to Building Responsive, Resilient Health Care Systems</w:t>
      </w:r>
    </w:p>
    <w:p w:rsidR="00A9304C" w:rsidRDefault="00A9304C" w:rsidP="00A9304C">
      <w:pPr>
        <w:keepNext/>
        <w:keepLines/>
        <w:autoSpaceDE w:val="0"/>
        <w:autoSpaceDN w:val="0"/>
        <w:adjustRightInd w:val="0"/>
        <w:rPr>
          <w:rFonts w:ascii="Garamond" w:hAnsi="Garamond"/>
          <w:lang w:val="en-AU"/>
        </w:rPr>
      </w:pPr>
      <w:r w:rsidRPr="00A9304C">
        <w:rPr>
          <w:rFonts w:ascii="Garamond" w:hAnsi="Garamond"/>
          <w:lang w:val="en-AU"/>
        </w:rPr>
        <w:t>IHI White Paper</w:t>
      </w:r>
    </w:p>
    <w:p w:rsidR="00A9304C" w:rsidRDefault="00A9304C" w:rsidP="00A9304C">
      <w:pPr>
        <w:keepNext/>
        <w:keepLines/>
        <w:autoSpaceDE w:val="0"/>
        <w:autoSpaceDN w:val="0"/>
        <w:adjustRightInd w:val="0"/>
        <w:rPr>
          <w:rFonts w:ascii="Garamond" w:hAnsi="Garamond"/>
          <w:lang w:val="en-AU"/>
        </w:rPr>
      </w:pPr>
      <w:r w:rsidRPr="00A9304C">
        <w:rPr>
          <w:rFonts w:ascii="Garamond" w:hAnsi="Garamond"/>
          <w:lang w:val="en-AU"/>
        </w:rPr>
        <w:t>Sampath B, Rakover J, Baldoza K, Mate KS, Lenoci-Edwards J, Barker P</w:t>
      </w:r>
    </w:p>
    <w:p w:rsidR="00A9304C" w:rsidRPr="00A9304C" w:rsidRDefault="00A9304C" w:rsidP="00A9304C">
      <w:pPr>
        <w:keepNext/>
        <w:keepLines/>
        <w:autoSpaceDE w:val="0"/>
        <w:autoSpaceDN w:val="0"/>
        <w:adjustRightInd w:val="0"/>
        <w:rPr>
          <w:rFonts w:ascii="Garamond" w:hAnsi="Garamond"/>
          <w:lang w:val="en-AU"/>
        </w:rPr>
      </w:pPr>
      <w:r w:rsidRPr="00A9304C">
        <w:rPr>
          <w:rFonts w:ascii="Garamond" w:hAnsi="Garamond"/>
          <w:lang w:val="en-AU"/>
        </w:rPr>
        <w:t>Boston: Institute for Healthcare Improvement; 2021. p. 54.</w:t>
      </w:r>
    </w:p>
    <w:tbl>
      <w:tblPr>
        <w:tblStyle w:val="TableGrid"/>
        <w:tblW w:w="9360" w:type="dxa"/>
        <w:tblInd w:w="288" w:type="dxa"/>
        <w:tblLayout w:type="fixed"/>
        <w:tblLook w:val="01E0" w:firstRow="1" w:lastRow="1" w:firstColumn="1" w:lastColumn="1" w:noHBand="0" w:noVBand="0"/>
      </w:tblPr>
      <w:tblGrid>
        <w:gridCol w:w="1080"/>
        <w:gridCol w:w="8280"/>
      </w:tblGrid>
      <w:tr w:rsidR="00AC3A56" w:rsidRPr="000170DA" w:rsidTr="00E064D9">
        <w:tc>
          <w:tcPr>
            <w:tcW w:w="1080" w:type="dxa"/>
            <w:tcBorders>
              <w:top w:val="single" w:sz="4" w:space="0" w:color="auto"/>
              <w:left w:val="single" w:sz="4" w:space="0" w:color="auto"/>
              <w:bottom w:val="single" w:sz="4" w:space="0" w:color="auto"/>
              <w:right w:val="single" w:sz="4" w:space="0" w:color="auto"/>
            </w:tcBorders>
            <w:vAlign w:val="center"/>
          </w:tcPr>
          <w:p w:rsidR="00AC3A56" w:rsidRPr="000170DA" w:rsidRDefault="00AC3A56" w:rsidP="00E064D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3A56" w:rsidRPr="000170DA" w:rsidRDefault="00204C6E" w:rsidP="00E064D9">
            <w:pPr>
              <w:keepNext/>
              <w:rPr>
                <w:rStyle w:val="Hyperlink"/>
                <w:rFonts w:ascii="Garamond" w:hAnsi="Garamond"/>
                <w:color w:val="auto"/>
                <w:u w:val="none"/>
                <w:lang w:val="en-AU"/>
              </w:rPr>
            </w:pPr>
            <w:hyperlink r:id="rId20" w:history="1">
              <w:r w:rsidR="0094431B" w:rsidRPr="00E752BE">
                <w:rPr>
                  <w:rStyle w:val="Hyperlink"/>
                  <w:rFonts w:ascii="Garamond" w:hAnsi="Garamond"/>
                  <w:lang w:val="en-AU"/>
                </w:rPr>
                <w:t>http://www.ihi.org/resources/Pages/IHIWhitePapers/whole-system-quality.aspx</w:t>
              </w:r>
            </w:hyperlink>
          </w:p>
        </w:tc>
      </w:tr>
      <w:tr w:rsidR="00AC3A56" w:rsidRPr="000170DA" w:rsidTr="00E064D9">
        <w:tc>
          <w:tcPr>
            <w:tcW w:w="1080" w:type="dxa"/>
            <w:tcBorders>
              <w:top w:val="single" w:sz="4" w:space="0" w:color="auto"/>
              <w:left w:val="single" w:sz="4" w:space="0" w:color="auto"/>
              <w:bottom w:val="single" w:sz="4" w:space="0" w:color="auto"/>
              <w:right w:val="single" w:sz="4" w:space="0" w:color="auto"/>
            </w:tcBorders>
            <w:vAlign w:val="center"/>
          </w:tcPr>
          <w:p w:rsidR="00AC3A56" w:rsidRPr="000170DA" w:rsidRDefault="00AC3A56" w:rsidP="00E064D9">
            <w:pPr>
              <w:rPr>
                <w:rFonts w:ascii="Garamond" w:hAnsi="Garamond"/>
                <w:lang w:val="en-AU" w:eastAsia="en-AU"/>
              </w:rPr>
            </w:pPr>
            <w:r w:rsidRPr="000170DA">
              <w:rPr>
                <w:rFonts w:ascii="Garamond" w:hAnsi="Garamond"/>
                <w:lang w:val="en-AU" w:eastAsia="en-AU"/>
              </w:rPr>
              <w:lastRenderedPageBreak/>
              <w:t>Notes</w:t>
            </w:r>
          </w:p>
        </w:tc>
        <w:tc>
          <w:tcPr>
            <w:tcW w:w="8280" w:type="dxa"/>
            <w:tcBorders>
              <w:top w:val="single" w:sz="4" w:space="0" w:color="auto"/>
              <w:left w:val="single" w:sz="4" w:space="0" w:color="auto"/>
              <w:bottom w:val="single" w:sz="4" w:space="0" w:color="auto"/>
              <w:right w:val="single" w:sz="4" w:space="0" w:color="auto"/>
            </w:tcBorders>
            <w:vAlign w:val="center"/>
          </w:tcPr>
          <w:p w:rsidR="00285271" w:rsidRPr="00285271" w:rsidRDefault="00A9304C" w:rsidP="00285271">
            <w:pPr>
              <w:rPr>
                <w:rFonts w:ascii="Garamond" w:hAnsi="Garamond"/>
                <w:lang w:val="en-AU"/>
              </w:rPr>
            </w:pPr>
            <w:r>
              <w:rPr>
                <w:rFonts w:ascii="Garamond" w:hAnsi="Garamond"/>
                <w:lang w:val="en-AU"/>
              </w:rPr>
              <w:t xml:space="preserve">The Institute for Healthcare Improvement in the USA has released this white paper </w:t>
            </w:r>
            <w:r w:rsidR="00285271">
              <w:rPr>
                <w:rFonts w:ascii="Garamond" w:hAnsi="Garamond"/>
                <w:lang w:val="en-AU"/>
              </w:rPr>
              <w:t>proposing ‘</w:t>
            </w:r>
            <w:r w:rsidR="00285271" w:rsidRPr="00285271">
              <w:rPr>
                <w:rFonts w:ascii="Garamond" w:hAnsi="Garamond"/>
                <w:lang w:val="en-AU"/>
              </w:rPr>
              <w:t>a more holistic approach to quality management — whole system quality</w:t>
            </w:r>
            <w:r w:rsidR="00285271">
              <w:rPr>
                <w:rFonts w:ascii="Garamond" w:hAnsi="Garamond"/>
                <w:lang w:val="en-AU"/>
              </w:rPr>
              <w:t>’</w:t>
            </w:r>
            <w:r w:rsidR="00285271" w:rsidRPr="00285271">
              <w:rPr>
                <w:rFonts w:ascii="Garamond" w:hAnsi="Garamond"/>
                <w:lang w:val="en-AU"/>
              </w:rPr>
              <w:t xml:space="preserve"> — t</w:t>
            </w:r>
            <w:r w:rsidR="00285271">
              <w:rPr>
                <w:rFonts w:ascii="Garamond" w:hAnsi="Garamond"/>
                <w:lang w:val="en-AU"/>
              </w:rPr>
              <w:t>o</w:t>
            </w:r>
            <w:r w:rsidR="00285271" w:rsidRPr="00285271">
              <w:rPr>
                <w:rFonts w:ascii="Garamond" w:hAnsi="Garamond"/>
                <w:lang w:val="en-AU"/>
              </w:rPr>
              <w:t xml:space="preserve"> enable </w:t>
            </w:r>
            <w:r w:rsidR="00285271">
              <w:rPr>
                <w:rFonts w:ascii="Garamond" w:hAnsi="Garamond"/>
                <w:lang w:val="en-AU"/>
              </w:rPr>
              <w:t>health organis</w:t>
            </w:r>
            <w:r w:rsidR="00285271" w:rsidRPr="00285271">
              <w:rPr>
                <w:rFonts w:ascii="Garamond" w:hAnsi="Garamond"/>
                <w:lang w:val="en-AU"/>
              </w:rPr>
              <w:t xml:space="preserve">ations to </w:t>
            </w:r>
            <w:r w:rsidR="00285271">
              <w:rPr>
                <w:rFonts w:ascii="Garamond" w:hAnsi="Garamond"/>
                <w:lang w:val="en-AU"/>
              </w:rPr>
              <w:t>‘</w:t>
            </w:r>
            <w:r w:rsidR="00285271" w:rsidRPr="00285271">
              <w:rPr>
                <w:rFonts w:ascii="Garamond" w:hAnsi="Garamond"/>
                <w:lang w:val="en-AU"/>
              </w:rPr>
              <w:t>close the gap between the quality that customers are currently receiving and the quality that they could be receiving by integrating quality planning, quality control, and quality improvement activities across multiple levels of the system.</w:t>
            </w:r>
            <w:r w:rsidR="00285271">
              <w:rPr>
                <w:rFonts w:ascii="Garamond" w:hAnsi="Garamond"/>
                <w:lang w:val="en-AU"/>
              </w:rPr>
              <w:t>’</w:t>
            </w:r>
          </w:p>
          <w:p w:rsidR="00285271" w:rsidRPr="00285271" w:rsidRDefault="00285271" w:rsidP="00285271">
            <w:pPr>
              <w:rPr>
                <w:rFonts w:ascii="Garamond" w:hAnsi="Garamond"/>
                <w:lang w:val="en-AU"/>
              </w:rPr>
            </w:pPr>
            <w:r>
              <w:rPr>
                <w:rFonts w:ascii="Garamond" w:hAnsi="Garamond"/>
                <w:lang w:val="en-AU"/>
              </w:rPr>
              <w:t>According to the IHI, ‘</w:t>
            </w:r>
            <w:r w:rsidRPr="00285271">
              <w:rPr>
                <w:rFonts w:ascii="Garamond" w:hAnsi="Garamond"/>
                <w:lang w:val="en-AU"/>
              </w:rPr>
              <w:t>Whole system quality requires leadership principles and practices that foster a culture of learning to reliably and sustainably meet the evolving needs of patients, populations, and communities. The paper details how these leadership principles and management practices can enable health systems to pursue quality — with ambition, alignment, and agility — through a commitment to learning.</w:t>
            </w:r>
            <w:r>
              <w:rPr>
                <w:rFonts w:ascii="Garamond" w:hAnsi="Garamond"/>
                <w:lang w:val="en-AU"/>
              </w:rPr>
              <w:t>’</w:t>
            </w:r>
          </w:p>
          <w:p w:rsidR="00285271" w:rsidRPr="00285271" w:rsidRDefault="00285271" w:rsidP="00285271">
            <w:pPr>
              <w:rPr>
                <w:rFonts w:ascii="Garamond" w:hAnsi="Garamond"/>
                <w:lang w:val="en-AU"/>
              </w:rPr>
            </w:pPr>
            <w:r w:rsidRPr="00285271">
              <w:rPr>
                <w:rFonts w:ascii="Garamond" w:hAnsi="Garamond"/>
                <w:lang w:val="en-AU"/>
              </w:rPr>
              <w:t>The white paper includes the following:</w:t>
            </w:r>
          </w:p>
          <w:p w:rsidR="00285271" w:rsidRPr="00285271" w:rsidRDefault="00285271" w:rsidP="006A2250">
            <w:pPr>
              <w:pStyle w:val="ListParagraph"/>
              <w:numPr>
                <w:ilvl w:val="0"/>
                <w:numId w:val="18"/>
              </w:numPr>
              <w:rPr>
                <w:rFonts w:ascii="Garamond" w:hAnsi="Garamond"/>
                <w:lang w:val="en-AU"/>
              </w:rPr>
            </w:pPr>
            <w:r w:rsidRPr="00285271">
              <w:rPr>
                <w:rFonts w:ascii="Garamond" w:hAnsi="Garamond"/>
                <w:lang w:val="en-AU"/>
              </w:rPr>
              <w:t>Definitions for whole system quality and the leadership principles required to support this approach</w:t>
            </w:r>
          </w:p>
          <w:p w:rsidR="00285271" w:rsidRPr="00285271" w:rsidRDefault="00285271" w:rsidP="006A2250">
            <w:pPr>
              <w:pStyle w:val="ListParagraph"/>
              <w:numPr>
                <w:ilvl w:val="0"/>
                <w:numId w:val="18"/>
              </w:numPr>
              <w:rPr>
                <w:rFonts w:ascii="Garamond" w:hAnsi="Garamond"/>
                <w:lang w:val="en-AU"/>
              </w:rPr>
            </w:pPr>
            <w:r w:rsidRPr="00285271">
              <w:rPr>
                <w:rFonts w:ascii="Garamond" w:hAnsi="Garamond"/>
                <w:lang w:val="en-AU"/>
              </w:rPr>
              <w:t>A description of how whole system quality links to customer needs, organizational vision, and quality strategy</w:t>
            </w:r>
          </w:p>
          <w:p w:rsidR="00285271" w:rsidRPr="00285271" w:rsidRDefault="00285271" w:rsidP="006A2250">
            <w:pPr>
              <w:pStyle w:val="ListParagraph"/>
              <w:numPr>
                <w:ilvl w:val="0"/>
                <w:numId w:val="18"/>
              </w:numPr>
              <w:rPr>
                <w:rFonts w:ascii="Garamond" w:hAnsi="Garamond"/>
                <w:lang w:val="en-AU"/>
              </w:rPr>
            </w:pPr>
            <w:r w:rsidRPr="00285271">
              <w:rPr>
                <w:rFonts w:ascii="Garamond" w:hAnsi="Garamond"/>
                <w:lang w:val="en-AU"/>
              </w:rPr>
              <w:t>Detailed descriptions of three interrelated components — quality planning, quality improvement, and quality control — that inform a more holistic whole system quality approach</w:t>
            </w:r>
          </w:p>
          <w:p w:rsidR="00A9304C" w:rsidRPr="00285271" w:rsidRDefault="00285271" w:rsidP="006A2250">
            <w:pPr>
              <w:pStyle w:val="ListParagraph"/>
              <w:numPr>
                <w:ilvl w:val="0"/>
                <w:numId w:val="18"/>
              </w:numPr>
              <w:rPr>
                <w:rFonts w:ascii="Garamond" w:hAnsi="Garamond"/>
                <w:lang w:val="en-AU"/>
              </w:rPr>
            </w:pPr>
            <w:r w:rsidRPr="00285271">
              <w:rPr>
                <w:rFonts w:ascii="Garamond" w:hAnsi="Garamond"/>
                <w:lang w:val="en-AU"/>
              </w:rPr>
              <w:t>A proposed set of simultaneous activities that health care organizations can undertake to build a foundation for the transition to whole system quality’</w:t>
            </w:r>
          </w:p>
          <w:p w:rsidR="00D56BF5" w:rsidRDefault="00D56BF5" w:rsidP="00B768A1">
            <w:pPr>
              <w:rPr>
                <w:rFonts w:ascii="Garamond" w:hAnsi="Garamond"/>
                <w:lang w:val="en-AU"/>
              </w:rPr>
            </w:pPr>
          </w:p>
          <w:p w:rsidR="00D35AF7" w:rsidRDefault="00D35AF7" w:rsidP="00B768A1">
            <w:pPr>
              <w:rPr>
                <w:rFonts w:ascii="Garamond" w:hAnsi="Garamond"/>
                <w:lang w:val="en-AU"/>
              </w:rPr>
            </w:pPr>
            <w:r>
              <w:rPr>
                <w:rFonts w:ascii="Garamond" w:hAnsi="Garamond"/>
                <w:noProof/>
                <w:lang w:val="en-AU" w:eastAsia="en-AU"/>
              </w:rPr>
              <w:drawing>
                <wp:inline distT="0" distB="0" distL="0" distR="0">
                  <wp:extent cx="5114925" cy="2743200"/>
                  <wp:effectExtent l="0" t="0" r="9525" b="0"/>
                  <wp:docPr id="5" name="Picture 5" descr="Figure 4.  Journey to Whole System Quality. From IHI report &quot;Whole System Quality&quot;" title="Figure 4.  Journey to Whole System Quality. From IHI report &quot;Whole System Quality&quo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Whole System Quality Captu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2743200"/>
                          </a:xfrm>
                          <a:prstGeom prst="rect">
                            <a:avLst/>
                          </a:prstGeom>
                          <a:noFill/>
                          <a:ln>
                            <a:noFill/>
                          </a:ln>
                        </pic:spPr>
                      </pic:pic>
                    </a:graphicData>
                  </a:graphic>
                </wp:inline>
              </w:drawing>
            </w:r>
          </w:p>
          <w:p w:rsidR="005F3DAA" w:rsidRPr="001144E6" w:rsidRDefault="005F3DAA" w:rsidP="00B768A1">
            <w:pPr>
              <w:rPr>
                <w:rFonts w:ascii="Garamond" w:hAnsi="Garamond"/>
                <w:lang w:val="en-AU"/>
              </w:rPr>
            </w:pPr>
          </w:p>
        </w:tc>
      </w:tr>
    </w:tbl>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3C7C95" w:rsidRPr="003C7C95" w:rsidRDefault="003C7C95" w:rsidP="003C7C95">
      <w:pPr>
        <w:keepNext/>
        <w:keepLines/>
        <w:tabs>
          <w:tab w:val="left" w:pos="2114"/>
        </w:tabs>
        <w:autoSpaceDE w:val="0"/>
        <w:autoSpaceDN w:val="0"/>
        <w:adjustRightInd w:val="0"/>
        <w:rPr>
          <w:rFonts w:ascii="Garamond" w:hAnsi="Garamond"/>
          <w:i/>
          <w:lang w:val="en-AU"/>
        </w:rPr>
      </w:pPr>
      <w:r w:rsidRPr="003C7C95">
        <w:rPr>
          <w:rFonts w:ascii="Garamond" w:hAnsi="Garamond"/>
          <w:i/>
          <w:lang w:val="en-AU"/>
        </w:rPr>
        <w:t>How to sustainably build capacity in quality improvement within a healthcare organisation: a deep-dive, focused qualitative analysis</w:t>
      </w:r>
    </w:p>
    <w:p w:rsidR="003C7C95" w:rsidRDefault="003C7C95" w:rsidP="003C7C95">
      <w:pPr>
        <w:keepNext/>
        <w:keepLines/>
        <w:tabs>
          <w:tab w:val="left" w:pos="2114"/>
        </w:tabs>
        <w:autoSpaceDE w:val="0"/>
        <w:autoSpaceDN w:val="0"/>
        <w:adjustRightInd w:val="0"/>
        <w:rPr>
          <w:rFonts w:ascii="Garamond" w:hAnsi="Garamond"/>
          <w:lang w:val="en-AU"/>
        </w:rPr>
      </w:pPr>
      <w:r w:rsidRPr="003C7C95">
        <w:rPr>
          <w:rFonts w:ascii="Garamond" w:hAnsi="Garamond"/>
          <w:lang w:val="en-AU"/>
        </w:rPr>
        <w:t>Hibbert PD, Basedow M, Braithwaite J, Wiles LK, Clay-Williams R, Padbury R</w:t>
      </w:r>
    </w:p>
    <w:p w:rsidR="003C7C95" w:rsidRPr="00BC1B53" w:rsidRDefault="003C7C95" w:rsidP="003C7C95">
      <w:pPr>
        <w:keepNext/>
        <w:keepLines/>
        <w:tabs>
          <w:tab w:val="left" w:pos="2114"/>
        </w:tabs>
        <w:autoSpaceDE w:val="0"/>
        <w:autoSpaceDN w:val="0"/>
        <w:adjustRightInd w:val="0"/>
        <w:rPr>
          <w:rFonts w:ascii="Garamond" w:hAnsi="Garamond"/>
          <w:lang w:val="en-AU"/>
        </w:rPr>
      </w:pPr>
      <w:r w:rsidRPr="003C7C95">
        <w:rPr>
          <w:rFonts w:ascii="Garamond" w:hAnsi="Garamond"/>
          <w:lang w:val="en-AU"/>
        </w:rPr>
        <w:t>BMC Health Services Research. 2021;21(1):588.</w:t>
      </w:r>
    </w:p>
    <w:tbl>
      <w:tblPr>
        <w:tblStyle w:val="TableGrid"/>
        <w:tblW w:w="9360" w:type="dxa"/>
        <w:tblInd w:w="288" w:type="dxa"/>
        <w:tblLayout w:type="fixed"/>
        <w:tblLook w:val="01E0" w:firstRow="1" w:lastRow="1" w:firstColumn="1" w:lastColumn="1" w:noHBand="0" w:noVBand="0"/>
      </w:tblPr>
      <w:tblGrid>
        <w:gridCol w:w="1080"/>
        <w:gridCol w:w="8280"/>
      </w:tblGrid>
      <w:tr w:rsidR="003C7C95" w:rsidRPr="000170DA" w:rsidTr="00295600">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29560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7C95" w:rsidRPr="000170DA" w:rsidRDefault="00204C6E" w:rsidP="00295600">
            <w:pPr>
              <w:rPr>
                <w:rStyle w:val="Hyperlink"/>
                <w:rFonts w:ascii="Garamond" w:hAnsi="Garamond"/>
                <w:color w:val="auto"/>
                <w:u w:val="none"/>
                <w:lang w:val="en-AU"/>
              </w:rPr>
            </w:pPr>
            <w:hyperlink r:id="rId22" w:history="1">
              <w:r w:rsidR="003C7C95" w:rsidRPr="00E752BE">
                <w:rPr>
                  <w:rStyle w:val="Hyperlink"/>
                  <w:rFonts w:ascii="Garamond" w:hAnsi="Garamond"/>
                  <w:lang w:val="en-AU"/>
                </w:rPr>
                <w:t>https://doi.org/10.1186/s12913-021-06598-8</w:t>
              </w:r>
            </w:hyperlink>
          </w:p>
        </w:tc>
      </w:tr>
      <w:tr w:rsidR="003C7C95" w:rsidRPr="000170DA" w:rsidTr="00295600">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29560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120A" w:rsidRDefault="003C7C95" w:rsidP="00295600">
            <w:pPr>
              <w:rPr>
                <w:rFonts w:ascii="Garamond" w:hAnsi="Garamond"/>
                <w:lang w:val="en-AU"/>
              </w:rPr>
            </w:pPr>
            <w:r>
              <w:rPr>
                <w:rFonts w:ascii="Garamond" w:hAnsi="Garamond"/>
                <w:lang w:val="en-AU"/>
              </w:rPr>
              <w:t xml:space="preserve">Identifying and implementing change and quality improvement can be challenging. Even more challenging is making such efforts sustainable. This Australian study examined the efforts and experience in one local health network, the </w:t>
            </w:r>
            <w:r w:rsidRPr="003C7C95">
              <w:rPr>
                <w:rFonts w:ascii="Garamond" w:hAnsi="Garamond"/>
                <w:lang w:val="en-AU"/>
              </w:rPr>
              <w:t>Southern Adelaide Local Health Network (SALHN</w:t>
            </w:r>
            <w:r>
              <w:rPr>
                <w:rFonts w:ascii="Garamond" w:hAnsi="Garamond"/>
                <w:lang w:val="en-AU"/>
              </w:rPr>
              <w:t>), in order ‘</w:t>
            </w:r>
            <w:r w:rsidRPr="003C7C95">
              <w:rPr>
                <w:rFonts w:ascii="Garamond" w:hAnsi="Garamond"/>
                <w:lang w:val="en-AU"/>
              </w:rPr>
              <w:t>to explore the factors that lead to successful implementation of a program of quality improvement projects and a capacity and capability building program that facilitates or support these.</w:t>
            </w:r>
            <w:r>
              <w:rPr>
                <w:rFonts w:ascii="Garamond" w:hAnsi="Garamond"/>
                <w:lang w:val="en-AU"/>
              </w:rPr>
              <w:t>’</w:t>
            </w:r>
            <w:r w:rsidR="0049120A">
              <w:rPr>
                <w:rFonts w:ascii="Garamond" w:hAnsi="Garamond"/>
                <w:lang w:val="en-AU"/>
              </w:rPr>
              <w:t xml:space="preserve">  The researchers ‘found </w:t>
            </w:r>
            <w:r w:rsidR="0049120A" w:rsidRPr="0049120A">
              <w:rPr>
                <w:rFonts w:ascii="Garamond" w:hAnsi="Garamond"/>
                <w:lang w:val="en-AU"/>
              </w:rPr>
              <w:t xml:space="preserve">four interacting components that lead to successful implementation </w:t>
            </w:r>
            <w:r w:rsidR="0049120A" w:rsidRPr="0049120A">
              <w:rPr>
                <w:rFonts w:ascii="Garamond" w:hAnsi="Garamond"/>
                <w:lang w:val="en-AU"/>
              </w:rPr>
              <w:lastRenderedPageBreak/>
              <w:t>of quality improvement projects and the overall program that facilitates or support these</w:t>
            </w:r>
            <w:r w:rsidR="0049120A">
              <w:rPr>
                <w:rFonts w:ascii="Garamond" w:hAnsi="Garamond"/>
                <w:lang w:val="en-AU"/>
              </w:rPr>
              <w:t>’. The four components being</w:t>
            </w:r>
            <w:r w:rsidR="0049120A" w:rsidRPr="0049120A">
              <w:rPr>
                <w:rFonts w:ascii="Garamond" w:hAnsi="Garamond"/>
                <w:lang w:val="en-AU"/>
              </w:rPr>
              <w:t>:</w:t>
            </w:r>
          </w:p>
          <w:p w:rsidR="0049120A" w:rsidRDefault="0049120A" w:rsidP="006A2250">
            <w:pPr>
              <w:pStyle w:val="ListParagraph"/>
              <w:numPr>
                <w:ilvl w:val="0"/>
                <w:numId w:val="19"/>
              </w:numPr>
              <w:rPr>
                <w:rFonts w:ascii="Garamond" w:hAnsi="Garamond"/>
                <w:lang w:val="en-AU"/>
              </w:rPr>
            </w:pPr>
            <w:r w:rsidRPr="0049120A">
              <w:rPr>
                <w:rFonts w:ascii="Garamond" w:hAnsi="Garamond"/>
                <w:lang w:val="en-AU"/>
              </w:rPr>
              <w:t xml:space="preserve">an agreed and robust </w:t>
            </w:r>
            <w:r w:rsidRPr="0049120A">
              <w:rPr>
                <w:rFonts w:ascii="Garamond" w:hAnsi="Garamond"/>
                <w:b/>
                <w:lang w:val="en-AU"/>
              </w:rPr>
              <w:t>quality improvement methodology</w:t>
            </w:r>
          </w:p>
          <w:p w:rsidR="0049120A" w:rsidRDefault="0049120A" w:rsidP="006A2250">
            <w:pPr>
              <w:pStyle w:val="ListParagraph"/>
              <w:numPr>
                <w:ilvl w:val="0"/>
                <w:numId w:val="19"/>
              </w:numPr>
              <w:rPr>
                <w:rFonts w:ascii="Garamond" w:hAnsi="Garamond"/>
                <w:lang w:val="en-AU"/>
              </w:rPr>
            </w:pPr>
            <w:r w:rsidRPr="0049120A">
              <w:rPr>
                <w:rFonts w:ascii="Garamond" w:hAnsi="Garamond"/>
                <w:lang w:val="en-AU"/>
              </w:rPr>
              <w:t xml:space="preserve">a </w:t>
            </w:r>
            <w:r w:rsidRPr="0049120A">
              <w:rPr>
                <w:rFonts w:ascii="Garamond" w:hAnsi="Garamond"/>
                <w:b/>
                <w:lang w:val="en-AU"/>
              </w:rPr>
              <w:t>skilled faculty</w:t>
            </w:r>
            <w:r w:rsidRPr="0049120A">
              <w:rPr>
                <w:rFonts w:ascii="Garamond" w:hAnsi="Garamond"/>
                <w:lang w:val="en-AU"/>
              </w:rPr>
              <w:t xml:space="preserve"> to assist improvement teams</w:t>
            </w:r>
          </w:p>
          <w:p w:rsidR="0049120A" w:rsidRDefault="0049120A" w:rsidP="006A2250">
            <w:pPr>
              <w:pStyle w:val="ListParagraph"/>
              <w:numPr>
                <w:ilvl w:val="0"/>
                <w:numId w:val="19"/>
              </w:numPr>
              <w:rPr>
                <w:rFonts w:ascii="Garamond" w:hAnsi="Garamond"/>
                <w:lang w:val="en-AU"/>
              </w:rPr>
            </w:pPr>
            <w:r w:rsidRPr="0049120A">
              <w:rPr>
                <w:rFonts w:ascii="Garamond" w:hAnsi="Garamond"/>
                <w:lang w:val="en-AU"/>
              </w:rPr>
              <w:t xml:space="preserve">active </w:t>
            </w:r>
            <w:r w:rsidRPr="0049120A">
              <w:rPr>
                <w:rFonts w:ascii="Garamond" w:hAnsi="Garamond"/>
                <w:b/>
                <w:lang w:val="en-AU"/>
              </w:rPr>
              <w:t>involvement of leadership and management</w:t>
            </w:r>
            <w:r w:rsidRPr="0049120A">
              <w:rPr>
                <w:rFonts w:ascii="Garamond" w:hAnsi="Garamond"/>
                <w:lang w:val="en-AU"/>
              </w:rPr>
              <w:t xml:space="preserve">, and </w:t>
            </w:r>
          </w:p>
          <w:p w:rsidR="003C7C95" w:rsidRPr="0049120A" w:rsidRDefault="0049120A" w:rsidP="006A2250">
            <w:pPr>
              <w:pStyle w:val="ListParagraph"/>
              <w:numPr>
                <w:ilvl w:val="0"/>
                <w:numId w:val="19"/>
              </w:numPr>
              <w:rPr>
                <w:rFonts w:ascii="Garamond" w:hAnsi="Garamond"/>
                <w:lang w:val="en-AU"/>
              </w:rPr>
            </w:pPr>
            <w:r w:rsidRPr="0049120A">
              <w:rPr>
                <w:rFonts w:ascii="Garamond" w:hAnsi="Garamond"/>
                <w:lang w:val="en-AU"/>
              </w:rPr>
              <w:t xml:space="preserve">a deep understanding that </w:t>
            </w:r>
            <w:r w:rsidRPr="0049120A">
              <w:rPr>
                <w:rFonts w:ascii="Garamond" w:hAnsi="Garamond"/>
                <w:b/>
                <w:lang w:val="en-AU"/>
              </w:rPr>
              <w:t>teams matter</w:t>
            </w:r>
            <w:r w:rsidRPr="0049120A">
              <w:rPr>
                <w:rFonts w:ascii="Garamond" w:hAnsi="Garamond"/>
                <w:lang w:val="en-AU"/>
              </w:rPr>
              <w:t>.</w:t>
            </w:r>
          </w:p>
          <w:p w:rsidR="003C7C95" w:rsidRPr="00F8243D" w:rsidRDefault="0049120A" w:rsidP="00295600">
            <w:pPr>
              <w:rPr>
                <w:rFonts w:ascii="Garamond" w:hAnsi="Garamond"/>
                <w:lang w:val="en-AU"/>
              </w:rPr>
            </w:pPr>
            <w:r w:rsidRPr="0049120A">
              <w:rPr>
                <w:rFonts w:ascii="Garamond" w:hAnsi="Garamond"/>
                <w:lang w:val="en-AU"/>
              </w:rPr>
              <w:t xml:space="preserve">The authors also observed that a pre-existing ‘strong safety culture is not necessarily a pre-requisite for quality improvement gains to be made; indeed, undertaking quality improvement activities can contribute to an </w:t>
            </w:r>
            <w:r w:rsidRPr="0049120A">
              <w:rPr>
                <w:rFonts w:ascii="Garamond" w:hAnsi="Garamond"/>
                <w:b/>
                <w:lang w:val="en-AU"/>
              </w:rPr>
              <w:t>improved safety culture</w:t>
            </w:r>
            <w:r w:rsidRPr="0049120A">
              <w:rPr>
                <w:rFonts w:ascii="Garamond" w:hAnsi="Garamond"/>
                <w:lang w:val="en-AU"/>
              </w:rPr>
              <w:t>.</w:t>
            </w:r>
            <w:r>
              <w:rPr>
                <w:rFonts w:ascii="Garamond" w:hAnsi="Garamond"/>
                <w:lang w:val="en-AU"/>
              </w:rPr>
              <w:t>’</w:t>
            </w:r>
          </w:p>
        </w:tc>
      </w:tr>
    </w:tbl>
    <w:p w:rsidR="002C2A03" w:rsidRDefault="002C2A03" w:rsidP="002C2A03">
      <w:pPr>
        <w:keepNext/>
        <w:keepLines/>
        <w:tabs>
          <w:tab w:val="left" w:pos="2114"/>
        </w:tabs>
        <w:autoSpaceDE w:val="0"/>
        <w:autoSpaceDN w:val="0"/>
        <w:adjustRightInd w:val="0"/>
        <w:rPr>
          <w:rFonts w:ascii="Garamond" w:hAnsi="Garamond"/>
          <w:i/>
          <w:lang w:val="en-AU"/>
        </w:rPr>
      </w:pPr>
    </w:p>
    <w:p w:rsidR="00DF6691" w:rsidRPr="00412C64" w:rsidRDefault="00DF6691" w:rsidP="00DF6691">
      <w:pPr>
        <w:keepNext/>
        <w:keepLines/>
        <w:tabs>
          <w:tab w:val="left" w:pos="2114"/>
        </w:tabs>
        <w:autoSpaceDE w:val="0"/>
        <w:autoSpaceDN w:val="0"/>
        <w:adjustRightInd w:val="0"/>
        <w:rPr>
          <w:rFonts w:ascii="Garamond" w:hAnsi="Garamond"/>
          <w:i/>
          <w:lang w:val="en-AU"/>
        </w:rPr>
      </w:pPr>
      <w:r w:rsidRPr="00412C64">
        <w:rPr>
          <w:rFonts w:ascii="Garamond" w:hAnsi="Garamond"/>
          <w:i/>
          <w:lang w:val="en-AU"/>
        </w:rPr>
        <w:t>Older patients’ engagement in hospital medication safety behaviours</w:t>
      </w:r>
    </w:p>
    <w:p w:rsidR="00DF6691" w:rsidRDefault="00DF6691" w:rsidP="00DF6691">
      <w:pPr>
        <w:keepNext/>
        <w:keepLines/>
        <w:tabs>
          <w:tab w:val="left" w:pos="2114"/>
        </w:tabs>
        <w:autoSpaceDE w:val="0"/>
        <w:autoSpaceDN w:val="0"/>
        <w:adjustRightInd w:val="0"/>
        <w:rPr>
          <w:rFonts w:ascii="Garamond" w:hAnsi="Garamond"/>
          <w:lang w:val="en-AU"/>
        </w:rPr>
      </w:pPr>
      <w:r w:rsidRPr="00412C64">
        <w:rPr>
          <w:rFonts w:ascii="Garamond" w:hAnsi="Garamond"/>
          <w:lang w:val="en-AU"/>
        </w:rPr>
        <w:t>Tobiano G, Chaboyer W, Dornan G, Teasdale T, Manias E</w:t>
      </w:r>
    </w:p>
    <w:p w:rsidR="00DF6691" w:rsidRPr="00BC1B53" w:rsidRDefault="00DF6691" w:rsidP="00DF6691">
      <w:pPr>
        <w:keepNext/>
        <w:keepLines/>
        <w:tabs>
          <w:tab w:val="left" w:pos="2114"/>
        </w:tabs>
        <w:autoSpaceDE w:val="0"/>
        <w:autoSpaceDN w:val="0"/>
        <w:adjustRightInd w:val="0"/>
        <w:rPr>
          <w:rFonts w:ascii="Garamond" w:hAnsi="Garamond"/>
          <w:lang w:val="en-AU"/>
        </w:rPr>
      </w:pPr>
      <w:r w:rsidRPr="00412C64">
        <w:rPr>
          <w:rFonts w:ascii="Garamond" w:hAnsi="Garamond"/>
          <w:lang w:val="en-AU"/>
        </w:rPr>
        <w:t>Aging Clinical and Experimental Research. 2021.</w:t>
      </w:r>
    </w:p>
    <w:tbl>
      <w:tblPr>
        <w:tblStyle w:val="TableGrid"/>
        <w:tblW w:w="9360" w:type="dxa"/>
        <w:tblInd w:w="288" w:type="dxa"/>
        <w:tblLayout w:type="fixed"/>
        <w:tblLook w:val="01E0" w:firstRow="1" w:lastRow="1" w:firstColumn="1" w:lastColumn="1" w:noHBand="0" w:noVBand="0"/>
      </w:tblPr>
      <w:tblGrid>
        <w:gridCol w:w="1080"/>
        <w:gridCol w:w="8280"/>
      </w:tblGrid>
      <w:tr w:rsidR="00DF6691" w:rsidRPr="000170DA" w:rsidTr="003B50FC">
        <w:tc>
          <w:tcPr>
            <w:tcW w:w="1080" w:type="dxa"/>
            <w:tcBorders>
              <w:top w:val="single" w:sz="4" w:space="0" w:color="auto"/>
              <w:left w:val="single" w:sz="4" w:space="0" w:color="auto"/>
              <w:bottom w:val="single" w:sz="4" w:space="0" w:color="auto"/>
              <w:right w:val="single" w:sz="4" w:space="0" w:color="auto"/>
            </w:tcBorders>
            <w:vAlign w:val="center"/>
          </w:tcPr>
          <w:p w:rsidR="00DF6691" w:rsidRPr="000170DA" w:rsidRDefault="00DF6691" w:rsidP="003B50F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F6691" w:rsidRPr="000170DA" w:rsidRDefault="00204C6E" w:rsidP="003B50FC">
            <w:pPr>
              <w:rPr>
                <w:rStyle w:val="Hyperlink"/>
                <w:rFonts w:ascii="Garamond" w:hAnsi="Garamond"/>
                <w:color w:val="auto"/>
                <w:u w:val="none"/>
                <w:lang w:val="en-AU"/>
              </w:rPr>
            </w:pPr>
            <w:hyperlink r:id="rId23" w:history="1">
              <w:r w:rsidR="00DF6691" w:rsidRPr="00E752BE">
                <w:rPr>
                  <w:rStyle w:val="Hyperlink"/>
                  <w:rFonts w:ascii="Garamond" w:hAnsi="Garamond"/>
                  <w:lang w:val="en-AU"/>
                </w:rPr>
                <w:t>https://doi.org/10.1007/s40520-021-01866-3</w:t>
              </w:r>
            </w:hyperlink>
          </w:p>
        </w:tc>
      </w:tr>
      <w:tr w:rsidR="00DF6691" w:rsidRPr="000170DA" w:rsidTr="003B50FC">
        <w:tc>
          <w:tcPr>
            <w:tcW w:w="1080" w:type="dxa"/>
            <w:tcBorders>
              <w:top w:val="single" w:sz="4" w:space="0" w:color="auto"/>
              <w:left w:val="single" w:sz="4" w:space="0" w:color="auto"/>
              <w:bottom w:val="single" w:sz="4" w:space="0" w:color="auto"/>
              <w:right w:val="single" w:sz="4" w:space="0" w:color="auto"/>
            </w:tcBorders>
            <w:vAlign w:val="center"/>
          </w:tcPr>
          <w:p w:rsidR="00DF6691" w:rsidRPr="000170DA" w:rsidRDefault="00DF6691" w:rsidP="003B50F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6691" w:rsidRDefault="00DF6691" w:rsidP="003B50FC">
            <w:pPr>
              <w:rPr>
                <w:rFonts w:ascii="Garamond" w:hAnsi="Garamond"/>
                <w:lang w:val="en-AU"/>
              </w:rPr>
            </w:pPr>
            <w:r>
              <w:rPr>
                <w:rFonts w:ascii="Garamond" w:hAnsi="Garamond"/>
                <w:lang w:val="en-AU"/>
              </w:rPr>
              <w:t xml:space="preserve">Medication errors (broadly defined) are among the most common errors and a leading cause of hospitalisation. Older people tend to be taking more medications and this “polypharmacy” can contribute to errors. This study sought to </w:t>
            </w:r>
          </w:p>
          <w:p w:rsidR="00DF6691" w:rsidRDefault="00DF6691" w:rsidP="006A2250">
            <w:pPr>
              <w:pStyle w:val="ListParagraph"/>
              <w:numPr>
                <w:ilvl w:val="0"/>
                <w:numId w:val="22"/>
              </w:numPr>
              <w:rPr>
                <w:rFonts w:ascii="Garamond" w:hAnsi="Garamond"/>
                <w:lang w:val="en-AU"/>
              </w:rPr>
            </w:pPr>
            <w:r w:rsidRPr="00EC0BFA">
              <w:rPr>
                <w:rFonts w:ascii="Garamond" w:hAnsi="Garamond"/>
                <w:lang w:val="en-AU"/>
              </w:rPr>
              <w:t>examine older patients’ preferences for and reported medication safety behaviours</w:t>
            </w:r>
          </w:p>
          <w:p w:rsidR="00DF6691" w:rsidRDefault="00DF6691" w:rsidP="006A2250">
            <w:pPr>
              <w:pStyle w:val="ListParagraph"/>
              <w:numPr>
                <w:ilvl w:val="0"/>
                <w:numId w:val="22"/>
              </w:numPr>
              <w:rPr>
                <w:rFonts w:ascii="Garamond" w:hAnsi="Garamond"/>
                <w:lang w:val="en-AU"/>
              </w:rPr>
            </w:pPr>
            <w:r w:rsidRPr="00EC0BFA">
              <w:rPr>
                <w:rFonts w:ascii="Garamond" w:hAnsi="Garamond"/>
                <w:lang w:val="en-AU"/>
              </w:rPr>
              <w:t xml:space="preserve">identify the relationship between preferred and reported medication safety behaviours </w:t>
            </w:r>
          </w:p>
          <w:p w:rsidR="00DF6691" w:rsidRPr="00EC0BFA" w:rsidRDefault="00DF6691" w:rsidP="006A2250">
            <w:pPr>
              <w:pStyle w:val="ListParagraph"/>
              <w:numPr>
                <w:ilvl w:val="0"/>
                <w:numId w:val="22"/>
              </w:numPr>
              <w:rPr>
                <w:rFonts w:ascii="Garamond" w:hAnsi="Garamond"/>
                <w:lang w:val="en-AU"/>
              </w:rPr>
            </w:pPr>
            <w:r w:rsidRPr="00EC0BFA">
              <w:rPr>
                <w:rFonts w:ascii="Garamond" w:hAnsi="Garamond"/>
                <w:lang w:val="en-AU"/>
              </w:rPr>
              <w:t>identify whether perceptions of medication safety behaviours differ between groups of young–old, middle–old and old–old patients (65–74 years, 75–84 years, and</w:t>
            </w:r>
            <w:r w:rsidRPr="00EC0BFA">
              <w:rPr>
                <w:lang w:val="en-AU"/>
              </w:rPr>
              <w:t> </w:t>
            </w:r>
            <w:r w:rsidRPr="00EC0BFA">
              <w:rPr>
                <w:rFonts w:ascii="Garamond" w:hAnsi="Garamond" w:cs="Garamond"/>
                <w:lang w:val="en-AU"/>
              </w:rPr>
              <w:t>≥</w:t>
            </w:r>
            <w:r w:rsidRPr="00EC0BFA">
              <w:rPr>
                <w:lang w:val="en-AU"/>
              </w:rPr>
              <w:t> </w:t>
            </w:r>
            <w:r>
              <w:rPr>
                <w:rFonts w:ascii="Garamond" w:hAnsi="Garamond"/>
                <w:lang w:val="en-AU"/>
              </w:rPr>
              <w:t>85 years).</w:t>
            </w:r>
          </w:p>
          <w:p w:rsidR="00DF6691" w:rsidRPr="00F8243D" w:rsidRDefault="00DF6691" w:rsidP="003B50FC">
            <w:pPr>
              <w:rPr>
                <w:rFonts w:ascii="Garamond" w:hAnsi="Garamond"/>
                <w:lang w:val="en-AU"/>
              </w:rPr>
            </w:pPr>
            <w:r>
              <w:rPr>
                <w:rFonts w:ascii="Garamond" w:hAnsi="Garamond"/>
                <w:lang w:val="en-AU"/>
              </w:rPr>
              <w:t>The study surveyed 200 patients at an Australian hospital. The authors concluded that ‘</w:t>
            </w:r>
            <w:r w:rsidRPr="00A154C0">
              <w:rPr>
                <w:rFonts w:ascii="Garamond" w:hAnsi="Garamond"/>
                <w:lang w:val="en-AU"/>
              </w:rPr>
              <w:t>Older patients may prefer verbal medication safety behaviours like asking questions and notifying healthcare professionals of medication errors, over viewing medication charts and self-administering medications. The young-old group wanted to identify perceived medication errors more than other age groups. Older patients are willing to engage in medication safety behaviours, and healthcare professionals and organisations need to embrace this engagement in an effort to reduce medication harm.</w:t>
            </w:r>
            <w:r>
              <w:rPr>
                <w:rFonts w:ascii="Garamond" w:hAnsi="Garamond"/>
                <w:lang w:val="en-AU"/>
              </w:rPr>
              <w:t>’ It may be argued that a more patient-centred approach may to engage individual patients about their preferences rather than make assumptions based on chronological age.</w:t>
            </w:r>
          </w:p>
        </w:tc>
      </w:tr>
    </w:tbl>
    <w:p w:rsidR="00DF6691" w:rsidRDefault="00DF6691" w:rsidP="00DF6691">
      <w:pPr>
        <w:keepLines/>
        <w:tabs>
          <w:tab w:val="left" w:pos="2114"/>
        </w:tabs>
        <w:autoSpaceDE w:val="0"/>
        <w:autoSpaceDN w:val="0"/>
        <w:adjustRightInd w:val="0"/>
        <w:rPr>
          <w:rFonts w:ascii="Garamond" w:hAnsi="Garamond"/>
          <w:lang w:val="en-AU"/>
        </w:rPr>
      </w:pPr>
    </w:p>
    <w:p w:rsidR="00DF6691" w:rsidRDefault="00DF6691" w:rsidP="00DF6691">
      <w:pPr>
        <w:keepLines/>
        <w:tabs>
          <w:tab w:val="left" w:pos="2114"/>
        </w:tabs>
        <w:autoSpaceDE w:val="0"/>
        <w:autoSpaceDN w:val="0"/>
        <w:adjustRightInd w:val="0"/>
        <w:rPr>
          <w:rFonts w:ascii="Garamond" w:hAnsi="Garamond"/>
          <w:lang w:val="en-AU"/>
        </w:rPr>
      </w:pPr>
      <w:r w:rsidRPr="00412C64">
        <w:rPr>
          <w:rFonts w:ascii="Garamond" w:hAnsi="Garamond"/>
          <w:lang w:val="en-AU"/>
        </w:rPr>
        <w:t xml:space="preserve">For information on the Commission’s work on medication safety, see </w:t>
      </w:r>
      <w:hyperlink r:id="rId24" w:history="1">
        <w:r w:rsidRPr="00E752BE">
          <w:rPr>
            <w:rStyle w:val="Hyperlink"/>
            <w:rFonts w:ascii="Garamond" w:hAnsi="Garamond"/>
            <w:lang w:val="en-AU"/>
          </w:rPr>
          <w:t>https://www.safetyandquality.gov.au/our-work/medication-safety</w:t>
        </w:r>
      </w:hyperlink>
      <w:r>
        <w:rPr>
          <w:rFonts w:ascii="Garamond" w:hAnsi="Garamond"/>
          <w:lang w:val="en-AU"/>
        </w:rPr>
        <w:t xml:space="preserve"> </w:t>
      </w:r>
    </w:p>
    <w:p w:rsidR="002C2A03" w:rsidRPr="00412C64" w:rsidRDefault="002C2A03" w:rsidP="002C2A03">
      <w:pPr>
        <w:keepNext/>
        <w:keepLines/>
        <w:tabs>
          <w:tab w:val="left" w:pos="2114"/>
        </w:tabs>
        <w:autoSpaceDE w:val="0"/>
        <w:autoSpaceDN w:val="0"/>
        <w:adjustRightInd w:val="0"/>
        <w:rPr>
          <w:rFonts w:ascii="Garamond" w:hAnsi="Garamond"/>
          <w:i/>
          <w:lang w:val="en-AU"/>
        </w:rPr>
      </w:pPr>
      <w:r w:rsidRPr="00412C64">
        <w:rPr>
          <w:rFonts w:ascii="Garamond" w:hAnsi="Garamond"/>
          <w:i/>
          <w:lang w:val="en-AU"/>
        </w:rPr>
        <w:t>Facilitators and barriers of care transitions - Comparing the perspectives of hospital and community healthcare staff</w:t>
      </w:r>
    </w:p>
    <w:p w:rsidR="002C2A03" w:rsidRDefault="002C2A03" w:rsidP="002C2A03">
      <w:pPr>
        <w:keepNext/>
        <w:keepLines/>
        <w:tabs>
          <w:tab w:val="left" w:pos="2114"/>
        </w:tabs>
        <w:autoSpaceDE w:val="0"/>
        <w:autoSpaceDN w:val="0"/>
        <w:adjustRightInd w:val="0"/>
        <w:rPr>
          <w:rFonts w:ascii="Garamond" w:hAnsi="Garamond"/>
          <w:lang w:val="en-AU"/>
        </w:rPr>
      </w:pPr>
      <w:r w:rsidRPr="00412C64">
        <w:rPr>
          <w:rFonts w:ascii="Garamond" w:hAnsi="Garamond"/>
          <w:lang w:val="en-AU"/>
        </w:rPr>
        <w:t>Carman E-M, Fray M, Waterson P</w:t>
      </w:r>
    </w:p>
    <w:p w:rsidR="002C2A03" w:rsidRPr="00BC1B53" w:rsidRDefault="002C2A03" w:rsidP="002C2A03">
      <w:pPr>
        <w:keepNext/>
        <w:keepLines/>
        <w:tabs>
          <w:tab w:val="left" w:pos="2114"/>
        </w:tabs>
        <w:autoSpaceDE w:val="0"/>
        <w:autoSpaceDN w:val="0"/>
        <w:adjustRightInd w:val="0"/>
        <w:rPr>
          <w:rFonts w:ascii="Garamond" w:hAnsi="Garamond"/>
          <w:lang w:val="en-AU"/>
        </w:rPr>
      </w:pPr>
      <w:r w:rsidRPr="00412C64">
        <w:rPr>
          <w:rFonts w:ascii="Garamond" w:hAnsi="Garamond"/>
          <w:lang w:val="en-AU"/>
        </w:rPr>
        <w:t>Applied Ergonomics. 2021;93:103339.</w:t>
      </w:r>
    </w:p>
    <w:tbl>
      <w:tblPr>
        <w:tblStyle w:val="TableGrid"/>
        <w:tblW w:w="9360" w:type="dxa"/>
        <w:tblInd w:w="288" w:type="dxa"/>
        <w:tblLayout w:type="fixed"/>
        <w:tblLook w:val="01E0" w:firstRow="1" w:lastRow="1" w:firstColumn="1" w:lastColumn="1" w:noHBand="0" w:noVBand="0"/>
      </w:tblPr>
      <w:tblGrid>
        <w:gridCol w:w="1080"/>
        <w:gridCol w:w="8280"/>
      </w:tblGrid>
      <w:tr w:rsidR="002C2A03" w:rsidRPr="000170DA" w:rsidTr="00295600">
        <w:tc>
          <w:tcPr>
            <w:tcW w:w="1080" w:type="dxa"/>
            <w:tcBorders>
              <w:top w:val="single" w:sz="4" w:space="0" w:color="auto"/>
              <w:left w:val="single" w:sz="4" w:space="0" w:color="auto"/>
              <w:bottom w:val="single" w:sz="4" w:space="0" w:color="auto"/>
              <w:right w:val="single" w:sz="4" w:space="0" w:color="auto"/>
            </w:tcBorders>
            <w:vAlign w:val="center"/>
          </w:tcPr>
          <w:p w:rsidR="002C2A03" w:rsidRPr="000170DA" w:rsidRDefault="002C2A03" w:rsidP="0029560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C2A03" w:rsidRPr="000170DA" w:rsidRDefault="00204C6E" w:rsidP="00295600">
            <w:pPr>
              <w:rPr>
                <w:rStyle w:val="Hyperlink"/>
                <w:rFonts w:ascii="Garamond" w:hAnsi="Garamond"/>
                <w:color w:val="auto"/>
                <w:u w:val="none"/>
                <w:lang w:val="en-AU"/>
              </w:rPr>
            </w:pPr>
            <w:hyperlink r:id="rId25" w:history="1">
              <w:r w:rsidR="002C2A03" w:rsidRPr="00E752BE">
                <w:rPr>
                  <w:rStyle w:val="Hyperlink"/>
                  <w:rFonts w:ascii="Garamond" w:hAnsi="Garamond"/>
                  <w:lang w:val="en-AU"/>
                </w:rPr>
                <w:t>https://doi.org/10.1016/j.apergo.2020.103339</w:t>
              </w:r>
            </w:hyperlink>
          </w:p>
        </w:tc>
      </w:tr>
      <w:tr w:rsidR="002C2A03" w:rsidRPr="000170DA" w:rsidTr="00295600">
        <w:tc>
          <w:tcPr>
            <w:tcW w:w="1080" w:type="dxa"/>
            <w:tcBorders>
              <w:top w:val="single" w:sz="4" w:space="0" w:color="auto"/>
              <w:left w:val="single" w:sz="4" w:space="0" w:color="auto"/>
              <w:bottom w:val="single" w:sz="4" w:space="0" w:color="auto"/>
              <w:right w:val="single" w:sz="4" w:space="0" w:color="auto"/>
            </w:tcBorders>
            <w:vAlign w:val="center"/>
          </w:tcPr>
          <w:p w:rsidR="002C2A03" w:rsidRPr="000170DA" w:rsidRDefault="002C2A03" w:rsidP="0029560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C2A03" w:rsidRDefault="001842C0" w:rsidP="00295600">
            <w:pPr>
              <w:rPr>
                <w:rFonts w:ascii="Garamond" w:hAnsi="Garamond"/>
                <w:lang w:val="en-AU"/>
              </w:rPr>
            </w:pPr>
            <w:r>
              <w:rPr>
                <w:rFonts w:ascii="Garamond" w:hAnsi="Garamond"/>
                <w:lang w:val="en-AU"/>
              </w:rPr>
              <w:t xml:space="preserve">Transitions of care have long been recognised as being potentially risky, with </w:t>
            </w:r>
            <w:r w:rsidRPr="001842C0">
              <w:rPr>
                <w:rFonts w:ascii="Garamond" w:hAnsi="Garamond"/>
                <w:lang w:val="en-AU"/>
              </w:rPr>
              <w:t>an increased risk of communication errors</w:t>
            </w:r>
            <w:r>
              <w:rPr>
                <w:rFonts w:ascii="Garamond" w:hAnsi="Garamond"/>
                <w:lang w:val="en-AU"/>
              </w:rPr>
              <w:t xml:space="preserve">. </w:t>
            </w:r>
            <w:r w:rsidR="002B20AC">
              <w:rPr>
                <w:rFonts w:ascii="Garamond" w:hAnsi="Garamond"/>
                <w:lang w:val="en-AU"/>
              </w:rPr>
              <w:t>This paper reports</w:t>
            </w:r>
            <w:r>
              <w:rPr>
                <w:rFonts w:ascii="Garamond" w:hAnsi="Garamond"/>
                <w:lang w:val="en-AU"/>
              </w:rPr>
              <w:t xml:space="preserve"> on a </w:t>
            </w:r>
            <w:r w:rsidR="002C2A03">
              <w:rPr>
                <w:rFonts w:ascii="Garamond" w:hAnsi="Garamond"/>
                <w:lang w:val="en-AU"/>
              </w:rPr>
              <w:t>British study</w:t>
            </w:r>
            <w:r>
              <w:rPr>
                <w:rFonts w:ascii="Garamond" w:hAnsi="Garamond"/>
                <w:lang w:val="en-AU"/>
              </w:rPr>
              <w:t xml:space="preserve"> that sought to ‘</w:t>
            </w:r>
            <w:r w:rsidRPr="001842C0">
              <w:rPr>
                <w:rFonts w:ascii="Garamond" w:hAnsi="Garamond"/>
                <w:lang w:val="en-AU"/>
              </w:rPr>
              <w:t>analyse the discharge process to identify and compare the barriers and facilitators within the context of the system in which they occur</w:t>
            </w:r>
            <w:r>
              <w:rPr>
                <w:rFonts w:ascii="Garamond" w:hAnsi="Garamond"/>
                <w:lang w:val="en-AU"/>
              </w:rPr>
              <w:t xml:space="preserve">’. Based on the analysis of </w:t>
            </w:r>
            <w:r w:rsidRPr="001842C0">
              <w:rPr>
                <w:rFonts w:ascii="Garamond" w:hAnsi="Garamond"/>
                <w:lang w:val="en-AU"/>
              </w:rPr>
              <w:t>analysis of 348 incident reports, discharge planning meetings, focus groups with hospital staff</w:t>
            </w:r>
            <w:r>
              <w:rPr>
                <w:rFonts w:ascii="Garamond" w:hAnsi="Garamond"/>
                <w:lang w:val="en-AU"/>
              </w:rPr>
              <w:t xml:space="preserve"> and community healthcare staff, the authors found that:</w:t>
            </w:r>
          </w:p>
          <w:p w:rsidR="001842C0" w:rsidRPr="001842C0" w:rsidRDefault="001842C0" w:rsidP="006A2250">
            <w:pPr>
              <w:pStyle w:val="ListParagraph"/>
              <w:numPr>
                <w:ilvl w:val="0"/>
                <w:numId w:val="21"/>
              </w:numPr>
              <w:rPr>
                <w:rFonts w:ascii="Garamond" w:hAnsi="Garamond"/>
                <w:lang w:val="en-AU"/>
              </w:rPr>
            </w:pPr>
            <w:r w:rsidRPr="001842C0">
              <w:rPr>
                <w:rFonts w:ascii="Garamond" w:hAnsi="Garamond"/>
                <w:b/>
                <w:lang w:val="en-AU"/>
              </w:rPr>
              <w:t>Barriers</w:t>
            </w:r>
            <w:r w:rsidRPr="001842C0">
              <w:rPr>
                <w:rFonts w:ascii="Garamond" w:hAnsi="Garamond"/>
                <w:lang w:val="en-AU"/>
              </w:rPr>
              <w:t xml:space="preserve"> included </w:t>
            </w:r>
            <w:r w:rsidRPr="001842C0">
              <w:rPr>
                <w:rFonts w:ascii="Garamond" w:hAnsi="Garamond"/>
                <w:b/>
                <w:lang w:val="en-AU"/>
              </w:rPr>
              <w:t>discharge tasks not being complete</w:t>
            </w:r>
            <w:r w:rsidRPr="001842C0">
              <w:rPr>
                <w:rFonts w:ascii="Garamond" w:hAnsi="Garamond"/>
                <w:lang w:val="en-AU"/>
              </w:rPr>
              <w:t xml:space="preserve">, </w:t>
            </w:r>
            <w:r w:rsidRPr="001842C0">
              <w:rPr>
                <w:rFonts w:ascii="Garamond" w:hAnsi="Garamond"/>
                <w:b/>
                <w:lang w:val="en-AU"/>
              </w:rPr>
              <w:t>missing or inaccurate information</w:t>
            </w:r>
            <w:r w:rsidRPr="001842C0">
              <w:rPr>
                <w:rFonts w:ascii="Garamond" w:hAnsi="Garamond"/>
                <w:lang w:val="en-AU"/>
              </w:rPr>
              <w:t xml:space="preserve">, and </w:t>
            </w:r>
            <w:r w:rsidRPr="001842C0">
              <w:rPr>
                <w:rFonts w:ascii="Garamond" w:hAnsi="Garamond"/>
                <w:b/>
                <w:lang w:val="en-AU"/>
              </w:rPr>
              <w:t>limited staff capacity</w:t>
            </w:r>
          </w:p>
          <w:p w:rsidR="00D56BF5" w:rsidRPr="00F8243D" w:rsidRDefault="001842C0" w:rsidP="006A2250">
            <w:pPr>
              <w:pStyle w:val="ListParagraph"/>
              <w:numPr>
                <w:ilvl w:val="0"/>
                <w:numId w:val="21"/>
              </w:numPr>
              <w:rPr>
                <w:rFonts w:ascii="Garamond" w:hAnsi="Garamond"/>
                <w:lang w:val="en-AU"/>
              </w:rPr>
            </w:pPr>
            <w:r w:rsidRPr="001842C0">
              <w:rPr>
                <w:rFonts w:ascii="Garamond" w:hAnsi="Garamond"/>
                <w:b/>
                <w:lang w:val="en-AU"/>
              </w:rPr>
              <w:t>Facilitators</w:t>
            </w:r>
            <w:r w:rsidRPr="001842C0">
              <w:rPr>
                <w:rFonts w:ascii="Garamond" w:hAnsi="Garamond"/>
                <w:lang w:val="en-AU"/>
              </w:rPr>
              <w:t xml:space="preserve"> include</w:t>
            </w:r>
            <w:r>
              <w:rPr>
                <w:rFonts w:ascii="Garamond" w:hAnsi="Garamond"/>
                <w:lang w:val="en-AU"/>
              </w:rPr>
              <w:t>d</w:t>
            </w:r>
            <w:r w:rsidRPr="001842C0">
              <w:rPr>
                <w:rFonts w:ascii="Garamond" w:hAnsi="Garamond"/>
                <w:lang w:val="en-AU"/>
              </w:rPr>
              <w:t xml:space="preserve"> </w:t>
            </w:r>
            <w:r w:rsidRPr="001842C0">
              <w:rPr>
                <w:rFonts w:ascii="Garamond" w:hAnsi="Garamond"/>
                <w:b/>
                <w:lang w:val="en-AU"/>
              </w:rPr>
              <w:t>improved staff capacity</w:t>
            </w:r>
            <w:r w:rsidRPr="001842C0">
              <w:rPr>
                <w:rFonts w:ascii="Garamond" w:hAnsi="Garamond"/>
                <w:lang w:val="en-AU"/>
              </w:rPr>
              <w:t xml:space="preserve"> and </w:t>
            </w:r>
            <w:r w:rsidRPr="001842C0">
              <w:rPr>
                <w:rFonts w:ascii="Garamond" w:hAnsi="Garamond"/>
                <w:b/>
                <w:lang w:val="en-AU"/>
              </w:rPr>
              <w:t>good communication between hospital staff, community healthcare staff, and family members</w:t>
            </w:r>
            <w:r w:rsidRPr="001842C0">
              <w:rPr>
                <w:rFonts w:ascii="Garamond" w:hAnsi="Garamond"/>
                <w:lang w:val="en-AU"/>
              </w:rPr>
              <w:t>.</w:t>
            </w:r>
          </w:p>
        </w:tc>
      </w:tr>
    </w:tbl>
    <w:p w:rsidR="002C2A03" w:rsidRDefault="002C2A03" w:rsidP="002C2A03">
      <w:pPr>
        <w:keepNext/>
        <w:keepLines/>
        <w:tabs>
          <w:tab w:val="left" w:pos="2114"/>
        </w:tabs>
        <w:autoSpaceDE w:val="0"/>
        <w:autoSpaceDN w:val="0"/>
        <w:adjustRightInd w:val="0"/>
        <w:rPr>
          <w:rFonts w:ascii="Garamond" w:hAnsi="Garamond"/>
          <w:lang w:val="en-AU"/>
        </w:rPr>
      </w:pPr>
    </w:p>
    <w:p w:rsidR="002C2A03" w:rsidRDefault="002C2A03" w:rsidP="002C2A03">
      <w:pPr>
        <w:keepNext/>
        <w:keepLines/>
        <w:tabs>
          <w:tab w:val="left" w:pos="2114"/>
        </w:tabs>
        <w:autoSpaceDE w:val="0"/>
        <w:autoSpaceDN w:val="0"/>
        <w:adjustRightInd w:val="0"/>
        <w:rPr>
          <w:rFonts w:ascii="Garamond" w:hAnsi="Garamond"/>
          <w:lang w:val="en-AU"/>
        </w:rPr>
      </w:pPr>
      <w:r w:rsidRPr="00412C64">
        <w:rPr>
          <w:rFonts w:ascii="Garamond" w:hAnsi="Garamond"/>
          <w:lang w:val="en-AU"/>
        </w:rPr>
        <w:t xml:space="preserve">For information on the Commission’s work on </w:t>
      </w:r>
      <w:r>
        <w:rPr>
          <w:rFonts w:ascii="Garamond" w:hAnsi="Garamond"/>
          <w:lang w:val="en-AU"/>
        </w:rPr>
        <w:t>communicating for safety</w:t>
      </w:r>
      <w:r w:rsidRPr="00412C64">
        <w:rPr>
          <w:rFonts w:ascii="Garamond" w:hAnsi="Garamond"/>
          <w:lang w:val="en-AU"/>
        </w:rPr>
        <w:t>,</w:t>
      </w:r>
      <w:r>
        <w:rPr>
          <w:rFonts w:ascii="Garamond" w:hAnsi="Garamond"/>
          <w:lang w:val="en-AU"/>
        </w:rPr>
        <w:t xml:space="preserve"> including clinical handover,</w:t>
      </w:r>
      <w:r w:rsidRPr="00412C64">
        <w:rPr>
          <w:rFonts w:ascii="Garamond" w:hAnsi="Garamond"/>
          <w:lang w:val="en-AU"/>
        </w:rPr>
        <w:t xml:space="preserve"> see</w:t>
      </w:r>
      <w:r>
        <w:rPr>
          <w:rFonts w:ascii="Garamond" w:hAnsi="Garamond"/>
          <w:lang w:val="en-AU"/>
        </w:rPr>
        <w:t xml:space="preserve"> </w:t>
      </w:r>
      <w:hyperlink r:id="rId26" w:history="1">
        <w:r w:rsidRPr="00E752BE">
          <w:rPr>
            <w:rStyle w:val="Hyperlink"/>
            <w:rFonts w:ascii="Garamond" w:hAnsi="Garamond"/>
            <w:lang w:val="en-AU"/>
          </w:rPr>
          <w:t>https://www.safetyandquality.gov.au/our-work/communicating-safety</w:t>
        </w:r>
      </w:hyperlink>
    </w:p>
    <w:p w:rsidR="002C2A03" w:rsidRDefault="002C2A03" w:rsidP="002C2A03">
      <w:pPr>
        <w:keepNext/>
        <w:keepLines/>
        <w:tabs>
          <w:tab w:val="left" w:pos="2114"/>
        </w:tabs>
        <w:autoSpaceDE w:val="0"/>
        <w:autoSpaceDN w:val="0"/>
        <w:adjustRightInd w:val="0"/>
        <w:rPr>
          <w:rFonts w:ascii="Garamond" w:hAnsi="Garamond"/>
          <w:i/>
          <w:lang w:val="en-AU"/>
        </w:rPr>
      </w:pPr>
    </w:p>
    <w:p w:rsidR="00F63671" w:rsidRPr="00FD5656" w:rsidRDefault="00FD5656" w:rsidP="00D8388B">
      <w:pPr>
        <w:keepLines/>
        <w:tabs>
          <w:tab w:val="left" w:pos="2114"/>
        </w:tabs>
        <w:autoSpaceDE w:val="0"/>
        <w:autoSpaceDN w:val="0"/>
        <w:adjustRightInd w:val="0"/>
        <w:rPr>
          <w:rFonts w:ascii="Garamond" w:hAnsi="Garamond"/>
          <w:i/>
          <w:lang w:val="en-AU"/>
        </w:rPr>
      </w:pPr>
      <w:r w:rsidRPr="00FD5656">
        <w:rPr>
          <w:rFonts w:ascii="Garamond" w:hAnsi="Garamond"/>
          <w:i/>
          <w:lang w:val="en-AU"/>
        </w:rPr>
        <w:t>External Validation of a Widely Implemented Proprietary Sepsis Prediction Model in Hospitalized Patients</w:t>
      </w:r>
    </w:p>
    <w:p w:rsidR="00A96CB2" w:rsidRDefault="00A96CB2" w:rsidP="00D8388B">
      <w:pPr>
        <w:keepLines/>
        <w:tabs>
          <w:tab w:val="left" w:pos="2114"/>
        </w:tabs>
        <w:autoSpaceDE w:val="0"/>
        <w:autoSpaceDN w:val="0"/>
        <w:adjustRightInd w:val="0"/>
        <w:rPr>
          <w:rFonts w:ascii="Garamond" w:hAnsi="Garamond"/>
          <w:lang w:val="en-AU"/>
        </w:rPr>
      </w:pPr>
      <w:r w:rsidRPr="00A96CB2">
        <w:rPr>
          <w:rFonts w:ascii="Garamond" w:hAnsi="Garamond"/>
          <w:lang w:val="en-AU"/>
        </w:rPr>
        <w:t>Wong A, Otles E, Donnelly JP, Krumm A, McCullough J, DeTroyer-Cooley O, et al</w:t>
      </w:r>
    </w:p>
    <w:p w:rsidR="00FD5656" w:rsidRDefault="00A96CB2" w:rsidP="00D8388B">
      <w:pPr>
        <w:keepLines/>
        <w:tabs>
          <w:tab w:val="left" w:pos="2114"/>
        </w:tabs>
        <w:autoSpaceDE w:val="0"/>
        <w:autoSpaceDN w:val="0"/>
        <w:adjustRightInd w:val="0"/>
        <w:rPr>
          <w:rFonts w:ascii="Garamond" w:hAnsi="Garamond"/>
          <w:lang w:val="en-AU"/>
        </w:rPr>
      </w:pPr>
      <w:r w:rsidRPr="00A96CB2">
        <w:rPr>
          <w:rFonts w:ascii="Garamond" w:hAnsi="Garamond"/>
          <w:lang w:val="en-AU"/>
        </w:rPr>
        <w:t>JAMA Internal Medicine. 2021</w:t>
      </w:r>
      <w:r>
        <w:rPr>
          <w:rFonts w:ascii="Garamond" w:hAnsi="Garamond"/>
          <w:lang w:val="en-AU"/>
        </w:rPr>
        <w:t xml:space="preserve"> [epub]</w:t>
      </w:r>
      <w:r w:rsidRPr="00A96CB2">
        <w:rPr>
          <w:rFonts w:ascii="Garamond" w:hAnsi="Garamond"/>
          <w:lang w:val="en-AU"/>
        </w:rPr>
        <w:t>.</w:t>
      </w:r>
    </w:p>
    <w:p w:rsidR="00A96CB2" w:rsidRDefault="00A96CB2" w:rsidP="00D8388B">
      <w:pPr>
        <w:keepLines/>
        <w:tabs>
          <w:tab w:val="left" w:pos="2114"/>
        </w:tabs>
        <w:autoSpaceDE w:val="0"/>
        <w:autoSpaceDN w:val="0"/>
        <w:adjustRightInd w:val="0"/>
        <w:rPr>
          <w:rFonts w:ascii="Garamond" w:hAnsi="Garamond"/>
          <w:lang w:val="en-AU"/>
        </w:rPr>
      </w:pPr>
    </w:p>
    <w:p w:rsidR="00FD5656" w:rsidRPr="00FD5656" w:rsidRDefault="00FD5656" w:rsidP="00D8388B">
      <w:pPr>
        <w:keepLines/>
        <w:tabs>
          <w:tab w:val="left" w:pos="2114"/>
        </w:tabs>
        <w:autoSpaceDE w:val="0"/>
        <w:autoSpaceDN w:val="0"/>
        <w:adjustRightInd w:val="0"/>
        <w:rPr>
          <w:rFonts w:ascii="Garamond" w:hAnsi="Garamond"/>
          <w:i/>
          <w:lang w:val="en-AU"/>
        </w:rPr>
      </w:pPr>
      <w:r w:rsidRPr="00FD5656">
        <w:rPr>
          <w:rFonts w:ascii="Garamond" w:hAnsi="Garamond"/>
          <w:i/>
          <w:lang w:val="en-AU"/>
        </w:rPr>
        <w:t>The Epic Sepsis Model Falls Short—The Importance of External Validation</w:t>
      </w:r>
    </w:p>
    <w:p w:rsidR="00A96CB2" w:rsidRDefault="00A96CB2" w:rsidP="00D8388B">
      <w:pPr>
        <w:keepLines/>
        <w:tabs>
          <w:tab w:val="left" w:pos="2114"/>
        </w:tabs>
        <w:autoSpaceDE w:val="0"/>
        <w:autoSpaceDN w:val="0"/>
        <w:adjustRightInd w:val="0"/>
        <w:rPr>
          <w:rFonts w:ascii="Garamond" w:hAnsi="Garamond"/>
          <w:lang w:val="en-AU"/>
        </w:rPr>
      </w:pPr>
      <w:r w:rsidRPr="00A96CB2">
        <w:rPr>
          <w:rFonts w:ascii="Garamond" w:hAnsi="Garamond"/>
          <w:lang w:val="en-AU"/>
        </w:rPr>
        <w:t>Habib AR, Lin AL, Grant RW</w:t>
      </w:r>
    </w:p>
    <w:p w:rsidR="00FD5656" w:rsidRDefault="00A96CB2" w:rsidP="00D8388B">
      <w:pPr>
        <w:keepLines/>
        <w:tabs>
          <w:tab w:val="left" w:pos="2114"/>
        </w:tabs>
        <w:autoSpaceDE w:val="0"/>
        <w:autoSpaceDN w:val="0"/>
        <w:adjustRightInd w:val="0"/>
        <w:rPr>
          <w:rFonts w:ascii="Garamond" w:hAnsi="Garamond"/>
          <w:lang w:val="en-AU"/>
        </w:rPr>
      </w:pPr>
      <w:r w:rsidRPr="00A96CB2">
        <w:rPr>
          <w:rFonts w:ascii="Garamond" w:hAnsi="Garamond"/>
          <w:lang w:val="en-AU"/>
        </w:rPr>
        <w:t>JAMA Internal Medicine. 2021.</w:t>
      </w:r>
    </w:p>
    <w:p w:rsidR="00A96CB2" w:rsidRDefault="00A96CB2" w:rsidP="00D8388B">
      <w:pPr>
        <w:keepLines/>
        <w:tabs>
          <w:tab w:val="left" w:pos="2114"/>
        </w:tabs>
        <w:autoSpaceDE w:val="0"/>
        <w:autoSpaceDN w:val="0"/>
        <w:adjustRightInd w:val="0"/>
        <w:rPr>
          <w:rFonts w:ascii="Garamond" w:hAnsi="Garamond"/>
          <w:lang w:val="en-AU"/>
        </w:rPr>
      </w:pPr>
    </w:p>
    <w:p w:rsidR="00A96CB2" w:rsidRPr="00A96CB2" w:rsidRDefault="00A96CB2" w:rsidP="00D8388B">
      <w:pPr>
        <w:keepLines/>
        <w:tabs>
          <w:tab w:val="left" w:pos="2114"/>
        </w:tabs>
        <w:autoSpaceDE w:val="0"/>
        <w:autoSpaceDN w:val="0"/>
        <w:adjustRightInd w:val="0"/>
        <w:rPr>
          <w:rFonts w:ascii="Garamond" w:hAnsi="Garamond"/>
          <w:i/>
          <w:lang w:val="en-AU"/>
        </w:rPr>
      </w:pPr>
      <w:r w:rsidRPr="00A96CB2">
        <w:rPr>
          <w:rFonts w:ascii="Garamond" w:hAnsi="Garamond"/>
          <w:i/>
          <w:lang w:val="en-AU"/>
        </w:rPr>
        <w:t>Algorithmic Bias Playbook</w:t>
      </w:r>
    </w:p>
    <w:p w:rsidR="00A96CB2" w:rsidRDefault="00A96CB2" w:rsidP="00D8388B">
      <w:pPr>
        <w:keepLines/>
        <w:tabs>
          <w:tab w:val="left" w:pos="2114"/>
        </w:tabs>
        <w:autoSpaceDE w:val="0"/>
        <w:autoSpaceDN w:val="0"/>
        <w:adjustRightInd w:val="0"/>
        <w:rPr>
          <w:rFonts w:ascii="Garamond" w:hAnsi="Garamond"/>
          <w:lang w:val="en-AU"/>
        </w:rPr>
      </w:pPr>
      <w:r w:rsidRPr="00A96CB2">
        <w:rPr>
          <w:rFonts w:ascii="Garamond" w:hAnsi="Garamond"/>
          <w:lang w:val="en-AU"/>
        </w:rPr>
        <w:t>Obermeyer Z, Nissan R, Stern M, Eaneff S, Bembeneck EJ, Mullainathan S</w:t>
      </w:r>
    </w:p>
    <w:p w:rsidR="00A96CB2" w:rsidRPr="00BC1B53" w:rsidRDefault="00A96CB2" w:rsidP="00D8388B">
      <w:pPr>
        <w:keepLines/>
        <w:tabs>
          <w:tab w:val="left" w:pos="2114"/>
        </w:tabs>
        <w:autoSpaceDE w:val="0"/>
        <w:autoSpaceDN w:val="0"/>
        <w:adjustRightInd w:val="0"/>
        <w:rPr>
          <w:rFonts w:ascii="Garamond" w:hAnsi="Garamond"/>
          <w:lang w:val="en-AU"/>
        </w:rPr>
      </w:pPr>
      <w:r w:rsidRPr="00A96CB2">
        <w:rPr>
          <w:rFonts w:ascii="Garamond" w:hAnsi="Garamond"/>
          <w:lang w:val="en-AU"/>
        </w:rPr>
        <w:t>Chicago: Center for Applied AI at the University of Chicago Booth School of Business; 2021. p. 21.</w:t>
      </w:r>
    </w:p>
    <w:tbl>
      <w:tblPr>
        <w:tblStyle w:val="TableGrid"/>
        <w:tblW w:w="9360" w:type="dxa"/>
        <w:tblInd w:w="288" w:type="dxa"/>
        <w:tblLayout w:type="fixed"/>
        <w:tblLook w:val="01E0" w:firstRow="1" w:lastRow="1" w:firstColumn="1" w:lastColumn="1" w:noHBand="0" w:noVBand="0"/>
      </w:tblPr>
      <w:tblGrid>
        <w:gridCol w:w="1080"/>
        <w:gridCol w:w="8280"/>
      </w:tblGrid>
      <w:tr w:rsidR="00F63671" w:rsidRPr="000170DA" w:rsidTr="00B620E0">
        <w:tc>
          <w:tcPr>
            <w:tcW w:w="1080" w:type="dxa"/>
            <w:tcBorders>
              <w:top w:val="single" w:sz="4" w:space="0" w:color="auto"/>
              <w:left w:val="single" w:sz="4" w:space="0" w:color="auto"/>
              <w:bottom w:val="single" w:sz="4" w:space="0" w:color="auto"/>
              <w:right w:val="single" w:sz="4" w:space="0" w:color="auto"/>
            </w:tcBorders>
            <w:vAlign w:val="center"/>
          </w:tcPr>
          <w:p w:rsidR="00F63671" w:rsidRPr="000170DA" w:rsidRDefault="00F63671" w:rsidP="00D838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Default="00FD5656" w:rsidP="00D8388B">
            <w:pPr>
              <w:rPr>
                <w:rStyle w:val="Hyperlink"/>
                <w:rFonts w:ascii="Garamond" w:hAnsi="Garamond"/>
                <w:color w:val="auto"/>
                <w:u w:val="none"/>
                <w:lang w:val="en-AU"/>
              </w:rPr>
            </w:pPr>
            <w:r>
              <w:rPr>
                <w:rStyle w:val="Hyperlink"/>
                <w:rFonts w:ascii="Garamond" w:hAnsi="Garamond"/>
                <w:color w:val="auto"/>
                <w:u w:val="none"/>
                <w:lang w:val="en-AU"/>
              </w:rPr>
              <w:t xml:space="preserve">Wong et al </w:t>
            </w:r>
            <w:hyperlink r:id="rId27" w:history="1">
              <w:r w:rsidRPr="00E752BE">
                <w:rPr>
                  <w:rStyle w:val="Hyperlink"/>
                  <w:rFonts w:ascii="Garamond" w:hAnsi="Garamond"/>
                  <w:lang w:val="en-AU"/>
                </w:rPr>
                <w:t>https://doi.org/10.1001/jamainternmed.2021.2626</w:t>
              </w:r>
            </w:hyperlink>
          </w:p>
          <w:p w:rsidR="00FD5656" w:rsidRDefault="00FD5656" w:rsidP="00D8388B">
            <w:pPr>
              <w:rPr>
                <w:rStyle w:val="Hyperlink"/>
                <w:rFonts w:ascii="Garamond" w:hAnsi="Garamond"/>
                <w:color w:val="auto"/>
                <w:u w:val="none"/>
                <w:lang w:val="en-AU"/>
              </w:rPr>
            </w:pPr>
            <w:r>
              <w:rPr>
                <w:rStyle w:val="Hyperlink"/>
                <w:rFonts w:ascii="Garamond" w:hAnsi="Garamond"/>
                <w:color w:val="auto"/>
                <w:u w:val="none"/>
                <w:lang w:val="en-AU"/>
              </w:rPr>
              <w:t>Habib et al</w:t>
            </w:r>
            <w:r w:rsidR="00A96CB2">
              <w:rPr>
                <w:rStyle w:val="Hyperlink"/>
                <w:rFonts w:ascii="Garamond" w:hAnsi="Garamond"/>
                <w:color w:val="auto"/>
                <w:u w:val="none"/>
                <w:lang w:val="en-AU"/>
              </w:rPr>
              <w:t xml:space="preserve"> </w:t>
            </w:r>
            <w:hyperlink r:id="rId28" w:history="1">
              <w:r w:rsidR="00A96CB2" w:rsidRPr="00E752BE">
                <w:rPr>
                  <w:rStyle w:val="Hyperlink"/>
                  <w:rFonts w:ascii="Garamond" w:hAnsi="Garamond"/>
                  <w:lang w:val="en-AU"/>
                </w:rPr>
                <w:t>https://doi.org/10.1001/jamainternmed.2021.3333</w:t>
              </w:r>
            </w:hyperlink>
          </w:p>
          <w:p w:rsidR="00A96CB2" w:rsidRPr="000170DA" w:rsidRDefault="00A96CB2" w:rsidP="00D8388B">
            <w:pPr>
              <w:rPr>
                <w:rStyle w:val="Hyperlink"/>
                <w:rFonts w:ascii="Garamond" w:hAnsi="Garamond"/>
                <w:color w:val="auto"/>
                <w:u w:val="none"/>
                <w:lang w:val="en-AU"/>
              </w:rPr>
            </w:pPr>
            <w:r>
              <w:rPr>
                <w:rStyle w:val="Hyperlink"/>
                <w:rFonts w:ascii="Garamond" w:hAnsi="Garamond"/>
                <w:color w:val="auto"/>
                <w:u w:val="none"/>
                <w:lang w:val="en-AU"/>
              </w:rPr>
              <w:t xml:space="preserve">Obermeyer et al </w:t>
            </w:r>
            <w:hyperlink r:id="rId29" w:history="1">
              <w:r w:rsidRPr="00E752BE">
                <w:rPr>
                  <w:rStyle w:val="Hyperlink"/>
                  <w:rFonts w:ascii="Garamond" w:hAnsi="Garamond"/>
                  <w:lang w:val="en-AU"/>
                </w:rPr>
                <w:t>https://www.chicagobooth.edu/-/media/project/chicago-booth/centers/caai/docs/algorithmic-bias-playbook-june-2021.pdf</w:t>
              </w:r>
            </w:hyperlink>
          </w:p>
        </w:tc>
      </w:tr>
      <w:tr w:rsidR="00F63671" w:rsidRPr="000170DA" w:rsidTr="00B620E0">
        <w:tc>
          <w:tcPr>
            <w:tcW w:w="1080" w:type="dxa"/>
            <w:tcBorders>
              <w:top w:val="single" w:sz="4" w:space="0" w:color="auto"/>
              <w:left w:val="single" w:sz="4" w:space="0" w:color="auto"/>
              <w:bottom w:val="single" w:sz="4" w:space="0" w:color="auto"/>
              <w:right w:val="single" w:sz="4" w:space="0" w:color="auto"/>
            </w:tcBorders>
            <w:vAlign w:val="center"/>
          </w:tcPr>
          <w:p w:rsidR="00F63671" w:rsidRPr="000170DA" w:rsidRDefault="00F63671" w:rsidP="00D838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Default="00EC1D9D" w:rsidP="00D8388B">
            <w:pPr>
              <w:rPr>
                <w:rFonts w:ascii="Garamond" w:hAnsi="Garamond"/>
                <w:lang w:val="en-AU"/>
              </w:rPr>
            </w:pPr>
            <w:r>
              <w:rPr>
                <w:rFonts w:ascii="Garamond" w:hAnsi="Garamond"/>
                <w:lang w:val="en-AU"/>
              </w:rPr>
              <w:t xml:space="preserve">Wong et al </w:t>
            </w:r>
            <w:r w:rsidR="00A96CB2">
              <w:rPr>
                <w:rFonts w:ascii="Garamond" w:hAnsi="Garamond"/>
                <w:lang w:val="en-AU"/>
              </w:rPr>
              <w:t>evaluated the proprietary sepsis prediction model in use in many hospitals in the USA to determine its accuracy and to determine its potential clinical value compared to usual care. This was a r</w:t>
            </w:r>
            <w:r w:rsidR="00A96CB2" w:rsidRPr="00A96CB2">
              <w:rPr>
                <w:rFonts w:ascii="Garamond" w:hAnsi="Garamond"/>
                <w:lang w:val="en-AU"/>
              </w:rPr>
              <w:t>etrospective cohort study conducted among 27</w:t>
            </w:r>
            <w:r w:rsidR="00A96CB2">
              <w:rPr>
                <w:rFonts w:ascii="Garamond" w:hAnsi="Garamond"/>
                <w:lang w:val="en-AU"/>
              </w:rPr>
              <w:t>,</w:t>
            </w:r>
            <w:r w:rsidR="00A96CB2" w:rsidRPr="00A96CB2">
              <w:rPr>
                <w:rFonts w:ascii="Garamond" w:hAnsi="Garamond"/>
                <w:lang w:val="en-AU"/>
              </w:rPr>
              <w:t xml:space="preserve">697 </w:t>
            </w:r>
            <w:r w:rsidR="00A96CB2">
              <w:rPr>
                <w:rFonts w:ascii="Garamond" w:hAnsi="Garamond"/>
                <w:lang w:val="en-AU"/>
              </w:rPr>
              <w:t xml:space="preserve">adult </w:t>
            </w:r>
            <w:r w:rsidR="00A96CB2" w:rsidRPr="00A96CB2">
              <w:rPr>
                <w:rFonts w:ascii="Garamond" w:hAnsi="Garamond"/>
                <w:lang w:val="en-AU"/>
              </w:rPr>
              <w:t>patients admitted to Michigan Medicine, the academic health system of the University of Michigan, Ann Arbor, with 38</w:t>
            </w:r>
            <w:r w:rsidR="00A96CB2">
              <w:rPr>
                <w:rFonts w:ascii="Garamond" w:hAnsi="Garamond"/>
                <w:lang w:val="en-AU"/>
              </w:rPr>
              <w:t>,455 hospitalis</w:t>
            </w:r>
            <w:r w:rsidR="00A96CB2" w:rsidRPr="00A96CB2">
              <w:rPr>
                <w:rFonts w:ascii="Garamond" w:hAnsi="Garamond"/>
                <w:lang w:val="en-AU"/>
              </w:rPr>
              <w:t xml:space="preserve">ations between </w:t>
            </w:r>
            <w:r w:rsidR="00A96CB2">
              <w:rPr>
                <w:rFonts w:ascii="Garamond" w:hAnsi="Garamond"/>
                <w:lang w:val="en-AU"/>
              </w:rPr>
              <w:t xml:space="preserve">6 </w:t>
            </w:r>
            <w:r w:rsidR="00A96CB2" w:rsidRPr="00A96CB2">
              <w:rPr>
                <w:rFonts w:ascii="Garamond" w:hAnsi="Garamond"/>
                <w:lang w:val="en-AU"/>
              </w:rPr>
              <w:t xml:space="preserve">December 2018, and </w:t>
            </w:r>
            <w:r w:rsidR="00A96CB2">
              <w:rPr>
                <w:rFonts w:ascii="Garamond" w:hAnsi="Garamond"/>
                <w:lang w:val="en-AU"/>
              </w:rPr>
              <w:t xml:space="preserve">20 </w:t>
            </w:r>
            <w:r w:rsidR="00A96CB2" w:rsidRPr="00A96CB2">
              <w:rPr>
                <w:rFonts w:ascii="Garamond" w:hAnsi="Garamond"/>
                <w:lang w:val="en-AU"/>
              </w:rPr>
              <w:t>October 2019</w:t>
            </w:r>
            <w:r w:rsidR="00A332DB">
              <w:rPr>
                <w:rFonts w:ascii="Garamond" w:hAnsi="Garamond"/>
                <w:lang w:val="en-AU"/>
              </w:rPr>
              <w:t xml:space="preserve"> </w:t>
            </w:r>
            <w:r w:rsidR="00A332DB" w:rsidRPr="00A332DB">
              <w:rPr>
                <w:rFonts w:ascii="Garamond" w:hAnsi="Garamond"/>
                <w:lang w:val="en-AU"/>
              </w:rPr>
              <w:t>of whom sepsis occurred in 2552 (7%)</w:t>
            </w:r>
            <w:r w:rsidR="00A96CB2" w:rsidRPr="00A96CB2">
              <w:rPr>
                <w:rFonts w:ascii="Garamond" w:hAnsi="Garamond"/>
                <w:lang w:val="en-AU"/>
              </w:rPr>
              <w:t>.</w:t>
            </w:r>
            <w:r w:rsidR="00382C2C">
              <w:rPr>
                <w:rFonts w:ascii="Garamond" w:hAnsi="Garamond"/>
                <w:lang w:val="en-AU"/>
              </w:rPr>
              <w:t xml:space="preserve"> The study found that Epic Sepsis Model (ESM) </w:t>
            </w:r>
            <w:r w:rsidR="00A332DB">
              <w:rPr>
                <w:rFonts w:ascii="Garamond" w:hAnsi="Garamond"/>
                <w:lang w:val="en-AU"/>
              </w:rPr>
              <w:t>‘</w:t>
            </w:r>
            <w:r w:rsidR="00A332DB" w:rsidRPr="00A332DB">
              <w:rPr>
                <w:rFonts w:ascii="Garamond" w:hAnsi="Garamond"/>
                <w:lang w:val="en-AU"/>
              </w:rPr>
              <w:t>identified 183 of 2552 patients with sepsis (7%) who did not receive timely administration of antibiotics, highlighting the low sensitivity of the ESM in comparison with contemporary clinical practice. The ESM also did not identify 1709 patients with sepsis (67%) despite generating alerts for an ESM score of 6 or higher for 6971 of all 38</w:t>
            </w:r>
            <w:r w:rsidR="00A332DB" w:rsidRPr="00A332DB">
              <w:rPr>
                <w:lang w:val="en-AU"/>
              </w:rPr>
              <w:t> </w:t>
            </w:r>
            <w:r w:rsidR="00A332DB" w:rsidRPr="00A332DB">
              <w:rPr>
                <w:rFonts w:ascii="Garamond" w:hAnsi="Garamond"/>
                <w:lang w:val="en-AU"/>
              </w:rPr>
              <w:t>455 hospitalized patients (18%), thus creating a large burden of alert fatigue.</w:t>
            </w:r>
            <w:r w:rsidR="00A332DB">
              <w:rPr>
                <w:rFonts w:ascii="Garamond" w:hAnsi="Garamond"/>
                <w:lang w:val="en-AU"/>
              </w:rPr>
              <w:t>’</w:t>
            </w:r>
            <w:r w:rsidR="00D8388B">
              <w:rPr>
                <w:rFonts w:ascii="Garamond" w:hAnsi="Garamond"/>
                <w:lang w:val="en-AU"/>
              </w:rPr>
              <w:t xml:space="preserve"> The authors concluded that ‘</w:t>
            </w:r>
            <w:r w:rsidR="00D8388B" w:rsidRPr="00D8388B">
              <w:rPr>
                <w:rFonts w:ascii="Garamond" w:hAnsi="Garamond"/>
                <w:lang w:val="en-AU"/>
              </w:rPr>
              <w:t>the ESM has poor discrimination and calibration in predicting the onset of sepsis. The widespread adoption of the ESM despite its poor performance raises fundamental concerns about sepsis management on a national level.</w:t>
            </w:r>
            <w:r w:rsidR="00D8388B">
              <w:rPr>
                <w:rFonts w:ascii="Garamond" w:hAnsi="Garamond"/>
                <w:lang w:val="en-AU"/>
              </w:rPr>
              <w:t>’</w:t>
            </w:r>
          </w:p>
          <w:p w:rsidR="00D8388B" w:rsidRDefault="00FD5656" w:rsidP="00D8388B">
            <w:pPr>
              <w:rPr>
                <w:rFonts w:ascii="Garamond" w:hAnsi="Garamond"/>
                <w:lang w:val="en-AU"/>
              </w:rPr>
            </w:pPr>
            <w:r>
              <w:rPr>
                <w:rFonts w:ascii="Garamond" w:hAnsi="Garamond"/>
                <w:lang w:val="en-AU"/>
              </w:rPr>
              <w:t xml:space="preserve">In a related editorial, Habib </w:t>
            </w:r>
            <w:r w:rsidR="00D8388B">
              <w:rPr>
                <w:rFonts w:ascii="Garamond" w:hAnsi="Garamond"/>
                <w:lang w:val="en-AU"/>
              </w:rPr>
              <w:t xml:space="preserve">et al </w:t>
            </w:r>
            <w:r w:rsidR="00A332DB">
              <w:rPr>
                <w:rFonts w:ascii="Garamond" w:hAnsi="Garamond"/>
                <w:lang w:val="en-AU"/>
              </w:rPr>
              <w:t>noted that the study ‘</w:t>
            </w:r>
            <w:r w:rsidR="00A332DB" w:rsidRPr="00A332DB">
              <w:rPr>
                <w:rFonts w:ascii="Garamond" w:hAnsi="Garamond"/>
                <w:lang w:val="en-AU"/>
              </w:rPr>
              <w:t>found that the ESM had a sensitivity of 33%, specificity of 83%, positive predictive value of 12%, and negative predictive value of 95%, with an area under the curve of 0.63 (95% CI, 0.62-0.64).</w:t>
            </w:r>
            <w:r w:rsidR="00A332DB">
              <w:rPr>
                <w:rFonts w:ascii="Garamond" w:hAnsi="Garamond"/>
                <w:lang w:val="en-AU"/>
              </w:rPr>
              <w:t>’</w:t>
            </w:r>
            <w:r w:rsidR="00D8388B">
              <w:rPr>
                <w:rFonts w:ascii="Garamond" w:hAnsi="Garamond"/>
                <w:lang w:val="en-AU"/>
              </w:rPr>
              <w:t xml:space="preserve"> They also observed that such models need to be better calibrated for the population served and suggest that ‘</w:t>
            </w:r>
            <w:r w:rsidR="00D8388B" w:rsidRPr="00D8388B">
              <w:rPr>
                <w:rFonts w:ascii="Garamond" w:hAnsi="Garamond"/>
                <w:lang w:val="en-AU"/>
              </w:rPr>
              <w:t xml:space="preserve">Keys to the effective use of prediction models are: </w:t>
            </w:r>
          </w:p>
          <w:p w:rsidR="00D8388B" w:rsidRPr="00D8388B" w:rsidRDefault="00D8388B" w:rsidP="00D8388B">
            <w:pPr>
              <w:pStyle w:val="ListParagraph"/>
              <w:numPr>
                <w:ilvl w:val="0"/>
                <w:numId w:val="25"/>
              </w:numPr>
              <w:rPr>
                <w:rFonts w:ascii="Garamond" w:hAnsi="Garamond"/>
                <w:lang w:val="en-AU"/>
              </w:rPr>
            </w:pPr>
            <w:r w:rsidRPr="00D8388B">
              <w:rPr>
                <w:rFonts w:ascii="Garamond" w:hAnsi="Garamond"/>
                <w:lang w:val="en-AU"/>
              </w:rPr>
              <w:t xml:space="preserve">moving toward open-access models or enjoining proprietary model creators to provide end users with validation studies that detail original data that are used and variable selection, </w:t>
            </w:r>
          </w:p>
          <w:p w:rsidR="00D8388B" w:rsidRPr="00D8388B" w:rsidRDefault="00D8388B" w:rsidP="00D8388B">
            <w:pPr>
              <w:pStyle w:val="ListParagraph"/>
              <w:numPr>
                <w:ilvl w:val="0"/>
                <w:numId w:val="25"/>
              </w:numPr>
              <w:rPr>
                <w:rFonts w:ascii="Garamond" w:hAnsi="Garamond"/>
                <w:lang w:val="en-AU"/>
              </w:rPr>
            </w:pPr>
            <w:r w:rsidRPr="00D8388B">
              <w:rPr>
                <w:rFonts w:ascii="Garamond" w:hAnsi="Garamond"/>
                <w:lang w:val="en-AU"/>
              </w:rPr>
              <w:t xml:space="preserve">having the appropriate staff to evaluate performance in each hospital’s own clinical setting, </w:t>
            </w:r>
          </w:p>
          <w:p w:rsidR="00D8388B" w:rsidRPr="00D8388B" w:rsidRDefault="00D8388B" w:rsidP="00D8388B">
            <w:pPr>
              <w:pStyle w:val="ListParagraph"/>
              <w:numPr>
                <w:ilvl w:val="0"/>
                <w:numId w:val="25"/>
              </w:numPr>
              <w:rPr>
                <w:rFonts w:ascii="Garamond" w:hAnsi="Garamond"/>
                <w:lang w:val="en-AU"/>
              </w:rPr>
            </w:pPr>
            <w:r w:rsidRPr="00D8388B">
              <w:rPr>
                <w:rFonts w:ascii="Garamond" w:hAnsi="Garamond"/>
                <w:lang w:val="en-AU"/>
              </w:rPr>
              <w:t xml:space="preserve">developing well-considered workflows by collaborating closely with primary stakeholders and end users to focus on the optimal use strategy (eg, when is information presented, to whom, and how often?), </w:t>
            </w:r>
          </w:p>
          <w:p w:rsidR="00D8388B" w:rsidRPr="00D8388B" w:rsidRDefault="00D8388B" w:rsidP="00D8388B">
            <w:pPr>
              <w:pStyle w:val="ListParagraph"/>
              <w:numPr>
                <w:ilvl w:val="0"/>
                <w:numId w:val="25"/>
              </w:numPr>
              <w:rPr>
                <w:rFonts w:ascii="Garamond" w:hAnsi="Garamond"/>
                <w:lang w:val="en-AU"/>
              </w:rPr>
            </w:pPr>
            <w:r w:rsidRPr="00D8388B">
              <w:rPr>
                <w:rFonts w:ascii="Garamond" w:hAnsi="Garamond"/>
                <w:lang w:val="en-AU"/>
              </w:rPr>
              <w:t xml:space="preserve">maintaining a culture of independent clinical thinking so that model results inform but do not supplant the clinician’s interpretation of the patient’s clinical presentation, and </w:t>
            </w:r>
          </w:p>
          <w:p w:rsidR="00FD5656" w:rsidRPr="00D8388B" w:rsidRDefault="00D8388B" w:rsidP="00D8388B">
            <w:pPr>
              <w:pStyle w:val="ListParagraph"/>
              <w:numPr>
                <w:ilvl w:val="0"/>
                <w:numId w:val="25"/>
              </w:numPr>
              <w:rPr>
                <w:rFonts w:ascii="Garamond" w:hAnsi="Garamond"/>
                <w:lang w:val="en-AU"/>
              </w:rPr>
            </w:pPr>
            <w:r w:rsidRPr="00D8388B">
              <w:rPr>
                <w:rFonts w:ascii="Garamond" w:hAnsi="Garamond"/>
                <w:lang w:val="en-AU"/>
              </w:rPr>
              <w:t>designing a future-oriented governance strategy to iteratively recalibrate or retire models as they age beyond their initial validation.’</w:t>
            </w:r>
          </w:p>
          <w:p w:rsidR="00A96CB2" w:rsidRPr="00F8243D" w:rsidRDefault="00FD5656" w:rsidP="00D8388B">
            <w:pPr>
              <w:rPr>
                <w:rFonts w:ascii="Garamond" w:hAnsi="Garamond"/>
                <w:lang w:val="en-AU"/>
              </w:rPr>
            </w:pPr>
            <w:r>
              <w:rPr>
                <w:rFonts w:ascii="Garamond" w:hAnsi="Garamond"/>
                <w:lang w:val="en-AU"/>
              </w:rPr>
              <w:t xml:space="preserve">Somewhat related to this is the whole issue of bias in algorithms. Bias can come from the data that the algorithms ‘learn’ from or from the assumptions </w:t>
            </w:r>
            <w:r w:rsidR="00A96CB2">
              <w:rPr>
                <w:rFonts w:ascii="Garamond" w:hAnsi="Garamond"/>
                <w:lang w:val="en-AU"/>
              </w:rPr>
              <w:t xml:space="preserve">underlying the algorithm. In response to these, a group at the University of Chicago has developed </w:t>
            </w:r>
            <w:r w:rsidR="00A96CB2" w:rsidRPr="00A96CB2">
              <w:rPr>
                <w:rFonts w:ascii="Garamond" w:hAnsi="Garamond"/>
                <w:lang w:val="en-AU"/>
              </w:rPr>
              <w:t xml:space="preserve">a playbook </w:t>
            </w:r>
            <w:r w:rsidR="00A96CB2">
              <w:rPr>
                <w:rFonts w:ascii="Garamond" w:hAnsi="Garamond"/>
                <w:lang w:val="en-AU"/>
              </w:rPr>
              <w:t xml:space="preserve">for </w:t>
            </w:r>
            <w:r w:rsidR="00A96CB2" w:rsidRPr="00A96CB2">
              <w:rPr>
                <w:rFonts w:ascii="Garamond" w:hAnsi="Garamond"/>
                <w:lang w:val="en-AU"/>
              </w:rPr>
              <w:t xml:space="preserve">providers, </w:t>
            </w:r>
            <w:r w:rsidR="00A96CB2">
              <w:rPr>
                <w:rFonts w:ascii="Garamond" w:hAnsi="Garamond"/>
                <w:lang w:val="en-AU"/>
              </w:rPr>
              <w:t xml:space="preserve">funders </w:t>
            </w:r>
            <w:r w:rsidR="00A96CB2" w:rsidRPr="00A96CB2">
              <w:rPr>
                <w:rFonts w:ascii="Garamond" w:hAnsi="Garamond"/>
                <w:lang w:val="en-AU"/>
              </w:rPr>
              <w:t>and other</w:t>
            </w:r>
            <w:r w:rsidR="00A96CB2">
              <w:rPr>
                <w:rFonts w:ascii="Garamond" w:hAnsi="Garamond"/>
                <w:lang w:val="en-AU"/>
              </w:rPr>
              <w:t xml:space="preserve">s </w:t>
            </w:r>
            <w:r w:rsidR="00A96CB2" w:rsidRPr="00A96CB2">
              <w:rPr>
                <w:rFonts w:ascii="Garamond" w:hAnsi="Garamond"/>
                <w:lang w:val="en-AU"/>
              </w:rPr>
              <w:t>to identify and eliminate bias in their tools.</w:t>
            </w:r>
            <w:r w:rsidR="005F3DAA">
              <w:rPr>
                <w:rFonts w:ascii="Garamond" w:hAnsi="Garamond"/>
                <w:lang w:val="en-AU"/>
              </w:rPr>
              <w:t xml:space="preserve"> This ‘playbook’ explicitly includes bias in healthcare algorithms.</w:t>
            </w:r>
          </w:p>
        </w:tc>
      </w:tr>
    </w:tbl>
    <w:p w:rsidR="002C2A03" w:rsidRDefault="002C2A03" w:rsidP="00412C64">
      <w:pPr>
        <w:keepNext/>
        <w:keepLines/>
        <w:tabs>
          <w:tab w:val="left" w:pos="2114"/>
        </w:tabs>
        <w:autoSpaceDE w:val="0"/>
        <w:autoSpaceDN w:val="0"/>
        <w:adjustRightInd w:val="0"/>
        <w:rPr>
          <w:rFonts w:ascii="Garamond" w:hAnsi="Garamond"/>
          <w:i/>
          <w:lang w:val="en-AU"/>
        </w:rPr>
      </w:pPr>
    </w:p>
    <w:p w:rsidR="00D8388B" w:rsidRPr="00060AFD" w:rsidRDefault="00D8388B" w:rsidP="00D8388B">
      <w:pPr>
        <w:keepNext/>
        <w:keepLines/>
        <w:tabs>
          <w:tab w:val="left" w:pos="2114"/>
        </w:tabs>
        <w:autoSpaceDE w:val="0"/>
        <w:autoSpaceDN w:val="0"/>
        <w:adjustRightInd w:val="0"/>
        <w:rPr>
          <w:rFonts w:ascii="Garamond" w:hAnsi="Garamond"/>
          <w:i/>
          <w:lang w:val="en-AU"/>
        </w:rPr>
      </w:pPr>
      <w:r w:rsidRPr="00060AFD">
        <w:rPr>
          <w:rFonts w:ascii="Garamond" w:hAnsi="Garamond"/>
          <w:i/>
          <w:lang w:val="en-AU"/>
        </w:rPr>
        <w:t>Variation in timely surgery for hip fracture by day and time of presentation: a nationwide prospective cohort study from the National Hip Fracture Database for England, Wales and Northern Ireland</w:t>
      </w:r>
    </w:p>
    <w:p w:rsidR="00D8388B" w:rsidRDefault="00D8388B" w:rsidP="00D8388B">
      <w:pPr>
        <w:keepNext/>
        <w:keepLines/>
        <w:tabs>
          <w:tab w:val="left" w:pos="2114"/>
        </w:tabs>
        <w:autoSpaceDE w:val="0"/>
        <w:autoSpaceDN w:val="0"/>
        <w:adjustRightInd w:val="0"/>
        <w:rPr>
          <w:rFonts w:ascii="Garamond" w:hAnsi="Garamond"/>
          <w:lang w:val="en-AU"/>
        </w:rPr>
      </w:pPr>
      <w:r>
        <w:rPr>
          <w:rFonts w:ascii="Garamond" w:hAnsi="Garamond"/>
          <w:lang w:val="en-AU"/>
        </w:rPr>
        <w:t>S</w:t>
      </w:r>
      <w:r w:rsidRPr="00060AFD">
        <w:rPr>
          <w:rFonts w:ascii="Garamond" w:hAnsi="Garamond"/>
          <w:lang w:val="en-AU"/>
        </w:rPr>
        <w:t>hah A, Matharu GS, Inman D, Fagan E, Johansen A, Judge A</w:t>
      </w:r>
    </w:p>
    <w:p w:rsidR="00D8388B" w:rsidRPr="00BC1B53" w:rsidRDefault="00D8388B" w:rsidP="00D8388B">
      <w:pPr>
        <w:keepNext/>
        <w:keepLines/>
        <w:tabs>
          <w:tab w:val="left" w:pos="2114"/>
        </w:tabs>
        <w:autoSpaceDE w:val="0"/>
        <w:autoSpaceDN w:val="0"/>
        <w:adjustRightInd w:val="0"/>
        <w:rPr>
          <w:rFonts w:ascii="Garamond" w:hAnsi="Garamond"/>
          <w:lang w:val="en-AU"/>
        </w:rPr>
      </w:pPr>
      <w:r w:rsidRPr="00060AFD">
        <w:rPr>
          <w:rFonts w:ascii="Garamond" w:hAnsi="Garamond"/>
          <w:lang w:val="en-AU"/>
        </w:rPr>
        <w:t>BMJ Quality &amp; Safety. 2021;30(7):559-566.</w:t>
      </w:r>
    </w:p>
    <w:tbl>
      <w:tblPr>
        <w:tblStyle w:val="TableGrid"/>
        <w:tblW w:w="9360" w:type="dxa"/>
        <w:tblInd w:w="288" w:type="dxa"/>
        <w:tblLayout w:type="fixed"/>
        <w:tblLook w:val="01E0" w:firstRow="1" w:lastRow="1" w:firstColumn="1" w:lastColumn="1" w:noHBand="0" w:noVBand="0"/>
      </w:tblPr>
      <w:tblGrid>
        <w:gridCol w:w="1080"/>
        <w:gridCol w:w="8280"/>
      </w:tblGrid>
      <w:tr w:rsidR="00D8388B" w:rsidRPr="000170DA" w:rsidTr="003B50FC">
        <w:tc>
          <w:tcPr>
            <w:tcW w:w="1080" w:type="dxa"/>
            <w:tcBorders>
              <w:top w:val="single" w:sz="4" w:space="0" w:color="auto"/>
              <w:left w:val="single" w:sz="4" w:space="0" w:color="auto"/>
              <w:bottom w:val="single" w:sz="4" w:space="0" w:color="auto"/>
              <w:right w:val="single" w:sz="4" w:space="0" w:color="auto"/>
            </w:tcBorders>
            <w:vAlign w:val="center"/>
          </w:tcPr>
          <w:p w:rsidR="00D8388B" w:rsidRPr="000170DA" w:rsidRDefault="00D8388B" w:rsidP="003B50F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388B" w:rsidRPr="000170DA" w:rsidRDefault="00204C6E" w:rsidP="003B50FC">
            <w:pPr>
              <w:rPr>
                <w:rStyle w:val="Hyperlink"/>
                <w:rFonts w:ascii="Garamond" w:hAnsi="Garamond"/>
                <w:color w:val="auto"/>
                <w:u w:val="none"/>
                <w:lang w:val="en-AU"/>
              </w:rPr>
            </w:pPr>
            <w:hyperlink r:id="rId30" w:history="1">
              <w:r w:rsidR="00D8388B" w:rsidRPr="005C46C4">
                <w:rPr>
                  <w:rStyle w:val="Hyperlink"/>
                  <w:rFonts w:ascii="Garamond" w:hAnsi="Garamond"/>
                  <w:lang w:val="en-AU"/>
                </w:rPr>
                <w:t>http://dx.doi.org/10.1136/bmjqs-2020-011196</w:t>
              </w:r>
            </w:hyperlink>
          </w:p>
        </w:tc>
      </w:tr>
      <w:tr w:rsidR="00D8388B" w:rsidRPr="000170DA" w:rsidTr="003B50FC">
        <w:tc>
          <w:tcPr>
            <w:tcW w:w="1080" w:type="dxa"/>
            <w:tcBorders>
              <w:top w:val="single" w:sz="4" w:space="0" w:color="auto"/>
              <w:left w:val="single" w:sz="4" w:space="0" w:color="auto"/>
              <w:bottom w:val="single" w:sz="4" w:space="0" w:color="auto"/>
              <w:right w:val="single" w:sz="4" w:space="0" w:color="auto"/>
            </w:tcBorders>
            <w:vAlign w:val="center"/>
          </w:tcPr>
          <w:p w:rsidR="00D8388B" w:rsidRPr="000170DA" w:rsidRDefault="00D8388B" w:rsidP="003B50F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388B" w:rsidRDefault="00D8388B" w:rsidP="003B50FC">
            <w:pPr>
              <w:rPr>
                <w:rFonts w:ascii="Garamond" w:hAnsi="Garamond"/>
                <w:lang w:val="en-AU"/>
              </w:rPr>
            </w:pPr>
            <w:r>
              <w:rPr>
                <w:rFonts w:ascii="Garamond" w:hAnsi="Garamond"/>
                <w:lang w:val="en-AU"/>
              </w:rPr>
              <w:t xml:space="preserve">For some years it has been considered that the door-to-surgery time is a marker of quality in the care of hip fracture patients. This </w:t>
            </w:r>
            <w:r w:rsidRPr="00DF6691">
              <w:rPr>
                <w:rFonts w:ascii="Garamond" w:hAnsi="Garamond"/>
                <w:lang w:val="en-AU"/>
              </w:rPr>
              <w:t xml:space="preserve">population-based cohort study used 2017 data from the </w:t>
            </w:r>
            <w:r>
              <w:rPr>
                <w:rFonts w:ascii="Garamond" w:hAnsi="Garamond"/>
                <w:lang w:val="en-AU"/>
              </w:rPr>
              <w:t xml:space="preserve">UK’s </w:t>
            </w:r>
            <w:r w:rsidRPr="00DF6691">
              <w:rPr>
                <w:rFonts w:ascii="Garamond" w:hAnsi="Garamond"/>
                <w:lang w:val="en-AU"/>
              </w:rPr>
              <w:t>National Hip Fracture Database, which recorded all patients aged 60 years and over who presented with a hip fracture at a hospital in England, Wales and Northern Ireland.</w:t>
            </w:r>
            <w:r>
              <w:rPr>
                <w:rFonts w:ascii="Garamond" w:hAnsi="Garamond"/>
                <w:lang w:val="en-AU"/>
              </w:rPr>
              <w:t xml:space="preserve"> Using data covering 68,977 patients frim 177 hospitals, the study found both an “evening” and a “night” effect as:</w:t>
            </w:r>
          </w:p>
          <w:p w:rsidR="00D8388B" w:rsidRDefault="00D8388B" w:rsidP="003B50FC">
            <w:pPr>
              <w:pStyle w:val="ListParagraph"/>
              <w:numPr>
                <w:ilvl w:val="0"/>
                <w:numId w:val="23"/>
              </w:numPr>
              <w:rPr>
                <w:rFonts w:ascii="Garamond" w:hAnsi="Garamond"/>
                <w:lang w:val="en-AU"/>
              </w:rPr>
            </w:pPr>
            <w:r w:rsidRPr="00DF6691">
              <w:rPr>
                <w:rFonts w:ascii="Garamond" w:hAnsi="Garamond"/>
                <w:lang w:val="en-AU"/>
              </w:rPr>
              <w:t>The average patient presenting during the day on Friday or Saturday was significantly less l</w:t>
            </w:r>
            <w:r>
              <w:rPr>
                <w:rFonts w:ascii="Garamond" w:hAnsi="Garamond"/>
                <w:lang w:val="en-AU"/>
              </w:rPr>
              <w:t>ikely to undergo prompt surgery</w:t>
            </w:r>
          </w:p>
          <w:p w:rsidR="00D8388B" w:rsidRDefault="00D8388B" w:rsidP="003B50FC">
            <w:pPr>
              <w:pStyle w:val="ListParagraph"/>
              <w:numPr>
                <w:ilvl w:val="0"/>
                <w:numId w:val="23"/>
              </w:numPr>
              <w:rPr>
                <w:rFonts w:ascii="Garamond" w:hAnsi="Garamond"/>
                <w:lang w:val="en-AU"/>
              </w:rPr>
            </w:pPr>
            <w:r w:rsidRPr="00DF6691">
              <w:rPr>
                <w:rFonts w:ascii="Garamond" w:hAnsi="Garamond"/>
                <w:lang w:val="en-AU"/>
              </w:rPr>
              <w:t xml:space="preserve">Patients presenting during the evening (16:00–23:59) were consistently significantly less likely to undergo prompt surgery, and the effect was more </w:t>
            </w:r>
            <w:r>
              <w:rPr>
                <w:rFonts w:ascii="Garamond" w:hAnsi="Garamond"/>
                <w:lang w:val="en-AU"/>
              </w:rPr>
              <w:t>marked on Fridays and Saturdays</w:t>
            </w:r>
          </w:p>
          <w:p w:rsidR="00D8388B" w:rsidRPr="00F8243D" w:rsidRDefault="00D8388B" w:rsidP="003B50FC">
            <w:pPr>
              <w:pStyle w:val="ListParagraph"/>
              <w:numPr>
                <w:ilvl w:val="0"/>
                <w:numId w:val="23"/>
              </w:numPr>
              <w:rPr>
                <w:rFonts w:ascii="Garamond" w:hAnsi="Garamond"/>
                <w:lang w:val="en-AU"/>
              </w:rPr>
            </w:pPr>
            <w:r w:rsidRPr="00DF6691">
              <w:rPr>
                <w:rFonts w:ascii="Garamond" w:hAnsi="Garamond"/>
                <w:lang w:val="en-AU"/>
              </w:rPr>
              <w:t>Patients presenting overnight (00:00–07:59), except on Saturdays, were significantly more likely to undergo surgery within 36</w:t>
            </w:r>
            <w:r w:rsidRPr="00DF6691">
              <w:rPr>
                <w:lang w:val="en-AU"/>
              </w:rPr>
              <w:t> </w:t>
            </w:r>
            <w:r w:rsidRPr="00DF6691">
              <w:rPr>
                <w:rFonts w:ascii="Garamond" w:hAnsi="Garamond"/>
                <w:lang w:val="en-AU"/>
              </w:rPr>
              <w:t>hours.</w:t>
            </w:r>
          </w:p>
        </w:tc>
      </w:tr>
    </w:tbl>
    <w:p w:rsidR="00D8388B" w:rsidRDefault="00D8388B" w:rsidP="00412C64">
      <w:pPr>
        <w:keepNext/>
        <w:keepLines/>
        <w:tabs>
          <w:tab w:val="left" w:pos="2114"/>
        </w:tabs>
        <w:autoSpaceDE w:val="0"/>
        <w:autoSpaceDN w:val="0"/>
        <w:adjustRightInd w:val="0"/>
        <w:rPr>
          <w:rFonts w:ascii="Garamond" w:hAnsi="Garamond"/>
          <w:i/>
          <w:lang w:val="en-AU"/>
        </w:rPr>
      </w:pPr>
    </w:p>
    <w:p w:rsidR="00AA2EF1" w:rsidRDefault="00AA2EF1" w:rsidP="00AA2EF1">
      <w:pPr>
        <w:keepNext/>
        <w:rPr>
          <w:rFonts w:ascii="Garamond" w:hAnsi="Garamond"/>
          <w:i/>
          <w:lang w:val="en-AU"/>
        </w:rPr>
      </w:pPr>
      <w:r>
        <w:rPr>
          <w:rFonts w:ascii="Garamond" w:hAnsi="Garamond"/>
          <w:i/>
          <w:lang w:val="en-AU"/>
        </w:rPr>
        <w:t>BMJ Quality &amp; Safety</w:t>
      </w:r>
    </w:p>
    <w:p w:rsidR="00AA2EF1" w:rsidRPr="00D65371" w:rsidRDefault="00AA2EF1" w:rsidP="00AA2EF1">
      <w:pPr>
        <w:keepNext/>
        <w:rPr>
          <w:rFonts w:ascii="Garamond" w:hAnsi="Garamond"/>
          <w:lang w:val="en-AU"/>
        </w:rPr>
      </w:pPr>
      <w:r>
        <w:rPr>
          <w:rFonts w:ascii="Garamond" w:hAnsi="Garamond"/>
          <w:lang w:val="en-AU"/>
        </w:rPr>
        <w:t>July 2021 - Volume 30 - 7</w:t>
      </w:r>
    </w:p>
    <w:tbl>
      <w:tblPr>
        <w:tblStyle w:val="TableGrid"/>
        <w:tblW w:w="9360" w:type="dxa"/>
        <w:tblInd w:w="288" w:type="dxa"/>
        <w:tblLayout w:type="fixed"/>
        <w:tblLook w:val="01E0" w:firstRow="1" w:lastRow="1" w:firstColumn="1" w:lastColumn="1" w:noHBand="0" w:noVBand="0"/>
      </w:tblPr>
      <w:tblGrid>
        <w:gridCol w:w="1080"/>
        <w:gridCol w:w="8280"/>
      </w:tblGrid>
      <w:tr w:rsidR="00AA2EF1" w:rsidRPr="000170DA" w:rsidTr="00B620E0">
        <w:tc>
          <w:tcPr>
            <w:tcW w:w="1080" w:type="dxa"/>
            <w:tcBorders>
              <w:top w:val="single" w:sz="4" w:space="0" w:color="auto"/>
              <w:left w:val="single" w:sz="4" w:space="0" w:color="auto"/>
              <w:bottom w:val="single" w:sz="4" w:space="0" w:color="auto"/>
              <w:right w:val="single" w:sz="4" w:space="0" w:color="auto"/>
            </w:tcBorders>
            <w:vAlign w:val="center"/>
          </w:tcPr>
          <w:p w:rsidR="00AA2EF1" w:rsidRPr="000170DA" w:rsidRDefault="00AA2EF1" w:rsidP="00B620E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A2EF1" w:rsidRPr="000170DA" w:rsidRDefault="00204C6E" w:rsidP="00AA2EF1">
            <w:pPr>
              <w:keepNext/>
              <w:rPr>
                <w:rStyle w:val="Hyperlink"/>
                <w:rFonts w:ascii="Garamond" w:hAnsi="Garamond"/>
                <w:color w:val="auto"/>
                <w:u w:val="none"/>
                <w:lang w:val="en-AU"/>
              </w:rPr>
            </w:pPr>
            <w:hyperlink r:id="rId31" w:history="1">
              <w:r w:rsidR="00AA2EF1" w:rsidRPr="005C46C4">
                <w:rPr>
                  <w:rStyle w:val="Hyperlink"/>
                  <w:rFonts w:ascii="Garamond" w:hAnsi="Garamond"/>
                  <w:lang w:val="en-AU"/>
                </w:rPr>
                <w:t>https://qualitysafety.bmj.com/content/30/7</w:t>
              </w:r>
            </w:hyperlink>
          </w:p>
        </w:tc>
      </w:tr>
      <w:tr w:rsidR="00AA2EF1" w:rsidRPr="000170DA" w:rsidTr="00B620E0">
        <w:tc>
          <w:tcPr>
            <w:tcW w:w="1080" w:type="dxa"/>
            <w:tcBorders>
              <w:top w:val="single" w:sz="4" w:space="0" w:color="auto"/>
              <w:left w:val="single" w:sz="4" w:space="0" w:color="auto"/>
              <w:bottom w:val="single" w:sz="4" w:space="0" w:color="auto"/>
              <w:right w:val="single" w:sz="4" w:space="0" w:color="auto"/>
            </w:tcBorders>
            <w:vAlign w:val="center"/>
          </w:tcPr>
          <w:p w:rsidR="00AA2EF1" w:rsidRPr="000170DA" w:rsidRDefault="00AA2EF1" w:rsidP="00B620E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2EF1" w:rsidRPr="007C3778" w:rsidRDefault="00AA2EF1" w:rsidP="00B620E0">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AA2EF1" w:rsidRPr="00AA2EF1" w:rsidRDefault="00AA2EF1" w:rsidP="00263866">
            <w:pPr>
              <w:pStyle w:val="ListParagraph"/>
              <w:numPr>
                <w:ilvl w:val="0"/>
                <w:numId w:val="15"/>
              </w:numPr>
              <w:rPr>
                <w:rFonts w:ascii="Garamond" w:hAnsi="Garamond"/>
                <w:lang w:val="en-AU"/>
              </w:rPr>
            </w:pPr>
            <w:r w:rsidRPr="00AA2EF1">
              <w:rPr>
                <w:rFonts w:ascii="Garamond" w:hAnsi="Garamond"/>
                <w:lang w:val="en-AU"/>
              </w:rPr>
              <w:t xml:space="preserve">Editorial: </w:t>
            </w:r>
            <w:r w:rsidRPr="00AA2EF1">
              <w:rPr>
                <w:rFonts w:ascii="Garamond" w:hAnsi="Garamond"/>
                <w:b/>
                <w:lang w:val="en-AU"/>
              </w:rPr>
              <w:t>Moving beyond the weekend effect</w:t>
            </w:r>
            <w:r w:rsidRPr="00AA2EF1">
              <w:rPr>
                <w:rFonts w:ascii="Garamond" w:hAnsi="Garamond"/>
                <w:lang w:val="en-AU"/>
              </w:rPr>
              <w:t>: how can we best target interventions to improve patient care? (Perla J Marang-van de Mheen, Charles Vincent</w:t>
            </w:r>
            <w:r>
              <w:rPr>
                <w:rFonts w:ascii="Garamond" w:hAnsi="Garamond"/>
                <w:lang w:val="en-AU"/>
              </w:rPr>
              <w:t>)</w:t>
            </w:r>
          </w:p>
          <w:p w:rsidR="00AA2EF1" w:rsidRPr="00AA2EF1" w:rsidRDefault="00AA2EF1" w:rsidP="00BC42EF">
            <w:pPr>
              <w:pStyle w:val="ListParagraph"/>
              <w:numPr>
                <w:ilvl w:val="0"/>
                <w:numId w:val="15"/>
              </w:numPr>
              <w:rPr>
                <w:rFonts w:ascii="Garamond" w:hAnsi="Garamond"/>
                <w:lang w:val="en-AU"/>
              </w:rPr>
            </w:pPr>
            <w:r w:rsidRPr="00AA2EF1">
              <w:rPr>
                <w:rFonts w:ascii="Garamond" w:hAnsi="Garamond"/>
                <w:lang w:val="en-AU"/>
              </w:rPr>
              <w:t xml:space="preserve">Editorial: </w:t>
            </w:r>
            <w:r w:rsidRPr="00AA2EF1">
              <w:rPr>
                <w:rFonts w:ascii="Garamond" w:hAnsi="Garamond"/>
                <w:b/>
                <w:lang w:val="en-AU"/>
              </w:rPr>
              <w:t>National adverse event analysis</w:t>
            </w:r>
            <w:r w:rsidRPr="00AA2EF1">
              <w:rPr>
                <w:rFonts w:ascii="Garamond" w:hAnsi="Garamond"/>
                <w:lang w:val="en-AU"/>
              </w:rPr>
              <w:t xml:space="preserve"> over time: current state and future directions (Emily L Aaronson, David W Bates</w:t>
            </w:r>
            <w:r>
              <w:rPr>
                <w:rFonts w:ascii="Garamond" w:hAnsi="Garamond"/>
                <w:lang w:val="en-AU"/>
              </w:rPr>
              <w:t>)</w:t>
            </w:r>
          </w:p>
          <w:p w:rsidR="00AA2EF1" w:rsidRPr="00AA2EF1" w:rsidRDefault="00AA2EF1" w:rsidP="001C1FD3">
            <w:pPr>
              <w:pStyle w:val="ListParagraph"/>
              <w:numPr>
                <w:ilvl w:val="0"/>
                <w:numId w:val="15"/>
              </w:numPr>
              <w:rPr>
                <w:rFonts w:ascii="Garamond" w:hAnsi="Garamond"/>
                <w:lang w:val="en-AU"/>
              </w:rPr>
            </w:pPr>
            <w:r w:rsidRPr="00AA2EF1">
              <w:rPr>
                <w:rFonts w:ascii="Garamond" w:hAnsi="Garamond"/>
                <w:lang w:val="en-AU"/>
              </w:rPr>
              <w:t xml:space="preserve">Editorial: Assuring safety and efficacy of </w:t>
            </w:r>
            <w:r w:rsidRPr="00AA2EF1">
              <w:rPr>
                <w:rFonts w:ascii="Garamond" w:hAnsi="Garamond"/>
                <w:b/>
                <w:lang w:val="en-AU"/>
              </w:rPr>
              <w:t>nurse triage for electronic consultation</w:t>
            </w:r>
            <w:r w:rsidRPr="00AA2EF1">
              <w:rPr>
                <w:rFonts w:ascii="Garamond" w:hAnsi="Garamond"/>
                <w:lang w:val="en-AU"/>
              </w:rPr>
              <w:t xml:space="preserve"> to improve access to specialty care (Elizabeth J Murphy, Delphine S Tuot</w:t>
            </w:r>
            <w:r>
              <w:rPr>
                <w:rFonts w:ascii="Garamond" w:hAnsi="Garamond"/>
                <w:lang w:val="en-AU"/>
              </w:rPr>
              <w:t>)</w:t>
            </w:r>
          </w:p>
          <w:p w:rsidR="00AA2EF1" w:rsidRPr="00AA2EF1" w:rsidRDefault="00AA2EF1" w:rsidP="00A61EE1">
            <w:pPr>
              <w:pStyle w:val="ListParagraph"/>
              <w:numPr>
                <w:ilvl w:val="0"/>
                <w:numId w:val="15"/>
              </w:numPr>
              <w:rPr>
                <w:rFonts w:ascii="Garamond" w:hAnsi="Garamond"/>
                <w:lang w:val="en-AU"/>
              </w:rPr>
            </w:pPr>
            <w:r w:rsidRPr="00AA2EF1">
              <w:rPr>
                <w:rFonts w:ascii="Garamond" w:hAnsi="Garamond"/>
                <w:lang w:val="en-AU"/>
              </w:rPr>
              <w:t xml:space="preserve">Changes in </w:t>
            </w:r>
            <w:r w:rsidRPr="00AA2EF1">
              <w:rPr>
                <w:rFonts w:ascii="Garamond" w:hAnsi="Garamond"/>
                <w:b/>
                <w:lang w:val="en-AU"/>
              </w:rPr>
              <w:t>weekend and weekday care quality of emergency medical admissions</w:t>
            </w:r>
            <w:r w:rsidRPr="00AA2EF1">
              <w:rPr>
                <w:rFonts w:ascii="Garamond" w:hAnsi="Garamond"/>
                <w:lang w:val="en-AU"/>
              </w:rPr>
              <w:t xml:space="preserve"> to 20 hospitals in England during implementation of the 7-day services national health policy (Julian Bion, Cassie Aldridge, Alan J Girling, Gavin Rudge, Jianxia Sun, Carolyn Tarrant, Elizabeth Sutton, Janet Willars, Chris Beet, Amunpreet Boyal, Peter Rees, Chris Roseveare, Mark Temple, Samuel Ian Watson, Yen-Fu Chen, Mike Clancy, Louise Rowan, Joanne Lord, Russell Mannion, Timothy Hofer, Richard Lilford</w:t>
            </w:r>
            <w:r>
              <w:rPr>
                <w:rFonts w:ascii="Garamond" w:hAnsi="Garamond"/>
                <w:lang w:val="en-AU"/>
              </w:rPr>
              <w:t>)</w:t>
            </w:r>
          </w:p>
          <w:p w:rsidR="00AA2EF1" w:rsidRPr="00AA2EF1" w:rsidRDefault="00AA2EF1" w:rsidP="004C7D51">
            <w:pPr>
              <w:pStyle w:val="ListParagraph"/>
              <w:numPr>
                <w:ilvl w:val="0"/>
                <w:numId w:val="15"/>
              </w:numPr>
              <w:rPr>
                <w:rFonts w:ascii="Garamond" w:hAnsi="Garamond"/>
                <w:lang w:val="en-AU"/>
              </w:rPr>
            </w:pPr>
            <w:r w:rsidRPr="00AA2EF1">
              <w:rPr>
                <w:rFonts w:ascii="Garamond" w:hAnsi="Garamond"/>
                <w:lang w:val="en-AU"/>
              </w:rPr>
              <w:t xml:space="preserve">The </w:t>
            </w:r>
            <w:r w:rsidRPr="00AA2EF1">
              <w:rPr>
                <w:rFonts w:ascii="Garamond" w:hAnsi="Garamond"/>
                <w:b/>
                <w:lang w:val="en-AU"/>
              </w:rPr>
              <w:t>Irish National Adverse Event Study-2 (INAES-2)</w:t>
            </w:r>
            <w:r w:rsidRPr="00AA2EF1">
              <w:rPr>
                <w:rFonts w:ascii="Garamond" w:hAnsi="Garamond"/>
                <w:lang w:val="en-AU"/>
              </w:rPr>
              <w:t>: longitudinal trends in adverse event rates in the Irish healthcare system (Warren Connolly, Natasha Rafter, Ronan M Conroy, Cornelia Stuart, Anne Hickey, David J Williams</w:t>
            </w:r>
            <w:r>
              <w:rPr>
                <w:rFonts w:ascii="Garamond" w:hAnsi="Garamond"/>
                <w:lang w:val="en-AU"/>
              </w:rPr>
              <w:t>)</w:t>
            </w:r>
          </w:p>
          <w:p w:rsidR="00AA2EF1" w:rsidRPr="00AA2EF1" w:rsidRDefault="00AA2EF1" w:rsidP="009D2F6D">
            <w:pPr>
              <w:pStyle w:val="ListParagraph"/>
              <w:numPr>
                <w:ilvl w:val="0"/>
                <w:numId w:val="15"/>
              </w:numPr>
              <w:rPr>
                <w:rFonts w:ascii="Garamond" w:hAnsi="Garamond"/>
                <w:lang w:val="en-AU"/>
              </w:rPr>
            </w:pPr>
            <w:r w:rsidRPr="00AA2EF1">
              <w:rPr>
                <w:rFonts w:ascii="Garamond" w:hAnsi="Garamond"/>
                <w:b/>
                <w:lang w:val="en-AU"/>
              </w:rPr>
              <w:t>Variation in timely surgery for hip fracture by day and time of presentation</w:t>
            </w:r>
            <w:r w:rsidRPr="00AA2EF1">
              <w:rPr>
                <w:rFonts w:ascii="Garamond" w:hAnsi="Garamond"/>
                <w:lang w:val="en-AU"/>
              </w:rPr>
              <w:t>: a nationwide prospective cohort study from the National Hip Fracture Database for England, Wales and Northern Ireland (Anjali Shah, Gulraj S Matharu, Dominic Inman, Elizabeth Fagan, Antony Johansen, Andrew Judge</w:t>
            </w:r>
            <w:r>
              <w:rPr>
                <w:rFonts w:ascii="Garamond" w:hAnsi="Garamond"/>
                <w:lang w:val="en-AU"/>
              </w:rPr>
              <w:t>)</w:t>
            </w:r>
          </w:p>
          <w:p w:rsidR="00AA2EF1" w:rsidRPr="00AA2EF1" w:rsidRDefault="00AA2EF1" w:rsidP="00B95ED1">
            <w:pPr>
              <w:pStyle w:val="ListParagraph"/>
              <w:numPr>
                <w:ilvl w:val="0"/>
                <w:numId w:val="15"/>
              </w:numPr>
              <w:rPr>
                <w:rFonts w:ascii="Garamond" w:hAnsi="Garamond"/>
                <w:lang w:val="en-AU"/>
              </w:rPr>
            </w:pPr>
            <w:r w:rsidRPr="00AA2EF1">
              <w:rPr>
                <w:rFonts w:ascii="Garamond" w:hAnsi="Garamond"/>
                <w:lang w:val="en-AU"/>
              </w:rPr>
              <w:t xml:space="preserve">Retrospective analysis of reported </w:t>
            </w:r>
            <w:r w:rsidRPr="00AA2EF1">
              <w:rPr>
                <w:rFonts w:ascii="Garamond" w:hAnsi="Garamond"/>
                <w:b/>
                <w:lang w:val="en-AU"/>
              </w:rPr>
              <w:t>suicide deaths and attempts on veterans health administration</w:t>
            </w:r>
            <w:r w:rsidRPr="00AA2EF1">
              <w:rPr>
                <w:rFonts w:ascii="Garamond" w:hAnsi="Garamond"/>
                <w:lang w:val="en-AU"/>
              </w:rPr>
              <w:t xml:space="preserve"> campuses and inpatient units (Peter D Mills, Christina Soncrant, William Gunnar</w:t>
            </w:r>
            <w:r>
              <w:rPr>
                <w:rFonts w:ascii="Garamond" w:hAnsi="Garamond"/>
                <w:lang w:val="en-AU"/>
              </w:rPr>
              <w:t>)</w:t>
            </w:r>
          </w:p>
          <w:p w:rsidR="00AA2EF1" w:rsidRPr="00AA2EF1" w:rsidRDefault="00AA2EF1" w:rsidP="001E4462">
            <w:pPr>
              <w:pStyle w:val="ListParagraph"/>
              <w:numPr>
                <w:ilvl w:val="0"/>
                <w:numId w:val="15"/>
              </w:numPr>
              <w:rPr>
                <w:rFonts w:ascii="Garamond" w:hAnsi="Garamond"/>
                <w:lang w:val="en-AU"/>
              </w:rPr>
            </w:pPr>
            <w:r w:rsidRPr="00AA2EF1">
              <w:rPr>
                <w:rFonts w:ascii="Garamond" w:hAnsi="Garamond"/>
                <w:lang w:val="en-AU"/>
              </w:rPr>
              <w:t xml:space="preserve">Priorities to improve the </w:t>
            </w:r>
            <w:r w:rsidRPr="00AA2EF1">
              <w:rPr>
                <w:rFonts w:ascii="Garamond" w:hAnsi="Garamond"/>
                <w:b/>
                <w:lang w:val="en-AU"/>
              </w:rPr>
              <w:t>care for chronic conditions and multimorbidity</w:t>
            </w:r>
            <w:r w:rsidRPr="00AA2EF1">
              <w:rPr>
                <w:rFonts w:ascii="Garamond" w:hAnsi="Garamond"/>
                <w:lang w:val="en-AU"/>
              </w:rPr>
              <w:t>: a survey of patients and stakeholders nested within the ComPaRe e-cohort (Viet-Thi Tran, Elise Diard, Philippe Ravaud</w:t>
            </w:r>
            <w:r>
              <w:rPr>
                <w:rFonts w:ascii="Garamond" w:hAnsi="Garamond"/>
                <w:lang w:val="en-AU"/>
              </w:rPr>
              <w:t>)</w:t>
            </w:r>
          </w:p>
          <w:p w:rsidR="00AA2EF1" w:rsidRPr="00AA2EF1" w:rsidRDefault="00AA2EF1" w:rsidP="0048028F">
            <w:pPr>
              <w:pStyle w:val="ListParagraph"/>
              <w:numPr>
                <w:ilvl w:val="0"/>
                <w:numId w:val="15"/>
              </w:numPr>
              <w:rPr>
                <w:rFonts w:ascii="Garamond" w:hAnsi="Garamond"/>
                <w:lang w:val="en-AU"/>
              </w:rPr>
            </w:pPr>
            <w:r w:rsidRPr="00AA2EF1">
              <w:rPr>
                <w:rFonts w:ascii="Garamond" w:hAnsi="Garamond"/>
                <w:b/>
                <w:lang w:val="en-AU"/>
              </w:rPr>
              <w:t>Rethinking standardised infection rates and risk adjustment</w:t>
            </w:r>
            <w:r w:rsidRPr="00AA2EF1">
              <w:rPr>
                <w:rFonts w:ascii="Garamond" w:hAnsi="Garamond"/>
                <w:lang w:val="en-AU"/>
              </w:rPr>
              <w:t xml:space="preserve"> in the COVID-19 era (Hojjat Salmasian, Jennifer Beloff, Andrew Resnick, Chanu Rhee, Meghan A Baker, Michael Klompas, Marc P Pimentel</w:t>
            </w:r>
            <w:r>
              <w:rPr>
                <w:rFonts w:ascii="Garamond" w:hAnsi="Garamond"/>
                <w:lang w:val="en-AU"/>
              </w:rPr>
              <w:t>)</w:t>
            </w:r>
          </w:p>
          <w:p w:rsidR="00AA2EF1" w:rsidRPr="00AA2EF1" w:rsidRDefault="00AA2EF1" w:rsidP="00032551">
            <w:pPr>
              <w:pStyle w:val="ListParagraph"/>
              <w:numPr>
                <w:ilvl w:val="0"/>
                <w:numId w:val="15"/>
              </w:numPr>
              <w:rPr>
                <w:rFonts w:ascii="Garamond" w:hAnsi="Garamond"/>
                <w:lang w:val="en-AU"/>
              </w:rPr>
            </w:pPr>
            <w:r w:rsidRPr="00AA2EF1">
              <w:rPr>
                <w:rFonts w:ascii="Garamond" w:hAnsi="Garamond"/>
                <w:lang w:val="en-AU"/>
              </w:rPr>
              <w:t xml:space="preserve">Bridging the feedback gap: a sociotechnical approach to </w:t>
            </w:r>
            <w:r w:rsidRPr="00AA2EF1">
              <w:rPr>
                <w:rFonts w:ascii="Garamond" w:hAnsi="Garamond"/>
                <w:b/>
                <w:lang w:val="en-AU"/>
              </w:rPr>
              <w:t>informing clinicians of patients’ subsequent clinical course and outcomes</w:t>
            </w:r>
            <w:r w:rsidRPr="00AA2EF1">
              <w:rPr>
                <w:rFonts w:ascii="Garamond" w:hAnsi="Garamond"/>
                <w:lang w:val="en-AU"/>
              </w:rPr>
              <w:t xml:space="preserve"> (Christina L Cifra, Dean F Sittig, Hardeep Singh</w:t>
            </w:r>
            <w:r>
              <w:rPr>
                <w:rFonts w:ascii="Garamond" w:hAnsi="Garamond"/>
                <w:lang w:val="en-AU"/>
              </w:rPr>
              <w:t>)</w:t>
            </w:r>
          </w:p>
          <w:p w:rsidR="00AA2EF1" w:rsidRPr="00292B57" w:rsidRDefault="00AA2EF1" w:rsidP="00AA2EF1">
            <w:pPr>
              <w:pStyle w:val="ListParagraph"/>
              <w:numPr>
                <w:ilvl w:val="0"/>
                <w:numId w:val="15"/>
              </w:numPr>
              <w:rPr>
                <w:rFonts w:ascii="Garamond" w:hAnsi="Garamond"/>
                <w:lang w:val="en-AU"/>
              </w:rPr>
            </w:pPr>
            <w:r w:rsidRPr="00AA2EF1">
              <w:rPr>
                <w:rFonts w:ascii="Garamond" w:hAnsi="Garamond"/>
                <w:lang w:val="en-AU"/>
              </w:rPr>
              <w:t xml:space="preserve">Nurse-led triage of new </w:t>
            </w:r>
            <w:r w:rsidRPr="00AA2EF1">
              <w:rPr>
                <w:rFonts w:ascii="Garamond" w:hAnsi="Garamond"/>
                <w:b/>
                <w:lang w:val="en-AU"/>
              </w:rPr>
              <w:t>sleep referrals</w:t>
            </w:r>
            <w:r w:rsidRPr="00AA2EF1">
              <w:rPr>
                <w:rFonts w:ascii="Garamond" w:hAnsi="Garamond"/>
                <w:lang w:val="en-AU"/>
              </w:rPr>
              <w:t xml:space="preserve"> is associated with lower risk of potentially contraindicated sleep testing: a retrospective cohort study (Lucas M Donovan, Brian N Palen, Adnan Syed, Richard Blankenhorn, Kelly Blanchard, William J Feser, Kate Magid, Justina Gamache, Laura J Spece, Laura C Feemster, Laurie Fernandes, Susan Kirsh, David H Au</w:t>
            </w:r>
            <w:r>
              <w:rPr>
                <w:rFonts w:ascii="Garamond" w:hAnsi="Garamond"/>
                <w:lang w:val="en-AU"/>
              </w:rPr>
              <w:t>)</w:t>
            </w:r>
          </w:p>
        </w:tc>
      </w:tr>
    </w:tbl>
    <w:p w:rsidR="00AA2EF1" w:rsidRDefault="00AA2EF1" w:rsidP="00F63671">
      <w:pPr>
        <w:keepNext/>
        <w:keepLines/>
        <w:tabs>
          <w:tab w:val="left" w:pos="2114"/>
        </w:tabs>
        <w:autoSpaceDE w:val="0"/>
        <w:autoSpaceDN w:val="0"/>
        <w:adjustRightInd w:val="0"/>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204C6E" w:rsidP="000E1EA4">
            <w:pPr>
              <w:keepNext/>
              <w:rPr>
                <w:rFonts w:ascii="Garamond" w:hAnsi="Garamond"/>
                <w:lang w:val="en-AU"/>
              </w:rPr>
            </w:pPr>
            <w:hyperlink r:id="rId32"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1228F" w:rsidRPr="0071228F" w:rsidRDefault="0071228F" w:rsidP="003929E9">
            <w:pPr>
              <w:pStyle w:val="ListParagraph"/>
              <w:numPr>
                <w:ilvl w:val="0"/>
                <w:numId w:val="14"/>
              </w:numPr>
              <w:rPr>
                <w:rFonts w:ascii="Garamond" w:hAnsi="Garamond"/>
                <w:lang w:val="en-AU"/>
              </w:rPr>
            </w:pPr>
            <w:r w:rsidRPr="0071228F">
              <w:rPr>
                <w:rFonts w:ascii="Garamond" w:hAnsi="Garamond"/>
                <w:lang w:val="en-AU"/>
              </w:rPr>
              <w:t xml:space="preserve">Editorial: Addressing disparities in </w:t>
            </w:r>
            <w:r w:rsidRPr="0071228F">
              <w:rPr>
                <w:rFonts w:ascii="Garamond" w:hAnsi="Garamond"/>
                <w:b/>
                <w:lang w:val="en-AU"/>
              </w:rPr>
              <w:t>patients’ opportunities for and competencies in shared decision making</w:t>
            </w:r>
            <w:r w:rsidRPr="0071228F">
              <w:rPr>
                <w:rFonts w:ascii="Garamond" w:hAnsi="Garamond"/>
                <w:lang w:val="en-AU"/>
              </w:rPr>
              <w:t xml:space="preserve"> (Naomi Q P Tan, Robert J Volk</w:t>
            </w:r>
            <w:r>
              <w:rPr>
                <w:rFonts w:ascii="Garamond" w:hAnsi="Garamond"/>
                <w:lang w:val="en-AU"/>
              </w:rPr>
              <w:t>)</w:t>
            </w:r>
          </w:p>
          <w:p w:rsidR="000D111F" w:rsidRPr="00543B3B" w:rsidRDefault="00853A5C" w:rsidP="00853A5C">
            <w:pPr>
              <w:pStyle w:val="ListParagraph"/>
              <w:numPr>
                <w:ilvl w:val="0"/>
                <w:numId w:val="14"/>
              </w:numPr>
              <w:rPr>
                <w:rFonts w:ascii="Garamond" w:hAnsi="Garamond"/>
                <w:lang w:val="en-AU"/>
              </w:rPr>
            </w:pPr>
            <w:r w:rsidRPr="00853A5C">
              <w:rPr>
                <w:rFonts w:ascii="Garamond" w:hAnsi="Garamond"/>
                <w:b/>
                <w:lang w:val="en-AU"/>
              </w:rPr>
              <w:t>Quality of acute myocardial infarction care</w:t>
            </w:r>
            <w:r w:rsidRPr="00853A5C">
              <w:rPr>
                <w:rFonts w:ascii="Garamond" w:hAnsi="Garamond"/>
                <w:lang w:val="en-AU"/>
              </w:rPr>
              <w:t xml:space="preserve"> in England and Wales during the COVID-19 pandemic: linked nationwide cohort study </w:t>
            </w:r>
            <w:r>
              <w:rPr>
                <w:rFonts w:ascii="Garamond" w:hAnsi="Garamond"/>
                <w:lang w:val="en-AU"/>
              </w:rPr>
              <w:t>(</w:t>
            </w:r>
            <w:r w:rsidRPr="00853A5C">
              <w:rPr>
                <w:rFonts w:ascii="Garamond" w:hAnsi="Garamond"/>
                <w:lang w:val="en-AU"/>
              </w:rPr>
              <w:t>Suleman Aktaa, Mohammad E Yadegarfar, Jianhua Wu, Muhammad Rashid, Mark de Belder, John Deanfield, Francois Schiele, Mark Minchin, Mamas Mamas, Chris P Gale</w:t>
            </w:r>
            <w:r>
              <w:rPr>
                <w:rFonts w:ascii="Garamond" w:hAnsi="Garamond"/>
                <w:lang w:val="en-AU"/>
              </w:rPr>
              <w:t>)</w:t>
            </w:r>
          </w:p>
        </w:tc>
      </w:tr>
    </w:tbl>
    <w:p w:rsidR="003416DE" w:rsidRDefault="003416DE" w:rsidP="003416DE">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B620E0">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B620E0">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204C6E" w:rsidP="00B620E0">
            <w:pPr>
              <w:keepNext/>
              <w:rPr>
                <w:rFonts w:ascii="Garamond" w:hAnsi="Garamond"/>
                <w:lang w:val="en-AU"/>
              </w:rPr>
            </w:pPr>
            <w:hyperlink r:id="rId33" w:history="1">
              <w:r w:rsidR="00F63671" w:rsidRPr="00D31E10">
                <w:rPr>
                  <w:rStyle w:val="Hyperlink"/>
                  <w:rFonts w:ascii="Garamond" w:hAnsi="Garamond"/>
                  <w:lang w:val="en-AU"/>
                </w:rPr>
                <w:t>https://academic.oup.com/intqhc/advance-articles</w:t>
              </w:r>
            </w:hyperlink>
          </w:p>
        </w:tc>
      </w:tr>
      <w:tr w:rsidR="00F63671" w:rsidRPr="00467B47" w:rsidTr="00B620E0">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B620E0">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B620E0">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6A2250" w:rsidRDefault="006A2250" w:rsidP="001D4D68">
            <w:pPr>
              <w:pStyle w:val="ListParagraph"/>
              <w:numPr>
                <w:ilvl w:val="0"/>
                <w:numId w:val="14"/>
              </w:numPr>
              <w:rPr>
                <w:rFonts w:ascii="Garamond" w:hAnsi="Garamond"/>
                <w:lang w:val="en-AU"/>
              </w:rPr>
            </w:pPr>
            <w:r w:rsidRPr="006A2250">
              <w:rPr>
                <w:rFonts w:ascii="Garamond" w:hAnsi="Garamond"/>
                <w:b/>
                <w:lang w:val="en-AU"/>
              </w:rPr>
              <w:t>Understanding Complaints Made About Surgical Departments</w:t>
            </w:r>
            <w:r w:rsidRPr="006A2250">
              <w:rPr>
                <w:rFonts w:ascii="Garamond" w:hAnsi="Garamond"/>
                <w:lang w:val="en-AU"/>
              </w:rPr>
              <w:t xml:space="preserve"> in a UK District General Hospital (Oliver Claydon, Barrie Keeler, Achal Khanna</w:t>
            </w:r>
            <w:r>
              <w:rPr>
                <w:rFonts w:ascii="Garamond" w:hAnsi="Garamond"/>
                <w:lang w:val="en-AU"/>
              </w:rPr>
              <w:t>)</w:t>
            </w:r>
          </w:p>
          <w:p w:rsidR="00F63671" w:rsidRPr="00721A1B" w:rsidRDefault="006A2250" w:rsidP="006A2250">
            <w:pPr>
              <w:pStyle w:val="ListParagraph"/>
              <w:numPr>
                <w:ilvl w:val="0"/>
                <w:numId w:val="14"/>
              </w:numPr>
              <w:rPr>
                <w:rFonts w:ascii="Garamond" w:hAnsi="Garamond"/>
                <w:lang w:val="en-AU"/>
              </w:rPr>
            </w:pPr>
            <w:r w:rsidRPr="006A2250">
              <w:rPr>
                <w:rFonts w:ascii="Garamond" w:hAnsi="Garamond"/>
                <w:lang w:val="en-AU"/>
              </w:rPr>
              <w:t xml:space="preserve">The Cross-national Applicability of </w:t>
            </w:r>
            <w:r w:rsidRPr="006A2250">
              <w:rPr>
                <w:rFonts w:ascii="Garamond" w:hAnsi="Garamond"/>
                <w:b/>
                <w:lang w:val="en-AU"/>
              </w:rPr>
              <w:t>Lean Implementation Measures and Hospital Performance Measures</w:t>
            </w:r>
            <w:r w:rsidRPr="006A2250">
              <w:rPr>
                <w:rFonts w:ascii="Garamond" w:hAnsi="Garamond"/>
                <w:lang w:val="en-AU"/>
              </w:rPr>
              <w:t xml:space="preserve">: A Case Study of Finland and the United States </w:t>
            </w:r>
            <w:r>
              <w:rPr>
                <w:rFonts w:ascii="Garamond" w:hAnsi="Garamond"/>
                <w:lang w:val="en-AU"/>
              </w:rPr>
              <w:t>(</w:t>
            </w:r>
            <w:r w:rsidRPr="006A2250">
              <w:rPr>
                <w:rFonts w:ascii="Garamond" w:hAnsi="Garamond"/>
                <w:lang w:val="en-AU"/>
              </w:rPr>
              <w:t>Elina Reponen, Thomas G Rundall, Stephen M Shortell, Janet C Blodgett, Ritva Jokela, Markku Mäkijärvi, Paulus Torkki</w:t>
            </w:r>
            <w:r>
              <w:rPr>
                <w:rFonts w:ascii="Garamond" w:hAnsi="Garamond"/>
                <w:lang w:val="en-AU"/>
              </w:rPr>
              <w:t>)</w:t>
            </w:r>
          </w:p>
        </w:tc>
      </w:tr>
    </w:tbl>
    <w:p w:rsidR="00F63671" w:rsidRDefault="00F63671" w:rsidP="00F63671">
      <w:pPr>
        <w:rPr>
          <w:rFonts w:ascii="Garamond" w:hAnsi="Garamond"/>
          <w:b/>
          <w:lang w:val="en-AU"/>
        </w:rPr>
      </w:pPr>
    </w:p>
    <w:p w:rsidR="00D71C54" w:rsidRDefault="009F6F9B" w:rsidP="00977E92">
      <w:pPr>
        <w:rPr>
          <w:rFonts w:ascii="Garamond" w:hAnsi="Garamond"/>
          <w:b/>
          <w:lang w:val="en-AU"/>
        </w:rPr>
      </w:pPr>
      <w:r>
        <w:rPr>
          <w:rFonts w:ascii="Garamond" w:hAnsi="Garamond"/>
          <w:b/>
          <w:lang w:val="en-AU"/>
        </w:rPr>
        <w:t>Online resources</w:t>
      </w:r>
    </w:p>
    <w:p w:rsidR="00F8243D" w:rsidRDefault="00F8243D" w:rsidP="00F8243D">
      <w:pPr>
        <w:keepNext/>
        <w:rPr>
          <w:rFonts w:ascii="Garamond" w:hAnsi="Garamond"/>
          <w:i/>
          <w:lang w:val="en-AU"/>
        </w:rPr>
      </w:pPr>
    </w:p>
    <w:p w:rsidR="00F8243D" w:rsidRPr="008F3909" w:rsidRDefault="00F8243D" w:rsidP="00F8243D">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F8243D" w:rsidRPr="008F3909" w:rsidRDefault="00204C6E" w:rsidP="00F8243D">
      <w:pPr>
        <w:keepNext/>
        <w:rPr>
          <w:rFonts w:ascii="Garamond" w:hAnsi="Garamond"/>
          <w:lang w:val="en-AU"/>
        </w:rPr>
      </w:pPr>
      <w:hyperlink r:id="rId34" w:history="1">
        <w:r w:rsidR="00F8243D" w:rsidRPr="00B91B4F">
          <w:rPr>
            <w:rStyle w:val="Hyperlink"/>
            <w:rFonts w:ascii="Garamond" w:hAnsi="Garamond"/>
            <w:lang w:val="en-AU"/>
          </w:rPr>
          <w:t>https://www.nice.org.uk/guidance</w:t>
        </w:r>
      </w:hyperlink>
    </w:p>
    <w:p w:rsidR="00F8243D" w:rsidRPr="008F3909" w:rsidRDefault="00F8243D" w:rsidP="00F8243D">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F63671" w:rsidRDefault="00F8243D" w:rsidP="006A2250">
      <w:pPr>
        <w:pStyle w:val="ListParagraph"/>
        <w:numPr>
          <w:ilvl w:val="0"/>
          <w:numId w:val="14"/>
        </w:numPr>
        <w:rPr>
          <w:rFonts w:ascii="Garamond" w:hAnsi="Garamond"/>
          <w:lang w:val="en-AU"/>
        </w:rPr>
      </w:pPr>
      <w:r>
        <w:rPr>
          <w:rFonts w:ascii="Garamond" w:hAnsi="Garamond"/>
          <w:lang w:val="en-AU"/>
        </w:rPr>
        <w:t>NICE Guideline NG</w:t>
      </w:r>
      <w:r w:rsidR="006A2250">
        <w:rPr>
          <w:rFonts w:ascii="Garamond" w:hAnsi="Garamond"/>
          <w:lang w:val="en-AU"/>
        </w:rPr>
        <w:t xml:space="preserve">198 </w:t>
      </w:r>
      <w:r w:rsidR="006A2250" w:rsidRPr="006A2250">
        <w:rPr>
          <w:rFonts w:ascii="Garamond" w:hAnsi="Garamond"/>
          <w:b/>
          <w:i/>
          <w:lang w:val="en-AU"/>
        </w:rPr>
        <w:t>Acne</w:t>
      </w:r>
      <w:r w:rsidR="006A2250" w:rsidRPr="006A2250">
        <w:rPr>
          <w:rFonts w:ascii="Garamond" w:hAnsi="Garamond"/>
          <w:i/>
          <w:lang w:val="en-AU"/>
        </w:rPr>
        <w:t xml:space="preserve"> vulgaris: management</w:t>
      </w:r>
      <w:r w:rsidR="006A2250">
        <w:rPr>
          <w:rFonts w:ascii="Garamond" w:hAnsi="Garamond"/>
          <w:lang w:val="en-AU"/>
        </w:rPr>
        <w:t xml:space="preserve"> </w:t>
      </w:r>
      <w:hyperlink r:id="rId35" w:history="1">
        <w:r w:rsidR="006A2250" w:rsidRPr="007E47AC">
          <w:rPr>
            <w:rStyle w:val="Hyperlink"/>
            <w:rFonts w:ascii="Garamond" w:hAnsi="Garamond"/>
            <w:lang w:val="en-AU"/>
          </w:rPr>
          <w:t>https://www.nice.org.uk/guidance/ng198</w:t>
        </w:r>
      </w:hyperlink>
    </w:p>
    <w:p w:rsidR="000F0E17" w:rsidRDefault="000F0E17" w:rsidP="00A26AA2">
      <w:pPr>
        <w:keepNext/>
        <w:keepLines/>
        <w:rPr>
          <w:rFonts w:ascii="Garamond" w:hAnsi="Garamond"/>
          <w:i/>
          <w:lang w:val="en-AU"/>
        </w:rPr>
      </w:pPr>
    </w:p>
    <w:p w:rsidR="00A26AA2" w:rsidRPr="000170DA" w:rsidRDefault="00A26AA2" w:rsidP="00A26AA2">
      <w:pPr>
        <w:keepNext/>
        <w:keepLines/>
        <w:rPr>
          <w:rFonts w:ascii="Garamond" w:hAnsi="Garamond"/>
          <w:i/>
          <w:lang w:val="en-AU"/>
        </w:rPr>
      </w:pPr>
      <w:r w:rsidRPr="000170DA">
        <w:rPr>
          <w:rFonts w:ascii="Garamond" w:hAnsi="Garamond"/>
          <w:i/>
          <w:lang w:val="en-AU"/>
        </w:rPr>
        <w:t>[USA] Effective Health Care Program reports</w:t>
      </w:r>
    </w:p>
    <w:p w:rsidR="00A26AA2" w:rsidRPr="000170DA" w:rsidRDefault="00204C6E" w:rsidP="00A26AA2">
      <w:pPr>
        <w:keepNext/>
        <w:keepLines/>
        <w:rPr>
          <w:rFonts w:ascii="Garamond" w:hAnsi="Garamond"/>
          <w:u w:val="single"/>
          <w:lang w:val="en-AU"/>
        </w:rPr>
      </w:pPr>
      <w:hyperlink r:id="rId36" w:history="1">
        <w:r w:rsidR="00A26AA2" w:rsidRPr="000170DA">
          <w:rPr>
            <w:rStyle w:val="Hyperlink"/>
            <w:rFonts w:ascii="Garamond" w:hAnsi="Garamond"/>
            <w:lang w:val="en-AU"/>
          </w:rPr>
          <w:t>https://effectivehealthcare.ahrq.gov/</w:t>
        </w:r>
      </w:hyperlink>
    </w:p>
    <w:p w:rsidR="00A26AA2" w:rsidRDefault="00A26AA2" w:rsidP="00A26AA2">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F63671" w:rsidRDefault="002A61D2" w:rsidP="002A61D2">
      <w:pPr>
        <w:pStyle w:val="ListParagraph"/>
        <w:keepNext/>
        <w:numPr>
          <w:ilvl w:val="0"/>
          <w:numId w:val="14"/>
        </w:numPr>
        <w:rPr>
          <w:rFonts w:ascii="Garamond" w:hAnsi="Garamond"/>
          <w:lang w:val="en-AU"/>
        </w:rPr>
      </w:pPr>
      <w:r w:rsidRPr="002A61D2">
        <w:rPr>
          <w:rFonts w:ascii="Garamond" w:hAnsi="Garamond"/>
          <w:i/>
          <w:lang w:val="en-AU"/>
        </w:rPr>
        <w:t xml:space="preserve">Living Systematic Review on Cannabis and Other Plant-Based Treatments for </w:t>
      </w:r>
      <w:r w:rsidRPr="002A61D2">
        <w:rPr>
          <w:rFonts w:ascii="Garamond" w:hAnsi="Garamond"/>
          <w:b/>
          <w:i/>
          <w:lang w:val="en-AU"/>
        </w:rPr>
        <w:t>Chronic Pain</w:t>
      </w:r>
      <w:r>
        <w:rPr>
          <w:rFonts w:ascii="Garamond" w:hAnsi="Garamond"/>
          <w:lang w:val="en-AU"/>
        </w:rPr>
        <w:t xml:space="preserve"> </w:t>
      </w:r>
      <w:hyperlink r:id="rId37" w:history="1">
        <w:r w:rsidRPr="00E752BE">
          <w:rPr>
            <w:rStyle w:val="Hyperlink"/>
            <w:rFonts w:ascii="Garamond" w:hAnsi="Garamond"/>
            <w:lang w:val="en-AU"/>
          </w:rPr>
          <w:t>https://effectivehealthcare.ahrq.gov/products/plant-based-chronic-pain-treatment/living-review</w:t>
        </w:r>
      </w:hyperlink>
    </w:p>
    <w:p w:rsidR="006A2250" w:rsidRDefault="006A2250" w:rsidP="00B54C6E">
      <w:pPr>
        <w:keepLines/>
        <w:pBdr>
          <w:bottom w:val="single" w:sz="6" w:space="1" w:color="auto"/>
        </w:pBdr>
        <w:rPr>
          <w:rFonts w:ascii="Garamond" w:hAnsi="Garamond"/>
          <w:i/>
          <w:lang w:val="en-AU"/>
        </w:rPr>
      </w:pPr>
    </w:p>
    <w:p w:rsidR="00D8388B" w:rsidRDefault="00D8388B">
      <w:pPr>
        <w:rPr>
          <w:rFonts w:ascii="Garamond" w:hAnsi="Garamond"/>
          <w:b/>
          <w:lang w:val="en-AU"/>
        </w:rPr>
      </w:pPr>
      <w:r>
        <w:rPr>
          <w:rFonts w:ascii="Garamond" w:hAnsi="Garamond"/>
          <w:b/>
          <w:lang w:val="en-AU"/>
        </w:rPr>
        <w:br w:type="page"/>
      </w: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8"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9"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2893671" cy="4092411"/>
            <wp:effectExtent l="19050" t="19050" r="21590" b="22860"/>
            <wp:docPr id="4" name="Picture 4" descr="COVID-19: Aged care staff infection prevention and control precautions poster" title="COVID-19: Aged care staff infection prevention and control precautions pos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941007" cy="4159357"/>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41"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2"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43"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4"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5"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4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47"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120588" cy="5827664"/>
            <wp:effectExtent l="19050" t="19050" r="13335" b="20955"/>
            <wp:docPr id="1" name="Picture 1" descr="Stop COVID-19: Break the chain of infection poster" title="Stop COVID-19: Break the chain of infection post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4187325" cy="5922049"/>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50"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1"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2"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3"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4"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5"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981691" cy="5864298"/>
            <wp:effectExtent l="19050" t="19050" r="19050" b="22225"/>
            <wp:docPr id="2" name="Picture 2" descr="COVID-19 and face masks information for consumers poster image" title="COVID-19 and face masks information for consumers poster imag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4348" cy="603022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t>National COVID-19 Clinical Evidence Taskforce</w:t>
      </w:r>
    </w:p>
    <w:p w:rsidR="00D574D3" w:rsidRPr="007F0962" w:rsidRDefault="00204C6E" w:rsidP="00D574D3">
      <w:pPr>
        <w:keepNext/>
        <w:keepLines/>
        <w:rPr>
          <w:rFonts w:ascii="Garamond" w:hAnsi="Garamond"/>
          <w:lang w:val="en-AU"/>
        </w:rPr>
      </w:pPr>
      <w:hyperlink r:id="rId58"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204C6E" w:rsidP="00D574D3">
      <w:pPr>
        <w:keepNext/>
        <w:keepLines/>
        <w:rPr>
          <w:rFonts w:ascii="Garamond" w:hAnsi="Garamond"/>
          <w:lang w:val="en-AU"/>
        </w:rPr>
      </w:pPr>
      <w:hyperlink r:id="rId59" w:history="1">
        <w:r w:rsidR="00D574D3" w:rsidRPr="007F0962">
          <w:rPr>
            <w:rStyle w:val="Hyperlink"/>
            <w:rFonts w:ascii="Garamond" w:hAnsi="Garamond"/>
            <w:lang w:val="en-AU"/>
          </w:rPr>
          <w:t>https://www.aci.health.nsw.gov.au/covid-19/critical-intelligence-unit</w:t>
        </w:r>
      </w:hyperlink>
    </w:p>
    <w:p w:rsidR="009264BC" w:rsidRPr="009264BC" w:rsidRDefault="00D574D3" w:rsidP="006E1AAD">
      <w:pPr>
        <w:keepNext/>
        <w:keepLines/>
        <w:rPr>
          <w:rFonts w:ascii="Garamond" w:hAnsi="Garamond"/>
          <w:b/>
          <w:i/>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572114" w:rsidRDefault="00572114" w:rsidP="00B24501">
      <w:pPr>
        <w:rPr>
          <w:rFonts w:ascii="Garamond" w:hAnsi="Garamond"/>
          <w:lang w:val="en-AU"/>
        </w:rPr>
      </w:pPr>
    </w:p>
    <w:p w:rsidR="004F74F7" w:rsidRDefault="004F74F7"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0"/>
      <w:footerReference w:type="default" r:id="rId6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F" w:rsidRDefault="00C37D8F">
      <w:r>
        <w:separator/>
      </w:r>
    </w:p>
  </w:endnote>
  <w:endnote w:type="continuationSeparator" w:id="0">
    <w:p w:rsidR="00C37D8F" w:rsidRDefault="00C3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Default="00C37D8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1D9D">
      <w:rPr>
        <w:rStyle w:val="PageNumber"/>
        <w:noProof/>
      </w:rPr>
      <w:t>6</w:t>
    </w:r>
    <w:r>
      <w:rPr>
        <w:rStyle w:val="PageNumber"/>
      </w:rPr>
      <w:fldChar w:fldCharType="end"/>
    </w:r>
  </w:p>
  <w:p w:rsidR="00C37D8F" w:rsidRPr="001E78F0" w:rsidRDefault="00C37D8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63671">
      <w:rPr>
        <w:rFonts w:ascii="Garamond" w:hAnsi="Garamond"/>
      </w:rPr>
      <w:t xml:space="preserve"> Issue 517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Pr="001E78F0" w:rsidRDefault="00C37D8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C1D9D">
      <w:rPr>
        <w:rStyle w:val="PageNumber"/>
        <w:rFonts w:ascii="Garamond" w:hAnsi="Garamond"/>
        <w:noProof/>
      </w:rPr>
      <w:t>5</w:t>
    </w:r>
    <w:r w:rsidRPr="001E78F0">
      <w:rPr>
        <w:rStyle w:val="PageNumber"/>
        <w:rFonts w:ascii="Garamond" w:hAnsi="Garamond"/>
      </w:rPr>
      <w:fldChar w:fldCharType="end"/>
    </w:r>
  </w:p>
  <w:p w:rsidR="00C37D8F" w:rsidRPr="001E78F0" w:rsidRDefault="00C37D8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F63671">
      <w:rPr>
        <w:rFonts w:ascii="Garamond" w:hAnsi="Garamond"/>
      </w:rPr>
      <w:t xml:space="preserve"> Issue 517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F" w:rsidRDefault="00C37D8F">
      <w:r>
        <w:separator/>
      </w:r>
    </w:p>
  </w:footnote>
  <w:footnote w:type="continuationSeparator" w:id="0">
    <w:p w:rsidR="00C37D8F" w:rsidRDefault="00C3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331C"/>
    <w:multiLevelType w:val="hybridMultilevel"/>
    <w:tmpl w:val="F74E3148"/>
    <w:lvl w:ilvl="0" w:tplc="808E26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C1556"/>
    <w:multiLevelType w:val="hybridMultilevel"/>
    <w:tmpl w:val="569E4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AC21E6"/>
    <w:multiLevelType w:val="hybridMultilevel"/>
    <w:tmpl w:val="5908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8112DC"/>
    <w:multiLevelType w:val="hybridMultilevel"/>
    <w:tmpl w:val="4DE6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B02D6"/>
    <w:multiLevelType w:val="hybridMultilevel"/>
    <w:tmpl w:val="03FE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304786"/>
    <w:multiLevelType w:val="hybridMultilevel"/>
    <w:tmpl w:val="2946E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3E5827"/>
    <w:multiLevelType w:val="hybridMultilevel"/>
    <w:tmpl w:val="106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B7A3A"/>
    <w:multiLevelType w:val="hybridMultilevel"/>
    <w:tmpl w:val="B4FC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096C03"/>
    <w:multiLevelType w:val="hybridMultilevel"/>
    <w:tmpl w:val="147C3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14"/>
  </w:num>
  <w:num w:numId="16">
    <w:abstractNumId w:val="21"/>
  </w:num>
  <w:num w:numId="17">
    <w:abstractNumId w:val="23"/>
  </w:num>
  <w:num w:numId="18">
    <w:abstractNumId w:val="20"/>
  </w:num>
  <w:num w:numId="19">
    <w:abstractNumId w:val="16"/>
  </w:num>
  <w:num w:numId="20">
    <w:abstractNumId w:val="12"/>
  </w:num>
  <w:num w:numId="21">
    <w:abstractNumId w:val="15"/>
  </w:num>
  <w:num w:numId="22">
    <w:abstractNumId w:val="17"/>
  </w:num>
  <w:num w:numId="23">
    <w:abstractNumId w:val="13"/>
  </w:num>
  <w:num w:numId="24">
    <w:abstractNumId w:val="11"/>
  </w:num>
  <w:num w:numId="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96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8B5"/>
    <w:rsid w:val="002B38D2"/>
    <w:rsid w:val="002B391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698"/>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EE7"/>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6641"/>
    <o:shapelayout v:ext="edit">
      <o:idmap v:ext="edit" data="1"/>
    </o:shapelayout>
  </w:shapeDefaults>
  <w:decimalSymbol w:val="."/>
  <w:listSeparator w:val=","/>
  <w14:docId w14:val="72894B42"/>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3.png"/><Relationship Id="rId26" Type="http://schemas.openxmlformats.org/officeDocument/2006/relationships/hyperlink" Target="https://www.safetyandquality.gov.au/our-work/communicating-safety" TargetMode="External"/><Relationship Id="rId39" Type="http://schemas.openxmlformats.org/officeDocument/2006/relationships/hyperlink" Target="https://www.safetyandquality.gov.au/publications-and-resources/resource-library/covid-19-aged-care-staff-infection-prevention-and-control-precautions-poster" TargetMode="External"/><Relationship Id="rId21" Type="http://schemas.openxmlformats.org/officeDocument/2006/relationships/image" Target="media/image4.png"/><Relationship Id="rId34" Type="http://schemas.openxmlformats.org/officeDocument/2006/relationships/hyperlink" Target="https://www.nice.org.uk/guidance" TargetMode="External"/><Relationship Id="rId42" Type="http://schemas.openxmlformats.org/officeDocument/2006/relationships/hyperlink" Target="https://www.safetyandquality.gov.au/publications-and-resources/resource-library/infection-prevention-and-control-covid-19-personal-protective-equipment" TargetMode="External"/><Relationship Id="rId47" Type="http://schemas.openxmlformats.org/officeDocument/2006/relationships/hyperlink" Target="https://www.safetyandquality.gov.au/publications-and-resources/resource-library/break-chain-poster-a3" TargetMode="External"/><Relationship Id="rId50" Type="http://schemas.openxmlformats.org/officeDocument/2006/relationships/hyperlink" Target="https://www.safetyandquality.gov.au/publications-and-resources/resource-library/covid-19-elective-surgery-and-infection-prevention-and-control-precautions" TargetMode="External"/><Relationship Id="rId55" Type="http://schemas.openxmlformats.org/officeDocument/2006/relationships/hyperlink" Target="https://www.safetyandquality.gov.au/wearing-face-masks-communit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hi.org/resources/Pages/IHIWhitePapers/whole-system-quality.aspx" TargetMode="External"/><Relationship Id="rId29" Type="http://schemas.openxmlformats.org/officeDocument/2006/relationships/hyperlink" Target="https://www.chicagobooth.edu/-/media/project/chicago-booth/centers/caai/docs/algorithmic-bias-playbook-june-2021.pdf" TargetMode="External"/><Relationship Id="rId41" Type="http://schemas.openxmlformats.org/officeDocument/2006/relationships/hyperlink" Target="http://www.safetyandquality.gov.au/environmental-cleaning" TargetMode="External"/><Relationship Id="rId54" Type="http://schemas.openxmlformats.org/officeDocument/2006/relationships/hyperlink" Target="https://www.safetyandquality.gov.au/publications-and-resources/resource-library/covid-19-and-face-masks-information-consumer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medication-safety"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effectivehealthcare.ahrq.gov/products/plant-based-chronic-pain-treatment/living-review" TargetMode="External"/><Relationship Id="rId40" Type="http://schemas.openxmlformats.org/officeDocument/2006/relationships/image" Target="media/image5.png"/><Relationship Id="rId45" Type="http://schemas.openxmlformats.org/officeDocument/2006/relationships/hyperlink" Target="https://www.safetyandquality.gov.au/our-work/cognitive-impairment/cognitive-impairment-and-covid-19" TargetMode="External"/><Relationship Id="rId53" Type="http://schemas.openxmlformats.org/officeDocument/2006/relationships/hyperlink" Target="https://www.safetyandquality.gov.au/faqs-community-use-face-masks" TargetMode="External"/><Relationship Id="rId58" Type="http://schemas.openxmlformats.org/officeDocument/2006/relationships/hyperlink" Target="https://covid19evidence.net.au/" TargetMode="External"/><Relationship Id="rId5" Type="http://schemas.openxmlformats.org/officeDocument/2006/relationships/webSettings" Target="webSettings.xml"/><Relationship Id="rId15" Type="http://schemas.openxmlformats.org/officeDocument/2006/relationships/hyperlink" Target="https://www.safetyandquality.gov.au/our-work/infection-prevention-and-control/environmental-cleaning-and-infection-prevention-and-control" TargetMode="External"/><Relationship Id="rId23" Type="http://schemas.openxmlformats.org/officeDocument/2006/relationships/hyperlink" Target="https://doi.org/10.1007/s40520-021-01866-3" TargetMode="External"/><Relationship Id="rId28" Type="http://schemas.openxmlformats.org/officeDocument/2006/relationships/hyperlink" Target="https://doi.org/10.1001/jamainternmed.2021.3333" TargetMode="External"/><Relationship Id="rId36" Type="http://schemas.openxmlformats.org/officeDocument/2006/relationships/hyperlink" Target="https://effectivehealthcare.ahrq.gov/" TargetMode="External"/><Relationship Id="rId49" Type="http://schemas.openxmlformats.org/officeDocument/2006/relationships/image" Target="media/image6.png"/><Relationship Id="rId57" Type="http://schemas.openxmlformats.org/officeDocument/2006/relationships/image" Target="media/image7.png"/><Relationship Id="rId61"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hha.asn.au/publication/health-policy-issue-briefs/deeble-issues-brief-no-43-towards-sustainable-funding-model" TargetMode="External"/><Relationship Id="rId31" Type="http://schemas.openxmlformats.org/officeDocument/2006/relationships/hyperlink" Target="https://qualitysafety.bmj.com/content/30/7" TargetMode="External"/><Relationship Id="rId44" Type="http://schemas.openxmlformats.org/officeDocument/2006/relationships/hyperlink" Target="https://www.safetyandquality.gov.au/publications-and-resources/resource-library/covid-19-infection-prevention-and-control-risk-management-guidance" TargetMode="External"/><Relationship Id="rId52" Type="http://schemas.openxmlformats.org/officeDocument/2006/relationships/hyperlink" Target="https://www.safetyandquality.gov.au/node/5725"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86/s12913-021-06598-8" TargetMode="External"/><Relationship Id="rId27" Type="http://schemas.openxmlformats.org/officeDocument/2006/relationships/hyperlink" Target="https://doi.org/10.1001/jamainternmed.2021.2626" TargetMode="External"/><Relationship Id="rId30" Type="http://schemas.openxmlformats.org/officeDocument/2006/relationships/hyperlink" Target="http://dx.doi.org/10.1136/bmjqs-2020-011196" TargetMode="External"/><Relationship Id="rId35" Type="http://schemas.openxmlformats.org/officeDocument/2006/relationships/hyperlink" Target="https://www.nice.org.uk/guidance/ng198" TargetMode="External"/><Relationship Id="rId43" Type="http://schemas.openxmlformats.org/officeDocument/2006/relationships/hyperlink" Target="https://www.safetyandquality.gov.au/publications-and-resources/resource-library/special-precautions-covid-19-designated-zones" TargetMode="External"/><Relationship Id="rId4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6"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hyperlink" Target="https://www.safetyandquality.gov.au/node/5724"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infection-prevention-and-control/environmental-cleaning-and-infection-prevention-and-control" TargetMode="External"/><Relationship Id="rId25" Type="http://schemas.openxmlformats.org/officeDocument/2006/relationships/hyperlink" Target="https://doi.org/10.1016/j.apergo.2020.103339" TargetMode="External"/><Relationship Id="rId33" Type="http://schemas.openxmlformats.org/officeDocument/2006/relationships/hyperlink" Target="https://academic.oup.com/intqhc/advance-articles" TargetMode="External"/><Relationship Id="rId38" Type="http://schemas.openxmlformats.org/officeDocument/2006/relationships/hyperlink" Target="https://www.safetyandquality.gov.au/covid-19" TargetMode="External"/><Relationship Id="rId46" Type="http://schemas.openxmlformats.org/officeDocument/2006/relationships/hyperlink" Target="https://www.safetyandquality.gov.au/our-work/medication-safety/medicines-management-covid-19" TargetMode="External"/><Relationship Id="rId59" Type="http://schemas.openxmlformats.org/officeDocument/2006/relationships/hyperlink" Target="https://www.aci.health.nsw.gov.au/covid-19/critical-intelligence-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E16E-C1BD-4EEA-8481-DFE512CE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4413</Words>
  <Characters>25160</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Draft On the Radar Issue 517</vt:lpstr>
    </vt:vector>
  </TitlesOfParts>
  <Company>ACSQHC</Company>
  <LinksUpToDate>false</LinksUpToDate>
  <CharactersWithSpaces>29514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517</dc:title>
  <dc:subject/>
  <dc:creator>Dr Niall Johnson</dc:creator>
  <cp:keywords>On the Radar</cp:keywords>
  <dc:description/>
  <cp:lastModifiedBy>Johnson, Niall</cp:lastModifiedBy>
  <cp:revision>2</cp:revision>
  <cp:lastPrinted>2018-03-02T02:34:00Z</cp:lastPrinted>
  <dcterms:created xsi:type="dcterms:W3CDTF">2021-06-25T02:00:00Z</dcterms:created>
  <dcterms:modified xsi:type="dcterms:W3CDTF">2021-06-25T02:00:00Z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