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867CE3">
        <w:rPr>
          <w:rFonts w:ascii="Garamond" w:hAnsi="Garamond"/>
          <w:color w:val="000000" w:themeColor="text1"/>
          <w:lang w:val="en-AU"/>
        </w:rPr>
        <w:t>20</w:t>
      </w:r>
    </w:p>
    <w:p w:rsidR="00755242" w:rsidRDefault="00675A96" w:rsidP="00F738B5">
      <w:pPr>
        <w:rPr>
          <w:rFonts w:ascii="Garamond" w:hAnsi="Garamond"/>
          <w:lang w:val="en-AU"/>
        </w:rPr>
      </w:pPr>
      <w:r>
        <w:rPr>
          <w:rFonts w:ascii="Garamond" w:hAnsi="Garamond"/>
          <w:lang w:val="en-AU"/>
        </w:rPr>
        <w:t>1</w:t>
      </w:r>
      <w:r w:rsidR="00867CE3">
        <w:rPr>
          <w:rFonts w:ascii="Garamond" w:hAnsi="Garamond"/>
          <w:lang w:val="en-AU"/>
        </w:rPr>
        <w:t>9</w:t>
      </w:r>
      <w:r w:rsidR="00D2741A">
        <w:rPr>
          <w:rFonts w:ascii="Garamond" w:hAnsi="Garamond"/>
          <w:lang w:val="en-AU"/>
        </w:rPr>
        <w:t xml:space="preserve"> July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56DA0">
        <w:rPr>
          <w:rFonts w:ascii="Garamond" w:hAnsi="Garamond"/>
          <w:bCs/>
          <w:lang w:val="en-AU"/>
        </w:rPr>
        <w:t>, Meredith Page</w:t>
      </w:r>
      <w:r w:rsidR="00046674">
        <w:rPr>
          <w:rFonts w:ascii="Garamond" w:hAnsi="Garamond"/>
          <w:bCs/>
          <w:lang w:val="en-AU"/>
        </w:rPr>
        <w:t>, Dr Jan Gralton</w:t>
      </w:r>
    </w:p>
    <w:p w:rsidR="00A56354" w:rsidRDefault="00A56354" w:rsidP="00275FD0">
      <w:pPr>
        <w:rPr>
          <w:rFonts w:ascii="Garamond" w:hAnsi="Garamond"/>
          <w:lang w:val="en-AU"/>
        </w:rPr>
      </w:pPr>
    </w:p>
    <w:p w:rsidR="00DC059D" w:rsidRDefault="00DC059D" w:rsidP="00275FD0">
      <w:pPr>
        <w:rPr>
          <w:rFonts w:ascii="Garamond" w:hAnsi="Garamond"/>
          <w:lang w:val="en-AU"/>
        </w:rPr>
      </w:pPr>
    </w:p>
    <w:p w:rsidR="00DC059D" w:rsidRDefault="00DC059D" w:rsidP="00275FD0">
      <w:pPr>
        <w:rPr>
          <w:rFonts w:ascii="Garamond" w:hAnsi="Garamond"/>
          <w:lang w:val="en-AU"/>
        </w:rPr>
      </w:pPr>
    </w:p>
    <w:p w:rsidR="00FC3A4B" w:rsidRDefault="00FC3A4B" w:rsidP="003737F9">
      <w:pPr>
        <w:rPr>
          <w:rFonts w:ascii="Garamond" w:hAnsi="Garamond"/>
          <w:b/>
          <w:lang w:val="en-AU"/>
        </w:rPr>
      </w:pPr>
      <w:r w:rsidRPr="00FC3A4B">
        <w:rPr>
          <w:rFonts w:ascii="Garamond" w:hAnsi="Garamond"/>
          <w:b/>
          <w:lang w:val="en-AU"/>
        </w:rPr>
        <w:t>Basics of Infection Preve</w:t>
      </w:r>
      <w:r w:rsidR="006825BC">
        <w:rPr>
          <w:rFonts w:ascii="Garamond" w:hAnsi="Garamond"/>
          <w:b/>
          <w:lang w:val="en-AU"/>
        </w:rPr>
        <w:t>ntion and Control for Aged Care</w:t>
      </w:r>
    </w:p>
    <w:p w:rsidR="006825BC" w:rsidRDefault="00B00AE2" w:rsidP="003737F9">
      <w:pPr>
        <w:rPr>
          <w:rFonts w:ascii="Garamond" w:hAnsi="Garamond"/>
          <w:lang w:val="en-AU"/>
        </w:rPr>
      </w:pPr>
      <w:hyperlink r:id="rId15" w:history="1">
        <w:r w:rsidR="00DC059D" w:rsidRPr="00281E80">
          <w:rPr>
            <w:rStyle w:val="Hyperlink"/>
            <w:rFonts w:ascii="Garamond" w:hAnsi="Garamond"/>
            <w:lang w:val="en-AU"/>
          </w:rPr>
          <w:t>https://nhhi.southrock.com/</w:t>
        </w:r>
      </w:hyperlink>
    </w:p>
    <w:p w:rsidR="00DC059D" w:rsidRPr="006825BC" w:rsidRDefault="00DC059D" w:rsidP="003737F9">
      <w:pPr>
        <w:rPr>
          <w:rFonts w:ascii="Garamond" w:hAnsi="Garamond"/>
          <w:lang w:val="en-AU"/>
        </w:rPr>
      </w:pPr>
    </w:p>
    <w:p w:rsidR="00FC3A4B" w:rsidRPr="006825BC" w:rsidRDefault="00FC3A4B" w:rsidP="00FC3A4B">
      <w:pPr>
        <w:rPr>
          <w:rFonts w:ascii="Garamond" w:hAnsi="Garamond"/>
          <w:lang w:val="en-AU"/>
        </w:rPr>
      </w:pPr>
      <w:r w:rsidRPr="006825BC">
        <w:rPr>
          <w:rFonts w:ascii="Garamond" w:hAnsi="Garamond"/>
          <w:lang w:val="en-AU"/>
        </w:rPr>
        <w:t xml:space="preserve">The </w:t>
      </w:r>
      <w:r w:rsidR="006825BC">
        <w:rPr>
          <w:rFonts w:ascii="Garamond" w:hAnsi="Garamond"/>
          <w:lang w:val="en-AU"/>
        </w:rPr>
        <w:t xml:space="preserve">Australian </w:t>
      </w:r>
      <w:r w:rsidRPr="006825BC">
        <w:rPr>
          <w:rFonts w:ascii="Garamond" w:hAnsi="Garamond"/>
          <w:lang w:val="en-AU"/>
        </w:rPr>
        <w:t xml:space="preserve">Commission </w:t>
      </w:r>
      <w:r w:rsidR="006825BC">
        <w:rPr>
          <w:rFonts w:ascii="Garamond" w:hAnsi="Garamond"/>
          <w:lang w:val="en-AU"/>
        </w:rPr>
        <w:t xml:space="preserve">on Safety and Quality in Health Care </w:t>
      </w:r>
      <w:r w:rsidRPr="006825BC">
        <w:rPr>
          <w:rFonts w:ascii="Garamond" w:hAnsi="Garamond"/>
          <w:lang w:val="en-AU"/>
        </w:rPr>
        <w:t xml:space="preserve">is expanding its suite of online learning resources to also support infection prevention and control (IPC) in the aged care sector. This work has been undertaken in conjunction with the New South Wales Clinical Excellence Commission (CEC) and the Aged Care Quality and Safety Commission (ACQSC). </w:t>
      </w:r>
    </w:p>
    <w:p w:rsidR="00FC3A4B" w:rsidRPr="006825BC" w:rsidRDefault="00FC3A4B" w:rsidP="00FC3A4B">
      <w:pPr>
        <w:rPr>
          <w:rFonts w:ascii="Garamond" w:hAnsi="Garamond"/>
          <w:lang w:val="en-AU"/>
        </w:rPr>
      </w:pPr>
    </w:p>
    <w:p w:rsidR="00FC3A4B" w:rsidRPr="006825BC" w:rsidRDefault="00FC3A4B" w:rsidP="00FC3A4B">
      <w:pPr>
        <w:rPr>
          <w:rFonts w:ascii="Garamond" w:hAnsi="Garamond"/>
          <w:lang w:val="en-AU"/>
        </w:rPr>
      </w:pPr>
      <w:r w:rsidRPr="006825BC">
        <w:rPr>
          <w:rFonts w:ascii="Garamond" w:hAnsi="Garamond"/>
          <w:lang w:val="en-AU"/>
        </w:rPr>
        <w:t xml:space="preserve">The </w:t>
      </w:r>
      <w:r w:rsidRPr="006825BC">
        <w:rPr>
          <w:rFonts w:ascii="Garamond" w:hAnsi="Garamond"/>
          <w:i/>
          <w:lang w:val="en-AU"/>
        </w:rPr>
        <w:t>Basics of Infection Prevention and Control for Aged Care</w:t>
      </w:r>
      <w:r w:rsidRPr="006825BC">
        <w:rPr>
          <w:rFonts w:ascii="Garamond" w:hAnsi="Garamond"/>
          <w:lang w:val="en-AU"/>
        </w:rPr>
        <w:t xml:space="preserve"> is the first module in this suite of specific aged care resources; based on the existing eLearning module - </w:t>
      </w:r>
      <w:r w:rsidRPr="006825BC">
        <w:rPr>
          <w:rFonts w:ascii="Garamond" w:hAnsi="Garamond"/>
          <w:i/>
          <w:lang w:val="en-AU"/>
        </w:rPr>
        <w:t>Basics of Infection Prevention and Control Orientation</w:t>
      </w:r>
      <w:r w:rsidRPr="006825BC">
        <w:rPr>
          <w:rFonts w:ascii="Garamond" w:hAnsi="Garamond"/>
          <w:lang w:val="en-AU"/>
        </w:rPr>
        <w:t xml:space="preserve"> and material developed by the CEC. The existing Basics module has been regularly used by workers in aged care and has now been updated to consider this specific environment. The module may be used when inducting new staff, or as an annual update.</w:t>
      </w:r>
    </w:p>
    <w:p w:rsidR="00FC3A4B" w:rsidRPr="006825BC" w:rsidRDefault="00FC3A4B" w:rsidP="00FC3A4B">
      <w:pPr>
        <w:rPr>
          <w:rFonts w:ascii="Garamond" w:hAnsi="Garamond"/>
          <w:lang w:val="en-AU"/>
        </w:rPr>
      </w:pPr>
    </w:p>
    <w:p w:rsidR="00DC059D" w:rsidRDefault="00FC3A4B" w:rsidP="00FC3A4B">
      <w:pPr>
        <w:rPr>
          <w:rFonts w:ascii="Garamond" w:hAnsi="Garamond"/>
          <w:lang w:val="en-AU"/>
        </w:rPr>
      </w:pPr>
      <w:r w:rsidRPr="006825BC">
        <w:rPr>
          <w:rFonts w:ascii="Garamond" w:hAnsi="Garamond"/>
          <w:lang w:val="en-AU"/>
        </w:rPr>
        <w:t xml:space="preserve">The module is available by registering with the National Hand Hygiene Initiative Learning Management System at </w:t>
      </w:r>
      <w:hyperlink r:id="rId16" w:history="1">
        <w:r w:rsidR="00DC059D" w:rsidRPr="00281E80">
          <w:rPr>
            <w:rStyle w:val="Hyperlink"/>
            <w:rFonts w:ascii="Garamond" w:hAnsi="Garamond"/>
            <w:lang w:val="en-AU"/>
          </w:rPr>
          <w:t>https://nhhi.southrock.com/</w:t>
        </w:r>
      </w:hyperlink>
    </w:p>
    <w:p w:rsidR="00FC3A4B" w:rsidRPr="006825BC" w:rsidRDefault="00FC3A4B" w:rsidP="003737F9">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D71C54" w:rsidRDefault="00D71C54" w:rsidP="00D71C54">
      <w:pPr>
        <w:keepNext/>
        <w:keepLines/>
        <w:autoSpaceDE w:val="0"/>
        <w:autoSpaceDN w:val="0"/>
        <w:adjustRightInd w:val="0"/>
        <w:rPr>
          <w:rFonts w:ascii="Garamond" w:hAnsi="Garamond"/>
          <w:i/>
          <w:lang w:val="en-AU"/>
        </w:rPr>
      </w:pPr>
    </w:p>
    <w:p w:rsidR="00485D37" w:rsidRPr="00485D37" w:rsidRDefault="00485D37" w:rsidP="00485D37">
      <w:pPr>
        <w:keepNext/>
        <w:keepLines/>
        <w:tabs>
          <w:tab w:val="left" w:pos="2114"/>
        </w:tabs>
        <w:autoSpaceDE w:val="0"/>
        <w:autoSpaceDN w:val="0"/>
        <w:adjustRightInd w:val="0"/>
        <w:rPr>
          <w:rFonts w:ascii="Garamond" w:hAnsi="Garamond"/>
          <w:i/>
          <w:lang w:val="en-AU"/>
        </w:rPr>
      </w:pPr>
      <w:r w:rsidRPr="00485D37">
        <w:rPr>
          <w:rFonts w:ascii="Garamond" w:hAnsi="Garamond"/>
          <w:i/>
          <w:lang w:val="en-AU"/>
        </w:rPr>
        <w:t>Association Between Iatrogenic Delivery for Suspected Fetal Growth Restriction and Childhood School Outcomes</w:t>
      </w:r>
    </w:p>
    <w:p w:rsidR="00485D37" w:rsidRDefault="00485D37" w:rsidP="00485D37">
      <w:pPr>
        <w:keepNext/>
        <w:keepLines/>
        <w:tabs>
          <w:tab w:val="left" w:pos="2114"/>
        </w:tabs>
        <w:autoSpaceDE w:val="0"/>
        <w:autoSpaceDN w:val="0"/>
        <w:adjustRightInd w:val="0"/>
        <w:rPr>
          <w:rFonts w:ascii="Garamond" w:hAnsi="Garamond"/>
          <w:lang w:val="en-AU"/>
        </w:rPr>
      </w:pPr>
      <w:r w:rsidRPr="00485D37">
        <w:rPr>
          <w:rFonts w:ascii="Garamond" w:hAnsi="Garamond"/>
          <w:lang w:val="en-AU"/>
        </w:rPr>
        <w:t>Selvaratnam RJ, Wallace EM, Wolfe R, Anderson PJ, Davey M-A</w:t>
      </w:r>
    </w:p>
    <w:p w:rsidR="00485D37" w:rsidRDefault="00485D37" w:rsidP="00485D37">
      <w:pPr>
        <w:keepNext/>
        <w:keepLines/>
        <w:tabs>
          <w:tab w:val="left" w:pos="2114"/>
        </w:tabs>
        <w:autoSpaceDE w:val="0"/>
        <w:autoSpaceDN w:val="0"/>
        <w:adjustRightInd w:val="0"/>
        <w:rPr>
          <w:rFonts w:ascii="Garamond" w:hAnsi="Garamond"/>
          <w:lang w:val="en-AU"/>
        </w:rPr>
      </w:pPr>
      <w:r w:rsidRPr="00485D37">
        <w:rPr>
          <w:rFonts w:ascii="Garamond" w:hAnsi="Garamond"/>
          <w:lang w:val="en-AU"/>
        </w:rPr>
        <w:t>JAMA. 2021;326(2):145-153.</w:t>
      </w:r>
    </w:p>
    <w:p w:rsidR="00485D37" w:rsidRDefault="00485D37" w:rsidP="00485D37">
      <w:pPr>
        <w:keepNext/>
        <w:keepLines/>
        <w:tabs>
          <w:tab w:val="left" w:pos="2114"/>
        </w:tabs>
        <w:autoSpaceDE w:val="0"/>
        <w:autoSpaceDN w:val="0"/>
        <w:adjustRightInd w:val="0"/>
        <w:rPr>
          <w:rFonts w:ascii="Garamond" w:hAnsi="Garamond"/>
          <w:lang w:val="en-AU"/>
        </w:rPr>
      </w:pPr>
    </w:p>
    <w:p w:rsidR="00485D37" w:rsidRPr="00485D37" w:rsidRDefault="00485D37" w:rsidP="00485D37">
      <w:pPr>
        <w:keepNext/>
        <w:keepLines/>
        <w:tabs>
          <w:tab w:val="left" w:pos="2114"/>
        </w:tabs>
        <w:autoSpaceDE w:val="0"/>
        <w:autoSpaceDN w:val="0"/>
        <w:adjustRightInd w:val="0"/>
        <w:rPr>
          <w:rFonts w:ascii="Garamond" w:hAnsi="Garamond"/>
          <w:i/>
          <w:lang w:val="en-AU"/>
        </w:rPr>
      </w:pPr>
      <w:r w:rsidRPr="00485D37">
        <w:rPr>
          <w:rFonts w:ascii="Garamond" w:hAnsi="Garamond"/>
          <w:i/>
          <w:lang w:val="en-AU"/>
        </w:rPr>
        <w:t xml:space="preserve">Delivery Before 39 Weeks’ Gestation for Suspected Fetal Growth Restriction: More Harm Than Good? </w:t>
      </w:r>
    </w:p>
    <w:p w:rsidR="00485D37" w:rsidRDefault="00485D37" w:rsidP="00485D37">
      <w:pPr>
        <w:keepNext/>
        <w:keepLines/>
        <w:tabs>
          <w:tab w:val="left" w:pos="2114"/>
        </w:tabs>
        <w:autoSpaceDE w:val="0"/>
        <w:autoSpaceDN w:val="0"/>
        <w:adjustRightInd w:val="0"/>
        <w:rPr>
          <w:rFonts w:ascii="Garamond" w:hAnsi="Garamond"/>
          <w:lang w:val="en-AU"/>
        </w:rPr>
      </w:pPr>
      <w:r w:rsidRPr="00485D37">
        <w:rPr>
          <w:rFonts w:ascii="Garamond" w:hAnsi="Garamond"/>
          <w:lang w:val="en-AU"/>
        </w:rPr>
        <w:t>Silver RM, Blue NR</w:t>
      </w:r>
    </w:p>
    <w:p w:rsidR="00485D37" w:rsidRPr="00485D37" w:rsidRDefault="00485D37" w:rsidP="00485D37">
      <w:pPr>
        <w:keepNext/>
        <w:keepLines/>
        <w:tabs>
          <w:tab w:val="left" w:pos="2114"/>
        </w:tabs>
        <w:autoSpaceDE w:val="0"/>
        <w:autoSpaceDN w:val="0"/>
        <w:adjustRightInd w:val="0"/>
        <w:rPr>
          <w:rFonts w:ascii="Garamond" w:hAnsi="Garamond"/>
          <w:lang w:val="en-AU"/>
        </w:rPr>
      </w:pPr>
      <w:r w:rsidRPr="00485D37">
        <w:rPr>
          <w:rFonts w:ascii="Garamond" w:hAnsi="Garamond"/>
          <w:lang w:val="en-AU"/>
        </w:rPr>
        <w:t>JAMA. 2021;326(2):135-136.</w:t>
      </w:r>
    </w:p>
    <w:p w:rsidR="00485D37" w:rsidRPr="00485D37" w:rsidRDefault="00485D37" w:rsidP="00485D37">
      <w:pPr>
        <w:keepNext/>
        <w:keepLines/>
        <w:tabs>
          <w:tab w:val="left" w:pos="2114"/>
        </w:tabs>
        <w:autoSpaceDE w:val="0"/>
        <w:autoSpaceDN w:val="0"/>
        <w:adjustRightInd w:val="0"/>
        <w:rPr>
          <w:rFonts w:ascii="Garamond" w:hAnsi="Garamond"/>
          <w:lang w:val="en-AU"/>
        </w:rPr>
      </w:pPr>
    </w:p>
    <w:p w:rsidR="00856DA0" w:rsidRPr="00856DA0" w:rsidRDefault="00856DA0" w:rsidP="00856DA0">
      <w:pPr>
        <w:keepNext/>
        <w:keepLines/>
        <w:tabs>
          <w:tab w:val="left" w:pos="2114"/>
        </w:tabs>
        <w:autoSpaceDE w:val="0"/>
        <w:autoSpaceDN w:val="0"/>
        <w:adjustRightInd w:val="0"/>
        <w:rPr>
          <w:rFonts w:ascii="Garamond" w:hAnsi="Garamond"/>
          <w:i/>
          <w:lang w:val="en-AU"/>
        </w:rPr>
      </w:pPr>
      <w:r w:rsidRPr="00856DA0">
        <w:rPr>
          <w:rFonts w:ascii="Garamond" w:hAnsi="Garamond"/>
          <w:i/>
          <w:lang w:val="en-AU"/>
        </w:rPr>
        <w:t>Comparison of costs related to infant hospitalisations for spontaneous, induced and Caesarean births: population-based cohort study</w:t>
      </w:r>
    </w:p>
    <w:p w:rsidR="00856DA0" w:rsidRDefault="00856DA0" w:rsidP="003C7C95">
      <w:pPr>
        <w:keepNext/>
        <w:keepLines/>
        <w:tabs>
          <w:tab w:val="left" w:pos="2114"/>
        </w:tabs>
        <w:autoSpaceDE w:val="0"/>
        <w:autoSpaceDN w:val="0"/>
        <w:adjustRightInd w:val="0"/>
        <w:rPr>
          <w:rFonts w:ascii="Garamond" w:hAnsi="Garamond"/>
          <w:lang w:val="en-AU"/>
        </w:rPr>
      </w:pPr>
      <w:r w:rsidRPr="00856DA0">
        <w:rPr>
          <w:rFonts w:ascii="Garamond" w:hAnsi="Garamond"/>
          <w:lang w:val="en-AU"/>
        </w:rPr>
        <w:t>Owen KB, Ibiebele I, Simpson JM, Morton RL, Morris JM, Torvaldsen S</w:t>
      </w:r>
    </w:p>
    <w:p w:rsidR="00AF3778" w:rsidRDefault="00856DA0" w:rsidP="003C7C95">
      <w:pPr>
        <w:keepNext/>
        <w:keepLines/>
        <w:tabs>
          <w:tab w:val="left" w:pos="2114"/>
        </w:tabs>
        <w:autoSpaceDE w:val="0"/>
        <w:autoSpaceDN w:val="0"/>
        <w:adjustRightInd w:val="0"/>
        <w:rPr>
          <w:rFonts w:ascii="Garamond" w:hAnsi="Garamond"/>
          <w:lang w:val="en-AU"/>
        </w:rPr>
      </w:pPr>
      <w:r w:rsidRPr="00856DA0">
        <w:rPr>
          <w:rFonts w:ascii="Garamond" w:hAnsi="Garamond"/>
          <w:lang w:val="en-AU"/>
        </w:rPr>
        <w:t>Australian Health Review. 2021</w:t>
      </w:r>
      <w:r>
        <w:rPr>
          <w:rFonts w:ascii="Garamond" w:hAnsi="Garamond"/>
          <w:lang w:val="en-AU"/>
        </w:rPr>
        <w:t xml:space="preserve"> [epub]</w:t>
      </w:r>
      <w:r w:rsidRPr="00856DA0">
        <w:rPr>
          <w:rFonts w:ascii="Garamond" w:hAnsi="Garamond"/>
          <w:lang w:val="en-AU"/>
        </w:rPr>
        <w:t>.</w:t>
      </w:r>
    </w:p>
    <w:p w:rsidR="00485D37" w:rsidRDefault="00485D37" w:rsidP="003C7C95">
      <w:pPr>
        <w:keepNext/>
        <w:keepLines/>
        <w:tabs>
          <w:tab w:val="left" w:pos="2114"/>
        </w:tabs>
        <w:autoSpaceDE w:val="0"/>
        <w:autoSpaceDN w:val="0"/>
        <w:adjustRightInd w:val="0"/>
        <w:rPr>
          <w:rFonts w:ascii="Garamond" w:hAnsi="Garamond"/>
          <w:lang w:val="en-AU"/>
        </w:rPr>
      </w:pPr>
    </w:p>
    <w:p w:rsidR="00C0321C" w:rsidRPr="00485D37" w:rsidRDefault="00C0321C" w:rsidP="00C0321C">
      <w:pPr>
        <w:keepNext/>
        <w:keepLines/>
        <w:tabs>
          <w:tab w:val="left" w:pos="2114"/>
        </w:tabs>
        <w:autoSpaceDE w:val="0"/>
        <w:autoSpaceDN w:val="0"/>
        <w:adjustRightInd w:val="0"/>
        <w:rPr>
          <w:rFonts w:ascii="Garamond" w:hAnsi="Garamond"/>
          <w:i/>
          <w:lang w:val="en-AU"/>
        </w:rPr>
      </w:pPr>
      <w:r w:rsidRPr="00485D37">
        <w:rPr>
          <w:rFonts w:ascii="Garamond" w:hAnsi="Garamond"/>
          <w:i/>
          <w:lang w:val="en-AU"/>
        </w:rPr>
        <w:t>A decline in planned, but not spontaneous, preterm birth rates in a large Australian tertiary maternity centre during COVID-19 mitigation measures</w:t>
      </w:r>
    </w:p>
    <w:p w:rsidR="00485D37" w:rsidRDefault="00485D37" w:rsidP="003C7C95">
      <w:pPr>
        <w:keepNext/>
        <w:keepLines/>
        <w:tabs>
          <w:tab w:val="left" w:pos="2114"/>
        </w:tabs>
        <w:autoSpaceDE w:val="0"/>
        <w:autoSpaceDN w:val="0"/>
        <w:adjustRightInd w:val="0"/>
        <w:rPr>
          <w:rFonts w:ascii="Garamond" w:hAnsi="Garamond"/>
          <w:lang w:val="en-AU"/>
        </w:rPr>
      </w:pPr>
      <w:r w:rsidRPr="00485D37">
        <w:rPr>
          <w:rFonts w:ascii="Garamond" w:hAnsi="Garamond"/>
          <w:lang w:val="en-AU"/>
        </w:rPr>
        <w:t>Gallo LA, Gallo TF, Borg DJ, Moritz KM, Clifton VL, Kumar S</w:t>
      </w:r>
    </w:p>
    <w:p w:rsidR="00485D37" w:rsidRPr="00BC1B53" w:rsidRDefault="00485D37" w:rsidP="003C7C95">
      <w:pPr>
        <w:keepNext/>
        <w:keepLines/>
        <w:tabs>
          <w:tab w:val="left" w:pos="2114"/>
        </w:tabs>
        <w:autoSpaceDE w:val="0"/>
        <w:autoSpaceDN w:val="0"/>
        <w:adjustRightInd w:val="0"/>
        <w:rPr>
          <w:rFonts w:ascii="Garamond" w:hAnsi="Garamond"/>
          <w:lang w:val="en-AU"/>
        </w:rPr>
      </w:pPr>
      <w:r w:rsidRPr="00485D37">
        <w:rPr>
          <w:rFonts w:ascii="Garamond" w:hAnsi="Garamond"/>
          <w:lang w:val="en-AU"/>
        </w:rPr>
        <w:t>Australian and New Zealand Journal of Obstetrics and Gynaecology. 2021</w:t>
      </w:r>
      <w:r>
        <w:rPr>
          <w:rFonts w:ascii="Garamond" w:hAnsi="Garamond"/>
          <w:lang w:val="en-AU"/>
        </w:rPr>
        <w:t xml:space="preserve"> [epub]</w:t>
      </w:r>
      <w:r w:rsidRPr="00485D3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5D37" w:rsidRPr="00485D37" w:rsidRDefault="00485D37" w:rsidP="00485D37">
            <w:pPr>
              <w:rPr>
                <w:rFonts w:ascii="Garamond" w:hAnsi="Garamond"/>
                <w:lang w:val="en-AU"/>
              </w:rPr>
            </w:pPr>
            <w:r w:rsidRPr="00485D37">
              <w:rPr>
                <w:rFonts w:ascii="Garamond" w:hAnsi="Garamond"/>
                <w:lang w:val="en-AU"/>
              </w:rPr>
              <w:t xml:space="preserve">Selvaratnam et al </w:t>
            </w:r>
            <w:hyperlink r:id="rId17" w:history="1">
              <w:r w:rsidRPr="00485D37">
                <w:rPr>
                  <w:rStyle w:val="Hyperlink"/>
                  <w:rFonts w:ascii="Garamond" w:hAnsi="Garamond"/>
                  <w:lang w:val="en-AU"/>
                </w:rPr>
                <w:t>https://doi.org/10.1001/jama.2021.8608</w:t>
              </w:r>
            </w:hyperlink>
          </w:p>
          <w:p w:rsidR="00485D37" w:rsidRPr="00485D37" w:rsidRDefault="00485D37" w:rsidP="00AF3778">
            <w:pPr>
              <w:rPr>
                <w:rFonts w:ascii="Garamond" w:hAnsi="Garamond"/>
              </w:rPr>
            </w:pPr>
            <w:r w:rsidRPr="00485D37">
              <w:rPr>
                <w:rFonts w:ascii="Garamond" w:hAnsi="Garamond"/>
              </w:rPr>
              <w:t xml:space="preserve">Silver and Blue </w:t>
            </w:r>
            <w:hyperlink r:id="rId18" w:history="1">
              <w:r w:rsidRPr="00485D37">
                <w:rPr>
                  <w:rStyle w:val="Hyperlink"/>
                  <w:rFonts w:ascii="Garamond" w:hAnsi="Garamond"/>
                </w:rPr>
                <w:t>https://doi.org/10.1001/jama.2021.8381</w:t>
              </w:r>
            </w:hyperlink>
          </w:p>
          <w:p w:rsidR="00485D37" w:rsidRPr="00485D37" w:rsidRDefault="00485D37" w:rsidP="00AF3778">
            <w:pPr>
              <w:rPr>
                <w:rStyle w:val="Hyperlink"/>
                <w:rFonts w:ascii="Garamond" w:hAnsi="Garamond"/>
                <w:lang w:val="en-AU"/>
              </w:rPr>
            </w:pPr>
            <w:r w:rsidRPr="00485D37">
              <w:rPr>
                <w:rFonts w:ascii="Garamond" w:hAnsi="Garamond"/>
              </w:rPr>
              <w:t xml:space="preserve">Owen et al </w:t>
            </w:r>
            <w:hyperlink r:id="rId19" w:history="1">
              <w:r w:rsidR="00856DA0" w:rsidRPr="00485D37">
                <w:rPr>
                  <w:rStyle w:val="Hyperlink"/>
                  <w:rFonts w:ascii="Garamond" w:hAnsi="Garamond"/>
                  <w:lang w:val="en-AU"/>
                </w:rPr>
                <w:t>https://doi.org/10.1071/AH20237</w:t>
              </w:r>
            </w:hyperlink>
          </w:p>
          <w:p w:rsidR="00485D37" w:rsidRPr="000170DA" w:rsidRDefault="00485D37" w:rsidP="00AF3778">
            <w:pPr>
              <w:rPr>
                <w:rStyle w:val="Hyperlink"/>
                <w:rFonts w:ascii="Garamond" w:hAnsi="Garamond"/>
                <w:color w:val="auto"/>
                <w:u w:val="none"/>
                <w:lang w:val="en-AU"/>
              </w:rPr>
            </w:pPr>
            <w:r w:rsidRPr="00485D37">
              <w:rPr>
                <w:rStyle w:val="Hyperlink"/>
                <w:rFonts w:ascii="Garamond" w:hAnsi="Garamond"/>
                <w:color w:val="auto"/>
                <w:u w:val="none"/>
                <w:lang w:val="en-AU"/>
              </w:rPr>
              <w:t xml:space="preserve">Gallo et al </w:t>
            </w:r>
            <w:hyperlink r:id="rId20" w:history="1">
              <w:r w:rsidRPr="00485D37">
                <w:rPr>
                  <w:rStyle w:val="Hyperlink"/>
                  <w:rFonts w:ascii="Garamond" w:hAnsi="Garamond"/>
                  <w:lang w:val="en-AU"/>
                </w:rPr>
                <w:t>https://doi.org/10.1111/ajo.13406</w:t>
              </w:r>
            </w:hyperlink>
          </w:p>
        </w:tc>
      </w:tr>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6DA0" w:rsidRDefault="00485D37" w:rsidP="00485D37">
            <w:pPr>
              <w:rPr>
                <w:rFonts w:ascii="Garamond" w:hAnsi="Garamond"/>
                <w:lang w:val="en-AU"/>
              </w:rPr>
            </w:pPr>
            <w:r w:rsidRPr="00485D37">
              <w:rPr>
                <w:rFonts w:ascii="Garamond" w:hAnsi="Garamond"/>
                <w:lang w:val="en-AU"/>
              </w:rPr>
              <w:t xml:space="preserve">The importance of full term gestation on best outcomes for babies is established, yet there has been a shift towards earlier births in recent years. </w:t>
            </w:r>
            <w:r>
              <w:rPr>
                <w:rFonts w:ascii="Garamond" w:hAnsi="Garamond"/>
                <w:lang w:val="en-AU"/>
              </w:rPr>
              <w:t xml:space="preserve">These recent </w:t>
            </w:r>
            <w:r w:rsidRPr="00485D37">
              <w:rPr>
                <w:rFonts w:ascii="Garamond" w:hAnsi="Garamond"/>
                <w:lang w:val="en-AU"/>
              </w:rPr>
              <w:t>papers build on our knowledge of the short and long-term outcomes associated with pre-term and early-term births, and the im</w:t>
            </w:r>
            <w:r>
              <w:rPr>
                <w:rFonts w:ascii="Garamond" w:hAnsi="Garamond"/>
                <w:lang w:val="en-AU"/>
              </w:rPr>
              <w:t>plications for planned births.</w:t>
            </w:r>
          </w:p>
          <w:p w:rsidR="00485D37" w:rsidRDefault="00485D37" w:rsidP="00485D37">
            <w:pPr>
              <w:rPr>
                <w:rFonts w:ascii="Garamond" w:hAnsi="Garamond"/>
                <w:lang w:val="en-AU"/>
              </w:rPr>
            </w:pPr>
            <w:r w:rsidRPr="00485D37">
              <w:rPr>
                <w:rFonts w:ascii="Garamond" w:hAnsi="Garamond"/>
                <w:lang w:val="en-AU"/>
              </w:rPr>
              <w:t>Fetal growth restriction (FGR) is the largest contributor to late pregnancy stillbirth but detection and timely management of it can reduce the rate of stillbirth. However, timing a birth to prevent stillbirth where FGR is suspected must be weighed against the risks of premature birth. Given the low incidence of stillbirth, improving FGR detection may prevent a small number of stillbirths but may also cause inadvertent harm for an increasing number of healthy infants.</w:t>
            </w:r>
          </w:p>
          <w:p w:rsidR="00C60747" w:rsidRPr="00485D37" w:rsidRDefault="00C60747" w:rsidP="00485D37">
            <w:pPr>
              <w:rPr>
                <w:rFonts w:ascii="Garamond" w:hAnsi="Garamond"/>
                <w:lang w:val="en-AU"/>
              </w:rPr>
            </w:pPr>
          </w:p>
          <w:p w:rsidR="00485D37" w:rsidRPr="00485D37" w:rsidRDefault="00485D37" w:rsidP="00485D37">
            <w:pPr>
              <w:rPr>
                <w:rFonts w:ascii="Garamond" w:hAnsi="Garamond"/>
                <w:lang w:val="en-AU"/>
              </w:rPr>
            </w:pPr>
            <w:r w:rsidRPr="00485D37">
              <w:rPr>
                <w:rFonts w:ascii="Garamond" w:hAnsi="Garamond"/>
                <w:lang w:val="en-AU"/>
              </w:rPr>
              <w:t xml:space="preserve">Selvaratnam et al </w:t>
            </w:r>
            <w:r>
              <w:rPr>
                <w:rFonts w:ascii="Garamond" w:hAnsi="Garamond"/>
                <w:lang w:val="en-AU"/>
              </w:rPr>
              <w:t xml:space="preserve">report on an </w:t>
            </w:r>
            <w:r w:rsidRPr="00485D37">
              <w:rPr>
                <w:rFonts w:ascii="Garamond" w:hAnsi="Garamond"/>
                <w:lang w:val="en-AU"/>
              </w:rPr>
              <w:t xml:space="preserve">exploratory study </w:t>
            </w:r>
            <w:r>
              <w:rPr>
                <w:rFonts w:ascii="Garamond" w:hAnsi="Garamond"/>
                <w:lang w:val="en-AU"/>
              </w:rPr>
              <w:t xml:space="preserve">that </w:t>
            </w:r>
            <w:r w:rsidRPr="00485D37">
              <w:rPr>
                <w:rFonts w:ascii="Garamond" w:hAnsi="Garamond"/>
                <w:lang w:val="en-AU"/>
              </w:rPr>
              <w:t>examined developmental and educational outcomes for liveborn singleton babies born at 32 weeks’ or more gestation in Victoria from 2003 to 2013 (705,</w:t>
            </w:r>
            <w:r w:rsidRPr="00485D37">
              <w:rPr>
                <w:lang w:val="en-AU"/>
              </w:rPr>
              <w:t> </w:t>
            </w:r>
            <w:r w:rsidRPr="00485D37">
              <w:rPr>
                <w:rFonts w:ascii="Garamond" w:hAnsi="Garamond"/>
                <w:lang w:val="en-AU"/>
              </w:rPr>
              <w:t>937 infants). Data were sourced from the Victoria Perinatal Data Collection, the Australian Early Development Census records and the National Assessment Program–Literacy and Numeracy (NAPLAN) assessment bands. The study found:</w:t>
            </w:r>
          </w:p>
          <w:p w:rsidR="00485D37" w:rsidRPr="00485D37" w:rsidRDefault="00485D37" w:rsidP="00485D37">
            <w:pPr>
              <w:pStyle w:val="ListParagraph"/>
              <w:numPr>
                <w:ilvl w:val="0"/>
                <w:numId w:val="34"/>
              </w:numPr>
              <w:rPr>
                <w:rFonts w:ascii="Garamond" w:hAnsi="Garamond"/>
                <w:lang w:val="en-AU"/>
              </w:rPr>
            </w:pPr>
            <w:r w:rsidRPr="00A074F1">
              <w:rPr>
                <w:rFonts w:ascii="Garamond" w:hAnsi="Garamond"/>
                <w:b/>
                <w:lang w:val="en-AU"/>
              </w:rPr>
              <w:t>infants who were severely small for gestational age</w:t>
            </w:r>
            <w:r w:rsidRPr="00485D37">
              <w:rPr>
                <w:rFonts w:ascii="Garamond" w:hAnsi="Garamond"/>
                <w:lang w:val="en-AU"/>
              </w:rPr>
              <w:t xml:space="preserve"> (birth weight &lt;3rd percentile) </w:t>
            </w:r>
            <w:r w:rsidRPr="00A074F1">
              <w:rPr>
                <w:rFonts w:ascii="Garamond" w:hAnsi="Garamond"/>
                <w:b/>
                <w:lang w:val="en-AU"/>
              </w:rPr>
              <w:t>and who were delivered for suspected FGR</w:t>
            </w:r>
            <w:r w:rsidRPr="00485D37">
              <w:rPr>
                <w:rFonts w:ascii="Garamond" w:hAnsi="Garamond"/>
                <w:lang w:val="en-AU"/>
              </w:rPr>
              <w:t xml:space="preserve">, had a </w:t>
            </w:r>
            <w:r w:rsidRPr="00A074F1">
              <w:rPr>
                <w:rFonts w:ascii="Garamond" w:hAnsi="Garamond"/>
                <w:b/>
                <w:lang w:val="en-AU"/>
              </w:rPr>
              <w:t>significantly increased risk of poor developmental outcome at school entry</w:t>
            </w:r>
            <w:r w:rsidRPr="00485D37">
              <w:rPr>
                <w:rFonts w:ascii="Garamond" w:hAnsi="Garamond"/>
                <w:lang w:val="en-AU"/>
              </w:rPr>
              <w:t xml:space="preserve"> (16.2% vs 12.7%; adjusted odds ratio, 1.36 [95% CI, 1.07-1.74]) and </w:t>
            </w:r>
            <w:r w:rsidRPr="00A074F1">
              <w:rPr>
                <w:rFonts w:ascii="Garamond" w:hAnsi="Garamond"/>
                <w:b/>
                <w:lang w:val="en-AU"/>
              </w:rPr>
              <w:t>poorer educational outcomes in grades 3, 5, and 7</w:t>
            </w:r>
            <w:r w:rsidRPr="00485D37">
              <w:rPr>
                <w:rFonts w:ascii="Garamond" w:hAnsi="Garamond"/>
                <w:lang w:val="en-AU"/>
              </w:rPr>
              <w:t>, compared with infants who were severely small for gestational age and who were not suspected of having FGR.</w:t>
            </w:r>
          </w:p>
          <w:p w:rsidR="00485D37" w:rsidRPr="00485D37" w:rsidRDefault="00485D37" w:rsidP="00485D37">
            <w:pPr>
              <w:pStyle w:val="ListParagraph"/>
              <w:numPr>
                <w:ilvl w:val="0"/>
                <w:numId w:val="34"/>
              </w:numPr>
              <w:rPr>
                <w:rFonts w:ascii="Garamond" w:hAnsi="Garamond"/>
                <w:lang w:val="en-AU"/>
              </w:rPr>
            </w:pPr>
            <w:r w:rsidRPr="00485D37">
              <w:rPr>
                <w:rFonts w:ascii="Garamond" w:hAnsi="Garamond"/>
                <w:lang w:val="en-AU"/>
              </w:rPr>
              <w:t>no significant difference between infants with normal birth weight (birth weight ≥10th percentile) delivered for suspected FGR and those not suspected of having FGR in risk of poor developmental outcome at school entry (8.6% vs 8.1%; adjusted odds ratio, 1.17 [95% CI, 0.95-1.45]) or educational outcomes in grade 3, 5, or 7.</w:t>
            </w:r>
          </w:p>
          <w:p w:rsidR="00485D37" w:rsidRDefault="00485D37" w:rsidP="00485D37">
            <w:pPr>
              <w:rPr>
                <w:rFonts w:ascii="Garamond" w:hAnsi="Garamond"/>
                <w:lang w:val="en-AU"/>
              </w:rPr>
            </w:pPr>
            <w:r w:rsidRPr="00485D37">
              <w:rPr>
                <w:rFonts w:ascii="Garamond" w:hAnsi="Garamond"/>
                <w:lang w:val="en-AU"/>
              </w:rPr>
              <w:lastRenderedPageBreak/>
              <w:t xml:space="preserve">Silver and Blue’s editorial in the same issue </w:t>
            </w:r>
            <w:r w:rsidR="00A074F1">
              <w:rPr>
                <w:rFonts w:ascii="Garamond" w:hAnsi="Garamond"/>
                <w:lang w:val="en-AU"/>
              </w:rPr>
              <w:t xml:space="preserve">of </w:t>
            </w:r>
            <w:r w:rsidR="00A074F1" w:rsidRPr="00A074F1">
              <w:rPr>
                <w:rFonts w:ascii="Garamond" w:hAnsi="Garamond"/>
                <w:i/>
                <w:lang w:val="en-AU"/>
              </w:rPr>
              <w:t>JAMA</w:t>
            </w:r>
            <w:r w:rsidR="00A074F1">
              <w:rPr>
                <w:rFonts w:ascii="Garamond" w:hAnsi="Garamond"/>
                <w:lang w:val="en-AU"/>
              </w:rPr>
              <w:t xml:space="preserve">, </w:t>
            </w:r>
            <w:r w:rsidRPr="00485D37">
              <w:rPr>
                <w:rFonts w:ascii="Garamond" w:hAnsi="Garamond"/>
                <w:lang w:val="en-AU"/>
              </w:rPr>
              <w:t>‘Delivery Before 39 Weeks’ Gestation for Suspected Fetal Growth Restriction: More Harm Than Good?’</w:t>
            </w:r>
            <w:r w:rsidR="00046674">
              <w:rPr>
                <w:rFonts w:ascii="Garamond" w:hAnsi="Garamond"/>
                <w:lang w:val="en-AU"/>
              </w:rPr>
              <w:t>,</w:t>
            </w:r>
            <w:r w:rsidRPr="00485D37">
              <w:rPr>
                <w:rFonts w:ascii="Garamond" w:hAnsi="Garamond"/>
                <w:lang w:val="en-AU"/>
              </w:rPr>
              <w:t xml:space="preserve"> states that the study highlights ‘the need to truly evaluate the long-term outcomes associated with obstetric interventions for severely small for ges</w:t>
            </w:r>
            <w:r w:rsidR="00A074F1">
              <w:rPr>
                <w:rFonts w:ascii="Garamond" w:hAnsi="Garamond"/>
                <w:lang w:val="en-AU"/>
              </w:rPr>
              <w:t>tational age and FGR’.</w:t>
            </w:r>
          </w:p>
          <w:p w:rsidR="00C60747" w:rsidRDefault="00C60747" w:rsidP="00A074F1">
            <w:pPr>
              <w:rPr>
                <w:rFonts w:ascii="Garamond" w:hAnsi="Garamond"/>
                <w:lang w:val="en-AU"/>
              </w:rPr>
            </w:pPr>
          </w:p>
          <w:p w:rsidR="00A074F1" w:rsidRPr="00A074F1" w:rsidRDefault="00485D37" w:rsidP="00A074F1">
            <w:pPr>
              <w:rPr>
                <w:rFonts w:ascii="Garamond" w:hAnsi="Garamond"/>
                <w:lang w:val="en-AU"/>
              </w:rPr>
            </w:pPr>
            <w:r>
              <w:rPr>
                <w:rFonts w:ascii="Garamond" w:hAnsi="Garamond"/>
                <w:lang w:val="en-AU"/>
              </w:rPr>
              <w:t xml:space="preserve">Owen et al </w:t>
            </w:r>
            <w:r w:rsidR="00A074F1" w:rsidRPr="00A074F1">
              <w:rPr>
                <w:rFonts w:ascii="Garamond" w:hAnsi="Garamond"/>
                <w:lang w:val="en-AU"/>
              </w:rPr>
              <w:t>examined the costs and cumulative length of hospitalisations for babies in their first year of life according to mode of birth and gestational age. The study included women who gave birth to liveborn singleton babies (1,187 451 babies) in New South Wales from 2005 to 2014. Th</w:t>
            </w:r>
            <w:r w:rsidR="00A074F1">
              <w:rPr>
                <w:rFonts w:ascii="Garamond" w:hAnsi="Garamond"/>
                <w:lang w:val="en-AU"/>
              </w:rPr>
              <w:t>is</w:t>
            </w:r>
            <w:r w:rsidR="00A074F1" w:rsidRPr="00A074F1">
              <w:rPr>
                <w:rFonts w:ascii="Garamond" w:hAnsi="Garamond"/>
                <w:lang w:val="en-AU"/>
              </w:rPr>
              <w:t xml:space="preserve"> study found:</w:t>
            </w:r>
          </w:p>
          <w:p w:rsidR="00A074F1" w:rsidRPr="00A074F1" w:rsidRDefault="00A074F1" w:rsidP="00A074F1">
            <w:pPr>
              <w:pStyle w:val="ListParagraph"/>
              <w:numPr>
                <w:ilvl w:val="0"/>
                <w:numId w:val="35"/>
              </w:numPr>
              <w:rPr>
                <w:rFonts w:ascii="Garamond" w:hAnsi="Garamond"/>
                <w:lang w:val="en-AU"/>
              </w:rPr>
            </w:pPr>
            <w:r w:rsidRPr="00A074F1">
              <w:rPr>
                <w:rFonts w:ascii="Garamond" w:hAnsi="Garamond"/>
                <w:lang w:val="en-AU"/>
              </w:rPr>
              <w:t xml:space="preserve">The </w:t>
            </w:r>
            <w:r w:rsidRPr="00A074F1">
              <w:rPr>
                <w:rFonts w:ascii="Garamond" w:hAnsi="Garamond"/>
                <w:b/>
                <w:lang w:val="en-AU"/>
              </w:rPr>
              <w:t>total length of hospitalisations and hospital costs were significantly</w:t>
            </w:r>
            <w:r w:rsidRPr="00A074F1">
              <w:rPr>
                <w:rFonts w:ascii="Garamond" w:hAnsi="Garamond"/>
                <w:lang w:val="en-AU"/>
              </w:rPr>
              <w:t xml:space="preserve"> (p&lt; 0.001) </w:t>
            </w:r>
            <w:r w:rsidRPr="00A074F1">
              <w:rPr>
                <w:rFonts w:ascii="Garamond" w:hAnsi="Garamond"/>
                <w:b/>
                <w:lang w:val="en-AU"/>
              </w:rPr>
              <w:t>lower for babies born after spontaneous labour</w:t>
            </w:r>
            <w:r w:rsidRPr="00A074F1">
              <w:rPr>
                <w:rFonts w:ascii="Garamond" w:hAnsi="Garamond"/>
                <w:lang w:val="en-AU"/>
              </w:rPr>
              <w:t xml:space="preserve"> (5.6 days and A$8405 respectively) </w:t>
            </w:r>
            <w:r w:rsidRPr="00A074F1">
              <w:rPr>
                <w:rFonts w:ascii="Garamond" w:hAnsi="Garamond"/>
                <w:b/>
                <w:lang w:val="en-AU"/>
              </w:rPr>
              <w:t>than for babies born following labour induction (</w:t>
            </w:r>
            <w:r w:rsidRPr="00A074F1">
              <w:rPr>
                <w:rFonts w:ascii="Garamond" w:hAnsi="Garamond"/>
                <w:lang w:val="en-AU"/>
              </w:rPr>
              <w:t xml:space="preserve">6.1 days and A$9452 respectively) </w:t>
            </w:r>
            <w:r w:rsidRPr="00A074F1">
              <w:rPr>
                <w:rFonts w:ascii="Garamond" w:hAnsi="Garamond"/>
                <w:b/>
                <w:lang w:val="en-AU"/>
              </w:rPr>
              <w:t>or prelabour Caesarean section</w:t>
            </w:r>
            <w:r w:rsidRPr="00A074F1">
              <w:rPr>
                <w:rFonts w:ascii="Garamond" w:hAnsi="Garamond"/>
                <w:lang w:val="en-AU"/>
              </w:rPr>
              <w:t xml:space="preserve"> (8.2 days and A$12 320 respectively).</w:t>
            </w:r>
          </w:p>
          <w:p w:rsidR="00A074F1" w:rsidRPr="00A074F1" w:rsidRDefault="00A074F1" w:rsidP="00A074F1">
            <w:pPr>
              <w:pStyle w:val="ListParagraph"/>
              <w:numPr>
                <w:ilvl w:val="0"/>
                <w:numId w:val="35"/>
              </w:numPr>
              <w:rPr>
                <w:rFonts w:ascii="Garamond" w:hAnsi="Garamond"/>
                <w:lang w:val="en-AU"/>
              </w:rPr>
            </w:pPr>
            <w:r w:rsidRPr="00A074F1">
              <w:rPr>
                <w:rFonts w:ascii="Garamond" w:hAnsi="Garamond"/>
                <w:lang w:val="en-AU"/>
              </w:rPr>
              <w:t>The mean total length of hospitalisations and costs of hospitalisations for babies in the first year of life declined steeply between 33 and 37 weeks gestation, then gradually declined between 38 and 39 weeks before plateauing at 39 weeks.</w:t>
            </w:r>
          </w:p>
          <w:p w:rsidR="00A074F1" w:rsidRPr="00A074F1" w:rsidRDefault="00A074F1" w:rsidP="00A074F1">
            <w:pPr>
              <w:pStyle w:val="ListParagraph"/>
              <w:numPr>
                <w:ilvl w:val="0"/>
                <w:numId w:val="35"/>
              </w:numPr>
              <w:rPr>
                <w:rFonts w:ascii="Garamond" w:hAnsi="Garamond"/>
                <w:lang w:val="en-AU"/>
              </w:rPr>
            </w:pPr>
            <w:r w:rsidRPr="00A074F1">
              <w:rPr>
                <w:rFonts w:ascii="Garamond" w:hAnsi="Garamond"/>
                <w:lang w:val="en-AU"/>
              </w:rPr>
              <w:t xml:space="preserve">Once babies had been discharged, </w:t>
            </w:r>
            <w:r w:rsidRPr="00A074F1">
              <w:rPr>
                <w:rFonts w:ascii="Garamond" w:hAnsi="Garamond"/>
                <w:b/>
                <w:lang w:val="en-AU"/>
              </w:rPr>
              <w:t>those born before 37 weeks</w:t>
            </w:r>
            <w:r w:rsidRPr="00A074F1">
              <w:rPr>
                <w:rFonts w:ascii="Garamond" w:hAnsi="Garamond"/>
                <w:lang w:val="en-AU"/>
              </w:rPr>
              <w:t xml:space="preserve"> were </w:t>
            </w:r>
            <w:r w:rsidRPr="00A074F1">
              <w:rPr>
                <w:rFonts w:ascii="Garamond" w:hAnsi="Garamond"/>
                <w:b/>
                <w:lang w:val="en-AU"/>
              </w:rPr>
              <w:t>more likely to be readmitted</w:t>
            </w:r>
            <w:r w:rsidRPr="00A074F1">
              <w:rPr>
                <w:rFonts w:ascii="Garamond" w:hAnsi="Garamond"/>
                <w:lang w:val="en-AU"/>
              </w:rPr>
              <w:t xml:space="preserve"> and the most common diagnosis was bronchiolitis.</w:t>
            </w:r>
          </w:p>
          <w:p w:rsidR="00A074F1" w:rsidRPr="00A074F1" w:rsidRDefault="00A074F1" w:rsidP="00A074F1">
            <w:pPr>
              <w:pStyle w:val="ListParagraph"/>
              <w:numPr>
                <w:ilvl w:val="0"/>
                <w:numId w:val="35"/>
              </w:numPr>
              <w:rPr>
                <w:rFonts w:ascii="Garamond" w:hAnsi="Garamond"/>
                <w:lang w:val="en-AU"/>
              </w:rPr>
            </w:pPr>
            <w:r w:rsidRPr="00A074F1">
              <w:rPr>
                <w:rFonts w:ascii="Garamond" w:hAnsi="Garamond"/>
                <w:lang w:val="en-AU"/>
              </w:rPr>
              <w:t>At each week of gestational age, the total hospital cost was significantly higher for babies born following a prelabour caesarean and labour induction than for babies born following a spontaneous labour.</w:t>
            </w:r>
          </w:p>
          <w:p w:rsidR="00A074F1" w:rsidRPr="00A074F1" w:rsidRDefault="00A074F1" w:rsidP="00A074F1">
            <w:pPr>
              <w:rPr>
                <w:rFonts w:ascii="Garamond" w:hAnsi="Garamond"/>
                <w:lang w:val="en-AU"/>
              </w:rPr>
            </w:pPr>
            <w:r w:rsidRPr="00A074F1">
              <w:rPr>
                <w:rFonts w:ascii="Garamond" w:hAnsi="Garamond"/>
                <w:lang w:val="en-AU"/>
              </w:rPr>
              <w:t>The authors concluded that</w:t>
            </w:r>
            <w:r>
              <w:rPr>
                <w:rFonts w:ascii="Garamond" w:hAnsi="Garamond"/>
                <w:lang w:val="en-AU"/>
              </w:rPr>
              <w:t xml:space="preserve"> </w:t>
            </w:r>
            <w:r w:rsidRPr="00A074F1">
              <w:rPr>
                <w:rFonts w:ascii="Garamond" w:hAnsi="Garamond"/>
                <w:lang w:val="en-AU"/>
              </w:rPr>
              <w:t>‘It is important for judicious decision making to balance the risks and benefits of planned early births for the baby and mother, because avoiding unnecessary early births is associated with a reduction in the time spent in hospital and decreased costs.’</w:t>
            </w:r>
          </w:p>
          <w:p w:rsidR="00C60747" w:rsidRDefault="00C60747" w:rsidP="00485D37">
            <w:pPr>
              <w:rPr>
                <w:rFonts w:ascii="Garamond" w:hAnsi="Garamond"/>
                <w:lang w:val="en-AU"/>
              </w:rPr>
            </w:pPr>
          </w:p>
          <w:p w:rsidR="00485D37" w:rsidRDefault="00A074F1" w:rsidP="00485D37">
            <w:pPr>
              <w:rPr>
                <w:rFonts w:ascii="Garamond" w:hAnsi="Garamond"/>
                <w:lang w:val="en-AU"/>
              </w:rPr>
            </w:pPr>
            <w:r>
              <w:rPr>
                <w:rFonts w:ascii="Garamond" w:hAnsi="Garamond"/>
                <w:lang w:val="en-AU"/>
              </w:rPr>
              <w:t>During the COVID-19 pandemic it was suggested that r</w:t>
            </w:r>
            <w:r w:rsidRPr="00A074F1">
              <w:rPr>
                <w:rFonts w:ascii="Garamond" w:hAnsi="Garamond"/>
                <w:lang w:val="en-AU"/>
              </w:rPr>
              <w:t>ates of preterm birth decreased during COVID-19 lockdown measures.</w:t>
            </w:r>
            <w:r>
              <w:rPr>
                <w:rFonts w:ascii="Garamond" w:hAnsi="Garamond"/>
                <w:lang w:val="en-AU"/>
              </w:rPr>
              <w:t xml:space="preserve"> </w:t>
            </w:r>
            <w:r w:rsidR="00485D37">
              <w:rPr>
                <w:rFonts w:ascii="Garamond" w:hAnsi="Garamond"/>
                <w:lang w:val="en-AU"/>
              </w:rPr>
              <w:t>Gallo et al</w:t>
            </w:r>
            <w:r>
              <w:rPr>
                <w:rFonts w:ascii="Garamond" w:hAnsi="Garamond"/>
                <w:lang w:val="en-AU"/>
              </w:rPr>
              <w:t xml:space="preserve"> have </w:t>
            </w:r>
            <w:r w:rsidRPr="00A074F1">
              <w:rPr>
                <w:rFonts w:ascii="Garamond" w:hAnsi="Garamond"/>
                <w:lang w:val="en-AU"/>
              </w:rPr>
              <w:t>compare</w:t>
            </w:r>
            <w:r>
              <w:rPr>
                <w:rFonts w:ascii="Garamond" w:hAnsi="Garamond"/>
                <w:lang w:val="en-AU"/>
              </w:rPr>
              <w:t>d</w:t>
            </w:r>
            <w:r w:rsidRPr="00A074F1">
              <w:rPr>
                <w:rFonts w:ascii="Garamond" w:hAnsi="Garamond"/>
                <w:lang w:val="en-AU"/>
              </w:rPr>
              <w:t xml:space="preserve"> the prevalence of preterm birth and stillbirth rates during COVID-19 restriction measures with infants born at the same maternity centre during the same weeks in 2013–2019.</w:t>
            </w:r>
            <w:r>
              <w:rPr>
                <w:rFonts w:ascii="Garamond" w:hAnsi="Garamond"/>
                <w:lang w:val="en-AU"/>
              </w:rPr>
              <w:t xml:space="preserve"> They report finding ‘</w:t>
            </w:r>
            <w:r w:rsidRPr="00A074F1">
              <w:rPr>
                <w:rFonts w:ascii="Garamond" w:hAnsi="Garamond"/>
                <w:lang w:val="en-AU"/>
              </w:rPr>
              <w:t>Planned moderate/late preterm births declined by more than half during early COVID-19 restrictions compared with the previous seven years</w:t>
            </w:r>
            <w:r>
              <w:rPr>
                <w:rFonts w:ascii="Garamond" w:hAnsi="Garamond"/>
                <w:lang w:val="en-AU"/>
              </w:rPr>
              <w:t xml:space="preserve">’. This finding suggests a </w:t>
            </w:r>
            <w:r w:rsidRPr="00A074F1">
              <w:rPr>
                <w:rFonts w:ascii="Garamond" w:hAnsi="Garamond"/>
                <w:lang w:val="en-AU"/>
              </w:rPr>
              <w:t>discretionary nature of timing for planned births</w:t>
            </w:r>
            <w:r>
              <w:rPr>
                <w:rFonts w:ascii="Garamond" w:hAnsi="Garamond"/>
                <w:lang w:val="en-AU"/>
              </w:rPr>
              <w:t>.</w:t>
            </w:r>
          </w:p>
          <w:p w:rsidR="00C60747" w:rsidRDefault="00C60747" w:rsidP="00A074F1">
            <w:pPr>
              <w:rPr>
                <w:rFonts w:ascii="Garamond" w:hAnsi="Garamond"/>
                <w:lang w:val="en-AU"/>
              </w:rPr>
            </w:pPr>
          </w:p>
          <w:p w:rsidR="008B5CB9" w:rsidRDefault="00A074F1" w:rsidP="008B5CB9">
            <w:pPr>
              <w:rPr>
                <w:rFonts w:ascii="Garamond" w:hAnsi="Garamond"/>
                <w:lang w:val="en-AU"/>
              </w:rPr>
            </w:pPr>
            <w:r w:rsidRPr="00A074F1">
              <w:rPr>
                <w:rFonts w:ascii="Garamond" w:hAnsi="Garamond"/>
                <w:lang w:val="en-AU"/>
              </w:rPr>
              <w:t xml:space="preserve">The </w:t>
            </w:r>
            <w:r>
              <w:rPr>
                <w:rFonts w:ascii="Garamond" w:hAnsi="Garamond"/>
                <w:lang w:val="en-AU"/>
              </w:rPr>
              <w:t xml:space="preserve">Australian </w:t>
            </w:r>
            <w:r w:rsidRPr="00A074F1">
              <w:rPr>
                <w:rFonts w:ascii="Garamond" w:hAnsi="Garamond"/>
                <w:lang w:val="en-AU"/>
              </w:rPr>
              <w:t xml:space="preserve">Commission </w:t>
            </w:r>
            <w:r>
              <w:rPr>
                <w:rFonts w:ascii="Garamond" w:hAnsi="Garamond"/>
                <w:lang w:val="en-AU"/>
              </w:rPr>
              <w:t xml:space="preserve">on Safety and Quality in Health Care </w:t>
            </w:r>
            <w:r w:rsidRPr="00A074F1">
              <w:rPr>
                <w:rFonts w:ascii="Garamond" w:hAnsi="Garamond"/>
                <w:lang w:val="en-AU"/>
              </w:rPr>
              <w:t xml:space="preserve">released </w:t>
            </w:r>
            <w:r w:rsidRPr="00A074F1">
              <w:rPr>
                <w:rFonts w:ascii="Garamond" w:hAnsi="Garamond"/>
                <w:i/>
                <w:lang w:val="en-AU"/>
              </w:rPr>
              <w:t>The Fourth Australian Atlas of Healthcare Variation</w:t>
            </w:r>
            <w:r w:rsidRPr="00A074F1">
              <w:rPr>
                <w:rFonts w:ascii="Garamond" w:hAnsi="Garamond"/>
                <w:lang w:val="en-AU"/>
              </w:rPr>
              <w:t xml:space="preserve"> in April 2021. The Atlas examined rates of planned (pre-labour) caesarean section without medical or obstetric indication, and rates of induced labour without medical or obstetric indication, according to gestation (&lt; 37 weeks, &lt;38 weeks and &lt; 39 weeks). The Atlas found that almost half (43–56%) of pre-labour caesarean sections &lt; 39 weeks in 2017 did not have a medical or obstetric indication, based on the range of rates for the seven states and territories for which data could be reported. </w:t>
            </w:r>
          </w:p>
          <w:p w:rsidR="00A074F1" w:rsidRPr="00887189" w:rsidRDefault="00A074F1" w:rsidP="008B5CB9">
            <w:pPr>
              <w:rPr>
                <w:rFonts w:ascii="Garamond" w:hAnsi="Garamond"/>
                <w:lang w:val="en-AU"/>
              </w:rPr>
            </w:pPr>
            <w:r w:rsidRPr="00A074F1">
              <w:rPr>
                <w:rFonts w:ascii="Garamond" w:hAnsi="Garamond"/>
                <w:lang w:val="en-AU"/>
              </w:rPr>
              <w:t xml:space="preserve">Read more about the fourth Atlas at </w:t>
            </w:r>
            <w:hyperlink r:id="rId21" w:history="1">
              <w:r w:rsidRPr="00A204E6">
                <w:rPr>
                  <w:rStyle w:val="Hyperlink"/>
                  <w:rFonts w:ascii="Garamond" w:hAnsi="Garamond"/>
                  <w:lang w:val="en-AU"/>
                </w:rPr>
                <w:t>www.safetyandquality.gov.au/fourth-atlas-2021</w:t>
              </w:r>
            </w:hyperlink>
          </w:p>
        </w:tc>
      </w:tr>
    </w:tbl>
    <w:p w:rsidR="008B5CB9" w:rsidRDefault="008B5CB9" w:rsidP="008B5CB9">
      <w:pPr>
        <w:keepLines/>
        <w:tabs>
          <w:tab w:val="left" w:pos="2114"/>
        </w:tabs>
        <w:autoSpaceDE w:val="0"/>
        <w:autoSpaceDN w:val="0"/>
        <w:adjustRightInd w:val="0"/>
        <w:rPr>
          <w:rFonts w:ascii="Garamond" w:hAnsi="Garamond"/>
          <w:i/>
          <w:lang w:val="en-AU"/>
        </w:rPr>
      </w:pPr>
    </w:p>
    <w:p w:rsidR="00867CE3" w:rsidRPr="00D93C43" w:rsidRDefault="00D93C43" w:rsidP="00867CE3">
      <w:pPr>
        <w:keepNext/>
        <w:keepLines/>
        <w:tabs>
          <w:tab w:val="left" w:pos="2114"/>
        </w:tabs>
        <w:autoSpaceDE w:val="0"/>
        <w:autoSpaceDN w:val="0"/>
        <w:adjustRightInd w:val="0"/>
        <w:rPr>
          <w:rFonts w:ascii="Garamond" w:hAnsi="Garamond"/>
          <w:i/>
          <w:lang w:val="en-AU"/>
        </w:rPr>
      </w:pPr>
      <w:r w:rsidRPr="00D93C43">
        <w:rPr>
          <w:rFonts w:ascii="Garamond" w:hAnsi="Garamond"/>
          <w:i/>
          <w:lang w:val="en-AU"/>
        </w:rPr>
        <w:lastRenderedPageBreak/>
        <w:t>An Ageing Population Creates New Challenges Around Consent to Medical Treatment</w:t>
      </w:r>
    </w:p>
    <w:p w:rsidR="00D93C43" w:rsidRDefault="00D93C43" w:rsidP="00867CE3">
      <w:pPr>
        <w:keepNext/>
        <w:keepLines/>
        <w:tabs>
          <w:tab w:val="left" w:pos="2114"/>
        </w:tabs>
        <w:autoSpaceDE w:val="0"/>
        <w:autoSpaceDN w:val="0"/>
        <w:adjustRightInd w:val="0"/>
        <w:rPr>
          <w:rFonts w:ascii="Garamond" w:hAnsi="Garamond"/>
          <w:lang w:val="en-AU"/>
        </w:rPr>
      </w:pPr>
      <w:r w:rsidRPr="00D93C43">
        <w:rPr>
          <w:rFonts w:ascii="Garamond" w:hAnsi="Garamond"/>
          <w:lang w:val="en-AU"/>
        </w:rPr>
        <w:t>Holmes AL, Ibrahim JE</w:t>
      </w:r>
    </w:p>
    <w:p w:rsidR="00D93C43" w:rsidRPr="00BC1B53" w:rsidRDefault="00D93C43" w:rsidP="00867CE3">
      <w:pPr>
        <w:keepNext/>
        <w:keepLines/>
        <w:tabs>
          <w:tab w:val="left" w:pos="2114"/>
        </w:tabs>
        <w:autoSpaceDE w:val="0"/>
        <w:autoSpaceDN w:val="0"/>
        <w:adjustRightInd w:val="0"/>
        <w:rPr>
          <w:rFonts w:ascii="Garamond" w:hAnsi="Garamond"/>
          <w:lang w:val="en-AU"/>
        </w:rPr>
      </w:pPr>
      <w:r w:rsidRPr="00D93C43">
        <w:rPr>
          <w:rFonts w:ascii="Garamond" w:hAnsi="Garamond"/>
          <w:lang w:val="en-AU"/>
        </w:rPr>
        <w:t>Journal of Bioethical Inquiry. 2021</w:t>
      </w:r>
      <w:r>
        <w:rPr>
          <w:rFonts w:ascii="Garamond" w:hAnsi="Garamond"/>
          <w:lang w:val="en-AU"/>
        </w:rPr>
        <w:t xml:space="preserve"> [epub]</w:t>
      </w:r>
      <w:r w:rsidRPr="00D93C4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67CE3" w:rsidRPr="000170DA" w:rsidTr="00CC21DB">
        <w:tc>
          <w:tcPr>
            <w:tcW w:w="1080" w:type="dxa"/>
            <w:tcBorders>
              <w:top w:val="single" w:sz="4" w:space="0" w:color="auto"/>
              <w:left w:val="single" w:sz="4" w:space="0" w:color="auto"/>
              <w:bottom w:val="single" w:sz="4" w:space="0" w:color="auto"/>
              <w:right w:val="single" w:sz="4" w:space="0" w:color="auto"/>
            </w:tcBorders>
            <w:vAlign w:val="center"/>
          </w:tcPr>
          <w:p w:rsidR="00867CE3" w:rsidRPr="000170DA" w:rsidRDefault="00867CE3" w:rsidP="00CC21D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67CE3" w:rsidRPr="000170DA" w:rsidRDefault="00B00AE2" w:rsidP="00CC21DB">
            <w:pPr>
              <w:rPr>
                <w:rStyle w:val="Hyperlink"/>
                <w:rFonts w:ascii="Garamond" w:hAnsi="Garamond"/>
                <w:color w:val="auto"/>
                <w:u w:val="none"/>
                <w:lang w:val="en-AU"/>
              </w:rPr>
            </w:pPr>
            <w:hyperlink r:id="rId22" w:history="1">
              <w:r w:rsidR="00D93C43" w:rsidRPr="00F64316">
                <w:rPr>
                  <w:rStyle w:val="Hyperlink"/>
                  <w:rFonts w:ascii="Garamond" w:hAnsi="Garamond"/>
                  <w:lang w:val="en-AU"/>
                </w:rPr>
                <w:t>https://doi.org/10.1007/s11673-021-10113-3</w:t>
              </w:r>
            </w:hyperlink>
          </w:p>
        </w:tc>
      </w:tr>
      <w:tr w:rsidR="00867CE3" w:rsidRPr="000170DA" w:rsidTr="00CC21DB">
        <w:tc>
          <w:tcPr>
            <w:tcW w:w="1080" w:type="dxa"/>
            <w:tcBorders>
              <w:top w:val="single" w:sz="4" w:space="0" w:color="auto"/>
              <w:left w:val="single" w:sz="4" w:space="0" w:color="auto"/>
              <w:bottom w:val="single" w:sz="4" w:space="0" w:color="auto"/>
              <w:right w:val="single" w:sz="4" w:space="0" w:color="auto"/>
            </w:tcBorders>
            <w:vAlign w:val="center"/>
          </w:tcPr>
          <w:p w:rsidR="00867CE3" w:rsidRPr="000170DA" w:rsidRDefault="00867CE3" w:rsidP="00CC21D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0747" w:rsidRPr="00887189" w:rsidRDefault="00C60747" w:rsidP="005D2024">
            <w:pPr>
              <w:rPr>
                <w:rFonts w:ascii="Garamond" w:hAnsi="Garamond"/>
                <w:lang w:val="en-AU"/>
              </w:rPr>
            </w:pPr>
            <w:r>
              <w:rPr>
                <w:rFonts w:ascii="Garamond" w:hAnsi="Garamond"/>
                <w:lang w:val="en-AU"/>
              </w:rPr>
              <w:t xml:space="preserve">Informed consent is an important element in ensuring care is patient-centred and accords with a patient’s wishes. </w:t>
            </w:r>
            <w:r w:rsidRPr="00C60747">
              <w:rPr>
                <w:rFonts w:ascii="Garamond" w:hAnsi="Garamond"/>
                <w:lang w:val="en-AU"/>
              </w:rPr>
              <w:t>Ensuring informed consent is properly obtained is a legal, ethical and professional requirement on the part of all treating health professionals and supports person-centred care.</w:t>
            </w:r>
            <w:r>
              <w:rPr>
                <w:rFonts w:ascii="Garamond" w:hAnsi="Garamond"/>
                <w:lang w:val="en-AU"/>
              </w:rPr>
              <w:t xml:space="preserve"> Informed consent is a safety and quality issue. However, gaining consent from some patient’s is not always easy. This piece reflects on some of the issues that older patients – and an ageing population – may pose when it comes to ensuring that properly informed consent is gained. The authors contend that ‘</w:t>
            </w:r>
            <w:r w:rsidRPr="00C60747">
              <w:rPr>
                <w:rFonts w:ascii="Garamond" w:hAnsi="Garamond"/>
                <w:lang w:val="en-AU"/>
              </w:rPr>
              <w:t>Despite being required by ethics and the law, consent for medical treatment is not always validly sought in this population.</w:t>
            </w:r>
            <w:r>
              <w:rPr>
                <w:rFonts w:ascii="Garamond" w:hAnsi="Garamond"/>
                <w:lang w:val="en-AU"/>
              </w:rPr>
              <w:t xml:space="preserve">’ They highlight issues around capacity and comprehension that may be greater in this population. </w:t>
            </w:r>
            <w:r w:rsidR="005D2024">
              <w:rPr>
                <w:rFonts w:ascii="Garamond" w:hAnsi="Garamond"/>
                <w:lang w:val="en-AU"/>
              </w:rPr>
              <w:t>As they observe, ‘</w:t>
            </w:r>
            <w:r w:rsidRPr="00C60747">
              <w:rPr>
                <w:rFonts w:ascii="Garamond" w:hAnsi="Garamond"/>
                <w:lang w:val="en-AU"/>
              </w:rPr>
              <w:t>The dynamic nature of capacity, particularly in individuals who have dementia or other cognitive impairments, adds complexity to obtaining consent.</w:t>
            </w:r>
            <w:r w:rsidR="005D2024">
              <w:rPr>
                <w:rFonts w:ascii="Garamond" w:hAnsi="Garamond"/>
                <w:lang w:val="en-AU"/>
              </w:rPr>
              <w:t>’</w:t>
            </w:r>
            <w:r w:rsidRPr="00C60747">
              <w:rPr>
                <w:rFonts w:ascii="Garamond" w:hAnsi="Garamond"/>
                <w:lang w:val="en-AU"/>
              </w:rPr>
              <w:t xml:space="preserve"> </w:t>
            </w:r>
            <w:r w:rsidR="005D2024">
              <w:rPr>
                <w:rFonts w:ascii="Garamond" w:hAnsi="Garamond"/>
                <w:lang w:val="en-AU"/>
              </w:rPr>
              <w:t>They foresee that an increasingly ageing population means ‘</w:t>
            </w:r>
            <w:r w:rsidRPr="00C60747">
              <w:rPr>
                <w:rFonts w:ascii="Garamond" w:hAnsi="Garamond"/>
                <w:lang w:val="en-AU"/>
              </w:rPr>
              <w:t>these issues are likely to become more profound</w:t>
            </w:r>
            <w:r w:rsidR="005D2024">
              <w:rPr>
                <w:rFonts w:ascii="Garamond" w:hAnsi="Garamond"/>
                <w:lang w:val="en-AU"/>
              </w:rPr>
              <w:t>’ and urge action on ‘</w:t>
            </w:r>
            <w:r w:rsidRPr="00C60747">
              <w:rPr>
                <w:rFonts w:ascii="Garamond" w:hAnsi="Garamond"/>
                <w:lang w:val="en-AU"/>
              </w:rPr>
              <w:t>Raising awareness, more education, engaging with people with dementia, and conducting further research</w:t>
            </w:r>
            <w:r w:rsidR="005D2024">
              <w:rPr>
                <w:rFonts w:ascii="Garamond" w:hAnsi="Garamond"/>
                <w:lang w:val="en-AU"/>
              </w:rPr>
              <w:t>’</w:t>
            </w:r>
            <w:r w:rsidRPr="00C60747">
              <w:rPr>
                <w:rFonts w:ascii="Garamond" w:hAnsi="Garamond"/>
                <w:lang w:val="en-AU"/>
              </w:rPr>
              <w:t>.</w:t>
            </w:r>
          </w:p>
        </w:tc>
      </w:tr>
    </w:tbl>
    <w:p w:rsidR="00867CE3" w:rsidRDefault="00867CE3" w:rsidP="00867CE3">
      <w:pPr>
        <w:keepNext/>
        <w:keepLines/>
        <w:tabs>
          <w:tab w:val="left" w:pos="2114"/>
        </w:tabs>
        <w:autoSpaceDE w:val="0"/>
        <w:autoSpaceDN w:val="0"/>
        <w:adjustRightInd w:val="0"/>
        <w:rPr>
          <w:rFonts w:ascii="Garamond" w:hAnsi="Garamond"/>
          <w:i/>
          <w:lang w:val="en-AU"/>
        </w:rPr>
      </w:pPr>
    </w:p>
    <w:p w:rsidR="00867CE3" w:rsidRDefault="00D93C43" w:rsidP="00D93C43">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work </w:t>
      </w:r>
      <w:r w:rsidR="00C60747">
        <w:rPr>
          <w:rFonts w:ascii="Garamond" w:hAnsi="Garamond"/>
          <w:lang w:val="en-AU"/>
        </w:rPr>
        <w:t xml:space="preserve">and resources </w:t>
      </w:r>
      <w:r w:rsidRPr="00D93C43">
        <w:rPr>
          <w:rFonts w:ascii="Garamond" w:hAnsi="Garamond"/>
          <w:lang w:val="en-AU"/>
        </w:rPr>
        <w:t xml:space="preserve">on informed consent, see </w:t>
      </w:r>
      <w:hyperlink r:id="rId23" w:history="1">
        <w:r w:rsidRPr="00F64316">
          <w:rPr>
            <w:rStyle w:val="Hyperlink"/>
            <w:rFonts w:ascii="Garamond" w:hAnsi="Garamond"/>
            <w:lang w:val="en-AU"/>
          </w:rPr>
          <w:t>https://www.safetyandquality.gov.au/our-work/partnering-consumers/informed-consent</w:t>
        </w:r>
      </w:hyperlink>
    </w:p>
    <w:p w:rsidR="00046674" w:rsidRDefault="00046674" w:rsidP="00046674">
      <w:pPr>
        <w:keepNext/>
        <w:keepLines/>
        <w:tabs>
          <w:tab w:val="left" w:pos="2114"/>
        </w:tabs>
        <w:autoSpaceDE w:val="0"/>
        <w:autoSpaceDN w:val="0"/>
        <w:adjustRightInd w:val="0"/>
        <w:rPr>
          <w:rFonts w:ascii="Garamond" w:hAnsi="Garamond"/>
          <w:i/>
          <w:lang w:val="en-AU"/>
        </w:rPr>
      </w:pPr>
    </w:p>
    <w:p w:rsidR="008B5CB9" w:rsidRPr="00356DC7" w:rsidRDefault="008B5CB9" w:rsidP="008B5CB9">
      <w:pPr>
        <w:keepNext/>
        <w:keepLines/>
        <w:tabs>
          <w:tab w:val="left" w:pos="2114"/>
        </w:tabs>
        <w:autoSpaceDE w:val="0"/>
        <w:autoSpaceDN w:val="0"/>
        <w:adjustRightInd w:val="0"/>
        <w:rPr>
          <w:rFonts w:ascii="Garamond" w:hAnsi="Garamond"/>
          <w:i/>
          <w:lang w:val="en-AU"/>
        </w:rPr>
      </w:pPr>
      <w:r w:rsidRPr="00356DC7">
        <w:rPr>
          <w:rFonts w:ascii="Garamond" w:hAnsi="Garamond"/>
          <w:i/>
          <w:lang w:val="en-AU"/>
        </w:rPr>
        <w:t>Barriers to evidence-based practice implementation in physiotherapy: a systematic review and meta-analysis</w:t>
      </w:r>
    </w:p>
    <w:p w:rsidR="008B5CB9" w:rsidRDefault="008B5CB9" w:rsidP="008B5CB9">
      <w:pPr>
        <w:keepNext/>
        <w:keepLines/>
        <w:tabs>
          <w:tab w:val="left" w:pos="2114"/>
        </w:tabs>
        <w:autoSpaceDE w:val="0"/>
        <w:autoSpaceDN w:val="0"/>
        <w:adjustRightInd w:val="0"/>
        <w:rPr>
          <w:rFonts w:ascii="Garamond" w:hAnsi="Garamond"/>
          <w:lang w:val="en-AU"/>
        </w:rPr>
      </w:pPr>
      <w:r w:rsidRPr="001E276A">
        <w:rPr>
          <w:rFonts w:ascii="Garamond" w:hAnsi="Garamond"/>
          <w:lang w:val="en-AU"/>
        </w:rPr>
        <w:t>Paci M, Faedda G, Ugolini A, Pellicciari L</w:t>
      </w:r>
    </w:p>
    <w:p w:rsidR="008B5CB9" w:rsidRPr="00BC1B53" w:rsidRDefault="008B5CB9" w:rsidP="008B5CB9">
      <w:pPr>
        <w:keepNext/>
        <w:keepLines/>
        <w:tabs>
          <w:tab w:val="left" w:pos="2114"/>
        </w:tabs>
        <w:autoSpaceDE w:val="0"/>
        <w:autoSpaceDN w:val="0"/>
        <w:adjustRightInd w:val="0"/>
        <w:rPr>
          <w:rFonts w:ascii="Garamond" w:hAnsi="Garamond"/>
          <w:lang w:val="en-AU"/>
        </w:rPr>
      </w:pPr>
      <w:r w:rsidRPr="001E276A">
        <w:rPr>
          <w:rFonts w:ascii="Garamond" w:hAnsi="Garamond"/>
          <w:lang w:val="en-AU"/>
        </w:rPr>
        <w:t>International Journal for Quality in Health Care. 2021;33(2).</w:t>
      </w:r>
    </w:p>
    <w:tbl>
      <w:tblPr>
        <w:tblStyle w:val="TableGrid"/>
        <w:tblW w:w="9360" w:type="dxa"/>
        <w:tblInd w:w="288" w:type="dxa"/>
        <w:tblLayout w:type="fixed"/>
        <w:tblLook w:val="01E0" w:firstRow="1" w:lastRow="1" w:firstColumn="1" w:lastColumn="1" w:noHBand="0" w:noVBand="0"/>
      </w:tblPr>
      <w:tblGrid>
        <w:gridCol w:w="1080"/>
        <w:gridCol w:w="8280"/>
      </w:tblGrid>
      <w:tr w:rsidR="008B5CB9"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8B5CB9" w:rsidRPr="000170DA" w:rsidRDefault="008B5CB9" w:rsidP="00D541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5CB9" w:rsidRPr="000170DA" w:rsidRDefault="00B00AE2" w:rsidP="00D54148">
            <w:pPr>
              <w:rPr>
                <w:rStyle w:val="Hyperlink"/>
                <w:rFonts w:ascii="Garamond" w:hAnsi="Garamond"/>
                <w:color w:val="auto"/>
                <w:u w:val="none"/>
                <w:lang w:val="en-AU"/>
              </w:rPr>
            </w:pPr>
            <w:hyperlink r:id="rId24" w:history="1">
              <w:r w:rsidR="008B5CB9" w:rsidRPr="00A204E6">
                <w:rPr>
                  <w:rStyle w:val="Hyperlink"/>
                  <w:rFonts w:ascii="Garamond" w:hAnsi="Garamond"/>
                  <w:lang w:val="en-AU"/>
                </w:rPr>
                <w:t>https://doi.org/10.1093/intqhc/mzab093</w:t>
              </w:r>
            </w:hyperlink>
          </w:p>
        </w:tc>
      </w:tr>
      <w:tr w:rsidR="008B5CB9"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8B5CB9" w:rsidRPr="000170DA" w:rsidRDefault="008B5CB9" w:rsidP="00D541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5CB9" w:rsidRPr="00F97E4B" w:rsidRDefault="008B5CB9" w:rsidP="00D54148">
            <w:pPr>
              <w:rPr>
                <w:rFonts w:ascii="Garamond" w:hAnsi="Garamond"/>
                <w:lang w:val="en-AU"/>
              </w:rPr>
            </w:pPr>
            <w:r>
              <w:rPr>
                <w:rFonts w:ascii="Garamond" w:hAnsi="Garamond"/>
                <w:lang w:val="en-AU"/>
              </w:rPr>
              <w:t xml:space="preserve">It is said that the lag between research and implementation is of the order of 17 years. This piece reports on a systematic review and meta-analysis that focused on 29 studies in order to examine the reported </w:t>
            </w:r>
            <w:r w:rsidRPr="00F97E4B">
              <w:rPr>
                <w:rFonts w:ascii="Garamond" w:hAnsi="Garamond"/>
                <w:lang w:val="en-AU"/>
              </w:rPr>
              <w:t>barriers to evidence-based practice (EBP) in physiotherapy.</w:t>
            </w:r>
            <w:r>
              <w:rPr>
                <w:rFonts w:ascii="Garamond" w:hAnsi="Garamond"/>
                <w:lang w:val="en-AU"/>
              </w:rPr>
              <w:t xml:space="preserve"> The authors report that t</w:t>
            </w:r>
            <w:r w:rsidRPr="00F97E4B">
              <w:rPr>
                <w:rFonts w:ascii="Garamond" w:hAnsi="Garamond"/>
                <w:lang w:val="en-AU"/>
              </w:rPr>
              <w:t>he findings of meta-analysis revealed that</w:t>
            </w:r>
            <w:r>
              <w:rPr>
                <w:rFonts w:ascii="Garamond" w:hAnsi="Garamond"/>
                <w:lang w:val="en-AU"/>
              </w:rPr>
              <w:t xml:space="preserve"> </w:t>
            </w:r>
            <w:r w:rsidRPr="00F97E4B">
              <w:rPr>
                <w:rFonts w:ascii="Garamond" w:hAnsi="Garamond"/>
                <w:b/>
                <w:lang w:val="en-AU"/>
              </w:rPr>
              <w:t>lack of time</w:t>
            </w:r>
            <w:r w:rsidRPr="00F97E4B">
              <w:rPr>
                <w:rFonts w:ascii="Garamond" w:hAnsi="Garamond"/>
                <w:lang w:val="en-AU"/>
              </w:rPr>
              <w:t xml:space="preserve"> was the most frequently reported barrier</w:t>
            </w:r>
            <w:r>
              <w:rPr>
                <w:rFonts w:ascii="Garamond" w:hAnsi="Garamond"/>
                <w:lang w:val="en-AU"/>
              </w:rPr>
              <w:t>,</w:t>
            </w:r>
            <w:r w:rsidRPr="00F97E4B">
              <w:rPr>
                <w:rFonts w:ascii="Garamond" w:hAnsi="Garamond"/>
                <w:lang w:val="en-AU"/>
              </w:rPr>
              <w:t xml:space="preserve"> followed by </w:t>
            </w:r>
            <w:r w:rsidRPr="00F97E4B">
              <w:rPr>
                <w:rFonts w:ascii="Garamond" w:hAnsi="Garamond"/>
                <w:b/>
                <w:lang w:val="en-AU"/>
              </w:rPr>
              <w:t>language</w:t>
            </w:r>
            <w:r w:rsidRPr="00F97E4B">
              <w:rPr>
                <w:rFonts w:ascii="Garamond" w:hAnsi="Garamond"/>
                <w:lang w:val="en-AU"/>
              </w:rPr>
              <w:t xml:space="preserve">, lack of </w:t>
            </w:r>
            <w:r w:rsidRPr="00F97E4B">
              <w:rPr>
                <w:rFonts w:ascii="Garamond" w:hAnsi="Garamond"/>
                <w:b/>
                <w:lang w:val="en-AU"/>
              </w:rPr>
              <w:t>access</w:t>
            </w:r>
            <w:r w:rsidRPr="00F97E4B">
              <w:rPr>
                <w:rFonts w:ascii="Garamond" w:hAnsi="Garamond"/>
                <w:lang w:val="en-AU"/>
              </w:rPr>
              <w:t xml:space="preserve"> and lack of </w:t>
            </w:r>
            <w:r w:rsidRPr="00F97E4B">
              <w:rPr>
                <w:rFonts w:ascii="Garamond" w:hAnsi="Garamond"/>
                <w:b/>
                <w:lang w:val="en-AU"/>
              </w:rPr>
              <w:t>statistical skills</w:t>
            </w:r>
            <w:r w:rsidRPr="00F97E4B">
              <w:rPr>
                <w:rFonts w:ascii="Garamond" w:hAnsi="Garamond"/>
                <w:lang w:val="en-AU"/>
              </w:rPr>
              <w:t>.</w:t>
            </w:r>
          </w:p>
        </w:tc>
      </w:tr>
    </w:tbl>
    <w:p w:rsidR="008B5CB9" w:rsidRDefault="008B5CB9" w:rsidP="008B5CB9">
      <w:pPr>
        <w:keepNext/>
        <w:keepLines/>
        <w:tabs>
          <w:tab w:val="left" w:pos="2114"/>
        </w:tabs>
        <w:autoSpaceDE w:val="0"/>
        <w:autoSpaceDN w:val="0"/>
        <w:adjustRightInd w:val="0"/>
        <w:rPr>
          <w:rFonts w:ascii="Garamond" w:hAnsi="Garamond"/>
          <w:i/>
          <w:lang w:val="en-AU"/>
        </w:rPr>
      </w:pPr>
    </w:p>
    <w:p w:rsidR="00046674" w:rsidRPr="00356DC7" w:rsidRDefault="00046674" w:rsidP="00046674">
      <w:pPr>
        <w:keepNext/>
        <w:keepLines/>
        <w:tabs>
          <w:tab w:val="left" w:pos="2114"/>
        </w:tabs>
        <w:autoSpaceDE w:val="0"/>
        <w:autoSpaceDN w:val="0"/>
        <w:adjustRightInd w:val="0"/>
        <w:rPr>
          <w:rFonts w:ascii="Garamond" w:hAnsi="Garamond"/>
          <w:i/>
          <w:lang w:val="en-AU"/>
        </w:rPr>
      </w:pPr>
      <w:r w:rsidRPr="00356DC7">
        <w:rPr>
          <w:rFonts w:ascii="Garamond" w:hAnsi="Garamond"/>
          <w:i/>
          <w:lang w:val="en-AU"/>
        </w:rPr>
        <w:t>Getting the whole story: Integrating patient complaints and staff reports of unsafe care</w:t>
      </w:r>
    </w:p>
    <w:p w:rsidR="00084AB8" w:rsidRDefault="00084AB8" w:rsidP="00046674">
      <w:pPr>
        <w:keepNext/>
        <w:keepLines/>
        <w:tabs>
          <w:tab w:val="left" w:pos="2114"/>
        </w:tabs>
        <w:autoSpaceDE w:val="0"/>
        <w:autoSpaceDN w:val="0"/>
        <w:adjustRightInd w:val="0"/>
        <w:rPr>
          <w:rFonts w:ascii="Garamond" w:hAnsi="Garamond"/>
          <w:lang w:val="en-AU"/>
        </w:rPr>
      </w:pPr>
      <w:r w:rsidRPr="00084AB8">
        <w:rPr>
          <w:rFonts w:ascii="Garamond" w:hAnsi="Garamond"/>
          <w:lang w:val="en-AU"/>
        </w:rPr>
        <w:t>Van Dael J, Gillespie A, Reader T, Smalley K, Papadimitriou D, Glampson B, et al</w:t>
      </w:r>
    </w:p>
    <w:p w:rsidR="00046674" w:rsidRPr="00BC1B53" w:rsidRDefault="00084AB8" w:rsidP="00046674">
      <w:pPr>
        <w:keepNext/>
        <w:keepLines/>
        <w:tabs>
          <w:tab w:val="left" w:pos="2114"/>
        </w:tabs>
        <w:autoSpaceDE w:val="0"/>
        <w:autoSpaceDN w:val="0"/>
        <w:adjustRightInd w:val="0"/>
        <w:rPr>
          <w:rFonts w:ascii="Garamond" w:hAnsi="Garamond"/>
          <w:lang w:val="en-AU"/>
        </w:rPr>
      </w:pPr>
      <w:r w:rsidRPr="00084AB8">
        <w:rPr>
          <w:rFonts w:ascii="Garamond" w:hAnsi="Garamond"/>
          <w:lang w:val="en-AU"/>
        </w:rPr>
        <w:t>Journal of Health Services Research &amp; Policy. 2021:13558196211029323.</w:t>
      </w:r>
    </w:p>
    <w:tbl>
      <w:tblPr>
        <w:tblStyle w:val="TableGrid"/>
        <w:tblW w:w="9360" w:type="dxa"/>
        <w:tblInd w:w="288" w:type="dxa"/>
        <w:tblLayout w:type="fixed"/>
        <w:tblLook w:val="01E0" w:firstRow="1" w:lastRow="1" w:firstColumn="1" w:lastColumn="1" w:noHBand="0" w:noVBand="0"/>
      </w:tblPr>
      <w:tblGrid>
        <w:gridCol w:w="1080"/>
        <w:gridCol w:w="8280"/>
      </w:tblGrid>
      <w:tr w:rsidR="00046674"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046674" w:rsidRPr="000170DA" w:rsidRDefault="00046674" w:rsidP="00D541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6674" w:rsidRPr="000170DA" w:rsidRDefault="00B00AE2" w:rsidP="00D54148">
            <w:pPr>
              <w:rPr>
                <w:rStyle w:val="Hyperlink"/>
                <w:rFonts w:ascii="Garamond" w:hAnsi="Garamond"/>
                <w:color w:val="auto"/>
                <w:u w:val="none"/>
                <w:lang w:val="en-AU"/>
              </w:rPr>
            </w:pPr>
            <w:hyperlink r:id="rId25" w:history="1">
              <w:r w:rsidR="00046674" w:rsidRPr="00A204E6">
                <w:rPr>
                  <w:rStyle w:val="Hyperlink"/>
                  <w:rFonts w:ascii="Garamond" w:hAnsi="Garamond"/>
                  <w:lang w:val="en-AU"/>
                </w:rPr>
                <w:t>https://doi.org/10.1177%2F13558196211029323</w:t>
              </w:r>
            </w:hyperlink>
          </w:p>
        </w:tc>
      </w:tr>
      <w:tr w:rsidR="00046674"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046674" w:rsidRPr="000170DA" w:rsidRDefault="00046674" w:rsidP="00D541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6674" w:rsidRPr="00887189" w:rsidRDefault="00084AB8" w:rsidP="0037675F">
            <w:pPr>
              <w:rPr>
                <w:rFonts w:ascii="Garamond" w:hAnsi="Garamond"/>
                <w:lang w:val="en-AU"/>
              </w:rPr>
            </w:pPr>
            <w:r>
              <w:rPr>
                <w:rFonts w:ascii="Garamond" w:hAnsi="Garamond"/>
                <w:lang w:val="en-AU"/>
              </w:rPr>
              <w:t xml:space="preserve">Paper looking at </w:t>
            </w:r>
            <w:r w:rsidRPr="00084AB8">
              <w:rPr>
                <w:rFonts w:ascii="Garamond" w:hAnsi="Garamond"/>
                <w:lang w:val="en-AU"/>
              </w:rPr>
              <w:t>the potential of combining insights from patient complaints and staff incident reports for a more comprehensive understanding of the causes and severity of harm.</w:t>
            </w:r>
            <w:r w:rsidR="0037675F">
              <w:rPr>
                <w:rFonts w:ascii="Garamond" w:hAnsi="Garamond"/>
                <w:lang w:val="en-AU"/>
              </w:rPr>
              <w:t xml:space="preserve"> The particular study used</w:t>
            </w:r>
            <w:r w:rsidR="0037675F" w:rsidRPr="0037675F">
              <w:rPr>
                <w:rFonts w:ascii="Garamond" w:hAnsi="Garamond"/>
                <w:lang w:val="en-AU"/>
              </w:rPr>
              <w:t xml:space="preserve"> five years of patient complaints and staff incident reporting data at a large multi-site hospital in London </w:t>
            </w:r>
            <w:r w:rsidR="0037675F">
              <w:rPr>
                <w:rFonts w:ascii="Garamond" w:hAnsi="Garamond"/>
                <w:lang w:val="en-AU"/>
              </w:rPr>
              <w:t xml:space="preserve">to do a </w:t>
            </w:r>
            <w:r w:rsidR="0037675F" w:rsidRPr="0037675F">
              <w:rPr>
                <w:rFonts w:ascii="Garamond" w:hAnsi="Garamond"/>
                <w:lang w:val="en-AU"/>
              </w:rPr>
              <w:t>retrospective patient-level data linkage to identify overlapping reports.</w:t>
            </w:r>
            <w:r w:rsidR="0037675F">
              <w:rPr>
                <w:rFonts w:ascii="Garamond" w:hAnsi="Garamond"/>
                <w:lang w:val="en-AU"/>
              </w:rPr>
              <w:t xml:space="preserve"> The authors concluded that there is </w:t>
            </w:r>
            <w:r w:rsidR="0037675F" w:rsidRPr="0037675F">
              <w:rPr>
                <w:rFonts w:ascii="Garamond" w:hAnsi="Garamond"/>
                <w:lang w:val="en-AU"/>
              </w:rPr>
              <w:t xml:space="preserve">value </w:t>
            </w:r>
            <w:r w:rsidR="0037675F">
              <w:rPr>
                <w:rFonts w:ascii="Garamond" w:hAnsi="Garamond"/>
                <w:lang w:val="en-AU"/>
              </w:rPr>
              <w:t>in ‘</w:t>
            </w:r>
            <w:r w:rsidR="0037675F" w:rsidRPr="0037675F">
              <w:rPr>
                <w:rFonts w:ascii="Garamond" w:hAnsi="Garamond"/>
                <w:lang w:val="en-AU"/>
              </w:rPr>
              <w:t>using patient complaints to supplement, test, and challenge staff reports, including to provide greater insight on the many potential factors that may give rise to unsafe care</w:t>
            </w:r>
            <w:r w:rsidR="0037675F">
              <w:rPr>
                <w:rFonts w:ascii="Garamond" w:hAnsi="Garamond"/>
                <w:lang w:val="en-AU"/>
              </w:rPr>
              <w:t>’</w:t>
            </w:r>
            <w:r w:rsidR="0037675F" w:rsidRPr="0037675F">
              <w:rPr>
                <w:rFonts w:ascii="Garamond" w:hAnsi="Garamond"/>
                <w:lang w:val="en-AU"/>
              </w:rPr>
              <w:t xml:space="preserve">. </w:t>
            </w:r>
            <w:r w:rsidR="0037675F">
              <w:rPr>
                <w:rFonts w:ascii="Garamond" w:hAnsi="Garamond"/>
                <w:lang w:val="en-AU"/>
              </w:rPr>
              <w:t>They go on to ‘</w:t>
            </w:r>
            <w:r w:rsidR="0037675F" w:rsidRPr="0037675F">
              <w:rPr>
                <w:rFonts w:ascii="Garamond" w:hAnsi="Garamond"/>
                <w:lang w:val="en-AU"/>
              </w:rPr>
              <w:t>we propose that a more holistic analysis of critical safety incidents can be achieved through combining heterogeneous data from different viewpoints, such as through the integration of patient complaints and staff incident reporting data.</w:t>
            </w:r>
            <w:r w:rsidR="0037675F">
              <w:rPr>
                <w:rFonts w:ascii="Garamond" w:hAnsi="Garamond"/>
                <w:lang w:val="en-AU"/>
              </w:rPr>
              <w:t>’ Extending this to u</w:t>
            </w:r>
            <w:r w:rsidR="00046674">
              <w:rPr>
                <w:rFonts w:ascii="Garamond" w:hAnsi="Garamond"/>
                <w:lang w:val="en-AU"/>
              </w:rPr>
              <w:t xml:space="preserve">se information from many complementary sources, including staff (clinical and non-clinical) reports, patient complaints, patient compliments, </w:t>
            </w:r>
            <w:r w:rsidR="0037675F">
              <w:rPr>
                <w:rFonts w:ascii="Garamond" w:hAnsi="Garamond"/>
                <w:lang w:val="en-AU"/>
              </w:rPr>
              <w:t xml:space="preserve">would seem to make sense </w:t>
            </w:r>
            <w:r w:rsidR="00046674">
              <w:rPr>
                <w:rFonts w:ascii="Garamond" w:hAnsi="Garamond"/>
                <w:lang w:val="en-AU"/>
              </w:rPr>
              <w:t>as they each only reveal part of the picture and by using the multiple sources a more complete picture can be pieced together.</w:t>
            </w:r>
          </w:p>
        </w:tc>
      </w:tr>
    </w:tbl>
    <w:p w:rsidR="00046674" w:rsidRDefault="00046674" w:rsidP="00046674">
      <w:pPr>
        <w:keepNext/>
        <w:keepLines/>
        <w:tabs>
          <w:tab w:val="left" w:pos="2114"/>
        </w:tabs>
        <w:autoSpaceDE w:val="0"/>
        <w:autoSpaceDN w:val="0"/>
        <w:adjustRightInd w:val="0"/>
        <w:rPr>
          <w:rFonts w:ascii="Garamond" w:hAnsi="Garamond"/>
          <w:lang w:val="en-AU"/>
        </w:rPr>
      </w:pPr>
      <w:r w:rsidRPr="00D93C43">
        <w:rPr>
          <w:rFonts w:ascii="Garamond" w:hAnsi="Garamond"/>
          <w:lang w:val="en-AU"/>
        </w:rPr>
        <w:lastRenderedPageBreak/>
        <w:t xml:space="preserve">For information on the Commission’s work on </w:t>
      </w:r>
      <w:r>
        <w:rPr>
          <w:rFonts w:ascii="Garamond" w:hAnsi="Garamond"/>
          <w:lang w:val="en-AU"/>
        </w:rPr>
        <w:t>partnering with consumers</w:t>
      </w:r>
      <w:r w:rsidRPr="00D93C43">
        <w:rPr>
          <w:rFonts w:ascii="Garamond" w:hAnsi="Garamond"/>
          <w:lang w:val="en-AU"/>
        </w:rPr>
        <w:t>, see</w:t>
      </w:r>
      <w:r>
        <w:rPr>
          <w:rFonts w:ascii="Garamond" w:hAnsi="Garamond"/>
          <w:lang w:val="en-AU"/>
        </w:rPr>
        <w:t xml:space="preserve"> </w:t>
      </w:r>
      <w:hyperlink r:id="rId26" w:history="1">
        <w:r w:rsidRPr="00A204E6">
          <w:rPr>
            <w:rStyle w:val="Hyperlink"/>
            <w:rFonts w:ascii="Garamond" w:hAnsi="Garamond"/>
            <w:lang w:val="en-AU"/>
          </w:rPr>
          <w:t>https://www.safetyandquality.gov.au/our-work/partnering-consumers</w:t>
        </w:r>
      </w:hyperlink>
    </w:p>
    <w:p w:rsidR="00046674" w:rsidRDefault="00046674" w:rsidP="00046674">
      <w:pPr>
        <w:keepNext/>
        <w:keepLines/>
        <w:tabs>
          <w:tab w:val="left" w:pos="2114"/>
        </w:tabs>
        <w:autoSpaceDE w:val="0"/>
        <w:autoSpaceDN w:val="0"/>
        <w:adjustRightInd w:val="0"/>
        <w:rPr>
          <w:rFonts w:ascii="Garamond" w:hAnsi="Garamond"/>
          <w:i/>
          <w:lang w:val="en-AU"/>
        </w:rPr>
      </w:pPr>
    </w:p>
    <w:p w:rsidR="00046674" w:rsidRPr="00356DC7" w:rsidRDefault="00046674" w:rsidP="00046674">
      <w:pPr>
        <w:keepNext/>
        <w:keepLines/>
        <w:tabs>
          <w:tab w:val="left" w:pos="2114"/>
        </w:tabs>
        <w:autoSpaceDE w:val="0"/>
        <w:autoSpaceDN w:val="0"/>
        <w:adjustRightInd w:val="0"/>
        <w:rPr>
          <w:rFonts w:ascii="Garamond" w:hAnsi="Garamond"/>
          <w:i/>
          <w:lang w:val="en-AU"/>
        </w:rPr>
      </w:pPr>
      <w:r w:rsidRPr="00356DC7">
        <w:rPr>
          <w:rFonts w:ascii="Garamond" w:hAnsi="Garamond"/>
          <w:i/>
          <w:lang w:val="en-AU"/>
        </w:rPr>
        <w:t>Evaluating factors associated with the cancellation and delay of elective surgical procedures: a systematic review</w:t>
      </w:r>
    </w:p>
    <w:p w:rsidR="0037675F" w:rsidRDefault="0037675F" w:rsidP="00046674">
      <w:pPr>
        <w:keepNext/>
        <w:keepLines/>
        <w:tabs>
          <w:tab w:val="left" w:pos="2114"/>
        </w:tabs>
        <w:autoSpaceDE w:val="0"/>
        <w:autoSpaceDN w:val="0"/>
        <w:adjustRightInd w:val="0"/>
        <w:rPr>
          <w:rFonts w:ascii="Garamond" w:hAnsi="Garamond"/>
          <w:lang w:val="en-AU"/>
        </w:rPr>
      </w:pPr>
      <w:r w:rsidRPr="0037675F">
        <w:rPr>
          <w:rFonts w:ascii="Garamond" w:hAnsi="Garamond"/>
          <w:lang w:val="en-AU"/>
        </w:rPr>
        <w:t>Koushan M, Wood LC, Greatbanks R</w:t>
      </w:r>
    </w:p>
    <w:p w:rsidR="00046674" w:rsidRPr="00BC1B53" w:rsidRDefault="0037675F" w:rsidP="00046674">
      <w:pPr>
        <w:keepNext/>
        <w:keepLines/>
        <w:tabs>
          <w:tab w:val="left" w:pos="2114"/>
        </w:tabs>
        <w:autoSpaceDE w:val="0"/>
        <w:autoSpaceDN w:val="0"/>
        <w:adjustRightInd w:val="0"/>
        <w:rPr>
          <w:rFonts w:ascii="Garamond" w:hAnsi="Garamond"/>
          <w:lang w:val="en-AU"/>
        </w:rPr>
      </w:pPr>
      <w:r w:rsidRPr="0037675F">
        <w:rPr>
          <w:rFonts w:ascii="Garamond" w:hAnsi="Garamond"/>
          <w:lang w:val="en-AU"/>
        </w:rPr>
        <w:t>International Journal for Quality in Health Care. 2021;33(2).</w:t>
      </w:r>
    </w:p>
    <w:tbl>
      <w:tblPr>
        <w:tblStyle w:val="TableGrid"/>
        <w:tblW w:w="9360" w:type="dxa"/>
        <w:tblInd w:w="288" w:type="dxa"/>
        <w:tblLayout w:type="fixed"/>
        <w:tblLook w:val="01E0" w:firstRow="1" w:lastRow="1" w:firstColumn="1" w:lastColumn="1" w:noHBand="0" w:noVBand="0"/>
      </w:tblPr>
      <w:tblGrid>
        <w:gridCol w:w="1080"/>
        <w:gridCol w:w="8280"/>
      </w:tblGrid>
      <w:tr w:rsidR="00046674"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046674" w:rsidRPr="000170DA" w:rsidRDefault="00046674" w:rsidP="00D541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6674" w:rsidRPr="000170DA" w:rsidRDefault="00B00AE2" w:rsidP="00D54148">
            <w:pPr>
              <w:rPr>
                <w:rStyle w:val="Hyperlink"/>
                <w:rFonts w:ascii="Garamond" w:hAnsi="Garamond"/>
                <w:color w:val="auto"/>
                <w:u w:val="none"/>
                <w:lang w:val="en-AU"/>
              </w:rPr>
            </w:pPr>
            <w:hyperlink r:id="rId27" w:history="1">
              <w:r w:rsidR="00046674" w:rsidRPr="00A204E6">
                <w:rPr>
                  <w:rStyle w:val="Hyperlink"/>
                  <w:rFonts w:ascii="Garamond" w:hAnsi="Garamond"/>
                  <w:lang w:val="en-AU"/>
                </w:rPr>
                <w:t>https://doi.org/10.1093/intqhc/mzab092</w:t>
              </w:r>
            </w:hyperlink>
          </w:p>
        </w:tc>
      </w:tr>
      <w:tr w:rsidR="00046674"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046674" w:rsidRPr="000170DA" w:rsidRDefault="00046674" w:rsidP="00D541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6674" w:rsidRPr="00887189" w:rsidRDefault="00046674" w:rsidP="001E276A">
            <w:pPr>
              <w:rPr>
                <w:rFonts w:ascii="Garamond" w:hAnsi="Garamond"/>
                <w:lang w:val="en-AU"/>
              </w:rPr>
            </w:pPr>
            <w:r>
              <w:rPr>
                <w:rFonts w:ascii="Garamond" w:hAnsi="Garamond"/>
                <w:lang w:val="en-AU"/>
              </w:rPr>
              <w:t xml:space="preserve">The cancelation of elective surgery, particularly at short notice, </w:t>
            </w:r>
            <w:r w:rsidR="0037675F">
              <w:rPr>
                <w:rFonts w:ascii="Garamond" w:hAnsi="Garamond"/>
                <w:lang w:val="en-AU"/>
              </w:rPr>
              <w:t>can cause disruption and dissatisfaction, as the authors note, ‘</w:t>
            </w:r>
            <w:r w:rsidR="0037675F" w:rsidRPr="0037675F">
              <w:rPr>
                <w:rFonts w:ascii="Garamond" w:hAnsi="Garamond"/>
                <w:lang w:val="en-AU"/>
              </w:rPr>
              <w:t>it causes considerable disruption to patient flow, further eroding often already stretched operating capacity, and consequentially reduces both hospital performance and patient satisfaction.</w:t>
            </w:r>
            <w:r w:rsidR="0037675F">
              <w:rPr>
                <w:rFonts w:ascii="Garamond" w:hAnsi="Garamond"/>
                <w:lang w:val="en-AU"/>
              </w:rPr>
              <w:t xml:space="preserve">’ </w:t>
            </w:r>
            <w:r w:rsidR="001E276A">
              <w:rPr>
                <w:rFonts w:ascii="Garamond" w:hAnsi="Garamond"/>
                <w:lang w:val="en-AU"/>
              </w:rPr>
              <w:t>The systematic review, based on 78 items, found cancellation reasons varied by hospital, but that ‘</w:t>
            </w:r>
            <w:r w:rsidR="001E276A" w:rsidRPr="001E276A">
              <w:rPr>
                <w:rFonts w:ascii="Garamond" w:hAnsi="Garamond"/>
                <w:lang w:val="en-AU"/>
              </w:rPr>
              <w:t xml:space="preserve">that </w:t>
            </w:r>
            <w:r w:rsidR="001E276A" w:rsidRPr="001E276A">
              <w:rPr>
                <w:rFonts w:ascii="Garamond" w:hAnsi="Garamond"/>
                <w:b/>
                <w:lang w:val="en-AU"/>
              </w:rPr>
              <w:t>hospital-related causes</w:t>
            </w:r>
            <w:r w:rsidR="001E276A" w:rsidRPr="001E276A">
              <w:rPr>
                <w:rFonts w:ascii="Garamond" w:hAnsi="Garamond"/>
                <w:lang w:val="en-AU"/>
              </w:rPr>
              <w:t xml:space="preserve"> (e.g. unavailable operation room time, inappropriate scheduling policy and lack of beds) are the </w:t>
            </w:r>
            <w:r w:rsidR="001E276A" w:rsidRPr="001E276A">
              <w:rPr>
                <w:rFonts w:ascii="Garamond" w:hAnsi="Garamond"/>
                <w:b/>
                <w:lang w:val="en-AU"/>
              </w:rPr>
              <w:t>primary reason for surgery cancellation</w:t>
            </w:r>
            <w:r w:rsidR="001E276A" w:rsidRPr="001E276A">
              <w:rPr>
                <w:rFonts w:ascii="Garamond" w:hAnsi="Garamond"/>
                <w:lang w:val="en-AU"/>
              </w:rPr>
              <w:t xml:space="preserve">, </w:t>
            </w:r>
            <w:r w:rsidR="001E276A" w:rsidRPr="001E276A">
              <w:rPr>
                <w:rFonts w:ascii="Garamond" w:hAnsi="Garamond"/>
                <w:b/>
                <w:lang w:val="en-AU"/>
              </w:rPr>
              <w:t>followed by work-up related causes</w:t>
            </w:r>
            <w:r w:rsidR="001E276A" w:rsidRPr="001E276A">
              <w:rPr>
                <w:rFonts w:ascii="Garamond" w:hAnsi="Garamond"/>
                <w:lang w:val="en-AU"/>
              </w:rPr>
              <w:t xml:space="preserve"> (e.g. medically unfit and changes in the treatment plan) and </w:t>
            </w:r>
            <w:r w:rsidR="001E276A" w:rsidRPr="001E276A">
              <w:rPr>
                <w:rFonts w:ascii="Garamond" w:hAnsi="Garamond"/>
                <w:b/>
                <w:lang w:val="en-AU"/>
              </w:rPr>
              <w:t>patient-related causes</w:t>
            </w:r>
            <w:r w:rsidR="001E276A" w:rsidRPr="001E276A">
              <w:rPr>
                <w:rFonts w:ascii="Garamond" w:hAnsi="Garamond"/>
                <w:lang w:val="en-AU"/>
              </w:rPr>
              <w:t xml:space="preserve"> (e.g. absence of a patient and patient refusal).</w:t>
            </w:r>
            <w:r w:rsidR="001E276A">
              <w:rPr>
                <w:rFonts w:ascii="Garamond" w:hAnsi="Garamond"/>
                <w:lang w:val="en-AU"/>
              </w:rPr>
              <w:t>’ The authors suggest that ‘</w:t>
            </w:r>
            <w:r w:rsidR="001E276A" w:rsidRPr="001E276A">
              <w:rPr>
                <w:rFonts w:ascii="Garamond" w:hAnsi="Garamond"/>
                <w:lang w:val="en-AU"/>
              </w:rPr>
              <w:t xml:space="preserve">that </w:t>
            </w:r>
            <w:r w:rsidR="001E276A" w:rsidRPr="001E276A">
              <w:rPr>
                <w:rFonts w:ascii="Garamond" w:hAnsi="Garamond"/>
                <w:b/>
                <w:lang w:val="en-AU"/>
              </w:rPr>
              <w:t>the main causes</w:t>
            </w:r>
            <w:r w:rsidR="001E276A" w:rsidRPr="001E276A">
              <w:rPr>
                <w:rFonts w:ascii="Garamond" w:hAnsi="Garamond"/>
                <w:lang w:val="en-AU"/>
              </w:rPr>
              <w:t xml:space="preserve"> for surgery cancellation </w:t>
            </w:r>
            <w:r w:rsidR="001E276A" w:rsidRPr="001E276A">
              <w:rPr>
                <w:rFonts w:ascii="Garamond" w:hAnsi="Garamond"/>
                <w:b/>
                <w:lang w:val="en-AU"/>
              </w:rPr>
              <w:t>can be controlled by hospital managers</w:t>
            </w:r>
            <w:r w:rsidR="001E276A" w:rsidRPr="001E276A">
              <w:rPr>
                <w:rFonts w:ascii="Garamond" w:hAnsi="Garamond"/>
                <w:lang w:val="en-AU"/>
              </w:rPr>
              <w:t xml:space="preserve">, who can aim to </w:t>
            </w:r>
            <w:r w:rsidR="001E276A" w:rsidRPr="001E276A">
              <w:rPr>
                <w:rFonts w:ascii="Garamond" w:hAnsi="Garamond"/>
                <w:b/>
                <w:lang w:val="en-AU"/>
              </w:rPr>
              <w:t>improve areas such as patient flow and capacity management</w:t>
            </w:r>
            <w:r w:rsidR="001E276A" w:rsidRPr="001E276A">
              <w:rPr>
                <w:rFonts w:ascii="Garamond" w:hAnsi="Garamond"/>
                <w:lang w:val="en-AU"/>
              </w:rPr>
              <w:t>.</w:t>
            </w:r>
            <w:r w:rsidR="001E276A">
              <w:rPr>
                <w:rFonts w:ascii="Garamond" w:hAnsi="Garamond"/>
                <w:lang w:val="en-AU"/>
              </w:rPr>
              <w:t>’</w:t>
            </w:r>
          </w:p>
        </w:tc>
      </w:tr>
    </w:tbl>
    <w:p w:rsidR="00046674" w:rsidRDefault="00046674" w:rsidP="00046674">
      <w:pPr>
        <w:keepNext/>
        <w:keepLines/>
        <w:tabs>
          <w:tab w:val="left" w:pos="2114"/>
        </w:tabs>
        <w:autoSpaceDE w:val="0"/>
        <w:autoSpaceDN w:val="0"/>
        <w:adjustRightInd w:val="0"/>
        <w:rPr>
          <w:rFonts w:ascii="Garamond" w:hAnsi="Garamond"/>
          <w:i/>
          <w:lang w:val="en-AU"/>
        </w:rPr>
      </w:pPr>
    </w:p>
    <w:p w:rsidR="008B5CB9" w:rsidRDefault="008B5CB9" w:rsidP="008B5CB9">
      <w:pPr>
        <w:keepNext/>
        <w:keepLines/>
        <w:tabs>
          <w:tab w:val="left" w:pos="2114"/>
        </w:tabs>
        <w:autoSpaceDE w:val="0"/>
        <w:autoSpaceDN w:val="0"/>
        <w:adjustRightInd w:val="0"/>
        <w:rPr>
          <w:rFonts w:ascii="Garamond" w:hAnsi="Garamond"/>
          <w:i/>
          <w:lang w:val="en-AU"/>
        </w:rPr>
      </w:pPr>
      <w:r w:rsidRPr="00356DC7">
        <w:rPr>
          <w:rFonts w:ascii="Garamond" w:hAnsi="Garamond"/>
          <w:i/>
          <w:lang w:val="en-AU"/>
        </w:rPr>
        <w:t>Longitudinal rates of hospital adverse events that contributed to death in Norway and Sweden from 2013 to 2018</w:t>
      </w:r>
    </w:p>
    <w:p w:rsidR="008B5CB9" w:rsidRDefault="008B5CB9" w:rsidP="008B5CB9">
      <w:pPr>
        <w:keepNext/>
        <w:keepLines/>
        <w:tabs>
          <w:tab w:val="left" w:pos="2114"/>
        </w:tabs>
        <w:autoSpaceDE w:val="0"/>
        <w:autoSpaceDN w:val="0"/>
        <w:adjustRightInd w:val="0"/>
        <w:rPr>
          <w:rFonts w:ascii="Garamond" w:hAnsi="Garamond"/>
          <w:lang w:val="en-AU"/>
        </w:rPr>
      </w:pPr>
      <w:r w:rsidRPr="001E276A">
        <w:rPr>
          <w:rFonts w:ascii="Garamond" w:hAnsi="Garamond"/>
          <w:lang w:val="en-AU"/>
        </w:rPr>
        <w:t>Deilkås ET, Haugen M, Risberg MB, Narbuvold H, Flesland Ø, Nylén U, et al</w:t>
      </w:r>
    </w:p>
    <w:p w:rsidR="008B5CB9" w:rsidRPr="001E276A" w:rsidRDefault="008B5CB9" w:rsidP="008B5CB9">
      <w:pPr>
        <w:keepNext/>
        <w:keepLines/>
        <w:tabs>
          <w:tab w:val="left" w:pos="2114"/>
        </w:tabs>
        <w:autoSpaceDE w:val="0"/>
        <w:autoSpaceDN w:val="0"/>
        <w:adjustRightInd w:val="0"/>
        <w:rPr>
          <w:rFonts w:ascii="Garamond" w:hAnsi="Garamond"/>
          <w:lang w:val="en-AU"/>
        </w:rPr>
      </w:pPr>
      <w:r w:rsidRPr="001E276A">
        <w:rPr>
          <w:rFonts w:ascii="Garamond" w:hAnsi="Garamond"/>
          <w:lang w:val="en-AU"/>
        </w:rPr>
        <w:t>Journal of Patient Safety and Risk Management. 2021:25160435211026125.</w:t>
      </w:r>
    </w:p>
    <w:tbl>
      <w:tblPr>
        <w:tblStyle w:val="TableGrid"/>
        <w:tblW w:w="9360" w:type="dxa"/>
        <w:tblInd w:w="288" w:type="dxa"/>
        <w:tblLayout w:type="fixed"/>
        <w:tblLook w:val="01E0" w:firstRow="1" w:lastRow="1" w:firstColumn="1" w:lastColumn="1" w:noHBand="0" w:noVBand="0"/>
      </w:tblPr>
      <w:tblGrid>
        <w:gridCol w:w="1080"/>
        <w:gridCol w:w="8280"/>
      </w:tblGrid>
      <w:tr w:rsidR="008B5CB9"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8B5CB9" w:rsidRPr="000170DA" w:rsidRDefault="008B5CB9" w:rsidP="00D5414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5CB9" w:rsidRPr="000170DA" w:rsidRDefault="00B00AE2" w:rsidP="00D54148">
            <w:pPr>
              <w:rPr>
                <w:rStyle w:val="Hyperlink"/>
                <w:rFonts w:ascii="Garamond" w:hAnsi="Garamond"/>
                <w:color w:val="auto"/>
                <w:u w:val="none"/>
                <w:lang w:val="en-AU"/>
              </w:rPr>
            </w:pPr>
            <w:hyperlink r:id="rId28" w:history="1">
              <w:r w:rsidR="008B5CB9" w:rsidRPr="00A204E6">
                <w:rPr>
                  <w:rStyle w:val="Hyperlink"/>
                  <w:rFonts w:ascii="Garamond" w:hAnsi="Garamond"/>
                  <w:lang w:val="en-AU"/>
                </w:rPr>
                <w:t>https://doi.org/10.1177%2F25160435211026125</w:t>
              </w:r>
            </w:hyperlink>
          </w:p>
        </w:tc>
      </w:tr>
      <w:tr w:rsidR="008B5CB9" w:rsidRPr="000170DA" w:rsidTr="00D54148">
        <w:tc>
          <w:tcPr>
            <w:tcW w:w="1080" w:type="dxa"/>
            <w:tcBorders>
              <w:top w:val="single" w:sz="4" w:space="0" w:color="auto"/>
              <w:left w:val="single" w:sz="4" w:space="0" w:color="auto"/>
              <w:bottom w:val="single" w:sz="4" w:space="0" w:color="auto"/>
              <w:right w:val="single" w:sz="4" w:space="0" w:color="auto"/>
            </w:tcBorders>
            <w:vAlign w:val="center"/>
          </w:tcPr>
          <w:p w:rsidR="008B5CB9" w:rsidRPr="000170DA" w:rsidRDefault="008B5CB9" w:rsidP="00D541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5CB9" w:rsidRDefault="008B5CB9" w:rsidP="00D54148">
            <w:pPr>
              <w:rPr>
                <w:rFonts w:ascii="Garamond" w:hAnsi="Garamond"/>
                <w:lang w:val="en-AU"/>
              </w:rPr>
            </w:pPr>
            <w:r>
              <w:rPr>
                <w:rFonts w:ascii="Garamond" w:hAnsi="Garamond"/>
                <w:lang w:val="en-AU"/>
              </w:rPr>
              <w:t>The rate of errors experience by patients is often given of the order 9–10%. This study looked at adverse events (AEs) in hospitals in Sweden and Norway in the period 2013–2018. Having examined 53,</w:t>
            </w:r>
            <w:r w:rsidRPr="00984660">
              <w:rPr>
                <w:rFonts w:ascii="Garamond" w:hAnsi="Garamond"/>
                <w:lang w:val="en-AU"/>
              </w:rPr>
              <w:t>367 m</w:t>
            </w:r>
            <w:r>
              <w:rPr>
                <w:rFonts w:ascii="Garamond" w:hAnsi="Garamond"/>
                <w:lang w:val="en-AU"/>
              </w:rPr>
              <w:t>edical records in Norway and 88,</w:t>
            </w:r>
            <w:r w:rsidRPr="00984660">
              <w:rPr>
                <w:rFonts w:ascii="Garamond" w:hAnsi="Garamond"/>
                <w:lang w:val="en-AU"/>
              </w:rPr>
              <w:t xml:space="preserve">637 medical </w:t>
            </w:r>
            <w:r>
              <w:rPr>
                <w:rFonts w:ascii="Garamond" w:hAnsi="Garamond"/>
                <w:lang w:val="en-AU"/>
              </w:rPr>
              <w:t>records in Sweden the authors report finding:</w:t>
            </w:r>
          </w:p>
          <w:p w:rsidR="008B5CB9" w:rsidRDefault="008B5CB9" w:rsidP="00D54148">
            <w:pPr>
              <w:pStyle w:val="ListParagraph"/>
              <w:numPr>
                <w:ilvl w:val="0"/>
                <w:numId w:val="37"/>
              </w:numPr>
              <w:rPr>
                <w:rFonts w:ascii="Garamond" w:hAnsi="Garamond"/>
                <w:lang w:val="en-AU"/>
              </w:rPr>
            </w:pPr>
            <w:r w:rsidRPr="00984660">
              <w:rPr>
                <w:rFonts w:ascii="Garamond" w:hAnsi="Garamond"/>
                <w:b/>
                <w:lang w:val="en-AU"/>
              </w:rPr>
              <w:t>13.2% of hospital admissions in Norway</w:t>
            </w:r>
            <w:r w:rsidRPr="00984660">
              <w:rPr>
                <w:rFonts w:ascii="Garamond" w:hAnsi="Garamond"/>
                <w:lang w:val="en-AU"/>
              </w:rPr>
              <w:t xml:space="preserve"> and </w:t>
            </w:r>
            <w:r w:rsidRPr="00984660">
              <w:rPr>
                <w:rFonts w:ascii="Garamond" w:hAnsi="Garamond"/>
                <w:b/>
                <w:lang w:val="en-AU"/>
              </w:rPr>
              <w:t>13.1% in Sweden</w:t>
            </w:r>
            <w:r w:rsidRPr="00984660">
              <w:rPr>
                <w:rFonts w:ascii="Garamond" w:hAnsi="Garamond"/>
                <w:lang w:val="en-AU"/>
              </w:rPr>
              <w:t xml:space="preserve"> were </w:t>
            </w:r>
            <w:r w:rsidRPr="00984660">
              <w:rPr>
                <w:rFonts w:ascii="Garamond" w:hAnsi="Garamond"/>
                <w:b/>
                <w:lang w:val="en-AU"/>
              </w:rPr>
              <w:t>associated with an AE</w:t>
            </w:r>
            <w:r w:rsidRPr="00984660">
              <w:rPr>
                <w:rFonts w:ascii="Garamond" w:hAnsi="Garamond"/>
                <w:lang w:val="en-AU"/>
              </w:rPr>
              <w:t xml:space="preserve"> of all severities</w:t>
            </w:r>
          </w:p>
          <w:p w:rsidR="008B5CB9" w:rsidRPr="00984660" w:rsidRDefault="008B5CB9" w:rsidP="00D54148">
            <w:pPr>
              <w:pStyle w:val="ListParagraph"/>
              <w:numPr>
                <w:ilvl w:val="0"/>
                <w:numId w:val="37"/>
              </w:numPr>
              <w:rPr>
                <w:rFonts w:ascii="Garamond" w:hAnsi="Garamond"/>
                <w:lang w:val="en-AU"/>
              </w:rPr>
            </w:pPr>
            <w:r w:rsidRPr="00984660">
              <w:rPr>
                <w:rFonts w:ascii="Garamond" w:hAnsi="Garamond"/>
                <w:b/>
                <w:lang w:val="en-AU"/>
              </w:rPr>
              <w:t>0.23% of hospital admissions in Norway</w:t>
            </w:r>
            <w:r w:rsidRPr="00984660">
              <w:rPr>
                <w:rFonts w:ascii="Garamond" w:hAnsi="Garamond"/>
                <w:lang w:val="en-AU"/>
              </w:rPr>
              <w:t xml:space="preserve"> and </w:t>
            </w:r>
            <w:r w:rsidRPr="00984660">
              <w:rPr>
                <w:rFonts w:ascii="Garamond" w:hAnsi="Garamond"/>
                <w:b/>
                <w:lang w:val="en-AU"/>
              </w:rPr>
              <w:t>0.26% in Sweden</w:t>
            </w:r>
            <w:r w:rsidRPr="00984660">
              <w:rPr>
                <w:rFonts w:ascii="Garamond" w:hAnsi="Garamond"/>
                <w:lang w:val="en-AU"/>
              </w:rPr>
              <w:t xml:space="preserve"> were associated with </w:t>
            </w:r>
            <w:r w:rsidRPr="00984660">
              <w:rPr>
                <w:rFonts w:ascii="Garamond" w:hAnsi="Garamond"/>
                <w:b/>
                <w:lang w:val="en-AU"/>
              </w:rPr>
              <w:t>an AE that contributed to death</w:t>
            </w:r>
            <w:r w:rsidRPr="00984660">
              <w:rPr>
                <w:rFonts w:ascii="Garamond" w:hAnsi="Garamond"/>
                <w:lang w:val="en-AU"/>
              </w:rPr>
              <w:t>.</w:t>
            </w:r>
          </w:p>
        </w:tc>
      </w:tr>
    </w:tbl>
    <w:p w:rsidR="008B5CB9" w:rsidRDefault="008B5CB9" w:rsidP="008B5CB9">
      <w:pPr>
        <w:keepNext/>
        <w:keepLines/>
        <w:tabs>
          <w:tab w:val="left" w:pos="2114"/>
        </w:tabs>
        <w:autoSpaceDE w:val="0"/>
        <w:autoSpaceDN w:val="0"/>
        <w:adjustRightInd w:val="0"/>
        <w:rPr>
          <w:rFonts w:ascii="Garamond" w:hAnsi="Garamond"/>
          <w:i/>
          <w:lang w:val="en-AU"/>
        </w:rPr>
      </w:pPr>
    </w:p>
    <w:p w:rsidR="00D93C43" w:rsidRPr="000678FD" w:rsidRDefault="0009451B" w:rsidP="00D93C43">
      <w:pPr>
        <w:keepNext/>
        <w:keepLines/>
        <w:tabs>
          <w:tab w:val="left" w:pos="2114"/>
        </w:tabs>
        <w:autoSpaceDE w:val="0"/>
        <w:autoSpaceDN w:val="0"/>
        <w:adjustRightInd w:val="0"/>
        <w:rPr>
          <w:rFonts w:ascii="Garamond" w:hAnsi="Garamond"/>
          <w:i/>
          <w:lang w:val="en-AU"/>
        </w:rPr>
      </w:pPr>
      <w:r w:rsidRPr="000678FD">
        <w:rPr>
          <w:rFonts w:ascii="Garamond" w:hAnsi="Garamond"/>
          <w:i/>
          <w:lang w:val="en-AU"/>
        </w:rPr>
        <w:t>Safety Checklists for Emergency Response Driving and Patient Transport: Experiences from Emergency Medical Services</w:t>
      </w:r>
    </w:p>
    <w:p w:rsidR="00D341EC" w:rsidRDefault="00D341EC" w:rsidP="00D93C43">
      <w:pPr>
        <w:keepNext/>
        <w:keepLines/>
        <w:tabs>
          <w:tab w:val="left" w:pos="2114"/>
        </w:tabs>
        <w:autoSpaceDE w:val="0"/>
        <w:autoSpaceDN w:val="0"/>
        <w:adjustRightInd w:val="0"/>
        <w:rPr>
          <w:rFonts w:ascii="Garamond" w:hAnsi="Garamond"/>
          <w:lang w:val="en-AU"/>
        </w:rPr>
      </w:pPr>
      <w:r w:rsidRPr="00D341EC">
        <w:rPr>
          <w:rFonts w:ascii="Garamond" w:hAnsi="Garamond"/>
          <w:lang w:val="en-AU"/>
        </w:rPr>
        <w:t>Jakonen A, Mänty M, Nordquist H</w:t>
      </w:r>
    </w:p>
    <w:p w:rsidR="0009451B" w:rsidRPr="00BC1B53" w:rsidRDefault="00D341EC" w:rsidP="00D93C43">
      <w:pPr>
        <w:keepNext/>
        <w:keepLines/>
        <w:tabs>
          <w:tab w:val="left" w:pos="2114"/>
        </w:tabs>
        <w:autoSpaceDE w:val="0"/>
        <w:autoSpaceDN w:val="0"/>
        <w:adjustRightInd w:val="0"/>
        <w:rPr>
          <w:rFonts w:ascii="Garamond" w:hAnsi="Garamond"/>
          <w:lang w:val="en-AU"/>
        </w:rPr>
      </w:pPr>
      <w:r w:rsidRPr="00D341EC">
        <w:rPr>
          <w:rFonts w:ascii="Garamond" w:hAnsi="Garamond"/>
          <w:lang w:val="en-AU"/>
        </w:rPr>
        <w:t xml:space="preserve">The Joint Commission Journal on Quality and Patient Safety. 2021 </w:t>
      </w:r>
      <w:r>
        <w:rPr>
          <w:rFonts w:ascii="Garamond" w:hAnsi="Garamond"/>
          <w:lang w:val="en-AU"/>
        </w:rPr>
        <w:t>[epub]</w:t>
      </w:r>
      <w:r w:rsidRPr="00D341E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67CE3" w:rsidRPr="000170DA" w:rsidTr="00CC21DB">
        <w:tc>
          <w:tcPr>
            <w:tcW w:w="1080" w:type="dxa"/>
            <w:tcBorders>
              <w:top w:val="single" w:sz="4" w:space="0" w:color="auto"/>
              <w:left w:val="single" w:sz="4" w:space="0" w:color="auto"/>
              <w:bottom w:val="single" w:sz="4" w:space="0" w:color="auto"/>
              <w:right w:val="single" w:sz="4" w:space="0" w:color="auto"/>
            </w:tcBorders>
            <w:vAlign w:val="center"/>
          </w:tcPr>
          <w:p w:rsidR="00867CE3" w:rsidRPr="000170DA" w:rsidRDefault="00867CE3" w:rsidP="00CC21D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67CE3" w:rsidRPr="000170DA" w:rsidRDefault="00B00AE2" w:rsidP="00CC21DB">
            <w:pPr>
              <w:rPr>
                <w:rStyle w:val="Hyperlink"/>
                <w:rFonts w:ascii="Garamond" w:hAnsi="Garamond"/>
                <w:color w:val="auto"/>
                <w:u w:val="none"/>
                <w:lang w:val="en-AU"/>
              </w:rPr>
            </w:pPr>
            <w:hyperlink r:id="rId29" w:history="1">
              <w:r w:rsidR="000678FD" w:rsidRPr="00A204E6">
                <w:rPr>
                  <w:rStyle w:val="Hyperlink"/>
                  <w:rFonts w:ascii="Garamond" w:hAnsi="Garamond"/>
                  <w:lang w:val="en-AU"/>
                </w:rPr>
                <w:t>https://doi.org/10.1016/j.jcjq.2021.05.008</w:t>
              </w:r>
            </w:hyperlink>
          </w:p>
        </w:tc>
      </w:tr>
      <w:tr w:rsidR="00867CE3" w:rsidRPr="000170DA" w:rsidTr="00CC21DB">
        <w:tc>
          <w:tcPr>
            <w:tcW w:w="1080" w:type="dxa"/>
            <w:tcBorders>
              <w:top w:val="single" w:sz="4" w:space="0" w:color="auto"/>
              <w:left w:val="single" w:sz="4" w:space="0" w:color="auto"/>
              <w:bottom w:val="single" w:sz="4" w:space="0" w:color="auto"/>
              <w:right w:val="single" w:sz="4" w:space="0" w:color="auto"/>
            </w:tcBorders>
            <w:vAlign w:val="center"/>
          </w:tcPr>
          <w:p w:rsidR="00867CE3" w:rsidRPr="000170DA" w:rsidRDefault="00867CE3" w:rsidP="00CC21D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67CE3" w:rsidRPr="00887189" w:rsidRDefault="000678FD" w:rsidP="000678FD">
            <w:pPr>
              <w:rPr>
                <w:rFonts w:ascii="Garamond" w:hAnsi="Garamond"/>
                <w:lang w:val="en-AU"/>
              </w:rPr>
            </w:pPr>
            <w:r>
              <w:rPr>
                <w:rFonts w:ascii="Garamond" w:hAnsi="Garamond"/>
                <w:lang w:val="en-AU"/>
              </w:rPr>
              <w:t>The examination of s</w:t>
            </w:r>
            <w:r w:rsidR="0009451B">
              <w:rPr>
                <w:rFonts w:ascii="Garamond" w:hAnsi="Garamond"/>
                <w:lang w:val="en-AU"/>
              </w:rPr>
              <w:t xml:space="preserve">afety and quality </w:t>
            </w:r>
            <w:r>
              <w:rPr>
                <w:rFonts w:ascii="Garamond" w:hAnsi="Garamond"/>
                <w:lang w:val="en-AU"/>
              </w:rPr>
              <w:t xml:space="preserve">issues in health care have often been focused on what happens in hospitals. But health care happens in many settings and one of this is the transporting of patients. This piece </w:t>
            </w:r>
            <w:r w:rsidRPr="000678FD">
              <w:rPr>
                <w:rFonts w:ascii="Garamond" w:hAnsi="Garamond"/>
                <w:lang w:val="en-AU"/>
              </w:rPr>
              <w:t>examine</w:t>
            </w:r>
            <w:r>
              <w:rPr>
                <w:rFonts w:ascii="Garamond" w:hAnsi="Garamond"/>
                <w:lang w:val="en-AU"/>
              </w:rPr>
              <w:t>d</w:t>
            </w:r>
            <w:r w:rsidRPr="000678FD">
              <w:rPr>
                <w:rFonts w:ascii="Garamond" w:hAnsi="Garamond"/>
                <w:lang w:val="en-AU"/>
              </w:rPr>
              <w:t xml:space="preserve"> how the safety checklists developed </w:t>
            </w:r>
            <w:r>
              <w:rPr>
                <w:rFonts w:ascii="Garamond" w:hAnsi="Garamond"/>
                <w:lang w:val="en-AU"/>
              </w:rPr>
              <w:t>f</w:t>
            </w:r>
            <w:r w:rsidRPr="000678FD">
              <w:rPr>
                <w:rFonts w:ascii="Garamond" w:hAnsi="Garamond"/>
                <w:lang w:val="en-AU"/>
              </w:rPr>
              <w:t xml:space="preserve">or </w:t>
            </w:r>
            <w:r>
              <w:rPr>
                <w:rFonts w:ascii="Garamond" w:hAnsi="Garamond"/>
                <w:lang w:val="en-AU"/>
              </w:rPr>
              <w:t>emergency response driving (</w:t>
            </w:r>
            <w:r w:rsidRPr="000678FD">
              <w:rPr>
                <w:rFonts w:ascii="Garamond" w:hAnsi="Garamond"/>
                <w:lang w:val="en-AU"/>
              </w:rPr>
              <w:t>ERD</w:t>
            </w:r>
            <w:r>
              <w:rPr>
                <w:rFonts w:ascii="Garamond" w:hAnsi="Garamond"/>
                <w:lang w:val="en-AU"/>
              </w:rPr>
              <w:t>)</w:t>
            </w:r>
            <w:r w:rsidRPr="000678FD">
              <w:rPr>
                <w:rFonts w:ascii="Garamond" w:hAnsi="Garamond"/>
                <w:lang w:val="en-AU"/>
              </w:rPr>
              <w:t xml:space="preserve"> and patient transport</w:t>
            </w:r>
            <w:r>
              <w:rPr>
                <w:rFonts w:ascii="Garamond" w:hAnsi="Garamond"/>
                <w:lang w:val="en-AU"/>
              </w:rPr>
              <w:t xml:space="preserve"> in Finland</w:t>
            </w:r>
            <w:r w:rsidRPr="000678FD">
              <w:rPr>
                <w:rFonts w:ascii="Garamond" w:hAnsi="Garamond"/>
                <w:lang w:val="en-AU"/>
              </w:rPr>
              <w:t xml:space="preserve"> are experienced in practical work in </w:t>
            </w:r>
            <w:r>
              <w:rPr>
                <w:rFonts w:ascii="Garamond" w:hAnsi="Garamond"/>
                <w:lang w:val="en-AU"/>
              </w:rPr>
              <w:t xml:space="preserve">emergency medical services </w:t>
            </w:r>
            <w:r w:rsidRPr="000678FD">
              <w:rPr>
                <w:rFonts w:ascii="Garamond" w:hAnsi="Garamond"/>
                <w:lang w:val="en-AU"/>
              </w:rPr>
              <w:t>by paramedics.</w:t>
            </w:r>
          </w:p>
        </w:tc>
      </w:tr>
    </w:tbl>
    <w:p w:rsidR="00356DC7" w:rsidRDefault="00356DC7" w:rsidP="00356DC7">
      <w:pPr>
        <w:keepNext/>
        <w:keepLines/>
        <w:tabs>
          <w:tab w:val="left" w:pos="2114"/>
        </w:tabs>
        <w:autoSpaceDE w:val="0"/>
        <w:autoSpaceDN w:val="0"/>
        <w:adjustRightInd w:val="0"/>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B00AE2" w:rsidP="000E1EA4">
            <w:pPr>
              <w:keepNext/>
              <w:rPr>
                <w:rFonts w:ascii="Garamond" w:hAnsi="Garamond"/>
                <w:lang w:val="en-AU"/>
              </w:rPr>
            </w:pPr>
            <w:hyperlink r:id="rId30"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674DB3" w:rsidRPr="00674DB3" w:rsidRDefault="00674DB3" w:rsidP="006C4646">
            <w:pPr>
              <w:pStyle w:val="ListParagraph"/>
              <w:numPr>
                <w:ilvl w:val="0"/>
                <w:numId w:val="14"/>
              </w:numPr>
              <w:rPr>
                <w:rFonts w:ascii="Garamond" w:hAnsi="Garamond"/>
                <w:lang w:val="en-AU"/>
              </w:rPr>
            </w:pPr>
            <w:r w:rsidRPr="00674DB3">
              <w:rPr>
                <w:rFonts w:ascii="Garamond" w:hAnsi="Garamond"/>
                <w:b/>
                <w:lang w:val="en-AU"/>
              </w:rPr>
              <w:t>The problem with ‘My Five Moments for Hand Hygiene’</w:t>
            </w:r>
            <w:r w:rsidRPr="00674DB3">
              <w:rPr>
                <w:rFonts w:ascii="Garamond" w:hAnsi="Garamond"/>
                <w:lang w:val="en-AU"/>
              </w:rPr>
              <w:t xml:space="preserve"> (Dinah Gould, Edward Purssell, Annette Jeanes, Nicolas Drey, Jane Chudleigh, Jacob McKnight</w:t>
            </w:r>
            <w:r>
              <w:rPr>
                <w:rFonts w:ascii="Garamond" w:hAnsi="Garamond"/>
                <w:lang w:val="en-AU"/>
              </w:rPr>
              <w:t>)</w:t>
            </w:r>
          </w:p>
          <w:p w:rsidR="00674DB3" w:rsidRPr="00674DB3" w:rsidRDefault="00674DB3" w:rsidP="003E0C42">
            <w:pPr>
              <w:pStyle w:val="ListParagraph"/>
              <w:numPr>
                <w:ilvl w:val="0"/>
                <w:numId w:val="14"/>
              </w:numPr>
              <w:rPr>
                <w:rFonts w:ascii="Garamond" w:hAnsi="Garamond"/>
                <w:lang w:val="en-AU"/>
              </w:rPr>
            </w:pPr>
            <w:r w:rsidRPr="00674DB3">
              <w:rPr>
                <w:rFonts w:ascii="Garamond" w:hAnsi="Garamond"/>
                <w:lang w:val="en-AU"/>
              </w:rPr>
              <w:lastRenderedPageBreak/>
              <w:t xml:space="preserve">Editorial: Learning from successes: designing </w:t>
            </w:r>
            <w:r w:rsidRPr="00674DB3">
              <w:rPr>
                <w:rFonts w:ascii="Garamond" w:hAnsi="Garamond"/>
                <w:b/>
                <w:lang w:val="en-AU"/>
              </w:rPr>
              <w:t>medication adherence intervention research</w:t>
            </w:r>
            <w:r w:rsidRPr="00674DB3">
              <w:rPr>
                <w:rFonts w:ascii="Garamond" w:hAnsi="Garamond"/>
                <w:lang w:val="en-AU"/>
              </w:rPr>
              <w:t xml:space="preserve"> so that we can learn what works and why (Sara Garfield, Gaby Judah</w:t>
            </w:r>
            <w:r>
              <w:rPr>
                <w:rFonts w:ascii="Garamond" w:hAnsi="Garamond"/>
                <w:lang w:val="en-AU"/>
              </w:rPr>
              <w:t>)</w:t>
            </w:r>
          </w:p>
          <w:p w:rsidR="000D111F" w:rsidRPr="00543B3B" w:rsidRDefault="00674DB3" w:rsidP="00674DB3">
            <w:pPr>
              <w:pStyle w:val="ListParagraph"/>
              <w:numPr>
                <w:ilvl w:val="0"/>
                <w:numId w:val="14"/>
              </w:numPr>
              <w:rPr>
                <w:rFonts w:ascii="Garamond" w:hAnsi="Garamond"/>
                <w:lang w:val="en-AU"/>
              </w:rPr>
            </w:pPr>
            <w:r w:rsidRPr="00674DB3">
              <w:rPr>
                <w:rFonts w:ascii="Garamond" w:hAnsi="Garamond"/>
                <w:lang w:val="en-AU"/>
              </w:rPr>
              <w:t xml:space="preserve">Co-produced capability framework for successful </w:t>
            </w:r>
            <w:r w:rsidRPr="00674DB3">
              <w:rPr>
                <w:rFonts w:ascii="Garamond" w:hAnsi="Garamond"/>
                <w:b/>
                <w:lang w:val="en-AU"/>
              </w:rPr>
              <w:t>patient and staff partnerships in healthcare quality improvement</w:t>
            </w:r>
            <w:r w:rsidRPr="00674DB3">
              <w:rPr>
                <w:rFonts w:ascii="Garamond" w:hAnsi="Garamond"/>
                <w:lang w:val="en-AU"/>
              </w:rPr>
              <w:t xml:space="preserve">: results of a scoping review </w:t>
            </w:r>
            <w:r>
              <w:rPr>
                <w:rFonts w:ascii="Garamond" w:hAnsi="Garamond"/>
                <w:lang w:val="en-AU"/>
              </w:rPr>
              <w:t>(</w:t>
            </w:r>
            <w:r w:rsidRPr="00674DB3">
              <w:rPr>
                <w:rFonts w:ascii="Garamond" w:hAnsi="Garamond"/>
                <w:lang w:val="en-AU"/>
              </w:rPr>
              <w:t>Ruth Cox, Matthew Molineux, Melissa Kendall, Bernadette Tanner, Elizabeth Miller</w:t>
            </w:r>
            <w:r>
              <w:rPr>
                <w:rFonts w:ascii="Garamond" w:hAnsi="Garamond"/>
                <w:lang w:val="en-AU"/>
              </w:rPr>
              <w:t>)</w:t>
            </w:r>
          </w:p>
        </w:tc>
      </w:tr>
    </w:tbl>
    <w:p w:rsidR="003416DE" w:rsidRDefault="003416DE" w:rsidP="003416DE">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B00AE2" w:rsidP="00F77EAF">
            <w:pPr>
              <w:keepNext/>
              <w:rPr>
                <w:rFonts w:ascii="Garamond" w:hAnsi="Garamond"/>
                <w:lang w:val="en-AU"/>
              </w:rPr>
            </w:pPr>
            <w:hyperlink r:id="rId31"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F281D" w:rsidRPr="00721A1B" w:rsidRDefault="00674DB3" w:rsidP="00674DB3">
            <w:pPr>
              <w:pStyle w:val="ListParagraph"/>
              <w:numPr>
                <w:ilvl w:val="0"/>
                <w:numId w:val="14"/>
              </w:numPr>
              <w:rPr>
                <w:rFonts w:ascii="Garamond" w:hAnsi="Garamond"/>
                <w:lang w:val="en-AU"/>
              </w:rPr>
            </w:pPr>
            <w:r w:rsidRPr="00674DB3">
              <w:rPr>
                <w:rFonts w:ascii="Garamond" w:hAnsi="Garamond"/>
                <w:b/>
                <w:lang w:val="en-AU"/>
              </w:rPr>
              <w:t>Appropriateness of Imaging Decisions for Low Back Pain Presenting to the Emergency Department</w:t>
            </w:r>
            <w:r w:rsidRPr="00674DB3">
              <w:rPr>
                <w:rFonts w:ascii="Garamond" w:hAnsi="Garamond"/>
                <w:lang w:val="en-AU"/>
              </w:rPr>
              <w:t>: A Retrospective Chart Review Study</w:t>
            </w:r>
            <w:r>
              <w:rPr>
                <w:rFonts w:ascii="Garamond" w:hAnsi="Garamond"/>
                <w:lang w:val="en-AU"/>
              </w:rPr>
              <w:t xml:space="preserve"> (</w:t>
            </w:r>
            <w:r w:rsidRPr="00674DB3">
              <w:rPr>
                <w:rFonts w:ascii="Garamond" w:hAnsi="Garamond"/>
                <w:lang w:val="en-AU"/>
              </w:rPr>
              <w:t>Adrian Traeger, Gustavo C Machado, Sally Bath, Martin Tran, Lucinda Roper, Crystian Oliveira, Aimie Peek, Danielle Coombs, Amanda Hall, Elise Tcharkhedian, Chris Maher</w:t>
            </w:r>
            <w:r>
              <w:rPr>
                <w:rFonts w:ascii="Garamond" w:hAnsi="Garamond"/>
                <w:lang w:val="en-AU"/>
              </w:rPr>
              <w:t>)</w:t>
            </w:r>
          </w:p>
        </w:tc>
      </w:tr>
    </w:tbl>
    <w:p w:rsidR="00D2741A" w:rsidRDefault="00D2741A" w:rsidP="00F63671">
      <w:pPr>
        <w:rPr>
          <w:rFonts w:ascii="Garamond" w:hAnsi="Garamond"/>
          <w:b/>
          <w:lang w:val="en-AU"/>
        </w:rPr>
      </w:pPr>
    </w:p>
    <w:p w:rsidR="00CF281D" w:rsidRDefault="00CF281D" w:rsidP="00F63671">
      <w:pPr>
        <w:rPr>
          <w:rFonts w:ascii="Garamond" w:hAnsi="Garamond"/>
          <w:b/>
          <w:lang w:val="en-AU"/>
        </w:rPr>
      </w:pPr>
    </w:p>
    <w:p w:rsidR="00CF281D" w:rsidRDefault="00CF281D" w:rsidP="00F63671">
      <w:pPr>
        <w:rPr>
          <w:rFonts w:ascii="Garamond" w:hAnsi="Garamond"/>
          <w:b/>
          <w:lang w:val="en-AU"/>
        </w:rPr>
      </w:pPr>
    </w:p>
    <w:p w:rsidR="00D71C54" w:rsidRDefault="009F6F9B" w:rsidP="00CE24F8">
      <w:pPr>
        <w:keepNext/>
        <w:rPr>
          <w:rFonts w:ascii="Garamond" w:hAnsi="Garamond"/>
          <w:b/>
          <w:lang w:val="en-AU"/>
        </w:rPr>
      </w:pPr>
      <w:r>
        <w:rPr>
          <w:rFonts w:ascii="Garamond" w:hAnsi="Garamond"/>
          <w:b/>
          <w:lang w:val="en-AU"/>
        </w:rPr>
        <w:t>Online resources</w:t>
      </w:r>
    </w:p>
    <w:p w:rsidR="00F8243D" w:rsidRDefault="00F8243D" w:rsidP="00F8243D">
      <w:pPr>
        <w:keepNext/>
        <w:rPr>
          <w:rFonts w:ascii="Garamond" w:hAnsi="Garamond"/>
          <w:i/>
          <w:lang w:val="en-AU"/>
        </w:rPr>
      </w:pPr>
    </w:p>
    <w:p w:rsidR="00914D4E" w:rsidRDefault="00914D4E" w:rsidP="00F8243D">
      <w:pPr>
        <w:keepNext/>
        <w:rPr>
          <w:rFonts w:ascii="Garamond" w:hAnsi="Garamond"/>
          <w:i/>
          <w:lang w:val="en-AU"/>
        </w:rPr>
      </w:pPr>
      <w:r>
        <w:rPr>
          <w:rFonts w:ascii="Garamond" w:hAnsi="Garamond"/>
          <w:i/>
          <w:lang w:val="en-AU"/>
        </w:rPr>
        <w:t xml:space="preserve">Safer Care Victoria maternity </w:t>
      </w:r>
      <w:r w:rsidR="00674DB3">
        <w:rPr>
          <w:rFonts w:ascii="Garamond" w:hAnsi="Garamond"/>
          <w:i/>
          <w:lang w:val="en-AU"/>
        </w:rPr>
        <w:t xml:space="preserve">care </w:t>
      </w:r>
      <w:r>
        <w:rPr>
          <w:rFonts w:ascii="Garamond" w:hAnsi="Garamond"/>
          <w:i/>
          <w:lang w:val="en-AU"/>
        </w:rPr>
        <w:t>guidelines</w:t>
      </w:r>
    </w:p>
    <w:p w:rsidR="00914D4E" w:rsidRPr="00914D4E" w:rsidRDefault="00B00AE2" w:rsidP="00F8243D">
      <w:pPr>
        <w:keepNext/>
        <w:rPr>
          <w:rFonts w:ascii="Garamond" w:hAnsi="Garamond"/>
          <w:lang w:val="en-AU"/>
        </w:rPr>
      </w:pPr>
      <w:hyperlink r:id="rId32" w:history="1">
        <w:r w:rsidR="00674DB3" w:rsidRPr="00281E80">
          <w:rPr>
            <w:rStyle w:val="Hyperlink"/>
            <w:rFonts w:ascii="Garamond" w:hAnsi="Garamond"/>
            <w:lang w:val="en-AU"/>
          </w:rPr>
          <w:t>https://www.bettersafercare.vic.gov.au/</w:t>
        </w:r>
      </w:hyperlink>
    </w:p>
    <w:p w:rsidR="00914D4E" w:rsidRDefault="00914D4E" w:rsidP="00F8243D">
      <w:pPr>
        <w:keepNext/>
        <w:rPr>
          <w:rFonts w:ascii="Garamond" w:hAnsi="Garamond"/>
          <w:lang w:val="en-AU"/>
        </w:rPr>
      </w:pPr>
      <w:r>
        <w:rPr>
          <w:rFonts w:ascii="Garamond" w:hAnsi="Garamond"/>
          <w:lang w:val="en-AU"/>
        </w:rPr>
        <w:t xml:space="preserve">Safer Care Victoria has released 3 new guidelines </w:t>
      </w:r>
      <w:r w:rsidRPr="00914D4E">
        <w:rPr>
          <w:rFonts w:ascii="Garamond" w:hAnsi="Garamond"/>
          <w:lang w:val="en-AU"/>
        </w:rPr>
        <w:t>for maternity and newborn services to help improve outcomes and experiences</w:t>
      </w:r>
      <w:r>
        <w:rPr>
          <w:rFonts w:ascii="Garamond" w:hAnsi="Garamond"/>
          <w:lang w:val="en-AU"/>
        </w:rPr>
        <w:t xml:space="preserve"> for their patients and families. The new guidelines include:</w:t>
      </w:r>
    </w:p>
    <w:p w:rsidR="00914D4E" w:rsidRDefault="00914D4E" w:rsidP="00674DB3">
      <w:pPr>
        <w:pStyle w:val="ListParagraph"/>
        <w:keepNext/>
        <w:numPr>
          <w:ilvl w:val="0"/>
          <w:numId w:val="14"/>
        </w:numPr>
        <w:rPr>
          <w:rFonts w:ascii="Garamond" w:hAnsi="Garamond"/>
          <w:lang w:val="en-AU"/>
        </w:rPr>
      </w:pPr>
      <w:r w:rsidRPr="00914D4E">
        <w:rPr>
          <w:rFonts w:ascii="Garamond" w:hAnsi="Garamond"/>
          <w:b/>
          <w:i/>
          <w:lang w:val="en-AU"/>
        </w:rPr>
        <w:t>Safe infant sleeping guidance</w:t>
      </w:r>
      <w:r w:rsidRPr="00914D4E">
        <w:rPr>
          <w:rFonts w:ascii="Garamond" w:hAnsi="Garamond"/>
          <w:lang w:val="en-AU"/>
        </w:rPr>
        <w:t xml:space="preserve"> promotes the key steps to sleeping infants safely in hospital and at home, to help reduce the risk of sudden unexpected death in infancy (SUDI). It includes advice on shared sleeping.</w:t>
      </w:r>
      <w:r w:rsidR="00674DB3">
        <w:rPr>
          <w:rFonts w:ascii="Garamond" w:hAnsi="Garamond"/>
          <w:lang w:val="en-AU"/>
        </w:rPr>
        <w:t xml:space="preserve"> </w:t>
      </w:r>
      <w:r w:rsidR="00674DB3">
        <w:rPr>
          <w:rFonts w:ascii="Garamond" w:hAnsi="Garamond"/>
          <w:lang w:val="en-AU"/>
        </w:rPr>
        <w:br/>
      </w:r>
      <w:hyperlink r:id="rId33" w:history="1">
        <w:r w:rsidR="00674DB3" w:rsidRPr="00281E80">
          <w:rPr>
            <w:rStyle w:val="Hyperlink"/>
            <w:rFonts w:ascii="Garamond" w:hAnsi="Garamond"/>
            <w:lang w:val="en-AU"/>
          </w:rPr>
          <w:t>https://www.bettersafercare.vic.gov.au/clinical-guidance/neonatal/infant-safe-sleeping</w:t>
        </w:r>
      </w:hyperlink>
    </w:p>
    <w:p w:rsidR="00914D4E" w:rsidRDefault="00914D4E" w:rsidP="00674DB3">
      <w:pPr>
        <w:pStyle w:val="ListParagraph"/>
        <w:keepNext/>
        <w:numPr>
          <w:ilvl w:val="0"/>
          <w:numId w:val="14"/>
        </w:numPr>
        <w:rPr>
          <w:rFonts w:ascii="Garamond" w:hAnsi="Garamond"/>
          <w:lang w:val="en-AU"/>
        </w:rPr>
      </w:pPr>
      <w:r w:rsidRPr="00914D4E">
        <w:rPr>
          <w:rFonts w:ascii="Garamond" w:hAnsi="Garamond"/>
          <w:b/>
          <w:i/>
          <w:lang w:val="en-AU"/>
        </w:rPr>
        <w:t>Homebirth guidance</w:t>
      </w:r>
      <w:r w:rsidRPr="00914D4E">
        <w:rPr>
          <w:rFonts w:ascii="Garamond" w:hAnsi="Garamond"/>
          <w:lang w:val="en-AU"/>
        </w:rPr>
        <w:t xml:space="preserve"> helps services develop or expand a safe homebirth program, which may result in less intervention (e.g. caesarean sections) and complications (e.g. post-partum haemorrhage or severe perineal trauma).</w:t>
      </w:r>
      <w:r w:rsidR="00674DB3">
        <w:rPr>
          <w:rFonts w:ascii="Garamond" w:hAnsi="Garamond"/>
          <w:lang w:val="en-AU"/>
        </w:rPr>
        <w:br/>
      </w:r>
      <w:hyperlink r:id="rId34" w:history="1">
        <w:r w:rsidR="00674DB3" w:rsidRPr="00281E80">
          <w:rPr>
            <w:rStyle w:val="Hyperlink"/>
            <w:rFonts w:ascii="Garamond" w:hAnsi="Garamond"/>
            <w:lang w:val="en-AU"/>
          </w:rPr>
          <w:t>https://www.bettersafercare.vic.gov.au/clinical-guidance/maternity/homebirth</w:t>
        </w:r>
      </w:hyperlink>
    </w:p>
    <w:p w:rsidR="00914D4E" w:rsidRPr="00914D4E" w:rsidRDefault="00914D4E" w:rsidP="00674DB3">
      <w:pPr>
        <w:pStyle w:val="ListParagraph"/>
        <w:keepNext/>
        <w:numPr>
          <w:ilvl w:val="0"/>
          <w:numId w:val="14"/>
        </w:numPr>
        <w:rPr>
          <w:rFonts w:ascii="Garamond" w:hAnsi="Garamond"/>
          <w:lang w:val="en-AU"/>
        </w:rPr>
      </w:pPr>
      <w:r w:rsidRPr="00914D4E">
        <w:rPr>
          <w:rFonts w:ascii="Garamond" w:hAnsi="Garamond"/>
          <w:b/>
          <w:i/>
          <w:lang w:val="en-AU"/>
        </w:rPr>
        <w:t>Water for labour and birth guidance</w:t>
      </w:r>
      <w:r w:rsidRPr="00914D4E">
        <w:rPr>
          <w:rFonts w:ascii="Garamond" w:hAnsi="Garamond"/>
          <w:lang w:val="en-AU"/>
        </w:rPr>
        <w:t xml:space="preserve"> supports women to use a shower or bath for pain relief during labour and if appropriate, water birth.</w:t>
      </w:r>
      <w:r w:rsidR="00674DB3">
        <w:rPr>
          <w:rFonts w:ascii="Garamond" w:hAnsi="Garamond"/>
          <w:lang w:val="en-AU"/>
        </w:rPr>
        <w:br/>
      </w:r>
      <w:hyperlink r:id="rId35" w:history="1">
        <w:r w:rsidR="00674DB3" w:rsidRPr="00281E80">
          <w:rPr>
            <w:rStyle w:val="Hyperlink"/>
            <w:rFonts w:ascii="Garamond" w:hAnsi="Garamond"/>
            <w:lang w:val="en-AU"/>
          </w:rPr>
          <w:t>https://www.bettersafercare.vic.gov.au/clinical-guidance/maternity/water-for-labour-and-birth</w:t>
        </w:r>
      </w:hyperlink>
    </w:p>
    <w:p w:rsidR="00914D4E" w:rsidRPr="00914D4E" w:rsidRDefault="00914D4E" w:rsidP="00F8243D">
      <w:pPr>
        <w:keepNext/>
        <w:rPr>
          <w:rFonts w:ascii="Garamond" w:hAnsi="Garamond"/>
          <w:lang w:val="en-AU"/>
        </w:rPr>
      </w:pPr>
    </w:p>
    <w:p w:rsidR="00674DB3" w:rsidRDefault="00674DB3" w:rsidP="00867CE3">
      <w:pPr>
        <w:keepNext/>
        <w:rPr>
          <w:rFonts w:ascii="Garamond" w:hAnsi="Garamond"/>
          <w:i/>
          <w:lang w:val="en-AU"/>
        </w:rPr>
      </w:pPr>
      <w:r>
        <w:rPr>
          <w:rFonts w:ascii="Garamond" w:hAnsi="Garamond"/>
          <w:i/>
          <w:lang w:val="en-AU"/>
        </w:rPr>
        <w:t>Quality Improvement toolkits</w:t>
      </w:r>
    </w:p>
    <w:p w:rsidR="00674DB3" w:rsidRDefault="00B00AE2" w:rsidP="00867CE3">
      <w:pPr>
        <w:keepNext/>
        <w:rPr>
          <w:rFonts w:ascii="Garamond" w:hAnsi="Garamond"/>
          <w:lang w:val="en-AU"/>
        </w:rPr>
      </w:pPr>
      <w:hyperlink r:id="rId36" w:history="1">
        <w:r w:rsidR="00674DB3" w:rsidRPr="00281E80">
          <w:rPr>
            <w:rStyle w:val="Hyperlink"/>
            <w:rFonts w:ascii="Garamond" w:hAnsi="Garamond"/>
            <w:lang w:val="en-AU"/>
          </w:rPr>
          <w:t>https://www.cec.health.nsw.gov.au/improve-quality/quality-improvement-toolkits</w:t>
        </w:r>
      </w:hyperlink>
    </w:p>
    <w:p w:rsidR="00674DB3" w:rsidRDefault="00674DB3" w:rsidP="008B5CB9">
      <w:pPr>
        <w:rPr>
          <w:rFonts w:ascii="Garamond" w:hAnsi="Garamond"/>
          <w:lang w:val="en-AU"/>
        </w:rPr>
      </w:pPr>
      <w:r>
        <w:rPr>
          <w:rFonts w:ascii="Garamond" w:hAnsi="Garamond"/>
          <w:lang w:val="en-AU"/>
        </w:rPr>
        <w:t xml:space="preserve">The Clinical Excellence Commission in New South Wales has a range of quality improvement toolkits designed to </w:t>
      </w:r>
      <w:r w:rsidRPr="00674DB3">
        <w:rPr>
          <w:rFonts w:ascii="Garamond" w:hAnsi="Garamond"/>
          <w:lang w:val="en-AU"/>
        </w:rPr>
        <w:t>support local healthcare teams to start and sustain a quality improvement (QI) project focusing on clinical areas where the risk of harm is well recognised. The toolkits include step by step guides to solve small or large problems using QI methodology.</w:t>
      </w:r>
      <w:r>
        <w:rPr>
          <w:rFonts w:ascii="Garamond" w:hAnsi="Garamond"/>
          <w:lang w:val="en-AU"/>
        </w:rPr>
        <w:t xml:space="preserve"> Toolkits available include:</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AMBER Care Bundle</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Comprehensive Care - Minimising Harm</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Last Days of Life</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Medication Reconciliation</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Sepsis</w:t>
      </w:r>
    </w:p>
    <w:p w:rsidR="00674DB3" w:rsidRPr="006825BC" w:rsidRDefault="00674DB3" w:rsidP="008B5CB9">
      <w:pPr>
        <w:pStyle w:val="ListParagraph"/>
        <w:numPr>
          <w:ilvl w:val="0"/>
          <w:numId w:val="32"/>
        </w:numPr>
        <w:rPr>
          <w:rFonts w:ascii="Garamond" w:hAnsi="Garamond"/>
          <w:b/>
          <w:i/>
          <w:lang w:val="en-AU"/>
        </w:rPr>
      </w:pPr>
      <w:r w:rsidRPr="006825BC">
        <w:rPr>
          <w:rFonts w:ascii="Garamond" w:hAnsi="Garamond"/>
          <w:b/>
          <w:i/>
          <w:lang w:val="en-AU"/>
        </w:rPr>
        <w:t>Venous Thromboembolism (VTE) Prevention.</w:t>
      </w:r>
    </w:p>
    <w:p w:rsidR="00674DB3" w:rsidRPr="005D2024" w:rsidRDefault="00674DB3" w:rsidP="00690448">
      <w:pPr>
        <w:rPr>
          <w:rFonts w:ascii="Garamond" w:hAnsi="Garamond"/>
          <w:b/>
          <w:lang w:val="en-AU"/>
        </w:rPr>
      </w:pPr>
    </w:p>
    <w:p w:rsidR="00867CE3" w:rsidRPr="000170DA" w:rsidRDefault="00867CE3" w:rsidP="00867CE3">
      <w:pPr>
        <w:keepNext/>
        <w:keepLines/>
        <w:rPr>
          <w:rFonts w:ascii="Garamond" w:hAnsi="Garamond"/>
          <w:i/>
          <w:lang w:val="en-AU"/>
        </w:rPr>
      </w:pPr>
      <w:r w:rsidRPr="000170DA">
        <w:rPr>
          <w:rFonts w:ascii="Garamond" w:hAnsi="Garamond"/>
          <w:i/>
          <w:lang w:val="en-AU"/>
        </w:rPr>
        <w:t>[USA] Effective Health Care Program reports</w:t>
      </w:r>
    </w:p>
    <w:p w:rsidR="00867CE3" w:rsidRPr="000170DA" w:rsidRDefault="00B00AE2" w:rsidP="00867CE3">
      <w:pPr>
        <w:keepNext/>
        <w:keepLines/>
        <w:rPr>
          <w:rFonts w:ascii="Garamond" w:hAnsi="Garamond"/>
          <w:u w:val="single"/>
          <w:lang w:val="en-AU"/>
        </w:rPr>
      </w:pPr>
      <w:hyperlink r:id="rId37" w:history="1">
        <w:r w:rsidR="00867CE3" w:rsidRPr="000170DA">
          <w:rPr>
            <w:rStyle w:val="Hyperlink"/>
            <w:rFonts w:ascii="Garamond" w:hAnsi="Garamond"/>
            <w:lang w:val="en-AU"/>
          </w:rPr>
          <w:t>https://effectivehealthcare.ahrq.gov/</w:t>
        </w:r>
      </w:hyperlink>
    </w:p>
    <w:p w:rsidR="00867CE3" w:rsidRDefault="00867CE3" w:rsidP="00867CE3">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825BC" w:rsidRPr="006825BC" w:rsidRDefault="005D2024" w:rsidP="005D2024">
      <w:pPr>
        <w:pStyle w:val="ListParagraph"/>
        <w:keepNext/>
        <w:numPr>
          <w:ilvl w:val="0"/>
          <w:numId w:val="14"/>
        </w:numPr>
        <w:rPr>
          <w:rFonts w:ascii="Garamond" w:hAnsi="Garamond"/>
          <w:lang w:val="en-AU"/>
        </w:rPr>
      </w:pPr>
      <w:r w:rsidRPr="005D2024">
        <w:rPr>
          <w:rFonts w:ascii="Garamond" w:hAnsi="Garamond"/>
          <w:i/>
          <w:lang w:val="en-AU"/>
        </w:rPr>
        <w:t xml:space="preserve">Breast Reconstruction After </w:t>
      </w:r>
      <w:r w:rsidRPr="005D2024">
        <w:rPr>
          <w:rFonts w:ascii="Garamond" w:hAnsi="Garamond"/>
          <w:b/>
          <w:i/>
          <w:lang w:val="en-AU"/>
        </w:rPr>
        <w:t>Mastectomy</w:t>
      </w:r>
      <w:r w:rsidRPr="005D2024">
        <w:rPr>
          <w:rFonts w:ascii="Garamond" w:hAnsi="Garamond"/>
          <w:b/>
          <w:i/>
          <w:lang w:val="en-AU"/>
        </w:rPr>
        <w:br/>
      </w:r>
      <w:hyperlink r:id="rId38" w:history="1">
        <w:r w:rsidRPr="00A204E6">
          <w:rPr>
            <w:rStyle w:val="Hyperlink"/>
            <w:rFonts w:ascii="Garamond" w:hAnsi="Garamond"/>
            <w:lang w:val="en-AU"/>
          </w:rPr>
          <w:t>https://effectivehealthcare.ahrq.gov/products/breast-reconstruction-mastectomy/research</w:t>
        </w:r>
      </w:hyperlink>
    </w:p>
    <w:p w:rsidR="00F57CAB" w:rsidRDefault="00F57CAB" w:rsidP="00F57CAB">
      <w:pPr>
        <w:rPr>
          <w:rFonts w:ascii="Garamond" w:hAnsi="Garamond"/>
          <w:i/>
          <w:lang w:val="en-AU"/>
        </w:rPr>
      </w:pPr>
    </w:p>
    <w:p w:rsidR="00356DC7" w:rsidRPr="00046674" w:rsidRDefault="00356DC7" w:rsidP="00F57CAB">
      <w:pPr>
        <w:rPr>
          <w:rFonts w:ascii="Garamond" w:hAnsi="Garamond"/>
          <w:i/>
          <w:lang w:val="en-AU"/>
        </w:rPr>
      </w:pPr>
      <w:r w:rsidRPr="00046674">
        <w:rPr>
          <w:rFonts w:ascii="Garamond" w:hAnsi="Garamond"/>
          <w:i/>
          <w:lang w:val="en-AU"/>
        </w:rPr>
        <w:t>[Canada</w:t>
      </w:r>
      <w:r w:rsidR="00046674" w:rsidRPr="00046674">
        <w:rPr>
          <w:rFonts w:ascii="Garamond" w:hAnsi="Garamond"/>
          <w:i/>
          <w:lang w:val="en-AU"/>
        </w:rPr>
        <w:t>]</w:t>
      </w:r>
      <w:r w:rsidRPr="00046674">
        <w:rPr>
          <w:rFonts w:ascii="Garamond" w:hAnsi="Garamond"/>
          <w:i/>
          <w:lang w:val="en-AU"/>
        </w:rPr>
        <w:t xml:space="preserve"> Integrated Care Standard</w:t>
      </w:r>
    </w:p>
    <w:p w:rsidR="00F03EA1" w:rsidRPr="00356DC7" w:rsidRDefault="00B00AE2" w:rsidP="00F57CAB">
      <w:pPr>
        <w:rPr>
          <w:rFonts w:ascii="Garamond" w:hAnsi="Garamond"/>
          <w:lang w:val="en-AU"/>
        </w:rPr>
      </w:pPr>
      <w:hyperlink r:id="rId39" w:history="1">
        <w:r w:rsidR="00356DC7" w:rsidRPr="00356DC7">
          <w:rPr>
            <w:rStyle w:val="Hyperlink"/>
            <w:rFonts w:ascii="Garamond" w:hAnsi="Garamond"/>
            <w:lang w:val="en-AU"/>
          </w:rPr>
          <w:t>https://healthstandards.org/integratedcare/</w:t>
        </w:r>
      </w:hyperlink>
    </w:p>
    <w:p w:rsidR="00356DC7" w:rsidRPr="00356DC7" w:rsidRDefault="00356DC7" w:rsidP="00356DC7">
      <w:pPr>
        <w:rPr>
          <w:rFonts w:ascii="Garamond" w:hAnsi="Garamond"/>
          <w:lang w:val="en-AU"/>
        </w:rPr>
      </w:pPr>
      <w:r>
        <w:rPr>
          <w:rFonts w:ascii="Garamond" w:hAnsi="Garamond"/>
          <w:lang w:val="en-AU"/>
        </w:rPr>
        <w:t xml:space="preserve">The Health Standards Organisation in Canada is claiming that their </w:t>
      </w:r>
      <w:r w:rsidRPr="00356DC7">
        <w:rPr>
          <w:rFonts w:ascii="Garamond" w:hAnsi="Garamond"/>
          <w:lang w:val="en-AU"/>
        </w:rPr>
        <w:t>CAN/HSO 76000:2021 Integrated People-Centred Health Systems (IPCHS)</w:t>
      </w:r>
      <w:r>
        <w:rPr>
          <w:rFonts w:ascii="Garamond" w:hAnsi="Garamond"/>
          <w:lang w:val="en-AU"/>
        </w:rPr>
        <w:t xml:space="preserve"> is </w:t>
      </w:r>
      <w:r w:rsidR="008B5CB9">
        <w:rPr>
          <w:rFonts w:ascii="Garamond" w:hAnsi="Garamond"/>
          <w:lang w:val="en-AU"/>
        </w:rPr>
        <w:t>‘</w:t>
      </w:r>
      <w:r>
        <w:rPr>
          <w:rFonts w:ascii="Garamond" w:hAnsi="Garamond"/>
          <w:lang w:val="en-AU"/>
        </w:rPr>
        <w:t xml:space="preserve">the world’s first </w:t>
      </w:r>
      <w:r w:rsidR="008B5CB9">
        <w:rPr>
          <w:rFonts w:ascii="Garamond" w:hAnsi="Garamond"/>
          <w:lang w:val="en-AU"/>
        </w:rPr>
        <w:t xml:space="preserve">co-designed, evidence-based standard on </w:t>
      </w:r>
      <w:r>
        <w:rPr>
          <w:rFonts w:ascii="Garamond" w:hAnsi="Garamond"/>
          <w:lang w:val="en-AU"/>
        </w:rPr>
        <w:t xml:space="preserve">integrated </w:t>
      </w:r>
      <w:r w:rsidR="008B5CB9">
        <w:rPr>
          <w:rFonts w:ascii="Garamond" w:hAnsi="Garamond"/>
          <w:lang w:val="en-AU"/>
        </w:rPr>
        <w:t xml:space="preserve">people-centred </w:t>
      </w:r>
      <w:r>
        <w:rPr>
          <w:rFonts w:ascii="Garamond" w:hAnsi="Garamond"/>
          <w:lang w:val="en-AU"/>
        </w:rPr>
        <w:t xml:space="preserve">care </w:t>
      </w:r>
      <w:r w:rsidR="008B5CB9">
        <w:rPr>
          <w:rFonts w:ascii="Garamond" w:hAnsi="Garamond"/>
          <w:lang w:val="en-AU"/>
        </w:rPr>
        <w:t>and service’</w:t>
      </w:r>
      <w:r>
        <w:rPr>
          <w:rFonts w:ascii="Garamond" w:hAnsi="Garamond"/>
          <w:lang w:val="en-AU"/>
        </w:rPr>
        <w:t xml:space="preserve">. </w:t>
      </w:r>
      <w:r w:rsidR="008B5CB9">
        <w:rPr>
          <w:rFonts w:ascii="Garamond" w:hAnsi="Garamond"/>
          <w:lang w:val="en-AU"/>
        </w:rPr>
        <w:t>The HSO has adopted a definition of integrated care as being ‘</w:t>
      </w:r>
      <w:r w:rsidR="008B5CB9" w:rsidRPr="008B5CB9">
        <w:rPr>
          <w:rFonts w:ascii="Garamond" w:hAnsi="Garamond"/>
          <w:lang w:val="en-AU"/>
        </w:rPr>
        <w:t>An Integrated People-Centered health system is one with health and social services that are organized and managed across sectors and organizational boundaries so that people can receive coordinated and comprehensive services – at the right time, by the right provider in the right place.</w:t>
      </w:r>
      <w:r w:rsidR="008B5CB9">
        <w:rPr>
          <w:rFonts w:ascii="Garamond" w:hAnsi="Garamond"/>
          <w:lang w:val="en-AU"/>
        </w:rPr>
        <w:t>’</w:t>
      </w:r>
    </w:p>
    <w:p w:rsidR="00356DC7" w:rsidRDefault="008B5CB9" w:rsidP="008B5CB9">
      <w:pPr>
        <w:rPr>
          <w:rFonts w:ascii="Garamond" w:hAnsi="Garamond"/>
          <w:lang w:val="en-AU"/>
        </w:rPr>
      </w:pPr>
      <w:r w:rsidRPr="008B5CB9">
        <w:rPr>
          <w:rFonts w:ascii="Garamond" w:hAnsi="Garamond"/>
          <w:lang w:val="en-AU"/>
        </w:rPr>
        <w:t>The standard is structured around 10 design principles. To make the standard relevant and actionable, each design principle sets out explicit, objective requirements (criteria) to be met by health systems. The standard has 66 criteria in total that people can use as aspirational targets in their journey toward a fully integrated health system. Guidance is available for each criteria to help policy makers and health system partners know what actions to take together as they set and a</w:t>
      </w:r>
      <w:r>
        <w:rPr>
          <w:rFonts w:ascii="Garamond" w:hAnsi="Garamond"/>
          <w:lang w:val="en-AU"/>
        </w:rPr>
        <w:t>dvance their local priorities.</w:t>
      </w:r>
    </w:p>
    <w:p w:rsidR="008B5CB9" w:rsidRPr="00356DC7" w:rsidRDefault="008B5CB9" w:rsidP="008B5CB9">
      <w:pPr>
        <w:rPr>
          <w:rFonts w:ascii="Garamond" w:hAnsi="Garamond"/>
          <w:lang w:val="en-AU"/>
        </w:rPr>
      </w:pPr>
    </w:p>
    <w:p w:rsidR="00356DC7" w:rsidRPr="00356DC7" w:rsidRDefault="008B5CB9" w:rsidP="00F57CAB">
      <w:pPr>
        <w:rPr>
          <w:rFonts w:ascii="Garamond" w:hAnsi="Garamond"/>
          <w:lang w:val="en-AU"/>
        </w:rPr>
      </w:pPr>
      <w:r>
        <w:rPr>
          <w:rFonts w:ascii="Garamond" w:hAnsi="Garamond"/>
          <w:noProof/>
          <w:lang w:val="en-AU" w:eastAsia="en-AU"/>
        </w:rPr>
        <w:drawing>
          <wp:inline distT="0" distB="0" distL="0" distR="0">
            <wp:extent cx="6122670" cy="3883025"/>
            <wp:effectExtent l="0" t="0" r="0" b="3175"/>
            <wp:docPr id="5" name="Picture 5" descr="Illustration of the 10 Design Principles of Integrated Care" title="Illustration of the 10 Design Principles of Integrated Car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10 principles of integrate car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2670" cy="3883025"/>
                    </a:xfrm>
                    <a:prstGeom prst="rect">
                      <a:avLst/>
                    </a:prstGeom>
                    <a:noFill/>
                    <a:ln>
                      <a:noFill/>
                    </a:ln>
                  </pic:spPr>
                </pic:pic>
              </a:graphicData>
            </a:graphic>
          </wp:inline>
        </w:drawing>
      </w:r>
    </w:p>
    <w:p w:rsidR="00D2741A" w:rsidRDefault="00D2741A" w:rsidP="00B54C6E">
      <w:pPr>
        <w:keepLines/>
        <w:pBdr>
          <w:bottom w:val="single" w:sz="6" w:space="1" w:color="auto"/>
        </w:pBdr>
        <w:rPr>
          <w:rFonts w:ascii="Garamond" w:hAnsi="Garamond"/>
          <w:i/>
          <w:lang w:val="en-AU"/>
        </w:rPr>
      </w:pPr>
    </w:p>
    <w:p w:rsidR="008B5CB9" w:rsidRDefault="008B5CB9" w:rsidP="00B54C6E">
      <w:pPr>
        <w:keepLines/>
        <w:pBdr>
          <w:bottom w:val="single" w:sz="6" w:space="1" w:color="auto"/>
        </w:pBdr>
        <w:rPr>
          <w:rFonts w:ascii="Garamond" w:hAnsi="Garamond"/>
          <w:i/>
          <w:lang w:val="en-AU"/>
        </w:rPr>
      </w:pPr>
    </w:p>
    <w:p w:rsidR="008B5CB9" w:rsidRDefault="008B5CB9" w:rsidP="00B54C6E">
      <w:pPr>
        <w:keepLines/>
        <w:pBdr>
          <w:bottom w:val="single" w:sz="6" w:space="1" w:color="auto"/>
        </w:pBdr>
        <w:rPr>
          <w:rFonts w:ascii="Garamond" w:hAnsi="Garamond"/>
          <w:i/>
          <w:lang w:val="en-AU"/>
        </w:rPr>
      </w:pPr>
    </w:p>
    <w:p w:rsidR="008B5CB9" w:rsidRDefault="008B5CB9">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1"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2"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sidR="00FC0183">
        <w:rPr>
          <w:rStyle w:val="Hyperlink"/>
          <w:rFonts w:ascii="Garamond" w:hAnsi="Garamond"/>
          <w:lang w:val="en-AU"/>
        </w:rPr>
        <w:br/>
      </w:r>
      <w:r>
        <w:rPr>
          <w:rFonts w:ascii="Garamond" w:hAnsi="Garamond"/>
          <w:noProof/>
          <w:lang w:val="en-AU" w:eastAsia="en-AU"/>
        </w:rPr>
        <w:drawing>
          <wp:inline distT="0" distB="0" distL="0" distR="0" wp14:anchorId="7DD2CFC8" wp14:editId="1B7A1D06">
            <wp:extent cx="4929808" cy="6972043"/>
            <wp:effectExtent l="19050" t="19050" r="23495" b="19685"/>
            <wp:docPr id="4" name="Picture 4" descr="COVID-19: Aged care staff infection prevention and control precautions poster" title="COVID-19: Aged care staff infection prevention and control precautions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089342" cy="7197666"/>
                    </a:xfrm>
                    <a:prstGeom prst="rect">
                      <a:avLst/>
                    </a:prstGeom>
                    <a:noFill/>
                    <a:ln>
                      <a:solidFill>
                        <a:schemeClr val="tx2"/>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4"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5"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6"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7"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48"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bookmarkStart w:id="1" w:name="_GoBack"/>
      <w:r w:rsidR="00D574D3">
        <w:rPr>
          <w:rFonts w:ascii="Garamond" w:hAnsi="Garamond"/>
          <w:b/>
          <w:noProof/>
          <w:lang w:val="en-AU" w:eastAsia="en-AU"/>
        </w:rPr>
        <w:drawing>
          <wp:inline distT="0" distB="0" distL="0" distR="0" wp14:anchorId="36B84247" wp14:editId="55D36220">
            <wp:extent cx="4426226" cy="6259922"/>
            <wp:effectExtent l="19050" t="19050" r="12700" b="26670"/>
            <wp:docPr id="1" name="Picture 1" descr="Stop COVID-19: Break the chain of infection poster" title="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4538631" cy="6418894"/>
                    </a:xfrm>
                    <a:prstGeom prst="rect">
                      <a:avLst/>
                    </a:prstGeom>
                    <a:noFill/>
                    <a:ln>
                      <a:solidFill>
                        <a:schemeClr val="accent1"/>
                      </a:solidFill>
                    </a:ln>
                  </pic:spPr>
                </pic:pic>
              </a:graphicData>
            </a:graphic>
          </wp:inline>
        </w:drawing>
      </w:r>
      <w:bookmarkEnd w:id="1"/>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51"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2"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3"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4"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6"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62400" cy="5835887"/>
            <wp:effectExtent l="19050" t="19050" r="19050" b="12700"/>
            <wp:docPr id="2" name="Picture 2" descr="COVID-19 and face masks information for consumers poster image" title="COVID-19 and face masks information for consumers poster ima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16468" cy="606280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B00AE2" w:rsidP="00D574D3">
      <w:pPr>
        <w:keepNext/>
        <w:keepLines/>
        <w:rPr>
          <w:rFonts w:ascii="Garamond" w:hAnsi="Garamond"/>
          <w:lang w:val="en-AU"/>
        </w:rPr>
      </w:pPr>
      <w:hyperlink r:id="rId59"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B00AE2" w:rsidP="00D574D3">
      <w:pPr>
        <w:keepNext/>
        <w:keepLines/>
        <w:rPr>
          <w:rFonts w:ascii="Garamond" w:hAnsi="Garamond"/>
          <w:lang w:val="en-AU"/>
        </w:rPr>
      </w:pPr>
      <w:hyperlink r:id="rId60" w:history="1">
        <w:r w:rsidR="00D574D3" w:rsidRPr="007F0962">
          <w:rPr>
            <w:rStyle w:val="Hyperlink"/>
            <w:rFonts w:ascii="Garamond" w:hAnsi="Garamond"/>
            <w:lang w:val="en-AU"/>
          </w:rPr>
          <w:t>https://www.aci.health.nsw.gov.au/covid-19/critical-intelligence-unit</w:t>
        </w:r>
      </w:hyperlink>
    </w:p>
    <w:p w:rsidR="005D2024" w:rsidRDefault="00D574D3" w:rsidP="006E1AAD">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264E70" w:rsidRDefault="00264E70" w:rsidP="00B24501">
      <w:pPr>
        <w:rPr>
          <w:rFonts w:ascii="Garamond" w:hAnsi="Garamond"/>
          <w:lang w:val="en-AU"/>
        </w:rPr>
      </w:pPr>
    </w:p>
    <w:p w:rsidR="005D2024" w:rsidRDefault="005D2024"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1"/>
      <w:footerReference w:type="default" r:id="rId6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AF" w:rsidRDefault="00F77EAF">
      <w:r>
        <w:separator/>
      </w:r>
    </w:p>
  </w:endnote>
  <w:endnote w:type="continuationSeparator" w:id="0">
    <w:p w:rsidR="00F77EAF" w:rsidRDefault="00F7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Default="00F77EA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00AE2">
      <w:rPr>
        <w:rStyle w:val="PageNumber"/>
        <w:noProof/>
      </w:rPr>
      <w:t>10</w:t>
    </w:r>
    <w:r>
      <w:rPr>
        <w:rStyle w:val="PageNumber"/>
      </w:rPr>
      <w:fldChar w:fldCharType="end"/>
    </w:r>
  </w:p>
  <w:p w:rsidR="00F77EAF" w:rsidRPr="001E78F0" w:rsidRDefault="00F77EA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867CE3">
      <w:rPr>
        <w:rFonts w:ascii="Garamond" w:hAnsi="Garamond"/>
      </w:rPr>
      <w:t xml:space="preserve"> Issue 520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Pr="001E78F0" w:rsidRDefault="00F77EA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00AE2">
      <w:rPr>
        <w:rStyle w:val="PageNumber"/>
        <w:rFonts w:ascii="Garamond" w:hAnsi="Garamond"/>
        <w:noProof/>
      </w:rPr>
      <w:t>11</w:t>
    </w:r>
    <w:r w:rsidRPr="001E78F0">
      <w:rPr>
        <w:rStyle w:val="PageNumber"/>
        <w:rFonts w:ascii="Garamond" w:hAnsi="Garamond"/>
      </w:rPr>
      <w:fldChar w:fldCharType="end"/>
    </w:r>
  </w:p>
  <w:p w:rsidR="00F77EAF" w:rsidRPr="001E78F0" w:rsidRDefault="00F77EA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867CE3">
      <w:rPr>
        <w:rFonts w:ascii="Garamond" w:hAnsi="Garamond"/>
      </w:rPr>
      <w:t xml:space="preserve"> Issue 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AF" w:rsidRDefault="00F77EAF">
      <w:r>
        <w:separator/>
      </w:r>
    </w:p>
  </w:footnote>
  <w:footnote w:type="continuationSeparator" w:id="0">
    <w:p w:rsidR="00F77EAF" w:rsidRDefault="00F7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31C"/>
    <w:multiLevelType w:val="hybridMultilevel"/>
    <w:tmpl w:val="F74E3148"/>
    <w:lvl w:ilvl="0" w:tplc="808E2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C1556"/>
    <w:multiLevelType w:val="hybridMultilevel"/>
    <w:tmpl w:val="569E4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9E7976"/>
    <w:multiLevelType w:val="hybridMultilevel"/>
    <w:tmpl w:val="67CEE2B6"/>
    <w:lvl w:ilvl="0" w:tplc="33F4A60A">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AC21E6"/>
    <w:multiLevelType w:val="hybridMultilevel"/>
    <w:tmpl w:val="5908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7B79ED"/>
    <w:multiLevelType w:val="hybridMultilevel"/>
    <w:tmpl w:val="7B3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8112DC"/>
    <w:multiLevelType w:val="hybridMultilevel"/>
    <w:tmpl w:val="4DE6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F7F4C"/>
    <w:multiLevelType w:val="hybridMultilevel"/>
    <w:tmpl w:val="D89C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3B02D6"/>
    <w:multiLevelType w:val="hybridMultilevel"/>
    <w:tmpl w:val="03FE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04786"/>
    <w:multiLevelType w:val="hybridMultilevel"/>
    <w:tmpl w:val="2946E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5C2910"/>
    <w:multiLevelType w:val="hybridMultilevel"/>
    <w:tmpl w:val="1F72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D3EB7"/>
    <w:multiLevelType w:val="hybridMultilevel"/>
    <w:tmpl w:val="47D0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E5827"/>
    <w:multiLevelType w:val="hybridMultilevel"/>
    <w:tmpl w:val="106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C175D6"/>
    <w:multiLevelType w:val="hybridMultilevel"/>
    <w:tmpl w:val="E40EB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5B7A3A"/>
    <w:multiLevelType w:val="hybridMultilevel"/>
    <w:tmpl w:val="B4FC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3670E3"/>
    <w:multiLevelType w:val="hybridMultilevel"/>
    <w:tmpl w:val="ED00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096C03"/>
    <w:multiLevelType w:val="hybridMultilevel"/>
    <w:tmpl w:val="147C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21647E"/>
    <w:multiLevelType w:val="hybridMultilevel"/>
    <w:tmpl w:val="F620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57F82"/>
    <w:multiLevelType w:val="hybridMultilevel"/>
    <w:tmpl w:val="F1B68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E2628"/>
    <w:multiLevelType w:val="hybridMultilevel"/>
    <w:tmpl w:val="17D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A347F"/>
    <w:multiLevelType w:val="hybridMultilevel"/>
    <w:tmpl w:val="58E2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5"/>
  </w:num>
  <w:num w:numId="15">
    <w:abstractNumId w:val="18"/>
  </w:num>
  <w:num w:numId="16">
    <w:abstractNumId w:val="28"/>
  </w:num>
  <w:num w:numId="17">
    <w:abstractNumId w:val="31"/>
  </w:num>
  <w:num w:numId="18">
    <w:abstractNumId w:val="27"/>
  </w:num>
  <w:num w:numId="19">
    <w:abstractNumId w:val="20"/>
  </w:num>
  <w:num w:numId="20">
    <w:abstractNumId w:val="13"/>
  </w:num>
  <w:num w:numId="21">
    <w:abstractNumId w:val="19"/>
  </w:num>
  <w:num w:numId="22">
    <w:abstractNumId w:val="23"/>
  </w:num>
  <w:num w:numId="23">
    <w:abstractNumId w:val="16"/>
  </w:num>
  <w:num w:numId="24">
    <w:abstractNumId w:val="11"/>
  </w:num>
  <w:num w:numId="25">
    <w:abstractNumId w:val="10"/>
  </w:num>
  <w:num w:numId="26">
    <w:abstractNumId w:val="15"/>
  </w:num>
  <w:num w:numId="27">
    <w:abstractNumId w:val="36"/>
  </w:num>
  <w:num w:numId="28">
    <w:abstractNumId w:val="26"/>
  </w:num>
  <w:num w:numId="29">
    <w:abstractNumId w:val="32"/>
  </w:num>
  <w:num w:numId="30">
    <w:abstractNumId w:val="22"/>
  </w:num>
  <w:num w:numId="31">
    <w:abstractNumId w:val="17"/>
  </w:num>
  <w:num w:numId="32">
    <w:abstractNumId w:val="21"/>
  </w:num>
  <w:num w:numId="33">
    <w:abstractNumId w:val="12"/>
  </w:num>
  <w:num w:numId="34">
    <w:abstractNumId w:val="14"/>
  </w:num>
  <w:num w:numId="35">
    <w:abstractNumId w:val="30"/>
  </w:num>
  <w:num w:numId="36">
    <w:abstractNumId w:val="34"/>
  </w:num>
  <w:num w:numId="37">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39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3EB"/>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67CE3"/>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9649"/>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01/jama.2021.8381" TargetMode="External"/><Relationship Id="rId26" Type="http://schemas.openxmlformats.org/officeDocument/2006/relationships/hyperlink" Target="https://www.safetyandquality.gov.au/our-work/partnering-consumers" TargetMode="External"/><Relationship Id="rId39" Type="http://schemas.openxmlformats.org/officeDocument/2006/relationships/hyperlink" Target="https://healthstandards.org/integratedcare/" TargetMode="External"/><Relationship Id="rId21" Type="http://schemas.openxmlformats.org/officeDocument/2006/relationships/hyperlink" Target="http://www.safetyandquality.gov.au/fourth-atlas-2021" TargetMode="External"/><Relationship Id="rId34" Type="http://schemas.openxmlformats.org/officeDocument/2006/relationships/hyperlink" Target="https://www.bettersafercare.vic.gov.au/clinical-guidance/maternity/homebirth" TargetMode="External"/><Relationship Id="rId42" Type="http://schemas.openxmlformats.org/officeDocument/2006/relationships/hyperlink" Target="https://www.safetyandquality.gov.au/publications-and-resources/resource-library/covid-19-aged-care-staff-infection-prevention-and-control-precautions-poster" TargetMode="External"/><Relationship Id="rId47" Type="http://schemas.openxmlformats.org/officeDocument/2006/relationships/hyperlink" Target="https://www.safetyandquality.gov.au/our-work/cognitive-impairment/cognitive-impairment-and-covid-19" TargetMode="External"/><Relationship Id="rId50" Type="http://schemas.openxmlformats.org/officeDocument/2006/relationships/image" Target="media/image4.png"/><Relationship Id="rId55" Type="http://schemas.openxmlformats.org/officeDocument/2006/relationships/hyperlink" Target="https://www.safetyandquality.gov.au/publications-and-resources/resource-library/covid-19-and-face-masks-information-consumer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hhi.southrock.com/" TargetMode="External"/><Relationship Id="rId20" Type="http://schemas.openxmlformats.org/officeDocument/2006/relationships/hyperlink" Target="https://doi.org/10.1111/ajo.13406" TargetMode="External"/><Relationship Id="rId29" Type="http://schemas.openxmlformats.org/officeDocument/2006/relationships/hyperlink" Target="https://doi.org/10.1016/j.jcjq.2021.05.008" TargetMode="External"/><Relationship Id="rId41" Type="http://schemas.openxmlformats.org/officeDocument/2006/relationships/hyperlink" Target="https://www.safetyandquality.gov.au/covid-19" TargetMode="External"/><Relationship Id="rId54" Type="http://schemas.openxmlformats.org/officeDocument/2006/relationships/hyperlink" Target="https://www.safetyandquality.gov.au/faqs-community-use-face-mask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3/intqhc/mzab093" TargetMode="External"/><Relationship Id="rId32" Type="http://schemas.openxmlformats.org/officeDocument/2006/relationships/hyperlink" Target="https://www.bettersafercare.vic.gov.au/" TargetMode="External"/><Relationship Id="rId37" Type="http://schemas.openxmlformats.org/officeDocument/2006/relationships/hyperlink" Target="https://effectivehealthcare.ahrq.gov/" TargetMode="External"/><Relationship Id="rId40" Type="http://schemas.openxmlformats.org/officeDocument/2006/relationships/image" Target="media/image2.png"/><Relationship Id="rId45" Type="http://schemas.openxmlformats.org/officeDocument/2006/relationships/hyperlink" Target="https://www.safetyandquality.gov.au/publications-and-resources/resource-library/infection-prevention-and-control-covid-19-personal-protective-equipment" TargetMode="External"/><Relationship Id="rId53" Type="http://schemas.openxmlformats.org/officeDocument/2006/relationships/hyperlink" Target="https://www.safetyandquality.gov.au/node/5725" TargetMode="External"/><Relationship Id="rId58"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nhhi.southrock.com/" TargetMode="External"/><Relationship Id="rId23" Type="http://schemas.openxmlformats.org/officeDocument/2006/relationships/hyperlink" Target="https://www.safetyandquality.gov.au/our-work/partnering-consumers/informed-consent" TargetMode="External"/><Relationship Id="rId28" Type="http://schemas.openxmlformats.org/officeDocument/2006/relationships/hyperlink" Target="https://doi.org/10.1177%2F25160435211026125" TargetMode="External"/><Relationship Id="rId36" Type="http://schemas.openxmlformats.org/officeDocument/2006/relationships/hyperlink" Target="https://www.cec.health.nsw.gov.au/improve-quality/quality-improvement-toolkits"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hyperlink" Target="https://www.safetyandquality.gov.au/sites/default/files/2020-07/covid-19_and_face_masks_-_information_for_consumers.pdf" TargetMode="External"/><Relationship Id="rId61"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71/AH20237" TargetMode="External"/><Relationship Id="rId31" Type="http://schemas.openxmlformats.org/officeDocument/2006/relationships/hyperlink" Target="https://academic.oup.com/intqhc/advance-articles" TargetMode="External"/><Relationship Id="rId44" Type="http://schemas.openxmlformats.org/officeDocument/2006/relationships/hyperlink" Target="http://www.safetyandquality.gov.au/environmental-cleaning" TargetMode="External"/><Relationship Id="rId52" Type="http://schemas.openxmlformats.org/officeDocument/2006/relationships/hyperlink" Target="https://www.safetyandquality.gov.au/node/5724" TargetMode="External"/><Relationship Id="rId60"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7/s11673-021-10113-3" TargetMode="External"/><Relationship Id="rId27" Type="http://schemas.openxmlformats.org/officeDocument/2006/relationships/hyperlink" Target="https://doi.org/10.1093/intqhc/mzab092"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bettersafercare.vic.gov.au/clinical-guidance/maternity/water-for-labour-and-birth" TargetMode="External"/><Relationship Id="rId43" Type="http://schemas.openxmlformats.org/officeDocument/2006/relationships/image" Target="media/image3.png"/><Relationship Id="rId48" Type="http://schemas.openxmlformats.org/officeDocument/2006/relationships/hyperlink" Target="https://www.safetyandquality.gov.au/publications-and-resources/resource-library/break-chain-poster-a3" TargetMode="External"/><Relationship Id="rId56" Type="http://schemas.openxmlformats.org/officeDocument/2006/relationships/hyperlink" Target="https://www.safetyandquality.gov.au/wearing-face-masks-community"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elective-surgery-and-infection-prevention-and-control-precaution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doi.org/10.1001/jama.2021.8608" TargetMode="External"/><Relationship Id="rId25" Type="http://schemas.openxmlformats.org/officeDocument/2006/relationships/hyperlink" Target="https://doi.org/10.1177%2F13558196211029323" TargetMode="External"/><Relationship Id="rId33" Type="http://schemas.openxmlformats.org/officeDocument/2006/relationships/hyperlink" Target="https://www.bettersafercare.vic.gov.au/clinical-guidance/neonatal/infant-safe-sleeping" TargetMode="External"/><Relationship Id="rId38" Type="http://schemas.openxmlformats.org/officeDocument/2006/relationships/hyperlink" Target="https://effectivehealthcare.ahrq.gov/products/breast-reconstruction-mastectomy/research" TargetMode="External"/><Relationship Id="rId46" Type="http://schemas.openxmlformats.org/officeDocument/2006/relationships/hyperlink" Target="https://www.safetyandquality.gov.au/publications-and-resources/resource-library/covid-19-infection-prevention-and-control-risk-management-guidance" TargetMode="External"/><Relationship Id="rId59" Type="http://schemas.openxmlformats.org/officeDocument/2006/relationships/hyperlink" Target="https://covid19evidenc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E597-FC78-4C8C-B25B-277ED9C0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Pages>
  <Words>3805</Words>
  <Characters>24429</Characters>
  <Application>Microsoft Office Word</Application>
  <DocSecurity>0</DocSecurity>
  <Lines>479</Lines>
  <Paragraphs>209</Paragraphs>
  <ScaleCrop>false</ScaleCrop>
  <HeadingPairs>
    <vt:vector size="2" baseType="variant">
      <vt:variant>
        <vt:lpstr>Title</vt:lpstr>
      </vt:variant>
      <vt:variant>
        <vt:i4>1</vt:i4>
      </vt:variant>
    </vt:vector>
  </HeadingPairs>
  <TitlesOfParts>
    <vt:vector size="1" baseType="lpstr">
      <vt:lpstr>On the Radar Issue 520</vt:lpstr>
    </vt:vector>
  </TitlesOfParts>
  <Company>ACSQHC</Company>
  <LinksUpToDate>false</LinksUpToDate>
  <CharactersWithSpaces>28025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520</dc:title>
  <dc:subject/>
  <dc:creator>Dr Niall Johnson</dc:creator>
  <cp:keywords>On the Radar</cp:keywords>
  <dc:description/>
  <cp:lastModifiedBy>Johnson, Niall</cp:lastModifiedBy>
  <cp:revision>14</cp:revision>
  <cp:lastPrinted>2018-03-02T02:34:00Z</cp:lastPrinted>
  <dcterms:created xsi:type="dcterms:W3CDTF">2021-07-11T22:01:00Z</dcterms:created>
  <dcterms:modified xsi:type="dcterms:W3CDTF">2021-07-16T02:53:00Z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