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F4" w:rsidRDefault="00B24DF4" w:rsidP="009424A5">
      <w:bookmarkStart w:id="0" w:name="_Toc476822632"/>
      <w:bookmarkStart w:id="1" w:name="_Toc476822653"/>
      <w:bookmarkStart w:id="2" w:name="_GoBack"/>
      <w:bookmarkEnd w:id="2"/>
      <w:r w:rsidRPr="008A251F">
        <w:rPr>
          <w:rFonts w:eastAsiaTheme="majorEastAsia"/>
          <w:noProof/>
          <w:lang w:val="en-US" w:eastAsia="en-US"/>
        </w:rPr>
        <w:drawing>
          <wp:inline distT="0" distB="0" distL="0" distR="0" wp14:anchorId="1C9F89C6" wp14:editId="2F752C80">
            <wp:extent cx="4335880" cy="612000"/>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0"/>
      <w:bookmarkEnd w:id="1"/>
    </w:p>
    <w:p w:rsidR="00BC07E4" w:rsidRDefault="00BC07E4" w:rsidP="00BC07E4">
      <w:pPr>
        <w:rPr>
          <w:rFonts w:eastAsiaTheme="majorEastAsia"/>
          <w:highlight w:val="yellow"/>
        </w:rPr>
      </w:pPr>
      <w:r w:rsidRPr="0091137C">
        <w:rPr>
          <w:rFonts w:eastAsiaTheme="majorEastAsia"/>
        </w:rPr>
        <w:t xml:space="preserve">TRIM: </w:t>
      </w:r>
      <w:r w:rsidR="00C84B34" w:rsidRPr="00C84B34">
        <w:rPr>
          <w:rFonts w:eastAsiaTheme="majorEastAsia"/>
        </w:rPr>
        <w:t>D17-49576</w:t>
      </w:r>
    </w:p>
    <w:p w:rsidR="00E06743" w:rsidRDefault="00E06743" w:rsidP="009424A5">
      <w:pPr>
        <w:pStyle w:val="PublicationDate"/>
      </w:pPr>
    </w:p>
    <w:p w:rsidR="00E06743" w:rsidRDefault="00E06743" w:rsidP="009424A5">
      <w:pPr>
        <w:pStyle w:val="PublicationDate"/>
      </w:pPr>
    </w:p>
    <w:p w:rsidR="000B0274" w:rsidRDefault="0028516A" w:rsidP="009424A5">
      <w:pPr>
        <w:pStyle w:val="PublicationDate"/>
      </w:pPr>
      <w:r>
        <w:t>March 2018</w:t>
      </w:r>
    </w:p>
    <w:p w:rsidR="000B0274" w:rsidRPr="00CB1CC0" w:rsidRDefault="00C84B34" w:rsidP="009424A5">
      <w:pPr>
        <w:pStyle w:val="Title"/>
      </w:pPr>
      <w:r w:rsidRPr="00CB1CC0">
        <w:rPr>
          <w:i/>
        </w:rPr>
        <w:t>Clostridium difficile</w:t>
      </w:r>
      <w:r w:rsidRPr="00CB1CC0">
        <w:t xml:space="preserve"> infection </w:t>
      </w:r>
    </w:p>
    <w:p w:rsidR="000B0274" w:rsidRPr="003C02C5" w:rsidRDefault="00C84B34" w:rsidP="009424A5">
      <w:pPr>
        <w:pStyle w:val="Subheading"/>
      </w:pPr>
      <w:r>
        <w:t xml:space="preserve">2016 </w:t>
      </w:r>
      <w:r w:rsidR="00DF35F7">
        <w:t xml:space="preserve">Data </w:t>
      </w:r>
      <w:r>
        <w:t xml:space="preserve">Snapshot </w:t>
      </w:r>
    </w:p>
    <w:p w:rsidR="0061629C" w:rsidRDefault="0061629C" w:rsidP="009424A5">
      <w:pPr>
        <w:pStyle w:val="Heading1"/>
      </w:pPr>
    </w:p>
    <w:p w:rsidR="0061629C" w:rsidRDefault="0061629C" w:rsidP="009424A5">
      <w:pPr>
        <w:pStyle w:val="Heading1"/>
      </w:pPr>
    </w:p>
    <w:p w:rsidR="00A906F9" w:rsidRDefault="00A906F9" w:rsidP="00A906F9"/>
    <w:p w:rsidR="00A906F9" w:rsidRDefault="00A906F9" w:rsidP="00A906F9"/>
    <w:p w:rsidR="00A906F9" w:rsidRDefault="00A906F9" w:rsidP="00A906F9"/>
    <w:p w:rsidR="00A906F9" w:rsidRDefault="00A906F9" w:rsidP="00A906F9"/>
    <w:p w:rsidR="00A906F9" w:rsidRDefault="00A906F9" w:rsidP="00A906F9"/>
    <w:p w:rsidR="00A906F9" w:rsidRDefault="00A906F9" w:rsidP="00A906F9"/>
    <w:p w:rsidR="00A906F9" w:rsidRDefault="00A906F9" w:rsidP="00A906F9"/>
    <w:p w:rsidR="00A906F9" w:rsidRDefault="00A906F9" w:rsidP="00A906F9"/>
    <w:p w:rsidR="00A906F9" w:rsidRDefault="00A906F9" w:rsidP="00A906F9"/>
    <w:p w:rsidR="00A906F9" w:rsidRDefault="00A906F9" w:rsidP="00A906F9"/>
    <w:p w:rsidR="00A906F9" w:rsidRDefault="00A906F9" w:rsidP="00A906F9"/>
    <w:p w:rsidR="00A906F9" w:rsidRDefault="00A906F9" w:rsidP="00A906F9"/>
    <w:p w:rsidR="00A906F9" w:rsidRDefault="00A906F9" w:rsidP="00A906F9"/>
    <w:p w:rsidR="00A906F9" w:rsidRDefault="00A906F9" w:rsidP="00A906F9"/>
    <w:p w:rsidR="00A906F9" w:rsidRDefault="00A906F9" w:rsidP="00A906F9"/>
    <w:p w:rsidR="00A906F9" w:rsidRDefault="00A906F9" w:rsidP="00A906F9"/>
    <w:p w:rsidR="00A906F9" w:rsidRPr="009A007B" w:rsidRDefault="00A906F9" w:rsidP="00A906F9">
      <w:r w:rsidRPr="00B47076">
        <w:t>Published by the Australian Commission on Safety and Quality in Health Care</w:t>
      </w:r>
      <w:r>
        <w:br/>
        <w:t>Level 5, 255 Elizabeth Street, Sydney NSW 2000</w:t>
      </w:r>
    </w:p>
    <w:p w:rsidR="00A906F9" w:rsidRPr="009A007B" w:rsidRDefault="00A906F9" w:rsidP="00A906F9">
      <w:r w:rsidRPr="00B47076">
        <w:t>Phone: (02) 9126 3600</w:t>
      </w:r>
    </w:p>
    <w:p w:rsidR="00A906F9" w:rsidRPr="00A77349" w:rsidRDefault="00A906F9" w:rsidP="00A906F9">
      <w:pPr>
        <w:rPr>
          <w:rFonts w:ascii="Times New Roman" w:hAnsi="Times New Roman"/>
          <w:snapToGrid w:val="0"/>
          <w:color w:val="000000"/>
          <w:w w:val="0"/>
          <w:sz w:val="0"/>
          <w:szCs w:val="0"/>
          <w:highlight w:val="yellow"/>
          <w:u w:color="000000"/>
          <w:bdr w:val="none" w:sz="0" w:space="0" w:color="000000"/>
          <w:shd w:val="clear" w:color="000000" w:fill="000000"/>
          <w:lang w:eastAsia="x-none" w:bidi="x-none"/>
        </w:rPr>
      </w:pPr>
      <w:r w:rsidRPr="00B47076">
        <w:t xml:space="preserve">Email: mail@safetyandquality.gov.au </w:t>
      </w:r>
      <w:r>
        <w:br/>
      </w:r>
      <w:r w:rsidRPr="00B47076">
        <w:t>Website: www.safetyandqu</w:t>
      </w:r>
      <w:r w:rsidRPr="00A77349">
        <w:t>ality.gov.au</w:t>
      </w:r>
      <w:r w:rsidRPr="00A77349">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A906F9" w:rsidRPr="009A007B" w:rsidRDefault="00A906F9" w:rsidP="00A906F9">
      <w:r w:rsidRPr="00A77349">
        <w:t xml:space="preserve">ISBN: </w:t>
      </w:r>
      <w:r w:rsidR="000774A2" w:rsidRPr="000774A2">
        <w:t>978-1-922563-24-8        </w:t>
      </w:r>
      <w:r>
        <w:br/>
      </w:r>
    </w:p>
    <w:p w:rsidR="00A906F9" w:rsidRPr="009A007B" w:rsidRDefault="00A906F9" w:rsidP="00A906F9">
      <w:r w:rsidRPr="00B47076">
        <w:t xml:space="preserve">© Australian Commission on Safety and Quality in Health Care </w:t>
      </w:r>
      <w:r w:rsidR="000774A2">
        <w:t>2018</w:t>
      </w:r>
    </w:p>
    <w:p w:rsidR="00A906F9" w:rsidRPr="00EF5C37" w:rsidRDefault="00A906F9" w:rsidP="00A906F9">
      <w:r w:rsidRPr="00EF5C37">
        <w:lastRenderedPageBreak/>
        <w:t xml:space="preserve">All material and work produced by the Australian Commission on Safety and Quality in Health Care (the Commission) is protected by copyright. The Commission reserves the right to set out the terms and conditions for the use of such material. </w:t>
      </w:r>
    </w:p>
    <w:p w:rsidR="00A906F9" w:rsidRPr="00EF5C37" w:rsidRDefault="00A906F9" w:rsidP="00A906F9">
      <w:r w:rsidRPr="00EF5C37">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rsidR="00A906F9" w:rsidRPr="00EF5C37" w:rsidRDefault="00A906F9" w:rsidP="00A906F9">
      <w:pPr>
        <w:rPr>
          <w:u w:val="single"/>
        </w:rPr>
      </w:pPr>
      <w:r w:rsidRPr="00EF5C37">
        <w:t>With the exception of any material protected by a trademark, any content provided by third parties and where otherwise noted, all material presented in this publication is licensed under a </w:t>
      </w:r>
      <w:hyperlink r:id="rId9" w:history="1">
        <w:r w:rsidRPr="00EF5C37">
          <w:rPr>
            <w:rStyle w:val="Hyperlink"/>
          </w:rPr>
          <w:t>Creative Commons Attribution–NonCommercial–NoDerivatives 4.0 International licence</w:t>
        </w:r>
      </w:hyperlink>
      <w:r w:rsidRPr="00EF5C37">
        <w:rPr>
          <w:u w:val="single"/>
        </w:rPr>
        <w:t>.</w:t>
      </w:r>
    </w:p>
    <w:p w:rsidR="00A906F9" w:rsidRPr="00EF5C37" w:rsidRDefault="00A906F9" w:rsidP="00A906F9">
      <w:r>
        <w:rPr>
          <w:noProof/>
          <w:lang w:val="en-US" w:eastAsia="en-US"/>
        </w:rPr>
        <w:drawing>
          <wp:inline distT="0" distB="0" distL="0" distR="0" wp14:anchorId="604376E4" wp14:editId="1734FA6C">
            <wp:extent cx="859221" cy="298210"/>
            <wp:effectExtent l="0" t="0" r="0" b="6985"/>
            <wp:docPr id="6" name="Picture 6" descr="\\central.health\dfsuserenv\Users\User_11\cresad\Desktop\CC BY-NC-ND 3 large.png" title="Creative Commons Attribution–NonCommercial–NoDerivatives 4.0 International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1\cresad\Desktop\CC BY-NC-ND 3 larg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619" cy="298348"/>
                    </a:xfrm>
                    <a:prstGeom prst="rect">
                      <a:avLst/>
                    </a:prstGeom>
                    <a:noFill/>
                    <a:ln>
                      <a:noFill/>
                    </a:ln>
                  </pic:spPr>
                </pic:pic>
              </a:graphicData>
            </a:graphic>
          </wp:inline>
        </w:drawing>
      </w:r>
    </w:p>
    <w:p w:rsidR="00A906F9" w:rsidRPr="00EF5C37" w:rsidRDefault="00A906F9" w:rsidP="00A906F9">
      <w:r w:rsidRPr="00EF5C37">
        <w:t xml:space="preserve">Enquiries about the licence and any use of this publication are welcome and can be sent to </w:t>
      </w:r>
      <w:hyperlink r:id="rId11" w:history="1">
        <w:r w:rsidRPr="00EF5C37">
          <w:rPr>
            <w:rStyle w:val="Hyperlink"/>
          </w:rPr>
          <w:t>communications@safetyandquality.gov.au</w:t>
        </w:r>
      </w:hyperlink>
      <w:r w:rsidRPr="00EF5C37">
        <w:t>.</w:t>
      </w:r>
    </w:p>
    <w:p w:rsidR="00A906F9" w:rsidRPr="00EF5C37" w:rsidRDefault="00A906F9" w:rsidP="00A906F9">
      <w:r w:rsidRPr="00EF5C37">
        <w:t xml:space="preserve">The Commission’s preference is that you attribute this publication (and any material sourced from it) using the following citation: </w:t>
      </w:r>
    </w:p>
    <w:p w:rsidR="00A906F9" w:rsidRPr="009A007B" w:rsidRDefault="00A906F9" w:rsidP="00A906F9"/>
    <w:p w:rsidR="00A906F9" w:rsidRPr="000774A2" w:rsidRDefault="00A906F9" w:rsidP="00A906F9">
      <w:pPr>
        <w:ind w:left="720"/>
      </w:pPr>
      <w:r w:rsidRPr="000774A2">
        <w:t xml:space="preserve">Australian Commission on Safety and Quality in Health Care. </w:t>
      </w:r>
      <w:r w:rsidR="000774A2" w:rsidRPr="000774A2">
        <w:t xml:space="preserve">Clostridium difficile infection 2016 Data Snapshot. </w:t>
      </w:r>
      <w:r w:rsidRPr="000774A2">
        <w:t xml:space="preserve">Sydney: ACSQHC; </w:t>
      </w:r>
      <w:r w:rsidR="000774A2" w:rsidRPr="000774A2">
        <w:t>2018</w:t>
      </w:r>
      <w:r w:rsidRPr="000774A2">
        <w:t xml:space="preserve"> </w:t>
      </w:r>
      <w:r w:rsidRPr="000774A2">
        <w:br/>
      </w:r>
    </w:p>
    <w:p w:rsidR="00A906F9" w:rsidRDefault="00A906F9" w:rsidP="00A906F9">
      <w:pPr>
        <w:rPr>
          <w:rStyle w:val="Strong"/>
        </w:rPr>
      </w:pPr>
    </w:p>
    <w:p w:rsidR="00A906F9" w:rsidRPr="00EF5C37" w:rsidRDefault="00A906F9" w:rsidP="00A906F9">
      <w:pPr>
        <w:rPr>
          <w:b/>
          <w:bCs/>
        </w:rPr>
      </w:pPr>
      <w:r w:rsidRPr="00EF5C37">
        <w:rPr>
          <w:b/>
          <w:bCs/>
        </w:rPr>
        <w:t>Disclaimer</w:t>
      </w:r>
    </w:p>
    <w:p w:rsidR="00A906F9" w:rsidRPr="00EF5C37" w:rsidRDefault="00A906F9" w:rsidP="00A906F9">
      <w:pPr>
        <w:rPr>
          <w:bCs/>
        </w:rPr>
      </w:pPr>
      <w:r w:rsidRPr="00EF5C37">
        <w:rPr>
          <w:bCs/>
        </w:rPr>
        <w:t xml:space="preserve">The content of this document is published in good faith by the Commission for information purposes. The document is not intended to provide guidance on particular </w:t>
      </w:r>
      <w:r w:rsidRPr="00EF5C37">
        <w:rPr>
          <w:bCs/>
        </w:rPr>
        <w:lastRenderedPageBreak/>
        <w:t xml:space="preserve">healthcare choices. You should contact your health care provider for information or advice on particular healthcare choices. </w:t>
      </w:r>
    </w:p>
    <w:p w:rsidR="00A906F9" w:rsidRPr="00EF5C37" w:rsidRDefault="00A906F9" w:rsidP="00A906F9">
      <w:pPr>
        <w:rPr>
          <w:bCs/>
          <w:i/>
          <w:smallCaps/>
        </w:rPr>
      </w:pPr>
      <w:r w:rsidRPr="00EF5C37">
        <w:rPr>
          <w:bCs/>
        </w:rPr>
        <w:t xml:space="preserve">The Commission does not accept any legal liability for any injury, loss or damage incurred by the use of, or reliance on, this document. </w:t>
      </w:r>
      <w:r w:rsidRPr="00EF5C37">
        <w:t xml:space="preserve"> </w:t>
      </w:r>
    </w:p>
    <w:p w:rsidR="00A906F9" w:rsidRPr="00A906F9" w:rsidRDefault="00A906F9" w:rsidP="00A906F9">
      <w:r>
        <w:br w:type="page"/>
      </w:r>
    </w:p>
    <w:p w:rsidR="009B64E3" w:rsidRDefault="00B93784" w:rsidP="009424A5">
      <w:pPr>
        <w:pStyle w:val="Heading1"/>
      </w:pPr>
      <w:r>
        <w:lastRenderedPageBreak/>
        <w:t xml:space="preserve">Background </w:t>
      </w:r>
    </w:p>
    <w:p w:rsidR="003778DB" w:rsidRDefault="00D02EB5" w:rsidP="009424A5">
      <w:r>
        <w:t>T</w:t>
      </w:r>
      <w:r w:rsidR="003778DB">
        <w:t xml:space="preserve">he usefulness of patient administrative data for monitoring the national </w:t>
      </w:r>
      <w:r>
        <w:t xml:space="preserve">prevalence </w:t>
      </w:r>
      <w:r w:rsidR="003778DB">
        <w:t xml:space="preserve">of </w:t>
      </w:r>
      <w:r w:rsidR="003778DB" w:rsidRPr="003778DB">
        <w:rPr>
          <w:i/>
        </w:rPr>
        <w:t>Clostridium difficile</w:t>
      </w:r>
      <w:r>
        <w:t xml:space="preserve"> infection (CDI) was previously established by the Australian Commission on Safety and Quality (the ‘Commission’) in 2017</w:t>
      </w:r>
      <w:r w:rsidR="00DF35F7">
        <w:t xml:space="preserve"> from data collected between 2011 and 2016</w:t>
      </w:r>
      <w:r>
        <w:t xml:space="preserve">. This earlier work found that administrative data is demonstrably sufficient for informing on the relative increases and decreases in CDI prevalence </w:t>
      </w:r>
      <w:r w:rsidR="00AB11BF">
        <w:t xml:space="preserve">at a national level. </w:t>
      </w:r>
      <w:r w:rsidR="0061629C">
        <w:t xml:space="preserve">In October 2017, the </w:t>
      </w:r>
      <w:r w:rsidR="00AB11BF">
        <w:t xml:space="preserve">Commission’s </w:t>
      </w:r>
      <w:r w:rsidR="0061629C">
        <w:t>Inter Jurisdictional Committee supported this mechanism be used by the Commission to annually monitor CDI in Australia.</w:t>
      </w:r>
    </w:p>
    <w:p w:rsidR="00CB1CC0" w:rsidRPr="00692E7A" w:rsidRDefault="0010471F" w:rsidP="00CB1CC0">
      <w:r>
        <w:t xml:space="preserve">This </w:t>
      </w:r>
      <w:r w:rsidR="00CB1CC0">
        <w:t xml:space="preserve">Snapshot reports on </w:t>
      </w:r>
      <w:r w:rsidR="00AB11BF">
        <w:t xml:space="preserve">the prevalence of </w:t>
      </w:r>
      <w:r w:rsidR="00CB1CC0">
        <w:t xml:space="preserve">CDI in Australia </w:t>
      </w:r>
      <w:r w:rsidR="00AB11BF">
        <w:t>during</w:t>
      </w:r>
      <w:r w:rsidR="00CB1CC0">
        <w:t xml:space="preserve"> 2016</w:t>
      </w:r>
      <w:r w:rsidR="00AB11BF">
        <w:t>.</w:t>
      </w:r>
      <w:r w:rsidR="00692E7A">
        <w:t xml:space="preserve"> Th</w:t>
      </w:r>
      <w:r w:rsidR="00B019A6">
        <w:t>e</w:t>
      </w:r>
      <w:r w:rsidR="00692E7A">
        <w:t xml:space="preserve"> analysis uses administrative data that is collected in the Admitted Patient Care National Minimum Data Set (APC NMDS) and </w:t>
      </w:r>
      <w:r w:rsidR="00DF35F7">
        <w:t>uses separations</w:t>
      </w:r>
      <w:r w:rsidR="00692E7A">
        <w:t xml:space="preserve"> for admitted patients in Australian public hospitals only. No exclusion or filtering criteria has been applied to the APC NMDS. Data are based on the state or territory of the hospital that collected the data, not the state or territory where the patient resides. For the purposes of this analysis,</w:t>
      </w:r>
      <w:r w:rsidR="00C83543">
        <w:t xml:space="preserve"> the</w:t>
      </w:r>
      <w:r w:rsidR="00692E7A">
        <w:t xml:space="preserve"> diagnosis code A04</w:t>
      </w:r>
      <w:r w:rsidR="0010607D">
        <w:t>.</w:t>
      </w:r>
      <w:r w:rsidR="00692E7A">
        <w:t xml:space="preserve">7 </w:t>
      </w:r>
      <w:r w:rsidR="00692E7A">
        <w:rPr>
          <w:i/>
        </w:rPr>
        <w:t>Gastroenterocolitis</w:t>
      </w:r>
      <w:r w:rsidR="00692E7A">
        <w:t xml:space="preserve"> </w:t>
      </w:r>
      <w:r w:rsidR="00692E7A">
        <w:rPr>
          <w:i/>
        </w:rPr>
        <w:t xml:space="preserve">caused by Clostridium difficile </w:t>
      </w:r>
      <w:r w:rsidR="00692E7A">
        <w:t xml:space="preserve">was used to identify separations affected by CDI. </w:t>
      </w:r>
    </w:p>
    <w:p w:rsidR="00CB733F" w:rsidRDefault="00B93784" w:rsidP="009424A5">
      <w:pPr>
        <w:pStyle w:val="Heading2"/>
      </w:pPr>
      <w:r>
        <w:lastRenderedPageBreak/>
        <w:t>Prevalence</w:t>
      </w:r>
      <w:r w:rsidR="00CB1CC0">
        <w:t xml:space="preserve"> of CDI in Australia</w:t>
      </w:r>
    </w:p>
    <w:p w:rsidR="00653095" w:rsidRPr="00810494" w:rsidRDefault="00653095" w:rsidP="00653095">
      <w:pPr>
        <w:pStyle w:val="Caption"/>
        <w:keepNext/>
        <w:rPr>
          <w:color w:val="auto"/>
          <w:sz w:val="22"/>
        </w:rPr>
      </w:pPr>
      <w:r w:rsidRPr="00810494">
        <w:rPr>
          <w:color w:val="auto"/>
          <w:sz w:val="22"/>
        </w:rPr>
        <w:t xml:space="preserve">Figure </w:t>
      </w:r>
      <w:r w:rsidRPr="00810494">
        <w:rPr>
          <w:color w:val="auto"/>
          <w:sz w:val="22"/>
        </w:rPr>
        <w:fldChar w:fldCharType="begin"/>
      </w:r>
      <w:r w:rsidRPr="00810494">
        <w:rPr>
          <w:color w:val="auto"/>
          <w:sz w:val="22"/>
        </w:rPr>
        <w:instrText xml:space="preserve"> SEQ Figure \* ARABIC </w:instrText>
      </w:r>
      <w:r w:rsidRPr="00810494">
        <w:rPr>
          <w:color w:val="auto"/>
          <w:sz w:val="22"/>
        </w:rPr>
        <w:fldChar w:fldCharType="separate"/>
      </w:r>
      <w:r w:rsidR="001C4E22">
        <w:rPr>
          <w:noProof/>
          <w:color w:val="auto"/>
          <w:sz w:val="22"/>
        </w:rPr>
        <w:t>1</w:t>
      </w:r>
      <w:r w:rsidRPr="00810494">
        <w:rPr>
          <w:color w:val="auto"/>
          <w:sz w:val="22"/>
        </w:rPr>
        <w:fldChar w:fldCharType="end"/>
      </w:r>
      <w:r w:rsidRPr="00810494">
        <w:rPr>
          <w:color w:val="auto"/>
          <w:sz w:val="22"/>
        </w:rPr>
        <w:t>. A04</w:t>
      </w:r>
      <w:r w:rsidR="0010607D">
        <w:rPr>
          <w:color w:val="auto"/>
          <w:sz w:val="22"/>
        </w:rPr>
        <w:t>.</w:t>
      </w:r>
      <w:r w:rsidRPr="00810494">
        <w:rPr>
          <w:color w:val="auto"/>
          <w:sz w:val="22"/>
        </w:rPr>
        <w:t xml:space="preserve">7 diagnoses in </w:t>
      </w:r>
      <w:r w:rsidR="005E49F2">
        <w:rPr>
          <w:color w:val="auto"/>
          <w:sz w:val="22"/>
        </w:rPr>
        <w:t xml:space="preserve">all </w:t>
      </w:r>
      <w:r w:rsidRPr="00810494">
        <w:rPr>
          <w:color w:val="auto"/>
          <w:sz w:val="22"/>
        </w:rPr>
        <w:t>Australia</w:t>
      </w:r>
      <w:r w:rsidR="00A82872">
        <w:rPr>
          <w:color w:val="auto"/>
          <w:sz w:val="22"/>
        </w:rPr>
        <w:t xml:space="preserve"> p</w:t>
      </w:r>
      <w:r w:rsidR="005E49F2">
        <w:rPr>
          <w:color w:val="auto"/>
          <w:sz w:val="22"/>
        </w:rPr>
        <w:t>ublic hospitals (n=696)</w:t>
      </w:r>
      <w:r w:rsidRPr="00810494">
        <w:rPr>
          <w:color w:val="auto"/>
          <w:sz w:val="22"/>
        </w:rPr>
        <w:t>, 2016</w:t>
      </w:r>
    </w:p>
    <w:p w:rsidR="00653095" w:rsidRDefault="00653095" w:rsidP="00653095">
      <w:r w:rsidRPr="00810494">
        <w:rPr>
          <w:noProof/>
          <w:shd w:val="clear" w:color="auto" w:fill="FFFFFF" w:themeFill="background1"/>
          <w:lang w:val="en-US" w:eastAsia="en-US"/>
        </w:rPr>
        <w:drawing>
          <wp:inline distT="0" distB="0" distL="0" distR="0" wp14:anchorId="0E1198DC" wp14:editId="5421DC81">
            <wp:extent cx="6092042" cy="3598223"/>
            <wp:effectExtent l="0" t="0" r="23495" b="215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06F9" w:rsidRDefault="00A906F9" w:rsidP="00081331">
      <w:pPr>
        <w:spacing w:after="0"/>
        <w:rPr>
          <w:b/>
        </w:rPr>
      </w:pPr>
    </w:p>
    <w:p w:rsidR="00A906F9" w:rsidRDefault="00A906F9" w:rsidP="00081331">
      <w:pPr>
        <w:spacing w:after="0"/>
        <w:rPr>
          <w:b/>
        </w:rPr>
      </w:pPr>
    </w:p>
    <w:p w:rsidR="00A906F9" w:rsidRDefault="00A906F9" w:rsidP="00081331">
      <w:pPr>
        <w:spacing w:after="0"/>
        <w:rPr>
          <w:b/>
        </w:rPr>
      </w:pPr>
    </w:p>
    <w:p w:rsidR="00A906F9" w:rsidRDefault="00A906F9" w:rsidP="00081331">
      <w:pPr>
        <w:spacing w:after="0"/>
        <w:rPr>
          <w:b/>
        </w:rPr>
      </w:pPr>
    </w:p>
    <w:p w:rsidR="00A906F9" w:rsidRDefault="00A906F9" w:rsidP="00081331">
      <w:pPr>
        <w:spacing w:after="0"/>
        <w:rPr>
          <w:b/>
        </w:rPr>
      </w:pPr>
    </w:p>
    <w:p w:rsidR="00A906F9" w:rsidRDefault="00A906F9" w:rsidP="00081331">
      <w:pPr>
        <w:spacing w:after="0"/>
        <w:rPr>
          <w:b/>
        </w:rPr>
      </w:pPr>
    </w:p>
    <w:p w:rsidR="00A906F9" w:rsidRDefault="00A906F9" w:rsidP="00081331">
      <w:pPr>
        <w:spacing w:after="0"/>
        <w:rPr>
          <w:b/>
        </w:rPr>
      </w:pPr>
    </w:p>
    <w:p w:rsidR="00A906F9" w:rsidRDefault="00A906F9" w:rsidP="00081331">
      <w:pPr>
        <w:spacing w:after="0"/>
        <w:rPr>
          <w:b/>
        </w:rPr>
      </w:pPr>
    </w:p>
    <w:p w:rsidR="00081331" w:rsidRPr="00081331" w:rsidRDefault="00081331" w:rsidP="00081331">
      <w:pPr>
        <w:spacing w:after="0"/>
      </w:pPr>
      <w:r w:rsidRPr="00081331">
        <w:rPr>
          <w:b/>
        </w:rPr>
        <w:lastRenderedPageBreak/>
        <w:t xml:space="preserve">Figure </w:t>
      </w:r>
      <w:r w:rsidRPr="00081331">
        <w:rPr>
          <w:b/>
        </w:rPr>
        <w:fldChar w:fldCharType="begin"/>
      </w:r>
      <w:r w:rsidRPr="00081331">
        <w:rPr>
          <w:b/>
        </w:rPr>
        <w:instrText xml:space="preserve"> SEQ Figure \* ARABIC </w:instrText>
      </w:r>
      <w:r w:rsidRPr="00081331">
        <w:rPr>
          <w:b/>
        </w:rPr>
        <w:fldChar w:fldCharType="separate"/>
      </w:r>
      <w:r w:rsidR="001C4E22">
        <w:rPr>
          <w:b/>
          <w:noProof/>
        </w:rPr>
        <w:t>2</w:t>
      </w:r>
      <w:r w:rsidRPr="00081331">
        <w:rPr>
          <w:b/>
        </w:rPr>
        <w:fldChar w:fldCharType="end"/>
      </w:r>
      <w:r w:rsidRPr="00081331">
        <w:rPr>
          <w:b/>
        </w:rPr>
        <w:t xml:space="preserve">. Statistical process control chart for </w:t>
      </w:r>
      <w:r w:rsidR="00692E7A">
        <w:rPr>
          <w:b/>
        </w:rPr>
        <w:t>A04</w:t>
      </w:r>
      <w:r w:rsidR="0010607D">
        <w:rPr>
          <w:b/>
        </w:rPr>
        <w:t>.</w:t>
      </w:r>
      <w:r w:rsidR="00692E7A">
        <w:rPr>
          <w:b/>
        </w:rPr>
        <w:t>7</w:t>
      </w:r>
      <w:r w:rsidRPr="00081331">
        <w:rPr>
          <w:b/>
        </w:rPr>
        <w:t xml:space="preserve"> diagnoses in Australia, 2014-2016</w:t>
      </w:r>
    </w:p>
    <w:p w:rsidR="00405658" w:rsidRPr="00405658" w:rsidRDefault="00405658" w:rsidP="00405658">
      <w:r>
        <w:rPr>
          <w:noProof/>
          <w:lang w:val="en-US" w:eastAsia="en-US"/>
        </w:rPr>
        <w:drawing>
          <wp:inline distT="0" distB="0" distL="0" distR="0" wp14:anchorId="2273815B" wp14:editId="3B315810">
            <wp:extent cx="6056416" cy="3681350"/>
            <wp:effectExtent l="0" t="0" r="2095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80EDE" w:rsidRPr="00880EDE" w:rsidRDefault="00880EDE" w:rsidP="00880EDE">
      <w:pPr>
        <w:pStyle w:val="Caption"/>
        <w:keepNext/>
        <w:rPr>
          <w:color w:val="auto"/>
          <w:sz w:val="22"/>
        </w:rPr>
      </w:pPr>
      <w:r w:rsidRPr="00880EDE">
        <w:rPr>
          <w:color w:val="auto"/>
          <w:sz w:val="22"/>
        </w:rPr>
        <w:t xml:space="preserve">Table </w:t>
      </w:r>
      <w:r w:rsidRPr="00880EDE">
        <w:rPr>
          <w:color w:val="auto"/>
          <w:sz w:val="22"/>
        </w:rPr>
        <w:fldChar w:fldCharType="begin"/>
      </w:r>
      <w:r w:rsidRPr="00880EDE">
        <w:rPr>
          <w:color w:val="auto"/>
          <w:sz w:val="22"/>
        </w:rPr>
        <w:instrText xml:space="preserve"> SEQ Table \* ARABIC </w:instrText>
      </w:r>
      <w:r w:rsidRPr="00880EDE">
        <w:rPr>
          <w:color w:val="auto"/>
          <w:sz w:val="22"/>
        </w:rPr>
        <w:fldChar w:fldCharType="separate"/>
      </w:r>
      <w:r w:rsidRPr="00880EDE">
        <w:rPr>
          <w:noProof/>
          <w:color w:val="auto"/>
          <w:sz w:val="22"/>
        </w:rPr>
        <w:t>1</w:t>
      </w:r>
      <w:r w:rsidRPr="00880EDE">
        <w:rPr>
          <w:color w:val="auto"/>
          <w:sz w:val="22"/>
        </w:rPr>
        <w:fldChar w:fldCharType="end"/>
      </w:r>
      <w:r w:rsidRPr="00880EDE">
        <w:rPr>
          <w:color w:val="auto"/>
          <w:sz w:val="22"/>
        </w:rPr>
        <w:t>. Comparison of average yearly rate of CDI diagnoses</w:t>
      </w:r>
    </w:p>
    <w:tbl>
      <w:tblPr>
        <w:tblStyle w:val="TableGrid"/>
        <w:tblW w:w="0" w:type="auto"/>
        <w:tblLook w:val="04A0" w:firstRow="1" w:lastRow="0" w:firstColumn="1" w:lastColumn="0" w:noHBand="0" w:noVBand="1"/>
      </w:tblPr>
      <w:tblGrid>
        <w:gridCol w:w="766"/>
        <w:gridCol w:w="2552"/>
        <w:gridCol w:w="2976"/>
        <w:gridCol w:w="2846"/>
      </w:tblGrid>
      <w:tr w:rsidR="00081331" w:rsidTr="00D91F23">
        <w:trPr>
          <w:cnfStyle w:val="100000000000" w:firstRow="1" w:lastRow="0" w:firstColumn="0" w:lastColumn="0" w:oddVBand="0" w:evenVBand="0" w:oddHBand="0" w:evenHBand="0" w:firstRowFirstColumn="0" w:firstRowLastColumn="0" w:lastRowFirstColumn="0" w:lastRowLastColumn="0"/>
          <w:trHeight w:val="278"/>
        </w:trPr>
        <w:tc>
          <w:tcPr>
            <w:tcW w:w="766" w:type="dxa"/>
            <w:vMerge w:val="restart"/>
            <w:vAlign w:val="center"/>
          </w:tcPr>
          <w:p w:rsidR="00081331" w:rsidRPr="00A703DD" w:rsidRDefault="00081331" w:rsidP="00D91F23">
            <w:pPr>
              <w:spacing w:after="0"/>
              <w:rPr>
                <w:rFonts w:asciiTheme="minorHAnsi" w:hAnsiTheme="minorHAnsi" w:cstheme="minorHAnsi"/>
                <w:sz w:val="22"/>
              </w:rPr>
            </w:pPr>
            <w:r w:rsidRPr="00A703DD">
              <w:rPr>
                <w:rFonts w:asciiTheme="minorHAnsi" w:hAnsiTheme="minorHAnsi" w:cstheme="minorHAnsi"/>
                <w:sz w:val="22"/>
              </w:rPr>
              <w:t>Year</w:t>
            </w:r>
          </w:p>
        </w:tc>
        <w:tc>
          <w:tcPr>
            <w:tcW w:w="8374" w:type="dxa"/>
            <w:gridSpan w:val="3"/>
          </w:tcPr>
          <w:p w:rsidR="00081331" w:rsidRPr="00A703DD" w:rsidRDefault="00081331" w:rsidP="00D91F23">
            <w:pPr>
              <w:spacing w:after="0"/>
              <w:rPr>
                <w:rFonts w:asciiTheme="minorHAnsi" w:hAnsiTheme="minorHAnsi" w:cstheme="minorHAnsi"/>
                <w:sz w:val="22"/>
              </w:rPr>
            </w:pPr>
            <w:r w:rsidRPr="00A703DD">
              <w:rPr>
                <w:rFonts w:asciiTheme="minorHAnsi" w:hAnsiTheme="minorHAnsi" w:cstheme="minorHAnsi"/>
                <w:sz w:val="22"/>
              </w:rPr>
              <w:t>Average yearly rate per 10,000 bed days</w:t>
            </w:r>
          </w:p>
        </w:tc>
      </w:tr>
      <w:tr w:rsidR="00081331" w:rsidTr="00D91F23">
        <w:trPr>
          <w:trHeight w:val="136"/>
        </w:trPr>
        <w:tc>
          <w:tcPr>
            <w:tcW w:w="766" w:type="dxa"/>
            <w:vMerge/>
          </w:tcPr>
          <w:p w:rsidR="00081331" w:rsidRPr="00A703DD" w:rsidRDefault="00081331" w:rsidP="00D91F23">
            <w:pPr>
              <w:spacing w:after="0"/>
              <w:rPr>
                <w:rFonts w:asciiTheme="minorHAnsi" w:hAnsiTheme="minorHAnsi" w:cstheme="minorHAnsi"/>
                <w:sz w:val="22"/>
              </w:rPr>
            </w:pPr>
          </w:p>
        </w:tc>
        <w:tc>
          <w:tcPr>
            <w:tcW w:w="2552" w:type="dxa"/>
          </w:tcPr>
          <w:p w:rsidR="00081331" w:rsidRPr="00A703DD" w:rsidRDefault="00081331" w:rsidP="00D91F23">
            <w:pPr>
              <w:spacing w:after="0"/>
              <w:jc w:val="center"/>
              <w:rPr>
                <w:rFonts w:asciiTheme="minorHAnsi" w:hAnsiTheme="minorHAnsi" w:cstheme="minorHAnsi"/>
                <w:b/>
                <w:sz w:val="22"/>
              </w:rPr>
            </w:pPr>
            <w:r w:rsidRPr="00A703DD">
              <w:rPr>
                <w:rFonts w:asciiTheme="minorHAnsi" w:hAnsiTheme="minorHAnsi" w:cstheme="minorHAnsi"/>
                <w:b/>
                <w:sz w:val="22"/>
              </w:rPr>
              <w:t xml:space="preserve">Principal </w:t>
            </w:r>
            <w:r w:rsidR="00FB1BEE">
              <w:rPr>
                <w:rFonts w:asciiTheme="minorHAnsi" w:hAnsiTheme="minorHAnsi" w:cstheme="minorHAnsi"/>
                <w:b/>
                <w:sz w:val="22"/>
              </w:rPr>
              <w:t xml:space="preserve">A04.7 </w:t>
            </w:r>
            <w:r w:rsidRPr="00A703DD">
              <w:rPr>
                <w:rFonts w:asciiTheme="minorHAnsi" w:hAnsiTheme="minorHAnsi" w:cstheme="minorHAnsi"/>
                <w:b/>
                <w:sz w:val="22"/>
              </w:rPr>
              <w:t>diagnos</w:t>
            </w:r>
            <w:r w:rsidR="0010607D">
              <w:rPr>
                <w:rFonts w:asciiTheme="minorHAnsi" w:hAnsiTheme="minorHAnsi" w:cstheme="minorHAnsi"/>
                <w:b/>
                <w:sz w:val="22"/>
              </w:rPr>
              <w:t>is</w:t>
            </w:r>
          </w:p>
        </w:tc>
        <w:tc>
          <w:tcPr>
            <w:tcW w:w="2976" w:type="dxa"/>
          </w:tcPr>
          <w:p w:rsidR="0010607D" w:rsidRDefault="00081331" w:rsidP="00FB1BEE">
            <w:pPr>
              <w:spacing w:after="0"/>
              <w:jc w:val="center"/>
              <w:rPr>
                <w:rFonts w:asciiTheme="minorHAnsi" w:hAnsiTheme="minorHAnsi" w:cstheme="minorHAnsi"/>
                <w:b/>
                <w:sz w:val="22"/>
              </w:rPr>
            </w:pPr>
            <w:r w:rsidRPr="00A703DD">
              <w:rPr>
                <w:rFonts w:asciiTheme="minorHAnsi" w:hAnsiTheme="minorHAnsi" w:cstheme="minorHAnsi"/>
                <w:b/>
                <w:sz w:val="22"/>
              </w:rPr>
              <w:t>Additional</w:t>
            </w:r>
            <w:r w:rsidR="00FB1BEE">
              <w:rPr>
                <w:rFonts w:asciiTheme="minorHAnsi" w:hAnsiTheme="minorHAnsi" w:cstheme="minorHAnsi"/>
                <w:b/>
                <w:sz w:val="22"/>
              </w:rPr>
              <w:t xml:space="preserve"> A04.7 </w:t>
            </w:r>
          </w:p>
          <w:p w:rsidR="00081331" w:rsidRPr="00A703DD" w:rsidRDefault="0010607D" w:rsidP="00FB1BEE">
            <w:pPr>
              <w:spacing w:after="0"/>
              <w:jc w:val="center"/>
              <w:rPr>
                <w:rFonts w:asciiTheme="minorHAnsi" w:hAnsiTheme="minorHAnsi" w:cstheme="minorHAnsi"/>
                <w:b/>
                <w:sz w:val="22"/>
              </w:rPr>
            </w:pPr>
            <w:r>
              <w:rPr>
                <w:rFonts w:asciiTheme="minorHAnsi" w:hAnsiTheme="minorHAnsi" w:cstheme="minorHAnsi"/>
                <w:b/>
                <w:sz w:val="22"/>
              </w:rPr>
              <w:t>diagnosi</w:t>
            </w:r>
            <w:r w:rsidR="00081331" w:rsidRPr="00A703DD">
              <w:rPr>
                <w:rFonts w:asciiTheme="minorHAnsi" w:hAnsiTheme="minorHAnsi" w:cstheme="minorHAnsi"/>
                <w:b/>
                <w:sz w:val="22"/>
              </w:rPr>
              <w:t>s</w:t>
            </w:r>
          </w:p>
        </w:tc>
        <w:tc>
          <w:tcPr>
            <w:tcW w:w="2846" w:type="dxa"/>
          </w:tcPr>
          <w:p w:rsidR="00081331" w:rsidRPr="00A703DD" w:rsidRDefault="00081331" w:rsidP="00FB1BEE">
            <w:pPr>
              <w:spacing w:after="0"/>
              <w:jc w:val="center"/>
              <w:rPr>
                <w:rFonts w:asciiTheme="minorHAnsi" w:hAnsiTheme="minorHAnsi" w:cstheme="minorHAnsi"/>
                <w:b/>
                <w:sz w:val="22"/>
              </w:rPr>
            </w:pPr>
            <w:r w:rsidRPr="00A703DD">
              <w:rPr>
                <w:rFonts w:asciiTheme="minorHAnsi" w:hAnsiTheme="minorHAnsi" w:cstheme="minorHAnsi"/>
                <w:b/>
                <w:sz w:val="22"/>
              </w:rPr>
              <w:t>A</w:t>
            </w:r>
            <w:r w:rsidR="00FB1BEE">
              <w:rPr>
                <w:rFonts w:asciiTheme="minorHAnsi" w:hAnsiTheme="minorHAnsi" w:cstheme="minorHAnsi"/>
                <w:b/>
                <w:sz w:val="22"/>
              </w:rPr>
              <w:t xml:space="preserve">ny A04.7 hospital </w:t>
            </w:r>
            <w:r w:rsidR="0010607D">
              <w:rPr>
                <w:rFonts w:asciiTheme="minorHAnsi" w:hAnsiTheme="minorHAnsi" w:cstheme="minorHAnsi"/>
                <w:b/>
                <w:sz w:val="22"/>
              </w:rPr>
              <w:t>diagnosi</w:t>
            </w:r>
            <w:r w:rsidRPr="00A703DD">
              <w:rPr>
                <w:rFonts w:asciiTheme="minorHAnsi" w:hAnsiTheme="minorHAnsi" w:cstheme="minorHAnsi"/>
                <w:b/>
                <w:sz w:val="22"/>
              </w:rPr>
              <w:t>s</w:t>
            </w:r>
          </w:p>
        </w:tc>
      </w:tr>
      <w:tr w:rsidR="00081331" w:rsidTr="00D91F23">
        <w:tc>
          <w:tcPr>
            <w:tcW w:w="766" w:type="dxa"/>
          </w:tcPr>
          <w:p w:rsidR="00081331" w:rsidRPr="00A703DD" w:rsidRDefault="00081331" w:rsidP="00D91F23">
            <w:pPr>
              <w:spacing w:after="0"/>
              <w:rPr>
                <w:rFonts w:asciiTheme="minorHAnsi" w:hAnsiTheme="minorHAnsi" w:cstheme="minorHAnsi"/>
                <w:b/>
                <w:sz w:val="22"/>
              </w:rPr>
            </w:pPr>
            <w:r w:rsidRPr="00A703DD">
              <w:rPr>
                <w:rFonts w:asciiTheme="minorHAnsi" w:hAnsiTheme="minorHAnsi" w:cstheme="minorHAnsi"/>
                <w:b/>
                <w:sz w:val="22"/>
              </w:rPr>
              <w:t>2012</w:t>
            </w:r>
          </w:p>
        </w:tc>
        <w:tc>
          <w:tcPr>
            <w:tcW w:w="2552" w:type="dxa"/>
          </w:tcPr>
          <w:p w:rsidR="00081331" w:rsidRPr="00A703DD" w:rsidRDefault="00081331" w:rsidP="00D91F23">
            <w:pPr>
              <w:spacing w:after="0"/>
              <w:jc w:val="center"/>
              <w:rPr>
                <w:rFonts w:asciiTheme="minorHAnsi" w:hAnsiTheme="minorHAnsi" w:cstheme="minorHAnsi"/>
                <w:sz w:val="22"/>
              </w:rPr>
            </w:pPr>
            <w:r w:rsidRPr="00A703DD">
              <w:rPr>
                <w:rFonts w:asciiTheme="minorHAnsi" w:hAnsiTheme="minorHAnsi" w:cstheme="minorHAnsi"/>
                <w:sz w:val="22"/>
              </w:rPr>
              <w:t>1.21</w:t>
            </w:r>
          </w:p>
        </w:tc>
        <w:tc>
          <w:tcPr>
            <w:tcW w:w="2976" w:type="dxa"/>
          </w:tcPr>
          <w:p w:rsidR="00081331" w:rsidRPr="00A703DD" w:rsidRDefault="00081331" w:rsidP="00D91F23">
            <w:pPr>
              <w:spacing w:after="0"/>
              <w:jc w:val="center"/>
              <w:rPr>
                <w:rFonts w:asciiTheme="minorHAnsi" w:hAnsiTheme="minorHAnsi" w:cstheme="minorHAnsi"/>
                <w:sz w:val="22"/>
              </w:rPr>
            </w:pPr>
            <w:r w:rsidRPr="00A703DD">
              <w:rPr>
                <w:rFonts w:asciiTheme="minorHAnsi" w:hAnsiTheme="minorHAnsi" w:cstheme="minorHAnsi"/>
                <w:sz w:val="22"/>
              </w:rPr>
              <w:t>3.10</w:t>
            </w:r>
          </w:p>
        </w:tc>
        <w:tc>
          <w:tcPr>
            <w:tcW w:w="2846" w:type="dxa"/>
          </w:tcPr>
          <w:p w:rsidR="00081331" w:rsidRPr="00A703DD" w:rsidRDefault="00081331" w:rsidP="00D91F23">
            <w:pPr>
              <w:spacing w:after="0"/>
              <w:jc w:val="center"/>
              <w:rPr>
                <w:rFonts w:asciiTheme="minorHAnsi" w:hAnsiTheme="minorHAnsi" w:cstheme="minorHAnsi"/>
                <w:sz w:val="22"/>
              </w:rPr>
            </w:pPr>
            <w:r w:rsidRPr="00A703DD">
              <w:rPr>
                <w:rFonts w:asciiTheme="minorHAnsi" w:hAnsiTheme="minorHAnsi" w:cstheme="minorHAnsi"/>
                <w:sz w:val="22"/>
              </w:rPr>
              <w:t>4.30</w:t>
            </w:r>
          </w:p>
        </w:tc>
      </w:tr>
      <w:tr w:rsidR="00081331" w:rsidTr="00D91F23">
        <w:tc>
          <w:tcPr>
            <w:tcW w:w="766" w:type="dxa"/>
          </w:tcPr>
          <w:p w:rsidR="00081331" w:rsidRPr="00A703DD" w:rsidRDefault="00081331" w:rsidP="00D91F23">
            <w:pPr>
              <w:spacing w:after="0"/>
              <w:rPr>
                <w:rFonts w:asciiTheme="minorHAnsi" w:hAnsiTheme="minorHAnsi" w:cstheme="minorHAnsi"/>
                <w:b/>
                <w:sz w:val="22"/>
              </w:rPr>
            </w:pPr>
            <w:r w:rsidRPr="00A703DD">
              <w:rPr>
                <w:rFonts w:asciiTheme="minorHAnsi" w:hAnsiTheme="minorHAnsi" w:cstheme="minorHAnsi"/>
                <w:b/>
                <w:sz w:val="22"/>
              </w:rPr>
              <w:t>2013</w:t>
            </w:r>
          </w:p>
        </w:tc>
        <w:tc>
          <w:tcPr>
            <w:tcW w:w="2552" w:type="dxa"/>
          </w:tcPr>
          <w:p w:rsidR="00081331" w:rsidRPr="00A703DD" w:rsidRDefault="00081331" w:rsidP="00D91F23">
            <w:pPr>
              <w:spacing w:after="0"/>
              <w:jc w:val="center"/>
              <w:rPr>
                <w:rFonts w:asciiTheme="minorHAnsi" w:hAnsiTheme="minorHAnsi" w:cstheme="minorHAnsi"/>
                <w:sz w:val="22"/>
              </w:rPr>
            </w:pPr>
            <w:r w:rsidRPr="00A703DD">
              <w:rPr>
                <w:rFonts w:asciiTheme="minorHAnsi" w:hAnsiTheme="minorHAnsi" w:cstheme="minorHAnsi"/>
                <w:sz w:val="22"/>
              </w:rPr>
              <w:t>1.13</w:t>
            </w:r>
          </w:p>
        </w:tc>
        <w:tc>
          <w:tcPr>
            <w:tcW w:w="2976" w:type="dxa"/>
          </w:tcPr>
          <w:p w:rsidR="00081331" w:rsidRPr="00A703DD" w:rsidRDefault="00081331" w:rsidP="00D91F23">
            <w:pPr>
              <w:spacing w:after="0"/>
              <w:jc w:val="center"/>
              <w:rPr>
                <w:rFonts w:asciiTheme="minorHAnsi" w:hAnsiTheme="minorHAnsi" w:cstheme="minorHAnsi"/>
                <w:sz w:val="22"/>
              </w:rPr>
            </w:pPr>
            <w:r w:rsidRPr="00A703DD">
              <w:rPr>
                <w:rFonts w:asciiTheme="minorHAnsi" w:hAnsiTheme="minorHAnsi" w:cstheme="minorHAnsi"/>
                <w:sz w:val="22"/>
              </w:rPr>
              <w:t>2.80</w:t>
            </w:r>
          </w:p>
        </w:tc>
        <w:tc>
          <w:tcPr>
            <w:tcW w:w="2846" w:type="dxa"/>
          </w:tcPr>
          <w:p w:rsidR="00081331" w:rsidRPr="00A703DD" w:rsidRDefault="00081331" w:rsidP="00D91F23">
            <w:pPr>
              <w:spacing w:after="0"/>
              <w:jc w:val="center"/>
              <w:rPr>
                <w:rFonts w:asciiTheme="minorHAnsi" w:hAnsiTheme="minorHAnsi" w:cstheme="minorHAnsi"/>
                <w:sz w:val="22"/>
              </w:rPr>
            </w:pPr>
            <w:r w:rsidRPr="00A703DD">
              <w:rPr>
                <w:rFonts w:asciiTheme="minorHAnsi" w:hAnsiTheme="minorHAnsi" w:cstheme="minorHAnsi"/>
                <w:sz w:val="22"/>
              </w:rPr>
              <w:t>3.94</w:t>
            </w:r>
          </w:p>
        </w:tc>
      </w:tr>
      <w:tr w:rsidR="00081331" w:rsidTr="00D91F23">
        <w:tc>
          <w:tcPr>
            <w:tcW w:w="766" w:type="dxa"/>
          </w:tcPr>
          <w:p w:rsidR="00081331" w:rsidRPr="00A703DD" w:rsidRDefault="00081331" w:rsidP="00D91F23">
            <w:pPr>
              <w:spacing w:after="0"/>
              <w:rPr>
                <w:rFonts w:asciiTheme="minorHAnsi" w:hAnsiTheme="minorHAnsi" w:cstheme="minorHAnsi"/>
                <w:b/>
                <w:sz w:val="22"/>
              </w:rPr>
            </w:pPr>
            <w:r w:rsidRPr="00A703DD">
              <w:rPr>
                <w:rFonts w:asciiTheme="minorHAnsi" w:hAnsiTheme="minorHAnsi" w:cstheme="minorHAnsi"/>
                <w:b/>
                <w:sz w:val="22"/>
              </w:rPr>
              <w:t>2014</w:t>
            </w:r>
          </w:p>
        </w:tc>
        <w:tc>
          <w:tcPr>
            <w:tcW w:w="2552" w:type="dxa"/>
          </w:tcPr>
          <w:p w:rsidR="00081331" w:rsidRPr="00A703DD" w:rsidRDefault="00081331" w:rsidP="00D91F23">
            <w:pPr>
              <w:spacing w:after="0"/>
              <w:jc w:val="center"/>
              <w:rPr>
                <w:rFonts w:asciiTheme="minorHAnsi" w:hAnsiTheme="minorHAnsi" w:cstheme="minorHAnsi"/>
                <w:sz w:val="22"/>
              </w:rPr>
            </w:pPr>
            <w:r w:rsidRPr="00A703DD">
              <w:rPr>
                <w:rFonts w:asciiTheme="minorHAnsi" w:hAnsiTheme="minorHAnsi" w:cstheme="minorHAnsi"/>
                <w:sz w:val="22"/>
              </w:rPr>
              <w:t>1.08</w:t>
            </w:r>
          </w:p>
        </w:tc>
        <w:tc>
          <w:tcPr>
            <w:tcW w:w="2976" w:type="dxa"/>
          </w:tcPr>
          <w:p w:rsidR="00081331" w:rsidRPr="00A703DD" w:rsidRDefault="00081331" w:rsidP="00D91F23">
            <w:pPr>
              <w:spacing w:after="0"/>
              <w:jc w:val="center"/>
              <w:rPr>
                <w:rFonts w:asciiTheme="minorHAnsi" w:hAnsiTheme="minorHAnsi" w:cstheme="minorHAnsi"/>
                <w:sz w:val="22"/>
              </w:rPr>
            </w:pPr>
            <w:r w:rsidRPr="00A703DD">
              <w:rPr>
                <w:rFonts w:asciiTheme="minorHAnsi" w:hAnsiTheme="minorHAnsi" w:cstheme="minorHAnsi"/>
                <w:sz w:val="22"/>
              </w:rPr>
              <w:t>2.74</w:t>
            </w:r>
          </w:p>
        </w:tc>
        <w:tc>
          <w:tcPr>
            <w:tcW w:w="2846" w:type="dxa"/>
          </w:tcPr>
          <w:p w:rsidR="00081331" w:rsidRPr="00A703DD" w:rsidRDefault="00081331" w:rsidP="00D91F23">
            <w:pPr>
              <w:spacing w:after="0"/>
              <w:jc w:val="center"/>
              <w:rPr>
                <w:rFonts w:asciiTheme="minorHAnsi" w:hAnsiTheme="minorHAnsi" w:cstheme="minorHAnsi"/>
                <w:sz w:val="22"/>
              </w:rPr>
            </w:pPr>
            <w:r w:rsidRPr="00A703DD">
              <w:rPr>
                <w:rFonts w:asciiTheme="minorHAnsi" w:hAnsiTheme="minorHAnsi" w:cstheme="minorHAnsi"/>
                <w:sz w:val="22"/>
              </w:rPr>
              <w:t>3.81</w:t>
            </w:r>
          </w:p>
        </w:tc>
      </w:tr>
      <w:tr w:rsidR="00081331" w:rsidTr="00D91F23">
        <w:tc>
          <w:tcPr>
            <w:tcW w:w="766" w:type="dxa"/>
          </w:tcPr>
          <w:p w:rsidR="00081331" w:rsidRPr="00A703DD" w:rsidRDefault="00081331" w:rsidP="00D91F23">
            <w:pPr>
              <w:spacing w:after="0"/>
              <w:rPr>
                <w:rFonts w:asciiTheme="minorHAnsi" w:hAnsiTheme="minorHAnsi" w:cstheme="minorHAnsi"/>
                <w:b/>
                <w:sz w:val="22"/>
              </w:rPr>
            </w:pPr>
            <w:r w:rsidRPr="00A703DD">
              <w:rPr>
                <w:rFonts w:asciiTheme="minorHAnsi" w:hAnsiTheme="minorHAnsi" w:cstheme="minorHAnsi"/>
                <w:b/>
                <w:sz w:val="22"/>
              </w:rPr>
              <w:t>2015</w:t>
            </w:r>
          </w:p>
        </w:tc>
        <w:tc>
          <w:tcPr>
            <w:tcW w:w="2552" w:type="dxa"/>
          </w:tcPr>
          <w:p w:rsidR="00081331" w:rsidRPr="00A703DD" w:rsidRDefault="00081331" w:rsidP="00D91F23">
            <w:pPr>
              <w:spacing w:after="0"/>
              <w:jc w:val="center"/>
              <w:rPr>
                <w:rFonts w:asciiTheme="minorHAnsi" w:hAnsiTheme="minorHAnsi" w:cstheme="minorHAnsi"/>
                <w:sz w:val="22"/>
              </w:rPr>
            </w:pPr>
            <w:r w:rsidRPr="00A703DD">
              <w:rPr>
                <w:rFonts w:asciiTheme="minorHAnsi" w:hAnsiTheme="minorHAnsi" w:cstheme="minorHAnsi"/>
                <w:sz w:val="22"/>
              </w:rPr>
              <w:t>1.11</w:t>
            </w:r>
          </w:p>
        </w:tc>
        <w:tc>
          <w:tcPr>
            <w:tcW w:w="2976" w:type="dxa"/>
          </w:tcPr>
          <w:p w:rsidR="00081331" w:rsidRPr="00A703DD" w:rsidRDefault="00081331" w:rsidP="00D91F23">
            <w:pPr>
              <w:spacing w:after="0"/>
              <w:jc w:val="center"/>
              <w:rPr>
                <w:rFonts w:asciiTheme="minorHAnsi" w:hAnsiTheme="minorHAnsi" w:cstheme="minorHAnsi"/>
                <w:sz w:val="22"/>
              </w:rPr>
            </w:pPr>
            <w:r w:rsidRPr="00A703DD">
              <w:rPr>
                <w:rFonts w:asciiTheme="minorHAnsi" w:hAnsiTheme="minorHAnsi" w:cstheme="minorHAnsi"/>
                <w:sz w:val="22"/>
              </w:rPr>
              <w:t>2.74</w:t>
            </w:r>
          </w:p>
        </w:tc>
        <w:tc>
          <w:tcPr>
            <w:tcW w:w="2846" w:type="dxa"/>
          </w:tcPr>
          <w:p w:rsidR="00081331" w:rsidRPr="00A703DD" w:rsidRDefault="00081331" w:rsidP="00D91F23">
            <w:pPr>
              <w:spacing w:after="0"/>
              <w:jc w:val="center"/>
              <w:rPr>
                <w:rFonts w:asciiTheme="minorHAnsi" w:hAnsiTheme="minorHAnsi" w:cstheme="minorHAnsi"/>
                <w:sz w:val="22"/>
              </w:rPr>
            </w:pPr>
            <w:r w:rsidRPr="00A703DD">
              <w:rPr>
                <w:rFonts w:asciiTheme="minorHAnsi" w:hAnsiTheme="minorHAnsi" w:cstheme="minorHAnsi"/>
                <w:sz w:val="22"/>
              </w:rPr>
              <w:t>3.85</w:t>
            </w:r>
          </w:p>
        </w:tc>
      </w:tr>
      <w:tr w:rsidR="00081331" w:rsidTr="00D91F23">
        <w:tc>
          <w:tcPr>
            <w:tcW w:w="766" w:type="dxa"/>
          </w:tcPr>
          <w:p w:rsidR="00081331" w:rsidRPr="00A703DD" w:rsidRDefault="00081331" w:rsidP="00D91F23">
            <w:pPr>
              <w:spacing w:after="0"/>
              <w:rPr>
                <w:rFonts w:asciiTheme="minorHAnsi" w:hAnsiTheme="minorHAnsi" w:cstheme="minorHAnsi"/>
                <w:b/>
                <w:sz w:val="22"/>
              </w:rPr>
            </w:pPr>
            <w:r w:rsidRPr="00A703DD">
              <w:rPr>
                <w:rFonts w:asciiTheme="minorHAnsi" w:hAnsiTheme="minorHAnsi" w:cstheme="minorHAnsi"/>
                <w:b/>
                <w:sz w:val="22"/>
              </w:rPr>
              <w:t>2016</w:t>
            </w:r>
          </w:p>
        </w:tc>
        <w:tc>
          <w:tcPr>
            <w:tcW w:w="2552" w:type="dxa"/>
          </w:tcPr>
          <w:p w:rsidR="00081331" w:rsidRPr="00A703DD" w:rsidRDefault="00081331" w:rsidP="00D91F23">
            <w:pPr>
              <w:spacing w:after="0"/>
              <w:jc w:val="center"/>
              <w:rPr>
                <w:rFonts w:asciiTheme="minorHAnsi" w:hAnsiTheme="minorHAnsi" w:cstheme="minorHAnsi"/>
                <w:sz w:val="22"/>
              </w:rPr>
            </w:pPr>
            <w:r w:rsidRPr="00A703DD">
              <w:rPr>
                <w:rFonts w:asciiTheme="minorHAnsi" w:hAnsiTheme="minorHAnsi" w:cstheme="minorHAnsi"/>
                <w:sz w:val="22"/>
              </w:rPr>
              <w:t>1.23</w:t>
            </w:r>
          </w:p>
        </w:tc>
        <w:tc>
          <w:tcPr>
            <w:tcW w:w="2976" w:type="dxa"/>
          </w:tcPr>
          <w:p w:rsidR="00081331" w:rsidRPr="00A703DD" w:rsidRDefault="00081331" w:rsidP="00D91F23">
            <w:pPr>
              <w:spacing w:after="0"/>
              <w:jc w:val="center"/>
              <w:rPr>
                <w:rFonts w:asciiTheme="minorHAnsi" w:hAnsiTheme="minorHAnsi" w:cstheme="minorHAnsi"/>
                <w:sz w:val="22"/>
              </w:rPr>
            </w:pPr>
            <w:r w:rsidRPr="00A703DD">
              <w:rPr>
                <w:rFonts w:asciiTheme="minorHAnsi" w:hAnsiTheme="minorHAnsi" w:cstheme="minorHAnsi"/>
                <w:sz w:val="22"/>
              </w:rPr>
              <w:t>2.68</w:t>
            </w:r>
          </w:p>
        </w:tc>
        <w:tc>
          <w:tcPr>
            <w:tcW w:w="2846" w:type="dxa"/>
          </w:tcPr>
          <w:p w:rsidR="00081331" w:rsidRPr="00A703DD" w:rsidRDefault="00081331" w:rsidP="00D91F23">
            <w:pPr>
              <w:spacing w:after="0"/>
              <w:jc w:val="center"/>
              <w:rPr>
                <w:rFonts w:asciiTheme="minorHAnsi" w:hAnsiTheme="minorHAnsi" w:cstheme="minorHAnsi"/>
                <w:sz w:val="22"/>
              </w:rPr>
            </w:pPr>
            <w:r w:rsidRPr="00A703DD">
              <w:rPr>
                <w:rFonts w:asciiTheme="minorHAnsi" w:hAnsiTheme="minorHAnsi" w:cstheme="minorHAnsi"/>
                <w:sz w:val="22"/>
              </w:rPr>
              <w:t>3.91</w:t>
            </w:r>
          </w:p>
        </w:tc>
      </w:tr>
    </w:tbl>
    <w:p w:rsidR="00081331" w:rsidRPr="00081331" w:rsidRDefault="00081331" w:rsidP="00081331">
      <w:pPr>
        <w:pStyle w:val="Heading3"/>
      </w:pPr>
      <w:r>
        <w:lastRenderedPageBreak/>
        <w:t>Commentary</w:t>
      </w:r>
    </w:p>
    <w:p w:rsidR="00001403" w:rsidRDefault="00DF35F7" w:rsidP="00CC1E7C">
      <w:pPr>
        <w:spacing w:after="0"/>
      </w:pPr>
      <w:r>
        <w:t>Over</w:t>
      </w:r>
      <w:r w:rsidR="00A82872">
        <w:t xml:space="preserve"> 2016, the rate of </w:t>
      </w:r>
      <w:r w:rsidR="00001403">
        <w:t xml:space="preserve">all </w:t>
      </w:r>
      <w:r w:rsidR="00A82872">
        <w:t>A04</w:t>
      </w:r>
      <w:r w:rsidR="0010607D">
        <w:t>.</w:t>
      </w:r>
      <w:r w:rsidR="00A82872">
        <w:t xml:space="preserve">7 </w:t>
      </w:r>
      <w:r w:rsidR="00001403">
        <w:t xml:space="preserve">diagnoses </w:t>
      </w:r>
      <w:r>
        <w:t>varied</w:t>
      </w:r>
      <w:r w:rsidR="00A82872">
        <w:t xml:space="preserve"> between </w:t>
      </w:r>
      <w:r w:rsidR="00001403">
        <w:t xml:space="preserve">3.5 </w:t>
      </w:r>
      <w:r w:rsidR="006B1483">
        <w:t xml:space="preserve">and 4.3 </w:t>
      </w:r>
      <w:r w:rsidR="00001403">
        <w:t>diagnoses per 10,000 bed da</w:t>
      </w:r>
      <w:r w:rsidR="00C83543">
        <w:t>y</w:t>
      </w:r>
      <w:r w:rsidR="00001403">
        <w:t>s</w:t>
      </w:r>
      <w:r w:rsidR="00FB1BEE">
        <w:t xml:space="preserve"> (Figure 1)</w:t>
      </w:r>
      <w:r w:rsidR="00001403">
        <w:t>. The rate was highest in January and lowest in July. The average rat</w:t>
      </w:r>
      <w:r w:rsidR="00C83543">
        <w:t>e of a</w:t>
      </w:r>
      <w:r w:rsidR="007E78AD">
        <w:t>ny</w:t>
      </w:r>
      <w:r w:rsidR="00C83543">
        <w:t xml:space="preserve"> A04</w:t>
      </w:r>
      <w:r w:rsidR="0010607D">
        <w:t>.</w:t>
      </w:r>
      <w:r w:rsidR="00C83543">
        <w:t>7 diagnoses was 3.9 per 10,000 bed days</w:t>
      </w:r>
      <w:r w:rsidR="00001403">
        <w:t xml:space="preserve">; this rate is slightly higher than the average rate observed in 2014 and 2015. </w:t>
      </w:r>
      <w:r w:rsidR="00441B0A">
        <w:t>T</w:t>
      </w:r>
      <w:r w:rsidR="00001403">
        <w:t xml:space="preserve">his </w:t>
      </w:r>
      <w:r w:rsidR="00C83543">
        <w:t>increase w</w:t>
      </w:r>
      <w:r w:rsidR="00001403">
        <w:t>as driven by an increase</w:t>
      </w:r>
      <w:r w:rsidR="006A6EF8">
        <w:t xml:space="preserve"> the rate of principal A04</w:t>
      </w:r>
      <w:r w:rsidR="0010607D">
        <w:t>.</w:t>
      </w:r>
      <w:r w:rsidR="006A6EF8">
        <w:t xml:space="preserve">7 diagnoses </w:t>
      </w:r>
      <w:r w:rsidR="00C83543">
        <w:t xml:space="preserve">as this rate has increased </w:t>
      </w:r>
      <w:r w:rsidR="006A6EF8">
        <w:t>from 1.11 diagnoses per 10,000 bed days</w:t>
      </w:r>
      <w:r w:rsidR="00C83543">
        <w:t xml:space="preserve"> in 2015 </w:t>
      </w:r>
      <w:r w:rsidR="006A6EF8">
        <w:t>to 1.23 diagnoses per 10,000 bed days in 2016</w:t>
      </w:r>
      <w:r w:rsidR="0028516A">
        <w:t xml:space="preserve"> (Table 1)</w:t>
      </w:r>
      <w:r w:rsidR="006A6EF8">
        <w:t>.</w:t>
      </w:r>
      <w:r w:rsidR="0010607D">
        <w:t xml:space="preserve"> </w:t>
      </w:r>
      <w:r w:rsidR="00441B0A">
        <w:t>In contrast, t</w:t>
      </w:r>
      <w:r w:rsidR="00001403">
        <w:t>he average rate of additional A04</w:t>
      </w:r>
      <w:r w:rsidR="0010607D">
        <w:t>.</w:t>
      </w:r>
      <w:r w:rsidR="00001403">
        <w:t>7 diagnoses</w:t>
      </w:r>
      <w:r w:rsidR="006A6EF8">
        <w:t xml:space="preserve"> </w:t>
      </w:r>
      <w:r w:rsidR="00001403">
        <w:t>decrease</w:t>
      </w:r>
      <w:r w:rsidR="006A6EF8">
        <w:t>d from 2.74 diagnoses per 10,000 bed days</w:t>
      </w:r>
      <w:r w:rsidR="00E47AD2">
        <w:t xml:space="preserve"> in 2015</w:t>
      </w:r>
      <w:r w:rsidR="006A6EF8">
        <w:t xml:space="preserve"> to 2.68 diagnoses per 10,000 bed days </w:t>
      </w:r>
      <w:r w:rsidR="00E47AD2">
        <w:t>in 2016</w:t>
      </w:r>
      <w:r w:rsidR="006A6EF8">
        <w:t xml:space="preserve">. </w:t>
      </w:r>
    </w:p>
    <w:p w:rsidR="00001403" w:rsidRDefault="00001403" w:rsidP="00CC1E7C">
      <w:pPr>
        <w:spacing w:after="0"/>
      </w:pPr>
    </w:p>
    <w:p w:rsidR="00001403" w:rsidRDefault="00001403" w:rsidP="00CC1E7C">
      <w:pPr>
        <w:spacing w:after="0"/>
      </w:pPr>
      <w:r>
        <w:t>Additional A047 diagnoses accounted for 68.8% of all A04</w:t>
      </w:r>
      <w:r w:rsidR="00206D4F">
        <w:t>.</w:t>
      </w:r>
      <w:r>
        <w:t>7 diagnoses in 2016</w:t>
      </w:r>
      <w:r w:rsidR="0010607D">
        <w:t xml:space="preserve"> (Figure 1)</w:t>
      </w:r>
      <w:r>
        <w:t xml:space="preserve">. This proportion is 2.4% less than </w:t>
      </w:r>
      <w:r w:rsidR="00E47AD2">
        <w:t>what was observed in</w:t>
      </w:r>
      <w:r>
        <w:t xml:space="preserve"> 2015 when additional A04</w:t>
      </w:r>
      <w:r w:rsidR="00206D4F">
        <w:t>.</w:t>
      </w:r>
      <w:r>
        <w:t>7 diagnoses accounted for 71.2% of all A04</w:t>
      </w:r>
      <w:r w:rsidR="00206D4F">
        <w:t>.</w:t>
      </w:r>
      <w:r>
        <w:t>7 diagnoses.</w:t>
      </w:r>
    </w:p>
    <w:p w:rsidR="00001403" w:rsidRDefault="00001403" w:rsidP="00CC1E7C">
      <w:pPr>
        <w:spacing w:after="0"/>
      </w:pPr>
    </w:p>
    <w:p w:rsidR="00001403" w:rsidRDefault="00880EDE" w:rsidP="00CC1E7C">
      <w:pPr>
        <w:spacing w:after="0"/>
      </w:pPr>
      <w:r>
        <w:t>T</w:t>
      </w:r>
      <w:r w:rsidR="00001403">
        <w:t>he rate of all A04</w:t>
      </w:r>
      <w:r w:rsidR="00206D4F">
        <w:t>.</w:t>
      </w:r>
      <w:r w:rsidR="00001403">
        <w:t>7 diagnoses remained within statistical process control limits throughout the entire year</w:t>
      </w:r>
      <w:r w:rsidR="00FB1BEE">
        <w:t xml:space="preserve"> (Figure 2)</w:t>
      </w:r>
      <w:r w:rsidR="00206D4F">
        <w:t>, indicating little evidence of a widespread disease outbreak</w:t>
      </w:r>
      <w:r w:rsidR="006B1483">
        <w:t xml:space="preserve"> during this period</w:t>
      </w:r>
      <w:r w:rsidR="00001403">
        <w:t xml:space="preserve">. </w:t>
      </w:r>
    </w:p>
    <w:p w:rsidR="007D504C" w:rsidRDefault="007D504C" w:rsidP="00CC1E7C">
      <w:pPr>
        <w:spacing w:after="0"/>
      </w:pPr>
    </w:p>
    <w:p w:rsidR="00081331" w:rsidRDefault="00BF2D9D" w:rsidP="00081331">
      <w:pPr>
        <w:pStyle w:val="Heading2"/>
      </w:pPr>
      <w:r>
        <w:lastRenderedPageBreak/>
        <w:t>Exposure</w:t>
      </w:r>
      <w:r w:rsidR="00081331">
        <w:t xml:space="preserve"> </w:t>
      </w:r>
    </w:p>
    <w:p w:rsidR="00806E29" w:rsidRPr="00806E29" w:rsidRDefault="00806E29" w:rsidP="001902FA">
      <w:pPr>
        <w:pStyle w:val="Caption"/>
        <w:keepNext/>
        <w:spacing w:after="0"/>
        <w:rPr>
          <w:color w:val="auto"/>
          <w:sz w:val="22"/>
        </w:rPr>
      </w:pPr>
      <w:r w:rsidRPr="00806E29">
        <w:rPr>
          <w:color w:val="auto"/>
          <w:sz w:val="22"/>
        </w:rPr>
        <w:t xml:space="preserve">Figure </w:t>
      </w:r>
      <w:r w:rsidRPr="00806E29">
        <w:rPr>
          <w:color w:val="auto"/>
          <w:sz w:val="22"/>
        </w:rPr>
        <w:fldChar w:fldCharType="begin"/>
      </w:r>
      <w:r w:rsidRPr="00806E29">
        <w:rPr>
          <w:color w:val="auto"/>
          <w:sz w:val="22"/>
        </w:rPr>
        <w:instrText xml:space="preserve"> SEQ Figure \* ARABIC </w:instrText>
      </w:r>
      <w:r w:rsidRPr="00806E29">
        <w:rPr>
          <w:color w:val="auto"/>
          <w:sz w:val="22"/>
        </w:rPr>
        <w:fldChar w:fldCharType="separate"/>
      </w:r>
      <w:r w:rsidR="00880EDE">
        <w:rPr>
          <w:noProof/>
          <w:color w:val="auto"/>
          <w:sz w:val="22"/>
        </w:rPr>
        <w:t>3</w:t>
      </w:r>
      <w:r w:rsidRPr="00806E29">
        <w:rPr>
          <w:color w:val="auto"/>
          <w:sz w:val="22"/>
        </w:rPr>
        <w:fldChar w:fldCharType="end"/>
      </w:r>
      <w:r w:rsidRPr="00806E29">
        <w:rPr>
          <w:color w:val="auto"/>
          <w:sz w:val="22"/>
        </w:rPr>
        <w:t>. Breakdown of A04</w:t>
      </w:r>
      <w:r w:rsidR="00206D4F">
        <w:rPr>
          <w:color w:val="auto"/>
          <w:sz w:val="22"/>
        </w:rPr>
        <w:t>.</w:t>
      </w:r>
      <w:r w:rsidRPr="00806E29">
        <w:rPr>
          <w:color w:val="auto"/>
          <w:sz w:val="22"/>
        </w:rPr>
        <w:t>7 additional diagnoses in</w:t>
      </w:r>
      <w:r w:rsidR="005E49F2">
        <w:rPr>
          <w:color w:val="auto"/>
          <w:sz w:val="22"/>
        </w:rPr>
        <w:t xml:space="preserve"> </w:t>
      </w:r>
      <w:r w:rsidRPr="00806E29">
        <w:rPr>
          <w:color w:val="auto"/>
          <w:sz w:val="22"/>
        </w:rPr>
        <w:t>Australia</w:t>
      </w:r>
      <w:r w:rsidR="00CA6126">
        <w:rPr>
          <w:color w:val="auto"/>
          <w:sz w:val="22"/>
        </w:rPr>
        <w:t>n public hospitals</w:t>
      </w:r>
      <w:r w:rsidR="00003EA1">
        <w:rPr>
          <w:color w:val="auto"/>
          <w:sz w:val="22"/>
        </w:rPr>
        <w:t xml:space="preserve">, </w:t>
      </w:r>
      <w:r w:rsidR="005E49F2" w:rsidRPr="001902FA">
        <w:rPr>
          <w:color w:val="auto"/>
          <w:sz w:val="22"/>
        </w:rPr>
        <w:t>2016</w:t>
      </w:r>
      <w:r w:rsidR="00003EA1">
        <w:rPr>
          <w:rStyle w:val="FootnoteReference"/>
          <w:color w:val="auto"/>
          <w:sz w:val="22"/>
        </w:rPr>
        <w:footnoteReference w:id="1"/>
      </w:r>
    </w:p>
    <w:p w:rsidR="00653095" w:rsidRDefault="00597309" w:rsidP="00B93784">
      <w:pPr>
        <w:pStyle w:val="Heading2"/>
      </w:pPr>
      <w:r>
        <w:rPr>
          <w:noProof/>
          <w:lang w:val="en-US" w:eastAsia="en-US"/>
        </w:rPr>
        <w:drawing>
          <wp:inline distT="0" distB="0" distL="0" distR="0" wp14:anchorId="397371DB" wp14:editId="1CE3A7B1">
            <wp:extent cx="6114553" cy="3180522"/>
            <wp:effectExtent l="0" t="0" r="19685" b="203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02FA" w:rsidRPr="001902FA" w:rsidRDefault="001902FA" w:rsidP="001902FA">
      <w:pPr>
        <w:pStyle w:val="Caption"/>
        <w:keepNext/>
        <w:spacing w:after="0"/>
        <w:rPr>
          <w:color w:val="auto"/>
          <w:sz w:val="22"/>
        </w:rPr>
      </w:pPr>
      <w:r w:rsidRPr="001902FA">
        <w:rPr>
          <w:color w:val="auto"/>
          <w:sz w:val="22"/>
        </w:rPr>
        <w:t xml:space="preserve">Figure </w:t>
      </w:r>
      <w:r w:rsidRPr="001902FA">
        <w:rPr>
          <w:color w:val="auto"/>
          <w:sz w:val="22"/>
        </w:rPr>
        <w:fldChar w:fldCharType="begin"/>
      </w:r>
      <w:r w:rsidRPr="001902FA">
        <w:rPr>
          <w:color w:val="auto"/>
          <w:sz w:val="22"/>
        </w:rPr>
        <w:instrText xml:space="preserve"> SEQ Figure \* ARABIC </w:instrText>
      </w:r>
      <w:r w:rsidRPr="001902FA">
        <w:rPr>
          <w:color w:val="auto"/>
          <w:sz w:val="22"/>
        </w:rPr>
        <w:fldChar w:fldCharType="separate"/>
      </w:r>
      <w:r w:rsidR="00880EDE">
        <w:rPr>
          <w:noProof/>
          <w:color w:val="auto"/>
          <w:sz w:val="22"/>
        </w:rPr>
        <w:t>4</w:t>
      </w:r>
      <w:r w:rsidRPr="001902FA">
        <w:rPr>
          <w:color w:val="auto"/>
          <w:sz w:val="22"/>
        </w:rPr>
        <w:fldChar w:fldCharType="end"/>
      </w:r>
      <w:r w:rsidRPr="001902FA">
        <w:rPr>
          <w:color w:val="auto"/>
          <w:sz w:val="22"/>
        </w:rPr>
        <w:t xml:space="preserve">. Estimated </w:t>
      </w:r>
      <w:r w:rsidR="00D5067A">
        <w:rPr>
          <w:color w:val="auto"/>
          <w:sz w:val="22"/>
        </w:rPr>
        <w:t xml:space="preserve">burden of </w:t>
      </w:r>
      <w:r w:rsidRPr="001902FA">
        <w:rPr>
          <w:color w:val="auto"/>
          <w:sz w:val="22"/>
        </w:rPr>
        <w:t>pre-existing CDI presenting to hospitals</w:t>
      </w:r>
      <w:r w:rsidR="00003EA1">
        <w:rPr>
          <w:color w:val="auto"/>
          <w:sz w:val="22"/>
        </w:rPr>
        <w:t>, 2016</w:t>
      </w:r>
    </w:p>
    <w:p w:rsidR="00653095" w:rsidRDefault="0028516A" w:rsidP="00B93784">
      <w:pPr>
        <w:pStyle w:val="Heading2"/>
      </w:pPr>
      <w:r>
        <w:rPr>
          <w:noProof/>
          <w:lang w:val="en-US" w:eastAsia="en-US"/>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3387228</wp:posOffset>
                </wp:positionV>
                <wp:extent cx="6114553" cy="635718"/>
                <wp:effectExtent l="0" t="0" r="635" b="0"/>
                <wp:wrapNone/>
                <wp:docPr id="4" name="Text Box 4"/>
                <wp:cNvGraphicFramePr/>
                <a:graphic xmlns:a="http://schemas.openxmlformats.org/drawingml/2006/main">
                  <a:graphicData uri="http://schemas.microsoft.com/office/word/2010/wordprocessingShape">
                    <wps:wsp>
                      <wps:cNvSpPr txBox="1"/>
                      <wps:spPr>
                        <a:xfrm>
                          <a:off x="0" y="0"/>
                          <a:ext cx="6114553" cy="6357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516A" w:rsidRPr="0028516A" w:rsidRDefault="0028516A" w:rsidP="0028516A">
                            <w:pPr>
                              <w:spacing w:after="0"/>
                              <w:rPr>
                                <w:sz w:val="18"/>
                                <w:szCs w:val="16"/>
                                <w:vertAlign w:val="superscript"/>
                              </w:rPr>
                            </w:pPr>
                            <w:r w:rsidRPr="0028516A">
                              <w:rPr>
                                <w:sz w:val="18"/>
                                <w:szCs w:val="16"/>
                                <w:vertAlign w:val="superscript"/>
                              </w:rPr>
                              <w:t>COF 1: Condition Onset Flag 1, refers to a condition that has arisen during the episode of admitted care that would not have been present or suspected on admission.</w:t>
                            </w:r>
                          </w:p>
                          <w:p w:rsidR="0028516A" w:rsidRPr="0028516A" w:rsidRDefault="0028516A" w:rsidP="0028516A">
                            <w:pPr>
                              <w:spacing w:after="0"/>
                              <w:rPr>
                                <w:sz w:val="18"/>
                                <w:szCs w:val="16"/>
                                <w:vertAlign w:val="superscript"/>
                              </w:rPr>
                            </w:pPr>
                            <w:r w:rsidRPr="0028516A">
                              <w:rPr>
                                <w:sz w:val="18"/>
                                <w:szCs w:val="16"/>
                                <w:vertAlign w:val="superscript"/>
                              </w:rPr>
                              <w:t xml:space="preserve">COF 2: Condition Onset Flag 2, refers to a condition previously existing or suspected on admission such as the presenting problem, a comorbidity or chronic disease. </w:t>
                            </w:r>
                          </w:p>
                          <w:p w:rsidR="0028516A" w:rsidRPr="0028516A" w:rsidRDefault="0028516A">
                            <w:pPr>
                              <w:rPr>
                                <w:sz w:val="18"/>
                                <w:szCs w:val="16"/>
                                <w:vertAlign w:val="superscript"/>
                              </w:rPr>
                            </w:pPr>
                            <w:r w:rsidRPr="0028516A">
                              <w:rPr>
                                <w:sz w:val="18"/>
                                <w:szCs w:val="16"/>
                                <w:vertAlign w:val="superscript"/>
                              </w:rPr>
                              <w:t xml:space="preserve">For further information on Condition Onset Flags, see: </w:t>
                            </w:r>
                            <w:r w:rsidRPr="0028516A">
                              <w:rPr>
                                <w:rFonts w:ascii="Arial" w:hAnsi="Arial" w:cs="Arial"/>
                                <w:sz w:val="18"/>
                                <w:szCs w:val="16"/>
                                <w:vertAlign w:val="superscript"/>
                              </w:rPr>
                              <w:t xml:space="preserve">Australian Institute of Health and Welfare. Episode of admitted patient care - condition onset flag, code N. [Online]; Available from: </w:t>
                            </w:r>
                            <w:hyperlink r:id="rId15" w:history="1">
                              <w:r w:rsidRPr="00D274FF">
                                <w:rPr>
                                  <w:rStyle w:val="Hyperlink"/>
                                  <w:rFonts w:ascii="Arial" w:hAnsi="Arial" w:cs="Arial"/>
                                  <w:sz w:val="18"/>
                                  <w:szCs w:val="16"/>
                                  <w:vertAlign w:val="superscript"/>
                                </w:rPr>
                                <w:t>http://meteor.aihw.gov.au/content/index.phtml/itemId/496512</w:t>
                              </w:r>
                            </w:hyperlink>
                            <w:r>
                              <w:rPr>
                                <w:rFonts w:ascii="Arial" w:hAnsi="Arial" w:cs="Arial"/>
                                <w:sz w:val="18"/>
                                <w:szCs w:val="16"/>
                                <w:vertAlign w:val="superscript"/>
                              </w:rPr>
                              <w:t xml:space="preserve"> </w:t>
                            </w:r>
                          </w:p>
                          <w:p w:rsidR="0028516A" w:rsidRPr="0028516A" w:rsidRDefault="0028516A">
                            <w:pPr>
                              <w:rPr>
                                <w:sz w:val="18"/>
                                <w:szCs w:val="16"/>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266.7pt;width:481.45pt;height:5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" fillcolor="white [3201]" stroked="f" strokeweight=".5pt">
                <v:textbox>
                  <w:txbxContent>
                    <w:p w:rsidR="0028516A" w:rsidRPr="0028516A" w:rsidRDefault="0028516A" w:rsidP="0028516A">
                      <w:pPr>
                        <w:spacing w:after="0"/>
                        <w:rPr>
                          <w:sz w:val="18"/>
                          <w:szCs w:val="16"/>
                          <w:vertAlign w:val="superscript"/>
                        </w:rPr>
                      </w:pPr>
                      <w:r w:rsidRPr="0028516A">
                        <w:rPr>
                          <w:sz w:val="18"/>
                          <w:szCs w:val="16"/>
                          <w:vertAlign w:val="superscript"/>
                        </w:rPr>
                        <w:t>COF 1: Condition Onset Flag 1, refers to a condition that has arisen during the episode of admitted care that would not have been present or suspected on admission.</w:t>
                      </w:r>
                    </w:p>
                    <w:p w:rsidR="0028516A" w:rsidRPr="0028516A" w:rsidRDefault="0028516A" w:rsidP="0028516A">
                      <w:pPr>
                        <w:spacing w:after="0"/>
                        <w:rPr>
                          <w:sz w:val="18"/>
                          <w:szCs w:val="16"/>
                          <w:vertAlign w:val="superscript"/>
                        </w:rPr>
                      </w:pPr>
                      <w:r w:rsidRPr="0028516A">
                        <w:rPr>
                          <w:sz w:val="18"/>
                          <w:szCs w:val="16"/>
                          <w:vertAlign w:val="superscript"/>
                        </w:rPr>
                        <w:t xml:space="preserve">COF 2: Condition Onset Flag 2, refers to a condition previously existing or suspected on admission such as the presenting problem, a comorbidity or chronic disease. </w:t>
                      </w:r>
                    </w:p>
                    <w:p w:rsidR="0028516A" w:rsidRPr="0028516A" w:rsidRDefault="0028516A">
                      <w:pPr>
                        <w:rPr>
                          <w:sz w:val="18"/>
                          <w:szCs w:val="16"/>
                          <w:vertAlign w:val="superscript"/>
                        </w:rPr>
                      </w:pPr>
                      <w:r w:rsidRPr="0028516A">
                        <w:rPr>
                          <w:sz w:val="18"/>
                          <w:szCs w:val="16"/>
                          <w:vertAlign w:val="superscript"/>
                        </w:rPr>
                        <w:t xml:space="preserve">For further information on Condition Onset Flags, see: </w:t>
                      </w:r>
                      <w:r w:rsidRPr="0028516A">
                        <w:rPr>
                          <w:rFonts w:ascii="Arial" w:hAnsi="Arial" w:cs="Arial"/>
                          <w:sz w:val="18"/>
                          <w:szCs w:val="16"/>
                          <w:vertAlign w:val="superscript"/>
                        </w:rPr>
                        <w:t xml:space="preserve">Australian Institute of Health and Welfare. Episode of admitted patient care - condition onset flag, code N. [Online]; Available from: </w:t>
                      </w:r>
                      <w:hyperlink r:id="rId16" w:history="1">
                        <w:r w:rsidRPr="00D274FF">
                          <w:rPr>
                            <w:rStyle w:val="Hyperlink"/>
                            <w:rFonts w:ascii="Arial" w:hAnsi="Arial" w:cs="Arial"/>
                            <w:sz w:val="18"/>
                            <w:szCs w:val="16"/>
                            <w:vertAlign w:val="superscript"/>
                          </w:rPr>
                          <w:t>http://meteor.aihw.gov.au/content/index.phtml/itemId/496512</w:t>
                        </w:r>
                      </w:hyperlink>
                      <w:r>
                        <w:rPr>
                          <w:rFonts w:ascii="Arial" w:hAnsi="Arial" w:cs="Arial"/>
                          <w:sz w:val="18"/>
                          <w:szCs w:val="16"/>
                          <w:vertAlign w:val="superscript"/>
                        </w:rPr>
                        <w:t xml:space="preserve"> </w:t>
                      </w:r>
                    </w:p>
                    <w:p w:rsidR="0028516A" w:rsidRPr="0028516A" w:rsidRDefault="0028516A">
                      <w:pPr>
                        <w:rPr>
                          <w:sz w:val="18"/>
                          <w:szCs w:val="16"/>
                          <w:vertAlign w:val="superscript"/>
                        </w:rPr>
                      </w:pPr>
                    </w:p>
                  </w:txbxContent>
                </v:textbox>
              </v:shape>
            </w:pict>
          </mc:Fallback>
        </mc:AlternateContent>
      </w:r>
      <w:r w:rsidR="0003250C">
        <w:rPr>
          <w:noProof/>
          <w:lang w:val="en-US" w:eastAsia="en-US"/>
        </w:rPr>
        <w:drawing>
          <wp:inline distT="0" distB="0" distL="0" distR="0" wp14:anchorId="64A4EF90" wp14:editId="26876558">
            <wp:extent cx="6114553" cy="3156668"/>
            <wp:effectExtent l="0" t="0" r="19685" b="2476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25675" w:rsidRDefault="00825675" w:rsidP="00825675">
      <w:pPr>
        <w:pStyle w:val="Heading3"/>
      </w:pPr>
    </w:p>
    <w:p w:rsidR="00503C91" w:rsidRDefault="00503C91" w:rsidP="00503C91"/>
    <w:p w:rsidR="004D3A43" w:rsidRPr="00BA2CCC" w:rsidRDefault="004D3A43" w:rsidP="004D3A43">
      <w:pPr>
        <w:pStyle w:val="Caption"/>
        <w:keepNext/>
        <w:rPr>
          <w:color w:val="auto"/>
          <w:sz w:val="22"/>
        </w:rPr>
      </w:pPr>
      <w:r w:rsidRPr="00BA2CCC">
        <w:rPr>
          <w:color w:val="auto"/>
          <w:sz w:val="22"/>
        </w:rPr>
        <w:t xml:space="preserve">Table </w:t>
      </w:r>
      <w:r w:rsidRPr="00BA2CCC">
        <w:rPr>
          <w:color w:val="auto"/>
          <w:sz w:val="22"/>
        </w:rPr>
        <w:fldChar w:fldCharType="begin"/>
      </w:r>
      <w:r w:rsidRPr="00BA2CCC">
        <w:rPr>
          <w:color w:val="auto"/>
          <w:sz w:val="22"/>
        </w:rPr>
        <w:instrText xml:space="preserve"> SEQ Table \* ARABIC </w:instrText>
      </w:r>
      <w:r w:rsidRPr="00BA2CCC">
        <w:rPr>
          <w:color w:val="auto"/>
          <w:sz w:val="22"/>
        </w:rPr>
        <w:fldChar w:fldCharType="separate"/>
      </w:r>
      <w:r w:rsidR="00880EDE">
        <w:rPr>
          <w:noProof/>
          <w:color w:val="auto"/>
          <w:sz w:val="22"/>
        </w:rPr>
        <w:t>2</w:t>
      </w:r>
      <w:r w:rsidRPr="00BA2CCC">
        <w:rPr>
          <w:color w:val="auto"/>
          <w:sz w:val="22"/>
        </w:rPr>
        <w:fldChar w:fldCharType="end"/>
      </w:r>
      <w:r w:rsidRPr="00BA2CCC">
        <w:rPr>
          <w:color w:val="auto"/>
          <w:sz w:val="22"/>
        </w:rPr>
        <w:t>. Year-on-year comparison of A047-related separations (2015 vs 2016)</w:t>
      </w:r>
    </w:p>
    <w:tbl>
      <w:tblPr>
        <w:tblStyle w:val="TableGrid"/>
        <w:tblW w:w="9696" w:type="dxa"/>
        <w:tblLook w:val="04A0" w:firstRow="1" w:lastRow="0" w:firstColumn="1" w:lastColumn="0" w:noHBand="0" w:noVBand="1"/>
      </w:tblPr>
      <w:tblGrid>
        <w:gridCol w:w="5295"/>
        <w:gridCol w:w="1283"/>
        <w:gridCol w:w="1276"/>
        <w:gridCol w:w="1842"/>
      </w:tblGrid>
      <w:tr w:rsidR="002026E1" w:rsidRPr="00E517C5" w:rsidTr="00E47AD2">
        <w:trPr>
          <w:cnfStyle w:val="100000000000" w:firstRow="1" w:lastRow="0" w:firstColumn="0" w:lastColumn="0" w:oddVBand="0" w:evenVBand="0" w:oddHBand="0" w:evenHBand="0" w:firstRowFirstColumn="0" w:firstRowLastColumn="0" w:lastRowFirstColumn="0" w:lastRowLastColumn="0"/>
          <w:trHeight w:val="172"/>
        </w:trPr>
        <w:tc>
          <w:tcPr>
            <w:tcW w:w="5295" w:type="dxa"/>
          </w:tcPr>
          <w:p w:rsidR="002026E1" w:rsidRPr="002E44A7" w:rsidRDefault="002026E1" w:rsidP="00826C35">
            <w:pPr>
              <w:spacing w:after="0"/>
              <w:rPr>
                <w:sz w:val="22"/>
              </w:rPr>
            </w:pPr>
          </w:p>
        </w:tc>
        <w:tc>
          <w:tcPr>
            <w:tcW w:w="1283" w:type="dxa"/>
            <w:vAlign w:val="center"/>
          </w:tcPr>
          <w:p w:rsidR="002026E1" w:rsidRPr="00E47AD2" w:rsidRDefault="002026E1" w:rsidP="00BD2C9D">
            <w:pPr>
              <w:spacing w:after="0"/>
              <w:rPr>
                <w:sz w:val="20"/>
              </w:rPr>
            </w:pPr>
            <w:r w:rsidRPr="00E47AD2">
              <w:rPr>
                <w:sz w:val="20"/>
              </w:rPr>
              <w:t>2015</w:t>
            </w:r>
          </w:p>
        </w:tc>
        <w:tc>
          <w:tcPr>
            <w:tcW w:w="1276" w:type="dxa"/>
            <w:vAlign w:val="center"/>
          </w:tcPr>
          <w:p w:rsidR="002026E1" w:rsidRPr="00E47AD2" w:rsidRDefault="002026E1" w:rsidP="00BD2C9D">
            <w:pPr>
              <w:spacing w:after="0"/>
              <w:rPr>
                <w:sz w:val="20"/>
              </w:rPr>
            </w:pPr>
            <w:r w:rsidRPr="00E47AD2">
              <w:rPr>
                <w:sz w:val="20"/>
              </w:rPr>
              <w:t>2016</w:t>
            </w:r>
          </w:p>
        </w:tc>
        <w:tc>
          <w:tcPr>
            <w:tcW w:w="1842" w:type="dxa"/>
          </w:tcPr>
          <w:p w:rsidR="002026E1" w:rsidRPr="002E44A7" w:rsidRDefault="002744A9" w:rsidP="00826C35">
            <w:pPr>
              <w:spacing w:after="0"/>
            </w:pPr>
            <w:r w:rsidRPr="00E47AD2">
              <w:rPr>
                <w:sz w:val="20"/>
              </w:rPr>
              <w:t>% Year on Year change</w:t>
            </w:r>
          </w:p>
        </w:tc>
      </w:tr>
      <w:tr w:rsidR="002026E1" w:rsidRPr="00E517C5" w:rsidTr="00E47AD2">
        <w:trPr>
          <w:trHeight w:val="214"/>
        </w:trPr>
        <w:tc>
          <w:tcPr>
            <w:tcW w:w="5295" w:type="dxa"/>
            <w:tcBorders>
              <w:bottom w:val="single" w:sz="12" w:space="0" w:color="auto"/>
            </w:tcBorders>
          </w:tcPr>
          <w:p w:rsidR="002026E1" w:rsidRPr="002E44A7" w:rsidRDefault="002026E1" w:rsidP="00206D4F">
            <w:pPr>
              <w:spacing w:after="0"/>
              <w:rPr>
                <w:sz w:val="22"/>
              </w:rPr>
            </w:pPr>
            <w:r>
              <w:rPr>
                <w:sz w:val="22"/>
              </w:rPr>
              <w:t xml:space="preserve">Number of </w:t>
            </w:r>
            <w:r w:rsidRPr="002E44A7">
              <w:rPr>
                <w:sz w:val="22"/>
              </w:rPr>
              <w:t>separations</w:t>
            </w:r>
            <w:r>
              <w:rPr>
                <w:sz w:val="22"/>
              </w:rPr>
              <w:t xml:space="preserve"> in Australian public hospitals</w:t>
            </w:r>
            <w:r w:rsidR="001C4E22">
              <w:rPr>
                <w:sz w:val="22"/>
              </w:rPr>
              <w:t xml:space="preserve"> </w:t>
            </w:r>
          </w:p>
        </w:tc>
        <w:tc>
          <w:tcPr>
            <w:tcW w:w="1283" w:type="dxa"/>
            <w:tcBorders>
              <w:bottom w:val="single" w:sz="12" w:space="0" w:color="auto"/>
            </w:tcBorders>
            <w:vAlign w:val="center"/>
          </w:tcPr>
          <w:p w:rsidR="002026E1" w:rsidRPr="00E47AD2" w:rsidRDefault="002026E1" w:rsidP="0083507F">
            <w:pPr>
              <w:spacing w:after="0"/>
              <w:jc w:val="center"/>
              <w:rPr>
                <w:sz w:val="20"/>
              </w:rPr>
            </w:pPr>
            <w:r w:rsidRPr="00E47AD2">
              <w:rPr>
                <w:color w:val="auto"/>
                <w:sz w:val="20"/>
              </w:rPr>
              <w:t>6,367,291</w:t>
            </w:r>
          </w:p>
        </w:tc>
        <w:tc>
          <w:tcPr>
            <w:tcW w:w="1276" w:type="dxa"/>
            <w:tcBorders>
              <w:bottom w:val="single" w:sz="12" w:space="0" w:color="auto"/>
            </w:tcBorders>
            <w:vAlign w:val="center"/>
          </w:tcPr>
          <w:p w:rsidR="002026E1" w:rsidRPr="00E47AD2" w:rsidRDefault="002026E1" w:rsidP="0083507F">
            <w:pPr>
              <w:spacing w:after="0"/>
              <w:jc w:val="center"/>
              <w:rPr>
                <w:sz w:val="20"/>
              </w:rPr>
            </w:pPr>
            <w:r w:rsidRPr="00E47AD2">
              <w:rPr>
                <w:color w:val="auto"/>
                <w:sz w:val="20"/>
              </w:rPr>
              <w:t>6,747,532</w:t>
            </w:r>
          </w:p>
        </w:tc>
        <w:tc>
          <w:tcPr>
            <w:tcW w:w="1842" w:type="dxa"/>
            <w:tcBorders>
              <w:bottom w:val="single" w:sz="12" w:space="0" w:color="auto"/>
            </w:tcBorders>
            <w:vAlign w:val="center"/>
          </w:tcPr>
          <w:p w:rsidR="002026E1" w:rsidRPr="00E47AD2" w:rsidRDefault="002744A9" w:rsidP="0083507F">
            <w:pPr>
              <w:spacing w:after="0"/>
              <w:jc w:val="center"/>
              <w:rPr>
                <w:sz w:val="20"/>
              </w:rPr>
            </w:pPr>
            <w:r w:rsidRPr="00E47AD2">
              <w:rPr>
                <w:sz w:val="20"/>
              </w:rPr>
              <w:t>+6.0%</w:t>
            </w:r>
          </w:p>
        </w:tc>
      </w:tr>
      <w:tr w:rsidR="002026E1" w:rsidRPr="00E517C5" w:rsidTr="00E47AD2">
        <w:trPr>
          <w:trHeight w:val="214"/>
        </w:trPr>
        <w:tc>
          <w:tcPr>
            <w:tcW w:w="5295" w:type="dxa"/>
            <w:tcBorders>
              <w:top w:val="single" w:sz="12" w:space="0" w:color="auto"/>
            </w:tcBorders>
          </w:tcPr>
          <w:p w:rsidR="001C4E22" w:rsidRPr="002E44A7" w:rsidRDefault="002026E1" w:rsidP="0083507F">
            <w:pPr>
              <w:spacing w:after="0"/>
              <w:rPr>
                <w:sz w:val="22"/>
              </w:rPr>
            </w:pPr>
            <w:r>
              <w:rPr>
                <w:sz w:val="22"/>
              </w:rPr>
              <w:t xml:space="preserve">Number of </w:t>
            </w:r>
            <w:r w:rsidRPr="002E44A7">
              <w:rPr>
                <w:sz w:val="22"/>
              </w:rPr>
              <w:t>separations</w:t>
            </w:r>
            <w:r>
              <w:rPr>
                <w:sz w:val="22"/>
              </w:rPr>
              <w:t xml:space="preserve"> with a</w:t>
            </w:r>
            <w:r w:rsidRPr="002E44A7">
              <w:rPr>
                <w:sz w:val="22"/>
              </w:rPr>
              <w:t xml:space="preserve"> A04</w:t>
            </w:r>
            <w:r w:rsidR="00206D4F">
              <w:rPr>
                <w:sz w:val="22"/>
              </w:rPr>
              <w:t>.</w:t>
            </w:r>
            <w:r w:rsidRPr="002E44A7">
              <w:rPr>
                <w:sz w:val="22"/>
              </w:rPr>
              <w:t>7 diagnosis</w:t>
            </w:r>
            <w:r>
              <w:rPr>
                <w:sz w:val="22"/>
              </w:rPr>
              <w:t xml:space="preserve"> </w:t>
            </w:r>
          </w:p>
        </w:tc>
        <w:tc>
          <w:tcPr>
            <w:tcW w:w="1283" w:type="dxa"/>
            <w:tcBorders>
              <w:top w:val="single" w:sz="12" w:space="0" w:color="auto"/>
            </w:tcBorders>
            <w:vAlign w:val="center"/>
          </w:tcPr>
          <w:p w:rsidR="002026E1" w:rsidRPr="00E47AD2" w:rsidRDefault="002026E1" w:rsidP="0083507F">
            <w:pPr>
              <w:spacing w:after="0"/>
              <w:jc w:val="center"/>
              <w:rPr>
                <w:sz w:val="20"/>
              </w:rPr>
            </w:pPr>
            <w:r w:rsidRPr="00E47AD2">
              <w:rPr>
                <w:sz w:val="20"/>
              </w:rPr>
              <w:t>7</w:t>
            </w:r>
            <w:r w:rsidR="006D6399" w:rsidRPr="00E47AD2">
              <w:rPr>
                <w:sz w:val="20"/>
              </w:rPr>
              <w:t>,</w:t>
            </w:r>
            <w:r w:rsidRPr="00E47AD2">
              <w:rPr>
                <w:sz w:val="20"/>
              </w:rPr>
              <w:t>550</w:t>
            </w:r>
          </w:p>
        </w:tc>
        <w:tc>
          <w:tcPr>
            <w:tcW w:w="1276" w:type="dxa"/>
            <w:tcBorders>
              <w:top w:val="single" w:sz="12" w:space="0" w:color="auto"/>
            </w:tcBorders>
            <w:vAlign w:val="center"/>
          </w:tcPr>
          <w:p w:rsidR="002026E1" w:rsidRPr="00E47AD2" w:rsidRDefault="002026E1" w:rsidP="0083507F">
            <w:pPr>
              <w:spacing w:after="0"/>
              <w:jc w:val="center"/>
              <w:rPr>
                <w:sz w:val="20"/>
              </w:rPr>
            </w:pPr>
            <w:r w:rsidRPr="00E47AD2">
              <w:rPr>
                <w:sz w:val="20"/>
              </w:rPr>
              <w:t>7,836</w:t>
            </w:r>
          </w:p>
        </w:tc>
        <w:tc>
          <w:tcPr>
            <w:tcW w:w="1842" w:type="dxa"/>
            <w:tcBorders>
              <w:top w:val="single" w:sz="12" w:space="0" w:color="auto"/>
            </w:tcBorders>
            <w:vAlign w:val="center"/>
          </w:tcPr>
          <w:p w:rsidR="002026E1" w:rsidRPr="00E47AD2" w:rsidRDefault="002744A9" w:rsidP="0083507F">
            <w:pPr>
              <w:spacing w:after="0"/>
              <w:jc w:val="center"/>
              <w:rPr>
                <w:sz w:val="20"/>
              </w:rPr>
            </w:pPr>
            <w:r w:rsidRPr="00E47AD2">
              <w:rPr>
                <w:sz w:val="20"/>
              </w:rPr>
              <w:t>+3.8%</w:t>
            </w:r>
          </w:p>
        </w:tc>
      </w:tr>
      <w:tr w:rsidR="002026E1" w:rsidRPr="00E517C5" w:rsidTr="00E47AD2">
        <w:trPr>
          <w:trHeight w:val="200"/>
        </w:trPr>
        <w:tc>
          <w:tcPr>
            <w:tcW w:w="5295" w:type="dxa"/>
            <w:tcBorders>
              <w:bottom w:val="single" w:sz="4" w:space="0" w:color="auto"/>
            </w:tcBorders>
          </w:tcPr>
          <w:p w:rsidR="001C4E22" w:rsidRPr="002E44A7" w:rsidRDefault="002026E1" w:rsidP="00206D4F">
            <w:pPr>
              <w:spacing w:after="0"/>
              <w:rPr>
                <w:sz w:val="22"/>
              </w:rPr>
            </w:pPr>
            <w:r>
              <w:rPr>
                <w:sz w:val="22"/>
              </w:rPr>
              <w:t xml:space="preserve">Number of </w:t>
            </w:r>
            <w:r w:rsidRPr="002E44A7">
              <w:rPr>
                <w:sz w:val="22"/>
              </w:rPr>
              <w:t>separations</w:t>
            </w:r>
            <w:r>
              <w:rPr>
                <w:sz w:val="22"/>
              </w:rPr>
              <w:t xml:space="preserve"> with a</w:t>
            </w:r>
            <w:r w:rsidRPr="002E44A7">
              <w:rPr>
                <w:sz w:val="22"/>
              </w:rPr>
              <w:t xml:space="preserve"> </w:t>
            </w:r>
            <w:r>
              <w:rPr>
                <w:sz w:val="22"/>
              </w:rPr>
              <w:t xml:space="preserve">principal </w:t>
            </w:r>
            <w:r w:rsidRPr="002E44A7">
              <w:rPr>
                <w:sz w:val="22"/>
              </w:rPr>
              <w:t>A04</w:t>
            </w:r>
            <w:r w:rsidR="00206D4F">
              <w:rPr>
                <w:sz w:val="22"/>
              </w:rPr>
              <w:t>.</w:t>
            </w:r>
            <w:r w:rsidRPr="002E44A7">
              <w:rPr>
                <w:sz w:val="22"/>
              </w:rPr>
              <w:t>7 diagnosis</w:t>
            </w:r>
            <w:r>
              <w:rPr>
                <w:sz w:val="22"/>
              </w:rPr>
              <w:t xml:space="preserve"> </w:t>
            </w:r>
          </w:p>
        </w:tc>
        <w:tc>
          <w:tcPr>
            <w:tcW w:w="1283" w:type="dxa"/>
            <w:tcBorders>
              <w:bottom w:val="single" w:sz="2" w:space="0" w:color="auto"/>
            </w:tcBorders>
            <w:vAlign w:val="center"/>
          </w:tcPr>
          <w:p w:rsidR="002026E1" w:rsidRPr="00E47AD2" w:rsidRDefault="002026E1" w:rsidP="0083507F">
            <w:pPr>
              <w:spacing w:after="0"/>
              <w:jc w:val="center"/>
              <w:rPr>
                <w:sz w:val="20"/>
              </w:rPr>
            </w:pPr>
            <w:r w:rsidRPr="00E47AD2">
              <w:rPr>
                <w:sz w:val="20"/>
              </w:rPr>
              <w:t>2,178</w:t>
            </w:r>
          </w:p>
        </w:tc>
        <w:tc>
          <w:tcPr>
            <w:tcW w:w="1276" w:type="dxa"/>
            <w:tcBorders>
              <w:bottom w:val="single" w:sz="2" w:space="0" w:color="auto"/>
            </w:tcBorders>
            <w:vAlign w:val="center"/>
          </w:tcPr>
          <w:p w:rsidR="002026E1" w:rsidRPr="00E47AD2" w:rsidRDefault="002026E1" w:rsidP="0083507F">
            <w:pPr>
              <w:spacing w:after="0"/>
              <w:jc w:val="center"/>
              <w:rPr>
                <w:sz w:val="20"/>
              </w:rPr>
            </w:pPr>
            <w:r w:rsidRPr="00E47AD2">
              <w:rPr>
                <w:sz w:val="20"/>
              </w:rPr>
              <w:t>2,444</w:t>
            </w:r>
          </w:p>
        </w:tc>
        <w:tc>
          <w:tcPr>
            <w:tcW w:w="1842" w:type="dxa"/>
            <w:tcBorders>
              <w:bottom w:val="single" w:sz="2" w:space="0" w:color="auto"/>
            </w:tcBorders>
            <w:vAlign w:val="center"/>
          </w:tcPr>
          <w:p w:rsidR="002026E1" w:rsidRPr="00E47AD2" w:rsidRDefault="002744A9" w:rsidP="0083507F">
            <w:pPr>
              <w:spacing w:after="0"/>
              <w:jc w:val="center"/>
              <w:rPr>
                <w:sz w:val="20"/>
              </w:rPr>
            </w:pPr>
            <w:r w:rsidRPr="00E47AD2">
              <w:rPr>
                <w:sz w:val="20"/>
              </w:rPr>
              <w:t>+12.2%</w:t>
            </w:r>
          </w:p>
        </w:tc>
      </w:tr>
      <w:tr w:rsidR="002026E1" w:rsidRPr="00E517C5" w:rsidTr="00E47AD2">
        <w:trPr>
          <w:trHeight w:val="214"/>
        </w:trPr>
        <w:tc>
          <w:tcPr>
            <w:tcW w:w="5295" w:type="dxa"/>
            <w:tcBorders>
              <w:bottom w:val="single" w:sz="12" w:space="0" w:color="auto"/>
              <w:right w:val="single" w:sz="2" w:space="0" w:color="auto"/>
            </w:tcBorders>
          </w:tcPr>
          <w:p w:rsidR="001C4E22" w:rsidRPr="002E44A7" w:rsidRDefault="002026E1" w:rsidP="00206D4F">
            <w:pPr>
              <w:spacing w:after="0"/>
              <w:rPr>
                <w:sz w:val="22"/>
              </w:rPr>
            </w:pPr>
            <w:r>
              <w:rPr>
                <w:sz w:val="22"/>
              </w:rPr>
              <w:t xml:space="preserve">Number of </w:t>
            </w:r>
            <w:r w:rsidRPr="002E44A7">
              <w:rPr>
                <w:sz w:val="22"/>
              </w:rPr>
              <w:t>separations</w:t>
            </w:r>
            <w:r>
              <w:rPr>
                <w:sz w:val="22"/>
              </w:rPr>
              <w:t xml:space="preserve"> with an additional </w:t>
            </w:r>
            <w:r w:rsidRPr="002E44A7">
              <w:rPr>
                <w:sz w:val="22"/>
              </w:rPr>
              <w:t>A04</w:t>
            </w:r>
            <w:r w:rsidR="00206D4F">
              <w:rPr>
                <w:sz w:val="22"/>
              </w:rPr>
              <w:t>.</w:t>
            </w:r>
            <w:r w:rsidRPr="002E44A7">
              <w:rPr>
                <w:sz w:val="22"/>
              </w:rPr>
              <w:t>7 diagnosis</w:t>
            </w:r>
            <w:r>
              <w:rPr>
                <w:sz w:val="22"/>
              </w:rPr>
              <w:t xml:space="preserve"> </w:t>
            </w:r>
          </w:p>
        </w:tc>
        <w:tc>
          <w:tcPr>
            <w:tcW w:w="1283" w:type="dxa"/>
            <w:tcBorders>
              <w:top w:val="single" w:sz="2" w:space="0" w:color="auto"/>
              <w:left w:val="single" w:sz="2" w:space="0" w:color="auto"/>
              <w:bottom w:val="single" w:sz="12" w:space="0" w:color="auto"/>
              <w:right w:val="single" w:sz="2" w:space="0" w:color="auto"/>
            </w:tcBorders>
            <w:vAlign w:val="center"/>
          </w:tcPr>
          <w:p w:rsidR="002026E1" w:rsidRPr="00E47AD2" w:rsidRDefault="002026E1" w:rsidP="0083507F">
            <w:pPr>
              <w:spacing w:after="0"/>
              <w:jc w:val="center"/>
              <w:rPr>
                <w:sz w:val="20"/>
              </w:rPr>
            </w:pPr>
            <w:r w:rsidRPr="00E47AD2">
              <w:rPr>
                <w:sz w:val="20"/>
              </w:rPr>
              <w:t>5,372</w:t>
            </w:r>
          </w:p>
        </w:tc>
        <w:tc>
          <w:tcPr>
            <w:tcW w:w="1276" w:type="dxa"/>
            <w:tcBorders>
              <w:top w:val="single" w:sz="2" w:space="0" w:color="auto"/>
              <w:left w:val="single" w:sz="2" w:space="0" w:color="auto"/>
              <w:bottom w:val="single" w:sz="12" w:space="0" w:color="auto"/>
              <w:right w:val="single" w:sz="2" w:space="0" w:color="auto"/>
            </w:tcBorders>
            <w:vAlign w:val="center"/>
          </w:tcPr>
          <w:p w:rsidR="002026E1" w:rsidRPr="00E47AD2" w:rsidRDefault="002026E1" w:rsidP="0083507F">
            <w:pPr>
              <w:spacing w:after="0"/>
              <w:jc w:val="center"/>
              <w:rPr>
                <w:sz w:val="20"/>
              </w:rPr>
            </w:pPr>
            <w:r w:rsidRPr="00E47AD2">
              <w:rPr>
                <w:sz w:val="20"/>
              </w:rPr>
              <w:t>5,392</w:t>
            </w:r>
          </w:p>
        </w:tc>
        <w:tc>
          <w:tcPr>
            <w:tcW w:w="1842" w:type="dxa"/>
            <w:tcBorders>
              <w:top w:val="single" w:sz="2" w:space="0" w:color="auto"/>
              <w:left w:val="single" w:sz="2" w:space="0" w:color="auto"/>
              <w:bottom w:val="single" w:sz="12" w:space="0" w:color="auto"/>
              <w:right w:val="single" w:sz="2" w:space="0" w:color="auto"/>
            </w:tcBorders>
            <w:vAlign w:val="center"/>
          </w:tcPr>
          <w:p w:rsidR="002026E1" w:rsidRPr="00E47AD2" w:rsidRDefault="002744A9" w:rsidP="0083507F">
            <w:pPr>
              <w:spacing w:after="0"/>
              <w:jc w:val="center"/>
              <w:rPr>
                <w:sz w:val="20"/>
              </w:rPr>
            </w:pPr>
            <w:r w:rsidRPr="00E47AD2">
              <w:rPr>
                <w:sz w:val="20"/>
              </w:rPr>
              <w:t>+0.4%</w:t>
            </w:r>
          </w:p>
        </w:tc>
      </w:tr>
      <w:tr w:rsidR="006D6399" w:rsidRPr="00E517C5" w:rsidTr="00E47AD2">
        <w:trPr>
          <w:trHeight w:val="214"/>
        </w:trPr>
        <w:tc>
          <w:tcPr>
            <w:tcW w:w="5295" w:type="dxa"/>
            <w:tcBorders>
              <w:bottom w:val="single" w:sz="4" w:space="0" w:color="auto"/>
            </w:tcBorders>
          </w:tcPr>
          <w:p w:rsidR="001C4E22" w:rsidRPr="00BD2C9D" w:rsidRDefault="006D6399" w:rsidP="00206D4F">
            <w:pPr>
              <w:spacing w:after="0"/>
              <w:rPr>
                <w:sz w:val="22"/>
              </w:rPr>
            </w:pPr>
            <w:r>
              <w:rPr>
                <w:sz w:val="22"/>
              </w:rPr>
              <w:t xml:space="preserve">Number of </w:t>
            </w:r>
            <w:r w:rsidRPr="002E44A7">
              <w:rPr>
                <w:sz w:val="22"/>
              </w:rPr>
              <w:t>separations</w:t>
            </w:r>
            <w:r>
              <w:rPr>
                <w:sz w:val="22"/>
              </w:rPr>
              <w:t xml:space="preserve"> with an additional </w:t>
            </w:r>
            <w:r w:rsidRPr="002E44A7">
              <w:rPr>
                <w:sz w:val="22"/>
              </w:rPr>
              <w:t>A0</w:t>
            </w:r>
            <w:r w:rsidR="00880EDE">
              <w:rPr>
                <w:sz w:val="22"/>
              </w:rPr>
              <w:t>.</w:t>
            </w:r>
            <w:r w:rsidRPr="002E44A7">
              <w:rPr>
                <w:sz w:val="22"/>
              </w:rPr>
              <w:t>47 diagnosis</w:t>
            </w:r>
            <w:r>
              <w:rPr>
                <w:sz w:val="22"/>
              </w:rPr>
              <w:t>, with COF1</w:t>
            </w:r>
            <w:r w:rsidR="001C4E22">
              <w:rPr>
                <w:sz w:val="22"/>
              </w:rPr>
              <w:t>*</w:t>
            </w:r>
            <w:r w:rsidR="00BD2C9D">
              <w:rPr>
                <w:sz w:val="22"/>
              </w:rPr>
              <w:t xml:space="preserve"> </w:t>
            </w:r>
          </w:p>
        </w:tc>
        <w:tc>
          <w:tcPr>
            <w:tcW w:w="1283" w:type="dxa"/>
            <w:tcBorders>
              <w:top w:val="single" w:sz="12" w:space="0" w:color="auto"/>
              <w:bottom w:val="single" w:sz="4" w:space="0" w:color="auto"/>
            </w:tcBorders>
            <w:vAlign w:val="center"/>
          </w:tcPr>
          <w:p w:rsidR="006D6399" w:rsidRPr="00E47AD2" w:rsidRDefault="006D6399" w:rsidP="00B527F3">
            <w:pPr>
              <w:spacing w:after="0"/>
              <w:jc w:val="center"/>
              <w:rPr>
                <w:sz w:val="20"/>
              </w:rPr>
            </w:pPr>
            <w:r w:rsidRPr="00E47AD2">
              <w:rPr>
                <w:sz w:val="20"/>
              </w:rPr>
              <w:t>1,885</w:t>
            </w:r>
          </w:p>
        </w:tc>
        <w:tc>
          <w:tcPr>
            <w:tcW w:w="1276" w:type="dxa"/>
            <w:tcBorders>
              <w:top w:val="single" w:sz="12" w:space="0" w:color="auto"/>
              <w:bottom w:val="single" w:sz="4" w:space="0" w:color="auto"/>
            </w:tcBorders>
            <w:vAlign w:val="center"/>
          </w:tcPr>
          <w:p w:rsidR="006D6399" w:rsidRPr="00E47AD2" w:rsidRDefault="006D6399" w:rsidP="00B527F3">
            <w:pPr>
              <w:spacing w:after="0"/>
              <w:jc w:val="center"/>
              <w:rPr>
                <w:sz w:val="20"/>
              </w:rPr>
            </w:pPr>
            <w:r w:rsidRPr="00E47AD2">
              <w:rPr>
                <w:sz w:val="20"/>
              </w:rPr>
              <w:t>1,767</w:t>
            </w:r>
          </w:p>
        </w:tc>
        <w:tc>
          <w:tcPr>
            <w:tcW w:w="1842" w:type="dxa"/>
            <w:tcBorders>
              <w:top w:val="single" w:sz="12" w:space="0" w:color="auto"/>
              <w:bottom w:val="single" w:sz="4" w:space="0" w:color="auto"/>
            </w:tcBorders>
            <w:vAlign w:val="center"/>
          </w:tcPr>
          <w:p w:rsidR="006D6399" w:rsidRPr="00E47AD2" w:rsidRDefault="006D6399" w:rsidP="00B527F3">
            <w:pPr>
              <w:spacing w:after="0"/>
              <w:jc w:val="center"/>
              <w:rPr>
                <w:sz w:val="20"/>
              </w:rPr>
            </w:pPr>
            <w:r w:rsidRPr="00E47AD2">
              <w:rPr>
                <w:sz w:val="20"/>
              </w:rPr>
              <w:t>-6.3%</w:t>
            </w:r>
          </w:p>
        </w:tc>
      </w:tr>
      <w:tr w:rsidR="006D6399" w:rsidRPr="00E517C5" w:rsidTr="00E47AD2">
        <w:trPr>
          <w:trHeight w:val="214"/>
        </w:trPr>
        <w:tc>
          <w:tcPr>
            <w:tcW w:w="5295" w:type="dxa"/>
            <w:tcBorders>
              <w:top w:val="single" w:sz="4" w:space="0" w:color="auto"/>
              <w:bottom w:val="single" w:sz="12" w:space="0" w:color="auto"/>
            </w:tcBorders>
          </w:tcPr>
          <w:p w:rsidR="006D6399" w:rsidRDefault="006D6399" w:rsidP="006D6399">
            <w:pPr>
              <w:spacing w:after="0"/>
              <w:rPr>
                <w:sz w:val="22"/>
              </w:rPr>
            </w:pPr>
            <w:r>
              <w:rPr>
                <w:sz w:val="22"/>
              </w:rPr>
              <w:t xml:space="preserve">Number of </w:t>
            </w:r>
            <w:r w:rsidRPr="002E44A7">
              <w:rPr>
                <w:sz w:val="22"/>
              </w:rPr>
              <w:t>separations</w:t>
            </w:r>
            <w:r>
              <w:rPr>
                <w:sz w:val="22"/>
              </w:rPr>
              <w:t xml:space="preserve"> with an additional </w:t>
            </w:r>
          </w:p>
          <w:p w:rsidR="001C4E22" w:rsidRPr="00BD2C9D" w:rsidRDefault="006D6399" w:rsidP="00206D4F">
            <w:pPr>
              <w:spacing w:after="0"/>
              <w:rPr>
                <w:sz w:val="22"/>
              </w:rPr>
            </w:pPr>
            <w:r w:rsidRPr="002E44A7">
              <w:rPr>
                <w:sz w:val="22"/>
              </w:rPr>
              <w:t>A04</w:t>
            </w:r>
            <w:r w:rsidR="00206D4F">
              <w:rPr>
                <w:sz w:val="22"/>
              </w:rPr>
              <w:t>.</w:t>
            </w:r>
            <w:r w:rsidRPr="002E44A7">
              <w:rPr>
                <w:sz w:val="22"/>
              </w:rPr>
              <w:t>7 diagnosis</w:t>
            </w:r>
            <w:r>
              <w:rPr>
                <w:sz w:val="22"/>
              </w:rPr>
              <w:t>, with COF2</w:t>
            </w:r>
            <w:r w:rsidR="001C4E22">
              <w:rPr>
                <w:sz w:val="22"/>
              </w:rPr>
              <w:t>*</w:t>
            </w:r>
          </w:p>
        </w:tc>
        <w:tc>
          <w:tcPr>
            <w:tcW w:w="1283" w:type="dxa"/>
            <w:tcBorders>
              <w:top w:val="single" w:sz="4" w:space="0" w:color="auto"/>
              <w:bottom w:val="single" w:sz="4" w:space="0" w:color="auto"/>
            </w:tcBorders>
            <w:vAlign w:val="center"/>
          </w:tcPr>
          <w:p w:rsidR="006D6399" w:rsidRPr="00E47AD2" w:rsidRDefault="006D6399" w:rsidP="00B527F3">
            <w:pPr>
              <w:spacing w:after="0"/>
              <w:jc w:val="center"/>
              <w:rPr>
                <w:sz w:val="20"/>
              </w:rPr>
            </w:pPr>
            <w:r w:rsidRPr="00E47AD2">
              <w:rPr>
                <w:sz w:val="20"/>
              </w:rPr>
              <w:t>3,365</w:t>
            </w:r>
          </w:p>
        </w:tc>
        <w:tc>
          <w:tcPr>
            <w:tcW w:w="1276" w:type="dxa"/>
            <w:tcBorders>
              <w:top w:val="single" w:sz="4" w:space="0" w:color="auto"/>
              <w:bottom w:val="single" w:sz="4" w:space="0" w:color="auto"/>
            </w:tcBorders>
            <w:vAlign w:val="center"/>
          </w:tcPr>
          <w:p w:rsidR="006D6399" w:rsidRPr="00E47AD2" w:rsidRDefault="006D6399" w:rsidP="00B527F3">
            <w:pPr>
              <w:spacing w:after="0"/>
              <w:jc w:val="center"/>
              <w:rPr>
                <w:sz w:val="20"/>
              </w:rPr>
            </w:pPr>
            <w:r w:rsidRPr="00E47AD2">
              <w:rPr>
                <w:sz w:val="20"/>
              </w:rPr>
              <w:t>3,476</w:t>
            </w:r>
          </w:p>
        </w:tc>
        <w:tc>
          <w:tcPr>
            <w:tcW w:w="1842" w:type="dxa"/>
            <w:tcBorders>
              <w:top w:val="single" w:sz="4" w:space="0" w:color="auto"/>
              <w:bottom w:val="single" w:sz="4" w:space="0" w:color="auto"/>
            </w:tcBorders>
            <w:vAlign w:val="center"/>
          </w:tcPr>
          <w:p w:rsidR="006D6399" w:rsidRPr="00E47AD2" w:rsidRDefault="006D6399" w:rsidP="00B527F3">
            <w:pPr>
              <w:spacing w:after="0"/>
              <w:jc w:val="center"/>
              <w:rPr>
                <w:sz w:val="20"/>
              </w:rPr>
            </w:pPr>
            <w:r w:rsidRPr="00E47AD2">
              <w:rPr>
                <w:sz w:val="20"/>
              </w:rPr>
              <w:t>+3.3%</w:t>
            </w:r>
          </w:p>
        </w:tc>
      </w:tr>
      <w:tr w:rsidR="006D6399" w:rsidRPr="00E517C5" w:rsidTr="00E47AD2">
        <w:trPr>
          <w:trHeight w:val="416"/>
        </w:trPr>
        <w:tc>
          <w:tcPr>
            <w:tcW w:w="5295" w:type="dxa"/>
            <w:tcBorders>
              <w:top w:val="single" w:sz="12" w:space="0" w:color="auto"/>
              <w:bottom w:val="single" w:sz="12" w:space="0" w:color="auto"/>
            </w:tcBorders>
          </w:tcPr>
          <w:p w:rsidR="006D6399" w:rsidRDefault="006D6399" w:rsidP="0083507F">
            <w:pPr>
              <w:spacing w:after="0"/>
              <w:rPr>
                <w:sz w:val="22"/>
              </w:rPr>
            </w:pPr>
            <w:r w:rsidRPr="002E44A7">
              <w:rPr>
                <w:sz w:val="22"/>
              </w:rPr>
              <w:lastRenderedPageBreak/>
              <w:t xml:space="preserve">Estimated pre-existing </w:t>
            </w:r>
            <w:r>
              <w:rPr>
                <w:sz w:val="22"/>
              </w:rPr>
              <w:t>burden</w:t>
            </w:r>
          </w:p>
          <w:p w:rsidR="006D6399" w:rsidRPr="002E44A7" w:rsidRDefault="00206D4F" w:rsidP="0083507F">
            <w:pPr>
              <w:spacing w:after="0"/>
              <w:rPr>
                <w:i/>
                <w:sz w:val="22"/>
              </w:rPr>
            </w:pPr>
            <w:r>
              <w:rPr>
                <w:i/>
                <w:sz w:val="22"/>
              </w:rPr>
              <w:t>Principal A0</w:t>
            </w:r>
            <w:r w:rsidR="006D6399" w:rsidRPr="002E44A7">
              <w:rPr>
                <w:i/>
                <w:sz w:val="22"/>
              </w:rPr>
              <w:t>4</w:t>
            </w:r>
            <w:r>
              <w:rPr>
                <w:i/>
                <w:sz w:val="22"/>
              </w:rPr>
              <w:t>.</w:t>
            </w:r>
            <w:r w:rsidR="006D6399" w:rsidRPr="002E44A7">
              <w:rPr>
                <w:i/>
                <w:sz w:val="22"/>
              </w:rPr>
              <w:t>7 + Additional A04</w:t>
            </w:r>
            <w:r>
              <w:rPr>
                <w:i/>
                <w:sz w:val="22"/>
              </w:rPr>
              <w:t>.</w:t>
            </w:r>
            <w:r w:rsidR="006D6399" w:rsidRPr="002E44A7">
              <w:rPr>
                <w:i/>
                <w:sz w:val="22"/>
              </w:rPr>
              <w:t>7, COF2*</w:t>
            </w:r>
          </w:p>
        </w:tc>
        <w:tc>
          <w:tcPr>
            <w:tcW w:w="1283" w:type="dxa"/>
            <w:tcBorders>
              <w:top w:val="single" w:sz="12" w:space="0" w:color="auto"/>
              <w:bottom w:val="single" w:sz="12" w:space="0" w:color="auto"/>
            </w:tcBorders>
            <w:vAlign w:val="center"/>
          </w:tcPr>
          <w:p w:rsidR="006D6399" w:rsidRPr="00E47AD2" w:rsidRDefault="006D6399" w:rsidP="0083507F">
            <w:pPr>
              <w:spacing w:after="0"/>
              <w:jc w:val="center"/>
              <w:rPr>
                <w:sz w:val="20"/>
              </w:rPr>
            </w:pPr>
            <w:r w:rsidRPr="00E47AD2">
              <w:rPr>
                <w:sz w:val="20"/>
              </w:rPr>
              <w:t>5,543</w:t>
            </w:r>
          </w:p>
        </w:tc>
        <w:tc>
          <w:tcPr>
            <w:tcW w:w="1276" w:type="dxa"/>
            <w:tcBorders>
              <w:top w:val="single" w:sz="12" w:space="0" w:color="auto"/>
              <w:bottom w:val="single" w:sz="12" w:space="0" w:color="auto"/>
            </w:tcBorders>
            <w:vAlign w:val="center"/>
          </w:tcPr>
          <w:p w:rsidR="006D6399" w:rsidRPr="00E47AD2" w:rsidRDefault="006D6399" w:rsidP="0083507F">
            <w:pPr>
              <w:spacing w:after="0"/>
              <w:jc w:val="center"/>
              <w:rPr>
                <w:sz w:val="20"/>
              </w:rPr>
            </w:pPr>
            <w:r w:rsidRPr="00E47AD2">
              <w:rPr>
                <w:sz w:val="20"/>
              </w:rPr>
              <w:t>5,920</w:t>
            </w:r>
          </w:p>
        </w:tc>
        <w:tc>
          <w:tcPr>
            <w:tcW w:w="1842" w:type="dxa"/>
            <w:tcBorders>
              <w:top w:val="single" w:sz="12" w:space="0" w:color="auto"/>
              <w:bottom w:val="single" w:sz="12" w:space="0" w:color="auto"/>
            </w:tcBorders>
            <w:vAlign w:val="center"/>
          </w:tcPr>
          <w:p w:rsidR="006D6399" w:rsidRPr="00E47AD2" w:rsidRDefault="006D6399" w:rsidP="0083507F">
            <w:pPr>
              <w:spacing w:after="0"/>
              <w:jc w:val="center"/>
              <w:rPr>
                <w:sz w:val="20"/>
              </w:rPr>
            </w:pPr>
            <w:r w:rsidRPr="00E47AD2">
              <w:rPr>
                <w:sz w:val="20"/>
              </w:rPr>
              <w:t>+6.8%</w:t>
            </w:r>
          </w:p>
        </w:tc>
      </w:tr>
    </w:tbl>
    <w:p w:rsidR="00825675" w:rsidRPr="00030D19" w:rsidRDefault="0083507F" w:rsidP="00441B0A">
      <w:pPr>
        <w:pStyle w:val="Heading3"/>
        <w:spacing w:before="0" w:after="0"/>
        <w:rPr>
          <w:b w:val="0"/>
          <w:sz w:val="22"/>
          <w:szCs w:val="22"/>
        </w:rPr>
      </w:pPr>
      <w:r w:rsidRPr="00030D19">
        <w:rPr>
          <w:rStyle w:val="FootnoteReference"/>
          <w:b w:val="0"/>
          <w:color w:val="auto"/>
          <w:sz w:val="22"/>
          <w:szCs w:val="22"/>
        </w:rPr>
        <w:footnoteRef/>
      </w:r>
      <w:r w:rsidRPr="00030D19">
        <w:rPr>
          <w:b w:val="0"/>
          <w:color w:val="auto"/>
          <w:sz w:val="22"/>
          <w:szCs w:val="22"/>
        </w:rPr>
        <w:t xml:space="preserve"> Based on hospitals with highly reliable COF coding </w:t>
      </w:r>
      <w:r w:rsidR="00206D4F">
        <w:rPr>
          <w:b w:val="0"/>
          <w:color w:val="auto"/>
          <w:sz w:val="22"/>
          <w:szCs w:val="22"/>
        </w:rPr>
        <w:t>only</w:t>
      </w:r>
    </w:p>
    <w:p w:rsidR="00825675" w:rsidRPr="00081331" w:rsidRDefault="00825675" w:rsidP="00825675">
      <w:pPr>
        <w:pStyle w:val="Heading3"/>
      </w:pPr>
      <w:r>
        <w:t>Commentary</w:t>
      </w:r>
    </w:p>
    <w:p w:rsidR="003A79A2" w:rsidRDefault="00BF2D9D" w:rsidP="003A79A2">
      <w:pPr>
        <w:spacing w:after="0"/>
      </w:pPr>
      <w:r>
        <w:t>Only a third of additional A04</w:t>
      </w:r>
      <w:r w:rsidR="00206D4F">
        <w:t>.</w:t>
      </w:r>
      <w:r>
        <w:t xml:space="preserve">7 diagnoses were related directly to </w:t>
      </w:r>
      <w:r w:rsidR="001D192C">
        <w:t xml:space="preserve">the </w:t>
      </w:r>
      <w:r>
        <w:t>health</w:t>
      </w:r>
      <w:r w:rsidR="001D192C">
        <w:t xml:space="preserve"> </w:t>
      </w:r>
      <w:r>
        <w:t xml:space="preserve">care </w:t>
      </w:r>
      <w:r w:rsidR="001D192C">
        <w:t>provided</w:t>
      </w:r>
      <w:r w:rsidR="00E47AD2">
        <w:t xml:space="preserve"> during the separation for which A04</w:t>
      </w:r>
      <w:r w:rsidR="00206D4F">
        <w:t>.</w:t>
      </w:r>
      <w:r w:rsidR="00E47AD2">
        <w:t>7 diagnosis was assigned</w:t>
      </w:r>
      <w:r w:rsidR="00880EDE">
        <w:t xml:space="preserve"> (Figure 3)</w:t>
      </w:r>
      <w:r>
        <w:t xml:space="preserve">. </w:t>
      </w:r>
      <w:r w:rsidR="003A79A2">
        <w:t xml:space="preserve">The data suggests that 75.6% of CDI presenting to Australian hospitals in 2016 </w:t>
      </w:r>
      <w:r w:rsidR="00D07453">
        <w:t>is</w:t>
      </w:r>
      <w:r w:rsidR="003A79A2">
        <w:t xml:space="preserve"> due to previous exposure, either in the community or during a previous health care admission, and </w:t>
      </w:r>
      <w:r w:rsidR="006B1483">
        <w:t>is</w:t>
      </w:r>
      <w:r w:rsidR="003A79A2">
        <w:t xml:space="preserve"> not related to the health care delivered </w:t>
      </w:r>
      <w:r w:rsidR="006B1483">
        <w:t>during the</w:t>
      </w:r>
      <w:r w:rsidR="003A79A2">
        <w:t xml:space="preserve"> separation for which the diagnosis was assigned. This proportion has increased by 6.8% since 2015</w:t>
      </w:r>
      <w:r w:rsidR="0017581E">
        <w:t xml:space="preserve"> (Table 2)</w:t>
      </w:r>
      <w:r w:rsidR="003A79A2">
        <w:t>.</w:t>
      </w:r>
    </w:p>
    <w:p w:rsidR="00121EE4" w:rsidRDefault="00121EE4" w:rsidP="00CC5604">
      <w:pPr>
        <w:spacing w:after="0"/>
      </w:pPr>
    </w:p>
    <w:p w:rsidR="00806E29" w:rsidRDefault="00E47AD2" w:rsidP="00CC5604">
      <w:pPr>
        <w:spacing w:after="0"/>
      </w:pPr>
      <w:r>
        <w:t xml:space="preserve">The </w:t>
      </w:r>
      <w:r w:rsidR="005066B9">
        <w:t>rate of</w:t>
      </w:r>
      <w:r w:rsidR="00121EE4">
        <w:t xml:space="preserve"> additional A04</w:t>
      </w:r>
      <w:r w:rsidR="001D192C">
        <w:t>.</w:t>
      </w:r>
      <w:r w:rsidR="00121EE4">
        <w:t>7</w:t>
      </w:r>
      <w:r w:rsidR="005066B9">
        <w:t xml:space="preserve"> diagnos</w:t>
      </w:r>
      <w:r w:rsidR="00926D03">
        <w:t>is</w:t>
      </w:r>
      <w:r w:rsidR="005066B9">
        <w:t xml:space="preserve"> </w:t>
      </w:r>
      <w:r w:rsidR="00121EE4">
        <w:t>w</w:t>
      </w:r>
      <w:r w:rsidR="00926D03">
        <w:t>as</w:t>
      </w:r>
      <w:r w:rsidR="00121EE4">
        <w:t xml:space="preserve"> highest in January and December. </w:t>
      </w:r>
      <w:r w:rsidR="00B97962">
        <w:t xml:space="preserve">There was </w:t>
      </w:r>
      <w:r w:rsidR="00D97070">
        <w:t xml:space="preserve">little variation in </w:t>
      </w:r>
      <w:r w:rsidR="005066B9">
        <w:t>these</w:t>
      </w:r>
      <w:r w:rsidR="00D97070">
        <w:t xml:space="preserve"> rate</w:t>
      </w:r>
      <w:r w:rsidR="005066B9">
        <w:t>s</w:t>
      </w:r>
      <w:r w:rsidR="00D97070">
        <w:t xml:space="preserve"> throughout the year:</w:t>
      </w:r>
    </w:p>
    <w:p w:rsidR="00D97070" w:rsidRDefault="00D97070" w:rsidP="00CC5604">
      <w:pPr>
        <w:pStyle w:val="ListParagraph"/>
        <w:numPr>
          <w:ilvl w:val="0"/>
          <w:numId w:val="25"/>
        </w:numPr>
        <w:spacing w:after="0"/>
      </w:pPr>
      <w:r>
        <w:t>The rate of additional A04</w:t>
      </w:r>
      <w:r w:rsidR="00206D4F">
        <w:t>.</w:t>
      </w:r>
      <w:r>
        <w:t>7 diagnoses ranged from 2.84 to 2.48 diagnos</w:t>
      </w:r>
      <w:r w:rsidR="00B97962">
        <w:t>es per 10,000 patient bed days</w:t>
      </w:r>
    </w:p>
    <w:p w:rsidR="00D97070" w:rsidRDefault="00D97070" w:rsidP="00CC5604">
      <w:pPr>
        <w:pStyle w:val="ListParagraph"/>
        <w:numPr>
          <w:ilvl w:val="0"/>
          <w:numId w:val="25"/>
        </w:numPr>
        <w:spacing w:after="0"/>
      </w:pPr>
      <w:r>
        <w:t>The rate of additional A04</w:t>
      </w:r>
      <w:r w:rsidR="00206D4F">
        <w:t>.</w:t>
      </w:r>
      <w:r>
        <w:t>7 diagnoses with COF1 ranged from 0.95 to 0.76 diagnoses per 10,000 bed days</w:t>
      </w:r>
    </w:p>
    <w:p w:rsidR="00D97070" w:rsidRDefault="00D97070" w:rsidP="00CC5604">
      <w:pPr>
        <w:pStyle w:val="ListParagraph"/>
        <w:numPr>
          <w:ilvl w:val="0"/>
          <w:numId w:val="25"/>
        </w:numPr>
        <w:spacing w:after="0"/>
      </w:pPr>
      <w:r>
        <w:t>The rate of additional A04</w:t>
      </w:r>
      <w:r w:rsidR="00206D4F">
        <w:t>.</w:t>
      </w:r>
      <w:r>
        <w:t>7 diagnoses with COF2 ranged from 1.84 to 1.60 diagnoses per 10,000 bed days.</w:t>
      </w:r>
    </w:p>
    <w:p w:rsidR="00C13240" w:rsidRDefault="00C13240" w:rsidP="00CC5604">
      <w:pPr>
        <w:pStyle w:val="ListParagraph"/>
        <w:spacing w:after="0"/>
      </w:pPr>
    </w:p>
    <w:p w:rsidR="004B0FB2" w:rsidRDefault="00D239B6" w:rsidP="00CC5604">
      <w:pPr>
        <w:spacing w:after="0"/>
      </w:pPr>
      <w:r>
        <w:t xml:space="preserve">The </w:t>
      </w:r>
      <w:r w:rsidR="001064D6">
        <w:t xml:space="preserve">overall number of </w:t>
      </w:r>
      <w:r>
        <w:t>hospital separations in Australia increased by 6.0% between 2015 and 2016. In comparison, the increase</w:t>
      </w:r>
      <w:r w:rsidR="0017581E">
        <w:t xml:space="preserve"> in the </w:t>
      </w:r>
      <w:r>
        <w:t xml:space="preserve">number of A04.7 diagnoses during the </w:t>
      </w:r>
      <w:r w:rsidR="0017581E">
        <w:t xml:space="preserve">year </w:t>
      </w:r>
      <w:r>
        <w:t>was 3.8%.</w:t>
      </w:r>
      <w:r w:rsidR="004B0FB2">
        <w:t xml:space="preserve"> Most notably, principal A04.7 diagnoses increased by 12.2% </w:t>
      </w:r>
      <w:r w:rsidR="006B1483">
        <w:t>while</w:t>
      </w:r>
      <w:r w:rsidR="004B0FB2">
        <w:t xml:space="preserve"> additional A04.7 diagnoses classified as COF1 (i.e. CDI attributable to healthcare delivery) </w:t>
      </w:r>
      <w:r w:rsidR="0017581E">
        <w:t>decreased by</w:t>
      </w:r>
      <w:r w:rsidR="004B0FB2">
        <w:t xml:space="preserve"> 6.3% </w:t>
      </w:r>
      <w:r w:rsidR="00C13604">
        <w:t>(Table 2)</w:t>
      </w:r>
      <w:r w:rsidR="004B0FB2">
        <w:t>.</w:t>
      </w:r>
    </w:p>
    <w:p w:rsidR="004B0FB2" w:rsidRDefault="004B0FB2" w:rsidP="00CC5604">
      <w:pPr>
        <w:spacing w:after="0"/>
      </w:pPr>
    </w:p>
    <w:p w:rsidR="00B11795" w:rsidRPr="00CC5604" w:rsidRDefault="00B11795" w:rsidP="00CC5604">
      <w:pPr>
        <w:spacing w:after="0"/>
      </w:pPr>
      <w:r>
        <w:br w:type="page"/>
      </w:r>
    </w:p>
    <w:p w:rsidR="00B93784" w:rsidRDefault="00B93784" w:rsidP="00B93784">
      <w:pPr>
        <w:pStyle w:val="Heading2"/>
      </w:pPr>
      <w:r>
        <w:lastRenderedPageBreak/>
        <w:t>Burden</w:t>
      </w:r>
    </w:p>
    <w:p w:rsidR="00030D19" w:rsidRPr="00030D19" w:rsidRDefault="00030D19" w:rsidP="00030D19">
      <w:pPr>
        <w:pStyle w:val="Caption"/>
        <w:keepNext/>
        <w:rPr>
          <w:color w:val="auto"/>
          <w:sz w:val="22"/>
          <w:szCs w:val="22"/>
        </w:rPr>
      </w:pPr>
      <w:r w:rsidRPr="00030D19">
        <w:rPr>
          <w:color w:val="auto"/>
          <w:sz w:val="22"/>
          <w:szCs w:val="22"/>
        </w:rPr>
        <w:t xml:space="preserve">Table </w:t>
      </w:r>
      <w:r w:rsidRPr="00030D19">
        <w:rPr>
          <w:color w:val="auto"/>
          <w:sz w:val="22"/>
          <w:szCs w:val="22"/>
        </w:rPr>
        <w:fldChar w:fldCharType="begin"/>
      </w:r>
      <w:r w:rsidRPr="00030D19">
        <w:rPr>
          <w:color w:val="auto"/>
          <w:sz w:val="22"/>
          <w:szCs w:val="22"/>
        </w:rPr>
        <w:instrText xml:space="preserve"> SEQ Table \* ARABIC </w:instrText>
      </w:r>
      <w:r w:rsidRPr="00030D19">
        <w:rPr>
          <w:color w:val="auto"/>
          <w:sz w:val="22"/>
          <w:szCs w:val="22"/>
        </w:rPr>
        <w:fldChar w:fldCharType="separate"/>
      </w:r>
      <w:r w:rsidR="00880EDE">
        <w:rPr>
          <w:noProof/>
          <w:color w:val="auto"/>
          <w:sz w:val="22"/>
          <w:szCs w:val="22"/>
        </w:rPr>
        <w:t>3</w:t>
      </w:r>
      <w:r w:rsidRPr="00030D19">
        <w:rPr>
          <w:color w:val="auto"/>
          <w:sz w:val="22"/>
          <w:szCs w:val="22"/>
        </w:rPr>
        <w:fldChar w:fldCharType="end"/>
      </w:r>
      <w:r w:rsidRPr="00030D19">
        <w:rPr>
          <w:color w:val="auto"/>
          <w:sz w:val="22"/>
          <w:szCs w:val="22"/>
        </w:rPr>
        <w:t xml:space="preserve">. Average length of stay associated with </w:t>
      </w:r>
      <w:r w:rsidR="00585213">
        <w:rPr>
          <w:color w:val="auto"/>
          <w:sz w:val="22"/>
          <w:szCs w:val="22"/>
        </w:rPr>
        <w:t>an A04</w:t>
      </w:r>
      <w:r w:rsidR="009E5FBF">
        <w:rPr>
          <w:color w:val="auto"/>
          <w:sz w:val="22"/>
          <w:szCs w:val="22"/>
        </w:rPr>
        <w:t>.</w:t>
      </w:r>
      <w:r w:rsidR="00585213">
        <w:rPr>
          <w:color w:val="auto"/>
          <w:sz w:val="22"/>
          <w:szCs w:val="22"/>
        </w:rPr>
        <w:t>7 diagnosis</w:t>
      </w:r>
      <w:r w:rsidRPr="00030D19">
        <w:rPr>
          <w:color w:val="auto"/>
          <w:sz w:val="22"/>
          <w:szCs w:val="22"/>
        </w:rPr>
        <w:t>, 2012-2016</w:t>
      </w:r>
    </w:p>
    <w:tbl>
      <w:tblPr>
        <w:tblStyle w:val="TableGrid"/>
        <w:tblW w:w="9531" w:type="dxa"/>
        <w:tblLook w:val="04A0" w:firstRow="1" w:lastRow="0" w:firstColumn="1" w:lastColumn="0" w:noHBand="0" w:noVBand="1"/>
      </w:tblPr>
      <w:tblGrid>
        <w:gridCol w:w="2075"/>
        <w:gridCol w:w="2235"/>
        <w:gridCol w:w="2551"/>
        <w:gridCol w:w="2670"/>
      </w:tblGrid>
      <w:tr w:rsidR="0075072C" w:rsidTr="0075072C">
        <w:trPr>
          <w:cnfStyle w:val="100000000000" w:firstRow="1" w:lastRow="0" w:firstColumn="0" w:lastColumn="0" w:oddVBand="0" w:evenVBand="0" w:oddHBand="0" w:evenHBand="0" w:firstRowFirstColumn="0" w:firstRowLastColumn="0" w:lastRowFirstColumn="0" w:lastRowLastColumn="0"/>
          <w:trHeight w:val="187"/>
        </w:trPr>
        <w:tc>
          <w:tcPr>
            <w:tcW w:w="2075" w:type="dxa"/>
            <w:vMerge w:val="restart"/>
            <w:vAlign w:val="center"/>
          </w:tcPr>
          <w:p w:rsidR="0075072C" w:rsidRPr="00585213" w:rsidRDefault="0075072C" w:rsidP="001A2D78">
            <w:pPr>
              <w:spacing w:after="0"/>
              <w:rPr>
                <w:rFonts w:asciiTheme="minorHAnsi" w:hAnsiTheme="minorHAnsi" w:cstheme="minorHAnsi"/>
                <w:sz w:val="20"/>
              </w:rPr>
            </w:pPr>
            <w:r w:rsidRPr="00585213">
              <w:rPr>
                <w:rFonts w:asciiTheme="minorHAnsi" w:hAnsiTheme="minorHAnsi" w:cstheme="minorHAnsi"/>
                <w:sz w:val="20"/>
              </w:rPr>
              <w:t>Year</w:t>
            </w:r>
          </w:p>
        </w:tc>
        <w:tc>
          <w:tcPr>
            <w:tcW w:w="7456" w:type="dxa"/>
            <w:gridSpan w:val="3"/>
          </w:tcPr>
          <w:p w:rsidR="0075072C" w:rsidRPr="00585213" w:rsidRDefault="0075072C" w:rsidP="00BD2C9D">
            <w:pPr>
              <w:spacing w:after="0"/>
              <w:rPr>
                <w:rFonts w:cstheme="minorHAnsi"/>
                <w:b w:val="0"/>
                <w:sz w:val="20"/>
              </w:rPr>
            </w:pPr>
            <w:r w:rsidRPr="00585213">
              <w:rPr>
                <w:rFonts w:asciiTheme="minorHAnsi" w:hAnsiTheme="minorHAnsi" w:cstheme="minorHAnsi"/>
                <w:sz w:val="20"/>
              </w:rPr>
              <w:t>Average length of stay (bed days)</w:t>
            </w:r>
          </w:p>
        </w:tc>
      </w:tr>
      <w:tr w:rsidR="0075072C" w:rsidTr="0075072C">
        <w:trPr>
          <w:trHeight w:val="146"/>
        </w:trPr>
        <w:tc>
          <w:tcPr>
            <w:tcW w:w="2075" w:type="dxa"/>
            <w:vMerge/>
          </w:tcPr>
          <w:p w:rsidR="0075072C" w:rsidRPr="00585213" w:rsidRDefault="0075072C" w:rsidP="00BD2C9D">
            <w:pPr>
              <w:spacing w:after="0"/>
              <w:rPr>
                <w:rFonts w:asciiTheme="minorHAnsi" w:hAnsiTheme="minorHAnsi" w:cstheme="minorHAnsi"/>
                <w:sz w:val="20"/>
              </w:rPr>
            </w:pPr>
          </w:p>
        </w:tc>
        <w:tc>
          <w:tcPr>
            <w:tcW w:w="2235" w:type="dxa"/>
          </w:tcPr>
          <w:p w:rsidR="0075072C" w:rsidRPr="00585213" w:rsidRDefault="0075072C" w:rsidP="00BD2C9D">
            <w:pPr>
              <w:spacing w:after="0"/>
              <w:jc w:val="center"/>
              <w:rPr>
                <w:rFonts w:asciiTheme="minorHAnsi" w:hAnsiTheme="minorHAnsi" w:cstheme="minorHAnsi"/>
                <w:b/>
                <w:sz w:val="20"/>
              </w:rPr>
            </w:pPr>
            <w:r w:rsidRPr="00585213">
              <w:rPr>
                <w:rFonts w:asciiTheme="minorHAnsi" w:hAnsiTheme="minorHAnsi" w:cstheme="minorHAnsi"/>
                <w:b/>
                <w:sz w:val="20"/>
              </w:rPr>
              <w:t>Any A04</w:t>
            </w:r>
            <w:r>
              <w:rPr>
                <w:rFonts w:asciiTheme="minorHAnsi" w:hAnsiTheme="minorHAnsi" w:cstheme="minorHAnsi"/>
                <w:b/>
                <w:sz w:val="20"/>
              </w:rPr>
              <w:t>.</w:t>
            </w:r>
            <w:r w:rsidRPr="00585213">
              <w:rPr>
                <w:rFonts w:asciiTheme="minorHAnsi" w:hAnsiTheme="minorHAnsi" w:cstheme="minorHAnsi"/>
                <w:b/>
                <w:sz w:val="20"/>
              </w:rPr>
              <w:t>7 diagnosis</w:t>
            </w:r>
          </w:p>
        </w:tc>
        <w:tc>
          <w:tcPr>
            <w:tcW w:w="2551" w:type="dxa"/>
          </w:tcPr>
          <w:p w:rsidR="0075072C" w:rsidRPr="00585213" w:rsidRDefault="0075072C" w:rsidP="00BD2C9D">
            <w:pPr>
              <w:spacing w:after="0"/>
              <w:jc w:val="center"/>
              <w:rPr>
                <w:rFonts w:asciiTheme="minorHAnsi" w:hAnsiTheme="minorHAnsi" w:cstheme="minorHAnsi"/>
                <w:b/>
                <w:sz w:val="20"/>
              </w:rPr>
            </w:pPr>
            <w:r w:rsidRPr="00585213">
              <w:rPr>
                <w:rFonts w:asciiTheme="minorHAnsi" w:hAnsiTheme="minorHAnsi" w:cstheme="minorHAnsi"/>
                <w:b/>
                <w:sz w:val="20"/>
              </w:rPr>
              <w:t>Principal A04</w:t>
            </w:r>
            <w:r>
              <w:rPr>
                <w:rFonts w:asciiTheme="minorHAnsi" w:hAnsiTheme="minorHAnsi" w:cstheme="minorHAnsi"/>
                <w:b/>
                <w:sz w:val="20"/>
              </w:rPr>
              <w:t xml:space="preserve">.7 </w:t>
            </w:r>
            <w:r w:rsidRPr="00585213">
              <w:rPr>
                <w:rFonts w:asciiTheme="minorHAnsi" w:hAnsiTheme="minorHAnsi" w:cstheme="minorHAnsi"/>
                <w:b/>
                <w:sz w:val="20"/>
              </w:rPr>
              <w:t>diagnosis</w:t>
            </w:r>
          </w:p>
        </w:tc>
        <w:tc>
          <w:tcPr>
            <w:tcW w:w="2670" w:type="dxa"/>
          </w:tcPr>
          <w:p w:rsidR="0075072C" w:rsidRPr="00585213" w:rsidRDefault="0075072C" w:rsidP="00B527F3">
            <w:pPr>
              <w:spacing w:after="0"/>
              <w:jc w:val="center"/>
              <w:rPr>
                <w:rFonts w:asciiTheme="minorHAnsi" w:hAnsiTheme="minorHAnsi" w:cstheme="minorHAnsi"/>
                <w:b/>
                <w:sz w:val="20"/>
              </w:rPr>
            </w:pPr>
            <w:r w:rsidRPr="00585213">
              <w:rPr>
                <w:rFonts w:asciiTheme="minorHAnsi" w:hAnsiTheme="minorHAnsi" w:cstheme="minorHAnsi"/>
                <w:b/>
                <w:sz w:val="20"/>
              </w:rPr>
              <w:t>Additional A04</w:t>
            </w:r>
            <w:r>
              <w:rPr>
                <w:rFonts w:asciiTheme="minorHAnsi" w:hAnsiTheme="minorHAnsi" w:cstheme="minorHAnsi"/>
                <w:b/>
                <w:sz w:val="20"/>
              </w:rPr>
              <w:t xml:space="preserve">.7 </w:t>
            </w:r>
            <w:r w:rsidRPr="00585213">
              <w:rPr>
                <w:rFonts w:asciiTheme="minorHAnsi" w:hAnsiTheme="minorHAnsi" w:cstheme="minorHAnsi"/>
                <w:b/>
                <w:sz w:val="20"/>
              </w:rPr>
              <w:t>diagnosis</w:t>
            </w:r>
          </w:p>
        </w:tc>
      </w:tr>
      <w:tr w:rsidR="0075072C" w:rsidTr="0075072C">
        <w:trPr>
          <w:trHeight w:val="204"/>
        </w:trPr>
        <w:tc>
          <w:tcPr>
            <w:tcW w:w="2075" w:type="dxa"/>
            <w:vAlign w:val="center"/>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2012</w:t>
            </w:r>
          </w:p>
        </w:tc>
        <w:tc>
          <w:tcPr>
            <w:tcW w:w="2235" w:type="dxa"/>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18.69</w:t>
            </w:r>
          </w:p>
        </w:tc>
        <w:tc>
          <w:tcPr>
            <w:tcW w:w="2551" w:type="dxa"/>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8.34</w:t>
            </w:r>
          </w:p>
        </w:tc>
        <w:tc>
          <w:tcPr>
            <w:tcW w:w="2670" w:type="dxa"/>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22.73</w:t>
            </w:r>
          </w:p>
        </w:tc>
      </w:tr>
      <w:tr w:rsidR="0075072C" w:rsidTr="0075072C">
        <w:trPr>
          <w:trHeight w:val="218"/>
        </w:trPr>
        <w:tc>
          <w:tcPr>
            <w:tcW w:w="2075" w:type="dxa"/>
            <w:vAlign w:val="center"/>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2013</w:t>
            </w:r>
          </w:p>
        </w:tc>
        <w:tc>
          <w:tcPr>
            <w:tcW w:w="2235" w:type="dxa"/>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17.17</w:t>
            </w:r>
          </w:p>
        </w:tc>
        <w:tc>
          <w:tcPr>
            <w:tcW w:w="2551" w:type="dxa"/>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7.91</w:t>
            </w:r>
          </w:p>
        </w:tc>
        <w:tc>
          <w:tcPr>
            <w:tcW w:w="2670" w:type="dxa"/>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20.91</w:t>
            </w:r>
          </w:p>
        </w:tc>
      </w:tr>
      <w:tr w:rsidR="0075072C" w:rsidTr="0075072C">
        <w:trPr>
          <w:trHeight w:val="204"/>
        </w:trPr>
        <w:tc>
          <w:tcPr>
            <w:tcW w:w="2075" w:type="dxa"/>
            <w:vAlign w:val="center"/>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2014</w:t>
            </w:r>
          </w:p>
        </w:tc>
        <w:tc>
          <w:tcPr>
            <w:tcW w:w="2235" w:type="dxa"/>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18.05</w:t>
            </w:r>
          </w:p>
        </w:tc>
        <w:tc>
          <w:tcPr>
            <w:tcW w:w="2551" w:type="dxa"/>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7.79</w:t>
            </w:r>
          </w:p>
        </w:tc>
        <w:tc>
          <w:tcPr>
            <w:tcW w:w="2670" w:type="dxa"/>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22.10</w:t>
            </w:r>
          </w:p>
        </w:tc>
      </w:tr>
      <w:tr w:rsidR="0075072C" w:rsidTr="0075072C">
        <w:trPr>
          <w:trHeight w:val="204"/>
        </w:trPr>
        <w:tc>
          <w:tcPr>
            <w:tcW w:w="2075" w:type="dxa"/>
            <w:vAlign w:val="center"/>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2015</w:t>
            </w:r>
          </w:p>
        </w:tc>
        <w:tc>
          <w:tcPr>
            <w:tcW w:w="2235" w:type="dxa"/>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16.91</w:t>
            </w:r>
          </w:p>
        </w:tc>
        <w:tc>
          <w:tcPr>
            <w:tcW w:w="2551" w:type="dxa"/>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7.60</w:t>
            </w:r>
          </w:p>
        </w:tc>
        <w:tc>
          <w:tcPr>
            <w:tcW w:w="2670" w:type="dxa"/>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20.68</w:t>
            </w:r>
          </w:p>
        </w:tc>
      </w:tr>
      <w:tr w:rsidR="0075072C" w:rsidTr="0075072C">
        <w:trPr>
          <w:trHeight w:val="218"/>
        </w:trPr>
        <w:tc>
          <w:tcPr>
            <w:tcW w:w="2075" w:type="dxa"/>
            <w:vAlign w:val="center"/>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2016</w:t>
            </w:r>
          </w:p>
        </w:tc>
        <w:tc>
          <w:tcPr>
            <w:tcW w:w="2235" w:type="dxa"/>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16.08</w:t>
            </w:r>
          </w:p>
        </w:tc>
        <w:tc>
          <w:tcPr>
            <w:tcW w:w="2551" w:type="dxa"/>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7.38</w:t>
            </w:r>
          </w:p>
        </w:tc>
        <w:tc>
          <w:tcPr>
            <w:tcW w:w="2670" w:type="dxa"/>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19.78</w:t>
            </w:r>
          </w:p>
        </w:tc>
      </w:tr>
      <w:tr w:rsidR="0075072C" w:rsidTr="0075072C">
        <w:trPr>
          <w:trHeight w:val="267"/>
        </w:trPr>
        <w:tc>
          <w:tcPr>
            <w:tcW w:w="2075" w:type="dxa"/>
            <w:vAlign w:val="center"/>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Overall average</w:t>
            </w:r>
          </w:p>
        </w:tc>
        <w:tc>
          <w:tcPr>
            <w:tcW w:w="2235" w:type="dxa"/>
            <w:vAlign w:val="center"/>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17.41</w:t>
            </w:r>
          </w:p>
        </w:tc>
        <w:tc>
          <w:tcPr>
            <w:tcW w:w="2551" w:type="dxa"/>
            <w:vAlign w:val="center"/>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7.81</w:t>
            </w:r>
          </w:p>
        </w:tc>
        <w:tc>
          <w:tcPr>
            <w:tcW w:w="2670" w:type="dxa"/>
            <w:vAlign w:val="center"/>
          </w:tcPr>
          <w:p w:rsidR="0075072C" w:rsidRPr="00585213" w:rsidRDefault="0075072C" w:rsidP="00371929">
            <w:pPr>
              <w:spacing w:after="0"/>
              <w:jc w:val="center"/>
              <w:rPr>
                <w:rFonts w:asciiTheme="minorHAnsi" w:hAnsiTheme="minorHAnsi" w:cstheme="minorHAnsi"/>
                <w:sz w:val="20"/>
              </w:rPr>
            </w:pPr>
            <w:r w:rsidRPr="00585213">
              <w:rPr>
                <w:rFonts w:asciiTheme="minorHAnsi" w:hAnsiTheme="minorHAnsi" w:cstheme="minorHAnsi"/>
                <w:sz w:val="20"/>
              </w:rPr>
              <w:t>21.28</w:t>
            </w:r>
          </w:p>
        </w:tc>
      </w:tr>
      <w:tr w:rsidR="0075072C" w:rsidTr="0075072C">
        <w:trPr>
          <w:trHeight w:val="579"/>
        </w:trPr>
        <w:tc>
          <w:tcPr>
            <w:tcW w:w="2075" w:type="dxa"/>
            <w:vAlign w:val="center"/>
          </w:tcPr>
          <w:p w:rsidR="0075072C" w:rsidRPr="00585213" w:rsidRDefault="0075072C" w:rsidP="00985FD6">
            <w:pPr>
              <w:spacing w:after="0"/>
              <w:jc w:val="center"/>
              <w:rPr>
                <w:rFonts w:cstheme="minorHAnsi"/>
                <w:sz w:val="20"/>
              </w:rPr>
            </w:pPr>
            <w:r>
              <w:rPr>
                <w:rFonts w:cstheme="minorHAnsi"/>
                <w:sz w:val="20"/>
              </w:rPr>
              <w:t xml:space="preserve">Overall rate of change (slope), 2012-2016 </w:t>
            </w:r>
          </w:p>
        </w:tc>
        <w:tc>
          <w:tcPr>
            <w:tcW w:w="2235" w:type="dxa"/>
            <w:vAlign w:val="center"/>
          </w:tcPr>
          <w:p w:rsidR="0075072C" w:rsidRPr="00585213" w:rsidRDefault="0075072C" w:rsidP="00371929">
            <w:pPr>
              <w:spacing w:after="0"/>
              <w:jc w:val="center"/>
              <w:rPr>
                <w:rFonts w:cstheme="minorHAnsi"/>
                <w:sz w:val="20"/>
              </w:rPr>
            </w:pPr>
            <w:r>
              <w:rPr>
                <w:rFonts w:cstheme="minorHAnsi"/>
                <w:sz w:val="20"/>
              </w:rPr>
              <w:t>-0.59</w:t>
            </w:r>
          </w:p>
        </w:tc>
        <w:tc>
          <w:tcPr>
            <w:tcW w:w="2551" w:type="dxa"/>
            <w:vAlign w:val="center"/>
          </w:tcPr>
          <w:p w:rsidR="0075072C" w:rsidRPr="00585213" w:rsidRDefault="0075072C" w:rsidP="00371929">
            <w:pPr>
              <w:spacing w:after="0"/>
              <w:jc w:val="center"/>
              <w:rPr>
                <w:rFonts w:cstheme="minorHAnsi"/>
                <w:sz w:val="20"/>
              </w:rPr>
            </w:pPr>
            <w:r>
              <w:rPr>
                <w:rFonts w:cstheme="minorHAnsi"/>
                <w:sz w:val="20"/>
              </w:rPr>
              <w:t>-0.22</w:t>
            </w:r>
          </w:p>
        </w:tc>
        <w:tc>
          <w:tcPr>
            <w:tcW w:w="2670" w:type="dxa"/>
            <w:vAlign w:val="center"/>
          </w:tcPr>
          <w:p w:rsidR="0075072C" w:rsidRPr="00585213" w:rsidRDefault="0075072C" w:rsidP="00371929">
            <w:pPr>
              <w:spacing w:after="0"/>
              <w:jc w:val="center"/>
              <w:rPr>
                <w:rFonts w:cstheme="minorHAnsi"/>
                <w:sz w:val="20"/>
              </w:rPr>
            </w:pPr>
            <w:r>
              <w:rPr>
                <w:rFonts w:cstheme="minorHAnsi"/>
                <w:sz w:val="20"/>
              </w:rPr>
              <w:t>-0.61</w:t>
            </w:r>
          </w:p>
        </w:tc>
      </w:tr>
    </w:tbl>
    <w:p w:rsidR="00FB1BEE" w:rsidRDefault="00FB1BEE" w:rsidP="00FB1BEE">
      <w:r>
        <w:rPr>
          <w:sz w:val="24"/>
          <w:szCs w:val="24"/>
        </w:rPr>
        <w:t> </w:t>
      </w:r>
    </w:p>
    <w:p w:rsidR="00030D19" w:rsidRPr="00081331" w:rsidRDefault="00030D19" w:rsidP="00030D19">
      <w:pPr>
        <w:pStyle w:val="Heading3"/>
      </w:pPr>
      <w:bookmarkStart w:id="3" w:name="_Toc476822635"/>
      <w:bookmarkStart w:id="4" w:name="_Toc476822656"/>
      <w:bookmarkStart w:id="5" w:name="_Toc476822856"/>
      <w:bookmarkStart w:id="6" w:name="_Toc476823669"/>
      <w:r>
        <w:t>Commentary</w:t>
      </w:r>
    </w:p>
    <w:p w:rsidR="00585213" w:rsidRDefault="00585213" w:rsidP="000B1F53">
      <w:r>
        <w:t xml:space="preserve">In 2016, </w:t>
      </w:r>
      <w:r w:rsidR="0075072C">
        <w:t>t</w:t>
      </w:r>
      <w:r>
        <w:t xml:space="preserve">he </w:t>
      </w:r>
      <w:r w:rsidR="000B1F53">
        <w:t>average length of stay associated with an additional</w:t>
      </w:r>
      <w:r w:rsidR="0003658D">
        <w:t xml:space="preserve"> A04.7</w:t>
      </w:r>
      <w:r w:rsidR="000B1F53">
        <w:t xml:space="preserve"> diagnosis was almost three times longer than the average length of stay associated with a p</w:t>
      </w:r>
      <w:r>
        <w:t>rincipal A04</w:t>
      </w:r>
      <w:r w:rsidR="00105F93">
        <w:t>.</w:t>
      </w:r>
      <w:r>
        <w:t>7 diagnosis in 2016</w:t>
      </w:r>
      <w:r w:rsidR="0075072C">
        <w:t xml:space="preserve"> (Table 3).</w:t>
      </w:r>
    </w:p>
    <w:p w:rsidR="0075072C" w:rsidRDefault="0075072C" w:rsidP="00FB1BEE">
      <w:pPr>
        <w:spacing w:after="0"/>
      </w:pPr>
      <w:r>
        <w:t>T</w:t>
      </w:r>
      <w:r w:rsidR="006B1483">
        <w:t xml:space="preserve">he </w:t>
      </w:r>
      <w:r w:rsidR="0042349C">
        <w:t xml:space="preserve">average </w:t>
      </w:r>
      <w:r w:rsidR="006B1483">
        <w:t>length of stay</w:t>
      </w:r>
      <w:r w:rsidR="00FB1BEE">
        <w:t xml:space="preserve"> associated </w:t>
      </w:r>
      <w:r w:rsidR="0042349C">
        <w:t xml:space="preserve">with </w:t>
      </w:r>
      <w:r w:rsidR="00FB1BEE">
        <w:t>a CDI diagnosis</w:t>
      </w:r>
      <w:r w:rsidR="006B1483">
        <w:t xml:space="preserve"> (principal or additional) is</w:t>
      </w:r>
      <w:r w:rsidR="00FB1BEE">
        <w:t xml:space="preserve"> decreasing </w:t>
      </w:r>
      <w:r w:rsidR="0042349C">
        <w:t>ten</w:t>
      </w:r>
      <w:r w:rsidR="006B1483">
        <w:t xml:space="preserve"> times</w:t>
      </w:r>
      <w:r w:rsidR="00FB1BEE">
        <w:t xml:space="preserve"> faster than the decrease associated with the average </w:t>
      </w:r>
      <w:r w:rsidR="00274072">
        <w:t>hospital stay</w:t>
      </w:r>
      <w:r w:rsidR="00DF35F7">
        <w:t xml:space="preserve"> </w:t>
      </w:r>
    </w:p>
    <w:p w:rsidR="00FB1BEE" w:rsidRPr="007D504C" w:rsidRDefault="00DF35F7" w:rsidP="00FB1BEE">
      <w:pPr>
        <w:spacing w:after="0"/>
      </w:pPr>
      <w:r>
        <w:t>(-0.59 days per year vs -0.07 days per year)</w:t>
      </w:r>
      <w:r w:rsidR="00FB1BEE">
        <w:t xml:space="preserve">. </w:t>
      </w:r>
    </w:p>
    <w:p w:rsidR="00441B0A" w:rsidRDefault="00441B0A" w:rsidP="00441B0A"/>
    <w:p w:rsidR="0038695F" w:rsidRDefault="0038695F">
      <w:pPr>
        <w:spacing w:after="80"/>
        <w:rPr>
          <w:rFonts w:cs="Arial"/>
          <w:b/>
          <w:bCs/>
          <w:color w:val="1178A2"/>
          <w:kern w:val="28"/>
          <w:sz w:val="40"/>
          <w:szCs w:val="32"/>
        </w:rPr>
      </w:pPr>
      <w:r>
        <w:br w:type="page"/>
      </w:r>
    </w:p>
    <w:p w:rsidR="00441B0A" w:rsidRDefault="00441B0A" w:rsidP="00441B0A">
      <w:pPr>
        <w:pStyle w:val="Heading1"/>
      </w:pPr>
      <w:r>
        <w:lastRenderedPageBreak/>
        <w:t>Snapshot summary</w:t>
      </w:r>
    </w:p>
    <w:p w:rsidR="005D2CD2" w:rsidRPr="00441B0A" w:rsidRDefault="00441B0A" w:rsidP="00441B0A">
      <w:r>
        <w:t xml:space="preserve">The rate of CDI diagnoses slightly increased in 2016. This </w:t>
      </w:r>
      <w:r w:rsidR="00363C30">
        <w:t xml:space="preserve">overall </w:t>
      </w:r>
      <w:r>
        <w:t>increase has been driven by a 12.2% increase in the rate of principal CDI diagnoses</w:t>
      </w:r>
      <w:r w:rsidR="00105F93">
        <w:t xml:space="preserve"> during this period</w:t>
      </w:r>
      <w:r>
        <w:t xml:space="preserve">. </w:t>
      </w:r>
      <w:r w:rsidR="00363C30">
        <w:t xml:space="preserve">The rate of CDI </w:t>
      </w:r>
      <w:r w:rsidR="00EC62AE">
        <w:t xml:space="preserve">directly </w:t>
      </w:r>
      <w:r w:rsidR="00363C30">
        <w:t>attributable to health</w:t>
      </w:r>
      <w:r w:rsidR="00EC62AE">
        <w:t xml:space="preserve"> </w:t>
      </w:r>
      <w:r w:rsidR="00363C30">
        <w:t>care</w:t>
      </w:r>
      <w:r>
        <w:t xml:space="preserve"> </w:t>
      </w:r>
      <w:r w:rsidR="00363C30">
        <w:t>delivery</w:t>
      </w:r>
      <w:r w:rsidR="0038695F">
        <w:t xml:space="preserve"> </w:t>
      </w:r>
      <w:r w:rsidR="00363C30">
        <w:t>dropped by 6.6% in 2016</w:t>
      </w:r>
      <w:r w:rsidR="00985FD6">
        <w:t>, suggesting</w:t>
      </w:r>
      <w:r w:rsidR="0038695F">
        <w:t xml:space="preserve"> national</w:t>
      </w:r>
      <w:r w:rsidR="00363C30">
        <w:t xml:space="preserve"> improvement in hospital-based CDI prevention and control</w:t>
      </w:r>
      <w:r w:rsidR="00105F93">
        <w:t xml:space="preserve"> during this period</w:t>
      </w:r>
      <w:r w:rsidR="00FA2281">
        <w:t xml:space="preserve">. </w:t>
      </w:r>
      <w:r w:rsidR="005D2CD2">
        <w:t>Patients with a CDI diagnosis continue to have substantially longer hospital stays than those without a CDI diagnosis</w:t>
      </w:r>
      <w:r w:rsidR="0075072C">
        <w:t xml:space="preserve">, however </w:t>
      </w:r>
      <w:r w:rsidR="007006F8">
        <w:t xml:space="preserve"> t</w:t>
      </w:r>
      <w:r w:rsidR="005D2CD2">
        <w:t xml:space="preserve">he length of stay associated with a CDI diagnosis </w:t>
      </w:r>
      <w:r w:rsidR="004636AC">
        <w:t>is</w:t>
      </w:r>
      <w:r w:rsidR="005D2CD2">
        <w:t xml:space="preserve"> </w:t>
      </w:r>
      <w:r w:rsidR="007006F8">
        <w:t xml:space="preserve">decreasing </w:t>
      </w:r>
      <w:r w:rsidR="0075072C">
        <w:t>over time</w:t>
      </w:r>
      <w:r w:rsidR="007006F8">
        <w:t>.</w:t>
      </w:r>
    </w:p>
    <w:bookmarkEnd w:id="3"/>
    <w:bookmarkEnd w:id="4"/>
    <w:bookmarkEnd w:id="5"/>
    <w:bookmarkEnd w:id="6"/>
    <w:sectPr w:rsidR="005D2CD2" w:rsidRPr="00441B0A" w:rsidSect="002E44A7">
      <w:footerReference w:type="default" r:id="rId18"/>
      <w:footerReference w:type="first" r:id="rId19"/>
      <w:footnotePr>
        <w:numFmt w:val="chicago"/>
      </w:footnotePr>
      <w:pgSz w:w="11906" w:h="16838"/>
      <w:pgMar w:top="1440" w:right="1440" w:bottom="1440" w:left="1440" w:header="708" w:footer="708" w:gutter="0"/>
      <w:pgBorders w:offsetFrom="page">
        <w:bottom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F95" w:rsidRDefault="00E40F95" w:rsidP="000B0274">
      <w:r>
        <w:separator/>
      </w:r>
    </w:p>
  </w:endnote>
  <w:endnote w:type="continuationSeparator" w:id="0">
    <w:p w:rsidR="00E40F95" w:rsidRDefault="00E40F95"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53D" w:rsidRPr="00F57148" w:rsidRDefault="00CB1CC0" w:rsidP="009B053D">
    <w:pPr>
      <w:pStyle w:val="Footer"/>
      <w:jc w:val="right"/>
    </w:pPr>
    <w:r w:rsidRPr="00CC5604">
      <w:rPr>
        <w:i/>
      </w:rPr>
      <w:t>Clostridium difficile</w:t>
    </w:r>
    <w:r>
      <w:t xml:space="preserve"> infection: 2016 Snapshot</w:t>
    </w:r>
    <w:r w:rsidR="009B053D">
      <w:tab/>
    </w:r>
    <w:r w:rsidR="009B053D">
      <w:tab/>
    </w:r>
    <w:r w:rsidR="009B053D" w:rsidRPr="00F57148">
      <w:fldChar w:fldCharType="begin"/>
    </w:r>
    <w:r w:rsidR="009B053D" w:rsidRPr="00F57148">
      <w:instrText xml:space="preserve"> PAGE   \* MERGEFORMAT </w:instrText>
    </w:r>
    <w:r w:rsidR="009B053D" w:rsidRPr="00F57148">
      <w:fldChar w:fldCharType="separate"/>
    </w:r>
    <w:r w:rsidR="00AB617D">
      <w:rPr>
        <w:noProof/>
      </w:rPr>
      <w:t>1</w:t>
    </w:r>
    <w:r w:rsidR="009B053D" w:rsidRPr="00F57148">
      <w:rPr>
        <w:noProof/>
      </w:rPr>
      <w:fldChar w:fldCharType="end"/>
    </w:r>
  </w:p>
  <w:p w:rsidR="009B053D" w:rsidRDefault="009B0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F9" w:rsidRPr="006803BA" w:rsidRDefault="006803BA" w:rsidP="000B0274">
    <w:r w:rsidRPr="006803BA">
      <w:t>Insert title</w:t>
    </w:r>
    <w:r>
      <w:tab/>
    </w:r>
    <w:r>
      <w:tab/>
    </w:r>
    <w:r w:rsidRPr="006803BA">
      <w:fldChar w:fldCharType="begin"/>
    </w:r>
    <w:r w:rsidRPr="006803BA">
      <w:instrText xml:space="preserve"> PAGE   \* MERGEFORMAT </w:instrText>
    </w:r>
    <w:r w:rsidRPr="006803BA">
      <w:fldChar w:fldCharType="separate"/>
    </w:r>
    <w:r>
      <w:rPr>
        <w:noProof/>
      </w:rPr>
      <w:t>0</w:t>
    </w:r>
    <w:r w:rsidRPr="006803BA">
      <w:rPr>
        <w:noProof/>
      </w:rPr>
      <w:fldChar w:fldCharType="end"/>
    </w:r>
  </w:p>
  <w:p w:rsidR="008A58F9" w:rsidRDefault="008A58F9" w:rsidP="000B02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F95" w:rsidRDefault="00E40F95" w:rsidP="000B0274">
      <w:r>
        <w:separator/>
      </w:r>
    </w:p>
  </w:footnote>
  <w:footnote w:type="continuationSeparator" w:id="0">
    <w:p w:rsidR="00E40F95" w:rsidRDefault="00E40F95" w:rsidP="000B0274">
      <w:r>
        <w:continuationSeparator/>
      </w:r>
    </w:p>
  </w:footnote>
  <w:footnote w:id="1">
    <w:p w:rsidR="00003EA1" w:rsidRDefault="00003EA1" w:rsidP="00003EA1">
      <w:pPr>
        <w:pStyle w:val="FootnoteText"/>
      </w:pPr>
      <w:r>
        <w:rPr>
          <w:rStyle w:val="FootnoteReference"/>
        </w:rPr>
        <w:footnoteRef/>
      </w:r>
      <w:r>
        <w:t xml:space="preserve"> </w:t>
      </w:r>
      <w:r>
        <w:rPr>
          <w:sz w:val="22"/>
        </w:rPr>
        <w:t>Based on hospitals with highly reliable COF coding (n=517)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66F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F89A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9C9C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78B1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04CD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A88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087C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6E33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0EF3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EA2B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0744F2"/>
    <w:multiLevelType w:val="hybridMultilevel"/>
    <w:tmpl w:val="B2C47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14B80DAF"/>
    <w:multiLevelType w:val="multilevel"/>
    <w:tmpl w:val="79D2EACE"/>
    <w:lvl w:ilvl="0">
      <w:start w:val="1"/>
      <w:numFmt w:val="decimal"/>
      <w:lvlText w:val="%1"/>
      <w:lvlJc w:val="left"/>
      <w:pPr>
        <w:ind w:left="360" w:hanging="360"/>
      </w:pPr>
      <w:rPr>
        <w:rFonts w:hint="default"/>
      </w:rPr>
    </w:lvl>
    <w:lvl w:ilvl="1">
      <w:start w:val="1"/>
      <w:numFmt w:val="lowerRoman"/>
      <w:lvlText w:val="%2"/>
      <w:lvlJc w:val="left"/>
      <w:pPr>
        <w:ind w:left="567" w:hanging="283"/>
      </w:pPr>
      <w:rPr>
        <w:rFonts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714585"/>
    <w:multiLevelType w:val="hybridMultilevel"/>
    <w:tmpl w:val="C3DA0A86"/>
    <w:lvl w:ilvl="0" w:tplc="F36611F8">
      <w:numFmt w:val="bullet"/>
      <w:lvlText w:val="•"/>
      <w:lvlJc w:val="left"/>
      <w:pPr>
        <w:ind w:left="720" w:hanging="360"/>
      </w:pPr>
      <w:rPr>
        <w:rFonts w:ascii="Arial" w:eastAsia="Times New Roman" w:hAnsi="Arial" w:cs="Arial" w:hint="default"/>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4C484F"/>
    <w:multiLevelType w:val="multilevel"/>
    <w:tmpl w:val="EABE25FA"/>
    <w:numStyleLink w:val="Listbullets"/>
  </w:abstractNum>
  <w:abstractNum w:abstractNumId="17"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438B637B"/>
    <w:multiLevelType w:val="hybridMultilevel"/>
    <w:tmpl w:val="83605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AB3DE0"/>
    <w:multiLevelType w:val="hybridMultilevel"/>
    <w:tmpl w:val="9002060E"/>
    <w:lvl w:ilvl="0" w:tplc="BD68ED14">
      <w:start w:val="1"/>
      <w:numFmt w:val="bullet"/>
      <w:lvlText w:val=""/>
      <w:lvlJc w:val="left"/>
      <w:pPr>
        <w:ind w:left="720" w:hanging="360"/>
      </w:pPr>
      <w:rPr>
        <w:rFonts w:ascii="Symbol" w:hAnsi="Symbol" w:hint="default"/>
        <w:color w:val="FF000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7C24F7"/>
    <w:multiLevelType w:val="hybridMultilevel"/>
    <w:tmpl w:val="8A462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794773"/>
    <w:multiLevelType w:val="multilevel"/>
    <w:tmpl w:val="0C09001D"/>
    <w:numStyleLink w:val="Bullet"/>
  </w:abstractNum>
  <w:abstractNum w:abstractNumId="24" w15:restartNumberingAfterBreak="0">
    <w:nsid w:val="70356B54"/>
    <w:multiLevelType w:val="multilevel"/>
    <w:tmpl w:val="A0B4CBEC"/>
    <w:lvl w:ilvl="0">
      <w:start w:val="1"/>
      <w:numFmt w:val="bullet"/>
      <w:lvlText w:val=""/>
      <w:lvlJc w:val="left"/>
      <w:pPr>
        <w:ind w:left="227" w:firstLine="0"/>
      </w:pPr>
      <w:rPr>
        <w:rFonts w:ascii="Symbol" w:hAnsi="Symbol" w:hint="default"/>
      </w:rPr>
    </w:lvl>
    <w:lvl w:ilvl="1">
      <w:start w:val="1"/>
      <w:numFmt w:val="bullet"/>
      <w:lvlText w:val="-"/>
      <w:lvlJc w:val="left"/>
      <w:pPr>
        <w:ind w:left="567" w:hanging="57"/>
      </w:pPr>
      <w:rPr>
        <w:rFonts w:ascii="Courier New" w:hAnsi="Courier New" w:hint="default"/>
      </w:rPr>
    </w:lvl>
    <w:lvl w:ilvl="2">
      <w:start w:val="1"/>
      <w:numFmt w:val="bullet"/>
      <w:lvlText w:val="-"/>
      <w:lvlJc w:val="left"/>
      <w:pPr>
        <w:ind w:left="624" w:firstLine="0"/>
      </w:pPr>
      <w:rPr>
        <w:rFonts w:ascii="Arial" w:hAnsi="Arial" w:hint="default"/>
      </w:rPr>
    </w:lvl>
    <w:lvl w:ilvl="3">
      <w:start w:val="1"/>
      <w:numFmt w:val="decimal"/>
      <w:lvlText w:val="(%4)"/>
      <w:lvlJc w:val="left"/>
      <w:pPr>
        <w:ind w:left="851" w:firstLine="0"/>
      </w:pPr>
      <w:rPr>
        <w:rFonts w:hint="default"/>
      </w:rPr>
    </w:lvl>
    <w:lvl w:ilvl="4">
      <w:start w:val="1"/>
      <w:numFmt w:val="lowerLetter"/>
      <w:lvlText w:val="(%5)"/>
      <w:lvlJc w:val="left"/>
      <w:pPr>
        <w:ind w:left="1078" w:firstLine="0"/>
      </w:pPr>
      <w:rPr>
        <w:rFonts w:hint="default"/>
      </w:rPr>
    </w:lvl>
    <w:lvl w:ilvl="5">
      <w:start w:val="1"/>
      <w:numFmt w:val="lowerRoman"/>
      <w:lvlText w:val="(%6)"/>
      <w:lvlJc w:val="left"/>
      <w:pPr>
        <w:ind w:left="1305" w:firstLine="0"/>
      </w:pPr>
      <w:rPr>
        <w:rFonts w:hint="default"/>
      </w:rPr>
    </w:lvl>
    <w:lvl w:ilvl="6">
      <w:start w:val="1"/>
      <w:numFmt w:val="decimal"/>
      <w:lvlText w:val="%7."/>
      <w:lvlJc w:val="left"/>
      <w:pPr>
        <w:ind w:left="1532" w:firstLine="0"/>
      </w:pPr>
      <w:rPr>
        <w:rFonts w:hint="default"/>
      </w:rPr>
    </w:lvl>
    <w:lvl w:ilvl="7">
      <w:start w:val="1"/>
      <w:numFmt w:val="lowerLetter"/>
      <w:lvlText w:val="%8."/>
      <w:lvlJc w:val="left"/>
      <w:pPr>
        <w:ind w:left="1759" w:firstLine="0"/>
      </w:pPr>
      <w:rPr>
        <w:rFonts w:hint="default"/>
      </w:rPr>
    </w:lvl>
    <w:lvl w:ilvl="8">
      <w:start w:val="1"/>
      <w:numFmt w:val="lowerRoman"/>
      <w:lvlText w:val="%9."/>
      <w:lvlJc w:val="left"/>
      <w:pPr>
        <w:ind w:left="1986" w:firstLine="0"/>
      </w:pPr>
      <w:rPr>
        <w:rFonts w:hint="default"/>
      </w:rPr>
    </w:lvl>
  </w:abstractNum>
  <w:num w:numId="1">
    <w:abstractNumId w:val="15"/>
  </w:num>
  <w:num w:numId="2">
    <w:abstractNumId w:val="21"/>
  </w:num>
  <w:num w:numId="3">
    <w:abstractNumId w:val="11"/>
  </w:num>
  <w:num w:numId="4">
    <w:abstractNumId w:val="10"/>
  </w:num>
  <w:num w:numId="5">
    <w:abstractNumId w:val="16"/>
  </w:num>
  <w:num w:numId="6">
    <w:abstractNumId w:val="14"/>
  </w:num>
  <w:num w:numId="7">
    <w:abstractNumId w:val="12"/>
  </w:num>
  <w:num w:numId="8">
    <w:abstractNumId w:val="17"/>
  </w:num>
  <w:num w:numId="9">
    <w:abstractNumId w:val="20"/>
  </w:num>
  <w:num w:numId="10">
    <w:abstractNumId w:val="10"/>
  </w:num>
  <w:num w:numId="11">
    <w:abstractNumId w:val="24"/>
  </w:num>
  <w:num w:numId="12">
    <w:abstractNumId w:val="19"/>
  </w:num>
  <w:num w:numId="13">
    <w:abstractNumId w:val="23"/>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TableGrid"/>
  <w:characterSpacingControl w:val="doNotCompress"/>
  <w:hdrShapeDefaults>
    <o:shapedefaults v:ext="edit" spidmax="6963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9D"/>
    <w:rsid w:val="00001403"/>
    <w:rsid w:val="00003743"/>
    <w:rsid w:val="00003EA1"/>
    <w:rsid w:val="00025BC7"/>
    <w:rsid w:val="00030D19"/>
    <w:rsid w:val="0003186E"/>
    <w:rsid w:val="0003250C"/>
    <w:rsid w:val="0003658D"/>
    <w:rsid w:val="00043671"/>
    <w:rsid w:val="00067456"/>
    <w:rsid w:val="000774A2"/>
    <w:rsid w:val="00081331"/>
    <w:rsid w:val="000A3571"/>
    <w:rsid w:val="000A3F0D"/>
    <w:rsid w:val="000B0274"/>
    <w:rsid w:val="000B1F53"/>
    <w:rsid w:val="000C1DD4"/>
    <w:rsid w:val="000C1E31"/>
    <w:rsid w:val="000C2114"/>
    <w:rsid w:val="000D017D"/>
    <w:rsid w:val="000E2F2E"/>
    <w:rsid w:val="000F03CB"/>
    <w:rsid w:val="0010471F"/>
    <w:rsid w:val="00105F93"/>
    <w:rsid w:val="0010607D"/>
    <w:rsid w:val="001064D6"/>
    <w:rsid w:val="00121EE4"/>
    <w:rsid w:val="00144B36"/>
    <w:rsid w:val="0014646E"/>
    <w:rsid w:val="0017581E"/>
    <w:rsid w:val="001902FA"/>
    <w:rsid w:val="001921ED"/>
    <w:rsid w:val="001936E2"/>
    <w:rsid w:val="001A2D78"/>
    <w:rsid w:val="001B3443"/>
    <w:rsid w:val="001C4E22"/>
    <w:rsid w:val="001D192C"/>
    <w:rsid w:val="001E1042"/>
    <w:rsid w:val="001E77C4"/>
    <w:rsid w:val="001F1F63"/>
    <w:rsid w:val="002026E1"/>
    <w:rsid w:val="00206D4F"/>
    <w:rsid w:val="00212101"/>
    <w:rsid w:val="0022466B"/>
    <w:rsid w:val="00237ADF"/>
    <w:rsid w:val="00245D81"/>
    <w:rsid w:val="00255596"/>
    <w:rsid w:val="00261F43"/>
    <w:rsid w:val="002662B4"/>
    <w:rsid w:val="00267635"/>
    <w:rsid w:val="00271C4A"/>
    <w:rsid w:val="00274072"/>
    <w:rsid w:val="002744A9"/>
    <w:rsid w:val="00281FD4"/>
    <w:rsid w:val="00282634"/>
    <w:rsid w:val="0028516A"/>
    <w:rsid w:val="002A4FF5"/>
    <w:rsid w:val="002C034F"/>
    <w:rsid w:val="002C6AF0"/>
    <w:rsid w:val="002E44A7"/>
    <w:rsid w:val="002F3AE3"/>
    <w:rsid w:val="0030786C"/>
    <w:rsid w:val="00312A62"/>
    <w:rsid w:val="00313659"/>
    <w:rsid w:val="00316683"/>
    <w:rsid w:val="003270B0"/>
    <w:rsid w:val="00363C30"/>
    <w:rsid w:val="00371929"/>
    <w:rsid w:val="003778DB"/>
    <w:rsid w:val="0038695F"/>
    <w:rsid w:val="003873C6"/>
    <w:rsid w:val="003A79A2"/>
    <w:rsid w:val="003C297A"/>
    <w:rsid w:val="003D17F9"/>
    <w:rsid w:val="003D19BF"/>
    <w:rsid w:val="003D437B"/>
    <w:rsid w:val="003E76C8"/>
    <w:rsid w:val="00405658"/>
    <w:rsid w:val="00411B81"/>
    <w:rsid w:val="00412E9D"/>
    <w:rsid w:val="0042349C"/>
    <w:rsid w:val="004236C7"/>
    <w:rsid w:val="00441B0A"/>
    <w:rsid w:val="00447D31"/>
    <w:rsid w:val="00463108"/>
    <w:rsid w:val="004636AC"/>
    <w:rsid w:val="00470AB8"/>
    <w:rsid w:val="00473AAE"/>
    <w:rsid w:val="004867E2"/>
    <w:rsid w:val="00486826"/>
    <w:rsid w:val="004A0670"/>
    <w:rsid w:val="004B0FB2"/>
    <w:rsid w:val="004B2999"/>
    <w:rsid w:val="004D3A43"/>
    <w:rsid w:val="004D7A94"/>
    <w:rsid w:val="004E58C1"/>
    <w:rsid w:val="004F2BD6"/>
    <w:rsid w:val="00503C91"/>
    <w:rsid w:val="005066B9"/>
    <w:rsid w:val="00516E5A"/>
    <w:rsid w:val="0052107C"/>
    <w:rsid w:val="005221B7"/>
    <w:rsid w:val="00544A4E"/>
    <w:rsid w:val="00553E33"/>
    <w:rsid w:val="00566B97"/>
    <w:rsid w:val="00582AA6"/>
    <w:rsid w:val="00585213"/>
    <w:rsid w:val="0059724C"/>
    <w:rsid w:val="00597309"/>
    <w:rsid w:val="005A3FF0"/>
    <w:rsid w:val="005C1496"/>
    <w:rsid w:val="005C6AAE"/>
    <w:rsid w:val="005D2CD2"/>
    <w:rsid w:val="005E2614"/>
    <w:rsid w:val="005E49F2"/>
    <w:rsid w:val="00604AA8"/>
    <w:rsid w:val="00607B0B"/>
    <w:rsid w:val="0061629C"/>
    <w:rsid w:val="00617D74"/>
    <w:rsid w:val="00653095"/>
    <w:rsid w:val="006803BA"/>
    <w:rsid w:val="00692E7A"/>
    <w:rsid w:val="006957A4"/>
    <w:rsid w:val="006A6EF8"/>
    <w:rsid w:val="006B1483"/>
    <w:rsid w:val="006B5056"/>
    <w:rsid w:val="006D6399"/>
    <w:rsid w:val="006E688D"/>
    <w:rsid w:val="007006F8"/>
    <w:rsid w:val="007028EC"/>
    <w:rsid w:val="0070703E"/>
    <w:rsid w:val="0071637F"/>
    <w:rsid w:val="007360BF"/>
    <w:rsid w:val="00742D9A"/>
    <w:rsid w:val="0075072C"/>
    <w:rsid w:val="007545C7"/>
    <w:rsid w:val="00754DA4"/>
    <w:rsid w:val="0076005C"/>
    <w:rsid w:val="007635C1"/>
    <w:rsid w:val="00766B42"/>
    <w:rsid w:val="00770E8A"/>
    <w:rsid w:val="0078070C"/>
    <w:rsid w:val="00784541"/>
    <w:rsid w:val="007968CC"/>
    <w:rsid w:val="00796FB7"/>
    <w:rsid w:val="007B04A9"/>
    <w:rsid w:val="007B16AC"/>
    <w:rsid w:val="007D504C"/>
    <w:rsid w:val="007E000D"/>
    <w:rsid w:val="007E78AD"/>
    <w:rsid w:val="00806E29"/>
    <w:rsid w:val="00810494"/>
    <w:rsid w:val="00825675"/>
    <w:rsid w:val="008264EB"/>
    <w:rsid w:val="00826C35"/>
    <w:rsid w:val="00827924"/>
    <w:rsid w:val="00830756"/>
    <w:rsid w:val="00830822"/>
    <w:rsid w:val="0083507F"/>
    <w:rsid w:val="00853E81"/>
    <w:rsid w:val="0086494D"/>
    <w:rsid w:val="00880EDE"/>
    <w:rsid w:val="008A2F7A"/>
    <w:rsid w:val="008A58F9"/>
    <w:rsid w:val="008C3F61"/>
    <w:rsid w:val="008D49F9"/>
    <w:rsid w:val="008D7FB3"/>
    <w:rsid w:val="008E5D6A"/>
    <w:rsid w:val="008F5FF5"/>
    <w:rsid w:val="0091137C"/>
    <w:rsid w:val="00926D03"/>
    <w:rsid w:val="009402C5"/>
    <w:rsid w:val="009424A5"/>
    <w:rsid w:val="00942D86"/>
    <w:rsid w:val="00947AB5"/>
    <w:rsid w:val="00964277"/>
    <w:rsid w:val="00977D26"/>
    <w:rsid w:val="00981329"/>
    <w:rsid w:val="00985FD6"/>
    <w:rsid w:val="009A263C"/>
    <w:rsid w:val="009B053D"/>
    <w:rsid w:val="009B64E3"/>
    <w:rsid w:val="009C7227"/>
    <w:rsid w:val="009E1F38"/>
    <w:rsid w:val="009E5FBF"/>
    <w:rsid w:val="009E6B78"/>
    <w:rsid w:val="009E72B5"/>
    <w:rsid w:val="009F391A"/>
    <w:rsid w:val="009F5557"/>
    <w:rsid w:val="00A0554C"/>
    <w:rsid w:val="00A15082"/>
    <w:rsid w:val="00A2207A"/>
    <w:rsid w:val="00A32F12"/>
    <w:rsid w:val="00A4199A"/>
    <w:rsid w:val="00A4512D"/>
    <w:rsid w:val="00A703DD"/>
    <w:rsid w:val="00A705AF"/>
    <w:rsid w:val="00A75B58"/>
    <w:rsid w:val="00A82872"/>
    <w:rsid w:val="00A906F9"/>
    <w:rsid w:val="00A931E2"/>
    <w:rsid w:val="00A93A18"/>
    <w:rsid w:val="00A964DB"/>
    <w:rsid w:val="00A97C37"/>
    <w:rsid w:val="00AA6DC2"/>
    <w:rsid w:val="00AA7B58"/>
    <w:rsid w:val="00AB11BF"/>
    <w:rsid w:val="00AB40AB"/>
    <w:rsid w:val="00AB617D"/>
    <w:rsid w:val="00AB6ED9"/>
    <w:rsid w:val="00AD52A0"/>
    <w:rsid w:val="00AE1926"/>
    <w:rsid w:val="00AE511F"/>
    <w:rsid w:val="00AF6154"/>
    <w:rsid w:val="00B019A6"/>
    <w:rsid w:val="00B11795"/>
    <w:rsid w:val="00B22798"/>
    <w:rsid w:val="00B24DF4"/>
    <w:rsid w:val="00B2665E"/>
    <w:rsid w:val="00B32DD1"/>
    <w:rsid w:val="00B3720C"/>
    <w:rsid w:val="00B41409"/>
    <w:rsid w:val="00B42851"/>
    <w:rsid w:val="00B47076"/>
    <w:rsid w:val="00B51DE4"/>
    <w:rsid w:val="00B56B37"/>
    <w:rsid w:val="00B8026C"/>
    <w:rsid w:val="00B93784"/>
    <w:rsid w:val="00B95A67"/>
    <w:rsid w:val="00B97962"/>
    <w:rsid w:val="00BA2CCC"/>
    <w:rsid w:val="00BB7E9F"/>
    <w:rsid w:val="00BC07E4"/>
    <w:rsid w:val="00BD2C9D"/>
    <w:rsid w:val="00BE2C40"/>
    <w:rsid w:val="00BF2D9D"/>
    <w:rsid w:val="00C06314"/>
    <w:rsid w:val="00C1074C"/>
    <w:rsid w:val="00C13240"/>
    <w:rsid w:val="00C13604"/>
    <w:rsid w:val="00C15DCB"/>
    <w:rsid w:val="00C436EE"/>
    <w:rsid w:val="00C51BE7"/>
    <w:rsid w:val="00C83543"/>
    <w:rsid w:val="00C84B34"/>
    <w:rsid w:val="00C86C99"/>
    <w:rsid w:val="00C911AD"/>
    <w:rsid w:val="00CA6126"/>
    <w:rsid w:val="00CB0684"/>
    <w:rsid w:val="00CB1CC0"/>
    <w:rsid w:val="00CB5B1A"/>
    <w:rsid w:val="00CB733F"/>
    <w:rsid w:val="00CC1E7C"/>
    <w:rsid w:val="00CC5604"/>
    <w:rsid w:val="00CC697B"/>
    <w:rsid w:val="00D02EB5"/>
    <w:rsid w:val="00D07453"/>
    <w:rsid w:val="00D078FB"/>
    <w:rsid w:val="00D239B6"/>
    <w:rsid w:val="00D24922"/>
    <w:rsid w:val="00D40AE4"/>
    <w:rsid w:val="00D42B9A"/>
    <w:rsid w:val="00D469E4"/>
    <w:rsid w:val="00D5067A"/>
    <w:rsid w:val="00D73FE2"/>
    <w:rsid w:val="00D7465B"/>
    <w:rsid w:val="00D96327"/>
    <w:rsid w:val="00D97070"/>
    <w:rsid w:val="00DC093A"/>
    <w:rsid w:val="00DC0D24"/>
    <w:rsid w:val="00DC30BC"/>
    <w:rsid w:val="00DE2F49"/>
    <w:rsid w:val="00DF35F7"/>
    <w:rsid w:val="00E06743"/>
    <w:rsid w:val="00E13C5C"/>
    <w:rsid w:val="00E236C6"/>
    <w:rsid w:val="00E40F95"/>
    <w:rsid w:val="00E4312B"/>
    <w:rsid w:val="00E47AD2"/>
    <w:rsid w:val="00E517C5"/>
    <w:rsid w:val="00E60EE1"/>
    <w:rsid w:val="00E708F6"/>
    <w:rsid w:val="00E75C30"/>
    <w:rsid w:val="00E86B67"/>
    <w:rsid w:val="00EA5FD0"/>
    <w:rsid w:val="00EB0C86"/>
    <w:rsid w:val="00EB3089"/>
    <w:rsid w:val="00EC5513"/>
    <w:rsid w:val="00EC62AE"/>
    <w:rsid w:val="00EE356F"/>
    <w:rsid w:val="00EE397E"/>
    <w:rsid w:val="00EF0E0C"/>
    <w:rsid w:val="00EF1C95"/>
    <w:rsid w:val="00F078B7"/>
    <w:rsid w:val="00F22A29"/>
    <w:rsid w:val="00F238F2"/>
    <w:rsid w:val="00F332B3"/>
    <w:rsid w:val="00F34D63"/>
    <w:rsid w:val="00F41C35"/>
    <w:rsid w:val="00F5269A"/>
    <w:rsid w:val="00F549D7"/>
    <w:rsid w:val="00F556DB"/>
    <w:rsid w:val="00F6268C"/>
    <w:rsid w:val="00F73D95"/>
    <w:rsid w:val="00F95769"/>
    <w:rsid w:val="00FA2281"/>
    <w:rsid w:val="00FB1BEE"/>
    <w:rsid w:val="00FD1062"/>
    <w:rsid w:val="00FD2BCA"/>
    <w:rsid w:val="00FD33CA"/>
    <w:rsid w:val="00FD4007"/>
    <w:rsid w:val="00FE5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9515D981-DCC2-4068-A51C-A02AF65B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uiPriority="0"/>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semiHidden="1" w:uiPriority="0" w:unhideWhenUsed="1"/>
    <w:lsdException w:name="footer" w:locked="0"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0"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C1074C"/>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BalloonText">
    <w:name w:val="Balloon Text"/>
    <w:basedOn w:val="Normal"/>
    <w:link w:val="BalloonTextChar"/>
    <w:locked/>
    <w:rsid w:val="0003186E"/>
    <w:pPr>
      <w:spacing w:after="0"/>
    </w:pPr>
    <w:rPr>
      <w:rFonts w:ascii="Tahoma" w:hAnsi="Tahoma" w:cs="Tahoma"/>
      <w:sz w:val="16"/>
      <w:szCs w:val="16"/>
    </w:rPr>
  </w:style>
  <w:style w:type="character" w:customStyle="1" w:styleId="BalloonTextChar">
    <w:name w:val="Balloon Text Char"/>
    <w:basedOn w:val="DefaultParagraphFont"/>
    <w:link w:val="BalloonText"/>
    <w:rsid w:val="0003186E"/>
    <w:rPr>
      <w:rFonts w:ascii="Tahoma" w:hAnsi="Tahoma" w:cs="Tahoma"/>
      <w:sz w:val="16"/>
      <w:szCs w:val="16"/>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qFormat/>
    <w:rsid w:val="009A263C"/>
    <w:pPr>
      <w:tabs>
        <w:tab w:val="right" w:pos="9016"/>
      </w:tabs>
      <w:spacing w:before="120" w:after="120"/>
      <w:ind w:left="221"/>
    </w:pPr>
    <w:rPr>
      <w:rFonts w:cstheme="minorHAnsi"/>
      <w:szCs w:val="20"/>
    </w:rPr>
  </w:style>
  <w:style w:type="paragraph" w:styleId="TOC3">
    <w:name w:val="toc 3"/>
    <w:basedOn w:val="Normal"/>
    <w:next w:val="Normal"/>
    <w:autoRedefine/>
    <w:qFormat/>
    <w:rsid w:val="009A263C"/>
    <w:pPr>
      <w:tabs>
        <w:tab w:val="left" w:pos="8902"/>
      </w:tabs>
      <w:spacing w:after="0"/>
      <w:ind w:left="442"/>
    </w:pPr>
    <w:rPr>
      <w:rFonts w:cstheme="minorHAnsi"/>
      <w:iCs/>
      <w:sz w:val="20"/>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styleId="PlaceholderText">
    <w:name w:val="Placeholder Text"/>
    <w:basedOn w:val="DefaultParagraphFont"/>
    <w:uiPriority w:val="98"/>
    <w:semiHidden/>
    <w:locked/>
    <w:rsid w:val="00C51BE7"/>
    <w:rPr>
      <w:color w:val="808080"/>
    </w:rPr>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styleId="Header">
    <w:name w:val="header"/>
    <w:basedOn w:val="Normal"/>
    <w:link w:val="HeaderChar"/>
    <w:locked/>
    <w:rsid w:val="00754DA4"/>
    <w:pPr>
      <w:tabs>
        <w:tab w:val="center" w:pos="4513"/>
        <w:tab w:val="right" w:pos="9026"/>
      </w:tabs>
      <w:spacing w:after="0"/>
    </w:pPr>
  </w:style>
  <w:style w:type="character" w:customStyle="1" w:styleId="HeaderChar">
    <w:name w:val="Header Char"/>
    <w:basedOn w:val="DefaultParagraphFont"/>
    <w:link w:val="Header"/>
    <w:rsid w:val="00754DA4"/>
  </w:style>
  <w:style w:type="paragraph" w:styleId="Caption">
    <w:name w:val="caption"/>
    <w:basedOn w:val="Normal"/>
    <w:next w:val="Normal"/>
    <w:uiPriority w:val="35"/>
    <w:unhideWhenUsed/>
    <w:qFormat/>
    <w:locked/>
    <w:rsid w:val="00E06743"/>
    <w:rPr>
      <w:b/>
      <w:bCs/>
      <w:color w:val="1178A2" w:themeColor="accent1"/>
      <w:sz w:val="18"/>
      <w:szCs w:val="18"/>
    </w:rPr>
  </w:style>
  <w:style w:type="paragraph" w:styleId="ListParagraph">
    <w:name w:val="List Paragraph"/>
    <w:basedOn w:val="Normal"/>
    <w:uiPriority w:val="34"/>
    <w:qFormat/>
    <w:locked/>
    <w:rsid w:val="00826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22538260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yperlink" Target="http://meteor.aihw.gov.au/content/index.phtml/itemId/4965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safetyandquality.gov.au" TargetMode="External"/><Relationship Id="rId5" Type="http://schemas.openxmlformats.org/officeDocument/2006/relationships/webSettings" Target="webSettings.xml"/><Relationship Id="rId15" Type="http://schemas.openxmlformats.org/officeDocument/2006/relationships/hyperlink" Target="http://meteor.aihw.gov.au/content/index.phtml/itemId/496512"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reativecommons.org/licenses/by-nc-nd/4.0/"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entral.health\dfsuserenv\Users\User_02\graltj\Desktop\Output%20-%20Analysis%20of%202016%20A047%20datas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userenv\Users\User_02\graltj\Desktop\Output%20-%20Analysis%20of%202016%20A047%20dataset.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entral.health\dfsuserenv\Users\User_02\GRALTJ\Documents\Offline%20Records%20(CP)\CDI%20-%20Annual%20data%20monitoring%202016\Output%20-%20Analysis%20of%202016%20A047%20dataset.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entral.health\dfsuserenv\Users\User_02\GRALTJ\Documents\Offline%20Records%20(CP)\CDI%20-%20Annual%20data%20monitoring%202016\Output%20-%20Analysis%20of%202016%20A047%20datas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82258799272107"/>
          <c:y val="4.9958342997153328E-2"/>
          <c:w val="0.84442740810843864"/>
          <c:h val="0.85481204721879633"/>
        </c:manualLayout>
      </c:layout>
      <c:lineChart>
        <c:grouping val="standard"/>
        <c:varyColors val="0"/>
        <c:ser>
          <c:idx val="0"/>
          <c:order val="0"/>
          <c:tx>
            <c:strRef>
              <c:f>'2016 Snapshot'!$S$1</c:f>
              <c:strCache>
                <c:ptCount val="1"/>
                <c:pt idx="0">
                  <c:v>Rate of all diagnoses</c:v>
                </c:pt>
              </c:strCache>
            </c:strRef>
          </c:tx>
          <c:spPr>
            <a:ln>
              <a:solidFill>
                <a:srgbClr val="C00000"/>
              </a:solidFill>
            </a:ln>
          </c:spPr>
          <c:marker>
            <c:symbol val="none"/>
          </c:marker>
          <c:cat>
            <c:numRef>
              <c:f>'2016 Snapshot'!$D$2:$D$13</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'2016 Snapshot'!$S$2:$S$13</c:f>
              <c:numCache>
                <c:formatCode>0.00</c:formatCode>
                <c:ptCount val="12"/>
                <c:pt idx="0">
                  <c:v>4.2181822829952935</c:v>
                </c:pt>
                <c:pt idx="1">
                  <c:v>3.8582400414162747</c:v>
                </c:pt>
                <c:pt idx="2">
                  <c:v>3.8335057641146908</c:v>
                </c:pt>
                <c:pt idx="3">
                  <c:v>3.9451556700249983</c:v>
                </c:pt>
                <c:pt idx="4">
                  <c:v>3.8727808821038794</c:v>
                </c:pt>
                <c:pt idx="5">
                  <c:v>3.7109039013969682</c:v>
                </c:pt>
                <c:pt idx="6">
                  <c:v>3.53722801368039</c:v>
                </c:pt>
                <c:pt idx="7">
                  <c:v>3.8072963360469818</c:v>
                </c:pt>
                <c:pt idx="8">
                  <c:v>3.7309779507313934</c:v>
                </c:pt>
                <c:pt idx="9">
                  <c:v>4.0454248495700185</c:v>
                </c:pt>
                <c:pt idx="10">
                  <c:v>3.641949574099165</c:v>
                </c:pt>
                <c:pt idx="11">
                  <c:v>4.2081396387654069</c:v>
                </c:pt>
              </c:numCache>
            </c:numRef>
          </c:val>
          <c:smooth val="0"/>
          <c:extLst>
            <c:ext xmlns:c16="http://schemas.microsoft.com/office/drawing/2014/chart" uri="{C3380CC4-5D6E-409C-BE32-E72D297353CC}">
              <c16:uniqueId val="{00000000-1F86-4B00-8284-BB307532B603}"/>
            </c:ext>
          </c:extLst>
        </c:ser>
        <c:ser>
          <c:idx val="3"/>
          <c:order val="1"/>
          <c:tx>
            <c:strRef>
              <c:f>'2016 Snapshot'!$W$1</c:f>
              <c:strCache>
                <c:ptCount val="1"/>
                <c:pt idx="0">
                  <c:v>Rate of principal diagnoses </c:v>
                </c:pt>
              </c:strCache>
            </c:strRef>
          </c:tx>
          <c:spPr>
            <a:ln>
              <a:solidFill>
                <a:schemeClr val="accent3"/>
              </a:solidFill>
            </a:ln>
          </c:spPr>
          <c:marker>
            <c:symbol val="none"/>
          </c:marker>
          <c:cat>
            <c:numRef>
              <c:f>'2016 Snapshot'!$D$2:$D$13</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'2016 Snapshot'!$W$2:$W$13</c:f>
              <c:numCache>
                <c:formatCode>0.00</c:formatCode>
                <c:ptCount val="12"/>
                <c:pt idx="0">
                  <c:v>1.374104834612103</c:v>
                </c:pt>
                <c:pt idx="1">
                  <c:v>1.2022496790422732</c:v>
                </c:pt>
                <c:pt idx="2">
                  <c:v>1.2643640999113215</c:v>
                </c:pt>
                <c:pt idx="3">
                  <c:v>1.1756685099613666</c:v>
                </c:pt>
                <c:pt idx="4">
                  <c:v>1.2311975043106362</c:v>
                </c:pt>
                <c:pt idx="5">
                  <c:v>1.0183410706159124</c:v>
                </c:pt>
                <c:pt idx="6">
                  <c:v>1.0547582709656516</c:v>
                </c:pt>
                <c:pt idx="7">
                  <c:v>1.2061070144849562</c:v>
                </c:pt>
                <c:pt idx="8">
                  <c:v>1.0312330360717206</c:v>
                </c:pt>
                <c:pt idx="9">
                  <c:v>1.350449290925277</c:v>
                </c:pt>
                <c:pt idx="10">
                  <c:v>1.1666082375569684</c:v>
                </c:pt>
                <c:pt idx="11">
                  <c:v>1.4109282244176842</c:v>
                </c:pt>
              </c:numCache>
            </c:numRef>
          </c:val>
          <c:smooth val="0"/>
          <c:extLst>
            <c:ext xmlns:c16="http://schemas.microsoft.com/office/drawing/2014/chart" uri="{C3380CC4-5D6E-409C-BE32-E72D297353CC}">
              <c16:uniqueId val="{00000001-1F86-4B00-8284-BB307532B603}"/>
            </c:ext>
          </c:extLst>
        </c:ser>
        <c:ser>
          <c:idx val="1"/>
          <c:order val="2"/>
          <c:tx>
            <c:strRef>
              <c:f>'2016 Snapshot'!$T$1</c:f>
              <c:strCache>
                <c:ptCount val="1"/>
                <c:pt idx="0">
                  <c:v>Rate of additional diagnoses</c:v>
                </c:pt>
              </c:strCache>
            </c:strRef>
          </c:tx>
          <c:marker>
            <c:symbol val="none"/>
          </c:marker>
          <c:cat>
            <c:numRef>
              <c:f>'2016 Snapshot'!$D$2:$D$13</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'2016 Snapshot'!$T$2:$T$13</c:f>
              <c:numCache>
                <c:formatCode>0.00</c:formatCode>
                <c:ptCount val="12"/>
                <c:pt idx="0">
                  <c:v>2.8440774483831897</c:v>
                </c:pt>
                <c:pt idx="1">
                  <c:v>2.6559903623740015</c:v>
                </c:pt>
                <c:pt idx="2">
                  <c:v>2.5691416642033698</c:v>
                </c:pt>
                <c:pt idx="3">
                  <c:v>2.7694871600636315</c:v>
                </c:pt>
                <c:pt idx="4">
                  <c:v>2.6415833777932431</c:v>
                </c:pt>
                <c:pt idx="5">
                  <c:v>2.6925628307810561</c:v>
                </c:pt>
                <c:pt idx="6">
                  <c:v>2.4824697427147382</c:v>
                </c:pt>
                <c:pt idx="7">
                  <c:v>2.6011893215620252</c:v>
                </c:pt>
                <c:pt idx="8">
                  <c:v>2.6997449146596728</c:v>
                </c:pt>
                <c:pt idx="9">
                  <c:v>2.6949755586447415</c:v>
                </c:pt>
                <c:pt idx="10">
                  <c:v>2.475341336542197</c:v>
                </c:pt>
                <c:pt idx="11">
                  <c:v>2.7972114143477227</c:v>
                </c:pt>
              </c:numCache>
            </c:numRef>
          </c:val>
          <c:smooth val="0"/>
          <c:extLst>
            <c:ext xmlns:c16="http://schemas.microsoft.com/office/drawing/2014/chart" uri="{C3380CC4-5D6E-409C-BE32-E72D297353CC}">
              <c16:uniqueId val="{00000002-1F86-4B00-8284-BB307532B603}"/>
            </c:ext>
          </c:extLst>
        </c:ser>
        <c:dLbls>
          <c:showLegendKey val="0"/>
          <c:showVal val="0"/>
          <c:showCatName val="0"/>
          <c:showSerName val="0"/>
          <c:showPercent val="0"/>
          <c:showBubbleSize val="0"/>
        </c:dLbls>
        <c:smooth val="0"/>
        <c:axId val="228619008"/>
        <c:axId val="228620928"/>
      </c:lineChart>
      <c:dateAx>
        <c:axId val="228619008"/>
        <c:scaling>
          <c:orientation val="minMax"/>
        </c:scaling>
        <c:delete val="0"/>
        <c:axPos val="b"/>
        <c:title>
          <c:tx>
            <c:rich>
              <a:bodyPr/>
              <a:lstStyle/>
              <a:p>
                <a:pPr>
                  <a:defRPr/>
                </a:pPr>
                <a:r>
                  <a:rPr lang="en-AU"/>
                  <a:t>Month-Year</a:t>
                </a:r>
              </a:p>
            </c:rich>
          </c:tx>
          <c:layout/>
          <c:overlay val="0"/>
        </c:title>
        <c:numFmt formatCode="mmm\-yy" sourceLinked="1"/>
        <c:majorTickMark val="cross"/>
        <c:minorTickMark val="none"/>
        <c:tickLblPos val="nextTo"/>
        <c:txPr>
          <a:bodyPr/>
          <a:lstStyle/>
          <a:p>
            <a:pPr>
              <a:defRPr sz="900"/>
            </a:pPr>
            <a:endParaRPr lang="en-US"/>
          </a:p>
        </c:txPr>
        <c:crossAx val="228620928"/>
        <c:crosses val="autoZero"/>
        <c:auto val="1"/>
        <c:lblOffset val="100"/>
        <c:baseTimeUnit val="months"/>
      </c:dateAx>
      <c:valAx>
        <c:axId val="228620928"/>
        <c:scaling>
          <c:orientation val="minMax"/>
          <c:max val="5"/>
        </c:scaling>
        <c:delete val="0"/>
        <c:axPos val="l"/>
        <c:title>
          <c:tx>
            <c:rich>
              <a:bodyPr/>
              <a:lstStyle/>
              <a:p>
                <a:pPr>
                  <a:defRPr/>
                </a:pPr>
                <a:r>
                  <a:rPr lang="en-AU"/>
                  <a:t>Rate of diagnoses,</a:t>
                </a:r>
                <a:r>
                  <a:rPr lang="en-AU" baseline="0"/>
                  <a:t> per 10,000 bed days</a:t>
                </a:r>
                <a:endParaRPr lang="en-AU"/>
              </a:p>
            </c:rich>
          </c:tx>
          <c:layout/>
          <c:overlay val="0"/>
        </c:title>
        <c:numFmt formatCode="#,##0.0" sourceLinked="0"/>
        <c:majorTickMark val="out"/>
        <c:minorTickMark val="none"/>
        <c:tickLblPos val="nextTo"/>
        <c:crossAx val="228619008"/>
        <c:crosses val="autoZero"/>
        <c:crossBetween val="midCat"/>
        <c:majorUnit val="0.5"/>
      </c:valAx>
      <c:spPr>
        <a:noFill/>
        <a:ln w="25400">
          <a:noFill/>
        </a:ln>
      </c:spPr>
    </c:plotArea>
    <c:legend>
      <c:legendPos val="r"/>
      <c:layout>
        <c:manualLayout>
          <c:xMode val="edge"/>
          <c:yMode val="edge"/>
          <c:x val="0.10024175801808326"/>
          <c:y val="0.7645973782650215"/>
          <c:w val="0.33691495849581921"/>
          <c:h val="0.12510130898463007"/>
        </c:manualLayout>
      </c:layout>
      <c:overlay val="0"/>
      <c:spPr>
        <a:noFill/>
      </c:spPr>
      <c:txPr>
        <a:bodyPr/>
        <a:lstStyle/>
        <a:p>
          <a:pPr>
            <a:defRPr sz="900"/>
          </a:pPr>
          <a:endParaRPr lang="en-US"/>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5990006596769"/>
          <c:y val="4.0400478661919884E-2"/>
          <c:w val="0.86850363654061857"/>
          <c:h val="0.82733643114345057"/>
        </c:manualLayout>
      </c:layout>
      <c:lineChart>
        <c:grouping val="standard"/>
        <c:varyColors val="0"/>
        <c:ser>
          <c:idx val="2"/>
          <c:order val="0"/>
          <c:tx>
            <c:strRef>
              <c:f>'Ana_SPC 2011-1 qtly'!$P$1</c:f>
              <c:strCache>
                <c:ptCount val="1"/>
                <c:pt idx="0">
                  <c:v>Rate of all diagnoses</c:v>
                </c:pt>
              </c:strCache>
            </c:strRef>
          </c:tx>
          <c:spPr>
            <a:ln>
              <a:solidFill>
                <a:srgbClr val="C00000"/>
              </a:solidFill>
            </a:ln>
          </c:spPr>
          <c:marker>
            <c:symbol val="none"/>
          </c:marker>
          <c:cat>
            <c:strRef>
              <c:f>'Ana_SPC 2011-1 qtly'!$F$4:$F$39</c:f>
              <c:strCache>
                <c:ptCount val="12"/>
                <c:pt idx="0">
                  <c:v>2014 Q1</c:v>
                </c:pt>
                <c:pt idx="1">
                  <c:v>2014 Q2</c:v>
                </c:pt>
                <c:pt idx="2">
                  <c:v>2014 Q3</c:v>
                </c:pt>
                <c:pt idx="3">
                  <c:v>2014 Q4</c:v>
                </c:pt>
                <c:pt idx="4">
                  <c:v>2015 Q1</c:v>
                </c:pt>
                <c:pt idx="5">
                  <c:v>2015 Q2</c:v>
                </c:pt>
                <c:pt idx="6">
                  <c:v>2015 Q3</c:v>
                </c:pt>
                <c:pt idx="7">
                  <c:v>2015 Q4</c:v>
                </c:pt>
                <c:pt idx="8">
                  <c:v>2016 Q1</c:v>
                </c:pt>
                <c:pt idx="9">
                  <c:v>2016 Q2</c:v>
                </c:pt>
                <c:pt idx="10">
                  <c:v>2016 Q3</c:v>
                </c:pt>
                <c:pt idx="11">
                  <c:v>2016 Q4</c:v>
                </c:pt>
              </c:strCache>
            </c:strRef>
          </c:cat>
          <c:val>
            <c:numRef>
              <c:f>'Ana_SPC 2011-1 qtly'!$P$4:$P$39</c:f>
              <c:numCache>
                <c:formatCode>#,##0.00</c:formatCode>
                <c:ptCount val="12"/>
                <c:pt idx="0">
                  <c:v>3.9477900990371961</c:v>
                </c:pt>
                <c:pt idx="1">
                  <c:v>3.7373751488328315</c:v>
                </c:pt>
                <c:pt idx="2">
                  <c:v>3.7550847197366695</c:v>
                </c:pt>
                <c:pt idx="3">
                  <c:v>3.8231899173253487</c:v>
                </c:pt>
                <c:pt idx="4">
                  <c:v>3.7869470771499971</c:v>
                </c:pt>
                <c:pt idx="5">
                  <c:v>3.7283664460973012</c:v>
                </c:pt>
                <c:pt idx="6">
                  <c:v>3.7449232859599895</c:v>
                </c:pt>
                <c:pt idx="7">
                  <c:v>4.1421189566080967</c:v>
                </c:pt>
                <c:pt idx="8">
                  <c:v>4.0707893703111733</c:v>
                </c:pt>
                <c:pt idx="9">
                  <c:v>3.9460334143283058</c:v>
                </c:pt>
                <c:pt idx="10">
                  <c:v>3.6937408073838185</c:v>
                </c:pt>
                <c:pt idx="11">
                  <c:v>3.961977812924248</c:v>
                </c:pt>
              </c:numCache>
            </c:numRef>
          </c:val>
          <c:smooth val="0"/>
          <c:extLst>
            <c:ext xmlns:c16="http://schemas.microsoft.com/office/drawing/2014/chart" uri="{C3380CC4-5D6E-409C-BE32-E72D297353CC}">
              <c16:uniqueId val="{00000000-F661-4BFC-98B2-5356E415AFB1}"/>
            </c:ext>
          </c:extLst>
        </c:ser>
        <c:ser>
          <c:idx val="0"/>
          <c:order val="1"/>
          <c:tx>
            <c:strRef>
              <c:f>'Ana_SPC 2011-1 qtly'!$Q$1</c:f>
              <c:strCache>
                <c:ptCount val="1"/>
                <c:pt idx="0">
                  <c:v>Average quarterly rate </c:v>
                </c:pt>
              </c:strCache>
            </c:strRef>
          </c:tx>
          <c:spPr>
            <a:ln w="31750">
              <a:solidFill>
                <a:srgbClr val="00B050"/>
              </a:solidFill>
              <a:prstDash val="sysDot"/>
            </a:ln>
          </c:spPr>
          <c:marker>
            <c:symbol val="none"/>
          </c:marker>
          <c:cat>
            <c:strRef>
              <c:f>'Ana_SPC 2011-1 qtly'!$F$4:$F$39</c:f>
              <c:strCache>
                <c:ptCount val="12"/>
                <c:pt idx="0">
                  <c:v>2014 Q1</c:v>
                </c:pt>
                <c:pt idx="1">
                  <c:v>2014 Q2</c:v>
                </c:pt>
                <c:pt idx="2">
                  <c:v>2014 Q3</c:v>
                </c:pt>
                <c:pt idx="3">
                  <c:v>2014 Q4</c:v>
                </c:pt>
                <c:pt idx="4">
                  <c:v>2015 Q1</c:v>
                </c:pt>
                <c:pt idx="5">
                  <c:v>2015 Q2</c:v>
                </c:pt>
                <c:pt idx="6">
                  <c:v>2015 Q3</c:v>
                </c:pt>
                <c:pt idx="7">
                  <c:v>2015 Q4</c:v>
                </c:pt>
                <c:pt idx="8">
                  <c:v>2016 Q1</c:v>
                </c:pt>
                <c:pt idx="9">
                  <c:v>2016 Q2</c:v>
                </c:pt>
                <c:pt idx="10">
                  <c:v>2016 Q3</c:v>
                </c:pt>
                <c:pt idx="11">
                  <c:v>2016 Q4</c:v>
                </c:pt>
              </c:strCache>
            </c:strRef>
          </c:cat>
          <c:val>
            <c:numRef>
              <c:f>'Ana_SPC 2011-1 qtly'!$Q$4:$Q$39</c:f>
              <c:numCache>
                <c:formatCode>#,##0.00</c:formatCode>
                <c:ptCount val="12"/>
                <c:pt idx="0">
                  <c:v>3.8592287542970762</c:v>
                </c:pt>
                <c:pt idx="1">
                  <c:v>3.8592287542970762</c:v>
                </c:pt>
                <c:pt idx="2">
                  <c:v>3.8592287542970762</c:v>
                </c:pt>
                <c:pt idx="3">
                  <c:v>3.8592287542970762</c:v>
                </c:pt>
                <c:pt idx="4">
                  <c:v>3.8592287542970762</c:v>
                </c:pt>
                <c:pt idx="5">
                  <c:v>3.8592287542970762</c:v>
                </c:pt>
                <c:pt idx="6">
                  <c:v>3.8592287542970762</c:v>
                </c:pt>
                <c:pt idx="7">
                  <c:v>3.8592287542970762</c:v>
                </c:pt>
                <c:pt idx="8">
                  <c:v>3.8592287542970762</c:v>
                </c:pt>
                <c:pt idx="9">
                  <c:v>3.8592287542970762</c:v>
                </c:pt>
                <c:pt idx="10">
                  <c:v>3.8592287542970762</c:v>
                </c:pt>
                <c:pt idx="11">
                  <c:v>3.8592287542970762</c:v>
                </c:pt>
              </c:numCache>
            </c:numRef>
          </c:val>
          <c:smooth val="0"/>
          <c:extLst>
            <c:ext xmlns:c16="http://schemas.microsoft.com/office/drawing/2014/chart" uri="{C3380CC4-5D6E-409C-BE32-E72D297353CC}">
              <c16:uniqueId val="{00000001-F661-4BFC-98B2-5356E415AFB1}"/>
            </c:ext>
          </c:extLst>
        </c:ser>
        <c:ser>
          <c:idx val="1"/>
          <c:order val="2"/>
          <c:tx>
            <c:strRef>
              <c:f>'Ana_SPC 2011-1 qtly'!$S$1</c:f>
              <c:strCache>
                <c:ptCount val="1"/>
                <c:pt idx="0">
                  <c:v>Upper control</c:v>
                </c:pt>
              </c:strCache>
            </c:strRef>
          </c:tx>
          <c:spPr>
            <a:ln w="19050">
              <a:solidFill>
                <a:schemeClr val="accent6"/>
              </a:solidFill>
              <a:prstDash val="sysDash"/>
            </a:ln>
          </c:spPr>
          <c:marker>
            <c:symbol val="none"/>
          </c:marker>
          <c:cat>
            <c:strRef>
              <c:f>'Ana_SPC 2011-1 qtly'!$F$4:$F$39</c:f>
              <c:strCache>
                <c:ptCount val="12"/>
                <c:pt idx="0">
                  <c:v>2014 Q1</c:v>
                </c:pt>
                <c:pt idx="1">
                  <c:v>2014 Q2</c:v>
                </c:pt>
                <c:pt idx="2">
                  <c:v>2014 Q3</c:v>
                </c:pt>
                <c:pt idx="3">
                  <c:v>2014 Q4</c:v>
                </c:pt>
                <c:pt idx="4">
                  <c:v>2015 Q1</c:v>
                </c:pt>
                <c:pt idx="5">
                  <c:v>2015 Q2</c:v>
                </c:pt>
                <c:pt idx="6">
                  <c:v>2015 Q3</c:v>
                </c:pt>
                <c:pt idx="7">
                  <c:v>2015 Q4</c:v>
                </c:pt>
                <c:pt idx="8">
                  <c:v>2016 Q1</c:v>
                </c:pt>
                <c:pt idx="9">
                  <c:v>2016 Q2</c:v>
                </c:pt>
                <c:pt idx="10">
                  <c:v>2016 Q3</c:v>
                </c:pt>
                <c:pt idx="11">
                  <c:v>2016 Q4</c:v>
                </c:pt>
              </c:strCache>
            </c:strRef>
          </c:cat>
          <c:val>
            <c:numRef>
              <c:f>'Ana_SPC 2011-1 qtly'!$S$4:$S$39</c:f>
              <c:numCache>
                <c:formatCode>#,##0.00</c:formatCode>
                <c:ptCount val="12"/>
                <c:pt idx="0">
                  <c:v>4.1549260882014449</c:v>
                </c:pt>
                <c:pt idx="1">
                  <c:v>4.1549260882014449</c:v>
                </c:pt>
                <c:pt idx="2">
                  <c:v>4.1549260882014449</c:v>
                </c:pt>
                <c:pt idx="3">
                  <c:v>4.1549260882014449</c:v>
                </c:pt>
                <c:pt idx="4">
                  <c:v>4.1549260882014449</c:v>
                </c:pt>
                <c:pt idx="5">
                  <c:v>4.1549260882014449</c:v>
                </c:pt>
                <c:pt idx="6">
                  <c:v>4.1549260882014449</c:v>
                </c:pt>
                <c:pt idx="7">
                  <c:v>4.1549260882014449</c:v>
                </c:pt>
                <c:pt idx="8">
                  <c:v>4.1549260882014449</c:v>
                </c:pt>
                <c:pt idx="9">
                  <c:v>4.1549260882014449</c:v>
                </c:pt>
                <c:pt idx="10">
                  <c:v>4.1549260882014449</c:v>
                </c:pt>
                <c:pt idx="11">
                  <c:v>4.1549260882014449</c:v>
                </c:pt>
              </c:numCache>
            </c:numRef>
          </c:val>
          <c:smooth val="0"/>
          <c:extLst>
            <c:ext xmlns:c16="http://schemas.microsoft.com/office/drawing/2014/chart" uri="{C3380CC4-5D6E-409C-BE32-E72D297353CC}">
              <c16:uniqueId val="{00000002-F661-4BFC-98B2-5356E415AFB1}"/>
            </c:ext>
          </c:extLst>
        </c:ser>
        <c:ser>
          <c:idx val="3"/>
          <c:order val="3"/>
          <c:tx>
            <c:strRef>
              <c:f>'Ana_SPC 2011-1 qtly'!$T$1</c:f>
              <c:strCache>
                <c:ptCount val="1"/>
                <c:pt idx="0">
                  <c:v>Extreme upper control</c:v>
                </c:pt>
              </c:strCache>
            </c:strRef>
          </c:tx>
          <c:spPr>
            <a:ln>
              <a:solidFill>
                <a:schemeClr val="accent2">
                  <a:lumMod val="50000"/>
                </a:schemeClr>
              </a:solidFill>
              <a:prstDash val="lgDash"/>
            </a:ln>
          </c:spPr>
          <c:marker>
            <c:symbol val="none"/>
          </c:marker>
          <c:cat>
            <c:strRef>
              <c:f>'Ana_SPC 2011-1 qtly'!$F$4:$F$39</c:f>
              <c:strCache>
                <c:ptCount val="12"/>
                <c:pt idx="0">
                  <c:v>2014 Q1</c:v>
                </c:pt>
                <c:pt idx="1">
                  <c:v>2014 Q2</c:v>
                </c:pt>
                <c:pt idx="2">
                  <c:v>2014 Q3</c:v>
                </c:pt>
                <c:pt idx="3">
                  <c:v>2014 Q4</c:v>
                </c:pt>
                <c:pt idx="4">
                  <c:v>2015 Q1</c:v>
                </c:pt>
                <c:pt idx="5">
                  <c:v>2015 Q2</c:v>
                </c:pt>
                <c:pt idx="6">
                  <c:v>2015 Q3</c:v>
                </c:pt>
                <c:pt idx="7">
                  <c:v>2015 Q4</c:v>
                </c:pt>
                <c:pt idx="8">
                  <c:v>2016 Q1</c:v>
                </c:pt>
                <c:pt idx="9">
                  <c:v>2016 Q2</c:v>
                </c:pt>
                <c:pt idx="10">
                  <c:v>2016 Q3</c:v>
                </c:pt>
                <c:pt idx="11">
                  <c:v>2016 Q4</c:v>
                </c:pt>
              </c:strCache>
            </c:strRef>
          </c:cat>
          <c:val>
            <c:numRef>
              <c:f>'Ana_SPC 2011-1 qtly'!$T$4:$T$39</c:f>
              <c:numCache>
                <c:formatCode>#,##0.00</c:formatCode>
                <c:ptCount val="12"/>
                <c:pt idx="0">
                  <c:v>4.3027747551536288</c:v>
                </c:pt>
                <c:pt idx="1">
                  <c:v>4.3027747551536288</c:v>
                </c:pt>
                <c:pt idx="2">
                  <c:v>4.3027747551536288</c:v>
                </c:pt>
                <c:pt idx="3">
                  <c:v>4.3027747551536288</c:v>
                </c:pt>
                <c:pt idx="4">
                  <c:v>4.3027747551536288</c:v>
                </c:pt>
                <c:pt idx="5">
                  <c:v>4.3027747551536288</c:v>
                </c:pt>
                <c:pt idx="6">
                  <c:v>4.3027747551536288</c:v>
                </c:pt>
                <c:pt idx="7">
                  <c:v>4.3027747551536288</c:v>
                </c:pt>
                <c:pt idx="8">
                  <c:v>4.3027747551536288</c:v>
                </c:pt>
                <c:pt idx="9">
                  <c:v>4.3027747551536288</c:v>
                </c:pt>
                <c:pt idx="10">
                  <c:v>4.3027747551536288</c:v>
                </c:pt>
                <c:pt idx="11">
                  <c:v>4.3027747551536288</c:v>
                </c:pt>
              </c:numCache>
            </c:numRef>
          </c:val>
          <c:smooth val="0"/>
          <c:extLst>
            <c:ext xmlns:c16="http://schemas.microsoft.com/office/drawing/2014/chart" uri="{C3380CC4-5D6E-409C-BE32-E72D297353CC}">
              <c16:uniqueId val="{00000003-F661-4BFC-98B2-5356E415AFB1}"/>
            </c:ext>
          </c:extLst>
        </c:ser>
        <c:ser>
          <c:idx val="4"/>
          <c:order val="4"/>
          <c:tx>
            <c:strRef>
              <c:f>'Ana_SPC 2011-1 qtly'!$U$1</c:f>
              <c:strCache>
                <c:ptCount val="1"/>
                <c:pt idx="0">
                  <c:v>Lower control</c:v>
                </c:pt>
              </c:strCache>
            </c:strRef>
          </c:tx>
          <c:spPr>
            <a:ln w="19050">
              <a:solidFill>
                <a:schemeClr val="accent6"/>
              </a:solidFill>
              <a:prstDash val="sysDash"/>
            </a:ln>
          </c:spPr>
          <c:marker>
            <c:symbol val="none"/>
          </c:marker>
          <c:cat>
            <c:strRef>
              <c:f>'Ana_SPC 2011-1 qtly'!$F$4:$F$39</c:f>
              <c:strCache>
                <c:ptCount val="12"/>
                <c:pt idx="0">
                  <c:v>2014 Q1</c:v>
                </c:pt>
                <c:pt idx="1">
                  <c:v>2014 Q2</c:v>
                </c:pt>
                <c:pt idx="2">
                  <c:v>2014 Q3</c:v>
                </c:pt>
                <c:pt idx="3">
                  <c:v>2014 Q4</c:v>
                </c:pt>
                <c:pt idx="4">
                  <c:v>2015 Q1</c:v>
                </c:pt>
                <c:pt idx="5">
                  <c:v>2015 Q2</c:v>
                </c:pt>
                <c:pt idx="6">
                  <c:v>2015 Q3</c:v>
                </c:pt>
                <c:pt idx="7">
                  <c:v>2015 Q4</c:v>
                </c:pt>
                <c:pt idx="8">
                  <c:v>2016 Q1</c:v>
                </c:pt>
                <c:pt idx="9">
                  <c:v>2016 Q2</c:v>
                </c:pt>
                <c:pt idx="10">
                  <c:v>2016 Q3</c:v>
                </c:pt>
                <c:pt idx="11">
                  <c:v>2016 Q4</c:v>
                </c:pt>
              </c:strCache>
            </c:strRef>
          </c:cat>
          <c:val>
            <c:numRef>
              <c:f>'Ana_SPC 2011-1 qtly'!$U$4:$U$39</c:f>
              <c:numCache>
                <c:formatCode>#,##0.00</c:formatCode>
                <c:ptCount val="12"/>
                <c:pt idx="0">
                  <c:v>3.5635314203927075</c:v>
                </c:pt>
                <c:pt idx="1">
                  <c:v>3.5635314203927075</c:v>
                </c:pt>
                <c:pt idx="2">
                  <c:v>3.5635314203927075</c:v>
                </c:pt>
                <c:pt idx="3">
                  <c:v>3.5635314203927075</c:v>
                </c:pt>
                <c:pt idx="4">
                  <c:v>3.5635314203927075</c:v>
                </c:pt>
                <c:pt idx="5">
                  <c:v>3.5635314203927075</c:v>
                </c:pt>
                <c:pt idx="6">
                  <c:v>3.5635314203927075</c:v>
                </c:pt>
                <c:pt idx="7">
                  <c:v>3.5635314203927075</c:v>
                </c:pt>
                <c:pt idx="8">
                  <c:v>3.5635314203927075</c:v>
                </c:pt>
                <c:pt idx="9">
                  <c:v>3.5635314203927075</c:v>
                </c:pt>
                <c:pt idx="10">
                  <c:v>3.5635314203927075</c:v>
                </c:pt>
                <c:pt idx="11">
                  <c:v>3.5635314203927075</c:v>
                </c:pt>
              </c:numCache>
            </c:numRef>
          </c:val>
          <c:smooth val="0"/>
          <c:extLst>
            <c:ext xmlns:c16="http://schemas.microsoft.com/office/drawing/2014/chart" uri="{C3380CC4-5D6E-409C-BE32-E72D297353CC}">
              <c16:uniqueId val="{00000004-F661-4BFC-98B2-5356E415AFB1}"/>
            </c:ext>
          </c:extLst>
        </c:ser>
        <c:ser>
          <c:idx val="5"/>
          <c:order val="5"/>
          <c:tx>
            <c:strRef>
              <c:f>'Ana_SPC 2011-1 qtly'!$V$1</c:f>
              <c:strCache>
                <c:ptCount val="1"/>
                <c:pt idx="0">
                  <c:v>Extreme lower control</c:v>
                </c:pt>
              </c:strCache>
            </c:strRef>
          </c:tx>
          <c:spPr>
            <a:ln w="28575">
              <a:solidFill>
                <a:schemeClr val="accent2">
                  <a:lumMod val="50000"/>
                </a:schemeClr>
              </a:solidFill>
              <a:prstDash val="lgDash"/>
            </a:ln>
          </c:spPr>
          <c:marker>
            <c:symbol val="none"/>
          </c:marker>
          <c:cat>
            <c:strRef>
              <c:f>'Ana_SPC 2011-1 qtly'!$F$4:$F$39</c:f>
              <c:strCache>
                <c:ptCount val="12"/>
                <c:pt idx="0">
                  <c:v>2014 Q1</c:v>
                </c:pt>
                <c:pt idx="1">
                  <c:v>2014 Q2</c:v>
                </c:pt>
                <c:pt idx="2">
                  <c:v>2014 Q3</c:v>
                </c:pt>
                <c:pt idx="3">
                  <c:v>2014 Q4</c:v>
                </c:pt>
                <c:pt idx="4">
                  <c:v>2015 Q1</c:v>
                </c:pt>
                <c:pt idx="5">
                  <c:v>2015 Q2</c:v>
                </c:pt>
                <c:pt idx="6">
                  <c:v>2015 Q3</c:v>
                </c:pt>
                <c:pt idx="7">
                  <c:v>2015 Q4</c:v>
                </c:pt>
                <c:pt idx="8">
                  <c:v>2016 Q1</c:v>
                </c:pt>
                <c:pt idx="9">
                  <c:v>2016 Q2</c:v>
                </c:pt>
                <c:pt idx="10">
                  <c:v>2016 Q3</c:v>
                </c:pt>
                <c:pt idx="11">
                  <c:v>2016 Q4</c:v>
                </c:pt>
              </c:strCache>
            </c:strRef>
          </c:cat>
          <c:val>
            <c:numRef>
              <c:f>'Ana_SPC 2011-1 qtly'!$V$4:$V$39</c:f>
              <c:numCache>
                <c:formatCode>#,##0.00</c:formatCode>
                <c:ptCount val="12"/>
                <c:pt idx="0">
                  <c:v>3.4156827534405232</c:v>
                </c:pt>
                <c:pt idx="1">
                  <c:v>3.4156827534405232</c:v>
                </c:pt>
                <c:pt idx="2">
                  <c:v>3.4156827534405232</c:v>
                </c:pt>
                <c:pt idx="3">
                  <c:v>3.4156827534405232</c:v>
                </c:pt>
                <c:pt idx="4">
                  <c:v>3.4156827534405232</c:v>
                </c:pt>
                <c:pt idx="5">
                  <c:v>3.4156827534405232</c:v>
                </c:pt>
                <c:pt idx="6">
                  <c:v>3.4156827534405232</c:v>
                </c:pt>
                <c:pt idx="7">
                  <c:v>3.4156827534405232</c:v>
                </c:pt>
                <c:pt idx="8">
                  <c:v>3.4156827534405232</c:v>
                </c:pt>
                <c:pt idx="9">
                  <c:v>3.4156827534405232</c:v>
                </c:pt>
                <c:pt idx="10">
                  <c:v>3.4156827534405232</c:v>
                </c:pt>
                <c:pt idx="11">
                  <c:v>3.4156827534405232</c:v>
                </c:pt>
              </c:numCache>
            </c:numRef>
          </c:val>
          <c:smooth val="0"/>
          <c:extLst>
            <c:ext xmlns:c16="http://schemas.microsoft.com/office/drawing/2014/chart" uri="{C3380CC4-5D6E-409C-BE32-E72D297353CC}">
              <c16:uniqueId val="{00000005-F661-4BFC-98B2-5356E415AFB1}"/>
            </c:ext>
          </c:extLst>
        </c:ser>
        <c:dLbls>
          <c:showLegendKey val="0"/>
          <c:showVal val="0"/>
          <c:showCatName val="0"/>
          <c:showSerName val="0"/>
          <c:showPercent val="0"/>
          <c:showBubbleSize val="0"/>
        </c:dLbls>
        <c:smooth val="0"/>
        <c:axId val="228895360"/>
        <c:axId val="228901632"/>
      </c:lineChart>
      <c:catAx>
        <c:axId val="228895360"/>
        <c:scaling>
          <c:orientation val="minMax"/>
        </c:scaling>
        <c:delete val="0"/>
        <c:axPos val="b"/>
        <c:title>
          <c:tx>
            <c:rich>
              <a:bodyPr/>
              <a:lstStyle/>
              <a:p>
                <a:pPr>
                  <a:defRPr/>
                </a:pPr>
                <a:r>
                  <a:rPr lang="en-AU" baseline="0"/>
                  <a:t>Year - Quarter</a:t>
                </a:r>
              </a:p>
            </c:rich>
          </c:tx>
          <c:layout>
            <c:manualLayout>
              <c:xMode val="edge"/>
              <c:yMode val="edge"/>
              <c:x val="0.43259997321376298"/>
              <c:y val="0.95057420925206582"/>
            </c:manualLayout>
          </c:layout>
          <c:overlay val="0"/>
        </c:title>
        <c:numFmt formatCode="General" sourceLinked="1"/>
        <c:majorTickMark val="cross"/>
        <c:minorTickMark val="none"/>
        <c:tickLblPos val="nextTo"/>
        <c:txPr>
          <a:bodyPr/>
          <a:lstStyle/>
          <a:p>
            <a:pPr>
              <a:defRPr sz="1000"/>
            </a:pPr>
            <a:endParaRPr lang="en-US"/>
          </a:p>
        </c:txPr>
        <c:crossAx val="228901632"/>
        <c:crosses val="autoZero"/>
        <c:auto val="1"/>
        <c:lblAlgn val="ctr"/>
        <c:lblOffset val="100"/>
        <c:noMultiLvlLbl val="0"/>
      </c:catAx>
      <c:valAx>
        <c:axId val="228901632"/>
        <c:scaling>
          <c:orientation val="minMax"/>
          <c:max val="5"/>
        </c:scaling>
        <c:delete val="0"/>
        <c:axPos val="l"/>
        <c:title>
          <c:tx>
            <c:rich>
              <a:bodyPr/>
              <a:lstStyle/>
              <a:p>
                <a:pPr>
                  <a:defRPr/>
                </a:pPr>
                <a:r>
                  <a:rPr lang="en-AU"/>
                  <a:t>Rate</a:t>
                </a:r>
                <a:r>
                  <a:rPr lang="en-AU" baseline="0"/>
                  <a:t> of diagnosis, per 10,000 bed days</a:t>
                </a:r>
                <a:endParaRPr lang="en-AU"/>
              </a:p>
            </c:rich>
          </c:tx>
          <c:layout>
            <c:manualLayout>
              <c:xMode val="edge"/>
              <c:yMode val="edge"/>
              <c:x val="1.6188055316336644E-2"/>
              <c:y val="0.12642624001825542"/>
            </c:manualLayout>
          </c:layout>
          <c:overlay val="0"/>
        </c:title>
        <c:numFmt formatCode="#,##0.0" sourceLinked="0"/>
        <c:majorTickMark val="out"/>
        <c:minorTickMark val="none"/>
        <c:tickLblPos val="nextTo"/>
        <c:crossAx val="228895360"/>
        <c:crosses val="autoZero"/>
        <c:crossBetween val="between"/>
      </c:valAx>
    </c:plotArea>
    <c:legend>
      <c:legendPos val="r"/>
      <c:layout>
        <c:manualLayout>
          <c:xMode val="edge"/>
          <c:yMode val="edge"/>
          <c:x val="0.12835817491587675"/>
          <c:y val="0.62165687112122892"/>
          <c:w val="0.31753662197776444"/>
          <c:h val="0.21644841401339274"/>
        </c:manualLayout>
      </c:layout>
      <c:overlay val="0"/>
      <c:spPr>
        <a:solidFill>
          <a:schemeClr val="bg1"/>
        </a:solidFill>
        <a:ln>
          <a:noFill/>
        </a:ln>
      </c:spPr>
      <c:txPr>
        <a:bodyPr/>
        <a:lstStyle/>
        <a:p>
          <a:pPr>
            <a:defRPr sz="9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68938045960643"/>
          <c:y val="5.0310998465447412E-2"/>
          <c:w val="0.85656971566721518"/>
          <c:h val="0.7400879852079193"/>
        </c:manualLayout>
      </c:layout>
      <c:lineChart>
        <c:grouping val="standard"/>
        <c:varyColors val="0"/>
        <c:ser>
          <c:idx val="1"/>
          <c:order val="0"/>
          <c:tx>
            <c:strRef>
              <c:f>'2016 Snapshot -GOOD COF only'!$T$1</c:f>
              <c:strCache>
                <c:ptCount val="1"/>
                <c:pt idx="0">
                  <c:v>Rate of additional diagnoses</c:v>
                </c:pt>
              </c:strCache>
            </c:strRef>
          </c:tx>
          <c:marker>
            <c:symbol val="none"/>
          </c:marker>
          <c:cat>
            <c:numRef>
              <c:f>'2016 Snapshot -GOOD COF only'!$D$2:$D$13</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'2016 Snapshot -GOOD COF only'!$T$2:$T$13</c:f>
              <c:numCache>
                <c:formatCode>0.00</c:formatCode>
                <c:ptCount val="12"/>
                <c:pt idx="0">
                  <c:v>2.7546008545014717</c:v>
                </c:pt>
                <c:pt idx="1">
                  <c:v>2.5639814583656642</c:v>
                </c:pt>
                <c:pt idx="2">
                  <c:v>2.511408143659474</c:v>
                </c:pt>
                <c:pt idx="3">
                  <c:v>2.7088856904779939</c:v>
                </c:pt>
                <c:pt idx="4">
                  <c:v>2.5664398681404816</c:v>
                </c:pt>
                <c:pt idx="5">
                  <c:v>2.6005094006688831</c:v>
                </c:pt>
                <c:pt idx="6">
                  <c:v>2.4241958050923262</c:v>
                </c:pt>
                <c:pt idx="7">
                  <c:v>2.5122597721069133</c:v>
                </c:pt>
                <c:pt idx="8">
                  <c:v>2.6360170304080497</c:v>
                </c:pt>
                <c:pt idx="9">
                  <c:v>2.6475913729982401</c:v>
                </c:pt>
                <c:pt idx="10">
                  <c:v>2.4102007750542445</c:v>
                </c:pt>
                <c:pt idx="11">
                  <c:v>2.7047925350190534</c:v>
                </c:pt>
              </c:numCache>
            </c:numRef>
          </c:val>
          <c:smooth val="0"/>
          <c:extLst>
            <c:ext xmlns:c16="http://schemas.microsoft.com/office/drawing/2014/chart" uri="{C3380CC4-5D6E-409C-BE32-E72D297353CC}">
              <c16:uniqueId val="{00000000-3357-4DA9-A5EE-37D5F2C70C73}"/>
            </c:ext>
          </c:extLst>
        </c:ser>
        <c:ser>
          <c:idx val="2"/>
          <c:order val="1"/>
          <c:tx>
            <c:strRef>
              <c:f>'2016 Snapshot -GOOD COF only'!$V$1</c:f>
              <c:strCache>
                <c:ptCount val="1"/>
                <c:pt idx="0">
                  <c:v>Rate of additional diagnoses, with COF1</c:v>
                </c:pt>
              </c:strCache>
            </c:strRef>
          </c:tx>
          <c:spPr>
            <a:ln>
              <a:solidFill>
                <a:srgbClr val="0066FF"/>
              </a:solidFill>
            </a:ln>
          </c:spPr>
          <c:marker>
            <c:symbol val="none"/>
          </c:marker>
          <c:cat>
            <c:numRef>
              <c:f>'2016 Snapshot -GOOD COF only'!$D$2:$D$13</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'2016 Snapshot -GOOD COF only'!$V$2:$V$13</c:f>
              <c:numCache>
                <c:formatCode>0.00</c:formatCode>
                <c:ptCount val="12"/>
                <c:pt idx="0">
                  <c:v>0.91393949464898017</c:v>
                </c:pt>
                <c:pt idx="1">
                  <c:v>0.92008904008337222</c:v>
                </c:pt>
                <c:pt idx="2">
                  <c:v>0.88909621637599767</c:v>
                </c:pt>
                <c:pt idx="3">
                  <c:v>0.94538292553594427</c:v>
                </c:pt>
                <c:pt idx="4">
                  <c:v>0.83235887615366966</c:v>
                </c:pt>
                <c:pt idx="5">
                  <c:v>0.80546751348151258</c:v>
                </c:pt>
                <c:pt idx="6">
                  <c:v>0.82748991423824603</c:v>
                </c:pt>
                <c:pt idx="7">
                  <c:v>0.88373739771017534</c:v>
                </c:pt>
                <c:pt idx="8">
                  <c:v>0.88060349147697481</c:v>
                </c:pt>
                <c:pt idx="9">
                  <c:v>0.85883836484282972</c:v>
                </c:pt>
                <c:pt idx="10">
                  <c:v>0.75799926095072057</c:v>
                </c:pt>
                <c:pt idx="11">
                  <c:v>0.94883382777433778</c:v>
                </c:pt>
              </c:numCache>
            </c:numRef>
          </c:val>
          <c:smooth val="0"/>
          <c:extLst>
            <c:ext xmlns:c16="http://schemas.microsoft.com/office/drawing/2014/chart" uri="{C3380CC4-5D6E-409C-BE32-E72D297353CC}">
              <c16:uniqueId val="{00000001-3357-4DA9-A5EE-37D5F2C70C73}"/>
            </c:ext>
          </c:extLst>
        </c:ser>
        <c:ser>
          <c:idx val="0"/>
          <c:order val="2"/>
          <c:tx>
            <c:strRef>
              <c:f>'2016 Snapshot -GOOD COF only'!$U$1</c:f>
              <c:strCache>
                <c:ptCount val="1"/>
                <c:pt idx="0">
                  <c:v>Rate of additional diagnoses, with COF2</c:v>
                </c:pt>
              </c:strCache>
            </c:strRef>
          </c:tx>
          <c:spPr>
            <a:ln>
              <a:solidFill>
                <a:schemeClr val="accent3">
                  <a:lumMod val="40000"/>
                  <a:lumOff val="60000"/>
                </a:schemeClr>
              </a:solidFill>
            </a:ln>
          </c:spPr>
          <c:marker>
            <c:symbol val="none"/>
          </c:marker>
          <c:cat>
            <c:numRef>
              <c:f>'2016 Snapshot -GOOD COF only'!$D$2:$D$13</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'2016 Snapshot -GOOD COF only'!$U$2:$U$13</c:f>
              <c:numCache>
                <c:formatCode>0.00</c:formatCode>
                <c:ptCount val="12"/>
                <c:pt idx="0">
                  <c:v>1.8406613598524915</c:v>
                </c:pt>
                <c:pt idx="1">
                  <c:v>1.6438924182822918</c:v>
                </c:pt>
                <c:pt idx="2">
                  <c:v>1.6223119272834761</c:v>
                </c:pt>
                <c:pt idx="3">
                  <c:v>1.7635027649420498</c:v>
                </c:pt>
                <c:pt idx="4">
                  <c:v>1.7340809919868116</c:v>
                </c:pt>
                <c:pt idx="5">
                  <c:v>1.7950418871873708</c:v>
                </c:pt>
                <c:pt idx="6">
                  <c:v>1.5967058908540803</c:v>
                </c:pt>
                <c:pt idx="7">
                  <c:v>1.6285223743967381</c:v>
                </c:pt>
                <c:pt idx="8">
                  <c:v>1.7554135389310748</c:v>
                </c:pt>
                <c:pt idx="9">
                  <c:v>1.7887530081554106</c:v>
                </c:pt>
                <c:pt idx="10">
                  <c:v>1.6522015141035238</c:v>
                </c:pt>
                <c:pt idx="11">
                  <c:v>1.755958707244716</c:v>
                </c:pt>
              </c:numCache>
            </c:numRef>
          </c:val>
          <c:smooth val="0"/>
          <c:extLst>
            <c:ext xmlns:c16="http://schemas.microsoft.com/office/drawing/2014/chart" uri="{C3380CC4-5D6E-409C-BE32-E72D297353CC}">
              <c16:uniqueId val="{00000002-3357-4DA9-A5EE-37D5F2C70C73}"/>
            </c:ext>
          </c:extLst>
        </c:ser>
        <c:dLbls>
          <c:showLegendKey val="0"/>
          <c:showVal val="0"/>
          <c:showCatName val="0"/>
          <c:showSerName val="0"/>
          <c:showPercent val="0"/>
          <c:showBubbleSize val="0"/>
        </c:dLbls>
        <c:smooth val="0"/>
        <c:axId val="228276480"/>
        <c:axId val="228278656"/>
      </c:lineChart>
      <c:dateAx>
        <c:axId val="228276480"/>
        <c:scaling>
          <c:orientation val="minMax"/>
        </c:scaling>
        <c:delete val="0"/>
        <c:axPos val="b"/>
        <c:title>
          <c:tx>
            <c:rich>
              <a:bodyPr/>
              <a:lstStyle/>
              <a:p>
                <a:pPr>
                  <a:defRPr/>
                </a:pPr>
                <a:r>
                  <a:rPr lang="en-AU"/>
                  <a:t>Month-Year</a:t>
                </a:r>
              </a:p>
            </c:rich>
          </c:tx>
          <c:layout/>
          <c:overlay val="0"/>
        </c:title>
        <c:numFmt formatCode="mmm\-yy" sourceLinked="1"/>
        <c:majorTickMark val="cross"/>
        <c:minorTickMark val="none"/>
        <c:tickLblPos val="nextTo"/>
        <c:crossAx val="228278656"/>
        <c:crosses val="autoZero"/>
        <c:auto val="1"/>
        <c:lblOffset val="100"/>
        <c:baseTimeUnit val="months"/>
      </c:dateAx>
      <c:valAx>
        <c:axId val="228278656"/>
        <c:scaling>
          <c:orientation val="minMax"/>
          <c:max val="5"/>
        </c:scaling>
        <c:delete val="0"/>
        <c:axPos val="l"/>
        <c:title>
          <c:tx>
            <c:rich>
              <a:bodyPr/>
              <a:lstStyle/>
              <a:p>
                <a:pPr>
                  <a:defRPr/>
                </a:pPr>
                <a:r>
                  <a:rPr lang="en-AU"/>
                  <a:t>Rate of A047 diagnosis,</a:t>
                </a:r>
                <a:r>
                  <a:rPr lang="en-AU" baseline="0"/>
                  <a:t> per 10,000 patient bed days</a:t>
                </a:r>
                <a:endParaRPr lang="en-AU"/>
              </a:p>
            </c:rich>
          </c:tx>
          <c:layout/>
          <c:overlay val="0"/>
        </c:title>
        <c:numFmt formatCode="#,##0.0" sourceLinked="0"/>
        <c:majorTickMark val="out"/>
        <c:minorTickMark val="none"/>
        <c:tickLblPos val="nextTo"/>
        <c:crossAx val="228276480"/>
        <c:crosses val="autoZero"/>
        <c:crossBetween val="midCat"/>
        <c:majorUnit val="0.5"/>
      </c:valAx>
      <c:spPr>
        <a:noFill/>
        <a:ln w="25400">
          <a:noFill/>
        </a:ln>
      </c:spPr>
    </c:plotArea>
    <c:legend>
      <c:legendPos val="r"/>
      <c:layout>
        <c:manualLayout>
          <c:xMode val="edge"/>
          <c:yMode val="edge"/>
          <c:x val="0.57213227994549365"/>
          <c:y val="2.1889700888027976E-2"/>
          <c:w val="0.41235786363488175"/>
          <c:h val="0.1596825929831644"/>
        </c:manualLayout>
      </c:layout>
      <c:overlay val="0"/>
      <c:spPr>
        <a:noFill/>
      </c:spPr>
      <c:txPr>
        <a:bodyPr/>
        <a:lstStyle/>
        <a:p>
          <a:pPr>
            <a:defRPr sz="900"/>
          </a:pPr>
          <a:endParaRPr lang="en-US"/>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9513166836075"/>
          <c:y val="6.252235419725076E-2"/>
          <c:w val="0.84739766600729582"/>
          <c:h val="0.73193276911599081"/>
        </c:manualLayout>
      </c:layout>
      <c:lineChart>
        <c:grouping val="standard"/>
        <c:varyColors val="0"/>
        <c:ser>
          <c:idx val="5"/>
          <c:order val="0"/>
          <c:tx>
            <c:strRef>
              <c:f>'2016 Snapshot -GOOD COF only'!$X$1</c:f>
              <c:strCache>
                <c:ptCount val="1"/>
                <c:pt idx="0">
                  <c:v>Estimated rate of pre-existing CDI diagnoses</c:v>
                </c:pt>
              </c:strCache>
            </c:strRef>
          </c:tx>
          <c:spPr>
            <a:ln>
              <a:solidFill>
                <a:schemeClr val="accent5"/>
              </a:solidFill>
              <a:prstDash val="sysDash"/>
            </a:ln>
          </c:spPr>
          <c:marker>
            <c:symbol val="none"/>
          </c:marker>
          <c:cat>
            <c:numRef>
              <c:f>'2016 Snapshot -GOOD COF only'!$D$2:$D$13</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'2016 Snapshot -GOOD COF only'!$X$2:$X$13</c:f>
              <c:numCache>
                <c:formatCode>0.00</c:formatCode>
                <c:ptCount val="12"/>
                <c:pt idx="0">
                  <c:v>3.2147661944645947</c:v>
                </c:pt>
                <c:pt idx="1">
                  <c:v>2.8461420973245648</c:v>
                </c:pt>
                <c:pt idx="2">
                  <c:v>2.8866760271947975</c:v>
                </c:pt>
                <c:pt idx="3">
                  <c:v>2.939171274903416</c:v>
                </c:pt>
                <c:pt idx="4">
                  <c:v>2.9652784962974481</c:v>
                </c:pt>
                <c:pt idx="5">
                  <c:v>2.8133829578032832</c:v>
                </c:pt>
                <c:pt idx="6">
                  <c:v>2.6514641618197317</c:v>
                </c:pt>
                <c:pt idx="7">
                  <c:v>2.834629388881694</c:v>
                </c:pt>
                <c:pt idx="8">
                  <c:v>2.7866465750027949</c:v>
                </c:pt>
                <c:pt idx="9">
                  <c:v>3.1392022990806874</c:v>
                </c:pt>
                <c:pt idx="10">
                  <c:v>2.8188097516604924</c:v>
                </c:pt>
                <c:pt idx="11">
                  <c:v>3.1668869316624</c:v>
                </c:pt>
              </c:numCache>
            </c:numRef>
          </c:val>
          <c:smooth val="0"/>
          <c:extLst>
            <c:ext xmlns:c16="http://schemas.microsoft.com/office/drawing/2014/chart" uri="{C3380CC4-5D6E-409C-BE32-E72D297353CC}">
              <c16:uniqueId val="{00000000-5B3D-4B62-BB3D-23384D6B5E36}"/>
            </c:ext>
          </c:extLst>
        </c:ser>
        <c:ser>
          <c:idx val="0"/>
          <c:order val="1"/>
          <c:tx>
            <c:strRef>
              <c:f>'2016 Snapshot -GOOD COF only'!$U$1</c:f>
              <c:strCache>
                <c:ptCount val="1"/>
                <c:pt idx="0">
                  <c:v>Rate of additional diagnoses, with COF2</c:v>
                </c:pt>
              </c:strCache>
            </c:strRef>
          </c:tx>
          <c:spPr>
            <a:ln>
              <a:solidFill>
                <a:schemeClr val="accent3">
                  <a:lumMod val="40000"/>
                  <a:lumOff val="60000"/>
                </a:schemeClr>
              </a:solidFill>
            </a:ln>
          </c:spPr>
          <c:marker>
            <c:symbol val="none"/>
          </c:marker>
          <c:cat>
            <c:numRef>
              <c:f>'2016 Snapshot -GOOD COF only'!$D$2:$D$13</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'2016 Snapshot -GOOD COF only'!$U$2:$U$13</c:f>
              <c:numCache>
                <c:formatCode>0.00</c:formatCode>
                <c:ptCount val="12"/>
                <c:pt idx="0">
                  <c:v>1.8406613598524915</c:v>
                </c:pt>
                <c:pt idx="1">
                  <c:v>1.6438924182822918</c:v>
                </c:pt>
                <c:pt idx="2">
                  <c:v>1.6223119272834761</c:v>
                </c:pt>
                <c:pt idx="3">
                  <c:v>1.7635027649420498</c:v>
                </c:pt>
                <c:pt idx="4">
                  <c:v>1.7340809919868116</c:v>
                </c:pt>
                <c:pt idx="5">
                  <c:v>1.7950418871873708</c:v>
                </c:pt>
                <c:pt idx="6">
                  <c:v>1.5967058908540803</c:v>
                </c:pt>
                <c:pt idx="7">
                  <c:v>1.6285223743967381</c:v>
                </c:pt>
                <c:pt idx="8">
                  <c:v>1.7554135389310748</c:v>
                </c:pt>
                <c:pt idx="9">
                  <c:v>1.7887530081554106</c:v>
                </c:pt>
                <c:pt idx="10">
                  <c:v>1.6522015141035238</c:v>
                </c:pt>
                <c:pt idx="11">
                  <c:v>1.755958707244716</c:v>
                </c:pt>
              </c:numCache>
            </c:numRef>
          </c:val>
          <c:smooth val="0"/>
          <c:extLst>
            <c:ext xmlns:c16="http://schemas.microsoft.com/office/drawing/2014/chart" uri="{C3380CC4-5D6E-409C-BE32-E72D297353CC}">
              <c16:uniqueId val="{00000001-5B3D-4B62-BB3D-23384D6B5E36}"/>
            </c:ext>
          </c:extLst>
        </c:ser>
        <c:ser>
          <c:idx val="4"/>
          <c:order val="2"/>
          <c:tx>
            <c:strRef>
              <c:f>'2016 Snapshot -GOOD COF only'!$W$1</c:f>
              <c:strCache>
                <c:ptCount val="1"/>
                <c:pt idx="0">
                  <c:v>Rate of principal diagnoses </c:v>
                </c:pt>
              </c:strCache>
            </c:strRef>
          </c:tx>
          <c:spPr>
            <a:ln>
              <a:solidFill>
                <a:schemeClr val="accent3"/>
              </a:solidFill>
            </a:ln>
          </c:spPr>
          <c:marker>
            <c:symbol val="none"/>
          </c:marker>
          <c:cat>
            <c:numRef>
              <c:f>'2016 Snapshot -GOOD COF only'!$D$2:$D$13</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'2016 Snapshot -GOOD COF only'!$W$2:$W$13</c:f>
              <c:numCache>
                <c:formatCode>0.00</c:formatCode>
                <c:ptCount val="12"/>
                <c:pt idx="0">
                  <c:v>1.374104834612103</c:v>
                </c:pt>
                <c:pt idx="1">
                  <c:v>1.2022496790422732</c:v>
                </c:pt>
                <c:pt idx="2">
                  <c:v>1.2643640999113215</c:v>
                </c:pt>
                <c:pt idx="3">
                  <c:v>1.1756685099613666</c:v>
                </c:pt>
                <c:pt idx="4">
                  <c:v>1.2311975043106362</c:v>
                </c:pt>
                <c:pt idx="5">
                  <c:v>1.0183410706159124</c:v>
                </c:pt>
                <c:pt idx="6">
                  <c:v>1.0547582709656516</c:v>
                </c:pt>
                <c:pt idx="7">
                  <c:v>1.2061070144849562</c:v>
                </c:pt>
                <c:pt idx="8">
                  <c:v>1.0312330360717206</c:v>
                </c:pt>
                <c:pt idx="9">
                  <c:v>1.350449290925277</c:v>
                </c:pt>
                <c:pt idx="10">
                  <c:v>1.1666082375569684</c:v>
                </c:pt>
                <c:pt idx="11">
                  <c:v>1.4109282244176842</c:v>
                </c:pt>
              </c:numCache>
            </c:numRef>
          </c:val>
          <c:smooth val="0"/>
          <c:extLst>
            <c:ext xmlns:c16="http://schemas.microsoft.com/office/drawing/2014/chart" uri="{C3380CC4-5D6E-409C-BE32-E72D297353CC}">
              <c16:uniqueId val="{00000002-5B3D-4B62-BB3D-23384D6B5E36}"/>
            </c:ext>
          </c:extLst>
        </c:ser>
        <c:dLbls>
          <c:showLegendKey val="0"/>
          <c:showVal val="0"/>
          <c:showCatName val="0"/>
          <c:showSerName val="0"/>
          <c:showPercent val="0"/>
          <c:showBubbleSize val="0"/>
        </c:dLbls>
        <c:smooth val="0"/>
        <c:axId val="228318208"/>
        <c:axId val="228324480"/>
      </c:lineChart>
      <c:dateAx>
        <c:axId val="228318208"/>
        <c:scaling>
          <c:orientation val="minMax"/>
        </c:scaling>
        <c:delete val="0"/>
        <c:axPos val="b"/>
        <c:title>
          <c:tx>
            <c:rich>
              <a:bodyPr/>
              <a:lstStyle/>
              <a:p>
                <a:pPr>
                  <a:defRPr/>
                </a:pPr>
                <a:r>
                  <a:rPr lang="en-AU"/>
                  <a:t>Month-Year</a:t>
                </a:r>
              </a:p>
            </c:rich>
          </c:tx>
          <c:layout/>
          <c:overlay val="0"/>
        </c:title>
        <c:numFmt formatCode="mmm\-yy" sourceLinked="1"/>
        <c:majorTickMark val="cross"/>
        <c:minorTickMark val="none"/>
        <c:tickLblPos val="nextTo"/>
        <c:crossAx val="228324480"/>
        <c:crosses val="autoZero"/>
        <c:auto val="1"/>
        <c:lblOffset val="100"/>
        <c:baseTimeUnit val="months"/>
      </c:dateAx>
      <c:valAx>
        <c:axId val="228324480"/>
        <c:scaling>
          <c:orientation val="minMax"/>
          <c:max val="5"/>
        </c:scaling>
        <c:delete val="0"/>
        <c:axPos val="l"/>
        <c:title>
          <c:tx>
            <c:rich>
              <a:bodyPr/>
              <a:lstStyle/>
              <a:p>
                <a:pPr>
                  <a:defRPr/>
                </a:pPr>
                <a:r>
                  <a:rPr lang="en-AU"/>
                  <a:t>Rate of A047 diagnosis,</a:t>
                </a:r>
                <a:r>
                  <a:rPr lang="en-AU" baseline="0"/>
                  <a:t> per 10,000 patient bed days</a:t>
                </a:r>
                <a:endParaRPr lang="en-AU"/>
              </a:p>
            </c:rich>
          </c:tx>
          <c:layout/>
          <c:overlay val="0"/>
        </c:title>
        <c:numFmt formatCode="#,##0.0" sourceLinked="0"/>
        <c:majorTickMark val="out"/>
        <c:minorTickMark val="none"/>
        <c:tickLblPos val="nextTo"/>
        <c:crossAx val="228318208"/>
        <c:crosses val="autoZero"/>
        <c:crossBetween val="midCat"/>
        <c:majorUnit val="0.5"/>
      </c:valAx>
      <c:spPr>
        <a:noFill/>
        <a:ln w="25400">
          <a:noFill/>
        </a:ln>
      </c:spPr>
    </c:plotArea>
    <c:legend>
      <c:legendPos val="r"/>
      <c:layout>
        <c:manualLayout>
          <c:xMode val="edge"/>
          <c:yMode val="edge"/>
          <c:x val="0.10755651312532574"/>
          <c:y val="0.65275384632442968"/>
          <c:w val="0.48727605175638228"/>
          <c:h val="0.12854281793333985"/>
        </c:manualLayout>
      </c:layout>
      <c:overlay val="0"/>
      <c:spPr>
        <a:noFill/>
        <a:ln>
          <a:noFill/>
        </a:ln>
      </c:spPr>
      <c:txPr>
        <a:bodyPr/>
        <a:lstStyle/>
        <a:p>
          <a:pPr>
            <a:defRPr sz="900"/>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0.60635</cdr:x>
      <cdr:y>0.12002</cdr:y>
    </cdr:from>
    <cdr:to>
      <cdr:x>0.97245</cdr:x>
      <cdr:y>0.18156</cdr:y>
    </cdr:to>
    <cdr:sp macro="" textlink="">
      <cdr:nvSpPr>
        <cdr:cNvPr id="2" name="Rectangle 1"/>
        <cdr:cNvSpPr/>
      </cdr:nvSpPr>
      <cdr:spPr>
        <a:xfrm xmlns:a="http://schemas.openxmlformats.org/drawingml/2006/main">
          <a:off x="3693637" y="431821"/>
          <a:ext cx="2230085" cy="22141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r"/>
          <a:r>
            <a:rPr lang="en-US" sz="1050">
              <a:solidFill>
                <a:srgbClr val="C00000"/>
              </a:solidFill>
            </a:rPr>
            <a:t>Total</a:t>
          </a:r>
          <a:r>
            <a:rPr lang="en-US" sz="1050" baseline="0">
              <a:solidFill>
                <a:srgbClr val="C00000"/>
              </a:solidFill>
            </a:rPr>
            <a:t> A04.7 diagnoses, n = 7,836</a:t>
          </a:r>
          <a:endParaRPr lang="en-US" sz="1050">
            <a:solidFill>
              <a:srgbClr val="C00000"/>
            </a:solidFill>
          </a:endParaRPr>
        </a:p>
      </cdr:txBody>
    </cdr:sp>
  </cdr:relSizeAnchor>
  <cdr:relSizeAnchor xmlns:cdr="http://schemas.openxmlformats.org/drawingml/2006/chartDrawing">
    <cdr:from>
      <cdr:x>0.49079</cdr:x>
      <cdr:y>0.3625</cdr:y>
    </cdr:from>
    <cdr:to>
      <cdr:x>0.97506</cdr:x>
      <cdr:y>0.42247</cdr:y>
    </cdr:to>
    <cdr:sp macro="" textlink="">
      <cdr:nvSpPr>
        <cdr:cNvPr id="3" name="Rectangle 2"/>
        <cdr:cNvSpPr/>
      </cdr:nvSpPr>
      <cdr:spPr>
        <a:xfrm xmlns:a="http://schemas.openxmlformats.org/drawingml/2006/main">
          <a:off x="2989692" y="1304243"/>
          <a:ext cx="2949934" cy="21576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r"/>
          <a:r>
            <a:rPr lang="en-US" sz="1000">
              <a:solidFill>
                <a:schemeClr val="accent2"/>
              </a:solidFill>
            </a:rPr>
            <a:t>Additional A04.7 diagnoses</a:t>
          </a:r>
          <a:r>
            <a:rPr lang="en-US" sz="1000" baseline="0">
              <a:solidFill>
                <a:schemeClr val="accent2"/>
              </a:solidFill>
            </a:rPr>
            <a:t>, n = 5,392 (68.8%)</a:t>
          </a:r>
          <a:endParaRPr lang="en-US" sz="1000">
            <a:solidFill>
              <a:schemeClr val="accent2"/>
            </a:solidFill>
          </a:endParaRPr>
        </a:p>
      </cdr:txBody>
    </cdr:sp>
  </cdr:relSizeAnchor>
  <cdr:relSizeAnchor xmlns:cdr="http://schemas.openxmlformats.org/drawingml/2006/chartDrawing">
    <cdr:from>
      <cdr:x>0.50584</cdr:x>
      <cdr:y>0.58922</cdr:y>
    </cdr:from>
    <cdr:to>
      <cdr:x>0.97506</cdr:x>
      <cdr:y>0.64973</cdr:y>
    </cdr:to>
    <cdr:sp macro="" textlink="">
      <cdr:nvSpPr>
        <cdr:cNvPr id="4" name="Rectangle 3"/>
        <cdr:cNvSpPr/>
      </cdr:nvSpPr>
      <cdr:spPr>
        <a:xfrm xmlns:a="http://schemas.openxmlformats.org/drawingml/2006/main">
          <a:off x="3081373" y="2119961"/>
          <a:ext cx="2858251" cy="21772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r"/>
          <a:r>
            <a:rPr lang="en-US" sz="1000">
              <a:solidFill>
                <a:schemeClr val="tx2">
                  <a:lumMod val="50000"/>
                </a:schemeClr>
              </a:solidFill>
            </a:rPr>
            <a:t>Principal A04.7 diagnoses</a:t>
          </a:r>
          <a:r>
            <a:rPr lang="en-US" sz="1000" baseline="0">
              <a:solidFill>
                <a:schemeClr val="tx2">
                  <a:lumMod val="50000"/>
                </a:schemeClr>
              </a:solidFill>
            </a:rPr>
            <a:t>, n = 2,444 (31.2%)</a:t>
          </a:r>
          <a:endParaRPr lang="en-US" sz="1000">
            <a:solidFill>
              <a:schemeClr val="tx2">
                <a:lumMod val="50000"/>
              </a:schemeClr>
            </a:solidFill>
          </a:endParaRPr>
        </a:p>
      </cdr:txBody>
    </cdr:sp>
  </cdr:relSizeAnchor>
  <cdr:relSizeAnchor xmlns:cdr="http://schemas.openxmlformats.org/drawingml/2006/chartDrawing">
    <cdr:from>
      <cdr:x>0.56128</cdr:x>
      <cdr:y>0.80628</cdr:y>
    </cdr:from>
    <cdr:to>
      <cdr:x>0.96984</cdr:x>
      <cdr:y>0.88572</cdr:y>
    </cdr:to>
    <cdr:sp macro="" textlink="">
      <cdr:nvSpPr>
        <cdr:cNvPr id="5" name="Rectangle 4"/>
        <cdr:cNvSpPr/>
      </cdr:nvSpPr>
      <cdr:spPr>
        <a:xfrm xmlns:a="http://schemas.openxmlformats.org/drawingml/2006/main">
          <a:off x="3419061" y="2900923"/>
          <a:ext cx="2488758" cy="28581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r"/>
          <a:r>
            <a:rPr lang="en-US" sz="1000">
              <a:solidFill>
                <a:sysClr val="windowText" lastClr="000000"/>
              </a:solidFill>
            </a:rPr>
            <a:t>Total hospital separations </a:t>
          </a:r>
          <a:r>
            <a:rPr lang="en-US" sz="1000" baseline="0">
              <a:solidFill>
                <a:sysClr val="windowText" lastClr="000000"/>
              </a:solidFill>
            </a:rPr>
            <a:t> = 6,747,532</a:t>
          </a:r>
          <a:endParaRPr lang="en-US" sz="1000">
            <a:solidFill>
              <a:sysClr val="windowText" lastClr="000000"/>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0.54436</cdr:x>
      <cdr:y>0.32115</cdr:y>
    </cdr:from>
    <cdr:to>
      <cdr:x>1</cdr:x>
      <cdr:y>0.3868</cdr:y>
    </cdr:to>
    <cdr:sp macro="" textlink="">
      <cdr:nvSpPr>
        <cdr:cNvPr id="3" name="Rectangle 2"/>
        <cdr:cNvSpPr/>
      </cdr:nvSpPr>
      <cdr:spPr>
        <a:xfrm xmlns:a="http://schemas.openxmlformats.org/drawingml/2006/main">
          <a:off x="3172822" y="1021286"/>
          <a:ext cx="2655484" cy="20877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a:solidFill>
                <a:schemeClr val="accent2"/>
              </a:solidFill>
            </a:rPr>
            <a:t>Additional A047 diagnoses</a:t>
          </a:r>
          <a:r>
            <a:rPr lang="en-US" baseline="0">
              <a:solidFill>
                <a:schemeClr val="accent2"/>
              </a:solidFill>
            </a:rPr>
            <a:t>, n = 5, 243</a:t>
          </a:r>
          <a:endParaRPr lang="en-US">
            <a:solidFill>
              <a:schemeClr val="accent2"/>
            </a:solidFill>
          </a:endParaRPr>
        </a:p>
      </cdr:txBody>
    </cdr:sp>
  </cdr:relSizeAnchor>
  <cdr:relSizeAnchor xmlns:cdr="http://schemas.openxmlformats.org/drawingml/2006/chartDrawing">
    <cdr:from>
      <cdr:x>0.33416</cdr:x>
      <cdr:y>0.46089</cdr:y>
    </cdr:from>
    <cdr:to>
      <cdr:x>0.99186</cdr:x>
      <cdr:y>0.52654</cdr:y>
    </cdr:to>
    <cdr:sp macro="" textlink="">
      <cdr:nvSpPr>
        <cdr:cNvPr id="6" name="Rectangle 5"/>
        <cdr:cNvSpPr/>
      </cdr:nvSpPr>
      <cdr:spPr>
        <a:xfrm xmlns:a="http://schemas.openxmlformats.org/drawingml/2006/main">
          <a:off x="1947495" y="1465670"/>
          <a:ext cx="3833095" cy="20877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a:solidFill>
                <a:schemeClr val="tx2">
                  <a:lumMod val="60000"/>
                  <a:lumOff val="40000"/>
                </a:schemeClr>
              </a:solidFill>
            </a:rPr>
            <a:t>Additional A047 diagnoses, with COF2</a:t>
          </a:r>
          <a:r>
            <a:rPr lang="en-US" baseline="0">
              <a:solidFill>
                <a:schemeClr val="tx2">
                  <a:lumMod val="60000"/>
                  <a:lumOff val="40000"/>
                </a:schemeClr>
              </a:solidFill>
            </a:rPr>
            <a:t>, n = 3, 476 (66.3%) </a:t>
          </a:r>
          <a:endParaRPr lang="en-US">
            <a:solidFill>
              <a:schemeClr val="tx2">
                <a:lumMod val="60000"/>
                <a:lumOff val="40000"/>
              </a:schemeClr>
            </a:solidFill>
          </a:endParaRPr>
        </a:p>
      </cdr:txBody>
    </cdr:sp>
  </cdr:relSizeAnchor>
  <cdr:relSizeAnchor xmlns:cdr="http://schemas.openxmlformats.org/drawingml/2006/chartDrawing">
    <cdr:from>
      <cdr:x>0.3383</cdr:x>
      <cdr:y>0.5753</cdr:y>
    </cdr:from>
    <cdr:to>
      <cdr:x>1</cdr:x>
      <cdr:y>0.64095</cdr:y>
    </cdr:to>
    <cdr:sp macro="" textlink="">
      <cdr:nvSpPr>
        <cdr:cNvPr id="7" name="Rectangle 6"/>
        <cdr:cNvSpPr/>
      </cdr:nvSpPr>
      <cdr:spPr>
        <a:xfrm xmlns:a="http://schemas.openxmlformats.org/drawingml/2006/main">
          <a:off x="1971923" y="1829488"/>
          <a:ext cx="3856383" cy="20877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a:solidFill>
                <a:srgbClr val="0066FF"/>
              </a:solidFill>
            </a:rPr>
            <a:t>Additional A047 diagnoses, with COF1</a:t>
          </a:r>
          <a:r>
            <a:rPr lang="en-US" baseline="0">
              <a:solidFill>
                <a:srgbClr val="0066FF"/>
              </a:solidFill>
            </a:rPr>
            <a:t>, n = 1,767 (33.7%) </a:t>
          </a:r>
          <a:endParaRPr lang="en-US">
            <a:solidFill>
              <a:srgbClr val="0066FF"/>
            </a:solidFil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0.56309</cdr:x>
      <cdr:y>0.2528</cdr:y>
    </cdr:from>
    <cdr:to>
      <cdr:x>0.98182</cdr:x>
      <cdr:y>0.31845</cdr:y>
    </cdr:to>
    <cdr:sp macro="" textlink="">
      <cdr:nvSpPr>
        <cdr:cNvPr id="3" name="Rectangle 2"/>
        <cdr:cNvSpPr/>
      </cdr:nvSpPr>
      <cdr:spPr>
        <a:xfrm xmlns:a="http://schemas.openxmlformats.org/drawingml/2006/main">
          <a:off x="3442940" y="797985"/>
          <a:ext cx="2560289" cy="20722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a:solidFill>
                <a:schemeClr val="accent5"/>
              </a:solidFill>
            </a:rPr>
            <a:t>Estimated pre-existing CDI,</a:t>
          </a:r>
          <a:r>
            <a:rPr lang="en-US" baseline="0">
              <a:solidFill>
                <a:schemeClr val="accent5"/>
              </a:solidFill>
            </a:rPr>
            <a:t> n = 5920</a:t>
          </a:r>
          <a:endParaRPr lang="en-US">
            <a:solidFill>
              <a:schemeClr val="accent5"/>
            </a:solidFill>
          </a:endParaRPr>
        </a:p>
      </cdr:txBody>
    </cdr:sp>
  </cdr:relSizeAnchor>
  <cdr:relSizeAnchor xmlns:cdr="http://schemas.openxmlformats.org/drawingml/2006/chartDrawing">
    <cdr:from>
      <cdr:x>0.41743</cdr:x>
      <cdr:y>0.4502</cdr:y>
    </cdr:from>
    <cdr:to>
      <cdr:x>0.98962</cdr:x>
      <cdr:y>0.51585</cdr:y>
    </cdr:to>
    <cdr:sp macro="" textlink="">
      <cdr:nvSpPr>
        <cdr:cNvPr id="6" name="Rectangle 5"/>
        <cdr:cNvSpPr/>
      </cdr:nvSpPr>
      <cdr:spPr>
        <a:xfrm xmlns:a="http://schemas.openxmlformats.org/drawingml/2006/main">
          <a:off x="2552370" y="1421095"/>
          <a:ext cx="3498572" cy="20722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a:solidFill>
                <a:schemeClr val="accent3">
                  <a:lumMod val="40000"/>
                  <a:lumOff val="60000"/>
                </a:schemeClr>
              </a:solidFill>
            </a:rPr>
            <a:t>Additional A04.7 diagnoses, with COF2 </a:t>
          </a:r>
          <a:r>
            <a:rPr lang="en-US" baseline="0">
              <a:solidFill>
                <a:schemeClr val="accent3">
                  <a:lumMod val="40000"/>
                  <a:lumOff val="60000"/>
                </a:schemeClr>
              </a:solidFill>
            </a:rPr>
            <a:t>, n = 3, 476*</a:t>
          </a:r>
          <a:endParaRPr lang="en-US">
            <a:solidFill>
              <a:schemeClr val="accent3">
                <a:lumMod val="40000"/>
                <a:lumOff val="60000"/>
              </a:schemeClr>
            </a:solidFill>
          </a:endParaRPr>
        </a:p>
      </cdr:txBody>
    </cdr:sp>
  </cdr:relSizeAnchor>
  <cdr:relSizeAnchor xmlns:cdr="http://schemas.openxmlformats.org/drawingml/2006/chartDrawing">
    <cdr:from>
      <cdr:x>0.63591</cdr:x>
      <cdr:y>0.54077</cdr:y>
    </cdr:from>
    <cdr:to>
      <cdr:x>0.97139</cdr:x>
      <cdr:y>0.60642</cdr:y>
    </cdr:to>
    <cdr:sp macro="" textlink="">
      <cdr:nvSpPr>
        <cdr:cNvPr id="7" name="Rectangle 6"/>
        <cdr:cNvSpPr/>
      </cdr:nvSpPr>
      <cdr:spPr>
        <a:xfrm xmlns:a="http://schemas.openxmlformats.org/drawingml/2006/main">
          <a:off x="3888188" y="1706996"/>
          <a:ext cx="2051297" cy="20722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baseline="0">
              <a:solidFill>
                <a:schemeClr val="accent3"/>
              </a:solidFill>
            </a:rPr>
            <a:t>Principal diagnoses, n=2,444 </a:t>
          </a:r>
          <a:endParaRPr lang="en-US">
            <a:solidFill>
              <a:schemeClr val="accent3"/>
            </a:solidFill>
          </a:endParaRPr>
        </a:p>
      </cdr:txBody>
    </cdr:sp>
  </cdr:relSizeAnchor>
</c:userShape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2CDAE-A79F-44EE-9A06-F29A1778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1333</Words>
  <Characters>7599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Cresswell Adam</dc:creator>
  <cp:lastModifiedBy>Mertens, Kate</cp:lastModifiedBy>
  <cp:revision>2</cp:revision>
  <cp:lastPrinted>2017-12-14T02:09:00Z</cp:lastPrinted>
  <dcterms:created xsi:type="dcterms:W3CDTF">2021-07-08T01:23:00Z</dcterms:created>
  <dcterms:modified xsi:type="dcterms:W3CDTF">2021-07-08T01:23:00Z</dcterms:modified>
</cp:coreProperties>
</file>