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2D5" w14:textId="7C0953EF" w:rsidR="008A28F7" w:rsidRPr="008A28F7" w:rsidRDefault="00D5318D" w:rsidP="00DC5826">
      <w:pPr>
        <w:pStyle w:val="FactSheetType"/>
        <w:rPr>
          <w:color w:val="1178A2"/>
          <w:sz w:val="40"/>
          <w:szCs w:val="40"/>
        </w:rPr>
      </w:pPr>
      <w:bookmarkStart w:id="0" w:name="_Toc476822632"/>
      <w:bookmarkStart w:id="1" w:name="_Toc476822653"/>
      <w:r>
        <w:rPr>
          <w:b/>
          <w:bCs w:val="0"/>
        </w:rPr>
        <w:t>CASE STUDY</w:t>
      </w:r>
      <w:r w:rsidR="00716FED" w:rsidRPr="0056304B">
        <w:br/>
      </w:r>
      <w:bookmarkEnd w:id="0"/>
      <w:bookmarkEnd w:id="1"/>
      <w:r w:rsidR="008A28F7">
        <w:t>Cataract Clinical Care Standard</w:t>
      </w:r>
    </w:p>
    <w:p w14:paraId="62F4C8B8" w14:textId="695E683F" w:rsidR="00707D22" w:rsidRPr="008A28F7" w:rsidRDefault="008A28F7" w:rsidP="0015362D">
      <w:pPr>
        <w:pStyle w:val="Title"/>
        <w:rPr>
          <w:lang w:val="en-GB"/>
        </w:rPr>
      </w:pPr>
      <w:r w:rsidRPr="00084FF0">
        <w:t xml:space="preserve">Improving referral processes to </w:t>
      </w:r>
      <w:r w:rsidR="00084FF0">
        <w:t>i</w:t>
      </w:r>
      <w:r w:rsidRPr="00084FF0">
        <w:t>mprove triage pathways for cataract patients</w:t>
      </w:r>
      <w:r w:rsidRPr="008A28F7">
        <w:rPr>
          <w:rFonts w:ascii="MS Gothic" w:eastAsia="MS Gothic" w:hAnsi="MS Gothic" w:cs="MS Gothic" w:hint="eastAsia"/>
        </w:rPr>
        <w:t> </w:t>
      </w:r>
      <w:r w:rsidRPr="008A28F7">
        <w:rPr>
          <w:lang w:val="en-GB"/>
        </w:rPr>
        <w:t xml:space="preserve"> </w:t>
      </w:r>
    </w:p>
    <w:p w14:paraId="21121BA2" w14:textId="77777777" w:rsidR="0015362D" w:rsidRDefault="008A28F7" w:rsidP="0015362D">
      <w:pPr>
        <w:rPr>
          <w:b/>
          <w:bCs/>
        </w:rPr>
      </w:pPr>
      <w:r w:rsidRPr="0015362D">
        <w:rPr>
          <w:b/>
          <w:bCs/>
        </w:rPr>
        <w:t>Surgical Ophthalmology Service (SOS)</w:t>
      </w:r>
      <w:r w:rsidRPr="0015362D">
        <w:rPr>
          <w:b/>
          <w:bCs/>
        </w:rPr>
        <w:br/>
        <w:t xml:space="preserve">Royal Victorian Eye and Ear Hospital  </w:t>
      </w:r>
    </w:p>
    <w:p w14:paraId="690A2EA7" w14:textId="4FCDB128" w:rsidR="008A28F7" w:rsidRPr="0015362D" w:rsidRDefault="008A28F7" w:rsidP="0015362D">
      <w:pPr>
        <w:rPr>
          <w:b/>
          <w:bCs/>
          <w:iCs/>
        </w:rPr>
      </w:pPr>
      <w:r w:rsidRPr="0015362D">
        <w:rPr>
          <w:rFonts w:ascii="MS Gothic" w:eastAsia="MS Gothic" w:hAnsi="MS Gothic" w:cs="MS Gothic" w:hint="eastAsia"/>
          <w:b/>
          <w:bCs/>
        </w:rPr>
        <w:t> </w:t>
      </w:r>
      <w:r w:rsidRPr="0015362D">
        <w:rPr>
          <w:b/>
          <w:bCs/>
          <w:lang w:val="en-GB"/>
        </w:rPr>
        <w:t xml:space="preserve"> </w:t>
      </w:r>
    </w:p>
    <w:p w14:paraId="6ED68006" w14:textId="5E11DF25" w:rsidR="008A28F7" w:rsidRDefault="008A28F7" w:rsidP="0015362D">
      <w:r>
        <w:t>The Royal Victorian Eye and Ear Hospital (the Eye and Ear) was challenged with an ophthalmology clinic waiting list that had more than doubled in a three-year period. A lack of referral criteria and poor-quality referrals were undermining the clinic’s capacity to efficiently triage patients, with almost half of all patients bring returned to the waiting list instead of progressing to surgery.</w:t>
      </w:r>
    </w:p>
    <w:p w14:paraId="36F7A72F" w14:textId="35C9F270" w:rsidR="00E209BF" w:rsidRDefault="008A28F7" w:rsidP="0015362D">
      <w:r>
        <w:t>The Eye and Ear team addressed the congestion by introducing a more structured triaging process, supported by clear criteria and guidelines for referring GPs and clinicians.</w:t>
      </w:r>
      <w:r w:rsidR="00F00403">
        <w:softHyphen/>
      </w:r>
    </w:p>
    <w:p w14:paraId="037E6C30" w14:textId="143AA76F" w:rsidR="008A4E8B" w:rsidRPr="00707D22" w:rsidRDefault="008A28F7" w:rsidP="00945990">
      <w:pPr>
        <w:pStyle w:val="Heading2"/>
        <w:rPr>
          <w:lang w:val="en-GB"/>
        </w:rPr>
      </w:pPr>
      <w:r w:rsidRPr="008A28F7">
        <w:rPr>
          <w:lang w:val="en-GB"/>
        </w:rPr>
        <w:t>How do the Eye and Ear referral and triage processes work?</w:t>
      </w:r>
    </w:p>
    <w:p w14:paraId="464AE3B3" w14:textId="286B2202" w:rsidR="008A28F7" w:rsidRDefault="008A28F7" w:rsidP="004168ED">
      <w:pPr>
        <w:rPr>
          <w:b/>
          <w:bCs/>
        </w:rPr>
      </w:pPr>
      <w:r w:rsidRPr="008A28F7">
        <w:t xml:space="preserve">Strict referral criteria support a triaging process that delivers shorter wait times for ophthalmic assessment and improved surgery conversion rates. </w:t>
      </w:r>
    </w:p>
    <w:p w14:paraId="530F1F9A" w14:textId="0E4C0163" w:rsidR="008A28F7" w:rsidRDefault="008A28F7" w:rsidP="00945990">
      <w:pPr>
        <w:pStyle w:val="ListParagraph"/>
        <w:numPr>
          <w:ilvl w:val="0"/>
          <w:numId w:val="30"/>
        </w:numPr>
      </w:pPr>
      <w:r>
        <w:t xml:space="preserve">GPs and community optometrists and ophthalmologists use the Eye and Ear referral guidelines to assess whether a patient with cataract should be referred for possible cataract surgery or supported and monitored in the community. </w:t>
      </w:r>
    </w:p>
    <w:p w14:paraId="505EA737" w14:textId="14DDED0A" w:rsidR="008A28F7" w:rsidRDefault="008A28F7" w:rsidP="00945990">
      <w:pPr>
        <w:pStyle w:val="ListParagraph"/>
        <w:numPr>
          <w:ilvl w:val="0"/>
          <w:numId w:val="30"/>
        </w:numPr>
      </w:pPr>
      <w:r>
        <w:t>Patients are referred to the SOS Clinic using a standardised referral form which includes key required information.</w:t>
      </w:r>
    </w:p>
    <w:p w14:paraId="26DBEF79" w14:textId="20DB4358" w:rsidR="008A28F7" w:rsidRDefault="008A28F7" w:rsidP="00945990">
      <w:pPr>
        <w:pStyle w:val="ListParagraph"/>
        <w:numPr>
          <w:ilvl w:val="0"/>
          <w:numId w:val="30"/>
        </w:numPr>
      </w:pPr>
      <w:r>
        <w:t xml:space="preserve">Referrals are triaged at the SOS Clinic by trained and credentialed orthoptists. Both the patient and referring clinician receive a letter acknowledging receipt of the </w:t>
      </w:r>
      <w:proofErr w:type="gramStart"/>
      <w:r>
        <w:t>referral, and</w:t>
      </w:r>
      <w:proofErr w:type="gramEnd"/>
      <w:r>
        <w:t xml:space="preserve"> advising whether the referral has been accepted or rejected, or returned for clarification. </w:t>
      </w:r>
    </w:p>
    <w:p w14:paraId="3F3837A8" w14:textId="16B34EFA" w:rsidR="008A28F7" w:rsidRDefault="008A28F7" w:rsidP="00945990">
      <w:pPr>
        <w:pStyle w:val="ListParagraph"/>
        <w:numPr>
          <w:ilvl w:val="0"/>
          <w:numId w:val="30"/>
        </w:numPr>
      </w:pPr>
      <w:r>
        <w:t xml:space="preserve">Patients are added to the SOS Clinic wait list and proceed to ophthalmic assessment based on the urgency of their clinical condition. The decision around clinical urgency is supported by a decision tree within the triage guidelines. </w:t>
      </w:r>
    </w:p>
    <w:p w14:paraId="310467D7" w14:textId="77E995A6" w:rsidR="008A28F7" w:rsidRDefault="008A28F7" w:rsidP="00945990">
      <w:pPr>
        <w:pStyle w:val="ListParagraph"/>
        <w:numPr>
          <w:ilvl w:val="0"/>
          <w:numId w:val="30"/>
        </w:numPr>
      </w:pPr>
      <w:r>
        <w:t xml:space="preserve">Patients not suitable after assessment are not returned to the clinic waiting </w:t>
      </w:r>
      <w:proofErr w:type="gramStart"/>
      <w:r>
        <w:t>list, but</w:t>
      </w:r>
      <w:proofErr w:type="gramEnd"/>
      <w:r>
        <w:t xml:space="preserve"> can be referred again at any time. This ensures that higher priority patients can access the service.</w:t>
      </w:r>
    </w:p>
    <w:p w14:paraId="38AD5D51" w14:textId="35F9642C" w:rsidR="005D1DBA" w:rsidRPr="004E4CB7" w:rsidRDefault="005D1DBA" w:rsidP="004E4CB7">
      <w:pPr>
        <w:pStyle w:val="Heading2"/>
      </w:pPr>
      <w:r>
        <w:t>Key enablers of the initiative</w:t>
      </w:r>
    </w:p>
    <w:p w14:paraId="26BF8E63" w14:textId="741910A8" w:rsidR="008A28F7" w:rsidRPr="00A3465E" w:rsidRDefault="008A28F7" w:rsidP="008A28F7">
      <w:r w:rsidRPr="00A3465E">
        <w:t>The following steps were used to implement the SOS Clinic referral process:</w:t>
      </w:r>
    </w:p>
    <w:p w14:paraId="026DB71B" w14:textId="557C5D34" w:rsidR="008A28F7" w:rsidRPr="00A3465E" w:rsidRDefault="008A28F7" w:rsidP="00A3465E">
      <w:pPr>
        <w:pStyle w:val="ListParagraph"/>
        <w:numPr>
          <w:ilvl w:val="0"/>
          <w:numId w:val="31"/>
        </w:numPr>
      </w:pPr>
      <w:r w:rsidRPr="00A3465E">
        <w:rPr>
          <w:b/>
          <w:bCs/>
        </w:rPr>
        <w:t>Referral and triage guideline development</w:t>
      </w:r>
      <w:r w:rsidRPr="00A3465E">
        <w:t xml:space="preserve"> </w:t>
      </w:r>
      <w:proofErr w:type="gramStart"/>
      <w:r w:rsidRPr="00A3465E">
        <w:t>The</w:t>
      </w:r>
      <w:proofErr w:type="gramEnd"/>
      <w:r w:rsidRPr="00A3465E">
        <w:t xml:space="preserve"> criteria for referrals and triage were developed in close consultation with senior medical staff. The defining criteria included Best Corrected Visual Acuity (BCVA), other visual impairment including glare and contrast sensitivity, impact on independent living and occupational needs. </w:t>
      </w:r>
    </w:p>
    <w:p w14:paraId="5CE3BE69" w14:textId="11787710" w:rsidR="008A28F7" w:rsidRPr="00A3465E" w:rsidRDefault="008A28F7" w:rsidP="00A3465E">
      <w:pPr>
        <w:pStyle w:val="ListParagraph"/>
        <w:numPr>
          <w:ilvl w:val="0"/>
          <w:numId w:val="31"/>
        </w:numPr>
      </w:pPr>
      <w:r w:rsidRPr="00A3465E">
        <w:rPr>
          <w:b/>
          <w:bCs/>
        </w:rPr>
        <w:lastRenderedPageBreak/>
        <w:t>Template development</w:t>
      </w:r>
      <w:r w:rsidRPr="00A3465E">
        <w:t xml:space="preserve"> The SOS Clinic developed a standardised referral template to ensure providers were supplying the information they needed. The template and accompanying guidelines were published on the Eye and Ear website, along with information on how to support and monitor patients who did not yet meet the criteria for referral.</w:t>
      </w:r>
    </w:p>
    <w:p w14:paraId="07361F4F" w14:textId="569E95F7" w:rsidR="008A28F7" w:rsidRPr="00A3465E" w:rsidRDefault="008A28F7" w:rsidP="00A3465E">
      <w:pPr>
        <w:pStyle w:val="ListParagraph"/>
        <w:numPr>
          <w:ilvl w:val="0"/>
          <w:numId w:val="31"/>
        </w:numPr>
      </w:pPr>
      <w:r w:rsidRPr="00A3465E">
        <w:rPr>
          <w:b/>
          <w:bCs/>
        </w:rPr>
        <w:t>Primary healthcare promotion</w:t>
      </w:r>
      <w:r w:rsidRPr="00A3465E">
        <w:t xml:space="preserve"> </w:t>
      </w:r>
      <w:proofErr w:type="gramStart"/>
      <w:r w:rsidRPr="00A3465E">
        <w:t>The</w:t>
      </w:r>
      <w:proofErr w:type="gramEnd"/>
      <w:r w:rsidRPr="00A3465E">
        <w:t xml:space="preserve"> referral template and guidelines were promoted to GPs and other primary healthcare providers across their own networks, and given visibility on the Eye and Ear website.</w:t>
      </w:r>
    </w:p>
    <w:p w14:paraId="425BC994" w14:textId="1F107D2B" w:rsidR="008A28F7" w:rsidRPr="00A3465E" w:rsidRDefault="008A28F7" w:rsidP="00A3465E">
      <w:pPr>
        <w:pStyle w:val="ListParagraph"/>
        <w:numPr>
          <w:ilvl w:val="0"/>
          <w:numId w:val="31"/>
        </w:numPr>
      </w:pPr>
      <w:r w:rsidRPr="00A3465E">
        <w:rPr>
          <w:b/>
          <w:bCs/>
        </w:rPr>
        <w:t xml:space="preserve">Logging and monitoring </w:t>
      </w:r>
      <w:r w:rsidRPr="00A3465E">
        <w:t>Referrals and triage outcomes are logged and documented. The data collected provides an overview of wait times across the patient journey, from referral to ophthalmic assessment, from referral to surgery, and from ophthalmic assessment to surgery. It also provides information about the proportion of patients proceeding to surgery after ophthalmic assessment (‘conversion rates’).</w:t>
      </w:r>
    </w:p>
    <w:p w14:paraId="00A0FC0A" w14:textId="1CEBF92D" w:rsidR="008A28F7" w:rsidRPr="00A3465E" w:rsidRDefault="008A28F7" w:rsidP="00A3465E">
      <w:pPr>
        <w:pStyle w:val="ListParagraph"/>
        <w:numPr>
          <w:ilvl w:val="0"/>
          <w:numId w:val="31"/>
        </w:numPr>
      </w:pPr>
      <w:r w:rsidRPr="00A3465E">
        <w:rPr>
          <w:b/>
          <w:bCs/>
        </w:rPr>
        <w:t xml:space="preserve">Continuous improvement </w:t>
      </w:r>
      <w:proofErr w:type="gramStart"/>
      <w:r w:rsidRPr="00A3465E">
        <w:rPr>
          <w:b/>
          <w:bCs/>
        </w:rPr>
        <w:t>cycle</w:t>
      </w:r>
      <w:proofErr w:type="gramEnd"/>
      <w:r w:rsidRPr="00A3465E">
        <w:t xml:space="preserve"> The Eye and Ear’s Ambulatory Services leadership team has a detailed overview of the patient journey and the overall performance of the SOS Clinic. Regular monitoring ensures issues can be identified and addressed as they emerge.</w:t>
      </w:r>
    </w:p>
    <w:p w14:paraId="46A1C28D" w14:textId="1918A6A0" w:rsidR="008A28F7" w:rsidRDefault="008A28F7" w:rsidP="00A3465E">
      <w:pPr>
        <w:pStyle w:val="Heading2"/>
        <w:rPr>
          <w:lang w:val="en-GB"/>
        </w:rPr>
      </w:pPr>
      <w:r w:rsidRPr="008A28F7">
        <w:rPr>
          <w:lang w:val="en-GB"/>
        </w:rPr>
        <w:t>What have been the outcomes of the referral and triage processes?</w:t>
      </w:r>
    </w:p>
    <w:p w14:paraId="1F2A0C67" w14:textId="190B4770" w:rsidR="008A28F7" w:rsidRPr="00A3465E" w:rsidRDefault="008A28F7" w:rsidP="004168ED">
      <w:pPr>
        <w:rPr>
          <w:lang w:val="en-GB"/>
        </w:rPr>
      </w:pPr>
      <w:r w:rsidRPr="00A3465E">
        <w:rPr>
          <w:lang w:val="en-GB"/>
        </w:rPr>
        <w:t>Three years after the new processes were implemented, an evaluation showed:</w:t>
      </w:r>
    </w:p>
    <w:p w14:paraId="008FF11F" w14:textId="2AF8FDFC" w:rsidR="008A28F7" w:rsidRPr="008A28F7" w:rsidRDefault="008A28F7" w:rsidP="00A3465E">
      <w:pPr>
        <w:pStyle w:val="ListParagraph"/>
        <w:numPr>
          <w:ilvl w:val="0"/>
          <w:numId w:val="32"/>
        </w:numPr>
        <w:rPr>
          <w:lang w:val="en-GB"/>
        </w:rPr>
      </w:pPr>
      <w:r w:rsidRPr="008A28F7">
        <w:rPr>
          <w:lang w:val="en-GB"/>
        </w:rPr>
        <w:t>the number of people on the waiting list for clinic visits decreased by almost 80%, from 10,463 to 2,153</w:t>
      </w:r>
    </w:p>
    <w:p w14:paraId="099F6804" w14:textId="2D34888F" w:rsidR="008A28F7" w:rsidRPr="008A28F7" w:rsidRDefault="008A28F7" w:rsidP="00A3465E">
      <w:pPr>
        <w:pStyle w:val="ListParagraph"/>
        <w:numPr>
          <w:ilvl w:val="0"/>
          <w:numId w:val="32"/>
        </w:numPr>
        <w:rPr>
          <w:lang w:val="en-GB"/>
        </w:rPr>
      </w:pPr>
      <w:r w:rsidRPr="008A28F7">
        <w:rPr>
          <w:lang w:val="en-GB"/>
        </w:rPr>
        <w:t>overall waiting times decreased by 90%, with the maximum waiting time lowered from 1,506 days to 153 days</w:t>
      </w:r>
    </w:p>
    <w:p w14:paraId="60C03FBE" w14:textId="5367B1E3" w:rsidR="008A28F7" w:rsidRDefault="008A28F7" w:rsidP="00A3465E">
      <w:pPr>
        <w:pStyle w:val="ListParagraph"/>
        <w:numPr>
          <w:ilvl w:val="0"/>
          <w:numId w:val="32"/>
        </w:numPr>
        <w:rPr>
          <w:lang w:val="en-GB"/>
        </w:rPr>
      </w:pPr>
      <w:r w:rsidRPr="008A28F7">
        <w:rPr>
          <w:lang w:val="en-GB"/>
        </w:rPr>
        <w:t>the number of patients progressing to surgery increased by 90%.</w:t>
      </w:r>
    </w:p>
    <w:p w14:paraId="0952E368" w14:textId="4BEAAFB3" w:rsidR="008A28F7" w:rsidRDefault="008A28F7" w:rsidP="008A28F7">
      <w:pPr>
        <w:rPr>
          <w:lang w:val="en-GB"/>
        </w:rPr>
      </w:pPr>
    </w:p>
    <w:p w14:paraId="488ADCBF" w14:textId="126702AC" w:rsidR="008A28F7" w:rsidRPr="00707D22" w:rsidRDefault="00A93443" w:rsidP="008A28F7">
      <w:pPr>
        <w:pStyle w:val="PulloutTextHead"/>
        <w:jc w:val="both"/>
      </w:pPr>
      <w:r>
        <w:t>I</w:t>
      </w:r>
      <w:r w:rsidR="008A28F7">
        <w:t>ssue</w:t>
      </w:r>
    </w:p>
    <w:p w14:paraId="0563323C" w14:textId="4E7EAC0B" w:rsidR="008A28F7" w:rsidRDefault="008A28F7" w:rsidP="008A28F7">
      <w:pPr>
        <w:pStyle w:val="PulloutTextBodyNormal"/>
      </w:pPr>
      <w:r w:rsidRPr="008A28F7">
        <w:t>A lack of referral criteria and poor-quality referrals leading to unacceptably long waiting times, with almost half of all patients not progressing to surgery.</w:t>
      </w:r>
    </w:p>
    <w:p w14:paraId="57C586C1" w14:textId="77777777" w:rsidR="008A28F7" w:rsidRDefault="008A28F7" w:rsidP="008A28F7">
      <w:pPr>
        <w:pStyle w:val="PulloutTextHead"/>
      </w:pPr>
      <w:r>
        <w:t>Solution</w:t>
      </w:r>
    </w:p>
    <w:p w14:paraId="662157FB" w14:textId="77777777" w:rsidR="008A28F7" w:rsidRDefault="008A28F7" w:rsidP="008A28F7">
      <w:pPr>
        <w:pStyle w:val="PulloutTextBodyNormal"/>
      </w:pPr>
      <w:r>
        <w:t>Strict triaging criteria, supported by a referral template and guidelines for primary healthcare providers.</w:t>
      </w:r>
    </w:p>
    <w:p w14:paraId="33DF1A8A" w14:textId="77777777" w:rsidR="008A28F7" w:rsidRPr="008A28F7" w:rsidRDefault="008A28F7" w:rsidP="008A28F7">
      <w:pPr>
        <w:pStyle w:val="PulloutTextHead"/>
      </w:pPr>
      <w:r w:rsidRPr="008A28F7">
        <w:t>Barriers</w:t>
      </w:r>
    </w:p>
    <w:p w14:paraId="42F0835C" w14:textId="77777777" w:rsidR="008A28F7" w:rsidRDefault="008A28F7" w:rsidP="008547D0">
      <w:pPr>
        <w:pStyle w:val="PulloutTextBullets"/>
      </w:pPr>
      <w:r>
        <w:t>Stakeholder behaviour change</w:t>
      </w:r>
    </w:p>
    <w:p w14:paraId="1FEC2FC6" w14:textId="77777777" w:rsidR="008A28F7" w:rsidRDefault="008A28F7" w:rsidP="008547D0">
      <w:pPr>
        <w:pStyle w:val="PulloutTextBullets"/>
      </w:pPr>
      <w:r>
        <w:t>Workforce behaviour change</w:t>
      </w:r>
    </w:p>
    <w:p w14:paraId="45CCD9C9" w14:textId="77777777" w:rsidR="008A28F7" w:rsidRDefault="008A28F7" w:rsidP="008A28F7">
      <w:pPr>
        <w:pStyle w:val="PulloutTextHead"/>
      </w:pPr>
      <w:r>
        <w:t>Enablers</w:t>
      </w:r>
    </w:p>
    <w:p w14:paraId="4D8B0CBD" w14:textId="77777777" w:rsidR="008A28F7" w:rsidRDefault="008A28F7" w:rsidP="008547D0">
      <w:pPr>
        <w:pStyle w:val="PulloutTextBullets"/>
      </w:pPr>
      <w:r>
        <w:t>Referral and triage guideline development</w:t>
      </w:r>
    </w:p>
    <w:p w14:paraId="6A748221" w14:textId="77777777" w:rsidR="008A28F7" w:rsidRDefault="008A28F7" w:rsidP="008547D0">
      <w:pPr>
        <w:pStyle w:val="PulloutTextBullets"/>
      </w:pPr>
      <w:r>
        <w:t>Template development</w:t>
      </w:r>
    </w:p>
    <w:p w14:paraId="68CF793F" w14:textId="77777777" w:rsidR="00440846" w:rsidRPr="00440846" w:rsidRDefault="00440846" w:rsidP="008547D0">
      <w:pPr>
        <w:pStyle w:val="PulloutTextBullets"/>
      </w:pPr>
      <w:r w:rsidRPr="00440846">
        <w:t xml:space="preserve">Primary healthcare promotion </w:t>
      </w:r>
    </w:p>
    <w:p w14:paraId="2E3910AB" w14:textId="54700728" w:rsidR="008A28F7" w:rsidRDefault="008A28F7" w:rsidP="008547D0">
      <w:pPr>
        <w:pStyle w:val="PulloutTextBullets"/>
      </w:pPr>
      <w:r>
        <w:lastRenderedPageBreak/>
        <w:t>Logging and monitoring</w:t>
      </w:r>
    </w:p>
    <w:p w14:paraId="5E4144DD" w14:textId="77777777" w:rsidR="008A28F7" w:rsidRDefault="008A28F7" w:rsidP="008547D0">
      <w:pPr>
        <w:pStyle w:val="PulloutTextBullets"/>
      </w:pPr>
      <w:r>
        <w:t>Continuous improvement cycle</w:t>
      </w:r>
    </w:p>
    <w:p w14:paraId="4CB88F9E" w14:textId="77777777" w:rsidR="008A28F7" w:rsidRDefault="008A28F7" w:rsidP="008A28F7">
      <w:pPr>
        <w:pStyle w:val="PulloutTextHead"/>
      </w:pPr>
      <w:r>
        <w:t>Quality Statements</w:t>
      </w:r>
    </w:p>
    <w:p w14:paraId="1228501D" w14:textId="77777777" w:rsidR="008A28F7" w:rsidRDefault="008A28F7" w:rsidP="008A28F7">
      <w:pPr>
        <w:pStyle w:val="PulloutTextBodyNormal"/>
      </w:pPr>
      <w:r>
        <w:t>1. Primary care assessment and referral</w:t>
      </w:r>
    </w:p>
    <w:p w14:paraId="6C9B0041" w14:textId="2F9616C4" w:rsidR="008A28F7" w:rsidRPr="008A28F7" w:rsidRDefault="008A28F7" w:rsidP="008A28F7">
      <w:pPr>
        <w:pStyle w:val="PulloutTextBodyNormal"/>
      </w:pPr>
      <w:r>
        <w:t>3. Access to ophthalmology assessment</w:t>
      </w:r>
      <w:r>
        <w:rPr>
          <w:rFonts w:ascii="MS Gothic" w:eastAsia="MS Gothic" w:hAnsi="MS Gothic" w:cs="MS Gothic" w:hint="eastAsia"/>
        </w:rPr>
        <w:t> </w:t>
      </w:r>
    </w:p>
    <w:p w14:paraId="6D7B5013" w14:textId="4D8A5BD1" w:rsidR="008A28F7" w:rsidRDefault="008A28F7" w:rsidP="008A28F7">
      <w:pPr>
        <w:rPr>
          <w:lang w:val="en-GB"/>
        </w:rPr>
      </w:pPr>
    </w:p>
    <w:p w14:paraId="56227DC0" w14:textId="6110E1DE" w:rsidR="008A28F7" w:rsidRPr="008A28F7" w:rsidRDefault="008A28F7" w:rsidP="008A28F7">
      <w:pPr>
        <w:rPr>
          <w:lang w:val="en-GB"/>
        </w:rPr>
      </w:pPr>
      <w:r w:rsidRPr="008A28F7">
        <w:rPr>
          <w:lang w:val="en-GB"/>
        </w:rPr>
        <w:t>Read more about the Quality Statements in the Cataract Clinical Care Standard:</w:t>
      </w:r>
    </w:p>
    <w:p w14:paraId="15033BD4" w14:textId="76617DCD" w:rsidR="00706203" w:rsidRPr="008A28F7" w:rsidRDefault="00B85EB1" w:rsidP="008A28F7">
      <w:pPr>
        <w:rPr>
          <w:lang w:val="en-GB"/>
        </w:rPr>
      </w:pPr>
      <w:hyperlink r:id="rId8" w:history="1">
        <w:r w:rsidR="008A28F7" w:rsidRPr="00706203">
          <w:rPr>
            <w:rStyle w:val="Hyperlink"/>
            <w:lang w:val="en-GB"/>
          </w:rPr>
          <w:t>safetyandquality.gov.au/cataract-ccs</w:t>
        </w:r>
      </w:hyperlink>
    </w:p>
    <w:p w14:paraId="6F915D3E" w14:textId="133AA5C4" w:rsidR="008A28F7" w:rsidRPr="008A28F7" w:rsidRDefault="008A28F7" w:rsidP="008A28F7">
      <w:pPr>
        <w:pStyle w:val="Heading3"/>
        <w:rPr>
          <w:lang w:val="en-GB"/>
        </w:rPr>
      </w:pPr>
      <w:r w:rsidRPr="008A28F7">
        <w:rPr>
          <w:lang w:val="en-GB"/>
        </w:rPr>
        <w:t>Cataract Clinical Care Standard Case Studies</w:t>
      </w:r>
    </w:p>
    <w:p w14:paraId="0EC0BBA1" w14:textId="4BF60AB9" w:rsidR="008A28F7" w:rsidRPr="008A28F7" w:rsidRDefault="008A28F7" w:rsidP="008A28F7">
      <w:pPr>
        <w:rPr>
          <w:lang w:val="en-GB"/>
        </w:rPr>
      </w:pPr>
      <w:r w:rsidRPr="008A28F7">
        <w:rPr>
          <w:lang w:val="en-GB"/>
        </w:rPr>
        <w:t>Explore more case studies:</w:t>
      </w:r>
    </w:p>
    <w:p w14:paraId="537CECF2" w14:textId="65FBF9C4" w:rsidR="008A28F7" w:rsidRPr="008A28F7" w:rsidRDefault="00B85EB1" w:rsidP="008A28F7">
      <w:pPr>
        <w:rPr>
          <w:lang w:val="en-GB"/>
        </w:rPr>
      </w:pPr>
      <w:hyperlink r:id="rId9" w:history="1">
        <w:r w:rsidR="004168ED" w:rsidRPr="004168ED">
          <w:rPr>
            <w:rStyle w:val="Hyperlink"/>
            <w:lang w:val="en-GB"/>
          </w:rPr>
          <w:t>safetyandquality.gov.au/defining-cataract-care-case-studies</w:t>
        </w:r>
      </w:hyperlink>
    </w:p>
    <w:p w14:paraId="7A9AD7BA" w14:textId="49518DB0" w:rsidR="008A28F7" w:rsidRPr="008A28F7" w:rsidRDefault="008A28F7" w:rsidP="00706203">
      <w:pPr>
        <w:pStyle w:val="ListParagraph"/>
        <w:numPr>
          <w:ilvl w:val="0"/>
          <w:numId w:val="33"/>
        </w:numPr>
        <w:rPr>
          <w:lang w:val="en-GB"/>
        </w:rPr>
      </w:pPr>
      <w:r w:rsidRPr="008A28F7">
        <w:rPr>
          <w:lang w:val="en-GB"/>
        </w:rPr>
        <w:t>Diverting assessment of routine patients to an upskilled nursing workforce</w:t>
      </w:r>
    </w:p>
    <w:p w14:paraId="2152F647" w14:textId="58B56F2E" w:rsidR="008A28F7" w:rsidRPr="008A28F7" w:rsidRDefault="008A28F7" w:rsidP="00706203">
      <w:pPr>
        <w:pStyle w:val="ListParagraph"/>
        <w:numPr>
          <w:ilvl w:val="0"/>
          <w:numId w:val="33"/>
        </w:numPr>
        <w:rPr>
          <w:lang w:val="en-GB"/>
        </w:rPr>
      </w:pPr>
      <w:r w:rsidRPr="008A28F7">
        <w:rPr>
          <w:lang w:val="en-GB"/>
        </w:rPr>
        <w:t>Streamlining the patient journey with nurse-led postoperative care</w:t>
      </w:r>
    </w:p>
    <w:p w14:paraId="06BED771" w14:textId="4377142C" w:rsidR="008A28F7" w:rsidRPr="008A28F7" w:rsidRDefault="008A28F7" w:rsidP="00706203">
      <w:pPr>
        <w:pStyle w:val="ListParagraph"/>
        <w:numPr>
          <w:ilvl w:val="0"/>
          <w:numId w:val="33"/>
        </w:numPr>
        <w:rPr>
          <w:lang w:val="en-GB"/>
        </w:rPr>
      </w:pPr>
      <w:r w:rsidRPr="008A28F7">
        <w:rPr>
          <w:lang w:val="en-GB"/>
        </w:rPr>
        <w:t>Changing practice around the inappropriate use of postoperative topical antibiotics</w:t>
      </w:r>
    </w:p>
    <w:p w14:paraId="724C6F30" w14:textId="282CD60D" w:rsidR="008A28F7" w:rsidRPr="00706203" w:rsidRDefault="008A28F7" w:rsidP="008A28F7">
      <w:pPr>
        <w:pStyle w:val="ListParagraph"/>
        <w:numPr>
          <w:ilvl w:val="0"/>
          <w:numId w:val="33"/>
        </w:numPr>
        <w:rPr>
          <w:lang w:val="en-GB"/>
        </w:rPr>
      </w:pPr>
      <w:r w:rsidRPr="008A28F7">
        <w:rPr>
          <w:lang w:val="en-GB"/>
        </w:rPr>
        <w:t>Improving cataract care pathways for Aboriginal and Torres Strait Islander communities</w:t>
      </w:r>
    </w:p>
    <w:p w14:paraId="6E94AF4A" w14:textId="08D60274" w:rsidR="008A28F7" w:rsidRPr="008A28F7" w:rsidRDefault="008A28F7" w:rsidP="00706203">
      <w:pPr>
        <w:pStyle w:val="Heading3"/>
        <w:rPr>
          <w:lang w:val="en-GB"/>
        </w:rPr>
      </w:pPr>
      <w:r w:rsidRPr="008A28F7">
        <w:rPr>
          <w:lang w:val="en-GB"/>
        </w:rPr>
        <w:t>Resources</w:t>
      </w:r>
    </w:p>
    <w:p w14:paraId="59159F4B" w14:textId="1528C521" w:rsidR="008A28F7" w:rsidRPr="00706203" w:rsidRDefault="008A28F7" w:rsidP="008A28F7">
      <w:pPr>
        <w:rPr>
          <w:lang w:val="en-GB"/>
        </w:rPr>
      </w:pPr>
      <w:r w:rsidRPr="00706203">
        <w:rPr>
          <w:lang w:val="en-GB"/>
        </w:rPr>
        <w:t>Eye and Ear Hospital Primary Care Referral Guidelines</w:t>
      </w:r>
      <w:r w:rsidR="00706203" w:rsidRPr="00706203">
        <w:rPr>
          <w:lang w:val="en-GB"/>
        </w:rPr>
        <w:t>:</w:t>
      </w:r>
    </w:p>
    <w:p w14:paraId="42874D3C" w14:textId="2C113965" w:rsidR="00706203" w:rsidRDefault="00B85EB1" w:rsidP="00706203">
      <w:pPr>
        <w:rPr>
          <w:rStyle w:val="Hyperlink"/>
        </w:rPr>
      </w:pPr>
      <w:hyperlink r:id="rId10" w:history="1">
        <w:r w:rsidR="00706203" w:rsidRPr="004168ED">
          <w:rPr>
            <w:rStyle w:val="Hyperlink"/>
          </w:rPr>
          <w:t>eyeandear.org.au/content/Document/Primary%20Care%20Referral%20Guidelines_Ophthalmology_Jan%202020.pdf</w:t>
        </w:r>
      </w:hyperlink>
    </w:p>
    <w:p w14:paraId="422B053D" w14:textId="77777777" w:rsidR="00493AA0" w:rsidRPr="00E6109E" w:rsidRDefault="00493AA0" w:rsidP="00E6109E"/>
    <w:tbl>
      <w:tblPr>
        <w:tblStyle w:val="PulloutBox"/>
        <w:tblW w:w="5000" w:type="pct"/>
        <w:tblLook w:val="0000" w:firstRow="0" w:lastRow="0" w:firstColumn="0" w:lastColumn="0" w:noHBand="0" w:noVBand="0"/>
        <w:tblDescription w:val="Box 1"/>
      </w:tblPr>
      <w:tblGrid>
        <w:gridCol w:w="9638"/>
      </w:tblGrid>
      <w:tr w:rsidR="00E209BF" w14:paraId="533F4366" w14:textId="77777777" w:rsidTr="009865D2">
        <w:trPr>
          <w:trHeight w:val="60"/>
        </w:trPr>
        <w:tc>
          <w:tcPr>
            <w:tcW w:w="5000" w:type="pct"/>
            <w:tcMar>
              <w:left w:w="198" w:type="dxa"/>
            </w:tcMar>
          </w:tcPr>
          <w:p w14:paraId="42E9B58F" w14:textId="77777777" w:rsidR="00E209BF" w:rsidRDefault="008A28F7" w:rsidP="008A28F7">
            <w:pPr>
              <w:spacing w:after="0"/>
              <w:ind w:left="357"/>
            </w:pPr>
            <w:r w:rsidRPr="008A28F7">
              <w:t xml:space="preserve">“Referring clinicians soon became familiar with the new approach after we promoted the referral guidelines on local GP networks’ websites and on our own </w:t>
            </w:r>
            <w:proofErr w:type="gramStart"/>
            <w:r w:rsidRPr="008A28F7">
              <w:t>website, and</w:t>
            </w:r>
            <w:proofErr w:type="gramEnd"/>
            <w:r w:rsidRPr="008A28F7">
              <w:t xml:space="preserve"> made a referral template available online. Our overall aim is to make it easier to access the hospital’s services and make the process more transparent for everyone.”</w:t>
            </w:r>
          </w:p>
          <w:p w14:paraId="4F3F8788" w14:textId="71C88809" w:rsidR="008A28F7" w:rsidRPr="008A28F7" w:rsidRDefault="008A28F7" w:rsidP="008A28F7">
            <w:pPr>
              <w:spacing w:after="0"/>
              <w:ind w:left="357"/>
              <w:rPr>
                <w:b/>
                <w:bCs/>
              </w:rPr>
            </w:pPr>
            <w:r w:rsidRPr="008A28F7">
              <w:rPr>
                <w:b/>
                <w:bCs/>
              </w:rPr>
              <w:t>Tracy Siggins, Director of Ambulatory Services</w:t>
            </w:r>
          </w:p>
        </w:tc>
      </w:tr>
    </w:tbl>
    <w:p w14:paraId="1F64B81D" w14:textId="69697908" w:rsidR="00195458" w:rsidRPr="00837A90" w:rsidRDefault="00B85EB1" w:rsidP="00820059">
      <w:pPr>
        <w:spacing w:before="360" w:after="60"/>
        <w:rPr>
          <w:b/>
          <w:bCs/>
          <w:sz w:val="26"/>
          <w:szCs w:val="26"/>
        </w:rPr>
      </w:pPr>
      <w:hyperlink r:id="rId11" w:history="1">
        <w:r w:rsidR="00195458" w:rsidRPr="00837A90">
          <w:rPr>
            <w:rStyle w:val="Hyperlink"/>
            <w:b/>
            <w:bCs/>
            <w:sz w:val="26"/>
            <w:szCs w:val="26"/>
          </w:rPr>
          <w:t>safetyandquality.gov.au</w:t>
        </w:r>
      </w:hyperlink>
    </w:p>
    <w:p w14:paraId="57535569" w14:textId="77777777" w:rsidR="000B2BBA" w:rsidRDefault="000B2BBA" w:rsidP="000B2BBA">
      <w:pPr>
        <w:pStyle w:val="FootnoteText"/>
        <w:tabs>
          <w:tab w:val="right" w:pos="8931"/>
        </w:tabs>
      </w:pPr>
      <w:r w:rsidRPr="006A2587">
        <w:rPr>
          <w:noProof/>
          <w:lang w:val="en-US" w:eastAsia="en-US"/>
        </w:rPr>
        <w:drawing>
          <wp:anchor distT="0" distB="0" distL="114300" distR="114300" simplePos="0" relativeHeight="251659264" behindDoc="0" locked="0" layoutInCell="1" allowOverlap="1" wp14:anchorId="33007C88" wp14:editId="34B629A6">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Pr>
          <w:rStyle w:val="Roman"/>
          <w:rFonts w:eastAsiaTheme="majorEastAsia"/>
        </w:rPr>
        <w:br/>
      </w:r>
      <w:r w:rsidRPr="00E304FD">
        <w:rPr>
          <w:rStyle w:val="Roman"/>
          <w:rFonts w:eastAsiaTheme="majorEastAsia"/>
        </w:rPr>
        <w:t>and Quality in Health Care 20</w:t>
      </w:r>
      <w:r>
        <w:rPr>
          <w:rStyle w:val="Roman"/>
          <w:rFonts w:eastAsiaTheme="majorEastAsia"/>
        </w:rPr>
        <w:t>21</w:t>
      </w:r>
      <w:r w:rsidRPr="007B5D1E">
        <w:t xml:space="preserve"> </w:t>
      </w:r>
      <w:r w:rsidRPr="007B5D1E" w:rsidDel="00174535">
        <w:rPr>
          <w:rStyle w:val="Roman"/>
          <w:rFonts w:eastAsiaTheme="majorEastAsia"/>
        </w:rPr>
        <w:t xml:space="preserve"> </w:t>
      </w:r>
    </w:p>
    <w:p w14:paraId="6843950D" w14:textId="1C6E8790" w:rsidR="00465AB0" w:rsidRDefault="00465AB0" w:rsidP="000B2BBA">
      <w:pPr>
        <w:pStyle w:val="FootnoteText"/>
        <w:tabs>
          <w:tab w:val="right" w:pos="8931"/>
        </w:tabs>
      </w:pPr>
    </w:p>
    <w:sectPr w:rsidR="00465AB0" w:rsidSect="00B93CD5">
      <w:headerReference w:type="even" r:id="rId13"/>
      <w:headerReference w:type="default" r:id="rId14"/>
      <w:footerReference w:type="even" r:id="rId15"/>
      <w:footerReference w:type="default" r:id="rId16"/>
      <w:headerReference w:type="first" r:id="rId17"/>
      <w:footerReference w:type="first" r:id="rId18"/>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17C4" w14:textId="77777777" w:rsidR="00B85EB1" w:rsidRDefault="00B85EB1" w:rsidP="000B0274">
      <w:r>
        <w:separator/>
      </w:r>
    </w:p>
    <w:p w14:paraId="39D1905F" w14:textId="77777777" w:rsidR="00B85EB1" w:rsidRDefault="00B85EB1"/>
    <w:p w14:paraId="379C6201" w14:textId="77777777" w:rsidR="00B85EB1" w:rsidRDefault="00B85EB1"/>
    <w:p w14:paraId="0568A3DF" w14:textId="77777777" w:rsidR="00B85EB1" w:rsidRDefault="00B85EB1"/>
    <w:p w14:paraId="1A635DE2" w14:textId="77777777" w:rsidR="00B85EB1" w:rsidRDefault="00B85EB1"/>
  </w:endnote>
  <w:endnote w:type="continuationSeparator" w:id="0">
    <w:p w14:paraId="5C0148C5" w14:textId="77777777" w:rsidR="00B85EB1" w:rsidRDefault="00B85EB1" w:rsidP="000B0274">
      <w:r>
        <w:continuationSeparator/>
      </w:r>
    </w:p>
    <w:p w14:paraId="3851A5D4" w14:textId="77777777" w:rsidR="00B85EB1" w:rsidRDefault="00B85EB1"/>
    <w:p w14:paraId="2F537DF3" w14:textId="77777777" w:rsidR="00B85EB1" w:rsidRDefault="00B85EB1"/>
    <w:p w14:paraId="31139524" w14:textId="77777777" w:rsidR="00B85EB1" w:rsidRDefault="00B85EB1"/>
    <w:p w14:paraId="574D52F4" w14:textId="77777777" w:rsidR="00B85EB1" w:rsidRDefault="00B85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합胣ĝ∠ɇ怀"/>
    <w:panose1 w:val="02000604030000020004"/>
    <w:charset w:val="00"/>
    <w:family w:val="auto"/>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Open Sans">
    <w:altName w:val="﷽﷽﷽﷽﷽﷽﷽﷽s"/>
    <w:panose1 w:val="020B0606030504020204"/>
    <w:charset w:val="00"/>
    <w:family w:val="swiss"/>
    <w:pitch w:val="variable"/>
    <w:sig w:usb0="E00002EF" w:usb1="4000205B" w:usb2="00000028" w:usb3="00000000" w:csb0="0000019F" w:csb1="00000000"/>
  </w:font>
  <w:font w:name="Proxima Nova">
    <w:altName w:val="﷽﷽﷽﷽﷽﷽﷽﷽Nova"/>
    <w:panose1 w:val="02000506030000020004"/>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641B62C7" w:rsidR="008B014E" w:rsidRDefault="000D2888" w:rsidP="007E175B">
    <w:pPr>
      <w:pStyle w:val="Footer"/>
    </w:pPr>
    <w:r>
      <w:t xml:space="preserve">Cataract Case Study - </w:t>
    </w:r>
    <w:r w:rsidRPr="000D2888">
      <w:t>Improving referral processes to improve triage pathways</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CE3E" w14:textId="77777777" w:rsidR="004A408C" w:rsidRDefault="004A4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D3B2" w14:textId="77777777" w:rsidR="00B85EB1" w:rsidRDefault="00B85EB1" w:rsidP="000B0274">
      <w:r>
        <w:separator/>
      </w:r>
    </w:p>
    <w:p w14:paraId="446103D8" w14:textId="77777777" w:rsidR="00B85EB1" w:rsidRDefault="00B85EB1"/>
    <w:p w14:paraId="58DD4771" w14:textId="77777777" w:rsidR="00B85EB1" w:rsidRDefault="00B85EB1"/>
    <w:p w14:paraId="3C0A9756" w14:textId="77777777" w:rsidR="00B85EB1" w:rsidRDefault="00B85EB1"/>
    <w:p w14:paraId="7D5C9D8C" w14:textId="77777777" w:rsidR="00B85EB1" w:rsidRDefault="00B85EB1"/>
  </w:footnote>
  <w:footnote w:type="continuationSeparator" w:id="0">
    <w:p w14:paraId="728EA874" w14:textId="77777777" w:rsidR="00B85EB1" w:rsidRDefault="00B85EB1" w:rsidP="000B0274">
      <w:r>
        <w:continuationSeparator/>
      </w:r>
    </w:p>
    <w:p w14:paraId="65E15AAE" w14:textId="77777777" w:rsidR="00B85EB1" w:rsidRDefault="00B85EB1"/>
    <w:p w14:paraId="1160BED3" w14:textId="77777777" w:rsidR="00B85EB1" w:rsidRDefault="00B85EB1"/>
    <w:p w14:paraId="4785508F" w14:textId="77777777" w:rsidR="00B85EB1" w:rsidRDefault="00B85EB1"/>
    <w:p w14:paraId="607068B8" w14:textId="77777777" w:rsidR="00B85EB1" w:rsidRDefault="00B85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08D3270F" w:rsidR="008B014E" w:rsidRDefault="0036588B" w:rsidP="007C26F7">
    <w:pPr>
      <w:tabs>
        <w:tab w:val="right" w:pos="9638"/>
      </w:tabs>
      <w:spacing w:before="0"/>
      <w:ind w:left="-142"/>
    </w:pPr>
    <w:r w:rsidRPr="00FB375B">
      <w:rPr>
        <w:rFonts w:eastAsiaTheme="majorEastAsia"/>
        <w:noProof/>
        <w:lang w:val="en-US" w:eastAsia="en-US"/>
      </w:rPr>
      <w:drawing>
        <wp:inline distT="0" distB="0" distL="0" distR="0" wp14:anchorId="752AEEBE" wp14:editId="5015BC25">
          <wp:extent cx="4307149" cy="543600"/>
          <wp:effectExtent l="0" t="0" r="0" b="2540"/>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D5318D">
      <w:rPr>
        <w:noProof/>
      </w:rPr>
      <w:drawing>
        <wp:inline distT="0" distB="0" distL="0" distR="0" wp14:anchorId="278E18FB" wp14:editId="31DC02BB">
          <wp:extent cx="1414895" cy="418809"/>
          <wp:effectExtent l="0" t="0" r="0" b="635"/>
          <wp:docPr id="2" name="Picture 2" descr="Clinical Car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inical Care Standards Logo"/>
                  <pic:cNvPicPr/>
                </pic:nvPicPr>
                <pic:blipFill>
                  <a:blip r:embed="rId2"/>
                  <a:stretch>
                    <a:fillRect/>
                  </a:stretch>
                </pic:blipFill>
                <pic:spPr>
                  <a:xfrm>
                    <a:off x="0" y="0"/>
                    <a:ext cx="1414895" cy="418809"/>
                  </a:xfrm>
                  <a:prstGeom prst="rect">
                    <a:avLst/>
                  </a:prstGeom>
                </pic:spPr>
              </pic:pic>
            </a:graphicData>
          </a:graphic>
        </wp:inline>
      </w:drawing>
    </w:r>
  </w:p>
  <w:p w14:paraId="18F126EA" w14:textId="77777777" w:rsidR="008B014E" w:rsidRDefault="008B01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DE8D" w14:textId="77777777" w:rsidR="004A408C" w:rsidRDefault="004A4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34A5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F4A4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905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2CD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68AA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C828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D0B4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A0A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D29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0EB8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3C20B31"/>
    <w:multiLevelType w:val="hybridMultilevel"/>
    <w:tmpl w:val="05143C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4239B9"/>
    <w:multiLevelType w:val="hybridMultilevel"/>
    <w:tmpl w:val="3DC8A0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B7039F7"/>
    <w:multiLevelType w:val="hybridMultilevel"/>
    <w:tmpl w:val="0DB41806"/>
    <w:lvl w:ilvl="0" w:tplc="DD360672">
      <w:start w:val="1"/>
      <w:numFmt w:val="bullet"/>
      <w:pStyle w:val="PulloutTextBullets"/>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CC3FC3"/>
    <w:multiLevelType w:val="hybridMultilevel"/>
    <w:tmpl w:val="A8E611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E58F9"/>
    <w:multiLevelType w:val="hybridMultilevel"/>
    <w:tmpl w:val="29282E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8E197F"/>
    <w:multiLevelType w:val="hybridMultilevel"/>
    <w:tmpl w:val="C4BC0D9E"/>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2"/>
  </w:num>
  <w:num w:numId="3">
    <w:abstractNumId w:val="20"/>
  </w:num>
  <w:num w:numId="4">
    <w:abstractNumId w:val="26"/>
  </w:num>
  <w:num w:numId="5">
    <w:abstractNumId w:val="24"/>
  </w:num>
  <w:num w:numId="6">
    <w:abstractNumId w:val="13"/>
  </w:num>
  <w:num w:numId="7">
    <w:abstractNumId w:val="14"/>
  </w:num>
  <w:num w:numId="8">
    <w:abstractNumId w:val="11"/>
  </w:num>
  <w:num w:numId="9">
    <w:abstractNumId w:val="33"/>
  </w:num>
  <w:num w:numId="10">
    <w:abstractNumId w:val="18"/>
  </w:num>
  <w:num w:numId="11">
    <w:abstractNumId w:val="16"/>
  </w:num>
  <w:num w:numId="12">
    <w:abstractNumId w:val="32"/>
  </w:num>
  <w:num w:numId="13">
    <w:abstractNumId w:val="17"/>
  </w:num>
  <w:num w:numId="14">
    <w:abstractNumId w:val="23"/>
  </w:num>
  <w:num w:numId="15">
    <w:abstractNumId w:val="34"/>
  </w:num>
  <w:num w:numId="16">
    <w:abstractNumId w:val="21"/>
  </w:num>
  <w:num w:numId="17">
    <w:abstractNumId w:val="15"/>
  </w:num>
  <w:num w:numId="18">
    <w:abstractNumId w:val="29"/>
  </w:num>
  <w:num w:numId="19">
    <w:abstractNumId w:val="30"/>
  </w:num>
  <w:num w:numId="20">
    <w:abstractNumId w:val="0"/>
  </w:num>
  <w:num w:numId="21">
    <w:abstractNumId w:val="1"/>
  </w:num>
  <w:num w:numId="22">
    <w:abstractNumId w:val="2"/>
  </w:num>
  <w:num w:numId="23">
    <w:abstractNumId w:val="3"/>
  </w:num>
  <w:num w:numId="24">
    <w:abstractNumId w:val="8"/>
  </w:num>
  <w:num w:numId="25">
    <w:abstractNumId w:val="4"/>
  </w:num>
  <w:num w:numId="26">
    <w:abstractNumId w:val="5"/>
  </w:num>
  <w:num w:numId="27">
    <w:abstractNumId w:val="6"/>
  </w:num>
  <w:num w:numId="28">
    <w:abstractNumId w:val="7"/>
  </w:num>
  <w:num w:numId="29">
    <w:abstractNumId w:val="9"/>
  </w:num>
  <w:num w:numId="30">
    <w:abstractNumId w:val="28"/>
  </w:num>
  <w:num w:numId="31">
    <w:abstractNumId w:val="19"/>
  </w:num>
  <w:num w:numId="32">
    <w:abstractNumId w:val="22"/>
  </w:num>
  <w:num w:numId="33">
    <w:abstractNumId w:val="27"/>
  </w:num>
  <w:num w:numId="34">
    <w:abstractNumId w:val="25"/>
  </w:num>
  <w:num w:numId="3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efaultTableStyle w:val="Pla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077FA"/>
    <w:rsid w:val="0001053B"/>
    <w:rsid w:val="00011096"/>
    <w:rsid w:val="00012782"/>
    <w:rsid w:val="00020DBD"/>
    <w:rsid w:val="00025A92"/>
    <w:rsid w:val="0003162D"/>
    <w:rsid w:val="00032DAB"/>
    <w:rsid w:val="00036AB7"/>
    <w:rsid w:val="00036F5E"/>
    <w:rsid w:val="000406F8"/>
    <w:rsid w:val="00043671"/>
    <w:rsid w:val="00050775"/>
    <w:rsid w:val="00054B74"/>
    <w:rsid w:val="00067456"/>
    <w:rsid w:val="00067CE9"/>
    <w:rsid w:val="00070812"/>
    <w:rsid w:val="0008065C"/>
    <w:rsid w:val="00084FF0"/>
    <w:rsid w:val="00090EFF"/>
    <w:rsid w:val="00091FC5"/>
    <w:rsid w:val="00092229"/>
    <w:rsid w:val="00095DA6"/>
    <w:rsid w:val="00095DC5"/>
    <w:rsid w:val="000A3F0D"/>
    <w:rsid w:val="000A4C01"/>
    <w:rsid w:val="000B0274"/>
    <w:rsid w:val="000B0BFE"/>
    <w:rsid w:val="000B2BBA"/>
    <w:rsid w:val="000B4610"/>
    <w:rsid w:val="000B79D3"/>
    <w:rsid w:val="000C1722"/>
    <w:rsid w:val="000C1DD4"/>
    <w:rsid w:val="000C5B0F"/>
    <w:rsid w:val="000C7A69"/>
    <w:rsid w:val="000D017D"/>
    <w:rsid w:val="000D2888"/>
    <w:rsid w:val="000D6405"/>
    <w:rsid w:val="000E2F2E"/>
    <w:rsid w:val="000F0D77"/>
    <w:rsid w:val="000F29C7"/>
    <w:rsid w:val="0010673D"/>
    <w:rsid w:val="00106CF5"/>
    <w:rsid w:val="00115403"/>
    <w:rsid w:val="00115E61"/>
    <w:rsid w:val="00120FCB"/>
    <w:rsid w:val="00131E52"/>
    <w:rsid w:val="00140002"/>
    <w:rsid w:val="00143A76"/>
    <w:rsid w:val="00145BE3"/>
    <w:rsid w:val="00146A66"/>
    <w:rsid w:val="001507C6"/>
    <w:rsid w:val="0015362D"/>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D0D87"/>
    <w:rsid w:val="001E1042"/>
    <w:rsid w:val="001E38B8"/>
    <w:rsid w:val="001E77C4"/>
    <w:rsid w:val="001F6D10"/>
    <w:rsid w:val="002255F7"/>
    <w:rsid w:val="0023112B"/>
    <w:rsid w:val="0023231A"/>
    <w:rsid w:val="00237ADF"/>
    <w:rsid w:val="00245D81"/>
    <w:rsid w:val="0024767D"/>
    <w:rsid w:val="002503C3"/>
    <w:rsid w:val="00251167"/>
    <w:rsid w:val="002550A7"/>
    <w:rsid w:val="00255596"/>
    <w:rsid w:val="00255DCB"/>
    <w:rsid w:val="00261F43"/>
    <w:rsid w:val="002625FB"/>
    <w:rsid w:val="00263A63"/>
    <w:rsid w:val="00264387"/>
    <w:rsid w:val="00264A5A"/>
    <w:rsid w:val="002662B4"/>
    <w:rsid w:val="0026675D"/>
    <w:rsid w:val="00267635"/>
    <w:rsid w:val="00277A59"/>
    <w:rsid w:val="0028150E"/>
    <w:rsid w:val="00281FD4"/>
    <w:rsid w:val="002851F2"/>
    <w:rsid w:val="00291EBD"/>
    <w:rsid w:val="00293CDE"/>
    <w:rsid w:val="002C1CA0"/>
    <w:rsid w:val="002C6AF0"/>
    <w:rsid w:val="002C6E07"/>
    <w:rsid w:val="002D0EB0"/>
    <w:rsid w:val="002D247E"/>
    <w:rsid w:val="002E195D"/>
    <w:rsid w:val="002E2DBA"/>
    <w:rsid w:val="002E3986"/>
    <w:rsid w:val="002E6A48"/>
    <w:rsid w:val="002E7082"/>
    <w:rsid w:val="002F3AE3"/>
    <w:rsid w:val="002F7E6F"/>
    <w:rsid w:val="00302F5A"/>
    <w:rsid w:val="0030786C"/>
    <w:rsid w:val="00312A62"/>
    <w:rsid w:val="00316683"/>
    <w:rsid w:val="00341202"/>
    <w:rsid w:val="00341A36"/>
    <w:rsid w:val="00341BEE"/>
    <w:rsid w:val="00343286"/>
    <w:rsid w:val="0034680F"/>
    <w:rsid w:val="0035066E"/>
    <w:rsid w:val="00350BE1"/>
    <w:rsid w:val="003657DB"/>
    <w:rsid w:val="0036588B"/>
    <w:rsid w:val="00370326"/>
    <w:rsid w:val="00380792"/>
    <w:rsid w:val="003808E4"/>
    <w:rsid w:val="0038248B"/>
    <w:rsid w:val="00386683"/>
    <w:rsid w:val="003873C6"/>
    <w:rsid w:val="00392002"/>
    <w:rsid w:val="00392A85"/>
    <w:rsid w:val="00396AFB"/>
    <w:rsid w:val="003A70CE"/>
    <w:rsid w:val="003C297A"/>
    <w:rsid w:val="003C540E"/>
    <w:rsid w:val="003C5F0C"/>
    <w:rsid w:val="003D17F9"/>
    <w:rsid w:val="003D3806"/>
    <w:rsid w:val="003D437B"/>
    <w:rsid w:val="003D4829"/>
    <w:rsid w:val="003E197F"/>
    <w:rsid w:val="003E6E73"/>
    <w:rsid w:val="003E76C8"/>
    <w:rsid w:val="003F3F0B"/>
    <w:rsid w:val="0040152C"/>
    <w:rsid w:val="00402CBA"/>
    <w:rsid w:val="00412E9D"/>
    <w:rsid w:val="00414952"/>
    <w:rsid w:val="004168ED"/>
    <w:rsid w:val="00423210"/>
    <w:rsid w:val="00425504"/>
    <w:rsid w:val="0042727E"/>
    <w:rsid w:val="004305D6"/>
    <w:rsid w:val="004377EE"/>
    <w:rsid w:val="00440846"/>
    <w:rsid w:val="00440CC0"/>
    <w:rsid w:val="00440D73"/>
    <w:rsid w:val="004437F3"/>
    <w:rsid w:val="00447D31"/>
    <w:rsid w:val="00452849"/>
    <w:rsid w:val="00455560"/>
    <w:rsid w:val="00456385"/>
    <w:rsid w:val="00465AB0"/>
    <w:rsid w:val="00470AB8"/>
    <w:rsid w:val="00477E9B"/>
    <w:rsid w:val="00482ECA"/>
    <w:rsid w:val="00485776"/>
    <w:rsid w:val="00485794"/>
    <w:rsid w:val="004867E2"/>
    <w:rsid w:val="00486826"/>
    <w:rsid w:val="0048784D"/>
    <w:rsid w:val="00493AA0"/>
    <w:rsid w:val="004A0670"/>
    <w:rsid w:val="004A408C"/>
    <w:rsid w:val="004A4851"/>
    <w:rsid w:val="004A5C81"/>
    <w:rsid w:val="004B0417"/>
    <w:rsid w:val="004B2999"/>
    <w:rsid w:val="004C04EB"/>
    <w:rsid w:val="004C3664"/>
    <w:rsid w:val="004C4927"/>
    <w:rsid w:val="004C6833"/>
    <w:rsid w:val="004E067A"/>
    <w:rsid w:val="004E179B"/>
    <w:rsid w:val="004E2389"/>
    <w:rsid w:val="004E4CB7"/>
    <w:rsid w:val="004E50C2"/>
    <w:rsid w:val="004E58C1"/>
    <w:rsid w:val="004F412D"/>
    <w:rsid w:val="00505824"/>
    <w:rsid w:val="0051563D"/>
    <w:rsid w:val="005179C7"/>
    <w:rsid w:val="0052107C"/>
    <w:rsid w:val="005221B7"/>
    <w:rsid w:val="00530100"/>
    <w:rsid w:val="00536E0C"/>
    <w:rsid w:val="005408C7"/>
    <w:rsid w:val="005422E7"/>
    <w:rsid w:val="005437FD"/>
    <w:rsid w:val="00544A4E"/>
    <w:rsid w:val="00553E33"/>
    <w:rsid w:val="00555C4C"/>
    <w:rsid w:val="00555D6E"/>
    <w:rsid w:val="00562F72"/>
    <w:rsid w:val="0056304B"/>
    <w:rsid w:val="00565356"/>
    <w:rsid w:val="00566B97"/>
    <w:rsid w:val="00570C6C"/>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1DBA"/>
    <w:rsid w:val="005D2770"/>
    <w:rsid w:val="005D5D06"/>
    <w:rsid w:val="005D62B5"/>
    <w:rsid w:val="005E2614"/>
    <w:rsid w:val="005E7144"/>
    <w:rsid w:val="005F1E4A"/>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5886"/>
    <w:rsid w:val="006765C3"/>
    <w:rsid w:val="006767BC"/>
    <w:rsid w:val="006803BA"/>
    <w:rsid w:val="006922F5"/>
    <w:rsid w:val="0069289F"/>
    <w:rsid w:val="006947D9"/>
    <w:rsid w:val="006A16DD"/>
    <w:rsid w:val="006A2587"/>
    <w:rsid w:val="006B3CFC"/>
    <w:rsid w:val="006C0CD8"/>
    <w:rsid w:val="006C5AEE"/>
    <w:rsid w:val="006C679A"/>
    <w:rsid w:val="006D09FE"/>
    <w:rsid w:val="006D0C40"/>
    <w:rsid w:val="006D15C1"/>
    <w:rsid w:val="006D732F"/>
    <w:rsid w:val="006E4597"/>
    <w:rsid w:val="006E688D"/>
    <w:rsid w:val="006F1432"/>
    <w:rsid w:val="006F7964"/>
    <w:rsid w:val="007028EC"/>
    <w:rsid w:val="007035D8"/>
    <w:rsid w:val="00706203"/>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6CCD"/>
    <w:rsid w:val="00747CE1"/>
    <w:rsid w:val="007517A6"/>
    <w:rsid w:val="007545C7"/>
    <w:rsid w:val="0076005C"/>
    <w:rsid w:val="0076111D"/>
    <w:rsid w:val="007635C1"/>
    <w:rsid w:val="00766B42"/>
    <w:rsid w:val="0076731D"/>
    <w:rsid w:val="00767650"/>
    <w:rsid w:val="00767A90"/>
    <w:rsid w:val="00770588"/>
    <w:rsid w:val="00770EDE"/>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D4258"/>
    <w:rsid w:val="007D7294"/>
    <w:rsid w:val="007E000D"/>
    <w:rsid w:val="007E175B"/>
    <w:rsid w:val="007E3F8A"/>
    <w:rsid w:val="007F3645"/>
    <w:rsid w:val="007F58DD"/>
    <w:rsid w:val="007F6791"/>
    <w:rsid w:val="00802131"/>
    <w:rsid w:val="00805E44"/>
    <w:rsid w:val="00811C26"/>
    <w:rsid w:val="00812A44"/>
    <w:rsid w:val="00820059"/>
    <w:rsid w:val="008264EB"/>
    <w:rsid w:val="00827924"/>
    <w:rsid w:val="00830756"/>
    <w:rsid w:val="00837A90"/>
    <w:rsid w:val="008547D0"/>
    <w:rsid w:val="00855A49"/>
    <w:rsid w:val="00856DF5"/>
    <w:rsid w:val="00857E76"/>
    <w:rsid w:val="0086059A"/>
    <w:rsid w:val="00865932"/>
    <w:rsid w:val="00872059"/>
    <w:rsid w:val="00873673"/>
    <w:rsid w:val="008803A1"/>
    <w:rsid w:val="0088122A"/>
    <w:rsid w:val="008839CD"/>
    <w:rsid w:val="00892AC8"/>
    <w:rsid w:val="00897986"/>
    <w:rsid w:val="00897E5A"/>
    <w:rsid w:val="008A07AF"/>
    <w:rsid w:val="008A28F7"/>
    <w:rsid w:val="008A31B9"/>
    <w:rsid w:val="008A4580"/>
    <w:rsid w:val="008A4AC8"/>
    <w:rsid w:val="008A4E8B"/>
    <w:rsid w:val="008A58F9"/>
    <w:rsid w:val="008B014E"/>
    <w:rsid w:val="008D09DE"/>
    <w:rsid w:val="008D5AFD"/>
    <w:rsid w:val="008E3658"/>
    <w:rsid w:val="008E59EB"/>
    <w:rsid w:val="008E5D6A"/>
    <w:rsid w:val="008F26C0"/>
    <w:rsid w:val="008F6BE7"/>
    <w:rsid w:val="00901462"/>
    <w:rsid w:val="00901D6C"/>
    <w:rsid w:val="00902A76"/>
    <w:rsid w:val="00904474"/>
    <w:rsid w:val="0091137C"/>
    <w:rsid w:val="0091384C"/>
    <w:rsid w:val="009213F3"/>
    <w:rsid w:val="0092204C"/>
    <w:rsid w:val="00922DEE"/>
    <w:rsid w:val="009238AA"/>
    <w:rsid w:val="009244B8"/>
    <w:rsid w:val="00925748"/>
    <w:rsid w:val="00932407"/>
    <w:rsid w:val="00933B21"/>
    <w:rsid w:val="00933EC2"/>
    <w:rsid w:val="00941048"/>
    <w:rsid w:val="009424A5"/>
    <w:rsid w:val="00945990"/>
    <w:rsid w:val="00950089"/>
    <w:rsid w:val="0095539D"/>
    <w:rsid w:val="00957E88"/>
    <w:rsid w:val="00961B39"/>
    <w:rsid w:val="00961FBE"/>
    <w:rsid w:val="00964277"/>
    <w:rsid w:val="0097582E"/>
    <w:rsid w:val="00977D26"/>
    <w:rsid w:val="00977E26"/>
    <w:rsid w:val="009805EC"/>
    <w:rsid w:val="00984227"/>
    <w:rsid w:val="009865D2"/>
    <w:rsid w:val="009904EA"/>
    <w:rsid w:val="00991AF5"/>
    <w:rsid w:val="0099343F"/>
    <w:rsid w:val="00995094"/>
    <w:rsid w:val="009A007B"/>
    <w:rsid w:val="009A0425"/>
    <w:rsid w:val="009A263C"/>
    <w:rsid w:val="009A4884"/>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4ACF"/>
    <w:rsid w:val="009F5557"/>
    <w:rsid w:val="00A02BFF"/>
    <w:rsid w:val="00A0554C"/>
    <w:rsid w:val="00A062E5"/>
    <w:rsid w:val="00A1015B"/>
    <w:rsid w:val="00A139AB"/>
    <w:rsid w:val="00A15082"/>
    <w:rsid w:val="00A16AEE"/>
    <w:rsid w:val="00A3465E"/>
    <w:rsid w:val="00A369E8"/>
    <w:rsid w:val="00A4199A"/>
    <w:rsid w:val="00A4512D"/>
    <w:rsid w:val="00A541E1"/>
    <w:rsid w:val="00A54775"/>
    <w:rsid w:val="00A5502C"/>
    <w:rsid w:val="00A5694A"/>
    <w:rsid w:val="00A65795"/>
    <w:rsid w:val="00A6672E"/>
    <w:rsid w:val="00A705AF"/>
    <w:rsid w:val="00A7126D"/>
    <w:rsid w:val="00A73C2F"/>
    <w:rsid w:val="00A75B58"/>
    <w:rsid w:val="00A77349"/>
    <w:rsid w:val="00A81D72"/>
    <w:rsid w:val="00A931E2"/>
    <w:rsid w:val="00A93443"/>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637F"/>
    <w:rsid w:val="00AD01B4"/>
    <w:rsid w:val="00AD055C"/>
    <w:rsid w:val="00AD52A0"/>
    <w:rsid w:val="00AD5717"/>
    <w:rsid w:val="00AE05BB"/>
    <w:rsid w:val="00AE0BA6"/>
    <w:rsid w:val="00AE3267"/>
    <w:rsid w:val="00AF6154"/>
    <w:rsid w:val="00B07615"/>
    <w:rsid w:val="00B163F6"/>
    <w:rsid w:val="00B20701"/>
    <w:rsid w:val="00B213FD"/>
    <w:rsid w:val="00B24DF4"/>
    <w:rsid w:val="00B2665E"/>
    <w:rsid w:val="00B30753"/>
    <w:rsid w:val="00B328AF"/>
    <w:rsid w:val="00B32DD1"/>
    <w:rsid w:val="00B37148"/>
    <w:rsid w:val="00B3720C"/>
    <w:rsid w:val="00B37974"/>
    <w:rsid w:val="00B41409"/>
    <w:rsid w:val="00B42851"/>
    <w:rsid w:val="00B456E0"/>
    <w:rsid w:val="00B459E9"/>
    <w:rsid w:val="00B47076"/>
    <w:rsid w:val="00B5113E"/>
    <w:rsid w:val="00B56B37"/>
    <w:rsid w:val="00B57759"/>
    <w:rsid w:val="00B60D44"/>
    <w:rsid w:val="00B60D86"/>
    <w:rsid w:val="00B732F1"/>
    <w:rsid w:val="00B85EB1"/>
    <w:rsid w:val="00B904EC"/>
    <w:rsid w:val="00B91269"/>
    <w:rsid w:val="00B91454"/>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E0DE7"/>
    <w:rsid w:val="00BE6832"/>
    <w:rsid w:val="00BE68B7"/>
    <w:rsid w:val="00BF2561"/>
    <w:rsid w:val="00BF5905"/>
    <w:rsid w:val="00BF6152"/>
    <w:rsid w:val="00C025A9"/>
    <w:rsid w:val="00C06314"/>
    <w:rsid w:val="00C10135"/>
    <w:rsid w:val="00C123DF"/>
    <w:rsid w:val="00C206EE"/>
    <w:rsid w:val="00C23604"/>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3431"/>
    <w:rsid w:val="00C63C14"/>
    <w:rsid w:val="00C64BBB"/>
    <w:rsid w:val="00C64D00"/>
    <w:rsid w:val="00C74935"/>
    <w:rsid w:val="00C7543A"/>
    <w:rsid w:val="00C84B06"/>
    <w:rsid w:val="00C85E91"/>
    <w:rsid w:val="00C911AD"/>
    <w:rsid w:val="00CA04C6"/>
    <w:rsid w:val="00CB0684"/>
    <w:rsid w:val="00CB2190"/>
    <w:rsid w:val="00CB5999"/>
    <w:rsid w:val="00CB5B1A"/>
    <w:rsid w:val="00CB733F"/>
    <w:rsid w:val="00CC36EF"/>
    <w:rsid w:val="00CC4B4F"/>
    <w:rsid w:val="00CC4B8E"/>
    <w:rsid w:val="00CC697B"/>
    <w:rsid w:val="00CC7207"/>
    <w:rsid w:val="00CE16CC"/>
    <w:rsid w:val="00CE1712"/>
    <w:rsid w:val="00CE3387"/>
    <w:rsid w:val="00CE3A39"/>
    <w:rsid w:val="00CE7355"/>
    <w:rsid w:val="00CF4118"/>
    <w:rsid w:val="00CF702F"/>
    <w:rsid w:val="00D02423"/>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18D"/>
    <w:rsid w:val="00D5354B"/>
    <w:rsid w:val="00D563D0"/>
    <w:rsid w:val="00D738DB"/>
    <w:rsid w:val="00D73FE2"/>
    <w:rsid w:val="00D7465B"/>
    <w:rsid w:val="00D77741"/>
    <w:rsid w:val="00D81026"/>
    <w:rsid w:val="00D812BD"/>
    <w:rsid w:val="00D84622"/>
    <w:rsid w:val="00D87CBD"/>
    <w:rsid w:val="00D9306A"/>
    <w:rsid w:val="00D944BF"/>
    <w:rsid w:val="00D96327"/>
    <w:rsid w:val="00DB07A4"/>
    <w:rsid w:val="00DB5454"/>
    <w:rsid w:val="00DB5911"/>
    <w:rsid w:val="00DC0477"/>
    <w:rsid w:val="00DC0D24"/>
    <w:rsid w:val="00DC5826"/>
    <w:rsid w:val="00DD047B"/>
    <w:rsid w:val="00DD5D99"/>
    <w:rsid w:val="00DD6F15"/>
    <w:rsid w:val="00DE3C4E"/>
    <w:rsid w:val="00DE5D9E"/>
    <w:rsid w:val="00DE75D8"/>
    <w:rsid w:val="00DF0B12"/>
    <w:rsid w:val="00DF3751"/>
    <w:rsid w:val="00DF515C"/>
    <w:rsid w:val="00DF5695"/>
    <w:rsid w:val="00E015E6"/>
    <w:rsid w:val="00E05B44"/>
    <w:rsid w:val="00E066B4"/>
    <w:rsid w:val="00E13C5C"/>
    <w:rsid w:val="00E209BF"/>
    <w:rsid w:val="00E236C6"/>
    <w:rsid w:val="00E3115C"/>
    <w:rsid w:val="00E34F33"/>
    <w:rsid w:val="00E35CBB"/>
    <w:rsid w:val="00E35DC5"/>
    <w:rsid w:val="00E40F95"/>
    <w:rsid w:val="00E41CF8"/>
    <w:rsid w:val="00E4269D"/>
    <w:rsid w:val="00E4312B"/>
    <w:rsid w:val="00E57576"/>
    <w:rsid w:val="00E604B3"/>
    <w:rsid w:val="00E60650"/>
    <w:rsid w:val="00E60EE1"/>
    <w:rsid w:val="00E6109E"/>
    <w:rsid w:val="00E708F6"/>
    <w:rsid w:val="00E716B4"/>
    <w:rsid w:val="00E7210E"/>
    <w:rsid w:val="00E86B67"/>
    <w:rsid w:val="00E9314D"/>
    <w:rsid w:val="00E95DFC"/>
    <w:rsid w:val="00EA2079"/>
    <w:rsid w:val="00EA33D5"/>
    <w:rsid w:val="00EA5E02"/>
    <w:rsid w:val="00EA5FD0"/>
    <w:rsid w:val="00EA63B1"/>
    <w:rsid w:val="00EB0020"/>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332B3"/>
    <w:rsid w:val="00F34D63"/>
    <w:rsid w:val="00F35F7A"/>
    <w:rsid w:val="00F41C35"/>
    <w:rsid w:val="00F4438C"/>
    <w:rsid w:val="00F46ED7"/>
    <w:rsid w:val="00F549D7"/>
    <w:rsid w:val="00F556DB"/>
    <w:rsid w:val="00F560D5"/>
    <w:rsid w:val="00F56325"/>
    <w:rsid w:val="00F73D95"/>
    <w:rsid w:val="00F77044"/>
    <w:rsid w:val="00F8015E"/>
    <w:rsid w:val="00F83598"/>
    <w:rsid w:val="00F85766"/>
    <w:rsid w:val="00F866FA"/>
    <w:rsid w:val="00F91869"/>
    <w:rsid w:val="00F91CCA"/>
    <w:rsid w:val="00F931D3"/>
    <w:rsid w:val="00F95769"/>
    <w:rsid w:val="00FA289A"/>
    <w:rsid w:val="00FA3C5E"/>
    <w:rsid w:val="00FA4197"/>
    <w:rsid w:val="00FA5900"/>
    <w:rsid w:val="00FB375B"/>
    <w:rsid w:val="00FB6425"/>
    <w:rsid w:val="00FB722E"/>
    <w:rsid w:val="00FC7F5D"/>
    <w:rsid w:val="00FD1BC7"/>
    <w:rsid w:val="00FD1D84"/>
    <w:rsid w:val="00FD4E9C"/>
    <w:rsid w:val="00FD50A4"/>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F0184B"/>
  <w15:docId w15:val="{FC5AC946-1227-7144-9A79-37A15D8D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F866FA"/>
    <w:pPr>
      <w:keepNext/>
      <w:keepLines/>
      <w:pageBreakBefore/>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A81D72"/>
    <w:pPr>
      <w:pageBreakBefore w:val="0"/>
      <w:spacing w:before="360"/>
      <w:outlineLvl w:val="1"/>
    </w:pPr>
    <w:rPr>
      <w:bCs w:val="0"/>
      <w:iCs/>
      <w:color w:val="1178A0" w:themeColor="background2"/>
      <w:sz w:val="32"/>
      <w:szCs w:val="28"/>
    </w:rPr>
  </w:style>
  <w:style w:type="paragraph" w:styleId="Heading3">
    <w:name w:val="heading 3"/>
    <w:basedOn w:val="Heading2"/>
    <w:next w:val="Normal"/>
    <w:qFormat/>
    <w:rsid w:val="00706203"/>
    <w:pPr>
      <w:spacing w:before="44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084FF0"/>
    <w:pPr>
      <w:spacing w:before="240" w:after="240"/>
      <w:contextualSpacing/>
    </w:pPr>
    <w:rPr>
      <w:rFonts w:asciiTheme="majorHAnsi" w:eastAsiaTheme="majorEastAsia" w:hAnsiTheme="majorHAnsi" w:cs="Times New Roman (Headings CS)"/>
      <w:b/>
      <w:color w:val="005370" w:themeColor="text2"/>
      <w:spacing w:val="-6"/>
      <w:kern w:val="28"/>
      <w:sz w:val="48"/>
      <w:szCs w:val="56"/>
    </w:rPr>
  </w:style>
  <w:style w:type="character" w:customStyle="1" w:styleId="TitleChar">
    <w:name w:val="Title Char"/>
    <w:basedOn w:val="DefaultParagraphFont"/>
    <w:link w:val="Title"/>
    <w:uiPriority w:val="99"/>
    <w:rsid w:val="00084FF0"/>
    <w:rPr>
      <w:rFonts w:asciiTheme="majorHAnsi" w:eastAsiaTheme="majorEastAsia" w:hAnsiTheme="majorHAnsi" w:cs="Times New Roman (Headings CS)"/>
      <w:b/>
      <w:color w:val="005370" w:themeColor="text2"/>
      <w:spacing w:val="-6"/>
      <w:kern w:val="28"/>
      <w:sz w:val="48"/>
      <w:szCs w:val="56"/>
    </w:rPr>
  </w:style>
  <w:style w:type="paragraph" w:customStyle="1" w:styleId="PulloutTextHead">
    <w:name w:val="Pullout Text Head"/>
    <w:basedOn w:val="Heading3"/>
    <w:qFormat/>
    <w:rsid w:val="00BE68B7"/>
    <w:pPr>
      <w:pBdr>
        <w:left w:val="single" w:sz="48" w:space="8" w:color="1178A0" w:themeColor="background2"/>
      </w:pBdr>
      <w:spacing w:before="240" w:after="60"/>
      <w:ind w:left="284"/>
    </w:pPr>
    <w:rPr>
      <w:caps/>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084FF0"/>
    <w:pPr>
      <w:spacing w:before="240" w:after="0"/>
    </w:pPr>
    <w:rPr>
      <w:b/>
      <w:color w:val="1178A2"/>
      <w:sz w:val="36"/>
      <w:szCs w:val="40"/>
    </w:rPr>
  </w:style>
  <w:style w:type="character" w:customStyle="1" w:styleId="StandardNameChar">
    <w:name w:val="Standard Name Char"/>
    <w:basedOn w:val="DefaultParagraphFont"/>
    <w:link w:val="StandardName"/>
    <w:uiPriority w:val="99"/>
    <w:rsid w:val="00084FF0"/>
    <w:rPr>
      <w:b/>
      <w:color w:val="1178A2"/>
      <w:sz w:val="36"/>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F866FA"/>
    <w:pPr>
      <w:spacing w:before="60"/>
    </w:pPr>
    <w:rPr>
      <w:color w:val="005370" w:themeColor="text2"/>
    </w:r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15362D"/>
    <w:pPr>
      <w:ind w:left="720"/>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99"/>
    <w:rsid w:val="0015362D"/>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866FA"/>
    <w:pPr>
      <w:pBdr>
        <w:left w:val="single" w:sz="48" w:space="8" w:color="1178A0" w:themeColor="background2"/>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PulloutTextBodyNormal">
    <w:name w:val="Pullout Text Body Normal"/>
    <w:basedOn w:val="PulloutTextBody"/>
    <w:qFormat/>
    <w:rsid w:val="008A28F7"/>
    <w:rPr>
      <w:b w:val="0"/>
    </w:rPr>
  </w:style>
  <w:style w:type="paragraph" w:customStyle="1" w:styleId="BulletBulletandNumberlists">
    <w:name w:val="Bullet (Bullet and Number lists)"/>
    <w:basedOn w:val="Normal"/>
    <w:uiPriority w:val="99"/>
    <w:rsid w:val="00706203"/>
    <w:pPr>
      <w:tabs>
        <w:tab w:val="left" w:pos="283"/>
      </w:tabs>
      <w:suppressAutoHyphens/>
      <w:autoSpaceDE w:val="0"/>
      <w:autoSpaceDN w:val="0"/>
      <w:adjustRightInd w:val="0"/>
      <w:spacing w:before="0" w:after="23" w:line="250" w:lineRule="atLeast"/>
      <w:ind w:left="283" w:hanging="283"/>
      <w:textAlignment w:val="center"/>
    </w:pPr>
    <w:rPr>
      <w:rFonts w:ascii="Open Sans" w:hAnsi="Open Sans" w:cs="Open Sans"/>
      <w:color w:val="000000"/>
      <w:sz w:val="19"/>
      <w:szCs w:val="19"/>
      <w:lang w:val="en-GB"/>
    </w:rPr>
  </w:style>
  <w:style w:type="paragraph" w:customStyle="1" w:styleId="PulloutTextBullets">
    <w:name w:val="Pullout Text Bullets"/>
    <w:basedOn w:val="PulloutTextBodyNormal"/>
    <w:qFormat/>
    <w:rsid w:val="008547D0"/>
    <w:pPr>
      <w:numPr>
        <w:numId w:val="34"/>
      </w:numPr>
      <w:ind w:left="641" w:hanging="357"/>
    </w:pPr>
  </w:style>
  <w:style w:type="paragraph" w:customStyle="1" w:styleId="Heading2spanHeadings">
    <w:name w:val="Heading 2 (span) (Headings)"/>
    <w:basedOn w:val="Normal"/>
    <w:next w:val="Normal"/>
    <w:uiPriority w:val="99"/>
    <w:rsid w:val="005D1DBA"/>
    <w:pPr>
      <w:suppressAutoHyphens/>
      <w:autoSpaceDE w:val="0"/>
      <w:autoSpaceDN w:val="0"/>
      <w:adjustRightInd w:val="0"/>
      <w:spacing w:before="283" w:after="170" w:line="360" w:lineRule="atLeast"/>
      <w:textAlignment w:val="center"/>
    </w:pPr>
    <w:rPr>
      <w:rFonts w:ascii="Proxima Nova" w:hAnsi="Proxima Nova" w:cs="Proxima Nova"/>
      <w:b/>
      <w:bCs/>
      <w:color w:val="000000"/>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etyandquality.gov.au/cataract-cc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andquality.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yeandear.org.au/content/Document/Primary%20Care%20Referral%20Guidelines_Ophthalmology_Jan%20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fetyandquality.gov.au/defining-cataract-care-case-studi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Cataract Case Study - Improving referral processes to improve triage pathways</vt:lpstr>
    </vt:vector>
  </TitlesOfParts>
  <Manager/>
  <Company>Australian Commission on Safety and Quality in Health Care</Company>
  <LinksUpToDate>false</LinksUpToDate>
  <CharactersWithSpaces>6207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Cataract Case Study - Improving referral processes to improve triage pathways</dc:title>
  <dc:subject/>
  <dc:creator>Australian Commission on Safety and Quality in Health Care</dc:creator>
  <cp:keywords/>
  <dc:description/>
  <cp:lastModifiedBy>sally keane</cp:lastModifiedBy>
  <cp:revision>12</cp:revision>
  <cp:lastPrinted>2020-03-04T03:32:00Z</cp:lastPrinted>
  <dcterms:created xsi:type="dcterms:W3CDTF">2021-08-15T00:02:00Z</dcterms:created>
  <dcterms:modified xsi:type="dcterms:W3CDTF">2021-08-15T20:39:00Z</dcterms:modified>
  <cp:category/>
</cp:coreProperties>
</file>