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3DBAA0AB" w:rsidR="008104D7" w:rsidRDefault="00BC4293" w:rsidP="001314D4">
      <w:pPr>
        <w:pStyle w:val="FactSheetType"/>
        <w:rPr>
          <w:lang w:val="en-GB"/>
        </w:rPr>
      </w:pPr>
      <w:bookmarkStart w:id="0" w:name="_Toc476822632"/>
      <w:bookmarkStart w:id="1" w:name="_Toc476822653"/>
      <w:r w:rsidRPr="0056304B">
        <w:rPr>
          <w:b/>
          <w:bCs w:val="0"/>
        </w:rPr>
        <w:t>INFORMATION</w:t>
      </w:r>
      <w:r w:rsidR="00716FED" w:rsidRPr="0056304B">
        <w:br/>
      </w:r>
      <w:r w:rsidR="00B93CD5" w:rsidRPr="0056304B">
        <w:t>for</w:t>
      </w:r>
      <w:r w:rsidR="001314D4">
        <w:t xml:space="preserve"> </w:t>
      </w:r>
      <w:r w:rsidR="001314D4" w:rsidRPr="001314D4">
        <w:rPr>
          <w:lang w:val="en-GB"/>
        </w:rPr>
        <w:t>health</w:t>
      </w:r>
      <w:r w:rsidR="00B324C9">
        <w:rPr>
          <w:lang w:val="en-GB"/>
        </w:rPr>
        <w:t>care</w:t>
      </w:r>
      <w:r w:rsidR="001314D4" w:rsidRPr="001314D4">
        <w:rPr>
          <w:lang w:val="en-GB"/>
        </w:rPr>
        <w:t xml:space="preserve"> service</w:t>
      </w:r>
      <w:r w:rsidR="00B324C9">
        <w:rPr>
          <w:lang w:val="en-GB"/>
        </w:rPr>
        <w:t>s</w:t>
      </w:r>
    </w:p>
    <w:p w14:paraId="3580AC70" w14:textId="1A627213" w:rsidR="008104D7" w:rsidRPr="00A64D9B" w:rsidRDefault="00E4578A" w:rsidP="008104D7">
      <w:pPr>
        <w:pStyle w:val="Title"/>
      </w:pPr>
      <w:r w:rsidRPr="00E4578A">
        <w:rPr>
          <w:bCs/>
        </w:rPr>
        <w:t>Hip Fracture</w:t>
      </w:r>
    </w:p>
    <w:p w14:paraId="24641649" w14:textId="77777777" w:rsidR="008104D7" w:rsidRDefault="008104D7" w:rsidP="008104D7">
      <w:pPr>
        <w:pStyle w:val="Subtitle"/>
      </w:pPr>
      <w:r>
        <w:t>Clinical Care Standard</w:t>
      </w:r>
    </w:p>
    <w:bookmarkEnd w:id="0"/>
    <w:bookmarkEnd w:id="1"/>
    <w:p w14:paraId="26A5BFAE" w14:textId="77777777" w:rsidR="00E4578A" w:rsidRDefault="00E4578A" w:rsidP="00E4578A">
      <w:pPr>
        <w:pStyle w:val="Intro"/>
      </w:pPr>
      <w:r>
        <w:t xml:space="preserve">The </w:t>
      </w:r>
      <w:r>
        <w:rPr>
          <w:rStyle w:val="BoldItalicGreen"/>
          <w:b/>
          <w:bCs/>
        </w:rPr>
        <w:t>Hip Fracture Clinical Care Standard</w:t>
      </w:r>
      <w:r>
        <w:t xml:space="preserve"> aims to improve the assessment and management of patients with a hip fracture to optimise outcomes and reduce their risk of another fracture.</w:t>
      </w:r>
    </w:p>
    <w:p w14:paraId="3FB7312E" w14:textId="77777777" w:rsidR="00E4578A" w:rsidRDefault="00E4578A" w:rsidP="00E4578A">
      <w:r>
        <w:t xml:space="preserve">The </w:t>
      </w:r>
      <w:r>
        <w:rPr>
          <w:rStyle w:val="Emphasis"/>
        </w:rPr>
        <w:t>Hip Fracture Clinical Care Standard</w:t>
      </w:r>
      <w:r>
        <w:t xml:space="preserve"> contains seven quality statements describing the care that patients with a suspected hip fracture should be offered from presentation to hospital through to completion of treatment and discharge from hospital. This also includes </w:t>
      </w:r>
      <w:r w:rsidRPr="00E4578A">
        <w:t>patients</w:t>
      </w:r>
      <w:r>
        <w:t xml:space="preserve"> who sustain a hip fracture while in hospital. The target age for the clinical care standard is 50 years and over.</w:t>
      </w:r>
    </w:p>
    <w:p w14:paraId="71E689AD" w14:textId="77777777" w:rsidR="00E4578A" w:rsidRDefault="00E4578A" w:rsidP="00E4578A">
      <w:r>
        <w:t>This standard applies to care provided in all hospital settings, including public and private hospitals and subacute facilities.</w:t>
      </w:r>
    </w:p>
    <w:p w14:paraId="343C9521" w14:textId="77777777" w:rsidR="00E4578A" w:rsidRDefault="00E4578A" w:rsidP="00E4578A">
      <w:r>
        <w:t xml:space="preserve">A set of indicators is </w:t>
      </w:r>
      <w:r w:rsidRPr="00E4578A">
        <w:t>provided</w:t>
      </w:r>
      <w:r>
        <w:t xml:space="preserve"> to support health services to monitor how well they are implementing the care recommended in this clinical care standard and to support local quality improvement activities. The definitions required to collect and calculate indicator data are specified online: </w:t>
      </w:r>
      <w:hyperlink r:id="rId8" w:history="1">
        <w:r>
          <w:rPr>
            <w:rStyle w:val="Hyperlink"/>
          </w:rPr>
          <w:t>meteor.aihw.gov.au/content/780812</w:t>
        </w:r>
      </w:hyperlink>
      <w:r>
        <w:t xml:space="preserve">. </w:t>
      </w:r>
    </w:p>
    <w:p w14:paraId="1331E064" w14:textId="77777777" w:rsidR="00E4578A" w:rsidRDefault="00E4578A" w:rsidP="00E4578A">
      <w:r>
        <w:t xml:space="preserve">Monitoring the </w:t>
      </w:r>
      <w:r w:rsidRPr="00E4578A">
        <w:t>implementation</w:t>
      </w:r>
      <w:r>
        <w:t xml:space="preserve"> of this clinical care standard will help healthcare services to meet the requirements the National Safety and Quality Health Service (NSQHS) Standards for acute healthcare services. </w:t>
      </w:r>
    </w:p>
    <w:p w14:paraId="1863597B" w14:textId="2A87EA07" w:rsidR="00E4578A" w:rsidRDefault="00E4578A" w:rsidP="00226A26">
      <w:pPr>
        <w:pStyle w:val="Heading2"/>
      </w:pPr>
      <w:r>
        <w:t>1</w:t>
      </w:r>
      <w:r w:rsidR="00226A26">
        <w:t xml:space="preserve">. </w:t>
      </w:r>
      <w:r>
        <w:t>Care at presentation</w:t>
      </w:r>
    </w:p>
    <w:p w14:paraId="366C7A28" w14:textId="77777777" w:rsidR="00E4578A" w:rsidRPr="00226A26" w:rsidRDefault="00E4578A" w:rsidP="00226A26">
      <w:pPr>
        <w:rPr>
          <w:b/>
          <w:bCs/>
        </w:rPr>
      </w:pPr>
      <w:r w:rsidRPr="00226A26">
        <w:rPr>
          <w:b/>
          <w:bCs/>
        </w:rPr>
        <w:t>A person presenting to hospital with a suspected hip fracture receives care that is guided by timely assessment and management of medical conditions, including cognition, pain, nutritional status and frailty. Arrangements are made according to a locally endorsed hip fracture pathway.</w:t>
      </w:r>
    </w:p>
    <w:p w14:paraId="7A972C64" w14:textId="3B53BA50" w:rsidR="00E4578A" w:rsidRDefault="00E4578A" w:rsidP="00E4578A">
      <w:r>
        <w:t xml:space="preserve">Ensure that systems are in </w:t>
      </w:r>
      <w:r w:rsidRPr="00E4578A">
        <w:t>place</w:t>
      </w:r>
      <w:r>
        <w:t xml:space="preserve"> to support clinicians to provide timely and effective assessment and management based on a locally endorsed hip fracture pathway. Systems should include transfer protocols, including consideration of straight-to-ward arrangements for inter</w:t>
      </w:r>
      <w:r w:rsidR="00226A26">
        <w:noBreakHyphen/>
      </w:r>
      <w:r>
        <w:t>hospital</w:t>
      </w:r>
      <w:r w:rsidR="00226A26">
        <w:t> </w:t>
      </w:r>
      <w:r>
        <w:t xml:space="preserve">transfers. </w:t>
      </w:r>
    </w:p>
    <w:p w14:paraId="148EECB2" w14:textId="77777777" w:rsidR="00E4578A" w:rsidRDefault="00E4578A" w:rsidP="00E4578A">
      <w:r>
        <w:t xml:space="preserve">For hospitals that do not perform hip fracture surgery, ensure that the pathway is commenced with attention to stabilising medical conditions in readiness for surgery. </w:t>
      </w:r>
    </w:p>
    <w:p w14:paraId="4A1B1F96" w14:textId="77777777" w:rsidR="00E4578A" w:rsidRDefault="00E4578A" w:rsidP="006F7264">
      <w:pPr>
        <w:spacing w:after="240"/>
      </w:pPr>
      <w:r>
        <w:t xml:space="preserve">For hospitals receiving transfer patients with a hip fracture, ensure that both hospitals are using the same pathway and that the expectations </w:t>
      </w:r>
      <w:r w:rsidRPr="00E4578A">
        <w:t>for</w:t>
      </w:r>
      <w:r>
        <w:t xml:space="preserve"> referral and receiving of patients are clear.</w:t>
      </w:r>
    </w:p>
    <w:tbl>
      <w:tblPr>
        <w:tblStyle w:val="CCSIndicatorBox"/>
        <w:tblW w:w="5000" w:type="pct"/>
        <w:tblLook w:val="0620" w:firstRow="1" w:lastRow="0" w:firstColumn="0" w:lastColumn="0" w:noHBand="1" w:noVBand="1"/>
      </w:tblPr>
      <w:tblGrid>
        <w:gridCol w:w="9638"/>
      </w:tblGrid>
      <w:tr w:rsidR="00E4578A" w:rsidRPr="00975715" w14:paraId="0C67401D" w14:textId="77777777" w:rsidTr="000F0276">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0D979CCE" w14:textId="77777777" w:rsidR="00E4578A" w:rsidRPr="00975715" w:rsidRDefault="00E4578A" w:rsidP="00975715">
            <w:r w:rsidRPr="00975715">
              <w:lastRenderedPageBreak/>
              <w:t>Indicator for local monitoring</w:t>
            </w:r>
          </w:p>
        </w:tc>
      </w:tr>
      <w:tr w:rsidR="00E4578A" w:rsidRPr="00975715" w14:paraId="302F7710" w14:textId="77777777" w:rsidTr="000F0276">
        <w:tblPrEx>
          <w:tblCellMar>
            <w:top w:w="0" w:type="dxa"/>
          </w:tblCellMar>
        </w:tblPrEx>
        <w:trPr>
          <w:trHeight w:val="60"/>
        </w:trPr>
        <w:tc>
          <w:tcPr>
            <w:tcW w:w="5000" w:type="pct"/>
          </w:tcPr>
          <w:p w14:paraId="701351A1" w14:textId="77777777" w:rsidR="00E4578A" w:rsidRPr="00975715" w:rsidRDefault="00E4578A" w:rsidP="00975715">
            <w:r w:rsidRPr="00975715">
              <w:rPr>
                <w:rStyle w:val="Strong"/>
              </w:rPr>
              <w:t>Indicator 1a</w:t>
            </w:r>
            <w:r w:rsidRPr="00975715">
              <w:t>: Proportion of patients with a hip fracture who were screened for cognitive impairment using a validated tool on presentation to hospital.</w:t>
            </w:r>
          </w:p>
        </w:tc>
      </w:tr>
    </w:tbl>
    <w:p w14:paraId="59A9FA93" w14:textId="77777777" w:rsidR="000E54FD" w:rsidRDefault="000E54FD" w:rsidP="000E54FD">
      <w:pPr>
        <w:keepNext/>
        <w:spacing w:before="480"/>
      </w:pPr>
      <w:r w:rsidRPr="008E2E35">
        <w:drawing>
          <wp:inline distT="0" distB="0" distL="0" distR="0" wp14:anchorId="68FECE83" wp14:editId="12457420">
            <wp:extent cx="6120130" cy="178132"/>
            <wp:effectExtent l="0" t="0" r="0" b="0"/>
            <wp:docPr id="296532071" name="Picture 296532071" descr="Artwork for the clinical care standard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6475" name="Picture 1" descr="Artwork for the clinical care standards program"/>
                    <pic:cNvPicPr/>
                  </pic:nvPicPr>
                  <pic:blipFill>
                    <a:blip r:embed="rId9"/>
                    <a:stretch>
                      <a:fillRect/>
                    </a:stretch>
                  </pic:blipFill>
                  <pic:spPr>
                    <a:xfrm>
                      <a:off x="0" y="0"/>
                      <a:ext cx="6120130" cy="178132"/>
                    </a:xfrm>
                    <a:prstGeom prst="rect">
                      <a:avLst/>
                    </a:prstGeom>
                  </pic:spPr>
                </pic:pic>
              </a:graphicData>
            </a:graphic>
          </wp:inline>
        </w:drawing>
      </w:r>
    </w:p>
    <w:p w14:paraId="42BC077E" w14:textId="77777777" w:rsidR="00E4578A" w:rsidRDefault="00E4578A" w:rsidP="00226A26">
      <w:pPr>
        <w:pStyle w:val="Heading3"/>
      </w:pPr>
      <w:r>
        <w:t>Cultural safety and equity</w:t>
      </w:r>
    </w:p>
    <w:p w14:paraId="5B2A01A1" w14:textId="77777777" w:rsidR="00B2153E" w:rsidRDefault="00E4578A" w:rsidP="00B2153E">
      <w:r>
        <w:t xml:space="preserve">Recognise potential barriers to people accessing care, including language differences, being from a remote or vulnerable community, and a lack of cultural safety within healthcare services. Support clinicians to address potential barriers to care by having systems in place that </w:t>
      </w:r>
      <w:r w:rsidRPr="00E4578A">
        <w:t>facilitate</w:t>
      </w:r>
      <w:r>
        <w:t xml:space="preserve"> access to Māori Health Workers, Aboriginal and Torres Strait Islander Health Workers or Practitioners, liaison officers, cross-cultural health workers and interpreters whenever cultural differences may be a barrier to the person’s experience and outcomes of care.</w:t>
      </w:r>
    </w:p>
    <w:p w14:paraId="08C8389D" w14:textId="758D5274" w:rsidR="00E4578A" w:rsidRDefault="00B2153E" w:rsidP="00B2153E">
      <w:pPr>
        <w:pStyle w:val="Heading2"/>
      </w:pPr>
      <w:r>
        <w:t xml:space="preserve">2. </w:t>
      </w:r>
      <w:r w:rsidR="00E4578A">
        <w:t xml:space="preserve">Pain </w:t>
      </w:r>
      <w:r w:rsidR="00E4578A" w:rsidRPr="00226A26">
        <w:t>management</w:t>
      </w:r>
    </w:p>
    <w:p w14:paraId="04309A88" w14:textId="77777777" w:rsidR="00E4578A" w:rsidRPr="00B2153E" w:rsidRDefault="00E4578A" w:rsidP="00B2153E">
      <w:pPr>
        <w:rPr>
          <w:b/>
          <w:bCs/>
        </w:rPr>
      </w:pPr>
      <w:r w:rsidRPr="00B2153E">
        <w:rPr>
          <w:b/>
          <w:bCs/>
        </w:rPr>
        <w:t xml:space="preserve">A person with a hip fracture is assessed for pain at the time of presentation to the emergency department and regularly throughout their acute admission. Pain management includes appropriate multimodal analgesia and nerve blocks, unless contraindicated. </w:t>
      </w:r>
    </w:p>
    <w:p w14:paraId="57A50F6C" w14:textId="77777777" w:rsidR="00E4578A" w:rsidRDefault="00E4578A" w:rsidP="00E4578A">
      <w:r>
        <w:t xml:space="preserve">Ensure that pain management protocols are in place to provide pain assessment and </w:t>
      </w:r>
      <w:r w:rsidRPr="00E4578A">
        <w:t>management</w:t>
      </w:r>
      <w:r>
        <w:t xml:space="preserve"> for patients with a hip fracture that:</w:t>
      </w:r>
    </w:p>
    <w:p w14:paraId="724D8F07" w14:textId="77777777" w:rsidR="00E4578A" w:rsidRPr="00E4578A" w:rsidRDefault="00E4578A" w:rsidP="00B2153E">
      <w:pPr>
        <w:pStyle w:val="ListParagraph"/>
        <w:numPr>
          <w:ilvl w:val="0"/>
          <w:numId w:val="214"/>
        </w:numPr>
      </w:pPr>
      <w:r>
        <w:t xml:space="preserve">Align with current guidelines </w:t>
      </w:r>
    </w:p>
    <w:p w14:paraId="2474F5DB" w14:textId="77777777" w:rsidR="00E4578A" w:rsidRDefault="00E4578A" w:rsidP="00B2153E">
      <w:pPr>
        <w:pStyle w:val="ListParagraph"/>
        <w:numPr>
          <w:ilvl w:val="0"/>
          <w:numId w:val="214"/>
        </w:numPr>
      </w:pPr>
      <w:r>
        <w:t xml:space="preserve">Support the appropriate use of multimodal analgesia and nerve blocks </w:t>
      </w:r>
    </w:p>
    <w:p w14:paraId="3608A535" w14:textId="77777777" w:rsidR="00E4578A" w:rsidRDefault="00E4578A" w:rsidP="00B2153E">
      <w:pPr>
        <w:pStyle w:val="ListParagraph"/>
        <w:numPr>
          <w:ilvl w:val="0"/>
          <w:numId w:val="214"/>
        </w:numPr>
      </w:pPr>
      <w:r>
        <w:t xml:space="preserve">Support appropriate prescribing </w:t>
      </w:r>
      <w:r w:rsidRPr="00E4578A">
        <w:t>of</w:t>
      </w:r>
      <w:r>
        <w:t xml:space="preserve"> opioid analgesics in accordance with the </w:t>
      </w:r>
      <w:hyperlink r:id="rId10" w:history="1">
        <w:r w:rsidRPr="0068305C">
          <w:rPr>
            <w:rStyle w:val="Hyperlinkitalics"/>
          </w:rPr>
          <w:t>Opioid</w:t>
        </w:r>
        <w:r>
          <w:rPr>
            <w:rStyle w:val="Hyperlinkitalics"/>
          </w:rPr>
          <w:t xml:space="preserve"> Analgesic Stewardship in Acute Pain Clinical Care Standard</w:t>
        </w:r>
      </w:hyperlink>
      <w:r>
        <w:t xml:space="preserve">. </w:t>
      </w:r>
    </w:p>
    <w:p w14:paraId="04B6A325" w14:textId="77777777" w:rsidR="00E4578A" w:rsidRDefault="00E4578A" w:rsidP="00E4578A">
      <w:r>
        <w:t>For services that will be transferring the patient for surgery, ensure that protocols for appropriate pain management (including nerve blocks) are established and activated prior to transfer.</w:t>
      </w:r>
    </w:p>
    <w:p w14:paraId="6D9D8174" w14:textId="77777777" w:rsidR="00E4578A" w:rsidRDefault="00E4578A" w:rsidP="00E10D77">
      <w:pPr>
        <w:spacing w:after="240"/>
      </w:pPr>
      <w:r>
        <w:t xml:space="preserve">Ensure that systems are in place to </w:t>
      </w:r>
      <w:r w:rsidRPr="00E4578A">
        <w:t>monitor</w:t>
      </w:r>
      <w:r>
        <w:t xml:space="preserve"> appropriate adherence and regularly evaluate effectiveness of acute pain management.</w:t>
      </w:r>
    </w:p>
    <w:tbl>
      <w:tblPr>
        <w:tblStyle w:val="CCSIndicatorBox"/>
        <w:tblW w:w="5000" w:type="pct"/>
        <w:tblLook w:val="0620" w:firstRow="1" w:lastRow="0" w:firstColumn="0" w:lastColumn="0" w:noHBand="1" w:noVBand="1"/>
      </w:tblPr>
      <w:tblGrid>
        <w:gridCol w:w="9638"/>
      </w:tblGrid>
      <w:tr w:rsidR="00E4578A" w:rsidRPr="0047708D" w14:paraId="0E35548D" w14:textId="77777777" w:rsidTr="0047708D">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4E7C3620" w14:textId="77777777" w:rsidR="00E4578A" w:rsidRPr="0047708D" w:rsidRDefault="00E4578A" w:rsidP="0047708D">
            <w:r w:rsidRPr="0047708D">
              <w:t>Indicators for local monitoring</w:t>
            </w:r>
          </w:p>
        </w:tc>
      </w:tr>
      <w:tr w:rsidR="00E4578A" w:rsidRPr="0047708D" w14:paraId="619513FB" w14:textId="77777777" w:rsidTr="0047708D">
        <w:tblPrEx>
          <w:tblCellMar>
            <w:top w:w="0" w:type="dxa"/>
          </w:tblCellMar>
        </w:tblPrEx>
        <w:trPr>
          <w:trHeight w:val="60"/>
        </w:trPr>
        <w:tc>
          <w:tcPr>
            <w:tcW w:w="5000" w:type="pct"/>
          </w:tcPr>
          <w:p w14:paraId="2EF9606B" w14:textId="77777777" w:rsidR="00E4578A" w:rsidRPr="0047708D" w:rsidRDefault="00E4578A" w:rsidP="0047708D">
            <w:r w:rsidRPr="0047708D">
              <w:rPr>
                <w:rStyle w:val="Strong"/>
              </w:rPr>
              <w:t>Indicator 2a</w:t>
            </w:r>
            <w:r w:rsidRPr="0047708D">
              <w:t>: Proportion of patients with a hip fracture who either received analgesia within 30 minutes of presentation or did not require it according to an assessment of their pain.</w:t>
            </w:r>
          </w:p>
          <w:p w14:paraId="2FF4AF61" w14:textId="77777777" w:rsidR="00E4578A" w:rsidRPr="0047708D" w:rsidRDefault="00E4578A" w:rsidP="0047708D">
            <w:r w:rsidRPr="0047708D">
              <w:rPr>
                <w:rStyle w:val="Strong"/>
              </w:rPr>
              <w:t>Indicator 2b</w:t>
            </w:r>
            <w:r w:rsidRPr="0047708D">
              <w:t>: Proportion of patients with a hip fracture who received a nerve block prior to surgery.</w:t>
            </w:r>
          </w:p>
          <w:p w14:paraId="58F8F327" w14:textId="77777777" w:rsidR="00E4578A" w:rsidRPr="0047708D" w:rsidRDefault="00E4578A" w:rsidP="0047708D">
            <w:r w:rsidRPr="0047708D">
              <w:rPr>
                <w:rStyle w:val="Strong"/>
              </w:rPr>
              <w:t>Indicator 2c</w:t>
            </w:r>
            <w:r w:rsidRPr="0047708D">
              <w:t>: Proportion of patients with a hip fracture who were transferred from another hospital for treatment who received a nerve block prior to transfer.</w:t>
            </w:r>
          </w:p>
        </w:tc>
      </w:tr>
    </w:tbl>
    <w:p w14:paraId="048A7468" w14:textId="77777777" w:rsidR="000E54FD" w:rsidRDefault="000E54FD" w:rsidP="000E54FD">
      <w:pPr>
        <w:keepNext/>
        <w:spacing w:before="480"/>
      </w:pPr>
      <w:r w:rsidRPr="008E2E35">
        <w:lastRenderedPageBreak/>
        <w:drawing>
          <wp:inline distT="0" distB="0" distL="0" distR="0" wp14:anchorId="4EA075CC" wp14:editId="7CD3FFE7">
            <wp:extent cx="6120130" cy="178132"/>
            <wp:effectExtent l="0" t="0" r="0" b="0"/>
            <wp:docPr id="1165651298" name="Picture 1165651298" descr="Artwork for the clinical care standard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6475" name="Picture 1" descr="Artwork for the clinical care standards program"/>
                    <pic:cNvPicPr/>
                  </pic:nvPicPr>
                  <pic:blipFill>
                    <a:blip r:embed="rId9"/>
                    <a:stretch>
                      <a:fillRect/>
                    </a:stretch>
                  </pic:blipFill>
                  <pic:spPr>
                    <a:xfrm>
                      <a:off x="0" y="0"/>
                      <a:ext cx="6120130" cy="178132"/>
                    </a:xfrm>
                    <a:prstGeom prst="rect">
                      <a:avLst/>
                    </a:prstGeom>
                  </pic:spPr>
                </pic:pic>
              </a:graphicData>
            </a:graphic>
          </wp:inline>
        </w:drawing>
      </w:r>
    </w:p>
    <w:p w14:paraId="189671A3" w14:textId="77777777" w:rsidR="00E4578A" w:rsidRDefault="00E4578A" w:rsidP="00226A26">
      <w:pPr>
        <w:pStyle w:val="Heading3"/>
      </w:pPr>
      <w:r>
        <w:t>Cultural safety and equity</w:t>
      </w:r>
    </w:p>
    <w:p w14:paraId="5E92442B" w14:textId="77777777" w:rsidR="00E4578A" w:rsidRDefault="00E4578A" w:rsidP="00E4578A">
      <w:r>
        <w:t xml:space="preserve">As pain management is a critical component of care, ensure that translated resources (such as the word ‘pain’ and appropriate pain scales) that are suitable to the local population are available to aid assessment and management. Ensure that there is access to professional interpreting services, including for those who are deaf. </w:t>
      </w:r>
    </w:p>
    <w:p w14:paraId="2C4E0A2D" w14:textId="77777777" w:rsidR="00E4578A" w:rsidRDefault="00E4578A" w:rsidP="00E4578A">
      <w:r>
        <w:t xml:space="preserve">Whenever cultural differences may be a barrier to </w:t>
      </w:r>
      <w:r w:rsidRPr="00E4578A">
        <w:t>the</w:t>
      </w:r>
      <w:r>
        <w:t xml:space="preserve"> patient’s experience of care, involve people who can assist in the social aspects of care, such as Māori Health Workers or Aboriginal and Torres Strait Islander Health Workers, Practitioners and Liaison Officers; cross</w:t>
      </w:r>
      <w:r>
        <w:rPr>
          <w:rFonts w:ascii="Cambria Math" w:hAnsi="Cambria Math" w:cs="Cambria Math"/>
        </w:rPr>
        <w:t>‑</w:t>
      </w:r>
      <w:r>
        <w:t>cultural health workers; or translators.</w:t>
      </w:r>
    </w:p>
    <w:p w14:paraId="350B64E3" w14:textId="266D7962" w:rsidR="00E4578A" w:rsidRDefault="00E4578A" w:rsidP="00226A26">
      <w:pPr>
        <w:pStyle w:val="Heading2"/>
      </w:pPr>
      <w:r>
        <w:t>3</w:t>
      </w:r>
      <w:r w:rsidR="00F67533">
        <w:t xml:space="preserve">. </w:t>
      </w:r>
      <w:r w:rsidRPr="00226A26">
        <w:t>Orthogeriatric</w:t>
      </w:r>
      <w:r>
        <w:t xml:space="preserve"> model of care</w:t>
      </w:r>
    </w:p>
    <w:p w14:paraId="112A35E7" w14:textId="77777777" w:rsidR="00E4578A" w:rsidRPr="00F67533" w:rsidRDefault="00E4578A" w:rsidP="00F67533">
      <w:pPr>
        <w:rPr>
          <w:b/>
          <w:bCs/>
        </w:rPr>
      </w:pPr>
      <w:r w:rsidRPr="00F67533">
        <w:rPr>
          <w:b/>
          <w:bCs/>
        </w:rPr>
        <w:t xml:space="preserve">A person with a hip fracture is offered treatment based on an orthogeriatric model of care as defined in the </w:t>
      </w:r>
      <w:r w:rsidRPr="00F67533">
        <w:rPr>
          <w:rStyle w:val="ItalicSemibold"/>
          <w:b/>
          <w:bCs/>
        </w:rPr>
        <w:t>Australian and New Zealand Guideline for Hip Fracture Care</w:t>
      </w:r>
      <w:r w:rsidRPr="00F67533">
        <w:rPr>
          <w:b/>
          <w:bCs/>
        </w:rPr>
        <w:t xml:space="preserve">. A coordinated multidisciplinary approach is used to identify and manage malnutrition, frailty, cognitive impairment and delirium. </w:t>
      </w:r>
    </w:p>
    <w:p w14:paraId="1B62A5CD" w14:textId="77777777" w:rsidR="00E4578A" w:rsidRDefault="00E4578A" w:rsidP="00E4578A">
      <w:r>
        <w:t xml:space="preserve">Ensure that systems are in place to offer treatment to hip fracture patients that is based on an orthogeriatric model of care as recommended in the </w:t>
      </w:r>
      <w:hyperlink r:id="rId11" w:history="1">
        <w:r>
          <w:rPr>
            <w:rStyle w:val="Hyperlinkitalics"/>
          </w:rPr>
          <w:t>Australian and New Zealand Guideline for Hip Fracture Care</w:t>
        </w:r>
      </w:hyperlink>
      <w:r>
        <w:t xml:space="preserve">. For hospitals that do not have a geriatric medicine service available, care should be shared between an orthopaedic surgeon and an anaesthetist and/or another physician, using the orthogeriatric model of care. </w:t>
      </w:r>
    </w:p>
    <w:p w14:paraId="327F7CDE" w14:textId="77777777" w:rsidR="00E4578A" w:rsidRDefault="00E4578A" w:rsidP="00B151EE">
      <w:pPr>
        <w:spacing w:after="240"/>
      </w:pPr>
      <w:r>
        <w:t xml:space="preserve">For hospitals that do not perform hip fracture surgery, it is </w:t>
      </w:r>
      <w:r w:rsidRPr="00E4578A">
        <w:t>important</w:t>
      </w:r>
      <w:r>
        <w:t xml:space="preserve"> that the orthogeriatric model of care is commenced while patients wait for hospital transfer.</w:t>
      </w:r>
    </w:p>
    <w:tbl>
      <w:tblPr>
        <w:tblStyle w:val="CCSIndicatorBox"/>
        <w:tblW w:w="5000" w:type="pct"/>
        <w:tblLook w:val="0620" w:firstRow="1" w:lastRow="0" w:firstColumn="0" w:lastColumn="0" w:noHBand="1" w:noVBand="1"/>
      </w:tblPr>
      <w:tblGrid>
        <w:gridCol w:w="9638"/>
      </w:tblGrid>
      <w:tr w:rsidR="00E4578A" w:rsidRPr="00B151EE" w14:paraId="1CED2417" w14:textId="77777777" w:rsidTr="00B151EE">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5FE630DB" w14:textId="77777777" w:rsidR="00E4578A" w:rsidRPr="00B151EE" w:rsidRDefault="00E4578A" w:rsidP="00B151EE">
            <w:r w:rsidRPr="00B151EE">
              <w:t>Indicators for local monitoring</w:t>
            </w:r>
          </w:p>
        </w:tc>
      </w:tr>
      <w:tr w:rsidR="00E4578A" w:rsidRPr="00B151EE" w14:paraId="548F4DC6" w14:textId="77777777" w:rsidTr="00B151EE">
        <w:tblPrEx>
          <w:tblCellMar>
            <w:top w:w="0" w:type="dxa"/>
          </w:tblCellMar>
        </w:tblPrEx>
        <w:trPr>
          <w:trHeight w:val="60"/>
        </w:trPr>
        <w:tc>
          <w:tcPr>
            <w:tcW w:w="5000" w:type="pct"/>
          </w:tcPr>
          <w:p w14:paraId="508E5AB9" w14:textId="77777777" w:rsidR="00E4578A" w:rsidRPr="00B151EE" w:rsidRDefault="00E4578A" w:rsidP="00B151EE">
            <w:r w:rsidRPr="00B151EE">
              <w:rPr>
                <w:rStyle w:val="Strong"/>
              </w:rPr>
              <w:t>Indicator 3a</w:t>
            </w:r>
            <w:r w:rsidRPr="00B151EE">
              <w:t>: Proportion of patients with a hip fracture who had a clinical frailty assessment using a validated tool.</w:t>
            </w:r>
          </w:p>
          <w:p w14:paraId="003B5948" w14:textId="77777777" w:rsidR="00E4578A" w:rsidRPr="00B151EE" w:rsidRDefault="00E4578A" w:rsidP="00B151EE">
            <w:r w:rsidRPr="00B151EE">
              <w:rPr>
                <w:rStyle w:val="Strong"/>
              </w:rPr>
              <w:t>Indicator 3b</w:t>
            </w:r>
            <w:r w:rsidRPr="00B151EE">
              <w:t>: Proportion of admitted patients with a hip fracture who were assessed for delirium after surgery.</w:t>
            </w:r>
          </w:p>
          <w:p w14:paraId="7FDCCC1C" w14:textId="77777777" w:rsidR="00E4578A" w:rsidRPr="00B151EE" w:rsidRDefault="00E4578A" w:rsidP="00B151EE">
            <w:r w:rsidRPr="00B151EE">
              <w:rPr>
                <w:rStyle w:val="Strong"/>
              </w:rPr>
              <w:t>Indicator 3c</w:t>
            </w:r>
            <w:r w:rsidRPr="00B151EE">
              <w:t>: Proportion of admitted patients with a hip fracture who received protein and energy oral nutritional supplements during their admission.</w:t>
            </w:r>
          </w:p>
        </w:tc>
      </w:tr>
    </w:tbl>
    <w:p w14:paraId="6C0D373A" w14:textId="77777777" w:rsidR="000E54FD" w:rsidRDefault="000E54FD" w:rsidP="000E54FD">
      <w:pPr>
        <w:keepNext/>
        <w:spacing w:before="480"/>
      </w:pPr>
      <w:r w:rsidRPr="008E2E35">
        <w:drawing>
          <wp:inline distT="0" distB="0" distL="0" distR="0" wp14:anchorId="520CA514" wp14:editId="4A25D797">
            <wp:extent cx="6120130" cy="178132"/>
            <wp:effectExtent l="0" t="0" r="0" b="0"/>
            <wp:docPr id="19012492" name="Picture 19012492" descr="Artwork for the clinical care standard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6475" name="Picture 1" descr="Artwork for the clinical care standards program"/>
                    <pic:cNvPicPr/>
                  </pic:nvPicPr>
                  <pic:blipFill>
                    <a:blip r:embed="rId9"/>
                    <a:stretch>
                      <a:fillRect/>
                    </a:stretch>
                  </pic:blipFill>
                  <pic:spPr>
                    <a:xfrm>
                      <a:off x="0" y="0"/>
                      <a:ext cx="6120130" cy="178132"/>
                    </a:xfrm>
                    <a:prstGeom prst="rect">
                      <a:avLst/>
                    </a:prstGeom>
                  </pic:spPr>
                </pic:pic>
              </a:graphicData>
            </a:graphic>
          </wp:inline>
        </w:drawing>
      </w:r>
    </w:p>
    <w:p w14:paraId="155DA755" w14:textId="77777777" w:rsidR="00E4578A" w:rsidRDefault="00E4578A" w:rsidP="00226A26">
      <w:pPr>
        <w:pStyle w:val="Heading3"/>
      </w:pPr>
      <w:r>
        <w:t>Cultural safety and equity</w:t>
      </w:r>
    </w:p>
    <w:p w14:paraId="44E92AB7" w14:textId="77777777" w:rsidR="00E4578A" w:rsidRPr="00E4578A" w:rsidRDefault="00E4578A" w:rsidP="00E4578A">
      <w:r>
        <w:t xml:space="preserve">Recognising a person’s culture can improve </w:t>
      </w:r>
      <w:r w:rsidRPr="00E4578A">
        <w:t>both the clinical care provided and the person’s experience of care. To help achieve this:</w:t>
      </w:r>
    </w:p>
    <w:p w14:paraId="40188938" w14:textId="77777777" w:rsidR="00E4578A" w:rsidRPr="00E4578A" w:rsidRDefault="00E4578A" w:rsidP="00F67533">
      <w:pPr>
        <w:pStyle w:val="ListParagraph"/>
        <w:numPr>
          <w:ilvl w:val="0"/>
          <w:numId w:val="245"/>
        </w:numPr>
      </w:pPr>
      <w:r w:rsidRPr="00E4578A">
        <w:t xml:space="preserve">Ensure that clinicians have received cultural safety training </w:t>
      </w:r>
    </w:p>
    <w:p w14:paraId="085501EA" w14:textId="77777777" w:rsidR="00E4578A" w:rsidRPr="00E4578A" w:rsidRDefault="00E4578A" w:rsidP="00F67533">
      <w:pPr>
        <w:pStyle w:val="ListParagraph"/>
        <w:numPr>
          <w:ilvl w:val="0"/>
          <w:numId w:val="245"/>
        </w:numPr>
      </w:pPr>
      <w:r w:rsidRPr="00E4578A">
        <w:lastRenderedPageBreak/>
        <w:t>Enable the involvement of Māori Health Workers; Aboriginal and Torres Strait Islander Health Workers or Practitioners and Liaison Officers; translators; and others who can assist in the social aspects of care when this is what the person would prefer and when cultural differences may be a barrier to their clinical care or experience of care.</w:t>
      </w:r>
    </w:p>
    <w:p w14:paraId="403715F2" w14:textId="77777777" w:rsidR="00E4578A" w:rsidRDefault="00E4578A" w:rsidP="00E4578A">
      <w:r w:rsidRPr="00E4578A">
        <w:t>Establish systems for patients who identify as Māori or Aboriginal and Torres Strait Islander to identify relevant community care providers (for example</w:t>
      </w:r>
      <w:r>
        <w:t>, the person’s Aboriginal Community Controlled Health Organisation), and involve them in the patient’s care planning where appropriate or possible.</w:t>
      </w:r>
    </w:p>
    <w:p w14:paraId="05FEB013" w14:textId="2E7B7F62" w:rsidR="00E4578A" w:rsidRDefault="008D29A4" w:rsidP="00226A26">
      <w:pPr>
        <w:pStyle w:val="Heading2"/>
      </w:pPr>
      <w:r>
        <w:t xml:space="preserve">4. </w:t>
      </w:r>
      <w:r w:rsidR="00E4578A">
        <w:t>Timing of surgery</w:t>
      </w:r>
    </w:p>
    <w:p w14:paraId="16B583CD" w14:textId="0CF15BAE" w:rsidR="00E4578A" w:rsidRPr="00584921" w:rsidRDefault="00E4578A" w:rsidP="00584921">
      <w:pPr>
        <w:rPr>
          <w:b/>
          <w:bCs/>
        </w:rPr>
      </w:pPr>
      <w:r w:rsidRPr="00584921">
        <w:rPr>
          <w:b/>
          <w:bCs/>
        </w:rPr>
        <w:t>A person with a hip fracture receives surgery within 36 hours of their first presentation to</w:t>
      </w:r>
      <w:r w:rsidR="00584921">
        <w:rPr>
          <w:b/>
          <w:bCs/>
        </w:rPr>
        <w:t> </w:t>
      </w:r>
      <w:r w:rsidRPr="00584921">
        <w:rPr>
          <w:b/>
          <w:bCs/>
        </w:rPr>
        <w:t>hospital.</w:t>
      </w:r>
    </w:p>
    <w:p w14:paraId="4C8DFA1B" w14:textId="77777777" w:rsidR="00E4578A" w:rsidRPr="00E4578A" w:rsidRDefault="00E4578A" w:rsidP="00E4578A">
      <w:r>
        <w:t xml:space="preserve">Ensure that systems are in place for clinicians to perform hip fracture surgery within 36 hours of the patient’s first presentation to a healthcare </w:t>
      </w:r>
      <w:r w:rsidRPr="00E4578A">
        <w:t xml:space="preserve">facility. </w:t>
      </w:r>
    </w:p>
    <w:p w14:paraId="7DC0C535" w14:textId="77777777" w:rsidR="00E4578A" w:rsidRPr="00E4578A" w:rsidRDefault="00E4578A" w:rsidP="00E4578A">
      <w:r w:rsidRPr="00E4578A">
        <w:t>For healthcare services covering some remote areas, networks and systems should be in place to ensure coordinated interfacility transfer of people with a hip fracture, to facilitate surgery within 36 hours of the first clinical presentation. Consider the cultural or familial support a person may require if they are transferred from a rural or remote location.</w:t>
      </w:r>
    </w:p>
    <w:p w14:paraId="675A7591" w14:textId="77777777" w:rsidR="00E4578A" w:rsidRDefault="00E4578A" w:rsidP="00307247">
      <w:pPr>
        <w:spacing w:after="240"/>
      </w:pPr>
      <w:r w:rsidRPr="00E4578A">
        <w:t>Ensure that there is a palliative pathway</w:t>
      </w:r>
      <w:r>
        <w:t xml:space="preserve"> available for people who sustain a hip fracture that complicates or precipitates a terminal illness.</w:t>
      </w:r>
    </w:p>
    <w:tbl>
      <w:tblPr>
        <w:tblStyle w:val="CCSIndicatorBox"/>
        <w:tblW w:w="5000" w:type="pct"/>
        <w:tblLook w:val="0620" w:firstRow="1" w:lastRow="0" w:firstColumn="0" w:lastColumn="0" w:noHBand="1" w:noVBand="1"/>
      </w:tblPr>
      <w:tblGrid>
        <w:gridCol w:w="9638"/>
      </w:tblGrid>
      <w:tr w:rsidR="00E4578A" w:rsidRPr="00307247" w14:paraId="5534166A" w14:textId="77777777" w:rsidTr="00307247">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145D2A7F" w14:textId="37F8EF55" w:rsidR="00E4578A" w:rsidRPr="00307247" w:rsidRDefault="00E4578A" w:rsidP="00307247">
            <w:r w:rsidRPr="00307247">
              <w:t>Indicator for local monitoring</w:t>
            </w:r>
          </w:p>
        </w:tc>
      </w:tr>
      <w:tr w:rsidR="00E4578A" w:rsidRPr="00307247" w14:paraId="7C117FF3" w14:textId="77777777" w:rsidTr="00307247">
        <w:tblPrEx>
          <w:tblCellMar>
            <w:top w:w="0" w:type="dxa"/>
          </w:tblCellMar>
        </w:tblPrEx>
        <w:trPr>
          <w:trHeight w:val="60"/>
        </w:trPr>
        <w:tc>
          <w:tcPr>
            <w:tcW w:w="5000" w:type="pct"/>
          </w:tcPr>
          <w:p w14:paraId="4A4CB6E6" w14:textId="77777777" w:rsidR="00E4578A" w:rsidRPr="00307247" w:rsidRDefault="00E4578A" w:rsidP="00307247">
            <w:r w:rsidRPr="00307247">
              <w:rPr>
                <w:rStyle w:val="Strong"/>
              </w:rPr>
              <w:t>Indicator 4a</w:t>
            </w:r>
            <w:r w:rsidRPr="00307247">
              <w:t>: Proportion of admitted patients with a hip fracture who received surgery within 36 hours of presentation to first hospital.</w:t>
            </w:r>
          </w:p>
        </w:tc>
      </w:tr>
    </w:tbl>
    <w:p w14:paraId="28CCA834" w14:textId="77777777" w:rsidR="000E54FD" w:rsidRDefault="000E54FD" w:rsidP="000E54FD">
      <w:pPr>
        <w:keepNext/>
        <w:spacing w:before="480"/>
      </w:pPr>
      <w:r w:rsidRPr="008E2E35">
        <w:drawing>
          <wp:inline distT="0" distB="0" distL="0" distR="0" wp14:anchorId="4E5D9F64" wp14:editId="78B8AA9F">
            <wp:extent cx="6120130" cy="178132"/>
            <wp:effectExtent l="0" t="0" r="0" b="0"/>
            <wp:docPr id="492982137" name="Picture 492982137" descr="Artwork for the clinical care standard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6475" name="Picture 1" descr="Artwork for the clinical care standards program"/>
                    <pic:cNvPicPr/>
                  </pic:nvPicPr>
                  <pic:blipFill>
                    <a:blip r:embed="rId9"/>
                    <a:stretch>
                      <a:fillRect/>
                    </a:stretch>
                  </pic:blipFill>
                  <pic:spPr>
                    <a:xfrm>
                      <a:off x="0" y="0"/>
                      <a:ext cx="6120130" cy="178132"/>
                    </a:xfrm>
                    <a:prstGeom prst="rect">
                      <a:avLst/>
                    </a:prstGeom>
                  </pic:spPr>
                </pic:pic>
              </a:graphicData>
            </a:graphic>
          </wp:inline>
        </w:drawing>
      </w:r>
    </w:p>
    <w:p w14:paraId="2CA23998" w14:textId="77777777" w:rsidR="00E4578A" w:rsidRDefault="00E4578A" w:rsidP="00F247EE">
      <w:pPr>
        <w:pStyle w:val="Heading3"/>
      </w:pPr>
      <w:r>
        <w:t>Cultural safety and equity</w:t>
      </w:r>
    </w:p>
    <w:p w14:paraId="66885408" w14:textId="77777777" w:rsidR="00E4578A" w:rsidRDefault="00E4578A" w:rsidP="00E4578A">
      <w:r>
        <w:t xml:space="preserve">Support clinicians to provide respectful and culturally safe care by having systems in place that facilitate involvement of Aboriginal and Torres Strait Islander </w:t>
      </w:r>
      <w:r w:rsidRPr="00E4578A">
        <w:t>Health</w:t>
      </w:r>
      <w:r>
        <w:t xml:space="preserve"> Workers or Practitioners; Liaison Officers; cross</w:t>
      </w:r>
      <w:r>
        <w:rPr>
          <w:rFonts w:ascii="Cambria Math" w:hAnsi="Cambria Math" w:cs="Cambria Math"/>
        </w:rPr>
        <w:t>‑</w:t>
      </w:r>
      <w:r>
        <w:t>cultural health workers; and translators.</w:t>
      </w:r>
    </w:p>
    <w:p w14:paraId="5D2D069A" w14:textId="76030081" w:rsidR="00E4578A" w:rsidRDefault="0000131E" w:rsidP="00226A26">
      <w:pPr>
        <w:pStyle w:val="Heading2"/>
      </w:pPr>
      <w:r>
        <w:t xml:space="preserve">5. </w:t>
      </w:r>
      <w:r w:rsidR="00E4578A">
        <w:t xml:space="preserve">Mobilisation and weight </w:t>
      </w:r>
      <w:r w:rsidR="00E4578A" w:rsidRPr="00226A26">
        <w:t>bearing</w:t>
      </w:r>
    </w:p>
    <w:p w14:paraId="23632C6C" w14:textId="77777777" w:rsidR="00E4578A" w:rsidRPr="0000131E" w:rsidRDefault="00E4578A" w:rsidP="0000131E">
      <w:pPr>
        <w:rPr>
          <w:b/>
          <w:bCs/>
        </w:rPr>
      </w:pPr>
      <w:r w:rsidRPr="0000131E">
        <w:rPr>
          <w:b/>
          <w:bCs/>
        </w:rPr>
        <w:t xml:space="preserve">A person with a hip fracture is mobilised without restrictions on weight bearing, starting the day of, or the day after, surgery, and at least once a day thereafter, according to their clinical condition and agreed goals of care. </w:t>
      </w:r>
    </w:p>
    <w:p w14:paraId="2EABE2FB" w14:textId="77777777" w:rsidR="00E4578A" w:rsidRPr="00E4578A" w:rsidRDefault="00E4578A" w:rsidP="00E4578A">
      <w:r>
        <w:t xml:space="preserve">Ensure that systems and protocols are in </w:t>
      </w:r>
      <w:r w:rsidRPr="00E4578A">
        <w:t xml:space="preserve">place for: </w:t>
      </w:r>
    </w:p>
    <w:p w14:paraId="132F966C" w14:textId="77777777" w:rsidR="00E4578A" w:rsidRPr="00E4578A" w:rsidRDefault="00E4578A" w:rsidP="0000131E">
      <w:pPr>
        <w:pStyle w:val="ListParagraph"/>
        <w:numPr>
          <w:ilvl w:val="0"/>
          <w:numId w:val="246"/>
        </w:numPr>
      </w:pPr>
      <w:r w:rsidRPr="00E4578A">
        <w:t xml:space="preserve">Patients to be mobilised the day of, or the day after, hip fracture surgery, and at least once a day thereafter unless contraindicated </w:t>
      </w:r>
    </w:p>
    <w:p w14:paraId="23AA5B8B" w14:textId="4E0C30AF" w:rsidR="00E4578A" w:rsidRPr="00E4578A" w:rsidRDefault="00E4578A" w:rsidP="0000131E">
      <w:pPr>
        <w:pStyle w:val="ListParagraph"/>
        <w:numPr>
          <w:ilvl w:val="0"/>
          <w:numId w:val="246"/>
        </w:numPr>
      </w:pPr>
      <w:r w:rsidRPr="00E4578A">
        <w:lastRenderedPageBreak/>
        <w:t>Pressure injury prevention and wound management that is consistent with best</w:t>
      </w:r>
      <w:r w:rsidR="00D85F25">
        <w:noBreakHyphen/>
      </w:r>
      <w:r w:rsidRPr="00E4578A">
        <w:t>practice</w:t>
      </w:r>
      <w:r w:rsidR="00D85F25">
        <w:t> </w:t>
      </w:r>
      <w:r w:rsidRPr="00E4578A">
        <w:t>guidelines.</w:t>
      </w:r>
    </w:p>
    <w:p w14:paraId="5986A0B6" w14:textId="77777777" w:rsidR="00E4578A" w:rsidRDefault="00E4578A" w:rsidP="006E3C53">
      <w:pPr>
        <w:spacing w:after="240"/>
      </w:pPr>
      <w:r w:rsidRPr="00E4578A">
        <w:t>Ensure that equipment and devices are av</w:t>
      </w:r>
      <w:r>
        <w:t>ailable to enable mobilisation and decrease the risk of pressure injuries.</w:t>
      </w:r>
    </w:p>
    <w:tbl>
      <w:tblPr>
        <w:tblStyle w:val="CCSIndicatorBox"/>
        <w:tblW w:w="5000" w:type="pct"/>
        <w:tblLook w:val="0620" w:firstRow="1" w:lastRow="0" w:firstColumn="0" w:lastColumn="0" w:noHBand="1" w:noVBand="1"/>
      </w:tblPr>
      <w:tblGrid>
        <w:gridCol w:w="9638"/>
      </w:tblGrid>
      <w:tr w:rsidR="00E4578A" w:rsidRPr="006E3C53" w14:paraId="7E7FB129" w14:textId="77777777" w:rsidTr="006E3C53">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1CD04F52" w14:textId="77777777" w:rsidR="00E4578A" w:rsidRPr="006E3C53" w:rsidRDefault="00E4578A" w:rsidP="006E3C53">
            <w:r w:rsidRPr="006E3C53">
              <w:t>Indicators for local monitoring</w:t>
            </w:r>
          </w:p>
        </w:tc>
      </w:tr>
      <w:tr w:rsidR="00E4578A" w:rsidRPr="006E3C53" w14:paraId="30064F1B" w14:textId="77777777" w:rsidTr="006E3C53">
        <w:tblPrEx>
          <w:tblCellMar>
            <w:top w:w="0" w:type="dxa"/>
          </w:tblCellMar>
        </w:tblPrEx>
        <w:trPr>
          <w:trHeight w:val="60"/>
        </w:trPr>
        <w:tc>
          <w:tcPr>
            <w:tcW w:w="5000" w:type="pct"/>
          </w:tcPr>
          <w:p w14:paraId="03BC70D4" w14:textId="77777777" w:rsidR="00E4578A" w:rsidRPr="006E3C53" w:rsidRDefault="00E4578A" w:rsidP="006E3C53">
            <w:r w:rsidRPr="006E3C53">
              <w:rPr>
                <w:rStyle w:val="Strong"/>
              </w:rPr>
              <w:t>Indicator 5a</w:t>
            </w:r>
            <w:r w:rsidRPr="006E3C53">
              <w:t>: Proportion of admitted patients with a hip fracture who were mobilised the day of, or the day after, their hip fracture surgery.</w:t>
            </w:r>
          </w:p>
          <w:p w14:paraId="6F411D1A" w14:textId="77777777" w:rsidR="00E4578A" w:rsidRPr="006E3C53" w:rsidRDefault="00E4578A" w:rsidP="006E3C53">
            <w:r w:rsidRPr="006E3C53">
              <w:rPr>
                <w:rStyle w:val="Strong"/>
              </w:rPr>
              <w:t>Indicator 5b</w:t>
            </w:r>
            <w:r w:rsidRPr="006E3C53">
              <w:t>: Proportion of admitted patients with a hip fracture who experienced a new Stage II-or-higher-pressure injury.</w:t>
            </w:r>
          </w:p>
        </w:tc>
      </w:tr>
    </w:tbl>
    <w:p w14:paraId="379E0369" w14:textId="59B59A41" w:rsidR="00E4578A" w:rsidRDefault="00E4578A" w:rsidP="00226A26">
      <w:pPr>
        <w:pStyle w:val="Heading2"/>
      </w:pPr>
      <w:r>
        <w:t>6</w:t>
      </w:r>
      <w:r w:rsidR="00D85F25">
        <w:t xml:space="preserve">. </w:t>
      </w:r>
      <w:r>
        <w:t>Minimising risk of another fracture</w:t>
      </w:r>
    </w:p>
    <w:p w14:paraId="43F5A005" w14:textId="37CAF8DF" w:rsidR="00E4578A" w:rsidRPr="00D85F25" w:rsidRDefault="00E4578A" w:rsidP="00D85F25">
      <w:pPr>
        <w:rPr>
          <w:b/>
          <w:bCs/>
        </w:rPr>
      </w:pPr>
      <w:r w:rsidRPr="00D85F25">
        <w:rPr>
          <w:b/>
          <w:bCs/>
        </w:rPr>
        <w:t>Before a person leaves hospital after a hip fracture, they receive a falls and bone health assessment and management plan, with appropriate referral for secondary fracture</w:t>
      </w:r>
      <w:r w:rsidR="00D85F25">
        <w:rPr>
          <w:b/>
          <w:bCs/>
        </w:rPr>
        <w:t> </w:t>
      </w:r>
      <w:r w:rsidRPr="00D85F25">
        <w:rPr>
          <w:b/>
          <w:bCs/>
        </w:rPr>
        <w:t>prevention.</w:t>
      </w:r>
    </w:p>
    <w:p w14:paraId="4108C798" w14:textId="77777777" w:rsidR="00E4578A" w:rsidRPr="00E4578A" w:rsidRDefault="00E4578A" w:rsidP="00E4578A">
      <w:r>
        <w:t xml:space="preserve">Ensure that systems are in </w:t>
      </w:r>
      <w:r w:rsidRPr="00E4578A">
        <w:t>place for routine assessment of a person’s fracture risk and follow-up for secondary fracture prevention. This includes:</w:t>
      </w:r>
    </w:p>
    <w:p w14:paraId="08DDDBA7" w14:textId="7D36F514" w:rsidR="00E4578A" w:rsidRPr="00E4578A" w:rsidRDefault="00E4578A" w:rsidP="00F14153">
      <w:pPr>
        <w:pStyle w:val="ListParagraph"/>
        <w:numPr>
          <w:ilvl w:val="0"/>
          <w:numId w:val="247"/>
        </w:numPr>
      </w:pPr>
      <w:r w:rsidRPr="00E4578A">
        <w:t>Providing education to address modifiable risk factors, including patient education materials (such as for reducing falls risk and specific exercises to improve balance and muscle</w:t>
      </w:r>
      <w:r w:rsidR="00FC18B5">
        <w:t> </w:t>
      </w:r>
      <w:r w:rsidRPr="00E4578A">
        <w:t>strength)</w:t>
      </w:r>
    </w:p>
    <w:p w14:paraId="42404972" w14:textId="77777777" w:rsidR="00E4578A" w:rsidRPr="00E4578A" w:rsidRDefault="00E4578A" w:rsidP="00F14153">
      <w:pPr>
        <w:pStyle w:val="ListParagraph"/>
        <w:numPr>
          <w:ilvl w:val="0"/>
          <w:numId w:val="247"/>
        </w:numPr>
      </w:pPr>
      <w:r w:rsidRPr="00E4578A">
        <w:t>Prescribing or administering bone protection medicines prior to discharge where clinically appropriate</w:t>
      </w:r>
    </w:p>
    <w:p w14:paraId="374E6199" w14:textId="77777777" w:rsidR="00E4578A" w:rsidRPr="00E4578A" w:rsidRDefault="00E4578A" w:rsidP="00F14153">
      <w:pPr>
        <w:pStyle w:val="ListParagraph"/>
        <w:numPr>
          <w:ilvl w:val="0"/>
          <w:numId w:val="247"/>
        </w:numPr>
      </w:pPr>
      <w:r w:rsidRPr="00E4578A">
        <w:t xml:space="preserve">Ensuring clear communication (including in the discharge summary) that a new medication was started; this is particularly important for medicines where the dose interval is time critical such as denosumab </w:t>
      </w:r>
    </w:p>
    <w:p w14:paraId="5502F37C" w14:textId="7A0E810F" w:rsidR="00E4578A" w:rsidRPr="00E4578A" w:rsidRDefault="00E4578A" w:rsidP="00F14153">
      <w:pPr>
        <w:pStyle w:val="ListParagraph"/>
        <w:numPr>
          <w:ilvl w:val="0"/>
          <w:numId w:val="247"/>
        </w:numPr>
      </w:pPr>
      <w:r w:rsidRPr="00E4578A">
        <w:t>Referring when appropriate, including specialist referral for consideration of anabolic bone medicines for a person already using bone protection medicines at the time of the hip</w:t>
      </w:r>
      <w:r w:rsidR="00FC18B5">
        <w:t> </w:t>
      </w:r>
      <w:r w:rsidRPr="00E4578A">
        <w:t>fracture.</w:t>
      </w:r>
    </w:p>
    <w:p w14:paraId="6D43D222" w14:textId="77777777" w:rsidR="00E4578A" w:rsidRDefault="00E4578A" w:rsidP="00E4578A">
      <w:r w:rsidRPr="00E4578A">
        <w:t>Where a FLS exists within the health service, establish processes to systematically identify people after a fracture and arrange follow</w:t>
      </w:r>
      <w:r>
        <w:t xml:space="preserve">-up, as described in the </w:t>
      </w:r>
      <w:hyperlink r:id="rId12" w:history="1">
        <w:r>
          <w:rPr>
            <w:rStyle w:val="Hyperlinkitalics"/>
          </w:rPr>
          <w:t>Clinical Standards for Fracture Liaison Services in New Zealand</w:t>
        </w:r>
      </w:hyperlink>
      <w:r>
        <w:t>. Where no FLS exists, a model of care should include systems and resources to:</w:t>
      </w:r>
    </w:p>
    <w:p w14:paraId="5DE14661" w14:textId="77777777" w:rsidR="00E4578A" w:rsidRPr="00E4578A" w:rsidRDefault="00E4578A" w:rsidP="007E5FAA">
      <w:pPr>
        <w:pStyle w:val="ListParagraph"/>
        <w:numPr>
          <w:ilvl w:val="0"/>
          <w:numId w:val="248"/>
        </w:numPr>
      </w:pPr>
      <w:r>
        <w:t xml:space="preserve">Identify at-risk </w:t>
      </w:r>
      <w:r w:rsidRPr="00E4578A">
        <w:t>patients</w:t>
      </w:r>
    </w:p>
    <w:p w14:paraId="2655E3F6" w14:textId="77777777" w:rsidR="00E4578A" w:rsidRPr="00E4578A" w:rsidRDefault="00E4578A" w:rsidP="007E5FAA">
      <w:pPr>
        <w:pStyle w:val="ListParagraph"/>
        <w:numPr>
          <w:ilvl w:val="0"/>
          <w:numId w:val="248"/>
        </w:numPr>
      </w:pPr>
      <w:r w:rsidRPr="00E4578A">
        <w:t>Conduct investigations</w:t>
      </w:r>
    </w:p>
    <w:p w14:paraId="48171D59" w14:textId="77777777" w:rsidR="00E4578A" w:rsidRPr="00E4578A" w:rsidRDefault="00E4578A" w:rsidP="007E5FAA">
      <w:pPr>
        <w:pStyle w:val="ListParagraph"/>
        <w:numPr>
          <w:ilvl w:val="0"/>
          <w:numId w:val="248"/>
        </w:numPr>
      </w:pPr>
      <w:r w:rsidRPr="00E4578A">
        <w:t xml:space="preserve">Assess and manage future fracture risk </w:t>
      </w:r>
    </w:p>
    <w:p w14:paraId="39CDB606" w14:textId="77777777" w:rsidR="00E4578A" w:rsidRPr="00E4578A" w:rsidRDefault="00E4578A" w:rsidP="007E5FAA">
      <w:pPr>
        <w:pStyle w:val="ListParagraph"/>
        <w:numPr>
          <w:ilvl w:val="0"/>
          <w:numId w:val="248"/>
        </w:numPr>
      </w:pPr>
      <w:r w:rsidRPr="00E4578A">
        <w:t xml:space="preserve">Refer to the appropriate treatment provider(s) for secondary fracture prevention care that cannot be provided during the hospital stay. </w:t>
      </w:r>
    </w:p>
    <w:p w14:paraId="23CCE417" w14:textId="77777777" w:rsidR="00E4578A" w:rsidRDefault="00E4578A" w:rsidP="00E4578A">
      <w:r w:rsidRPr="00E4578A">
        <w:t>In Australia, this may</w:t>
      </w:r>
      <w:r>
        <w:t xml:space="preserve"> involve liaison with Primary Health Networks to develop appropriate models of care.</w:t>
      </w:r>
    </w:p>
    <w:tbl>
      <w:tblPr>
        <w:tblStyle w:val="CCSIndicatorBox"/>
        <w:tblW w:w="5000" w:type="pct"/>
        <w:tblLook w:val="0620" w:firstRow="1" w:lastRow="0" w:firstColumn="0" w:lastColumn="0" w:noHBand="1" w:noVBand="1"/>
      </w:tblPr>
      <w:tblGrid>
        <w:gridCol w:w="9638"/>
      </w:tblGrid>
      <w:tr w:rsidR="00E4578A" w:rsidRPr="00BF0D82" w14:paraId="549B10F1" w14:textId="77777777" w:rsidTr="00BF0D82">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06570D04" w14:textId="7D942914" w:rsidR="00E4578A" w:rsidRPr="00BF0D82" w:rsidRDefault="00E4578A" w:rsidP="00BF0D82">
            <w:r w:rsidRPr="00BF0D82">
              <w:lastRenderedPageBreak/>
              <w:t>Indicator for local monitoring</w:t>
            </w:r>
          </w:p>
        </w:tc>
      </w:tr>
      <w:tr w:rsidR="00E4578A" w:rsidRPr="00BF0D82" w14:paraId="1BEDB8AC" w14:textId="77777777" w:rsidTr="00BF0D82">
        <w:tblPrEx>
          <w:tblCellMar>
            <w:top w:w="0" w:type="dxa"/>
          </w:tblCellMar>
        </w:tblPrEx>
        <w:trPr>
          <w:trHeight w:val="60"/>
        </w:trPr>
        <w:tc>
          <w:tcPr>
            <w:tcW w:w="5000" w:type="pct"/>
          </w:tcPr>
          <w:p w14:paraId="5BE5DA1F" w14:textId="77777777" w:rsidR="00E4578A" w:rsidRPr="00BF0D82" w:rsidRDefault="00E4578A" w:rsidP="00BF0D82">
            <w:r w:rsidRPr="00BF0D82">
              <w:rPr>
                <w:rStyle w:val="Strong"/>
              </w:rPr>
              <w:t>Indicator 6a</w:t>
            </w:r>
            <w:r w:rsidRPr="00BF0D82">
              <w:t>: Proportion of admitted patients with a hip fracture who received bone protection medicine while in hospital or a prescription prior to separation from hospital.</w:t>
            </w:r>
          </w:p>
        </w:tc>
      </w:tr>
    </w:tbl>
    <w:p w14:paraId="5F769A29" w14:textId="77777777" w:rsidR="000E54FD" w:rsidRDefault="000E54FD" w:rsidP="000E54FD">
      <w:pPr>
        <w:keepNext/>
        <w:spacing w:before="480"/>
      </w:pPr>
      <w:r w:rsidRPr="008E2E35">
        <w:drawing>
          <wp:inline distT="0" distB="0" distL="0" distR="0" wp14:anchorId="6404EF3C" wp14:editId="2C5AB08F">
            <wp:extent cx="6120130" cy="178132"/>
            <wp:effectExtent l="0" t="0" r="0" b="0"/>
            <wp:docPr id="1623995505" name="Picture 1623995505" descr="Artwork for the clinical care standard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6475" name="Picture 1" descr="Artwork for the clinical care standards program"/>
                    <pic:cNvPicPr/>
                  </pic:nvPicPr>
                  <pic:blipFill>
                    <a:blip r:embed="rId9"/>
                    <a:stretch>
                      <a:fillRect/>
                    </a:stretch>
                  </pic:blipFill>
                  <pic:spPr>
                    <a:xfrm>
                      <a:off x="0" y="0"/>
                      <a:ext cx="6120130" cy="178132"/>
                    </a:xfrm>
                    <a:prstGeom prst="rect">
                      <a:avLst/>
                    </a:prstGeom>
                  </pic:spPr>
                </pic:pic>
              </a:graphicData>
            </a:graphic>
          </wp:inline>
        </w:drawing>
      </w:r>
    </w:p>
    <w:p w14:paraId="11B7A597" w14:textId="77777777" w:rsidR="00E4578A" w:rsidRDefault="00E4578A" w:rsidP="00226A26">
      <w:pPr>
        <w:pStyle w:val="Heading3"/>
      </w:pPr>
      <w:r>
        <w:t>Cultural safety and equity</w:t>
      </w:r>
    </w:p>
    <w:p w14:paraId="4D585331" w14:textId="77777777" w:rsidR="00E4578A" w:rsidRDefault="00E4578A" w:rsidP="00E4578A">
      <w:r>
        <w:t xml:space="preserve">Written information that highlights the pathway for hip fracture care should be provided in languages that reflect the make-up of the local population. </w:t>
      </w:r>
      <w:r w:rsidRPr="00E4578A">
        <w:t>Any</w:t>
      </w:r>
      <w:r>
        <w:t> written material for Māori or Aboriginal and Torres Strait Islander populations should be developed in partnership with the community and people with expertise in Indigenous health issues. Validated methods for developing written information should be used to the greatest extent possible.</w:t>
      </w:r>
    </w:p>
    <w:p w14:paraId="4FA04362" w14:textId="2DE8EF10" w:rsidR="00E4578A" w:rsidRDefault="006C2C59" w:rsidP="00226A26">
      <w:pPr>
        <w:pStyle w:val="Heading2"/>
      </w:pPr>
      <w:r>
        <w:t xml:space="preserve">7. </w:t>
      </w:r>
      <w:r w:rsidR="00E4578A">
        <w:t>Transition from hospital care</w:t>
      </w:r>
    </w:p>
    <w:p w14:paraId="5245F3C5" w14:textId="77777777" w:rsidR="00E4578A" w:rsidRPr="00927866" w:rsidRDefault="00E4578A" w:rsidP="00927866">
      <w:pPr>
        <w:rPr>
          <w:b/>
          <w:bCs/>
        </w:rPr>
      </w:pPr>
      <w:r w:rsidRPr="00927866">
        <w:rPr>
          <w:b/>
          <w:bCs/>
        </w:rPr>
        <w:t>Before a person leaves hospital after a hip fracture, an individualised care plan is developed that describes their goals of care and ongoing care needs. This plan is developed in discussion with the person and their family or support people. The plan includes mobilisation activities and expected function post</w:t>
      </w:r>
      <w:r w:rsidRPr="00927866">
        <w:rPr>
          <w:rFonts w:ascii="Cambria Math" w:hAnsi="Cambria Math" w:cs="Cambria Math"/>
          <w:b/>
          <w:bCs/>
        </w:rPr>
        <w:t>‑</w:t>
      </w:r>
      <w:r w:rsidRPr="00927866">
        <w:rPr>
          <w:b/>
          <w:bCs/>
        </w:rPr>
        <w:t>injury, wound care, pain management, nutrition, fracture prevention strategies, changed or new medicines, and specific rehabilitation services and equipment. On discharge, the plan is provided to the person and communicated with their general practice and other ongoing clinicians and care providers.</w:t>
      </w:r>
    </w:p>
    <w:p w14:paraId="60A5BF5B" w14:textId="77777777" w:rsidR="00E4578A" w:rsidRPr="00E4578A" w:rsidRDefault="00E4578A" w:rsidP="00E4578A">
      <w:r>
        <w:t xml:space="preserve">Ensure that systems are in place to support </w:t>
      </w:r>
      <w:r w:rsidRPr="00E4578A">
        <w:t xml:space="preserve">clinicians to develop an individualised care plan with patients prior to discharge, and to refer patients to the relevant services as required. </w:t>
      </w:r>
    </w:p>
    <w:p w14:paraId="51AAEA63" w14:textId="77777777" w:rsidR="00E4578A" w:rsidRDefault="00E4578A" w:rsidP="004C798E">
      <w:pPr>
        <w:spacing w:after="240"/>
      </w:pPr>
      <w:r w:rsidRPr="00E4578A">
        <w:t>Ensure that clinical information systems support clinicians in providing the care plan to the patient, and communicating the content to their general practitioner, Aboriginal Medical Service, ongoing clinical providers, or community providers responsible for the person’s clinical care (such as residential aged care facilities). Where local clinical information systems</w:t>
      </w:r>
      <w:r>
        <w:t xml:space="preserve"> allow, upload information to the patient’s My Health Record. Sharing information on the care provided in hospital is especially important if the person is discharged to interim care (rehabilitation hospital or respite aged care) before returning home or consulting their usual general practitioner.</w:t>
      </w:r>
    </w:p>
    <w:tbl>
      <w:tblPr>
        <w:tblStyle w:val="CCSIndicatorBox"/>
        <w:tblW w:w="5000" w:type="pct"/>
        <w:tblLook w:val="0220" w:firstRow="1" w:lastRow="0" w:firstColumn="0" w:lastColumn="0" w:noHBand="1" w:noVBand="0"/>
      </w:tblPr>
      <w:tblGrid>
        <w:gridCol w:w="9638"/>
      </w:tblGrid>
      <w:tr w:rsidR="00E4578A" w:rsidRPr="004C798E" w14:paraId="75670F26" w14:textId="77777777" w:rsidTr="004C798E">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24EEBA1F" w14:textId="10710D7B" w:rsidR="00E4578A" w:rsidRPr="004C798E" w:rsidRDefault="00E4578A" w:rsidP="004C798E">
            <w:r w:rsidRPr="004C798E">
              <w:t>Indicator for local monitoring</w:t>
            </w:r>
          </w:p>
        </w:tc>
      </w:tr>
      <w:tr w:rsidR="00E4578A" w:rsidRPr="004C798E" w14:paraId="2CA06B22" w14:textId="77777777" w:rsidTr="004C798E">
        <w:tblPrEx>
          <w:tblCellMar>
            <w:top w:w="0" w:type="dxa"/>
          </w:tblCellMar>
        </w:tblPrEx>
        <w:trPr>
          <w:trHeight w:val="60"/>
        </w:trPr>
        <w:tc>
          <w:tcPr>
            <w:tcW w:w="5000" w:type="pct"/>
          </w:tcPr>
          <w:p w14:paraId="0DBD277C" w14:textId="77777777" w:rsidR="00E4578A" w:rsidRPr="004C798E" w:rsidRDefault="00E4578A" w:rsidP="004C798E">
            <w:r w:rsidRPr="00515733">
              <w:rPr>
                <w:rStyle w:val="Strong"/>
              </w:rPr>
              <w:t>Indicator 7a</w:t>
            </w:r>
            <w:r w:rsidRPr="004C798E">
              <w:t>: Evidence of local arrangements for the development of an individualised care plan for hip fracture patients prior to separation from hospital.</w:t>
            </w:r>
          </w:p>
        </w:tc>
      </w:tr>
    </w:tbl>
    <w:p w14:paraId="437FBC3E" w14:textId="77777777" w:rsidR="000E54FD" w:rsidRDefault="000E54FD" w:rsidP="000E54FD">
      <w:pPr>
        <w:keepNext/>
        <w:spacing w:before="480"/>
      </w:pPr>
      <w:r w:rsidRPr="008E2E35">
        <w:lastRenderedPageBreak/>
        <w:drawing>
          <wp:inline distT="0" distB="0" distL="0" distR="0" wp14:anchorId="16656460" wp14:editId="4AC88626">
            <wp:extent cx="6120130" cy="178132"/>
            <wp:effectExtent l="0" t="0" r="0" b="0"/>
            <wp:docPr id="665703505" name="Picture 665703505" descr="Artwork for the clinical care standard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76475" name="Picture 1" descr="Artwork for the clinical care standards program"/>
                    <pic:cNvPicPr/>
                  </pic:nvPicPr>
                  <pic:blipFill>
                    <a:blip r:embed="rId9"/>
                    <a:stretch>
                      <a:fillRect/>
                    </a:stretch>
                  </pic:blipFill>
                  <pic:spPr>
                    <a:xfrm>
                      <a:off x="0" y="0"/>
                      <a:ext cx="6120130" cy="178132"/>
                    </a:xfrm>
                    <a:prstGeom prst="rect">
                      <a:avLst/>
                    </a:prstGeom>
                  </pic:spPr>
                </pic:pic>
              </a:graphicData>
            </a:graphic>
          </wp:inline>
        </w:drawing>
      </w:r>
    </w:p>
    <w:p w14:paraId="1D9F1683" w14:textId="77777777" w:rsidR="00E4578A" w:rsidRDefault="00E4578A" w:rsidP="00226A26">
      <w:pPr>
        <w:pStyle w:val="Heading3"/>
      </w:pPr>
      <w:r>
        <w:t>Cultural safety and equity</w:t>
      </w:r>
    </w:p>
    <w:p w14:paraId="7B2F4FC4" w14:textId="77777777" w:rsidR="00E4578A" w:rsidRDefault="00E4578A" w:rsidP="00E4578A">
      <w:r>
        <w:t>Ensure that services are in place to enable effective communication with patients that considers their culture and location of care. Aboriginal and Torres Strait Islander people, Māori people and whānau, and others who have completed acute treatment away from their community may need structured support to ensure that they safely return to their place of residence. Establish appropriate, culturally safe networks and arrange access to services, support and contacts for people who have been transferred from remote locations.</w:t>
      </w:r>
    </w:p>
    <w:p w14:paraId="2A08B206" w14:textId="326F7AA5" w:rsidR="00E4578A" w:rsidRDefault="00E4578A" w:rsidP="00E4578A">
      <w:pPr>
        <w:pStyle w:val="Heading2"/>
      </w:pPr>
      <w:r>
        <w:t xml:space="preserve">Questions? </w:t>
      </w:r>
    </w:p>
    <w:p w14:paraId="2AA256D7" w14:textId="77777777" w:rsidR="00E4578A" w:rsidRDefault="00E4578A" w:rsidP="00E4578A">
      <w:r w:rsidRPr="007B4574">
        <w:rPr>
          <w:noProof/>
        </w:rPr>
        <w:drawing>
          <wp:inline distT="0" distB="0" distL="0" distR="0" wp14:anchorId="47AC4B31" wp14:editId="37CD7E81">
            <wp:extent cx="914400" cy="914400"/>
            <wp:effectExtent l="0" t="0" r="0" b="0"/>
            <wp:docPr id="1506449329"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49329" name="Picture 1" descr="QR code"/>
                    <pic:cNvPicPr/>
                  </pic:nvPicPr>
                  <pic:blipFill>
                    <a:blip r:embed="rId13"/>
                    <a:stretch>
                      <a:fillRect/>
                    </a:stretch>
                  </pic:blipFill>
                  <pic:spPr>
                    <a:xfrm>
                      <a:off x="0" y="0"/>
                      <a:ext cx="914400" cy="914400"/>
                    </a:xfrm>
                    <a:prstGeom prst="rect">
                      <a:avLst/>
                    </a:prstGeom>
                  </pic:spPr>
                </pic:pic>
              </a:graphicData>
            </a:graphic>
          </wp:inline>
        </w:drawing>
      </w:r>
    </w:p>
    <w:p w14:paraId="30EA3499" w14:textId="6741BDD7" w:rsidR="00E4578A" w:rsidRDefault="00E4578A" w:rsidP="00E4578A">
      <w:pPr>
        <w:spacing w:after="240"/>
      </w:pPr>
      <w:r w:rsidRPr="00E4578A">
        <w:t>Find</w:t>
      </w:r>
      <w:r>
        <w:t xml:space="preserve"> out more about the </w:t>
      </w:r>
      <w:r>
        <w:rPr>
          <w:rStyle w:val="Emphasis"/>
        </w:rPr>
        <w:t>Hip Fracture Clinical Care Standard</w:t>
      </w:r>
      <w:r>
        <w:t xml:space="preserve"> and other resources. Scan the QR code or use the link: </w:t>
      </w:r>
      <w:hyperlink r:id="rId14" w:history="1">
        <w:r>
          <w:rPr>
            <w:rStyle w:val="Hyperlink"/>
          </w:rPr>
          <w:t>safetyandquality.gov.au/hipfracture-ccs</w:t>
        </w:r>
      </w:hyperlink>
      <w:r>
        <w:t>.</w:t>
      </w:r>
    </w:p>
    <w:p w14:paraId="23F097CB" w14:textId="24947F6B" w:rsidR="00E4578A" w:rsidRDefault="00E4578A" w:rsidP="00E4578A">
      <w:pPr>
        <w:pStyle w:val="FootnoteText"/>
      </w:pPr>
      <w:r w:rsidRPr="00E4578A">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5FFC01CA" w14:textId="77777777" w:rsidR="00E4578A" w:rsidRPr="00E4578A" w:rsidRDefault="00E4578A" w:rsidP="00E4578A">
      <w:pPr>
        <w:pStyle w:val="Website"/>
      </w:pPr>
      <w:hyperlink r:id="rId15" w:history="1">
        <w:r w:rsidRPr="00E4578A">
          <w:rPr>
            <w:rStyle w:val="Hyperlink"/>
          </w:rPr>
          <w:t>safetyandquality.gov.au</w:t>
        </w:r>
      </w:hyperlink>
    </w:p>
    <w:p w14:paraId="61DD8151" w14:textId="77777777" w:rsidR="00E4578A" w:rsidRPr="006B4D25" w:rsidRDefault="00E4578A" w:rsidP="00E4578A">
      <w:pPr>
        <w:pStyle w:val="Copyright"/>
      </w:pPr>
      <w:r w:rsidRPr="006B4D25">
        <w:rPr>
          <w:noProof/>
        </w:rPr>
        <w:drawing>
          <wp:inline distT="0" distB="0" distL="0" distR="0" wp14:anchorId="617ADD53" wp14:editId="4189976A">
            <wp:extent cx="840105" cy="297815"/>
            <wp:effectExtent l="0" t="0" r="0" b="0"/>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6843950D" w14:textId="1AE53CAD" w:rsidR="00465AB0" w:rsidRPr="00B11A0A" w:rsidRDefault="00E4578A" w:rsidP="00E4578A">
      <w:pPr>
        <w:pStyle w:val="Copyright"/>
      </w:pPr>
      <w:r w:rsidRPr="006B4D25">
        <w:t xml:space="preserve">© Australian Commission on Safety and Quality in Health Care 2023 </w:t>
      </w:r>
      <w:r w:rsidRPr="006B4D25" w:rsidDel="00174535">
        <w:rPr>
          <w:rStyle w:val="Roman"/>
        </w:rPr>
        <w:t xml:space="preserve"> </w:t>
      </w:r>
    </w:p>
    <w:sectPr w:rsidR="00465AB0" w:rsidRPr="00B11A0A" w:rsidSect="00B64EA5">
      <w:headerReference w:type="even" r:id="rId17"/>
      <w:headerReference w:type="default" r:id="rId18"/>
      <w:footerReference w:type="even" r:id="rId19"/>
      <w:footerReference w:type="default" r:id="rId20"/>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47B2" w14:textId="77777777" w:rsidR="00157938" w:rsidRDefault="00157938" w:rsidP="000B0274">
      <w:r>
        <w:separator/>
      </w:r>
    </w:p>
    <w:p w14:paraId="50D740B8" w14:textId="77777777" w:rsidR="00157938" w:rsidRDefault="00157938"/>
    <w:p w14:paraId="6CDAB080" w14:textId="77777777" w:rsidR="00157938" w:rsidRDefault="00157938"/>
    <w:p w14:paraId="1CB220A7" w14:textId="77777777" w:rsidR="00157938" w:rsidRDefault="00157938"/>
    <w:p w14:paraId="789B6DC6" w14:textId="77777777" w:rsidR="00157938" w:rsidRDefault="00157938"/>
  </w:endnote>
  <w:endnote w:type="continuationSeparator" w:id="0">
    <w:p w14:paraId="10070448" w14:textId="77777777" w:rsidR="00157938" w:rsidRDefault="00157938" w:rsidP="000B0274">
      <w:r>
        <w:continuationSeparator/>
      </w:r>
    </w:p>
    <w:p w14:paraId="783BFB85" w14:textId="77777777" w:rsidR="00157938" w:rsidRDefault="00157938"/>
    <w:p w14:paraId="302D1474" w14:textId="77777777" w:rsidR="00157938" w:rsidRDefault="00157938"/>
    <w:p w14:paraId="4C7678C9" w14:textId="77777777" w:rsidR="00157938" w:rsidRDefault="00157938"/>
    <w:p w14:paraId="78049E45" w14:textId="77777777" w:rsidR="00157938" w:rsidRDefault="00157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Calibri"/>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2E30CF96" w:rsidR="008B014E" w:rsidRPr="00E40FD7" w:rsidRDefault="00A61D70" w:rsidP="00E40FD7">
    <w:pPr>
      <w:pStyle w:val="Footer"/>
      <w:rPr>
        <w:b/>
      </w:rPr>
    </w:pPr>
    <w:r>
      <w:rPr>
        <w:bCs/>
      </w:rPr>
      <w:t xml:space="preserve">Sepsis </w:t>
    </w:r>
    <w:r w:rsidR="00E40FD7" w:rsidRPr="00E40FD7">
      <w:t>Clinical Care Standard</w:t>
    </w:r>
    <w:r w:rsidR="00B44C6A">
      <w:t xml:space="preserve"> 202</w:t>
    </w:r>
    <w:r>
      <w:t>2</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0653" w14:textId="77777777" w:rsidR="00157938" w:rsidRDefault="00157938" w:rsidP="000B0274">
      <w:r>
        <w:separator/>
      </w:r>
    </w:p>
    <w:p w14:paraId="43786050" w14:textId="77777777" w:rsidR="00157938" w:rsidRDefault="00157938"/>
    <w:p w14:paraId="7C13C5CF" w14:textId="77777777" w:rsidR="00157938" w:rsidRDefault="00157938"/>
    <w:p w14:paraId="1D9893DB" w14:textId="77777777" w:rsidR="00157938" w:rsidRDefault="00157938"/>
    <w:p w14:paraId="016D0391" w14:textId="77777777" w:rsidR="00157938" w:rsidRDefault="00157938"/>
  </w:footnote>
  <w:footnote w:type="continuationSeparator" w:id="0">
    <w:p w14:paraId="68B1669C" w14:textId="77777777" w:rsidR="00157938" w:rsidRDefault="00157938" w:rsidP="000B0274">
      <w:r>
        <w:continuationSeparator/>
      </w:r>
    </w:p>
    <w:p w14:paraId="78BA4AE8" w14:textId="77777777" w:rsidR="00157938" w:rsidRDefault="00157938"/>
    <w:p w14:paraId="1DD89720" w14:textId="77777777" w:rsidR="00157938" w:rsidRDefault="00157938"/>
    <w:p w14:paraId="192A6F62" w14:textId="77777777" w:rsidR="00157938" w:rsidRDefault="00157938"/>
    <w:p w14:paraId="0BFFC464" w14:textId="77777777" w:rsidR="00157938" w:rsidRDefault="00157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B8E9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7AA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022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604B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F62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642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080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681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EB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D8E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80452C"/>
    <w:multiLevelType w:val="hybridMultilevel"/>
    <w:tmpl w:val="F62C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4C6318"/>
    <w:multiLevelType w:val="hybridMultilevel"/>
    <w:tmpl w:val="ADDE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0B1F8B"/>
    <w:multiLevelType w:val="hybridMultilevel"/>
    <w:tmpl w:val="81CE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EB5C18"/>
    <w:multiLevelType w:val="hybridMultilevel"/>
    <w:tmpl w:val="9BBE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206304"/>
    <w:multiLevelType w:val="hybridMultilevel"/>
    <w:tmpl w:val="9DC2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6D439D"/>
    <w:multiLevelType w:val="hybridMultilevel"/>
    <w:tmpl w:val="63B0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05B63"/>
    <w:multiLevelType w:val="hybridMultilevel"/>
    <w:tmpl w:val="78A6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B6D31A7"/>
    <w:multiLevelType w:val="hybridMultilevel"/>
    <w:tmpl w:val="316A1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C66F2"/>
    <w:multiLevelType w:val="hybridMultilevel"/>
    <w:tmpl w:val="17A8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10944"/>
    <w:multiLevelType w:val="hybridMultilevel"/>
    <w:tmpl w:val="3B8A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175D43"/>
    <w:multiLevelType w:val="hybridMultilevel"/>
    <w:tmpl w:val="587A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BC3E6D"/>
    <w:multiLevelType w:val="hybridMultilevel"/>
    <w:tmpl w:val="4862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0563F0"/>
    <w:multiLevelType w:val="hybridMultilevel"/>
    <w:tmpl w:val="5524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3B1DF9"/>
    <w:multiLevelType w:val="hybridMultilevel"/>
    <w:tmpl w:val="2D0E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F18E8"/>
    <w:multiLevelType w:val="hybridMultilevel"/>
    <w:tmpl w:val="6F06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B5954"/>
    <w:multiLevelType w:val="hybridMultilevel"/>
    <w:tmpl w:val="57C0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E14A4"/>
    <w:multiLevelType w:val="hybridMultilevel"/>
    <w:tmpl w:val="22F2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D4D3D"/>
    <w:multiLevelType w:val="hybridMultilevel"/>
    <w:tmpl w:val="C174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B1CD9"/>
    <w:multiLevelType w:val="hybridMultilevel"/>
    <w:tmpl w:val="B6E0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16701"/>
    <w:multiLevelType w:val="hybridMultilevel"/>
    <w:tmpl w:val="8200D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D2B10"/>
    <w:multiLevelType w:val="hybridMultilevel"/>
    <w:tmpl w:val="87B4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17ABB"/>
    <w:multiLevelType w:val="hybridMultilevel"/>
    <w:tmpl w:val="54FA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4E6B5E"/>
    <w:multiLevelType w:val="hybridMultilevel"/>
    <w:tmpl w:val="7E4C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E48D3"/>
    <w:multiLevelType w:val="hybridMultilevel"/>
    <w:tmpl w:val="39FA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799625">
    <w:abstractNumId w:val="10"/>
  </w:num>
  <w:num w:numId="2" w16cid:durableId="1665082834">
    <w:abstractNumId w:val="14"/>
  </w:num>
  <w:num w:numId="3" w16cid:durableId="541210861">
    <w:abstractNumId w:val="19"/>
  </w:num>
  <w:num w:numId="4" w16cid:durableId="1963608138">
    <w:abstractNumId w:val="25"/>
  </w:num>
  <w:num w:numId="5" w16cid:durableId="8800900">
    <w:abstractNumId w:val="11"/>
  </w:num>
  <w:num w:numId="6" w16cid:durableId="2037466590">
    <w:abstractNumId w:val="29"/>
  </w:num>
  <w:num w:numId="7" w16cid:durableId="632826652">
    <w:abstractNumId w:val="31"/>
  </w:num>
  <w:num w:numId="8" w16cid:durableId="1632782389">
    <w:abstractNumId w:val="26"/>
  </w:num>
  <w:num w:numId="9" w16cid:durableId="2082824112">
    <w:abstractNumId w:val="12"/>
  </w:num>
  <w:num w:numId="10" w16cid:durableId="198013578">
    <w:abstractNumId w:val="17"/>
  </w:num>
  <w:num w:numId="11" w16cid:durableId="441926496">
    <w:abstractNumId w:val="23"/>
  </w:num>
  <w:num w:numId="12" w16cid:durableId="1560045544">
    <w:abstractNumId w:val="0"/>
  </w:num>
  <w:num w:numId="13" w16cid:durableId="627205223">
    <w:abstractNumId w:val="1"/>
  </w:num>
  <w:num w:numId="14" w16cid:durableId="389501594">
    <w:abstractNumId w:val="2"/>
  </w:num>
  <w:num w:numId="15" w16cid:durableId="412894125">
    <w:abstractNumId w:val="3"/>
  </w:num>
  <w:num w:numId="16" w16cid:durableId="495875320">
    <w:abstractNumId w:val="8"/>
  </w:num>
  <w:num w:numId="17" w16cid:durableId="1117867350">
    <w:abstractNumId w:val="4"/>
  </w:num>
  <w:num w:numId="18" w16cid:durableId="602805995">
    <w:abstractNumId w:val="5"/>
  </w:num>
  <w:num w:numId="19" w16cid:durableId="129131760">
    <w:abstractNumId w:val="6"/>
  </w:num>
  <w:num w:numId="20" w16cid:durableId="464472087">
    <w:abstractNumId w:val="7"/>
  </w:num>
  <w:num w:numId="21" w16cid:durableId="289170939">
    <w:abstractNumId w:val="9"/>
  </w:num>
  <w:num w:numId="22" w16cid:durableId="2057194916">
    <w:abstractNumId w:val="35"/>
  </w:num>
  <w:num w:numId="23" w16cid:durableId="1365790803">
    <w:abstractNumId w:val="22"/>
  </w:num>
  <w:num w:numId="24" w16cid:durableId="1551456380">
    <w:abstractNumId w:val="28"/>
  </w:num>
  <w:num w:numId="25" w16cid:durableId="139463580">
    <w:abstractNumId w:val="33"/>
  </w:num>
  <w:num w:numId="26" w16cid:durableId="1256816448">
    <w:abstractNumId w:val="32"/>
  </w:num>
  <w:num w:numId="27" w16cid:durableId="164175354">
    <w:abstractNumId w:val="13"/>
  </w:num>
  <w:num w:numId="28" w16cid:durableId="982999663">
    <w:abstractNumId w:val="20"/>
  </w:num>
  <w:num w:numId="29" w16cid:durableId="278799957">
    <w:abstractNumId w:val="30"/>
  </w:num>
  <w:num w:numId="30" w16cid:durableId="2130974517">
    <w:abstractNumId w:val="21"/>
  </w:num>
  <w:num w:numId="31" w16cid:durableId="1257177394">
    <w:abstractNumId w:val="34"/>
  </w:num>
  <w:num w:numId="32" w16cid:durableId="276520772">
    <w:abstractNumId w:val="16"/>
  </w:num>
  <w:num w:numId="33" w16cid:durableId="1252743591">
    <w:abstractNumId w:val="24"/>
  </w:num>
  <w:num w:numId="34" w16cid:durableId="265500988">
    <w:abstractNumId w:val="0"/>
  </w:num>
  <w:num w:numId="35" w16cid:durableId="73094927">
    <w:abstractNumId w:val="1"/>
  </w:num>
  <w:num w:numId="36" w16cid:durableId="1152671880">
    <w:abstractNumId w:val="2"/>
  </w:num>
  <w:num w:numId="37" w16cid:durableId="896816839">
    <w:abstractNumId w:val="3"/>
  </w:num>
  <w:num w:numId="38" w16cid:durableId="1750998580">
    <w:abstractNumId w:val="8"/>
  </w:num>
  <w:num w:numId="39" w16cid:durableId="1876116871">
    <w:abstractNumId w:val="4"/>
  </w:num>
  <w:num w:numId="40" w16cid:durableId="628560235">
    <w:abstractNumId w:val="5"/>
  </w:num>
  <w:num w:numId="41" w16cid:durableId="274101771">
    <w:abstractNumId w:val="6"/>
  </w:num>
  <w:num w:numId="42" w16cid:durableId="1626766719">
    <w:abstractNumId w:val="7"/>
  </w:num>
  <w:num w:numId="43" w16cid:durableId="89934891">
    <w:abstractNumId w:val="9"/>
  </w:num>
  <w:num w:numId="44" w16cid:durableId="2127461299">
    <w:abstractNumId w:val="0"/>
  </w:num>
  <w:num w:numId="45" w16cid:durableId="1432050412">
    <w:abstractNumId w:val="1"/>
  </w:num>
  <w:num w:numId="46" w16cid:durableId="618033395">
    <w:abstractNumId w:val="2"/>
  </w:num>
  <w:num w:numId="47" w16cid:durableId="2084138374">
    <w:abstractNumId w:val="3"/>
  </w:num>
  <w:num w:numId="48" w16cid:durableId="201551679">
    <w:abstractNumId w:val="8"/>
  </w:num>
  <w:num w:numId="49" w16cid:durableId="133641133">
    <w:abstractNumId w:val="4"/>
  </w:num>
  <w:num w:numId="50" w16cid:durableId="228076551">
    <w:abstractNumId w:val="5"/>
  </w:num>
  <w:num w:numId="51" w16cid:durableId="2078815626">
    <w:abstractNumId w:val="6"/>
  </w:num>
  <w:num w:numId="52" w16cid:durableId="1572934206">
    <w:abstractNumId w:val="7"/>
  </w:num>
  <w:num w:numId="53" w16cid:durableId="946692338">
    <w:abstractNumId w:val="9"/>
  </w:num>
  <w:num w:numId="54" w16cid:durableId="1551845003">
    <w:abstractNumId w:val="0"/>
  </w:num>
  <w:num w:numId="55" w16cid:durableId="1888292875">
    <w:abstractNumId w:val="1"/>
  </w:num>
  <w:num w:numId="56" w16cid:durableId="1416240941">
    <w:abstractNumId w:val="2"/>
  </w:num>
  <w:num w:numId="57" w16cid:durableId="1900750037">
    <w:abstractNumId w:val="3"/>
  </w:num>
  <w:num w:numId="58" w16cid:durableId="1776288393">
    <w:abstractNumId w:val="8"/>
  </w:num>
  <w:num w:numId="59" w16cid:durableId="104473072">
    <w:abstractNumId w:val="4"/>
  </w:num>
  <w:num w:numId="60" w16cid:durableId="120850059">
    <w:abstractNumId w:val="5"/>
  </w:num>
  <w:num w:numId="61" w16cid:durableId="372116922">
    <w:abstractNumId w:val="6"/>
  </w:num>
  <w:num w:numId="62" w16cid:durableId="1553886375">
    <w:abstractNumId w:val="7"/>
  </w:num>
  <w:num w:numId="63" w16cid:durableId="765535430">
    <w:abstractNumId w:val="9"/>
  </w:num>
  <w:num w:numId="64" w16cid:durableId="622810725">
    <w:abstractNumId w:val="0"/>
  </w:num>
  <w:num w:numId="65" w16cid:durableId="243489195">
    <w:abstractNumId w:val="1"/>
  </w:num>
  <w:num w:numId="66" w16cid:durableId="869801295">
    <w:abstractNumId w:val="2"/>
  </w:num>
  <w:num w:numId="67" w16cid:durableId="1697921671">
    <w:abstractNumId w:val="3"/>
  </w:num>
  <w:num w:numId="68" w16cid:durableId="6294751">
    <w:abstractNumId w:val="8"/>
  </w:num>
  <w:num w:numId="69" w16cid:durableId="1275013696">
    <w:abstractNumId w:val="4"/>
  </w:num>
  <w:num w:numId="70" w16cid:durableId="1510217642">
    <w:abstractNumId w:val="5"/>
  </w:num>
  <w:num w:numId="71" w16cid:durableId="131948180">
    <w:abstractNumId w:val="6"/>
  </w:num>
  <w:num w:numId="72" w16cid:durableId="1545868712">
    <w:abstractNumId w:val="7"/>
  </w:num>
  <w:num w:numId="73" w16cid:durableId="1296061659">
    <w:abstractNumId w:val="9"/>
  </w:num>
  <w:num w:numId="74" w16cid:durableId="1890334632">
    <w:abstractNumId w:val="0"/>
  </w:num>
  <w:num w:numId="75" w16cid:durableId="70927039">
    <w:abstractNumId w:val="1"/>
  </w:num>
  <w:num w:numId="76" w16cid:durableId="1447696557">
    <w:abstractNumId w:val="2"/>
  </w:num>
  <w:num w:numId="77" w16cid:durableId="501050858">
    <w:abstractNumId w:val="3"/>
  </w:num>
  <w:num w:numId="78" w16cid:durableId="2143569313">
    <w:abstractNumId w:val="8"/>
  </w:num>
  <w:num w:numId="79" w16cid:durableId="35742501">
    <w:abstractNumId w:val="4"/>
  </w:num>
  <w:num w:numId="80" w16cid:durableId="953902394">
    <w:abstractNumId w:val="5"/>
  </w:num>
  <w:num w:numId="81" w16cid:durableId="1339111689">
    <w:abstractNumId w:val="6"/>
  </w:num>
  <w:num w:numId="82" w16cid:durableId="1893810896">
    <w:abstractNumId w:val="7"/>
  </w:num>
  <w:num w:numId="83" w16cid:durableId="513811746">
    <w:abstractNumId w:val="9"/>
  </w:num>
  <w:num w:numId="84" w16cid:durableId="851459985">
    <w:abstractNumId w:val="0"/>
  </w:num>
  <w:num w:numId="85" w16cid:durableId="1528056930">
    <w:abstractNumId w:val="1"/>
  </w:num>
  <w:num w:numId="86" w16cid:durableId="1366902348">
    <w:abstractNumId w:val="2"/>
  </w:num>
  <w:num w:numId="87" w16cid:durableId="616839890">
    <w:abstractNumId w:val="3"/>
  </w:num>
  <w:num w:numId="88" w16cid:durableId="957180223">
    <w:abstractNumId w:val="8"/>
  </w:num>
  <w:num w:numId="89" w16cid:durableId="938759843">
    <w:abstractNumId w:val="4"/>
  </w:num>
  <w:num w:numId="90" w16cid:durableId="707297094">
    <w:abstractNumId w:val="5"/>
  </w:num>
  <w:num w:numId="91" w16cid:durableId="587231400">
    <w:abstractNumId w:val="6"/>
  </w:num>
  <w:num w:numId="92" w16cid:durableId="1600136448">
    <w:abstractNumId w:val="7"/>
  </w:num>
  <w:num w:numId="93" w16cid:durableId="2053264484">
    <w:abstractNumId w:val="9"/>
  </w:num>
  <w:num w:numId="94" w16cid:durableId="779300503">
    <w:abstractNumId w:val="0"/>
  </w:num>
  <w:num w:numId="95" w16cid:durableId="1897473847">
    <w:abstractNumId w:val="1"/>
  </w:num>
  <w:num w:numId="96" w16cid:durableId="247275733">
    <w:abstractNumId w:val="2"/>
  </w:num>
  <w:num w:numId="97" w16cid:durableId="1052967843">
    <w:abstractNumId w:val="3"/>
  </w:num>
  <w:num w:numId="98" w16cid:durableId="178206114">
    <w:abstractNumId w:val="8"/>
  </w:num>
  <w:num w:numId="99" w16cid:durableId="12458909">
    <w:abstractNumId w:val="4"/>
  </w:num>
  <w:num w:numId="100" w16cid:durableId="996884248">
    <w:abstractNumId w:val="5"/>
  </w:num>
  <w:num w:numId="101" w16cid:durableId="1133642941">
    <w:abstractNumId w:val="6"/>
  </w:num>
  <w:num w:numId="102" w16cid:durableId="115027906">
    <w:abstractNumId w:val="7"/>
  </w:num>
  <w:num w:numId="103" w16cid:durableId="80106397">
    <w:abstractNumId w:val="9"/>
  </w:num>
  <w:num w:numId="104" w16cid:durableId="150565211">
    <w:abstractNumId w:val="0"/>
  </w:num>
  <w:num w:numId="105" w16cid:durableId="607547638">
    <w:abstractNumId w:val="1"/>
  </w:num>
  <w:num w:numId="106" w16cid:durableId="189073357">
    <w:abstractNumId w:val="2"/>
  </w:num>
  <w:num w:numId="107" w16cid:durableId="1815415562">
    <w:abstractNumId w:val="3"/>
  </w:num>
  <w:num w:numId="108" w16cid:durableId="519121735">
    <w:abstractNumId w:val="8"/>
  </w:num>
  <w:num w:numId="109" w16cid:durableId="901212514">
    <w:abstractNumId w:val="4"/>
  </w:num>
  <w:num w:numId="110" w16cid:durableId="1483110094">
    <w:abstractNumId w:val="5"/>
  </w:num>
  <w:num w:numId="111" w16cid:durableId="1968394164">
    <w:abstractNumId w:val="6"/>
  </w:num>
  <w:num w:numId="112" w16cid:durableId="986711327">
    <w:abstractNumId w:val="7"/>
  </w:num>
  <w:num w:numId="113" w16cid:durableId="268509192">
    <w:abstractNumId w:val="9"/>
  </w:num>
  <w:num w:numId="114" w16cid:durableId="1417559711">
    <w:abstractNumId w:val="0"/>
  </w:num>
  <w:num w:numId="115" w16cid:durableId="1208294954">
    <w:abstractNumId w:val="1"/>
  </w:num>
  <w:num w:numId="116" w16cid:durableId="77096218">
    <w:abstractNumId w:val="2"/>
  </w:num>
  <w:num w:numId="117" w16cid:durableId="713044956">
    <w:abstractNumId w:val="3"/>
  </w:num>
  <w:num w:numId="118" w16cid:durableId="1224216561">
    <w:abstractNumId w:val="8"/>
  </w:num>
  <w:num w:numId="119" w16cid:durableId="1081489376">
    <w:abstractNumId w:val="4"/>
  </w:num>
  <w:num w:numId="120" w16cid:durableId="1541822828">
    <w:abstractNumId w:val="5"/>
  </w:num>
  <w:num w:numId="121" w16cid:durableId="835147538">
    <w:abstractNumId w:val="6"/>
  </w:num>
  <w:num w:numId="122" w16cid:durableId="1715884203">
    <w:abstractNumId w:val="7"/>
  </w:num>
  <w:num w:numId="123" w16cid:durableId="1963338963">
    <w:abstractNumId w:val="9"/>
  </w:num>
  <w:num w:numId="124" w16cid:durableId="1068653720">
    <w:abstractNumId w:val="0"/>
  </w:num>
  <w:num w:numId="125" w16cid:durableId="1468203644">
    <w:abstractNumId w:val="1"/>
  </w:num>
  <w:num w:numId="126" w16cid:durableId="1618874120">
    <w:abstractNumId w:val="2"/>
  </w:num>
  <w:num w:numId="127" w16cid:durableId="1007908481">
    <w:abstractNumId w:val="3"/>
  </w:num>
  <w:num w:numId="128" w16cid:durableId="868763520">
    <w:abstractNumId w:val="8"/>
  </w:num>
  <w:num w:numId="129" w16cid:durableId="1096246746">
    <w:abstractNumId w:val="4"/>
  </w:num>
  <w:num w:numId="130" w16cid:durableId="1532915946">
    <w:abstractNumId w:val="5"/>
  </w:num>
  <w:num w:numId="131" w16cid:durableId="350572214">
    <w:abstractNumId w:val="6"/>
  </w:num>
  <w:num w:numId="132" w16cid:durableId="1338387825">
    <w:abstractNumId w:val="7"/>
  </w:num>
  <w:num w:numId="133" w16cid:durableId="839852547">
    <w:abstractNumId w:val="9"/>
  </w:num>
  <w:num w:numId="134" w16cid:durableId="2064135245">
    <w:abstractNumId w:val="0"/>
  </w:num>
  <w:num w:numId="135" w16cid:durableId="1830902441">
    <w:abstractNumId w:val="1"/>
  </w:num>
  <w:num w:numId="136" w16cid:durableId="1410735122">
    <w:abstractNumId w:val="2"/>
  </w:num>
  <w:num w:numId="137" w16cid:durableId="877666622">
    <w:abstractNumId w:val="3"/>
  </w:num>
  <w:num w:numId="138" w16cid:durableId="445582067">
    <w:abstractNumId w:val="8"/>
  </w:num>
  <w:num w:numId="139" w16cid:durableId="601104989">
    <w:abstractNumId w:val="4"/>
  </w:num>
  <w:num w:numId="140" w16cid:durableId="1614707289">
    <w:abstractNumId w:val="5"/>
  </w:num>
  <w:num w:numId="141" w16cid:durableId="248974930">
    <w:abstractNumId w:val="6"/>
  </w:num>
  <w:num w:numId="142" w16cid:durableId="992028921">
    <w:abstractNumId w:val="7"/>
  </w:num>
  <w:num w:numId="143" w16cid:durableId="854076743">
    <w:abstractNumId w:val="9"/>
  </w:num>
  <w:num w:numId="144" w16cid:durableId="1560047129">
    <w:abstractNumId w:val="0"/>
  </w:num>
  <w:num w:numId="145" w16cid:durableId="981811698">
    <w:abstractNumId w:val="1"/>
  </w:num>
  <w:num w:numId="146" w16cid:durableId="1038044458">
    <w:abstractNumId w:val="2"/>
  </w:num>
  <w:num w:numId="147" w16cid:durableId="1476990755">
    <w:abstractNumId w:val="3"/>
  </w:num>
  <w:num w:numId="148" w16cid:durableId="1577324108">
    <w:abstractNumId w:val="8"/>
  </w:num>
  <w:num w:numId="149" w16cid:durableId="1722247926">
    <w:abstractNumId w:val="4"/>
  </w:num>
  <w:num w:numId="150" w16cid:durableId="1759248776">
    <w:abstractNumId w:val="5"/>
  </w:num>
  <w:num w:numId="151" w16cid:durableId="1259604805">
    <w:abstractNumId w:val="6"/>
  </w:num>
  <w:num w:numId="152" w16cid:durableId="1122770706">
    <w:abstractNumId w:val="7"/>
  </w:num>
  <w:num w:numId="153" w16cid:durableId="1091856045">
    <w:abstractNumId w:val="9"/>
  </w:num>
  <w:num w:numId="154" w16cid:durableId="18509038">
    <w:abstractNumId w:val="0"/>
  </w:num>
  <w:num w:numId="155" w16cid:durableId="433524858">
    <w:abstractNumId w:val="1"/>
  </w:num>
  <w:num w:numId="156" w16cid:durableId="1734699741">
    <w:abstractNumId w:val="2"/>
  </w:num>
  <w:num w:numId="157" w16cid:durableId="1998605909">
    <w:abstractNumId w:val="3"/>
  </w:num>
  <w:num w:numId="158" w16cid:durableId="928974737">
    <w:abstractNumId w:val="8"/>
  </w:num>
  <w:num w:numId="159" w16cid:durableId="700863593">
    <w:abstractNumId w:val="4"/>
  </w:num>
  <w:num w:numId="160" w16cid:durableId="826362461">
    <w:abstractNumId w:val="5"/>
  </w:num>
  <w:num w:numId="161" w16cid:durableId="1688362088">
    <w:abstractNumId w:val="6"/>
  </w:num>
  <w:num w:numId="162" w16cid:durableId="963074111">
    <w:abstractNumId w:val="7"/>
  </w:num>
  <w:num w:numId="163" w16cid:durableId="1501192278">
    <w:abstractNumId w:val="9"/>
  </w:num>
  <w:num w:numId="164" w16cid:durableId="1590966619">
    <w:abstractNumId w:val="0"/>
  </w:num>
  <w:num w:numId="165" w16cid:durableId="354038520">
    <w:abstractNumId w:val="1"/>
  </w:num>
  <w:num w:numId="166" w16cid:durableId="1724677052">
    <w:abstractNumId w:val="2"/>
  </w:num>
  <w:num w:numId="167" w16cid:durableId="1549874537">
    <w:abstractNumId w:val="3"/>
  </w:num>
  <w:num w:numId="168" w16cid:durableId="689992871">
    <w:abstractNumId w:val="8"/>
  </w:num>
  <w:num w:numId="169" w16cid:durableId="1372267979">
    <w:abstractNumId w:val="4"/>
  </w:num>
  <w:num w:numId="170" w16cid:durableId="158086658">
    <w:abstractNumId w:val="5"/>
  </w:num>
  <w:num w:numId="171" w16cid:durableId="1702319131">
    <w:abstractNumId w:val="6"/>
  </w:num>
  <w:num w:numId="172" w16cid:durableId="513032987">
    <w:abstractNumId w:val="7"/>
  </w:num>
  <w:num w:numId="173" w16cid:durableId="492599855">
    <w:abstractNumId w:val="9"/>
  </w:num>
  <w:num w:numId="174" w16cid:durableId="1759711495">
    <w:abstractNumId w:val="0"/>
  </w:num>
  <w:num w:numId="175" w16cid:durableId="440148489">
    <w:abstractNumId w:val="1"/>
  </w:num>
  <w:num w:numId="176" w16cid:durableId="475612891">
    <w:abstractNumId w:val="2"/>
  </w:num>
  <w:num w:numId="177" w16cid:durableId="592278244">
    <w:abstractNumId w:val="3"/>
  </w:num>
  <w:num w:numId="178" w16cid:durableId="1356267737">
    <w:abstractNumId w:val="8"/>
  </w:num>
  <w:num w:numId="179" w16cid:durableId="1400904745">
    <w:abstractNumId w:val="4"/>
  </w:num>
  <w:num w:numId="180" w16cid:durableId="506292365">
    <w:abstractNumId w:val="5"/>
  </w:num>
  <w:num w:numId="181" w16cid:durableId="652149064">
    <w:abstractNumId w:val="6"/>
  </w:num>
  <w:num w:numId="182" w16cid:durableId="2105758910">
    <w:abstractNumId w:val="7"/>
  </w:num>
  <w:num w:numId="183" w16cid:durableId="850413881">
    <w:abstractNumId w:val="9"/>
  </w:num>
  <w:num w:numId="184" w16cid:durableId="945695011">
    <w:abstractNumId w:val="0"/>
  </w:num>
  <w:num w:numId="185" w16cid:durableId="1543863058">
    <w:abstractNumId w:val="1"/>
  </w:num>
  <w:num w:numId="186" w16cid:durableId="298388936">
    <w:abstractNumId w:val="2"/>
  </w:num>
  <w:num w:numId="187" w16cid:durableId="1716660362">
    <w:abstractNumId w:val="3"/>
  </w:num>
  <w:num w:numId="188" w16cid:durableId="189684635">
    <w:abstractNumId w:val="8"/>
  </w:num>
  <w:num w:numId="189" w16cid:durableId="1579361038">
    <w:abstractNumId w:val="4"/>
  </w:num>
  <w:num w:numId="190" w16cid:durableId="1458178527">
    <w:abstractNumId w:val="5"/>
  </w:num>
  <w:num w:numId="191" w16cid:durableId="622074655">
    <w:abstractNumId w:val="6"/>
  </w:num>
  <w:num w:numId="192" w16cid:durableId="1786656327">
    <w:abstractNumId w:val="7"/>
  </w:num>
  <w:num w:numId="193" w16cid:durableId="2063404618">
    <w:abstractNumId w:val="9"/>
  </w:num>
  <w:num w:numId="194" w16cid:durableId="256912967">
    <w:abstractNumId w:val="0"/>
  </w:num>
  <w:num w:numId="195" w16cid:durableId="130447957">
    <w:abstractNumId w:val="1"/>
  </w:num>
  <w:num w:numId="196" w16cid:durableId="838153152">
    <w:abstractNumId w:val="2"/>
  </w:num>
  <w:num w:numId="197" w16cid:durableId="1196652669">
    <w:abstractNumId w:val="3"/>
  </w:num>
  <w:num w:numId="198" w16cid:durableId="1286541611">
    <w:abstractNumId w:val="8"/>
  </w:num>
  <w:num w:numId="199" w16cid:durableId="604271171">
    <w:abstractNumId w:val="4"/>
  </w:num>
  <w:num w:numId="200" w16cid:durableId="1351953193">
    <w:abstractNumId w:val="5"/>
  </w:num>
  <w:num w:numId="201" w16cid:durableId="904878988">
    <w:abstractNumId w:val="6"/>
  </w:num>
  <w:num w:numId="202" w16cid:durableId="670377570">
    <w:abstractNumId w:val="7"/>
  </w:num>
  <w:num w:numId="203" w16cid:durableId="781220347">
    <w:abstractNumId w:val="9"/>
  </w:num>
  <w:num w:numId="204" w16cid:durableId="1545481340">
    <w:abstractNumId w:val="0"/>
  </w:num>
  <w:num w:numId="205" w16cid:durableId="1447119568">
    <w:abstractNumId w:val="1"/>
  </w:num>
  <w:num w:numId="206" w16cid:durableId="811678595">
    <w:abstractNumId w:val="2"/>
  </w:num>
  <w:num w:numId="207" w16cid:durableId="1247958583">
    <w:abstractNumId w:val="3"/>
  </w:num>
  <w:num w:numId="208" w16cid:durableId="760030010">
    <w:abstractNumId w:val="8"/>
  </w:num>
  <w:num w:numId="209" w16cid:durableId="343241939">
    <w:abstractNumId w:val="4"/>
  </w:num>
  <w:num w:numId="210" w16cid:durableId="1595094636">
    <w:abstractNumId w:val="5"/>
  </w:num>
  <w:num w:numId="211" w16cid:durableId="804203117">
    <w:abstractNumId w:val="6"/>
  </w:num>
  <w:num w:numId="212" w16cid:durableId="1403605207">
    <w:abstractNumId w:val="7"/>
  </w:num>
  <w:num w:numId="213" w16cid:durableId="608780547">
    <w:abstractNumId w:val="9"/>
  </w:num>
  <w:num w:numId="214" w16cid:durableId="903637267">
    <w:abstractNumId w:val="27"/>
  </w:num>
  <w:num w:numId="215" w16cid:durableId="119538798">
    <w:abstractNumId w:val="0"/>
  </w:num>
  <w:num w:numId="216" w16cid:durableId="1225288607">
    <w:abstractNumId w:val="1"/>
  </w:num>
  <w:num w:numId="217" w16cid:durableId="386492997">
    <w:abstractNumId w:val="2"/>
  </w:num>
  <w:num w:numId="218" w16cid:durableId="490103585">
    <w:abstractNumId w:val="3"/>
  </w:num>
  <w:num w:numId="219" w16cid:durableId="1119496111">
    <w:abstractNumId w:val="8"/>
  </w:num>
  <w:num w:numId="220" w16cid:durableId="1903831067">
    <w:abstractNumId w:val="4"/>
  </w:num>
  <w:num w:numId="221" w16cid:durableId="1830753804">
    <w:abstractNumId w:val="5"/>
  </w:num>
  <w:num w:numId="222" w16cid:durableId="214237966">
    <w:abstractNumId w:val="6"/>
  </w:num>
  <w:num w:numId="223" w16cid:durableId="1113554223">
    <w:abstractNumId w:val="7"/>
  </w:num>
  <w:num w:numId="224" w16cid:durableId="1681197838">
    <w:abstractNumId w:val="9"/>
  </w:num>
  <w:num w:numId="225" w16cid:durableId="659892252">
    <w:abstractNumId w:val="0"/>
  </w:num>
  <w:num w:numId="226" w16cid:durableId="2016952100">
    <w:abstractNumId w:val="1"/>
  </w:num>
  <w:num w:numId="227" w16cid:durableId="881210883">
    <w:abstractNumId w:val="2"/>
  </w:num>
  <w:num w:numId="228" w16cid:durableId="1438328569">
    <w:abstractNumId w:val="3"/>
  </w:num>
  <w:num w:numId="229" w16cid:durableId="1222403113">
    <w:abstractNumId w:val="8"/>
  </w:num>
  <w:num w:numId="230" w16cid:durableId="632830711">
    <w:abstractNumId w:val="4"/>
  </w:num>
  <w:num w:numId="231" w16cid:durableId="906960532">
    <w:abstractNumId w:val="5"/>
  </w:num>
  <w:num w:numId="232" w16cid:durableId="494805289">
    <w:abstractNumId w:val="6"/>
  </w:num>
  <w:num w:numId="233" w16cid:durableId="1017656895">
    <w:abstractNumId w:val="7"/>
  </w:num>
  <w:num w:numId="234" w16cid:durableId="1137800355">
    <w:abstractNumId w:val="9"/>
  </w:num>
  <w:num w:numId="235" w16cid:durableId="1639263648">
    <w:abstractNumId w:val="0"/>
  </w:num>
  <w:num w:numId="236" w16cid:durableId="1468358772">
    <w:abstractNumId w:val="1"/>
  </w:num>
  <w:num w:numId="237" w16cid:durableId="319700383">
    <w:abstractNumId w:val="2"/>
  </w:num>
  <w:num w:numId="238" w16cid:durableId="2073961968">
    <w:abstractNumId w:val="3"/>
  </w:num>
  <w:num w:numId="239" w16cid:durableId="1708145285">
    <w:abstractNumId w:val="8"/>
  </w:num>
  <w:num w:numId="240" w16cid:durableId="486478653">
    <w:abstractNumId w:val="4"/>
  </w:num>
  <w:num w:numId="241" w16cid:durableId="441920601">
    <w:abstractNumId w:val="5"/>
  </w:num>
  <w:num w:numId="242" w16cid:durableId="125242084">
    <w:abstractNumId w:val="6"/>
  </w:num>
  <w:num w:numId="243" w16cid:durableId="376053547">
    <w:abstractNumId w:val="7"/>
  </w:num>
  <w:num w:numId="244" w16cid:durableId="784891206">
    <w:abstractNumId w:val="9"/>
  </w:num>
  <w:num w:numId="245" w16cid:durableId="763301701">
    <w:abstractNumId w:val="36"/>
  </w:num>
  <w:num w:numId="246" w16cid:durableId="2091389705">
    <w:abstractNumId w:val="37"/>
  </w:num>
  <w:num w:numId="247" w16cid:durableId="1262687927">
    <w:abstractNumId w:val="18"/>
  </w:num>
  <w:num w:numId="248" w16cid:durableId="1726709598">
    <w:abstractNumId w:val="15"/>
  </w:num>
  <w:num w:numId="249" w16cid:durableId="574900530">
    <w:abstractNumId w:val="0"/>
  </w:num>
  <w:num w:numId="250" w16cid:durableId="1099452180">
    <w:abstractNumId w:val="1"/>
  </w:num>
  <w:num w:numId="251" w16cid:durableId="1416323551">
    <w:abstractNumId w:val="2"/>
  </w:num>
  <w:num w:numId="252" w16cid:durableId="737872361">
    <w:abstractNumId w:val="3"/>
  </w:num>
  <w:num w:numId="253" w16cid:durableId="1468543692">
    <w:abstractNumId w:val="8"/>
  </w:num>
  <w:num w:numId="254" w16cid:durableId="1163350578">
    <w:abstractNumId w:val="4"/>
  </w:num>
  <w:num w:numId="255" w16cid:durableId="634137384">
    <w:abstractNumId w:val="5"/>
  </w:num>
  <w:num w:numId="256" w16cid:durableId="2039039473">
    <w:abstractNumId w:val="6"/>
  </w:num>
  <w:num w:numId="257" w16cid:durableId="819659790">
    <w:abstractNumId w:val="7"/>
  </w:num>
  <w:num w:numId="258" w16cid:durableId="2027175834">
    <w:abstractNumId w:val="9"/>
  </w:num>
  <w:num w:numId="259" w16cid:durableId="268397983">
    <w:abstractNumId w:val="0"/>
  </w:num>
  <w:num w:numId="260" w16cid:durableId="1834252937">
    <w:abstractNumId w:val="1"/>
  </w:num>
  <w:num w:numId="261" w16cid:durableId="1375082091">
    <w:abstractNumId w:val="2"/>
  </w:num>
  <w:num w:numId="262" w16cid:durableId="52849552">
    <w:abstractNumId w:val="3"/>
  </w:num>
  <w:num w:numId="263" w16cid:durableId="410196555">
    <w:abstractNumId w:val="8"/>
  </w:num>
  <w:num w:numId="264" w16cid:durableId="1567182430">
    <w:abstractNumId w:val="4"/>
  </w:num>
  <w:num w:numId="265" w16cid:durableId="462968440">
    <w:abstractNumId w:val="5"/>
  </w:num>
  <w:num w:numId="266" w16cid:durableId="379742418">
    <w:abstractNumId w:val="6"/>
  </w:num>
  <w:num w:numId="267" w16cid:durableId="1958177438">
    <w:abstractNumId w:val="7"/>
  </w:num>
  <w:num w:numId="268" w16cid:durableId="684601180">
    <w:abstractNumId w:val="9"/>
  </w:num>
  <w:num w:numId="269" w16cid:durableId="2003310330">
    <w:abstractNumId w:val="0"/>
  </w:num>
  <w:num w:numId="270" w16cid:durableId="1241524862">
    <w:abstractNumId w:val="1"/>
  </w:num>
  <w:num w:numId="271" w16cid:durableId="1317955010">
    <w:abstractNumId w:val="2"/>
  </w:num>
  <w:num w:numId="272" w16cid:durableId="1191725715">
    <w:abstractNumId w:val="3"/>
  </w:num>
  <w:num w:numId="273" w16cid:durableId="363558372">
    <w:abstractNumId w:val="8"/>
  </w:num>
  <w:num w:numId="274" w16cid:durableId="1650744585">
    <w:abstractNumId w:val="4"/>
  </w:num>
  <w:num w:numId="275" w16cid:durableId="622728750">
    <w:abstractNumId w:val="5"/>
  </w:num>
  <w:num w:numId="276" w16cid:durableId="241571030">
    <w:abstractNumId w:val="6"/>
  </w:num>
  <w:num w:numId="277" w16cid:durableId="390274550">
    <w:abstractNumId w:val="7"/>
  </w:num>
  <w:num w:numId="278" w16cid:durableId="819004535">
    <w:abstractNumId w:val="9"/>
  </w:num>
  <w:num w:numId="279" w16cid:durableId="917908927">
    <w:abstractNumId w:val="0"/>
  </w:num>
  <w:num w:numId="280" w16cid:durableId="162670312">
    <w:abstractNumId w:val="1"/>
  </w:num>
  <w:num w:numId="281" w16cid:durableId="524253037">
    <w:abstractNumId w:val="2"/>
  </w:num>
  <w:num w:numId="282" w16cid:durableId="1252347513">
    <w:abstractNumId w:val="3"/>
  </w:num>
  <w:num w:numId="283" w16cid:durableId="1669746596">
    <w:abstractNumId w:val="8"/>
  </w:num>
  <w:num w:numId="284" w16cid:durableId="1922983495">
    <w:abstractNumId w:val="4"/>
  </w:num>
  <w:num w:numId="285" w16cid:durableId="1612279737">
    <w:abstractNumId w:val="5"/>
  </w:num>
  <w:num w:numId="286" w16cid:durableId="269971556">
    <w:abstractNumId w:val="6"/>
  </w:num>
  <w:num w:numId="287" w16cid:durableId="1448425082">
    <w:abstractNumId w:val="7"/>
  </w:num>
  <w:num w:numId="288" w16cid:durableId="1257443633">
    <w:abstractNumId w:val="9"/>
  </w:num>
  <w:num w:numId="289" w16cid:durableId="582764423">
    <w:abstractNumId w:val="0"/>
  </w:num>
  <w:num w:numId="290" w16cid:durableId="409885312">
    <w:abstractNumId w:val="1"/>
  </w:num>
  <w:num w:numId="291" w16cid:durableId="1345091822">
    <w:abstractNumId w:val="2"/>
  </w:num>
  <w:num w:numId="292" w16cid:durableId="1414470454">
    <w:abstractNumId w:val="3"/>
  </w:num>
  <w:num w:numId="293" w16cid:durableId="1873807254">
    <w:abstractNumId w:val="8"/>
  </w:num>
  <w:num w:numId="294" w16cid:durableId="99184624">
    <w:abstractNumId w:val="4"/>
  </w:num>
  <w:num w:numId="295" w16cid:durableId="544373246">
    <w:abstractNumId w:val="5"/>
  </w:num>
  <w:num w:numId="296" w16cid:durableId="242102944">
    <w:abstractNumId w:val="6"/>
  </w:num>
  <w:num w:numId="297" w16cid:durableId="1497186073">
    <w:abstractNumId w:val="7"/>
  </w:num>
  <w:num w:numId="298" w16cid:durableId="111100743">
    <w:abstractNumId w:val="9"/>
  </w:num>
  <w:num w:numId="299" w16cid:durableId="1868374089">
    <w:abstractNumId w:val="0"/>
  </w:num>
  <w:num w:numId="300" w16cid:durableId="1686514259">
    <w:abstractNumId w:val="1"/>
  </w:num>
  <w:num w:numId="301" w16cid:durableId="1028529866">
    <w:abstractNumId w:val="2"/>
  </w:num>
  <w:num w:numId="302" w16cid:durableId="429856497">
    <w:abstractNumId w:val="3"/>
  </w:num>
  <w:num w:numId="303" w16cid:durableId="508716874">
    <w:abstractNumId w:val="8"/>
  </w:num>
  <w:num w:numId="304" w16cid:durableId="661471062">
    <w:abstractNumId w:val="4"/>
  </w:num>
  <w:num w:numId="305" w16cid:durableId="996495135">
    <w:abstractNumId w:val="5"/>
  </w:num>
  <w:num w:numId="306" w16cid:durableId="95567542">
    <w:abstractNumId w:val="6"/>
  </w:num>
  <w:num w:numId="307" w16cid:durableId="1910996175">
    <w:abstractNumId w:val="7"/>
  </w:num>
  <w:num w:numId="308" w16cid:durableId="1944335945">
    <w:abstractNumId w:val="9"/>
  </w:num>
  <w:num w:numId="309" w16cid:durableId="1040133097">
    <w:abstractNumId w:val="0"/>
  </w:num>
  <w:num w:numId="310" w16cid:durableId="1251160813">
    <w:abstractNumId w:val="1"/>
  </w:num>
  <w:num w:numId="311" w16cid:durableId="182745876">
    <w:abstractNumId w:val="2"/>
  </w:num>
  <w:num w:numId="312" w16cid:durableId="1279725631">
    <w:abstractNumId w:val="3"/>
  </w:num>
  <w:num w:numId="313" w16cid:durableId="1492060854">
    <w:abstractNumId w:val="8"/>
  </w:num>
  <w:num w:numId="314" w16cid:durableId="664549694">
    <w:abstractNumId w:val="4"/>
  </w:num>
  <w:num w:numId="315" w16cid:durableId="1649627026">
    <w:abstractNumId w:val="5"/>
  </w:num>
  <w:num w:numId="316" w16cid:durableId="1088312969">
    <w:abstractNumId w:val="6"/>
  </w:num>
  <w:num w:numId="317" w16cid:durableId="570773706">
    <w:abstractNumId w:val="7"/>
  </w:num>
  <w:num w:numId="318" w16cid:durableId="1313750128">
    <w:abstractNumId w:val="9"/>
  </w:num>
  <w:num w:numId="319" w16cid:durableId="1031489129">
    <w:abstractNumId w:val="0"/>
  </w:num>
  <w:num w:numId="320" w16cid:durableId="814322">
    <w:abstractNumId w:val="1"/>
  </w:num>
  <w:num w:numId="321" w16cid:durableId="1887911926">
    <w:abstractNumId w:val="2"/>
  </w:num>
  <w:num w:numId="322" w16cid:durableId="181089778">
    <w:abstractNumId w:val="3"/>
  </w:num>
  <w:num w:numId="323" w16cid:durableId="668363341">
    <w:abstractNumId w:val="8"/>
  </w:num>
  <w:num w:numId="324" w16cid:durableId="827752152">
    <w:abstractNumId w:val="4"/>
  </w:num>
  <w:num w:numId="325" w16cid:durableId="1658075585">
    <w:abstractNumId w:val="5"/>
  </w:num>
  <w:num w:numId="326" w16cid:durableId="437411830">
    <w:abstractNumId w:val="6"/>
  </w:num>
  <w:num w:numId="327" w16cid:durableId="1276135061">
    <w:abstractNumId w:val="7"/>
  </w:num>
  <w:num w:numId="328" w16cid:durableId="1046181713">
    <w:abstractNumId w:val="9"/>
  </w:num>
  <w:num w:numId="329" w16cid:durableId="850871977">
    <w:abstractNumId w:val="0"/>
  </w:num>
  <w:num w:numId="330" w16cid:durableId="2036269382">
    <w:abstractNumId w:val="1"/>
  </w:num>
  <w:num w:numId="331" w16cid:durableId="1061947826">
    <w:abstractNumId w:val="2"/>
  </w:num>
  <w:num w:numId="332" w16cid:durableId="731927738">
    <w:abstractNumId w:val="3"/>
  </w:num>
  <w:num w:numId="333" w16cid:durableId="316081412">
    <w:abstractNumId w:val="8"/>
  </w:num>
  <w:num w:numId="334" w16cid:durableId="1334255911">
    <w:abstractNumId w:val="4"/>
  </w:num>
  <w:num w:numId="335" w16cid:durableId="758603072">
    <w:abstractNumId w:val="5"/>
  </w:num>
  <w:num w:numId="336" w16cid:durableId="1513907999">
    <w:abstractNumId w:val="6"/>
  </w:num>
  <w:num w:numId="337" w16cid:durableId="1105465911">
    <w:abstractNumId w:val="7"/>
  </w:num>
  <w:num w:numId="338" w16cid:durableId="1003048057">
    <w:abstractNumId w:val="9"/>
  </w:num>
  <w:num w:numId="339" w16cid:durableId="692342559">
    <w:abstractNumId w:val="0"/>
  </w:num>
  <w:num w:numId="340" w16cid:durableId="1179852457">
    <w:abstractNumId w:val="1"/>
  </w:num>
  <w:num w:numId="341" w16cid:durableId="403142872">
    <w:abstractNumId w:val="2"/>
  </w:num>
  <w:num w:numId="342" w16cid:durableId="1512720878">
    <w:abstractNumId w:val="3"/>
  </w:num>
  <w:num w:numId="343" w16cid:durableId="1503282062">
    <w:abstractNumId w:val="8"/>
  </w:num>
  <w:num w:numId="344" w16cid:durableId="1175532882">
    <w:abstractNumId w:val="4"/>
  </w:num>
  <w:num w:numId="345" w16cid:durableId="1106654208">
    <w:abstractNumId w:val="5"/>
  </w:num>
  <w:num w:numId="346" w16cid:durableId="964240625">
    <w:abstractNumId w:val="6"/>
  </w:num>
  <w:num w:numId="347" w16cid:durableId="233049795">
    <w:abstractNumId w:val="7"/>
  </w:num>
  <w:num w:numId="348" w16cid:durableId="1768769125">
    <w:abstractNumId w:val="9"/>
  </w:num>
  <w:num w:numId="349" w16cid:durableId="559292539">
    <w:abstractNumId w:val="0"/>
  </w:num>
  <w:num w:numId="350" w16cid:durableId="1571387868">
    <w:abstractNumId w:val="1"/>
  </w:num>
  <w:num w:numId="351" w16cid:durableId="1975064740">
    <w:abstractNumId w:val="2"/>
  </w:num>
  <w:num w:numId="352" w16cid:durableId="1243296579">
    <w:abstractNumId w:val="3"/>
  </w:num>
  <w:num w:numId="353" w16cid:durableId="1005354283">
    <w:abstractNumId w:val="8"/>
  </w:num>
  <w:num w:numId="354" w16cid:durableId="1817185057">
    <w:abstractNumId w:val="4"/>
  </w:num>
  <w:num w:numId="355" w16cid:durableId="1132213671">
    <w:abstractNumId w:val="5"/>
  </w:num>
  <w:num w:numId="356" w16cid:durableId="426267403">
    <w:abstractNumId w:val="6"/>
  </w:num>
  <w:num w:numId="357" w16cid:durableId="2092845771">
    <w:abstractNumId w:val="7"/>
  </w:num>
  <w:num w:numId="358" w16cid:durableId="1116215670">
    <w:abstractNumId w:val="9"/>
  </w:num>
  <w:num w:numId="359" w16cid:durableId="616253489">
    <w:abstractNumId w:val="0"/>
  </w:num>
  <w:num w:numId="360" w16cid:durableId="1142113612">
    <w:abstractNumId w:val="1"/>
  </w:num>
  <w:num w:numId="361" w16cid:durableId="327682283">
    <w:abstractNumId w:val="2"/>
  </w:num>
  <w:num w:numId="362" w16cid:durableId="1994798701">
    <w:abstractNumId w:val="3"/>
  </w:num>
  <w:num w:numId="363" w16cid:durableId="60176844">
    <w:abstractNumId w:val="8"/>
  </w:num>
  <w:num w:numId="364" w16cid:durableId="2141651319">
    <w:abstractNumId w:val="4"/>
  </w:num>
  <w:num w:numId="365" w16cid:durableId="916406625">
    <w:abstractNumId w:val="5"/>
  </w:num>
  <w:num w:numId="366" w16cid:durableId="732391459">
    <w:abstractNumId w:val="6"/>
  </w:num>
  <w:num w:numId="367" w16cid:durableId="1072042166">
    <w:abstractNumId w:val="7"/>
  </w:num>
  <w:num w:numId="368" w16cid:durableId="637607131">
    <w:abstractNumId w:val="9"/>
  </w:num>
  <w:num w:numId="369" w16cid:durableId="299505148">
    <w:abstractNumId w:val="0"/>
  </w:num>
  <w:num w:numId="370" w16cid:durableId="750080568">
    <w:abstractNumId w:val="1"/>
  </w:num>
  <w:num w:numId="371" w16cid:durableId="962273965">
    <w:abstractNumId w:val="2"/>
  </w:num>
  <w:num w:numId="372" w16cid:durableId="67770124">
    <w:abstractNumId w:val="3"/>
  </w:num>
  <w:num w:numId="373" w16cid:durableId="921915063">
    <w:abstractNumId w:val="8"/>
  </w:num>
  <w:num w:numId="374" w16cid:durableId="346181525">
    <w:abstractNumId w:val="4"/>
  </w:num>
  <w:num w:numId="375" w16cid:durableId="835878639">
    <w:abstractNumId w:val="5"/>
  </w:num>
  <w:num w:numId="376" w16cid:durableId="238911074">
    <w:abstractNumId w:val="6"/>
  </w:num>
  <w:num w:numId="377" w16cid:durableId="1931236166">
    <w:abstractNumId w:val="7"/>
  </w:num>
  <w:num w:numId="378" w16cid:durableId="1115364626">
    <w:abstractNumId w:val="9"/>
  </w:num>
  <w:num w:numId="379" w16cid:durableId="1763453769">
    <w:abstractNumId w:val="0"/>
  </w:num>
  <w:num w:numId="380" w16cid:durableId="762727368">
    <w:abstractNumId w:val="1"/>
  </w:num>
  <w:num w:numId="381" w16cid:durableId="951323074">
    <w:abstractNumId w:val="2"/>
  </w:num>
  <w:num w:numId="382" w16cid:durableId="1570191516">
    <w:abstractNumId w:val="3"/>
  </w:num>
  <w:num w:numId="383" w16cid:durableId="466237490">
    <w:abstractNumId w:val="8"/>
  </w:num>
  <w:num w:numId="384" w16cid:durableId="947741640">
    <w:abstractNumId w:val="4"/>
  </w:num>
  <w:num w:numId="385" w16cid:durableId="92559933">
    <w:abstractNumId w:val="5"/>
  </w:num>
  <w:num w:numId="386" w16cid:durableId="1035304673">
    <w:abstractNumId w:val="6"/>
  </w:num>
  <w:num w:numId="387" w16cid:durableId="1055012956">
    <w:abstractNumId w:val="7"/>
  </w:num>
  <w:num w:numId="388" w16cid:durableId="1913615335">
    <w:abstractNumId w:val="9"/>
  </w:num>
  <w:num w:numId="389" w16cid:durableId="2048942820">
    <w:abstractNumId w:val="0"/>
  </w:num>
  <w:num w:numId="390" w16cid:durableId="1556745231">
    <w:abstractNumId w:val="1"/>
  </w:num>
  <w:num w:numId="391" w16cid:durableId="892235004">
    <w:abstractNumId w:val="2"/>
  </w:num>
  <w:num w:numId="392" w16cid:durableId="606736828">
    <w:abstractNumId w:val="3"/>
  </w:num>
  <w:num w:numId="393" w16cid:durableId="356933961">
    <w:abstractNumId w:val="8"/>
  </w:num>
  <w:num w:numId="394" w16cid:durableId="2066176500">
    <w:abstractNumId w:val="4"/>
  </w:num>
  <w:num w:numId="395" w16cid:durableId="2138792104">
    <w:abstractNumId w:val="5"/>
  </w:num>
  <w:num w:numId="396" w16cid:durableId="336229659">
    <w:abstractNumId w:val="6"/>
  </w:num>
  <w:num w:numId="397" w16cid:durableId="1595628875">
    <w:abstractNumId w:val="7"/>
  </w:num>
  <w:num w:numId="398" w16cid:durableId="393897782">
    <w:abstractNumId w:val="9"/>
  </w:num>
  <w:num w:numId="399" w16cid:durableId="957220788">
    <w:abstractNumId w:val="0"/>
  </w:num>
  <w:num w:numId="400" w16cid:durableId="1254822092">
    <w:abstractNumId w:val="1"/>
  </w:num>
  <w:num w:numId="401" w16cid:durableId="998072883">
    <w:abstractNumId w:val="2"/>
  </w:num>
  <w:num w:numId="402" w16cid:durableId="535973778">
    <w:abstractNumId w:val="3"/>
  </w:num>
  <w:num w:numId="403" w16cid:durableId="213154695">
    <w:abstractNumId w:val="8"/>
  </w:num>
  <w:num w:numId="404" w16cid:durableId="297032184">
    <w:abstractNumId w:val="4"/>
  </w:num>
  <w:num w:numId="405" w16cid:durableId="1203399367">
    <w:abstractNumId w:val="5"/>
  </w:num>
  <w:num w:numId="406" w16cid:durableId="1284386009">
    <w:abstractNumId w:val="6"/>
  </w:num>
  <w:num w:numId="407" w16cid:durableId="1907839066">
    <w:abstractNumId w:val="7"/>
  </w:num>
  <w:num w:numId="408" w16cid:durableId="169488278">
    <w:abstractNumId w:val="9"/>
  </w:num>
  <w:num w:numId="409" w16cid:durableId="1439984955">
    <w:abstractNumId w:val="0"/>
  </w:num>
  <w:num w:numId="410" w16cid:durableId="633175557">
    <w:abstractNumId w:val="1"/>
  </w:num>
  <w:num w:numId="411" w16cid:durableId="1313557361">
    <w:abstractNumId w:val="2"/>
  </w:num>
  <w:num w:numId="412" w16cid:durableId="1894583048">
    <w:abstractNumId w:val="3"/>
  </w:num>
  <w:num w:numId="413" w16cid:durableId="2085715191">
    <w:abstractNumId w:val="8"/>
  </w:num>
  <w:num w:numId="414" w16cid:durableId="1866211888">
    <w:abstractNumId w:val="4"/>
  </w:num>
  <w:num w:numId="415" w16cid:durableId="942107006">
    <w:abstractNumId w:val="5"/>
  </w:num>
  <w:num w:numId="416" w16cid:durableId="1472744311">
    <w:abstractNumId w:val="6"/>
  </w:num>
  <w:num w:numId="417" w16cid:durableId="699934819">
    <w:abstractNumId w:val="7"/>
  </w:num>
  <w:num w:numId="418" w16cid:durableId="475801101">
    <w:abstractNumId w:val="9"/>
  </w:num>
  <w:num w:numId="419" w16cid:durableId="1077939162">
    <w:abstractNumId w:val="0"/>
  </w:num>
  <w:num w:numId="420" w16cid:durableId="113911031">
    <w:abstractNumId w:val="1"/>
  </w:num>
  <w:num w:numId="421" w16cid:durableId="1220558975">
    <w:abstractNumId w:val="2"/>
  </w:num>
  <w:num w:numId="422" w16cid:durableId="2100787428">
    <w:abstractNumId w:val="3"/>
  </w:num>
  <w:num w:numId="423" w16cid:durableId="561671984">
    <w:abstractNumId w:val="8"/>
  </w:num>
  <w:num w:numId="424" w16cid:durableId="713579414">
    <w:abstractNumId w:val="4"/>
  </w:num>
  <w:num w:numId="425" w16cid:durableId="1759984932">
    <w:abstractNumId w:val="5"/>
  </w:num>
  <w:num w:numId="426" w16cid:durableId="67895620">
    <w:abstractNumId w:val="6"/>
  </w:num>
  <w:num w:numId="427" w16cid:durableId="669403856">
    <w:abstractNumId w:val="7"/>
  </w:num>
  <w:num w:numId="428" w16cid:durableId="119611658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31E"/>
    <w:rsid w:val="00002668"/>
    <w:rsid w:val="00003743"/>
    <w:rsid w:val="000077FA"/>
    <w:rsid w:val="0001053B"/>
    <w:rsid w:val="00011096"/>
    <w:rsid w:val="00012782"/>
    <w:rsid w:val="00020DBD"/>
    <w:rsid w:val="00025A92"/>
    <w:rsid w:val="0003162D"/>
    <w:rsid w:val="00036F5E"/>
    <w:rsid w:val="000406F8"/>
    <w:rsid w:val="00043671"/>
    <w:rsid w:val="00043D10"/>
    <w:rsid w:val="00050775"/>
    <w:rsid w:val="00054B74"/>
    <w:rsid w:val="00064D18"/>
    <w:rsid w:val="00067456"/>
    <w:rsid w:val="00067CE9"/>
    <w:rsid w:val="00070812"/>
    <w:rsid w:val="0008065C"/>
    <w:rsid w:val="00090EFF"/>
    <w:rsid w:val="00091FC5"/>
    <w:rsid w:val="00092229"/>
    <w:rsid w:val="00095DA6"/>
    <w:rsid w:val="00095DC5"/>
    <w:rsid w:val="000A3F0D"/>
    <w:rsid w:val="000A4C01"/>
    <w:rsid w:val="000A6B18"/>
    <w:rsid w:val="000B0274"/>
    <w:rsid w:val="000B0BFE"/>
    <w:rsid w:val="000B4610"/>
    <w:rsid w:val="000B79D3"/>
    <w:rsid w:val="000C1722"/>
    <w:rsid w:val="000C1DD4"/>
    <w:rsid w:val="000C5B0F"/>
    <w:rsid w:val="000C7A69"/>
    <w:rsid w:val="000D017D"/>
    <w:rsid w:val="000D108E"/>
    <w:rsid w:val="000D6405"/>
    <w:rsid w:val="000D7CCD"/>
    <w:rsid w:val="000E2F2E"/>
    <w:rsid w:val="000E54FD"/>
    <w:rsid w:val="000E7ADF"/>
    <w:rsid w:val="000F0276"/>
    <w:rsid w:val="000F0D77"/>
    <w:rsid w:val="000F29C7"/>
    <w:rsid w:val="000F7E8E"/>
    <w:rsid w:val="00102329"/>
    <w:rsid w:val="00102832"/>
    <w:rsid w:val="0010673D"/>
    <w:rsid w:val="00106CF5"/>
    <w:rsid w:val="00113181"/>
    <w:rsid w:val="00115403"/>
    <w:rsid w:val="00115E61"/>
    <w:rsid w:val="00120FCB"/>
    <w:rsid w:val="001314D4"/>
    <w:rsid w:val="00131E52"/>
    <w:rsid w:val="00136000"/>
    <w:rsid w:val="00140002"/>
    <w:rsid w:val="00143A76"/>
    <w:rsid w:val="00145BE3"/>
    <w:rsid w:val="00146A66"/>
    <w:rsid w:val="001507C6"/>
    <w:rsid w:val="00157938"/>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352F"/>
    <w:rsid w:val="001A4889"/>
    <w:rsid w:val="001A4A68"/>
    <w:rsid w:val="001B15D1"/>
    <w:rsid w:val="001B3443"/>
    <w:rsid w:val="001B7C8B"/>
    <w:rsid w:val="001D0D87"/>
    <w:rsid w:val="001D709F"/>
    <w:rsid w:val="001E1042"/>
    <w:rsid w:val="001E38B8"/>
    <w:rsid w:val="001E77C4"/>
    <w:rsid w:val="001F6D10"/>
    <w:rsid w:val="002165D8"/>
    <w:rsid w:val="002255F7"/>
    <w:rsid w:val="00226A26"/>
    <w:rsid w:val="0023112B"/>
    <w:rsid w:val="0023231A"/>
    <w:rsid w:val="00237ADF"/>
    <w:rsid w:val="00245D81"/>
    <w:rsid w:val="00246CC1"/>
    <w:rsid w:val="0024767D"/>
    <w:rsid w:val="002503C3"/>
    <w:rsid w:val="00251167"/>
    <w:rsid w:val="002550A7"/>
    <w:rsid w:val="00255596"/>
    <w:rsid w:val="00255DCB"/>
    <w:rsid w:val="00261F43"/>
    <w:rsid w:val="002625FB"/>
    <w:rsid w:val="00263A63"/>
    <w:rsid w:val="00264387"/>
    <w:rsid w:val="00264A5A"/>
    <w:rsid w:val="00265595"/>
    <w:rsid w:val="002662B4"/>
    <w:rsid w:val="0026675D"/>
    <w:rsid w:val="00267635"/>
    <w:rsid w:val="00277A59"/>
    <w:rsid w:val="00280BD7"/>
    <w:rsid w:val="0028150E"/>
    <w:rsid w:val="00281FD4"/>
    <w:rsid w:val="0028251F"/>
    <w:rsid w:val="002851F2"/>
    <w:rsid w:val="00291EBD"/>
    <w:rsid w:val="0029365E"/>
    <w:rsid w:val="00293CDE"/>
    <w:rsid w:val="0029475B"/>
    <w:rsid w:val="002A3AFE"/>
    <w:rsid w:val="002B1E05"/>
    <w:rsid w:val="002B2C49"/>
    <w:rsid w:val="002B2D37"/>
    <w:rsid w:val="002C1CA0"/>
    <w:rsid w:val="002C6AF0"/>
    <w:rsid w:val="002C6E07"/>
    <w:rsid w:val="002D0EB0"/>
    <w:rsid w:val="002D247E"/>
    <w:rsid w:val="002E195D"/>
    <w:rsid w:val="002E29E0"/>
    <w:rsid w:val="002E2DBA"/>
    <w:rsid w:val="002E3986"/>
    <w:rsid w:val="002E6A48"/>
    <w:rsid w:val="002E7082"/>
    <w:rsid w:val="002F0242"/>
    <w:rsid w:val="002F3AE3"/>
    <w:rsid w:val="002F7E6F"/>
    <w:rsid w:val="00301DC7"/>
    <w:rsid w:val="00306045"/>
    <w:rsid w:val="00307247"/>
    <w:rsid w:val="0030786C"/>
    <w:rsid w:val="00312A62"/>
    <w:rsid w:val="00316683"/>
    <w:rsid w:val="00316F58"/>
    <w:rsid w:val="003255A5"/>
    <w:rsid w:val="00330477"/>
    <w:rsid w:val="00341A36"/>
    <w:rsid w:val="00341BEE"/>
    <w:rsid w:val="00343286"/>
    <w:rsid w:val="0034680F"/>
    <w:rsid w:val="00347859"/>
    <w:rsid w:val="0035066E"/>
    <w:rsid w:val="00350BE1"/>
    <w:rsid w:val="00352AA7"/>
    <w:rsid w:val="00354C8E"/>
    <w:rsid w:val="003657DB"/>
    <w:rsid w:val="0036588B"/>
    <w:rsid w:val="00370326"/>
    <w:rsid w:val="00380792"/>
    <w:rsid w:val="003808E4"/>
    <w:rsid w:val="0038248B"/>
    <w:rsid w:val="00386683"/>
    <w:rsid w:val="003873C6"/>
    <w:rsid w:val="00392002"/>
    <w:rsid w:val="00392A85"/>
    <w:rsid w:val="00396AFB"/>
    <w:rsid w:val="003A0131"/>
    <w:rsid w:val="003A0F75"/>
    <w:rsid w:val="003A2D7B"/>
    <w:rsid w:val="003A70CE"/>
    <w:rsid w:val="003B2EA8"/>
    <w:rsid w:val="003C297A"/>
    <w:rsid w:val="003C540E"/>
    <w:rsid w:val="003C5F0C"/>
    <w:rsid w:val="003C7AAA"/>
    <w:rsid w:val="003D1577"/>
    <w:rsid w:val="003D17F9"/>
    <w:rsid w:val="003D3806"/>
    <w:rsid w:val="003D437B"/>
    <w:rsid w:val="003D452E"/>
    <w:rsid w:val="003D4829"/>
    <w:rsid w:val="003E197F"/>
    <w:rsid w:val="003E6E73"/>
    <w:rsid w:val="003E76C8"/>
    <w:rsid w:val="003F0D94"/>
    <w:rsid w:val="003F3F0B"/>
    <w:rsid w:val="0040152C"/>
    <w:rsid w:val="00402CBA"/>
    <w:rsid w:val="00412E9D"/>
    <w:rsid w:val="00414952"/>
    <w:rsid w:val="00420279"/>
    <w:rsid w:val="00423210"/>
    <w:rsid w:val="004238EC"/>
    <w:rsid w:val="00425504"/>
    <w:rsid w:val="0042727E"/>
    <w:rsid w:val="0043052C"/>
    <w:rsid w:val="004305D6"/>
    <w:rsid w:val="0043115F"/>
    <w:rsid w:val="00436E29"/>
    <w:rsid w:val="004377EE"/>
    <w:rsid w:val="00440CC0"/>
    <w:rsid w:val="00440D73"/>
    <w:rsid w:val="004428EA"/>
    <w:rsid w:val="004437F3"/>
    <w:rsid w:val="00447D31"/>
    <w:rsid w:val="00452849"/>
    <w:rsid w:val="00455560"/>
    <w:rsid w:val="00456385"/>
    <w:rsid w:val="0045769C"/>
    <w:rsid w:val="00465AB0"/>
    <w:rsid w:val="00470AB8"/>
    <w:rsid w:val="004713D1"/>
    <w:rsid w:val="0047708D"/>
    <w:rsid w:val="00477E9B"/>
    <w:rsid w:val="00482ECA"/>
    <w:rsid w:val="004832A0"/>
    <w:rsid w:val="00485776"/>
    <w:rsid w:val="00485794"/>
    <w:rsid w:val="004867E2"/>
    <w:rsid w:val="00486826"/>
    <w:rsid w:val="0048784D"/>
    <w:rsid w:val="0049282A"/>
    <w:rsid w:val="00493AA0"/>
    <w:rsid w:val="004A0670"/>
    <w:rsid w:val="004A4851"/>
    <w:rsid w:val="004A5C81"/>
    <w:rsid w:val="004B0417"/>
    <w:rsid w:val="004B2198"/>
    <w:rsid w:val="004B2999"/>
    <w:rsid w:val="004C04EB"/>
    <w:rsid w:val="004C3664"/>
    <w:rsid w:val="004C4927"/>
    <w:rsid w:val="004C6833"/>
    <w:rsid w:val="004C798E"/>
    <w:rsid w:val="004E067A"/>
    <w:rsid w:val="004E179B"/>
    <w:rsid w:val="004E2389"/>
    <w:rsid w:val="004E50C2"/>
    <w:rsid w:val="004E58C1"/>
    <w:rsid w:val="004F412D"/>
    <w:rsid w:val="005008B6"/>
    <w:rsid w:val="00505824"/>
    <w:rsid w:val="00514B85"/>
    <w:rsid w:val="0051563D"/>
    <w:rsid w:val="00515733"/>
    <w:rsid w:val="005179C7"/>
    <w:rsid w:val="0052107C"/>
    <w:rsid w:val="005221B7"/>
    <w:rsid w:val="00526689"/>
    <w:rsid w:val="00530100"/>
    <w:rsid w:val="005334BA"/>
    <w:rsid w:val="00536E0C"/>
    <w:rsid w:val="005408C7"/>
    <w:rsid w:val="005422E7"/>
    <w:rsid w:val="005437FD"/>
    <w:rsid w:val="00544A4E"/>
    <w:rsid w:val="00547358"/>
    <w:rsid w:val="00553E33"/>
    <w:rsid w:val="00555C4C"/>
    <w:rsid w:val="00555D6E"/>
    <w:rsid w:val="00562F72"/>
    <w:rsid w:val="0056304B"/>
    <w:rsid w:val="00565356"/>
    <w:rsid w:val="00566B97"/>
    <w:rsid w:val="00570C6C"/>
    <w:rsid w:val="005814C9"/>
    <w:rsid w:val="00584334"/>
    <w:rsid w:val="00584921"/>
    <w:rsid w:val="00586C8D"/>
    <w:rsid w:val="00591A14"/>
    <w:rsid w:val="0059380A"/>
    <w:rsid w:val="0059724C"/>
    <w:rsid w:val="005A1AA7"/>
    <w:rsid w:val="005A4D0B"/>
    <w:rsid w:val="005A61B4"/>
    <w:rsid w:val="005A65E0"/>
    <w:rsid w:val="005A735B"/>
    <w:rsid w:val="005B04D8"/>
    <w:rsid w:val="005B47A2"/>
    <w:rsid w:val="005C1496"/>
    <w:rsid w:val="005C25C5"/>
    <w:rsid w:val="005C5EF4"/>
    <w:rsid w:val="005C6AAE"/>
    <w:rsid w:val="005D1073"/>
    <w:rsid w:val="005D1804"/>
    <w:rsid w:val="005D2770"/>
    <w:rsid w:val="005D35C9"/>
    <w:rsid w:val="005D5D06"/>
    <w:rsid w:val="005D62B5"/>
    <w:rsid w:val="005E1C0C"/>
    <w:rsid w:val="005E2614"/>
    <w:rsid w:val="005E7144"/>
    <w:rsid w:val="005F1E4A"/>
    <w:rsid w:val="005F6699"/>
    <w:rsid w:val="00604583"/>
    <w:rsid w:val="00607B0B"/>
    <w:rsid w:val="00611870"/>
    <w:rsid w:val="00614E29"/>
    <w:rsid w:val="0062216A"/>
    <w:rsid w:val="00625634"/>
    <w:rsid w:val="00625EC1"/>
    <w:rsid w:val="00626F7D"/>
    <w:rsid w:val="00630199"/>
    <w:rsid w:val="006317C9"/>
    <w:rsid w:val="00632475"/>
    <w:rsid w:val="00632C35"/>
    <w:rsid w:val="006340B0"/>
    <w:rsid w:val="006351C3"/>
    <w:rsid w:val="00641773"/>
    <w:rsid w:val="00641CB0"/>
    <w:rsid w:val="0064239F"/>
    <w:rsid w:val="00643591"/>
    <w:rsid w:val="006456F1"/>
    <w:rsid w:val="00656A90"/>
    <w:rsid w:val="00657DD2"/>
    <w:rsid w:val="00664B6D"/>
    <w:rsid w:val="00664CFB"/>
    <w:rsid w:val="00664F67"/>
    <w:rsid w:val="006655E2"/>
    <w:rsid w:val="00667658"/>
    <w:rsid w:val="00667DB2"/>
    <w:rsid w:val="0067020B"/>
    <w:rsid w:val="00670F54"/>
    <w:rsid w:val="006728F9"/>
    <w:rsid w:val="006746DA"/>
    <w:rsid w:val="006765C3"/>
    <w:rsid w:val="006767BC"/>
    <w:rsid w:val="006803BA"/>
    <w:rsid w:val="0068305C"/>
    <w:rsid w:val="00683E87"/>
    <w:rsid w:val="00692026"/>
    <w:rsid w:val="006922F5"/>
    <w:rsid w:val="006947D9"/>
    <w:rsid w:val="00694A68"/>
    <w:rsid w:val="006A16DD"/>
    <w:rsid w:val="006A2587"/>
    <w:rsid w:val="006B3CFC"/>
    <w:rsid w:val="006B4CC8"/>
    <w:rsid w:val="006B7785"/>
    <w:rsid w:val="006C0CD8"/>
    <w:rsid w:val="006C2C59"/>
    <w:rsid w:val="006C5AEE"/>
    <w:rsid w:val="006C679A"/>
    <w:rsid w:val="006D09FE"/>
    <w:rsid w:val="006D0C40"/>
    <w:rsid w:val="006D15C1"/>
    <w:rsid w:val="006D732F"/>
    <w:rsid w:val="006E092E"/>
    <w:rsid w:val="006E3C53"/>
    <w:rsid w:val="006E4597"/>
    <w:rsid w:val="006E688D"/>
    <w:rsid w:val="006F1432"/>
    <w:rsid w:val="006F2DBD"/>
    <w:rsid w:val="006F5F74"/>
    <w:rsid w:val="006F7264"/>
    <w:rsid w:val="006F7964"/>
    <w:rsid w:val="007028EC"/>
    <w:rsid w:val="007035D8"/>
    <w:rsid w:val="00703853"/>
    <w:rsid w:val="0070703E"/>
    <w:rsid w:val="00707D22"/>
    <w:rsid w:val="007103BE"/>
    <w:rsid w:val="007111E3"/>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017"/>
    <w:rsid w:val="007406E6"/>
    <w:rsid w:val="007441A7"/>
    <w:rsid w:val="00745DC9"/>
    <w:rsid w:val="00746CCD"/>
    <w:rsid w:val="00747CE1"/>
    <w:rsid w:val="007517A6"/>
    <w:rsid w:val="007545C7"/>
    <w:rsid w:val="007551C0"/>
    <w:rsid w:val="00756EB9"/>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C7042"/>
    <w:rsid w:val="007D4258"/>
    <w:rsid w:val="007E000D"/>
    <w:rsid w:val="007E175B"/>
    <w:rsid w:val="007E3F8A"/>
    <w:rsid w:val="007E5FAA"/>
    <w:rsid w:val="007E6FBE"/>
    <w:rsid w:val="007F3645"/>
    <w:rsid w:val="007F5813"/>
    <w:rsid w:val="007F58DD"/>
    <w:rsid w:val="007F6791"/>
    <w:rsid w:val="00802131"/>
    <w:rsid w:val="0080530E"/>
    <w:rsid w:val="00805E44"/>
    <w:rsid w:val="008104D7"/>
    <w:rsid w:val="00811C26"/>
    <w:rsid w:val="00812A44"/>
    <w:rsid w:val="00820059"/>
    <w:rsid w:val="008264EB"/>
    <w:rsid w:val="00827924"/>
    <w:rsid w:val="00830756"/>
    <w:rsid w:val="00837A90"/>
    <w:rsid w:val="00842A6F"/>
    <w:rsid w:val="00855A49"/>
    <w:rsid w:val="00856DF5"/>
    <w:rsid w:val="00857E76"/>
    <w:rsid w:val="0086059A"/>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C2348"/>
    <w:rsid w:val="008D09DE"/>
    <w:rsid w:val="008D29A4"/>
    <w:rsid w:val="008D2FF8"/>
    <w:rsid w:val="008D5AFD"/>
    <w:rsid w:val="008E0FEF"/>
    <w:rsid w:val="008E2E35"/>
    <w:rsid w:val="008E3658"/>
    <w:rsid w:val="008E59EB"/>
    <w:rsid w:val="008E5D6A"/>
    <w:rsid w:val="008F26C0"/>
    <w:rsid w:val="008F30D1"/>
    <w:rsid w:val="00901462"/>
    <w:rsid w:val="00901D6C"/>
    <w:rsid w:val="00902A76"/>
    <w:rsid w:val="0090304F"/>
    <w:rsid w:val="00904474"/>
    <w:rsid w:val="0091137C"/>
    <w:rsid w:val="0091384C"/>
    <w:rsid w:val="009213F3"/>
    <w:rsid w:val="0092204C"/>
    <w:rsid w:val="00922DEE"/>
    <w:rsid w:val="009238AA"/>
    <w:rsid w:val="009244B8"/>
    <w:rsid w:val="00925748"/>
    <w:rsid w:val="00927866"/>
    <w:rsid w:val="00932407"/>
    <w:rsid w:val="00933B21"/>
    <w:rsid w:val="00933EC2"/>
    <w:rsid w:val="00941048"/>
    <w:rsid w:val="009421F2"/>
    <w:rsid w:val="009424A5"/>
    <w:rsid w:val="009456E6"/>
    <w:rsid w:val="00950089"/>
    <w:rsid w:val="0095539D"/>
    <w:rsid w:val="00957AD0"/>
    <w:rsid w:val="00957E88"/>
    <w:rsid w:val="00961B39"/>
    <w:rsid w:val="00961FBE"/>
    <w:rsid w:val="00964277"/>
    <w:rsid w:val="009739AC"/>
    <w:rsid w:val="00975715"/>
    <w:rsid w:val="0097582E"/>
    <w:rsid w:val="00977D26"/>
    <w:rsid w:val="00977E26"/>
    <w:rsid w:val="009805EC"/>
    <w:rsid w:val="00984227"/>
    <w:rsid w:val="009904EA"/>
    <w:rsid w:val="00991AF5"/>
    <w:rsid w:val="0099343F"/>
    <w:rsid w:val="0099497F"/>
    <w:rsid w:val="00995094"/>
    <w:rsid w:val="009A007B"/>
    <w:rsid w:val="009A0425"/>
    <w:rsid w:val="009A0791"/>
    <w:rsid w:val="009A263C"/>
    <w:rsid w:val="009B001C"/>
    <w:rsid w:val="009B053D"/>
    <w:rsid w:val="009B3E5D"/>
    <w:rsid w:val="009B64E3"/>
    <w:rsid w:val="009C5964"/>
    <w:rsid w:val="009C672E"/>
    <w:rsid w:val="009C77A3"/>
    <w:rsid w:val="009D0B90"/>
    <w:rsid w:val="009D13D6"/>
    <w:rsid w:val="009D3827"/>
    <w:rsid w:val="009D6852"/>
    <w:rsid w:val="009E0725"/>
    <w:rsid w:val="009E0D48"/>
    <w:rsid w:val="009E1F38"/>
    <w:rsid w:val="009E5D18"/>
    <w:rsid w:val="009E6B78"/>
    <w:rsid w:val="009E6D37"/>
    <w:rsid w:val="009F0AC1"/>
    <w:rsid w:val="009F1EC9"/>
    <w:rsid w:val="009F2FAD"/>
    <w:rsid w:val="009F32E2"/>
    <w:rsid w:val="009F33F8"/>
    <w:rsid w:val="009F4ACF"/>
    <w:rsid w:val="009F5557"/>
    <w:rsid w:val="009F7864"/>
    <w:rsid w:val="00A027DE"/>
    <w:rsid w:val="00A02BFF"/>
    <w:rsid w:val="00A0554C"/>
    <w:rsid w:val="00A06D27"/>
    <w:rsid w:val="00A1015B"/>
    <w:rsid w:val="00A120D4"/>
    <w:rsid w:val="00A135F1"/>
    <w:rsid w:val="00A139AB"/>
    <w:rsid w:val="00A15082"/>
    <w:rsid w:val="00A16AEE"/>
    <w:rsid w:val="00A16B43"/>
    <w:rsid w:val="00A21AC7"/>
    <w:rsid w:val="00A27285"/>
    <w:rsid w:val="00A301DF"/>
    <w:rsid w:val="00A3623B"/>
    <w:rsid w:val="00A369E8"/>
    <w:rsid w:val="00A4199A"/>
    <w:rsid w:val="00A4512D"/>
    <w:rsid w:val="00A541E1"/>
    <w:rsid w:val="00A54775"/>
    <w:rsid w:val="00A5502C"/>
    <w:rsid w:val="00A5694A"/>
    <w:rsid w:val="00A61D70"/>
    <w:rsid w:val="00A64D9B"/>
    <w:rsid w:val="00A65795"/>
    <w:rsid w:val="00A6672E"/>
    <w:rsid w:val="00A705AF"/>
    <w:rsid w:val="00A7126D"/>
    <w:rsid w:val="00A73C2F"/>
    <w:rsid w:val="00A75B58"/>
    <w:rsid w:val="00A77349"/>
    <w:rsid w:val="00A81D72"/>
    <w:rsid w:val="00A83572"/>
    <w:rsid w:val="00A931E2"/>
    <w:rsid w:val="00A93A18"/>
    <w:rsid w:val="00A964DB"/>
    <w:rsid w:val="00A96DED"/>
    <w:rsid w:val="00AA0055"/>
    <w:rsid w:val="00AA0A90"/>
    <w:rsid w:val="00AA3A3E"/>
    <w:rsid w:val="00AA603A"/>
    <w:rsid w:val="00AA6DC2"/>
    <w:rsid w:val="00AA6F73"/>
    <w:rsid w:val="00AA7B58"/>
    <w:rsid w:val="00AB0A6E"/>
    <w:rsid w:val="00AB40AB"/>
    <w:rsid w:val="00AB64E5"/>
    <w:rsid w:val="00AB6E76"/>
    <w:rsid w:val="00AB6ED9"/>
    <w:rsid w:val="00AB6F9B"/>
    <w:rsid w:val="00AC1E2C"/>
    <w:rsid w:val="00AC5816"/>
    <w:rsid w:val="00AC637F"/>
    <w:rsid w:val="00AC7883"/>
    <w:rsid w:val="00AD01B4"/>
    <w:rsid w:val="00AD055C"/>
    <w:rsid w:val="00AD50C6"/>
    <w:rsid w:val="00AD52A0"/>
    <w:rsid w:val="00AD5717"/>
    <w:rsid w:val="00AE05BB"/>
    <w:rsid w:val="00AE0BA6"/>
    <w:rsid w:val="00AE3267"/>
    <w:rsid w:val="00AF6154"/>
    <w:rsid w:val="00B06993"/>
    <w:rsid w:val="00B07615"/>
    <w:rsid w:val="00B11A0A"/>
    <w:rsid w:val="00B11D5A"/>
    <w:rsid w:val="00B151EE"/>
    <w:rsid w:val="00B163F6"/>
    <w:rsid w:val="00B20701"/>
    <w:rsid w:val="00B213FD"/>
    <w:rsid w:val="00B2153E"/>
    <w:rsid w:val="00B24DF4"/>
    <w:rsid w:val="00B2665E"/>
    <w:rsid w:val="00B2715A"/>
    <w:rsid w:val="00B30753"/>
    <w:rsid w:val="00B324C9"/>
    <w:rsid w:val="00B328AF"/>
    <w:rsid w:val="00B32DD1"/>
    <w:rsid w:val="00B35DEC"/>
    <w:rsid w:val="00B37148"/>
    <w:rsid w:val="00B3720C"/>
    <w:rsid w:val="00B37974"/>
    <w:rsid w:val="00B41409"/>
    <w:rsid w:val="00B42851"/>
    <w:rsid w:val="00B44C6A"/>
    <w:rsid w:val="00B456E0"/>
    <w:rsid w:val="00B459E9"/>
    <w:rsid w:val="00B47076"/>
    <w:rsid w:val="00B5113E"/>
    <w:rsid w:val="00B56B37"/>
    <w:rsid w:val="00B57759"/>
    <w:rsid w:val="00B60D44"/>
    <w:rsid w:val="00B60D86"/>
    <w:rsid w:val="00B64EA5"/>
    <w:rsid w:val="00B732F1"/>
    <w:rsid w:val="00B8702B"/>
    <w:rsid w:val="00B904EC"/>
    <w:rsid w:val="00B91269"/>
    <w:rsid w:val="00B91454"/>
    <w:rsid w:val="00B93CD5"/>
    <w:rsid w:val="00B9432A"/>
    <w:rsid w:val="00B94EE0"/>
    <w:rsid w:val="00B95A67"/>
    <w:rsid w:val="00B96A84"/>
    <w:rsid w:val="00BA0015"/>
    <w:rsid w:val="00BA2A5D"/>
    <w:rsid w:val="00BA2DE8"/>
    <w:rsid w:val="00BA4AEE"/>
    <w:rsid w:val="00BB2D0A"/>
    <w:rsid w:val="00BC07E4"/>
    <w:rsid w:val="00BC4293"/>
    <w:rsid w:val="00BC4D09"/>
    <w:rsid w:val="00BD0B57"/>
    <w:rsid w:val="00BD141C"/>
    <w:rsid w:val="00BD330D"/>
    <w:rsid w:val="00BD54D9"/>
    <w:rsid w:val="00BD5F76"/>
    <w:rsid w:val="00BD649D"/>
    <w:rsid w:val="00BE0DE7"/>
    <w:rsid w:val="00BE2B3A"/>
    <w:rsid w:val="00BE3F37"/>
    <w:rsid w:val="00BE6832"/>
    <w:rsid w:val="00BF02BF"/>
    <w:rsid w:val="00BF0D82"/>
    <w:rsid w:val="00BF2561"/>
    <w:rsid w:val="00BF5905"/>
    <w:rsid w:val="00BF6152"/>
    <w:rsid w:val="00C0059F"/>
    <w:rsid w:val="00C025A7"/>
    <w:rsid w:val="00C025A9"/>
    <w:rsid w:val="00C06314"/>
    <w:rsid w:val="00C10135"/>
    <w:rsid w:val="00C123DF"/>
    <w:rsid w:val="00C206EE"/>
    <w:rsid w:val="00C23604"/>
    <w:rsid w:val="00C27BDD"/>
    <w:rsid w:val="00C308FA"/>
    <w:rsid w:val="00C317D7"/>
    <w:rsid w:val="00C31839"/>
    <w:rsid w:val="00C31A7F"/>
    <w:rsid w:val="00C32280"/>
    <w:rsid w:val="00C33D29"/>
    <w:rsid w:val="00C35287"/>
    <w:rsid w:val="00C35DEC"/>
    <w:rsid w:val="00C35F32"/>
    <w:rsid w:val="00C436EE"/>
    <w:rsid w:val="00C45B43"/>
    <w:rsid w:val="00C477AC"/>
    <w:rsid w:val="00C502F6"/>
    <w:rsid w:val="00C51BE7"/>
    <w:rsid w:val="00C53C65"/>
    <w:rsid w:val="00C565EF"/>
    <w:rsid w:val="00C57614"/>
    <w:rsid w:val="00C57EC0"/>
    <w:rsid w:val="00C618D7"/>
    <w:rsid w:val="00C624CC"/>
    <w:rsid w:val="00C63431"/>
    <w:rsid w:val="00C63C14"/>
    <w:rsid w:val="00C64BBB"/>
    <w:rsid w:val="00C64D00"/>
    <w:rsid w:val="00C70360"/>
    <w:rsid w:val="00C74935"/>
    <w:rsid w:val="00C753E9"/>
    <w:rsid w:val="00C7543A"/>
    <w:rsid w:val="00C80797"/>
    <w:rsid w:val="00C837E4"/>
    <w:rsid w:val="00C84B06"/>
    <w:rsid w:val="00C85E91"/>
    <w:rsid w:val="00C911AD"/>
    <w:rsid w:val="00CA04C6"/>
    <w:rsid w:val="00CA3777"/>
    <w:rsid w:val="00CA704E"/>
    <w:rsid w:val="00CB0684"/>
    <w:rsid w:val="00CB2190"/>
    <w:rsid w:val="00CB5999"/>
    <w:rsid w:val="00CB5B1A"/>
    <w:rsid w:val="00CB6E35"/>
    <w:rsid w:val="00CB733F"/>
    <w:rsid w:val="00CC36EF"/>
    <w:rsid w:val="00CC4B4F"/>
    <w:rsid w:val="00CC4B8E"/>
    <w:rsid w:val="00CC61D6"/>
    <w:rsid w:val="00CC697B"/>
    <w:rsid w:val="00CC7207"/>
    <w:rsid w:val="00CD3457"/>
    <w:rsid w:val="00CE16CC"/>
    <w:rsid w:val="00CE1712"/>
    <w:rsid w:val="00CE3387"/>
    <w:rsid w:val="00CE3A39"/>
    <w:rsid w:val="00CE7355"/>
    <w:rsid w:val="00CF4118"/>
    <w:rsid w:val="00CF5D61"/>
    <w:rsid w:val="00CF702F"/>
    <w:rsid w:val="00D05CB2"/>
    <w:rsid w:val="00D07C0D"/>
    <w:rsid w:val="00D10D90"/>
    <w:rsid w:val="00D116AD"/>
    <w:rsid w:val="00D13C42"/>
    <w:rsid w:val="00D16B25"/>
    <w:rsid w:val="00D20AD1"/>
    <w:rsid w:val="00D22352"/>
    <w:rsid w:val="00D238FA"/>
    <w:rsid w:val="00D24922"/>
    <w:rsid w:val="00D301EA"/>
    <w:rsid w:val="00D31DC2"/>
    <w:rsid w:val="00D41AE5"/>
    <w:rsid w:val="00D429E0"/>
    <w:rsid w:val="00D42B9A"/>
    <w:rsid w:val="00D446AF"/>
    <w:rsid w:val="00D469E4"/>
    <w:rsid w:val="00D4728F"/>
    <w:rsid w:val="00D50F47"/>
    <w:rsid w:val="00D5354B"/>
    <w:rsid w:val="00D563D0"/>
    <w:rsid w:val="00D6711F"/>
    <w:rsid w:val="00D72B6D"/>
    <w:rsid w:val="00D738DB"/>
    <w:rsid w:val="00D73FE2"/>
    <w:rsid w:val="00D7465B"/>
    <w:rsid w:val="00D77741"/>
    <w:rsid w:val="00D81026"/>
    <w:rsid w:val="00D812BD"/>
    <w:rsid w:val="00D82492"/>
    <w:rsid w:val="00D84622"/>
    <w:rsid w:val="00D85F25"/>
    <w:rsid w:val="00D87CBD"/>
    <w:rsid w:val="00D9306A"/>
    <w:rsid w:val="00D944BF"/>
    <w:rsid w:val="00D9561F"/>
    <w:rsid w:val="00D96327"/>
    <w:rsid w:val="00DA077C"/>
    <w:rsid w:val="00DB07A4"/>
    <w:rsid w:val="00DB5454"/>
    <w:rsid w:val="00DB5911"/>
    <w:rsid w:val="00DC0477"/>
    <w:rsid w:val="00DC0D24"/>
    <w:rsid w:val="00DC232E"/>
    <w:rsid w:val="00DD047B"/>
    <w:rsid w:val="00DD4104"/>
    <w:rsid w:val="00DD5D99"/>
    <w:rsid w:val="00DD6F15"/>
    <w:rsid w:val="00DE3C4E"/>
    <w:rsid w:val="00DE5D9E"/>
    <w:rsid w:val="00DE75D8"/>
    <w:rsid w:val="00DF0B12"/>
    <w:rsid w:val="00DF1D4A"/>
    <w:rsid w:val="00DF3751"/>
    <w:rsid w:val="00DF515C"/>
    <w:rsid w:val="00DF5695"/>
    <w:rsid w:val="00E015E6"/>
    <w:rsid w:val="00E05B44"/>
    <w:rsid w:val="00E066B4"/>
    <w:rsid w:val="00E10D77"/>
    <w:rsid w:val="00E13C5C"/>
    <w:rsid w:val="00E209BF"/>
    <w:rsid w:val="00E236C6"/>
    <w:rsid w:val="00E3057D"/>
    <w:rsid w:val="00E3115C"/>
    <w:rsid w:val="00E34F33"/>
    <w:rsid w:val="00E35CBB"/>
    <w:rsid w:val="00E35DC5"/>
    <w:rsid w:val="00E4046C"/>
    <w:rsid w:val="00E40F95"/>
    <w:rsid w:val="00E40FD7"/>
    <w:rsid w:val="00E41CF8"/>
    <w:rsid w:val="00E4269D"/>
    <w:rsid w:val="00E4312B"/>
    <w:rsid w:val="00E4578A"/>
    <w:rsid w:val="00E46EBF"/>
    <w:rsid w:val="00E51D59"/>
    <w:rsid w:val="00E57576"/>
    <w:rsid w:val="00E604B3"/>
    <w:rsid w:val="00E60650"/>
    <w:rsid w:val="00E60EE1"/>
    <w:rsid w:val="00E6109E"/>
    <w:rsid w:val="00E617ED"/>
    <w:rsid w:val="00E6213F"/>
    <w:rsid w:val="00E708F6"/>
    <w:rsid w:val="00E716B4"/>
    <w:rsid w:val="00E7210E"/>
    <w:rsid w:val="00E86B67"/>
    <w:rsid w:val="00E9314D"/>
    <w:rsid w:val="00E95DFC"/>
    <w:rsid w:val="00EA33D5"/>
    <w:rsid w:val="00EA5E02"/>
    <w:rsid w:val="00EA5FD0"/>
    <w:rsid w:val="00EA63B1"/>
    <w:rsid w:val="00EB0020"/>
    <w:rsid w:val="00EB08B6"/>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153"/>
    <w:rsid w:val="00F14BFD"/>
    <w:rsid w:val="00F17566"/>
    <w:rsid w:val="00F20F84"/>
    <w:rsid w:val="00F238F2"/>
    <w:rsid w:val="00F247EE"/>
    <w:rsid w:val="00F332B3"/>
    <w:rsid w:val="00F34D63"/>
    <w:rsid w:val="00F35F7A"/>
    <w:rsid w:val="00F41C35"/>
    <w:rsid w:val="00F4438C"/>
    <w:rsid w:val="00F46ED7"/>
    <w:rsid w:val="00F549D7"/>
    <w:rsid w:val="00F556DB"/>
    <w:rsid w:val="00F560D5"/>
    <w:rsid w:val="00F56325"/>
    <w:rsid w:val="00F56F0A"/>
    <w:rsid w:val="00F67533"/>
    <w:rsid w:val="00F73D95"/>
    <w:rsid w:val="00F77044"/>
    <w:rsid w:val="00F8015E"/>
    <w:rsid w:val="00F81DF5"/>
    <w:rsid w:val="00F83598"/>
    <w:rsid w:val="00F85766"/>
    <w:rsid w:val="00F866FA"/>
    <w:rsid w:val="00F91869"/>
    <w:rsid w:val="00F91CCA"/>
    <w:rsid w:val="00F931D3"/>
    <w:rsid w:val="00F95769"/>
    <w:rsid w:val="00FA289A"/>
    <w:rsid w:val="00FA3C5E"/>
    <w:rsid w:val="00FA4197"/>
    <w:rsid w:val="00FB375B"/>
    <w:rsid w:val="00FB6425"/>
    <w:rsid w:val="00FB722E"/>
    <w:rsid w:val="00FC18B5"/>
    <w:rsid w:val="00FC7F5D"/>
    <w:rsid w:val="00FD1BC7"/>
    <w:rsid w:val="00FD1D84"/>
    <w:rsid w:val="00FD4E9C"/>
    <w:rsid w:val="00FD50A4"/>
    <w:rsid w:val="00FD744A"/>
    <w:rsid w:val="00FE58D5"/>
    <w:rsid w:val="00FE5CA3"/>
    <w:rsid w:val="00FF08C3"/>
    <w:rsid w:val="00FF3CC6"/>
    <w:rsid w:val="00FF4069"/>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B06993"/>
    <w:pPr>
      <w:keepNext/>
      <w:keepLines/>
      <w:pageBreakBefore/>
      <w:spacing w:before="480" w:after="240"/>
      <w:outlineLvl w:val="0"/>
    </w:pPr>
    <w:rPr>
      <w:rFonts w:cs="Arial"/>
      <w:b/>
      <w:bCs/>
      <w:color w:val="000000" w:themeColor="text1"/>
      <w:kern w:val="28"/>
      <w:sz w:val="40"/>
      <w:szCs w:val="32"/>
    </w:rPr>
  </w:style>
  <w:style w:type="paragraph" w:styleId="Heading2">
    <w:name w:val="heading 2"/>
    <w:basedOn w:val="Heading1"/>
    <w:next w:val="Normal"/>
    <w:qFormat/>
    <w:rsid w:val="00B06993"/>
    <w:pPr>
      <w:pageBreakBefore w:val="0"/>
      <w:spacing w:before="360"/>
      <w:outlineLvl w:val="1"/>
    </w:pPr>
    <w:rPr>
      <w:bCs w:val="0"/>
      <w:iCs/>
      <w:color w:val="007978"/>
      <w:sz w:val="32"/>
      <w:szCs w:val="28"/>
    </w:rPr>
  </w:style>
  <w:style w:type="paragraph" w:styleId="Heading3">
    <w:name w:val="heading 3"/>
    <w:basedOn w:val="Heading2"/>
    <w:next w:val="Normal"/>
    <w:link w:val="Heading3Char"/>
    <w:qFormat/>
    <w:rsid w:val="00B06993"/>
    <w:pPr>
      <w:spacing w:before="300" w:after="180"/>
      <w:outlineLvl w:val="2"/>
    </w:pPr>
    <w:rPr>
      <w:bCs/>
      <w:color w:val="000000" w:themeColor="text1"/>
      <w:sz w:val="26"/>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FF4069"/>
    <w:pPr>
      <w:spacing w:before="240"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FF4069"/>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E51D59"/>
    <w:pPr>
      <w:pBdr>
        <w:left w:val="single" w:sz="48" w:space="8" w:color="036C67"/>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9F7864"/>
    <w:pPr>
      <w:keepLines/>
      <w:spacing w:before="180" w:after="180"/>
      <w:contextualSpacing/>
    </w:pPr>
    <w:rPr>
      <w:sz w:val="18"/>
      <w:szCs w:val="20"/>
    </w:rPr>
  </w:style>
  <w:style w:type="character" w:customStyle="1" w:styleId="FootnoteTextChar">
    <w:name w:val="Footnote Text Char"/>
    <w:basedOn w:val="DefaultParagraphFont"/>
    <w:link w:val="FootnoteText"/>
    <w:rsid w:val="009F7864"/>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9739AC"/>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CCSIndicatorBox">
    <w:name w:val="CCS Indicator Box"/>
    <w:basedOn w:val="TableNormal"/>
    <w:uiPriority w:val="99"/>
    <w:rsid w:val="00C70360"/>
    <w:pPr>
      <w:spacing w:after="0"/>
    </w:pPr>
    <w:tblPr>
      <w:tblCellMar>
        <w:left w:w="284" w:type="dxa"/>
        <w:bottom w:w="170" w:type="dxa"/>
        <w:right w:w="284" w:type="dxa"/>
      </w:tblCellMar>
    </w:tblPr>
    <w:trPr>
      <w:cantSplit/>
    </w:trPr>
    <w:tcPr>
      <w:shd w:val="clear" w:color="auto" w:fill="F4F4D8"/>
    </w:tcPr>
    <w:tblStylePr w:type="firstRow">
      <w:pPr>
        <w:wordWrap/>
        <w:spacing w:beforeLines="0" w:before="0" w:beforeAutospacing="0" w:afterLines="0" w:after="0" w:afterAutospacing="0" w:line="240" w:lineRule="auto"/>
        <w:contextualSpacing/>
      </w:pPr>
      <w:rPr>
        <w:b/>
        <w:sz w:val="26"/>
      </w:rPr>
      <w:tblPr>
        <w:tblCellMar>
          <w:top w:w="284" w:type="dxa"/>
          <w:left w:w="284" w:type="dxa"/>
          <w:bottom w:w="170" w:type="dxa"/>
          <w:right w:w="284" w:type="dxa"/>
        </w:tblCellMar>
      </w:tblPr>
      <w:trPr>
        <w:cantSplit w:val="0"/>
        <w:tblHeader/>
      </w:trPr>
    </w:tblStylePr>
  </w:style>
  <w:style w:type="paragraph" w:styleId="ListParagraph">
    <w:name w:val="List Paragraph"/>
    <w:basedOn w:val="Normal"/>
    <w:link w:val="ListParagraphChar"/>
    <w:uiPriority w:val="99"/>
    <w:qFormat/>
    <w:locked/>
    <w:rsid w:val="00A64D9B"/>
    <w:pPr>
      <w:keepLines/>
      <w:ind w:left="720"/>
      <w:contextualSpacing/>
    </w:pPr>
  </w:style>
  <w:style w:type="character" w:customStyle="1" w:styleId="ListParagraphChar">
    <w:name w:val="List Paragraph Char"/>
    <w:basedOn w:val="DefaultParagraphFont"/>
    <w:link w:val="ListParagraph"/>
    <w:uiPriority w:val="99"/>
    <w:rsid w:val="00A64D9B"/>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E51D59"/>
    <w:pPr>
      <w:pBdr>
        <w:left w:val="single" w:sz="48" w:space="8" w:color="036C67"/>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E3057D"/>
    <w:pPr>
      <w:spacing w:before="36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B06993"/>
    <w:rPr>
      <w:rFonts w:cs="Arial"/>
      <w:b/>
      <w:bCs/>
      <w:iCs/>
      <w:color w:val="000000" w:themeColor="text1"/>
      <w:kern w:val="28"/>
      <w:sz w:val="26"/>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character" w:customStyle="1" w:styleId="Indicator">
    <w:name w:val="Indicator"/>
    <w:basedOn w:val="DefaultParagraphFont"/>
    <w:uiPriority w:val="99"/>
    <w:qFormat/>
    <w:rsid w:val="00A64D9B"/>
    <w:rPr>
      <w:b/>
      <w:bCs/>
      <w:color w:val="006D67"/>
      <w:lang w:val="en-GB"/>
    </w:rPr>
  </w:style>
  <w:style w:type="paragraph" w:customStyle="1" w:styleId="TitleHeading1noafterHeadings">
    <w:name w:val="Title / Heading 1 (no # after) (Headings)"/>
    <w:basedOn w:val="Normal"/>
    <w:next w:val="NormalBodystyles"/>
    <w:uiPriority w:val="99"/>
    <w:rsid w:val="003255A5"/>
    <w:pPr>
      <w:keepNext/>
      <w:keepLines/>
      <w:widowControl w:val="0"/>
      <w:tabs>
        <w:tab w:val="left" w:pos="850"/>
      </w:tabs>
      <w:suppressAutoHyphens/>
      <w:autoSpaceDE w:val="0"/>
      <w:autoSpaceDN w:val="0"/>
      <w:adjustRightInd w:val="0"/>
      <w:spacing w:before="0" w:after="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Heading1SmallbelowH1Headings">
    <w:name w:val="Heading 1 Small (below H1) (Headings)"/>
    <w:basedOn w:val="Normal"/>
    <w:uiPriority w:val="99"/>
    <w:rsid w:val="003255A5"/>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NormalBodystyles">
    <w:name w:val="Normal (Body styles)"/>
    <w:basedOn w:val="Normal"/>
    <w:uiPriority w:val="99"/>
    <w:rsid w:val="003255A5"/>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IntroBodystyles">
    <w:name w:val="Intro (Body styles)"/>
    <w:basedOn w:val="NormalBodystyles"/>
    <w:uiPriority w:val="99"/>
    <w:rsid w:val="003255A5"/>
    <w:pPr>
      <w:spacing w:after="397" w:line="320" w:lineRule="atLeast"/>
    </w:pPr>
    <w:rPr>
      <w:b/>
      <w:bCs/>
      <w:color w:val="005130"/>
      <w:sz w:val="24"/>
      <w:szCs w:val="24"/>
    </w:rPr>
  </w:style>
  <w:style w:type="paragraph" w:customStyle="1" w:styleId="Heading2Headings">
    <w:name w:val="Heading 2 (Headings)"/>
    <w:basedOn w:val="Normal"/>
    <w:next w:val="NormalBodystyles"/>
    <w:uiPriority w:val="99"/>
    <w:rsid w:val="003255A5"/>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Heading2afterH1Headings">
    <w:name w:val="Heading 2 (after H1) (Headings)"/>
    <w:basedOn w:val="Heading2Headings"/>
    <w:next w:val="NormalBodystyles"/>
    <w:uiPriority w:val="99"/>
    <w:rsid w:val="003255A5"/>
    <w:pPr>
      <w:spacing w:before="57"/>
    </w:pPr>
  </w:style>
  <w:style w:type="paragraph" w:customStyle="1" w:styleId="Heading2dropcapnumberHeadings">
    <w:name w:val="Heading 2 (drop cap number) (Headings)"/>
    <w:basedOn w:val="Heading2Headings"/>
    <w:next w:val="NormalBodystyles"/>
    <w:uiPriority w:val="99"/>
    <w:rsid w:val="003255A5"/>
    <w:pPr>
      <w:spacing w:before="283" w:after="227"/>
    </w:pPr>
  </w:style>
  <w:style w:type="paragraph" w:customStyle="1" w:styleId="NormalSemiboldBodystyles">
    <w:name w:val="Normal Semibold (Body styles)"/>
    <w:basedOn w:val="NormalBodystyles"/>
    <w:uiPriority w:val="99"/>
    <w:rsid w:val="003255A5"/>
    <w:rPr>
      <w:rFonts w:ascii="Open Sans SemiBold" w:hAnsi="Open Sans SemiBold" w:cs="Open Sans SemiBold"/>
    </w:rPr>
  </w:style>
  <w:style w:type="paragraph" w:customStyle="1" w:styleId="NormalBeforeBulletBodystyles">
    <w:name w:val="Normal Before Bullet (Body styles)"/>
    <w:basedOn w:val="NormalBodystyles"/>
    <w:next w:val="BulletBulletandNumberlists"/>
    <w:uiPriority w:val="99"/>
    <w:rsid w:val="003255A5"/>
    <w:pPr>
      <w:keepNext/>
      <w:spacing w:after="57"/>
    </w:pPr>
  </w:style>
  <w:style w:type="paragraph" w:customStyle="1" w:styleId="CCSPulloutHeadPullouts">
    <w:name w:val="CCS Pullout Head (Pullouts)"/>
    <w:basedOn w:val="Normal"/>
    <w:uiPriority w:val="99"/>
    <w:rsid w:val="003255A5"/>
    <w:pPr>
      <w:widowControl w:val="0"/>
      <w:suppressAutoHyphens/>
      <w:autoSpaceDE w:val="0"/>
      <w:autoSpaceDN w:val="0"/>
      <w:adjustRightInd w:val="0"/>
      <w:spacing w:before="170" w:after="85" w:line="250" w:lineRule="atLeast"/>
      <w:ind w:left="340"/>
      <w:textAlignment w:val="center"/>
    </w:pPr>
    <w:rPr>
      <w:rFonts w:ascii="Proxima Nova Extrabold" w:eastAsiaTheme="minorEastAsia" w:hAnsi="Proxima Nova Extrabold" w:cs="Proxima Nova Extrabold"/>
      <w:b/>
      <w:bCs/>
      <w:caps/>
      <w:color w:val="009838"/>
      <w:lang w:val="en-GB" w:eastAsia="en-GB"/>
    </w:rPr>
  </w:style>
  <w:style w:type="paragraph" w:customStyle="1" w:styleId="CCSPulloutBodyPullouts">
    <w:name w:val="CCS Pullout Body (Pullouts)"/>
    <w:basedOn w:val="Normal"/>
    <w:uiPriority w:val="99"/>
    <w:rsid w:val="003255A5"/>
    <w:pPr>
      <w:widowControl w:val="0"/>
      <w:suppressAutoHyphens/>
      <w:autoSpaceDE w:val="0"/>
      <w:autoSpaceDN w:val="0"/>
      <w:adjustRightInd w:val="0"/>
      <w:spacing w:before="0" w:after="170" w:line="250" w:lineRule="atLeast"/>
      <w:ind w:left="340"/>
      <w:textAlignment w:val="center"/>
    </w:pPr>
    <w:rPr>
      <w:rFonts w:ascii="Open Sans SemiBold" w:eastAsiaTheme="minorEastAsia" w:hAnsi="Open Sans SemiBold" w:cs="Open Sans SemiBold"/>
      <w:color w:val="000000"/>
      <w:sz w:val="19"/>
      <w:szCs w:val="19"/>
      <w:lang w:val="en-GB" w:eastAsia="en-GB"/>
    </w:rPr>
  </w:style>
  <w:style w:type="paragraph" w:customStyle="1" w:styleId="Heading3Headings">
    <w:name w:val="Heading 3  (Headings)"/>
    <w:basedOn w:val="Normal"/>
    <w:uiPriority w:val="99"/>
    <w:rsid w:val="003255A5"/>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NormalIndicatorBodystyles">
    <w:name w:val="Normal (Indicator) (Body styles)"/>
    <w:basedOn w:val="NormalBodystyles"/>
    <w:uiPriority w:val="99"/>
    <w:rsid w:val="003255A5"/>
  </w:style>
  <w:style w:type="paragraph" w:customStyle="1" w:styleId="BulletBeforeDashBulletandNumberlists">
    <w:name w:val="Bullet Before Dash (Bullet and Number lists)"/>
    <w:basedOn w:val="BulletBulletandNumberlists"/>
    <w:uiPriority w:val="99"/>
    <w:rsid w:val="003255A5"/>
    <w:pPr>
      <w:suppressAutoHyphens/>
      <w:spacing w:before="0" w:after="28" w:line="250" w:lineRule="atLeast"/>
    </w:pPr>
    <w:rPr>
      <w:rFonts w:ascii="Open Sans" w:hAnsi="Open Sans" w:cs="Open Sans"/>
      <w:sz w:val="19"/>
      <w:szCs w:val="19"/>
      <w:lang w:val="en-GB"/>
    </w:rPr>
  </w:style>
  <w:style w:type="paragraph" w:customStyle="1" w:styleId="DashBulletandNumberlists">
    <w:name w:val="Dash (Bullet and Number lists)"/>
    <w:basedOn w:val="Normal"/>
    <w:uiPriority w:val="99"/>
    <w:rsid w:val="003255A5"/>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DashLastBulletandNumberlists">
    <w:name w:val="Dash Last (Bullet and Number lists)"/>
    <w:basedOn w:val="DashBulletandNumberlists"/>
    <w:next w:val="Normal"/>
    <w:uiPriority w:val="99"/>
    <w:rsid w:val="003255A5"/>
    <w:pPr>
      <w:spacing w:after="57"/>
    </w:pPr>
  </w:style>
  <w:style w:type="paragraph" w:customStyle="1" w:styleId="NormalIndicatorBeforeBulletBodystyles">
    <w:name w:val="Normal (Indicator) Before Bullet (Body styles)"/>
    <w:basedOn w:val="NormalIndicatorBodystyles"/>
    <w:uiPriority w:val="99"/>
    <w:rsid w:val="003255A5"/>
    <w:pPr>
      <w:spacing w:after="57"/>
    </w:pPr>
  </w:style>
  <w:style w:type="paragraph" w:customStyle="1" w:styleId="TFIHolderBodystyles">
    <w:name w:val="TFIHolder • (Body styles)"/>
    <w:basedOn w:val="NormalBodystyles"/>
    <w:uiPriority w:val="99"/>
    <w:rsid w:val="003255A5"/>
    <w:pPr>
      <w:spacing w:before="113" w:after="227" w:line="288" w:lineRule="auto"/>
    </w:pPr>
  </w:style>
  <w:style w:type="paragraph" w:customStyle="1" w:styleId="Heading3afterH2Headings">
    <w:name w:val="Heading 3 (after H2) (Headings)"/>
    <w:basedOn w:val="Heading3Headings"/>
    <w:uiPriority w:val="99"/>
    <w:rsid w:val="003255A5"/>
    <w:pPr>
      <w:spacing w:before="57"/>
    </w:pPr>
  </w:style>
  <w:style w:type="paragraph" w:customStyle="1" w:styleId="DisclaimerBodystyles">
    <w:name w:val="Disclaimer (Body styles)"/>
    <w:basedOn w:val="Normal"/>
    <w:uiPriority w:val="99"/>
    <w:rsid w:val="003255A5"/>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paragraph" w:customStyle="1" w:styleId="BoxTitleH3Boxes">
    <w:name w:val="Box Title (H3) (Boxes)"/>
    <w:basedOn w:val="Heading3Headings"/>
    <w:next w:val="Normal"/>
    <w:uiPriority w:val="99"/>
    <w:rsid w:val="003255A5"/>
  </w:style>
  <w:style w:type="character" w:customStyle="1" w:styleId="ItalicBold">
    <w:name w:val="Italic (Bold)"/>
    <w:uiPriority w:val="99"/>
    <w:rsid w:val="003255A5"/>
    <w:rPr>
      <w:b/>
      <w:bCs/>
      <w:i/>
      <w:iCs/>
    </w:rPr>
  </w:style>
  <w:style w:type="character" w:customStyle="1" w:styleId="Hyperlinkitalics">
    <w:name w:val="Hyperlink (italics)"/>
    <w:basedOn w:val="Hyperlink"/>
    <w:uiPriority w:val="99"/>
    <w:rsid w:val="0068305C"/>
    <w:rPr>
      <w:i/>
      <w:iCs/>
      <w:color w:val="1178A0" w:themeColor="background2"/>
      <w:u w:val="single"/>
    </w:rPr>
  </w:style>
  <w:style w:type="character" w:customStyle="1" w:styleId="ItalicSemibold">
    <w:name w:val="Italic (Semibold)"/>
    <w:uiPriority w:val="99"/>
    <w:rsid w:val="003255A5"/>
    <w:rPr>
      <w:i/>
      <w:iCs/>
    </w:rPr>
  </w:style>
  <w:style w:type="character" w:customStyle="1" w:styleId="BoldOSDarkGreen">
    <w:name w:val="Bold OS (Dark Green)"/>
    <w:basedOn w:val="DefaultParagraphFont"/>
    <w:uiPriority w:val="99"/>
    <w:rsid w:val="003255A5"/>
    <w:rPr>
      <w:b/>
      <w:bCs/>
      <w:color w:val="005130"/>
    </w:rPr>
  </w:style>
  <w:style w:type="paragraph" w:customStyle="1" w:styleId="Copyright">
    <w:name w:val="Copyright"/>
    <w:basedOn w:val="Normal"/>
    <w:qFormat/>
    <w:rsid w:val="00E4578A"/>
    <w:rPr>
      <w:rFonts w:eastAsiaTheme="majorEastAsia"/>
      <w:sz w:val="18"/>
      <w:szCs w:val="18"/>
    </w:rPr>
  </w:style>
  <w:style w:type="paragraph" w:customStyle="1" w:styleId="Website">
    <w:name w:val="Website"/>
    <w:basedOn w:val="Normal"/>
    <w:qFormat/>
    <w:rsid w:val="00E4578A"/>
    <w:pPr>
      <w:keepNext/>
      <w:spacing w:before="360" w:after="240"/>
    </w:pPr>
    <w:rPr>
      <w:b/>
      <w:bCs/>
      <w:color w:val="1178A0" w:themeColor="background2"/>
      <w:sz w:val="26"/>
      <w:u w:val="single"/>
    </w:rPr>
  </w:style>
  <w:style w:type="paragraph" w:customStyle="1" w:styleId="CCSIndigenousBannerholderPullouts">
    <w:name w:val="CCS Indigenous Banner holder (Pullouts)"/>
    <w:basedOn w:val="NormalBodystyles"/>
    <w:uiPriority w:val="99"/>
    <w:rsid w:val="00E4578A"/>
    <w:pPr>
      <w:spacing w:before="227" w:after="0" w:line="288" w:lineRule="auto"/>
    </w:pPr>
    <w:rPr>
      <w14:ligatures w14:val="standardContextual"/>
    </w:rPr>
  </w:style>
  <w:style w:type="paragraph" w:customStyle="1" w:styleId="BulletLists">
    <w:name w:val="Bullet (Lists)"/>
    <w:basedOn w:val="NormalBodystyles"/>
    <w:uiPriority w:val="99"/>
    <w:rsid w:val="00E4578A"/>
    <w:pPr>
      <w:tabs>
        <w:tab w:val="left" w:pos="283"/>
      </w:tabs>
      <w:spacing w:after="57"/>
      <w:ind w:left="283" w:hanging="283"/>
    </w:pPr>
    <w:rPr>
      <w14:ligatures w14:val="standardContextual"/>
    </w:rPr>
  </w:style>
  <w:style w:type="paragraph" w:customStyle="1" w:styleId="BulletLastLists">
    <w:name w:val="Bullet Last (Lists)"/>
    <w:basedOn w:val="BulletLists"/>
    <w:uiPriority w:val="99"/>
    <w:rsid w:val="00E4578A"/>
    <w:pPr>
      <w:spacing w:after="142"/>
    </w:pPr>
  </w:style>
  <w:style w:type="paragraph" w:customStyle="1" w:styleId="DisclaimerspanBodystyles">
    <w:name w:val="Disclaimer (span) (Body styles)"/>
    <w:basedOn w:val="Normal"/>
    <w:uiPriority w:val="99"/>
    <w:rsid w:val="00E4578A"/>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14:ligatures w14:val="standardContextual"/>
    </w:rPr>
  </w:style>
  <w:style w:type="character" w:customStyle="1" w:styleId="BoldItalicGreen">
    <w:name w:val="Bold Italic Green"/>
    <w:uiPriority w:val="99"/>
    <w:rsid w:val="00E4578A"/>
    <w:rPr>
      <w:b/>
      <w:bCs/>
      <w:i/>
      <w:iCs/>
    </w:rPr>
  </w:style>
  <w:style w:type="character" w:customStyle="1" w:styleId="DesignerNotes">
    <w:name w:val="Designer Notes"/>
    <w:uiPriority w:val="99"/>
    <w:rsid w:val="00E4578A"/>
    <w:rPr>
      <w:color w:val="C90C88"/>
      <w:sz w:val="19"/>
      <w:szCs w:val="19"/>
      <w:u w:val="thick" w:color="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696657851">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684895189">
      <w:bodyDiv w:val="1"/>
      <w:marLeft w:val="0"/>
      <w:marRight w:val="0"/>
      <w:marTop w:val="0"/>
      <w:marBottom w:val="0"/>
      <w:divBdr>
        <w:top w:val="none" w:sz="0" w:space="0" w:color="auto"/>
        <w:left w:val="none" w:sz="0" w:space="0" w:color="auto"/>
        <w:bottom w:val="none" w:sz="0" w:space="0" w:color="auto"/>
        <w:right w:val="none" w:sz="0" w:space="0" w:color="auto"/>
      </w:divBdr>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teor.aihw.gov.au/content/780812"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steoporosis.org.nz/wp-content/uploads/ONZ-FLS-Clinical-Standards-Sept-202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zhfr.org/wp-content/uploads/sites/1164/2021/12/ANZ-Guideline-for-Hip-Fracture-Care.pdf" TargetMode="External"/><Relationship Id="rId5" Type="http://schemas.openxmlformats.org/officeDocument/2006/relationships/webSettings" Target="webSettings.xml"/><Relationship Id="rId15" Type="http://schemas.openxmlformats.org/officeDocument/2006/relationships/hyperlink" Target="http://www.safetyandquality.gov.au" TargetMode="External"/><Relationship Id="rId10" Type="http://schemas.openxmlformats.org/officeDocument/2006/relationships/hyperlink" Target="https://www.safetyandquality.gov.au/standards/clinical-care-standards/opioid-analgesic-stewardship-acute-pain-clinical-care-standar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fetyandquality.gov.au/hipfracture-cc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150</TotalTime>
  <Pages>7</Pages>
  <Words>2287</Words>
  <Characters>13499</Characters>
  <Application>Microsoft Office Word</Application>
  <DocSecurity>0</DocSecurity>
  <Lines>224</Lines>
  <Paragraphs>102</Paragraphs>
  <ScaleCrop>false</ScaleCrop>
  <HeadingPairs>
    <vt:vector size="2" baseType="variant">
      <vt:variant>
        <vt:lpstr>Title</vt:lpstr>
      </vt:variant>
      <vt:variant>
        <vt:i4>1</vt:i4>
      </vt:variant>
    </vt:vector>
  </HeadingPairs>
  <TitlesOfParts>
    <vt:vector size="1" baseType="lpstr">
      <vt:lpstr>Information for healthcare services: Sepsis Clinical Care Standard 2022</vt:lpstr>
    </vt:vector>
  </TitlesOfParts>
  <Manager/>
  <Company>Australian Commission on Safety and Quality in Health Care</Company>
  <LinksUpToDate>false</LinksUpToDate>
  <CharactersWithSpaces>15684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healthcare services: Sepsis Clinical Care Standard 2022</dc:title>
  <dc:subject/>
  <dc:creator>Australian Commission on Safety and Quality in Health Care</dc:creator>
  <cp:keywords/>
  <dc:description/>
  <cp:lastModifiedBy>James</cp:lastModifiedBy>
  <cp:revision>195</cp:revision>
  <cp:lastPrinted>2020-03-04T03:32:00Z</cp:lastPrinted>
  <dcterms:created xsi:type="dcterms:W3CDTF">2021-04-19T06:25:00Z</dcterms:created>
  <dcterms:modified xsi:type="dcterms:W3CDTF">2023-08-28T07:30:00Z</dcterms:modified>
  <cp:category/>
</cp:coreProperties>
</file>