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90D34" w14:textId="3870372D" w:rsidR="00B93CD5" w:rsidRPr="00D738DB" w:rsidRDefault="00F85302" w:rsidP="007449EB">
      <w:pPr>
        <w:pStyle w:val="Category"/>
      </w:pPr>
      <w:bookmarkStart w:id="0" w:name="_Toc476822632"/>
      <w:bookmarkStart w:id="1" w:name="_Toc476822653"/>
      <w:r>
        <w:t>KEY ACTIONS</w:t>
      </w:r>
      <w:r w:rsidR="00B93CD5" w:rsidRPr="00D738DB">
        <w:t xml:space="preserve"> </w:t>
      </w:r>
    </w:p>
    <w:p w14:paraId="44585CBC" w14:textId="2CCCAA75" w:rsidR="00F85302" w:rsidRPr="00300631" w:rsidRDefault="00300631" w:rsidP="00300631">
      <w:pPr>
        <w:pStyle w:val="Category"/>
        <w:rPr>
          <w:b w:val="0"/>
          <w:lang w:val="en-GB"/>
        </w:rPr>
      </w:pPr>
      <w:r w:rsidRPr="00300631">
        <w:rPr>
          <w:b w:val="0"/>
          <w:lang w:val="en-GB"/>
        </w:rPr>
        <w:t xml:space="preserve">for </w:t>
      </w:r>
      <w:bookmarkEnd w:id="0"/>
      <w:bookmarkEnd w:id="1"/>
      <w:r w:rsidR="00D30AC1">
        <w:rPr>
          <w:b w:val="0"/>
          <w:lang w:val="en-GB"/>
        </w:rPr>
        <w:t>consumers</w:t>
      </w:r>
    </w:p>
    <w:p w14:paraId="0D1D1FC1" w14:textId="51331028" w:rsidR="003A7DCF" w:rsidRDefault="003A7DCF" w:rsidP="00D30AC1">
      <w:pPr>
        <w:pStyle w:val="Title"/>
      </w:pPr>
      <w:r>
        <w:t xml:space="preserve">Introduction to the </w:t>
      </w:r>
      <w:r>
        <w:br/>
        <w:t xml:space="preserve">National Safety and Quality </w:t>
      </w:r>
      <w:r w:rsidR="002A364B">
        <w:br/>
      </w:r>
      <w:r>
        <w:t>Health Service Standards</w:t>
      </w:r>
    </w:p>
    <w:p w14:paraId="3157EC1B" w14:textId="77777777" w:rsidR="003A7DCF" w:rsidRDefault="003A7DCF" w:rsidP="003A7DCF">
      <w:pPr>
        <w:pStyle w:val="Heading2"/>
      </w:pPr>
      <w:r>
        <w:t>About the NSQHS Standards</w:t>
      </w:r>
    </w:p>
    <w:p w14:paraId="15099C1B" w14:textId="77777777" w:rsidR="003A7DCF" w:rsidRDefault="003A7DCF" w:rsidP="003A7DCF">
      <w:r>
        <w:t xml:space="preserve">The </w:t>
      </w:r>
      <w:r>
        <w:rPr>
          <w:rStyle w:val="Hyperlink"/>
        </w:rPr>
        <w:t>National Safety and Quality Health Service (NSQHS) Standards</w:t>
      </w:r>
      <w:r>
        <w:t xml:space="preserve"> were developed by the Australian Commission on Safety and Quality in Health Care (the Commission) in </w:t>
      </w:r>
      <w:r w:rsidRPr="003A7DCF">
        <w:t>collaboration</w:t>
      </w:r>
      <w:r>
        <w:t xml:space="preserve"> with the Australian Government, state and territories, the private sector, clinical experts, consumers and carers.</w:t>
      </w:r>
    </w:p>
    <w:p w14:paraId="2CB6788C" w14:textId="77777777" w:rsidR="003A7DCF" w:rsidRDefault="003A7DCF" w:rsidP="003A7DCF">
      <w:pPr>
        <w:pStyle w:val="Normalinbluebox"/>
      </w:pPr>
      <w:r>
        <w:t xml:space="preserve">The primary aims of the NSQHS Standards are to protect the public from harm and to improve the safety and quality of health care </w:t>
      </w:r>
      <w:r w:rsidRPr="003A7DCF">
        <w:t>provision</w:t>
      </w:r>
      <w:r>
        <w:t>. They require health service organisations to develop ways of working that reduce harm and improve care.</w:t>
      </w:r>
    </w:p>
    <w:p w14:paraId="6F3B6A4C" w14:textId="6521DFCE" w:rsidR="003A7DCF" w:rsidRPr="003A7DCF" w:rsidRDefault="003A7DCF" w:rsidP="003A7DCF">
      <w:r>
        <w:t xml:space="preserve">In Australia, all public and private hospitals, day procedure services and most public dental practices must be assessed against the NSQHS Standards, under the Australian Health </w:t>
      </w:r>
      <w:r w:rsidRPr="003A7DCF">
        <w:t xml:space="preserve">Service Safety and Quality Accreditation (AHSSQA) Scheme. </w:t>
      </w:r>
    </w:p>
    <w:p w14:paraId="5569E4D6" w14:textId="77777777" w:rsidR="003A7DCF" w:rsidRPr="003A7DCF" w:rsidRDefault="003A7DCF" w:rsidP="003A7DCF">
      <w:r w:rsidRPr="003A7DCF">
        <w:t xml:space="preserve">The NSQHS Standards describe the processes and structures that are needed in healthcare services to help keep people safe and improve the quality of health care they receive. </w:t>
      </w:r>
    </w:p>
    <w:p w14:paraId="0146EC5A" w14:textId="77777777" w:rsidR="003A7DCF" w:rsidRDefault="003A7DCF" w:rsidP="003A7DCF">
      <w:pPr>
        <w:rPr>
          <w:spacing w:val="-1"/>
        </w:rPr>
      </w:pPr>
      <w:r w:rsidRPr="003A7DCF">
        <w:t>There are eight NSQHS Standards that include 151 actions. They describe the standard of care that consumers should expect to receive from a health service or</w:t>
      </w:r>
      <w:r>
        <w:rPr>
          <w:spacing w:val="-1"/>
        </w:rPr>
        <w:t xml:space="preserve">ganisation (see </w:t>
      </w:r>
      <w:r>
        <w:rPr>
          <w:rStyle w:val="Strongsemibold"/>
          <w:spacing w:val="-1"/>
        </w:rPr>
        <w:t>Box 1</w:t>
      </w:r>
      <w:r>
        <w:rPr>
          <w:spacing w:val="-1"/>
        </w:rPr>
        <w:t xml:space="preserve"> on next page for details):</w:t>
      </w:r>
    </w:p>
    <w:p w14:paraId="18E5F9D0" w14:textId="77777777" w:rsidR="003A7DCF" w:rsidRPr="003A7DCF" w:rsidRDefault="003A7DCF" w:rsidP="003A7DCF">
      <w:pPr>
        <w:pStyle w:val="ListParagraph"/>
        <w:numPr>
          <w:ilvl w:val="0"/>
          <w:numId w:val="48"/>
        </w:numPr>
        <w:rPr>
          <w:b/>
          <w:bCs/>
        </w:rPr>
      </w:pPr>
      <w:r w:rsidRPr="003A7DCF">
        <w:rPr>
          <w:rStyle w:val="Strongsemibold"/>
        </w:rPr>
        <w:t xml:space="preserve">Clinical </w:t>
      </w:r>
      <w:r w:rsidRPr="003A7DCF">
        <w:rPr>
          <w:b/>
          <w:bCs/>
        </w:rPr>
        <w:t>Governance</w:t>
      </w:r>
    </w:p>
    <w:p w14:paraId="49AD4E1F" w14:textId="77777777" w:rsidR="003A7DCF" w:rsidRPr="003A7DCF" w:rsidRDefault="003A7DCF" w:rsidP="003A7DCF">
      <w:pPr>
        <w:pStyle w:val="ListParagraph"/>
        <w:numPr>
          <w:ilvl w:val="0"/>
          <w:numId w:val="48"/>
        </w:numPr>
        <w:rPr>
          <w:b/>
          <w:bCs/>
        </w:rPr>
      </w:pPr>
      <w:r w:rsidRPr="003A7DCF">
        <w:rPr>
          <w:b/>
          <w:bCs/>
        </w:rPr>
        <w:t>Partnering with Consumers</w:t>
      </w:r>
    </w:p>
    <w:p w14:paraId="189ACB07" w14:textId="77777777" w:rsidR="003A7DCF" w:rsidRPr="003A7DCF" w:rsidRDefault="003A7DCF" w:rsidP="003A7DCF">
      <w:pPr>
        <w:pStyle w:val="ListParagraph"/>
        <w:numPr>
          <w:ilvl w:val="0"/>
          <w:numId w:val="48"/>
        </w:numPr>
        <w:rPr>
          <w:b/>
          <w:bCs/>
        </w:rPr>
      </w:pPr>
      <w:r w:rsidRPr="003A7DCF">
        <w:rPr>
          <w:b/>
          <w:bCs/>
        </w:rPr>
        <w:t>Preventing and Controlling Infections</w:t>
      </w:r>
    </w:p>
    <w:p w14:paraId="056B798E" w14:textId="77777777" w:rsidR="003A7DCF" w:rsidRPr="003A7DCF" w:rsidRDefault="003A7DCF" w:rsidP="003A7DCF">
      <w:pPr>
        <w:pStyle w:val="ListParagraph"/>
        <w:numPr>
          <w:ilvl w:val="0"/>
          <w:numId w:val="48"/>
        </w:numPr>
        <w:rPr>
          <w:b/>
          <w:bCs/>
        </w:rPr>
      </w:pPr>
      <w:r w:rsidRPr="003A7DCF">
        <w:rPr>
          <w:b/>
          <w:bCs/>
        </w:rPr>
        <w:t>Medication Safety</w:t>
      </w:r>
    </w:p>
    <w:p w14:paraId="0722DDEF" w14:textId="77777777" w:rsidR="003A7DCF" w:rsidRPr="003A7DCF" w:rsidRDefault="003A7DCF" w:rsidP="003A7DCF">
      <w:pPr>
        <w:pStyle w:val="ListParagraph"/>
        <w:numPr>
          <w:ilvl w:val="0"/>
          <w:numId w:val="48"/>
        </w:numPr>
        <w:rPr>
          <w:b/>
          <w:bCs/>
        </w:rPr>
      </w:pPr>
      <w:r w:rsidRPr="003A7DCF">
        <w:rPr>
          <w:b/>
          <w:bCs/>
        </w:rPr>
        <w:t>Comprehensive Care</w:t>
      </w:r>
    </w:p>
    <w:p w14:paraId="5FA8C6C8" w14:textId="77777777" w:rsidR="003A7DCF" w:rsidRPr="003A7DCF" w:rsidRDefault="003A7DCF" w:rsidP="003A7DCF">
      <w:pPr>
        <w:pStyle w:val="ListParagraph"/>
        <w:numPr>
          <w:ilvl w:val="0"/>
          <w:numId w:val="48"/>
        </w:numPr>
        <w:rPr>
          <w:b/>
          <w:bCs/>
        </w:rPr>
      </w:pPr>
      <w:r w:rsidRPr="003A7DCF">
        <w:rPr>
          <w:b/>
          <w:bCs/>
        </w:rPr>
        <w:t>Communicating for Safety</w:t>
      </w:r>
    </w:p>
    <w:p w14:paraId="68DEBFE5" w14:textId="77777777" w:rsidR="003A7DCF" w:rsidRPr="003A7DCF" w:rsidRDefault="003A7DCF" w:rsidP="003A7DCF">
      <w:pPr>
        <w:pStyle w:val="ListParagraph"/>
        <w:numPr>
          <w:ilvl w:val="0"/>
          <w:numId w:val="48"/>
        </w:numPr>
        <w:rPr>
          <w:b/>
          <w:bCs/>
        </w:rPr>
      </w:pPr>
      <w:r w:rsidRPr="003A7DCF">
        <w:rPr>
          <w:b/>
          <w:bCs/>
        </w:rPr>
        <w:t>Blood Management</w:t>
      </w:r>
    </w:p>
    <w:p w14:paraId="44749AD8" w14:textId="56A806EB" w:rsidR="003A7DCF" w:rsidRPr="003A7DCF" w:rsidRDefault="003A7DCF" w:rsidP="003A7DCF">
      <w:pPr>
        <w:pStyle w:val="ListParagraph"/>
        <w:numPr>
          <w:ilvl w:val="0"/>
          <w:numId w:val="48"/>
        </w:numPr>
        <w:rPr>
          <w:b/>
          <w:bCs/>
        </w:rPr>
      </w:pPr>
      <w:r w:rsidRPr="003A7DCF">
        <w:rPr>
          <w:b/>
          <w:bCs/>
        </w:rPr>
        <w:t>Recognising and Responding to Acute Dete</w:t>
      </w:r>
      <w:r w:rsidRPr="003A7DCF">
        <w:rPr>
          <w:rStyle w:val="Strongsemibold"/>
        </w:rPr>
        <w:t>rioration</w:t>
      </w:r>
      <w:r w:rsidRPr="003A7DCF">
        <w:rPr>
          <w:b/>
          <w:bCs/>
        </w:rPr>
        <w:t>.</w:t>
      </w:r>
    </w:p>
    <w:p w14:paraId="1EC3552D" w14:textId="77777777" w:rsidR="00F75F83" w:rsidRDefault="00F75F83" w:rsidP="003A7DCF">
      <w:r>
        <w:br w:type="page"/>
      </w:r>
    </w:p>
    <w:p w14:paraId="48652477" w14:textId="69E8B060" w:rsidR="003A7DCF" w:rsidRDefault="003A7DCF" w:rsidP="003A7DCF">
      <w:r>
        <w:lastRenderedPageBreak/>
        <w:t xml:space="preserve">The second edition of the NSQHS Standards includes requirements </w:t>
      </w:r>
      <w:r w:rsidRPr="003A7DCF">
        <w:t>for</w:t>
      </w:r>
      <w:r>
        <w:t xml:space="preserve"> providing person-centred, comprehensive care for all patients (see below). </w:t>
      </w:r>
    </w:p>
    <w:p w14:paraId="6B34B475" w14:textId="77777777" w:rsidR="003A7DCF" w:rsidRPr="003621CE" w:rsidRDefault="003A7DCF" w:rsidP="00F8291B">
      <w:pPr>
        <w:pStyle w:val="Normalinbluebox"/>
        <w:spacing w:after="120"/>
      </w:pPr>
      <w:r>
        <w:rPr>
          <w:rStyle w:val="Strongsemibold"/>
        </w:rPr>
        <w:t>Person-centred care</w:t>
      </w:r>
      <w:r>
        <w:t xml:space="preserve"> is </w:t>
      </w:r>
      <w:r w:rsidRPr="003621CE">
        <w:t xml:space="preserve">respectful of, and responsive to, the preferences, needs and values of patients and consumers. </w:t>
      </w:r>
    </w:p>
    <w:p w14:paraId="5FFBD46E" w14:textId="77777777" w:rsidR="003A7DCF" w:rsidRDefault="003A7DCF" w:rsidP="00F8291B">
      <w:pPr>
        <w:pStyle w:val="Normalinbluebox"/>
        <w:spacing w:before="120"/>
      </w:pPr>
      <w:r w:rsidRPr="003621CE">
        <w:t>Person-centred care is the foundation for achieving safe, high-quality care. Focusing on effective delivery of person-centred care will enable healthcare organisations to be successful in achieving better outcomes for their patients,</w:t>
      </w:r>
      <w:r>
        <w:t xml:space="preserve"> better experience for their patients and workforce, and better value care.</w:t>
      </w:r>
    </w:p>
    <w:tbl>
      <w:tblPr>
        <w:tblStyle w:val="IconTable"/>
        <w:tblW w:w="5000" w:type="pct"/>
        <w:shd w:val="clear" w:color="auto" w:fill="DFEDF8"/>
        <w:tblLook w:val="0620" w:firstRow="1" w:lastRow="0" w:firstColumn="0" w:lastColumn="0" w:noHBand="1" w:noVBand="1"/>
        <w:tblDescription w:val="Box 1: The eight NSQHS Standards"/>
      </w:tblPr>
      <w:tblGrid>
        <w:gridCol w:w="1201"/>
        <w:gridCol w:w="8437"/>
      </w:tblGrid>
      <w:tr w:rsidR="00683DBA" w:rsidRPr="005A4A22" w14:paraId="5DE62B54" w14:textId="77777777" w:rsidTr="002B7E26">
        <w:trPr>
          <w:cnfStyle w:val="100000000000" w:firstRow="1" w:lastRow="0" w:firstColumn="0" w:lastColumn="0" w:oddVBand="0" w:evenVBand="0" w:oddHBand="0" w:evenHBand="0" w:firstRowFirstColumn="0" w:firstRowLastColumn="0" w:lastRowFirstColumn="0" w:lastRowLastColumn="0"/>
          <w:trHeight w:val="60"/>
        </w:trPr>
        <w:tc>
          <w:tcPr>
            <w:tcW w:w="5000" w:type="pct"/>
            <w:gridSpan w:val="2"/>
          </w:tcPr>
          <w:p w14:paraId="4352E348" w14:textId="77777777" w:rsidR="003A7DCF" w:rsidRPr="005A4A22" w:rsidRDefault="003A7DCF" w:rsidP="005A4A22">
            <w:r w:rsidRPr="005A4A22">
              <w:t>Box 1: The eight NSQHS Standards</w:t>
            </w:r>
          </w:p>
        </w:tc>
      </w:tr>
      <w:tr w:rsidR="005A4A22" w:rsidRPr="005A4A22" w14:paraId="73EC46C8" w14:textId="77777777" w:rsidTr="002B7E26">
        <w:tblPrEx>
          <w:tblCellMar>
            <w:top w:w="57" w:type="dxa"/>
            <w:left w:w="170" w:type="dxa"/>
          </w:tblCellMar>
        </w:tblPrEx>
        <w:trPr>
          <w:trHeight w:val="60"/>
        </w:trPr>
        <w:tc>
          <w:tcPr>
            <w:tcW w:w="623" w:type="pct"/>
            <w:tcMar>
              <w:top w:w="0" w:type="dxa"/>
              <w:bottom w:w="0" w:type="dxa"/>
            </w:tcMar>
          </w:tcPr>
          <w:p w14:paraId="62191E1D" w14:textId="5CD5A1D2" w:rsidR="003A7DCF" w:rsidRPr="005A4A22" w:rsidRDefault="00683DBA" w:rsidP="00683DBA">
            <w:pPr>
              <w:jc w:val="right"/>
            </w:pPr>
            <w:r w:rsidRPr="00683DBA">
              <w:rPr>
                <w:noProof/>
              </w:rPr>
              <w:drawing>
                <wp:inline distT="0" distB="0" distL="0" distR="0" wp14:anchorId="0AADE2C3" wp14:editId="13D696E2">
                  <wp:extent cx="546100" cy="546100"/>
                  <wp:effectExtent l="0" t="0" r="0" b="0"/>
                  <wp:docPr id="1" name="Picture 1" descr="Clinical Governance Stand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nical Governance Standard icon"/>
                          <pic:cNvPicPr/>
                        </pic:nvPicPr>
                        <pic:blipFill>
                          <a:blip r:embed="rId8"/>
                          <a:stretch>
                            <a:fillRect/>
                          </a:stretch>
                        </pic:blipFill>
                        <pic:spPr>
                          <a:xfrm>
                            <a:off x="0" y="0"/>
                            <a:ext cx="546100" cy="546100"/>
                          </a:xfrm>
                          <a:prstGeom prst="rect">
                            <a:avLst/>
                          </a:prstGeom>
                        </pic:spPr>
                      </pic:pic>
                    </a:graphicData>
                  </a:graphic>
                </wp:inline>
              </w:drawing>
            </w:r>
          </w:p>
        </w:tc>
        <w:tc>
          <w:tcPr>
            <w:tcW w:w="4377" w:type="pct"/>
            <w:tcMar>
              <w:top w:w="0" w:type="dxa"/>
              <w:left w:w="0" w:type="dxa"/>
              <w:bottom w:w="0" w:type="dxa"/>
            </w:tcMar>
          </w:tcPr>
          <w:p w14:paraId="78A52E40" w14:textId="3E4EEAB6" w:rsidR="003A7DCF" w:rsidRPr="005A4A22" w:rsidRDefault="003A7DCF" w:rsidP="005A4A22">
            <w:r w:rsidRPr="005A4A22">
              <w:rPr>
                <w:b/>
                <w:bCs/>
              </w:rPr>
              <w:t>Clinical Governance</w:t>
            </w:r>
            <w:r w:rsidRPr="005A4A22">
              <w:t>, ensures there are processes to maintain and improve the reliability, safety and quality of health care.</w:t>
            </w:r>
          </w:p>
        </w:tc>
      </w:tr>
      <w:tr w:rsidR="005A4A22" w:rsidRPr="005A4A22" w14:paraId="33F13079" w14:textId="77777777" w:rsidTr="002B7E26">
        <w:tblPrEx>
          <w:tblCellMar>
            <w:top w:w="57" w:type="dxa"/>
            <w:left w:w="170" w:type="dxa"/>
          </w:tblCellMar>
        </w:tblPrEx>
        <w:trPr>
          <w:trHeight w:val="60"/>
        </w:trPr>
        <w:tc>
          <w:tcPr>
            <w:tcW w:w="623" w:type="pct"/>
            <w:tcMar>
              <w:top w:w="0" w:type="dxa"/>
              <w:bottom w:w="0" w:type="dxa"/>
            </w:tcMar>
          </w:tcPr>
          <w:p w14:paraId="4A645879" w14:textId="3FF65F6A" w:rsidR="003A7DCF" w:rsidRPr="005A4A22" w:rsidRDefault="00683DBA" w:rsidP="00683DBA">
            <w:pPr>
              <w:jc w:val="right"/>
            </w:pPr>
            <w:r w:rsidRPr="00683DBA">
              <w:rPr>
                <w:noProof/>
              </w:rPr>
              <w:drawing>
                <wp:inline distT="0" distB="0" distL="0" distR="0" wp14:anchorId="69B72BDD" wp14:editId="502662EB">
                  <wp:extent cx="546100" cy="546100"/>
                  <wp:effectExtent l="0" t="0" r="0" b="0"/>
                  <wp:docPr id="3" name="Picture 3" descr="Partnering with Consumers Stand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artnering with Consumers Standard icon"/>
                          <pic:cNvPicPr/>
                        </pic:nvPicPr>
                        <pic:blipFill>
                          <a:blip r:embed="rId9"/>
                          <a:stretch>
                            <a:fillRect/>
                          </a:stretch>
                        </pic:blipFill>
                        <pic:spPr>
                          <a:xfrm>
                            <a:off x="0" y="0"/>
                            <a:ext cx="546100" cy="546100"/>
                          </a:xfrm>
                          <a:prstGeom prst="rect">
                            <a:avLst/>
                          </a:prstGeom>
                        </pic:spPr>
                      </pic:pic>
                    </a:graphicData>
                  </a:graphic>
                </wp:inline>
              </w:drawing>
            </w:r>
          </w:p>
        </w:tc>
        <w:tc>
          <w:tcPr>
            <w:tcW w:w="4377" w:type="pct"/>
            <w:tcMar>
              <w:top w:w="0" w:type="dxa"/>
              <w:left w:w="0" w:type="dxa"/>
              <w:bottom w:w="0" w:type="dxa"/>
            </w:tcMar>
          </w:tcPr>
          <w:p w14:paraId="06A2F081" w14:textId="77777777" w:rsidR="003A7DCF" w:rsidRPr="005A4A22" w:rsidRDefault="003A7DCF" w:rsidP="005A4A22">
            <w:r w:rsidRPr="005A4A22">
              <w:rPr>
                <w:b/>
                <w:bCs/>
              </w:rPr>
              <w:t>Partnering with Consumers</w:t>
            </w:r>
            <w:r w:rsidRPr="005A4A22">
              <w:t>, ensures consumers are partners in the design, delivery and evaluation of healthcare systems and services, and they are supported to be partners in their own care.</w:t>
            </w:r>
          </w:p>
        </w:tc>
      </w:tr>
      <w:tr w:rsidR="005A4A22" w:rsidRPr="005A4A22" w14:paraId="774F6801" w14:textId="77777777" w:rsidTr="002B7E26">
        <w:tblPrEx>
          <w:tblCellMar>
            <w:top w:w="57" w:type="dxa"/>
            <w:left w:w="170" w:type="dxa"/>
          </w:tblCellMar>
        </w:tblPrEx>
        <w:trPr>
          <w:trHeight w:val="60"/>
        </w:trPr>
        <w:tc>
          <w:tcPr>
            <w:tcW w:w="623" w:type="pct"/>
            <w:tcMar>
              <w:top w:w="0" w:type="dxa"/>
              <w:bottom w:w="0" w:type="dxa"/>
            </w:tcMar>
          </w:tcPr>
          <w:p w14:paraId="46DD60DB" w14:textId="16572FD6" w:rsidR="003A7DCF" w:rsidRPr="005A4A22" w:rsidRDefault="00683DBA" w:rsidP="00683DBA">
            <w:pPr>
              <w:jc w:val="right"/>
            </w:pPr>
            <w:r w:rsidRPr="00683DBA">
              <w:rPr>
                <w:noProof/>
              </w:rPr>
              <w:drawing>
                <wp:inline distT="0" distB="0" distL="0" distR="0" wp14:anchorId="29D2D96B" wp14:editId="61604812">
                  <wp:extent cx="546100" cy="546100"/>
                  <wp:effectExtent l="0" t="0" r="0" b="0"/>
                  <wp:docPr id="5" name="Picture 5" descr="Preventing and Controlling Infections Stand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reventing and Controlling Infections Standard icon"/>
                          <pic:cNvPicPr/>
                        </pic:nvPicPr>
                        <pic:blipFill>
                          <a:blip r:embed="rId10"/>
                          <a:stretch>
                            <a:fillRect/>
                          </a:stretch>
                        </pic:blipFill>
                        <pic:spPr>
                          <a:xfrm>
                            <a:off x="0" y="0"/>
                            <a:ext cx="546100" cy="546100"/>
                          </a:xfrm>
                          <a:prstGeom prst="rect">
                            <a:avLst/>
                          </a:prstGeom>
                        </pic:spPr>
                      </pic:pic>
                    </a:graphicData>
                  </a:graphic>
                </wp:inline>
              </w:drawing>
            </w:r>
          </w:p>
        </w:tc>
        <w:tc>
          <w:tcPr>
            <w:tcW w:w="4377" w:type="pct"/>
            <w:tcMar>
              <w:top w:w="0" w:type="dxa"/>
              <w:left w:w="0" w:type="dxa"/>
              <w:bottom w:w="0" w:type="dxa"/>
            </w:tcMar>
          </w:tcPr>
          <w:p w14:paraId="35D995AA" w14:textId="77777777" w:rsidR="003A7DCF" w:rsidRPr="005A4A22" w:rsidRDefault="003A7DCF" w:rsidP="005A4A22">
            <w:r w:rsidRPr="005A4A22">
              <w:rPr>
                <w:b/>
                <w:bCs/>
              </w:rPr>
              <w:t>Preventing and Controlling Infections</w:t>
            </w:r>
            <w:r w:rsidRPr="005A4A22">
              <w:t>, ensures processes are in place to prevent and control infection, and support antimicrobial stewardship, as well as the sustainable use of infection prevention and control resources.</w:t>
            </w:r>
          </w:p>
        </w:tc>
      </w:tr>
      <w:tr w:rsidR="005A4A22" w:rsidRPr="005A4A22" w14:paraId="59DE2844" w14:textId="77777777" w:rsidTr="002B7E26">
        <w:tblPrEx>
          <w:tblCellMar>
            <w:top w:w="57" w:type="dxa"/>
            <w:left w:w="170" w:type="dxa"/>
          </w:tblCellMar>
        </w:tblPrEx>
        <w:trPr>
          <w:trHeight w:val="60"/>
        </w:trPr>
        <w:tc>
          <w:tcPr>
            <w:tcW w:w="623" w:type="pct"/>
            <w:tcMar>
              <w:top w:w="0" w:type="dxa"/>
              <w:bottom w:w="0" w:type="dxa"/>
            </w:tcMar>
          </w:tcPr>
          <w:p w14:paraId="3C55F8FB" w14:textId="1EA6AC9D" w:rsidR="003A7DCF" w:rsidRPr="005A4A22" w:rsidRDefault="00683DBA" w:rsidP="00683DBA">
            <w:pPr>
              <w:jc w:val="right"/>
            </w:pPr>
            <w:r w:rsidRPr="00683DBA">
              <w:rPr>
                <w:noProof/>
              </w:rPr>
              <w:drawing>
                <wp:inline distT="0" distB="0" distL="0" distR="0" wp14:anchorId="7B38C6FE" wp14:editId="00D69894">
                  <wp:extent cx="546100" cy="546100"/>
                  <wp:effectExtent l="0" t="0" r="0" b="0"/>
                  <wp:docPr id="6" name="Picture 6" descr="Medication Safety Stand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edication Safety Standard icon"/>
                          <pic:cNvPicPr/>
                        </pic:nvPicPr>
                        <pic:blipFill>
                          <a:blip r:embed="rId11"/>
                          <a:stretch>
                            <a:fillRect/>
                          </a:stretch>
                        </pic:blipFill>
                        <pic:spPr>
                          <a:xfrm>
                            <a:off x="0" y="0"/>
                            <a:ext cx="546100" cy="546100"/>
                          </a:xfrm>
                          <a:prstGeom prst="rect">
                            <a:avLst/>
                          </a:prstGeom>
                        </pic:spPr>
                      </pic:pic>
                    </a:graphicData>
                  </a:graphic>
                </wp:inline>
              </w:drawing>
            </w:r>
          </w:p>
        </w:tc>
        <w:tc>
          <w:tcPr>
            <w:tcW w:w="4377" w:type="pct"/>
            <w:tcMar>
              <w:top w:w="0" w:type="dxa"/>
              <w:left w:w="0" w:type="dxa"/>
              <w:bottom w:w="0" w:type="dxa"/>
            </w:tcMar>
          </w:tcPr>
          <w:p w14:paraId="493D9085" w14:textId="77777777" w:rsidR="003A7DCF" w:rsidRPr="005A4A22" w:rsidRDefault="003A7DCF" w:rsidP="005A4A22">
            <w:r w:rsidRPr="005A4A22">
              <w:rPr>
                <w:b/>
                <w:bCs/>
              </w:rPr>
              <w:t>Medication Safety</w:t>
            </w:r>
            <w:r w:rsidRPr="005A4A22">
              <w:t xml:space="preserve">, ensures clinicians safely prescribe, dispense and administer appropriate medicines, and monitor medicine use. It also ensures consumers are informed about medicines, and understand their own medicine needs and risks. </w:t>
            </w:r>
          </w:p>
        </w:tc>
      </w:tr>
      <w:tr w:rsidR="005A4A22" w:rsidRPr="005A4A22" w14:paraId="28724FFA" w14:textId="77777777" w:rsidTr="002B7E26">
        <w:tblPrEx>
          <w:tblCellMar>
            <w:top w:w="57" w:type="dxa"/>
            <w:left w:w="170" w:type="dxa"/>
          </w:tblCellMar>
        </w:tblPrEx>
        <w:trPr>
          <w:trHeight w:val="60"/>
        </w:trPr>
        <w:tc>
          <w:tcPr>
            <w:tcW w:w="623" w:type="pct"/>
            <w:tcMar>
              <w:top w:w="0" w:type="dxa"/>
              <w:bottom w:w="0" w:type="dxa"/>
            </w:tcMar>
          </w:tcPr>
          <w:p w14:paraId="3ABB8C66" w14:textId="7C127978" w:rsidR="003A7DCF" w:rsidRPr="005A4A22" w:rsidRDefault="00683DBA" w:rsidP="00683DBA">
            <w:pPr>
              <w:jc w:val="right"/>
            </w:pPr>
            <w:r w:rsidRPr="00683DBA">
              <w:rPr>
                <w:noProof/>
              </w:rPr>
              <w:drawing>
                <wp:inline distT="0" distB="0" distL="0" distR="0" wp14:anchorId="6BCAFA76" wp14:editId="2147E36F">
                  <wp:extent cx="546100" cy="546100"/>
                  <wp:effectExtent l="0" t="0" r="0" b="0"/>
                  <wp:docPr id="7" name="Picture 7" descr="Comprehensive Care Stand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mprehensive Care Standard icon"/>
                          <pic:cNvPicPr/>
                        </pic:nvPicPr>
                        <pic:blipFill>
                          <a:blip r:embed="rId12"/>
                          <a:stretch>
                            <a:fillRect/>
                          </a:stretch>
                        </pic:blipFill>
                        <pic:spPr>
                          <a:xfrm>
                            <a:off x="0" y="0"/>
                            <a:ext cx="546100" cy="546100"/>
                          </a:xfrm>
                          <a:prstGeom prst="rect">
                            <a:avLst/>
                          </a:prstGeom>
                        </pic:spPr>
                      </pic:pic>
                    </a:graphicData>
                  </a:graphic>
                </wp:inline>
              </w:drawing>
            </w:r>
          </w:p>
        </w:tc>
        <w:tc>
          <w:tcPr>
            <w:tcW w:w="4377" w:type="pct"/>
            <w:tcMar>
              <w:top w:w="0" w:type="dxa"/>
              <w:left w:w="0" w:type="dxa"/>
              <w:bottom w:w="0" w:type="dxa"/>
            </w:tcMar>
          </w:tcPr>
          <w:p w14:paraId="4805FAC6" w14:textId="77777777" w:rsidR="003A7DCF" w:rsidRPr="005A4A22" w:rsidRDefault="003A7DCF" w:rsidP="005A4A22">
            <w:r w:rsidRPr="005A4A22">
              <w:rPr>
                <w:b/>
                <w:bCs/>
              </w:rPr>
              <w:t>Comprehensive Care</w:t>
            </w:r>
            <w:r w:rsidRPr="005A4A22">
              <w:t>, ensures that consumers receive comprehensive health care that meets their individual needs. It considers the impact of their health issues on their life and wellbeing and it ensures risks to patients during health care are prevented and managed.</w:t>
            </w:r>
          </w:p>
        </w:tc>
      </w:tr>
      <w:tr w:rsidR="005A4A22" w:rsidRPr="005A4A22" w14:paraId="3159455C" w14:textId="77777777" w:rsidTr="002B7E26">
        <w:tblPrEx>
          <w:tblCellMar>
            <w:top w:w="57" w:type="dxa"/>
            <w:left w:w="170" w:type="dxa"/>
          </w:tblCellMar>
        </w:tblPrEx>
        <w:trPr>
          <w:trHeight w:val="60"/>
        </w:trPr>
        <w:tc>
          <w:tcPr>
            <w:tcW w:w="623" w:type="pct"/>
            <w:tcMar>
              <w:top w:w="0" w:type="dxa"/>
              <w:bottom w:w="0" w:type="dxa"/>
            </w:tcMar>
          </w:tcPr>
          <w:p w14:paraId="4472FFB0" w14:textId="5AEAF7E2" w:rsidR="003A7DCF" w:rsidRPr="005A4A22" w:rsidRDefault="00683DBA" w:rsidP="00683DBA">
            <w:pPr>
              <w:jc w:val="right"/>
            </w:pPr>
            <w:r w:rsidRPr="00683DBA">
              <w:rPr>
                <w:noProof/>
              </w:rPr>
              <w:drawing>
                <wp:inline distT="0" distB="0" distL="0" distR="0" wp14:anchorId="033471BF" wp14:editId="62F7C96F">
                  <wp:extent cx="546100" cy="546100"/>
                  <wp:effectExtent l="0" t="0" r="0" b="0"/>
                  <wp:docPr id="8" name="Picture 8" descr="Communicating for Safety Stand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mmunicating for Safety Standard icon"/>
                          <pic:cNvPicPr/>
                        </pic:nvPicPr>
                        <pic:blipFill>
                          <a:blip r:embed="rId13"/>
                          <a:stretch>
                            <a:fillRect/>
                          </a:stretch>
                        </pic:blipFill>
                        <pic:spPr>
                          <a:xfrm>
                            <a:off x="0" y="0"/>
                            <a:ext cx="546100" cy="546100"/>
                          </a:xfrm>
                          <a:prstGeom prst="rect">
                            <a:avLst/>
                          </a:prstGeom>
                        </pic:spPr>
                      </pic:pic>
                    </a:graphicData>
                  </a:graphic>
                </wp:inline>
              </w:drawing>
            </w:r>
          </w:p>
        </w:tc>
        <w:tc>
          <w:tcPr>
            <w:tcW w:w="4377" w:type="pct"/>
            <w:tcMar>
              <w:top w:w="0" w:type="dxa"/>
              <w:left w:w="0" w:type="dxa"/>
              <w:bottom w:w="0" w:type="dxa"/>
            </w:tcMar>
          </w:tcPr>
          <w:p w14:paraId="0AC7E2ED" w14:textId="321F254A" w:rsidR="003A7DCF" w:rsidRPr="005A4A22" w:rsidRDefault="003A7DCF" w:rsidP="005A4A22">
            <w:r w:rsidRPr="005A4A22">
              <w:rPr>
                <w:b/>
                <w:bCs/>
              </w:rPr>
              <w:t>Communicating for Safety</w:t>
            </w:r>
            <w:r w:rsidRPr="005A4A22">
              <w:t>, ensures there is effective communication between patients, carers and families, multidisciplinary teams and clinicians, and across the health service organisation, to support continuous, coordinated and safe care for</w:t>
            </w:r>
            <w:r w:rsidR="005A4A22">
              <w:t> </w:t>
            </w:r>
            <w:r w:rsidRPr="005A4A22">
              <w:t>patients.</w:t>
            </w:r>
          </w:p>
        </w:tc>
      </w:tr>
      <w:tr w:rsidR="005A4A22" w:rsidRPr="005A4A22" w14:paraId="1B389A6C" w14:textId="77777777" w:rsidTr="002B7E26">
        <w:tblPrEx>
          <w:tblCellMar>
            <w:top w:w="57" w:type="dxa"/>
            <w:left w:w="170" w:type="dxa"/>
          </w:tblCellMar>
        </w:tblPrEx>
        <w:trPr>
          <w:trHeight w:val="60"/>
        </w:trPr>
        <w:tc>
          <w:tcPr>
            <w:tcW w:w="623" w:type="pct"/>
            <w:tcMar>
              <w:top w:w="0" w:type="dxa"/>
              <w:bottom w:w="0" w:type="dxa"/>
            </w:tcMar>
          </w:tcPr>
          <w:p w14:paraId="48C6BB27" w14:textId="249F4581" w:rsidR="003A7DCF" w:rsidRPr="005A4A22" w:rsidRDefault="00683DBA" w:rsidP="00683DBA">
            <w:pPr>
              <w:jc w:val="right"/>
            </w:pPr>
            <w:r w:rsidRPr="00683DBA">
              <w:rPr>
                <w:noProof/>
              </w:rPr>
              <w:drawing>
                <wp:inline distT="0" distB="0" distL="0" distR="0" wp14:anchorId="0D3A342B" wp14:editId="70F1F09E">
                  <wp:extent cx="546100" cy="546100"/>
                  <wp:effectExtent l="0" t="0" r="0" b="0"/>
                  <wp:docPr id="9" name="Picture 9" descr="Blood Management Stand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lood Management Standard icon"/>
                          <pic:cNvPicPr/>
                        </pic:nvPicPr>
                        <pic:blipFill>
                          <a:blip r:embed="rId14"/>
                          <a:stretch>
                            <a:fillRect/>
                          </a:stretch>
                        </pic:blipFill>
                        <pic:spPr>
                          <a:xfrm>
                            <a:off x="0" y="0"/>
                            <a:ext cx="546100" cy="546100"/>
                          </a:xfrm>
                          <a:prstGeom prst="rect">
                            <a:avLst/>
                          </a:prstGeom>
                        </pic:spPr>
                      </pic:pic>
                    </a:graphicData>
                  </a:graphic>
                </wp:inline>
              </w:drawing>
            </w:r>
          </w:p>
        </w:tc>
        <w:tc>
          <w:tcPr>
            <w:tcW w:w="4377" w:type="pct"/>
            <w:tcMar>
              <w:top w:w="0" w:type="dxa"/>
              <w:left w:w="0" w:type="dxa"/>
              <w:bottom w:w="0" w:type="dxa"/>
            </w:tcMar>
          </w:tcPr>
          <w:p w14:paraId="0B06B41E" w14:textId="77777777" w:rsidR="003A7DCF" w:rsidRPr="005A4A22" w:rsidRDefault="003A7DCF" w:rsidP="005A4A22">
            <w:r w:rsidRPr="005A4A22">
              <w:rPr>
                <w:b/>
                <w:bCs/>
              </w:rPr>
              <w:t>Blood Management</w:t>
            </w:r>
            <w:r w:rsidRPr="005A4A22">
              <w:t>, ensures patients’ own blood is safely and appropriately managed, and that any blood and blood products that patients receive are safe and appropriate.</w:t>
            </w:r>
          </w:p>
        </w:tc>
      </w:tr>
      <w:tr w:rsidR="005A4A22" w:rsidRPr="005A4A22" w14:paraId="36FC166D" w14:textId="77777777" w:rsidTr="002B7E26">
        <w:tblPrEx>
          <w:tblCellMar>
            <w:top w:w="57" w:type="dxa"/>
            <w:left w:w="170" w:type="dxa"/>
          </w:tblCellMar>
        </w:tblPrEx>
        <w:trPr>
          <w:trHeight w:val="60"/>
        </w:trPr>
        <w:tc>
          <w:tcPr>
            <w:tcW w:w="623" w:type="pct"/>
            <w:tcMar>
              <w:top w:w="0" w:type="dxa"/>
            </w:tcMar>
          </w:tcPr>
          <w:p w14:paraId="6588EB90" w14:textId="3C602680" w:rsidR="003A7DCF" w:rsidRPr="005A4A22" w:rsidRDefault="00683DBA" w:rsidP="005A4A22">
            <w:r w:rsidRPr="00683DBA">
              <w:rPr>
                <w:noProof/>
              </w:rPr>
              <w:drawing>
                <wp:inline distT="0" distB="0" distL="0" distR="0" wp14:anchorId="4FB1D43E" wp14:editId="41002018">
                  <wp:extent cx="546100" cy="546100"/>
                  <wp:effectExtent l="0" t="0" r="0" b="0"/>
                  <wp:docPr id="10" name="Picture 10" descr="Recognising and Responding to Acute Deterioration Stand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Recognising and Responding to Acute Deterioration Standard icon"/>
                          <pic:cNvPicPr/>
                        </pic:nvPicPr>
                        <pic:blipFill>
                          <a:blip r:embed="rId15"/>
                          <a:stretch>
                            <a:fillRect/>
                          </a:stretch>
                        </pic:blipFill>
                        <pic:spPr>
                          <a:xfrm>
                            <a:off x="0" y="0"/>
                            <a:ext cx="546100" cy="546100"/>
                          </a:xfrm>
                          <a:prstGeom prst="rect">
                            <a:avLst/>
                          </a:prstGeom>
                        </pic:spPr>
                      </pic:pic>
                    </a:graphicData>
                  </a:graphic>
                </wp:inline>
              </w:drawing>
            </w:r>
          </w:p>
        </w:tc>
        <w:tc>
          <w:tcPr>
            <w:tcW w:w="4377" w:type="pct"/>
            <w:tcMar>
              <w:top w:w="0" w:type="dxa"/>
              <w:left w:w="0" w:type="dxa"/>
            </w:tcMar>
          </w:tcPr>
          <w:p w14:paraId="50C1D458" w14:textId="77777777" w:rsidR="003A7DCF" w:rsidRPr="005A4A22" w:rsidRDefault="003A7DCF" w:rsidP="005A4A22">
            <w:r w:rsidRPr="005A4A22">
              <w:rPr>
                <w:b/>
                <w:bCs/>
              </w:rPr>
              <w:t>Recognising and Responding to Acute Deterioration</w:t>
            </w:r>
            <w:r w:rsidRPr="005A4A22">
              <w:t>, ensures acute deterioration in a patient’s physical mental or cognitive condition is recognised promptly and appropriate action is taken.</w:t>
            </w:r>
          </w:p>
        </w:tc>
      </w:tr>
    </w:tbl>
    <w:p w14:paraId="79FFC8D3" w14:textId="77777777" w:rsidR="003A7DCF" w:rsidRDefault="003A7DCF" w:rsidP="00066B2D">
      <w:pPr>
        <w:pStyle w:val="Heading3"/>
      </w:pPr>
      <w:r>
        <w:lastRenderedPageBreak/>
        <w:t>How can the NSQHS Standards improve safety and quality of health care?</w:t>
      </w:r>
    </w:p>
    <w:p w14:paraId="64C83FF6" w14:textId="77777777" w:rsidR="003A7DCF" w:rsidRPr="00066B2D" w:rsidRDefault="003A7DCF" w:rsidP="00066B2D">
      <w:pPr>
        <w:pStyle w:val="Headinbluebox"/>
      </w:pPr>
      <w:r w:rsidRPr="00066B2D">
        <w:t xml:space="preserve">What is safety and quality? </w:t>
      </w:r>
    </w:p>
    <w:p w14:paraId="714A9D33" w14:textId="77777777" w:rsidR="003A7DCF" w:rsidRDefault="003A7DCF" w:rsidP="003A7DCF">
      <w:pPr>
        <w:pStyle w:val="Normalinbluebox"/>
        <w:spacing w:before="0"/>
      </w:pPr>
      <w:r>
        <w:t xml:space="preserve">Patient safety and quality is often summarised as the right </w:t>
      </w:r>
      <w:r>
        <w:rPr>
          <w:rStyle w:val="Strongsemibold"/>
        </w:rPr>
        <w:t>care</w:t>
      </w:r>
      <w:r>
        <w:t xml:space="preserve">, in the right </w:t>
      </w:r>
      <w:r>
        <w:rPr>
          <w:rStyle w:val="Strongsemibold"/>
        </w:rPr>
        <w:t>place</w:t>
      </w:r>
      <w:r>
        <w:t xml:space="preserve">, at the right </w:t>
      </w:r>
      <w:r>
        <w:rPr>
          <w:rStyle w:val="Strongsemibold"/>
        </w:rPr>
        <w:t xml:space="preserve">time </w:t>
      </w:r>
      <w:r>
        <w:t xml:space="preserve">and </w:t>
      </w:r>
      <w:r>
        <w:rPr>
          <w:rStyle w:val="Strongsemibold"/>
        </w:rPr>
        <w:t>cost</w:t>
      </w:r>
      <w:r>
        <w:t>.</w:t>
      </w:r>
    </w:p>
    <w:p w14:paraId="2ECC4D44" w14:textId="255D9821" w:rsidR="003A7DCF" w:rsidRDefault="003A7DCF" w:rsidP="003E5375">
      <w:r>
        <w:t>When a healthcare service organisation implements the NSQHS Standards, you can be assured</w:t>
      </w:r>
      <w:r w:rsidR="000E5A0C">
        <w:t> </w:t>
      </w:r>
      <w:r>
        <w:t>that:</w:t>
      </w:r>
    </w:p>
    <w:p w14:paraId="6EBCEE7C" w14:textId="77777777" w:rsidR="003A7DCF" w:rsidRPr="003E5375" w:rsidRDefault="003A7DCF" w:rsidP="003E5375">
      <w:pPr>
        <w:pStyle w:val="ListParagraph"/>
        <w:numPr>
          <w:ilvl w:val="0"/>
          <w:numId w:val="49"/>
        </w:numPr>
      </w:pPr>
      <w:r>
        <w:t xml:space="preserve">A healthcare service </w:t>
      </w:r>
      <w:r w:rsidRPr="003E5375">
        <w:t>organisation has safety and quality systems and process in place to provide safe and high-quality health care</w:t>
      </w:r>
    </w:p>
    <w:p w14:paraId="61160182" w14:textId="53D631C7" w:rsidR="003A7DCF" w:rsidRPr="003E5375" w:rsidRDefault="003A7DCF" w:rsidP="003E5375">
      <w:pPr>
        <w:pStyle w:val="ListParagraph"/>
        <w:numPr>
          <w:ilvl w:val="0"/>
          <w:numId w:val="49"/>
        </w:numPr>
      </w:pPr>
      <w:r w:rsidRPr="003E5375">
        <w:t>The healthcare service organisation has processes to continuously improve the care they</w:t>
      </w:r>
      <w:r w:rsidR="003E5375">
        <w:t> </w:t>
      </w:r>
      <w:r w:rsidRPr="003E5375">
        <w:t>provide</w:t>
      </w:r>
    </w:p>
    <w:p w14:paraId="2444B8D0" w14:textId="77777777" w:rsidR="003A7DCF" w:rsidRDefault="003A7DCF" w:rsidP="003E5375">
      <w:pPr>
        <w:pStyle w:val="ListParagraph"/>
        <w:numPr>
          <w:ilvl w:val="0"/>
          <w:numId w:val="49"/>
        </w:numPr>
      </w:pPr>
      <w:r w:rsidRPr="003E5375">
        <w:t>Everyone in the healthcare service organisation is accountable for the delivery of safe, effective and high-quality health ca</w:t>
      </w:r>
      <w:r>
        <w:t>re.</w:t>
      </w:r>
    </w:p>
    <w:p w14:paraId="7BAB2361" w14:textId="77777777" w:rsidR="003A7DCF" w:rsidRDefault="003A7DCF" w:rsidP="00873BB0">
      <w:pPr>
        <w:pStyle w:val="Heading3"/>
      </w:pPr>
      <w:r>
        <w:t xml:space="preserve">Partnering with Consumers </w:t>
      </w:r>
    </w:p>
    <w:p w14:paraId="6F793041" w14:textId="77777777" w:rsidR="003A7DCF" w:rsidRPr="00EF3A7F" w:rsidRDefault="003A7DCF" w:rsidP="00EF3A7F">
      <w:r>
        <w:t xml:space="preserve">The Partnering with Consumers Standard places an increasing emphasis on the need for health service organisations to engage with consumers as </w:t>
      </w:r>
      <w:r w:rsidRPr="00EF3A7F">
        <w:t>partners in their own care, as well as involving consumers as partners in governance systems and processes.</w:t>
      </w:r>
    </w:p>
    <w:p w14:paraId="173D1CBC" w14:textId="77777777" w:rsidR="003A7DCF" w:rsidRDefault="003A7DCF" w:rsidP="00EF3A7F">
      <w:r w:rsidRPr="00EF3A7F">
        <w:t xml:space="preserve">The NSQHS Standards require all organisations to implement a charter of rights for patients that is consistent with the </w:t>
      </w:r>
      <w:r w:rsidRPr="00EF3A7F">
        <w:rPr>
          <w:i/>
          <w:iCs/>
        </w:rPr>
        <w:t>Australian Charter of Healthcare Rights</w:t>
      </w:r>
      <w:r w:rsidRPr="00EF3A7F">
        <w:t xml:space="preserve"> (the Charter). The Charter sets out seven rights and principles that people can expect when accessing health care in</w:t>
      </w:r>
      <w:r>
        <w:t xml:space="preserve"> Australia. </w:t>
      </w:r>
    </w:p>
    <w:p w14:paraId="1E841A29" w14:textId="77777777" w:rsidR="003A7DCF" w:rsidRDefault="003A7DCF" w:rsidP="00EF3A7F">
      <w:pPr>
        <w:pStyle w:val="FigureTitle"/>
      </w:pPr>
      <w:r>
        <w:lastRenderedPageBreak/>
        <w:t>The Australian Charter of Healthcare Rights poster</w:t>
      </w:r>
    </w:p>
    <w:p w14:paraId="4CEC63C5" w14:textId="0F75B526" w:rsidR="003A7DCF" w:rsidRDefault="000C1122" w:rsidP="003A7DCF">
      <w:pPr>
        <w:pStyle w:val="NormalBodystyles"/>
      </w:pPr>
      <w:r w:rsidRPr="000C1122">
        <w:rPr>
          <w:noProof/>
        </w:rPr>
        <w:drawing>
          <wp:inline distT="0" distB="0" distL="0" distR="0" wp14:anchorId="31B32010" wp14:editId="6FBA3808">
            <wp:extent cx="3073400" cy="4368800"/>
            <wp:effectExtent l="0" t="0" r="0" b="0"/>
            <wp:docPr id="11" name="Picture 11" descr="Image of a poster for the Australian Charter of Healthcare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age of a poster for the Australian Charter of Healthcare Rights"/>
                    <pic:cNvPicPr/>
                  </pic:nvPicPr>
                  <pic:blipFill>
                    <a:blip r:embed="rId16"/>
                    <a:stretch>
                      <a:fillRect/>
                    </a:stretch>
                  </pic:blipFill>
                  <pic:spPr>
                    <a:xfrm>
                      <a:off x="0" y="0"/>
                      <a:ext cx="3073400" cy="4368800"/>
                    </a:xfrm>
                    <a:prstGeom prst="rect">
                      <a:avLst/>
                    </a:prstGeom>
                  </pic:spPr>
                </pic:pic>
              </a:graphicData>
            </a:graphic>
          </wp:inline>
        </w:drawing>
      </w:r>
    </w:p>
    <w:p w14:paraId="0D624D67" w14:textId="77777777" w:rsidR="003A7DCF" w:rsidRDefault="003A7DCF" w:rsidP="005046D2">
      <w:pPr>
        <w:spacing w:before="360"/>
      </w:pPr>
      <w:r>
        <w:t xml:space="preserve">The Commission has developed a range of resources to support people to understand and use the Australian Charter of Healthcare Rights (the Charter). These are </w:t>
      </w:r>
      <w:r w:rsidRPr="007B4739">
        <w:t>available</w:t>
      </w:r>
      <w:r>
        <w:t xml:space="preserve"> at: </w:t>
      </w:r>
      <w:r>
        <w:rPr>
          <w:rStyle w:val="Hyperlink"/>
        </w:rPr>
        <w:t>safetyandquality.gov.au/consumers/working-your-healthcare-provider/australian-charter-healthcare-rights</w:t>
      </w:r>
      <w:r>
        <w:t xml:space="preserve"> </w:t>
      </w:r>
    </w:p>
    <w:p w14:paraId="0F401C32" w14:textId="77777777" w:rsidR="003A7DCF" w:rsidRPr="00833533" w:rsidRDefault="003A7DCF" w:rsidP="00833533">
      <w:r>
        <w:t xml:space="preserve">The NSQHS Standards strengthen the roles of </w:t>
      </w:r>
      <w:r w:rsidRPr="007B4739">
        <w:t xml:space="preserve">consumers, </w:t>
      </w:r>
      <w:r w:rsidRPr="00833533">
        <w:t xml:space="preserve">carers and families as partners in their own care, recognising that patient involvement leads to a more positive experience for consumers. </w:t>
      </w:r>
    </w:p>
    <w:p w14:paraId="29867159" w14:textId="77777777" w:rsidR="003A7DCF" w:rsidRDefault="003A7DCF" w:rsidP="00833533">
      <w:r w:rsidRPr="00833533">
        <w:t>This means health service organisations will support you or the person you care for to understand information about your health and treatment options, to ask</w:t>
      </w:r>
      <w:r>
        <w:t xml:space="preserve"> questions and involve you in decisions about your care to the degree you want, so that the care you receive is right for you.</w:t>
      </w:r>
    </w:p>
    <w:p w14:paraId="25B72C3D" w14:textId="77777777" w:rsidR="003A7DCF" w:rsidRDefault="003A7DCF" w:rsidP="00066B2D">
      <w:pPr>
        <w:pStyle w:val="Headinbluebox"/>
      </w:pPr>
      <w:r>
        <w:t>Definitions</w:t>
      </w:r>
    </w:p>
    <w:p w14:paraId="7F28EFE1" w14:textId="77777777" w:rsidR="003A7DCF" w:rsidRDefault="003A7DCF" w:rsidP="003A7DCF">
      <w:pPr>
        <w:pStyle w:val="Normalinbluebox"/>
        <w:spacing w:before="0"/>
      </w:pPr>
      <w:r>
        <w:t xml:space="preserve">The glossary section of the </w:t>
      </w:r>
      <w:r>
        <w:rPr>
          <w:rStyle w:val="Hyperlink"/>
        </w:rPr>
        <w:t>NSQHS Standards</w:t>
      </w:r>
      <w:r>
        <w:t xml:space="preserve"> contains a list of definitions for words and terms that are used frequently in the Standards and supporting resources.</w:t>
      </w:r>
    </w:p>
    <w:p w14:paraId="60879521" w14:textId="77777777" w:rsidR="003A7DCF" w:rsidRDefault="003A7DCF" w:rsidP="00AF0A67">
      <w:pPr>
        <w:pStyle w:val="Heading2"/>
      </w:pPr>
      <w:r>
        <w:lastRenderedPageBreak/>
        <w:t>Further information</w:t>
      </w:r>
    </w:p>
    <w:p w14:paraId="4C70FFB5" w14:textId="77777777" w:rsidR="003A7DCF" w:rsidRDefault="003A7DCF" w:rsidP="00AF0A67">
      <w:r>
        <w:t xml:space="preserve">For more information about the NSQHS Standards and </w:t>
      </w:r>
      <w:r w:rsidRPr="00AF0A67">
        <w:t>accreditation</w:t>
      </w:r>
      <w:r>
        <w:t xml:space="preserve">, please visit: </w:t>
      </w:r>
      <w:r>
        <w:rPr>
          <w:rStyle w:val="Hyperlink"/>
        </w:rPr>
        <w:t>safetyandquality.gov.au/standards/</w:t>
      </w:r>
      <w:proofErr w:type="spellStart"/>
      <w:r>
        <w:rPr>
          <w:rStyle w:val="Hyperlink"/>
        </w:rPr>
        <w:t>nsqhs</w:t>
      </w:r>
      <w:proofErr w:type="spellEnd"/>
      <w:r>
        <w:rPr>
          <w:rStyle w:val="Hyperlink"/>
        </w:rPr>
        <w:t>-standards</w:t>
      </w:r>
    </w:p>
    <w:p w14:paraId="7231BB2C" w14:textId="0CFA46D1" w:rsidR="003A7DCF" w:rsidRPr="002A364B" w:rsidRDefault="003A7DCF" w:rsidP="002A364B">
      <w:r>
        <w:t xml:space="preserve">You can also email the NSQHS Standards Advice Centre at </w:t>
      </w:r>
      <w:r>
        <w:rPr>
          <w:rStyle w:val="Hyperlink"/>
        </w:rPr>
        <w:t>AdviceCentre@safetyandquality.gov.au</w:t>
      </w:r>
      <w:r>
        <w:t xml:space="preserve"> or 1800 304 056.</w:t>
      </w:r>
    </w:p>
    <w:p w14:paraId="1F64B81D" w14:textId="25D01DE6" w:rsidR="00195458" w:rsidRPr="0026569B" w:rsidRDefault="00865170" w:rsidP="00820059">
      <w:pPr>
        <w:spacing w:before="360" w:after="60"/>
        <w:rPr>
          <w:rFonts w:cstheme="minorHAnsi"/>
          <w:b/>
          <w:bCs/>
          <w:sz w:val="27"/>
          <w:szCs w:val="27"/>
        </w:rPr>
      </w:pPr>
      <w:hyperlink r:id="rId17" w:history="1">
        <w:r w:rsidR="00195458" w:rsidRPr="0026569B">
          <w:rPr>
            <w:rStyle w:val="Hyperlink"/>
            <w:rFonts w:cstheme="minorHAnsi"/>
            <w:b/>
            <w:bCs/>
            <w:color w:val="007EA5" w:themeColor="accent2" w:themeShade="BF"/>
            <w:sz w:val="27"/>
            <w:szCs w:val="27"/>
            <w:u w:val="none"/>
          </w:rPr>
          <w:t>safetyandquality.gov.au</w:t>
        </w:r>
      </w:hyperlink>
    </w:p>
    <w:p w14:paraId="4FD3C59B" w14:textId="2ABE483F" w:rsidR="00C477AC" w:rsidRPr="00F85302" w:rsidRDefault="001918F7" w:rsidP="00F85302">
      <w:pPr>
        <w:pStyle w:val="FootnoteText"/>
        <w:tabs>
          <w:tab w:val="right" w:pos="8931"/>
        </w:tabs>
        <w:spacing w:before="140"/>
        <w:rPr>
          <w:rFonts w:eastAsiaTheme="majorEastAsia"/>
          <w:sz w:val="16"/>
          <w:szCs w:val="16"/>
        </w:rPr>
      </w:pPr>
      <w:r w:rsidRPr="00146BFB">
        <w:rPr>
          <w:noProof/>
          <w:sz w:val="16"/>
          <w:szCs w:val="16"/>
          <w:lang w:val="en-US" w:eastAsia="en-US"/>
        </w:rPr>
        <w:drawing>
          <wp:anchor distT="0" distB="0" distL="114300" distR="114300" simplePos="0" relativeHeight="251663360" behindDoc="0" locked="0" layoutInCell="1" allowOverlap="1" wp14:anchorId="52E40C1F" wp14:editId="5445298F">
            <wp:simplePos x="0" y="0"/>
            <wp:positionH relativeFrom="column">
              <wp:posOffset>-1905</wp:posOffset>
            </wp:positionH>
            <wp:positionV relativeFrom="paragraph">
              <wp:posOffset>62715</wp:posOffset>
            </wp:positionV>
            <wp:extent cx="596265" cy="211455"/>
            <wp:effectExtent l="0" t="0" r="635" b="4445"/>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26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6BFB">
        <w:rPr>
          <w:rStyle w:val="Roman"/>
          <w:rFonts w:eastAsiaTheme="majorEastAsia"/>
          <w:sz w:val="16"/>
          <w:szCs w:val="16"/>
        </w:rPr>
        <w:t xml:space="preserve">© Australian Commission on </w:t>
      </w:r>
      <w:r w:rsidR="00146BFB" w:rsidRPr="00146BFB">
        <w:rPr>
          <w:rStyle w:val="Roman"/>
          <w:rFonts w:eastAsiaTheme="majorEastAsia"/>
          <w:sz w:val="16"/>
          <w:szCs w:val="16"/>
        </w:rPr>
        <w:br/>
      </w:r>
      <w:r w:rsidRPr="00146BFB">
        <w:rPr>
          <w:rStyle w:val="Roman"/>
          <w:rFonts w:eastAsiaTheme="majorEastAsia"/>
          <w:sz w:val="16"/>
          <w:szCs w:val="16"/>
        </w:rPr>
        <w:t>Safety</w:t>
      </w:r>
      <w:r w:rsidR="00146BFB" w:rsidRPr="00146BFB">
        <w:rPr>
          <w:rStyle w:val="Roman"/>
          <w:rFonts w:eastAsiaTheme="majorEastAsia"/>
          <w:sz w:val="16"/>
          <w:szCs w:val="16"/>
        </w:rPr>
        <w:t xml:space="preserve"> </w:t>
      </w:r>
      <w:r w:rsidRPr="00146BFB">
        <w:rPr>
          <w:rStyle w:val="Roman"/>
          <w:rFonts w:eastAsiaTheme="majorEastAsia"/>
          <w:sz w:val="16"/>
          <w:szCs w:val="16"/>
        </w:rPr>
        <w:t>and</w:t>
      </w:r>
      <w:r w:rsidR="00146BFB">
        <w:rPr>
          <w:rStyle w:val="Roman"/>
          <w:rFonts w:eastAsiaTheme="majorEastAsia"/>
          <w:sz w:val="16"/>
          <w:szCs w:val="16"/>
        </w:rPr>
        <w:softHyphen/>
      </w:r>
      <w:r w:rsidR="00146BFB">
        <w:rPr>
          <w:rStyle w:val="Roman"/>
          <w:rFonts w:eastAsiaTheme="majorEastAsia"/>
          <w:sz w:val="16"/>
          <w:szCs w:val="16"/>
        </w:rPr>
        <w:softHyphen/>
      </w:r>
      <w:r w:rsidRPr="00146BFB">
        <w:rPr>
          <w:rStyle w:val="Roman"/>
          <w:rFonts w:eastAsiaTheme="majorEastAsia"/>
          <w:sz w:val="16"/>
          <w:szCs w:val="16"/>
        </w:rPr>
        <w:t xml:space="preserve"> </w:t>
      </w:r>
      <w:r w:rsidR="00146BFB" w:rsidRPr="00146BFB">
        <w:rPr>
          <w:rStyle w:val="Roman"/>
          <w:rFonts w:eastAsiaTheme="majorEastAsia"/>
          <w:sz w:val="16"/>
          <w:szCs w:val="16"/>
        </w:rPr>
        <w:softHyphen/>
      </w:r>
      <w:r w:rsidRPr="00146BFB">
        <w:rPr>
          <w:rStyle w:val="Roman"/>
          <w:rFonts w:eastAsiaTheme="majorEastAsia"/>
          <w:sz w:val="16"/>
          <w:szCs w:val="16"/>
        </w:rPr>
        <w:t>Quality in Health Care 20</w:t>
      </w:r>
      <w:r w:rsidR="003A70CE" w:rsidRPr="00146BFB">
        <w:rPr>
          <w:rStyle w:val="Roman"/>
          <w:rFonts w:eastAsiaTheme="majorEastAsia"/>
          <w:sz w:val="16"/>
          <w:szCs w:val="16"/>
        </w:rPr>
        <w:t>2</w:t>
      </w:r>
      <w:r w:rsidR="00470A65">
        <w:rPr>
          <w:rStyle w:val="Roman"/>
          <w:rFonts w:eastAsiaTheme="majorEastAsia"/>
          <w:sz w:val="16"/>
          <w:szCs w:val="16"/>
        </w:rPr>
        <w:t>1</w:t>
      </w:r>
      <w:r w:rsidR="007B5D1E" w:rsidRPr="00146BFB">
        <w:rPr>
          <w:sz w:val="16"/>
          <w:szCs w:val="16"/>
        </w:rPr>
        <w:t xml:space="preserve"> </w:t>
      </w:r>
      <w:r w:rsidR="007B5D1E" w:rsidRPr="00146BFB" w:rsidDel="00174535">
        <w:rPr>
          <w:rStyle w:val="Roman"/>
          <w:rFonts w:eastAsiaTheme="majorEastAsia"/>
          <w:sz w:val="16"/>
          <w:szCs w:val="16"/>
        </w:rPr>
        <w:t xml:space="preserve"> </w:t>
      </w:r>
    </w:p>
    <w:sectPr w:rsidR="00C477AC" w:rsidRPr="00F85302" w:rsidSect="00B93CD5">
      <w:headerReference w:type="even" r:id="rId19"/>
      <w:headerReference w:type="default" r:id="rId20"/>
      <w:footerReference w:type="even" r:id="rId21"/>
      <w:footerReference w:type="default" r:id="rId22"/>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C9D9B" w14:textId="77777777" w:rsidR="00865170" w:rsidRDefault="00865170" w:rsidP="000B0274">
      <w:r>
        <w:separator/>
      </w:r>
    </w:p>
    <w:p w14:paraId="5BF7089E" w14:textId="77777777" w:rsidR="00865170" w:rsidRDefault="00865170"/>
    <w:p w14:paraId="2F126FEA" w14:textId="77777777" w:rsidR="00865170" w:rsidRDefault="00865170"/>
  </w:endnote>
  <w:endnote w:type="continuationSeparator" w:id="0">
    <w:p w14:paraId="776AA5C8" w14:textId="77777777" w:rsidR="00865170" w:rsidRDefault="00865170" w:rsidP="000B0274">
      <w:r>
        <w:continuationSeparator/>
      </w:r>
    </w:p>
    <w:p w14:paraId="5166E1C4" w14:textId="77777777" w:rsidR="00865170" w:rsidRDefault="00865170"/>
    <w:p w14:paraId="72EFFCA2" w14:textId="77777777" w:rsidR="00865170" w:rsidRDefault="00865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altName w:val="Arial"/>
    <w:panose1 w:val="020B0604020202020204"/>
    <w:charset w:val="00"/>
    <w:family w:val="auto"/>
    <w:notTrueType/>
    <w:pitch w:val="variable"/>
    <w:sig w:usb0="00000003" w:usb1="00000000" w:usb2="00000000" w:usb3="00000000" w:csb0="0000000B" w:csb1="00000000"/>
  </w:font>
  <w:font w:name="MinionPro-Regular">
    <w:altName w:val="Minion Pro"/>
    <w:panose1 w:val="02040503050306020203"/>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BoldMT">
    <w:altName w:val="Arial"/>
    <w:panose1 w:val="020B0604020202020204"/>
    <w:charset w:val="4D"/>
    <w:family w:val="auto"/>
    <w:notTrueType/>
    <w:pitch w:val="default"/>
    <w:sig w:usb0="00000003" w:usb1="00000000" w:usb2="00000000" w:usb3="00000000" w:csb0="00000001" w:csb1="00000000"/>
  </w:font>
  <w:font w:name="Calluna-It">
    <w:altName w:val="Arial"/>
    <w:panose1 w:val="00000500000000000000"/>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ProximaNova-Bold">
    <w:altName w:val="Arial"/>
    <w:panose1 w:val="02000506030000020004"/>
    <w:charset w:val="4D"/>
    <w:family w:val="auto"/>
    <w:notTrueType/>
    <w:pitch w:val="default"/>
    <w:sig w:usb0="00000003" w:usb1="00000000" w:usb2="00000000" w:usb3="00000000" w:csb0="00000001" w:csb1="00000000"/>
  </w:font>
  <w:font w:name="Proxima Nova">
    <w:panose1 w:val="02000506030000020004"/>
    <w:charset w:val="00"/>
    <w:family w:val="auto"/>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Proxima Nova Extrabold">
    <w:panose1 w:val="02000506030000020004"/>
    <w:charset w:val="00"/>
    <w:family w:val="auto"/>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00FC" w14:textId="37E2D28D" w:rsidR="00A5694A" w:rsidRDefault="00A5694A">
    <w:pPr>
      <w:pStyle w:val="Footer"/>
    </w:pPr>
  </w:p>
  <w:p w14:paraId="15F8C43E" w14:textId="77777777" w:rsidR="000D3447" w:rsidRDefault="000D34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3ACF" w14:textId="36D107AA" w:rsidR="000D3447" w:rsidRPr="004D73A3" w:rsidRDefault="002A364B" w:rsidP="00102E15">
    <w:pPr>
      <w:pStyle w:val="Footer"/>
      <w:rPr>
        <w:b/>
        <w:lang w:val="en-GB"/>
      </w:rPr>
    </w:pPr>
    <w:r w:rsidRPr="002A364B">
      <w:rPr>
        <w:bCs/>
      </w:rPr>
      <w:t>Introduction to the National Safety and Quality Health Service Standards</w:t>
    </w:r>
    <w:r w:rsidR="00102E15">
      <w:tab/>
    </w:r>
    <w:r w:rsidR="0026569B" w:rsidRPr="00102E15">
      <w:tab/>
    </w:r>
    <w:r w:rsidR="0026569B" w:rsidRPr="00102E15">
      <w:fldChar w:fldCharType="begin"/>
    </w:r>
    <w:r w:rsidR="0026569B" w:rsidRPr="00102E15">
      <w:instrText xml:space="preserve"> PAGE </w:instrText>
    </w:r>
    <w:r w:rsidR="0026569B" w:rsidRPr="00102E15">
      <w:fldChar w:fldCharType="separate"/>
    </w:r>
    <w:r w:rsidR="0026569B" w:rsidRPr="00102E15">
      <w:t>1</w:t>
    </w:r>
    <w:r w:rsidR="0026569B" w:rsidRPr="00102E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D472C" w14:textId="77777777" w:rsidR="00865170" w:rsidRDefault="00865170" w:rsidP="000B0274">
      <w:r>
        <w:separator/>
      </w:r>
    </w:p>
    <w:p w14:paraId="23302B24" w14:textId="77777777" w:rsidR="00865170" w:rsidRDefault="00865170"/>
    <w:p w14:paraId="09F3DAD9" w14:textId="77777777" w:rsidR="00865170" w:rsidRDefault="00865170"/>
  </w:footnote>
  <w:footnote w:type="continuationSeparator" w:id="0">
    <w:p w14:paraId="313253DF" w14:textId="77777777" w:rsidR="00865170" w:rsidRDefault="00865170" w:rsidP="000B0274">
      <w:r>
        <w:continuationSeparator/>
      </w:r>
    </w:p>
    <w:p w14:paraId="72C850E0" w14:textId="77777777" w:rsidR="00865170" w:rsidRDefault="00865170"/>
    <w:p w14:paraId="09D38A6E" w14:textId="77777777" w:rsidR="00865170" w:rsidRDefault="008651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3CD3" w14:textId="0F215348" w:rsidR="00A5694A" w:rsidRDefault="00A5694A">
    <w:pPr>
      <w:pStyle w:val="Header"/>
    </w:pPr>
  </w:p>
  <w:p w14:paraId="42D3D454" w14:textId="77777777" w:rsidR="000D3447" w:rsidRDefault="000D34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3B42" w14:textId="4FC96088" w:rsidR="000D3447" w:rsidRDefault="0036588B" w:rsidP="00851BF2">
    <w:pPr>
      <w:pStyle w:val="Header"/>
      <w:tabs>
        <w:tab w:val="clear" w:pos="9026"/>
        <w:tab w:val="right" w:pos="9638"/>
      </w:tabs>
      <w:ind w:left="-142"/>
    </w:pPr>
    <w:r w:rsidRPr="00FB375B">
      <w:rPr>
        <w:rFonts w:eastAsiaTheme="majorEastAsia"/>
        <w:noProof/>
        <w:lang w:val="en-US" w:eastAsia="en-US"/>
      </w:rPr>
      <w:drawing>
        <wp:inline distT="0" distB="0" distL="0" distR="0" wp14:anchorId="752AEEBE" wp14:editId="63B0FCBB">
          <wp:extent cx="3907790" cy="468000"/>
          <wp:effectExtent l="0" t="0" r="3810" b="1905"/>
          <wp:docPr id="2" name="Picture 2"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5152"/>
                  <a:stretch/>
                </pic:blipFill>
                <pic:spPr bwMode="auto">
                  <a:xfrm>
                    <a:off x="0" y="0"/>
                    <a:ext cx="4067301" cy="487103"/>
                  </a:xfrm>
                  <a:prstGeom prst="rect">
                    <a:avLst/>
                  </a:prstGeom>
                  <a:ln>
                    <a:noFill/>
                  </a:ln>
                  <a:extLst>
                    <a:ext uri="{53640926-AAD7-44D8-BBD7-CCE9431645EC}">
                      <a14:shadowObscured xmlns:a14="http://schemas.microsoft.com/office/drawing/2010/main"/>
                    </a:ext>
                  </a:extLst>
                </pic:spPr>
              </pic:pic>
            </a:graphicData>
          </a:graphic>
        </wp:inline>
      </w:drawing>
    </w:r>
    <w:r w:rsidR="00851BF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F2B"/>
    <w:multiLevelType w:val="hybridMultilevel"/>
    <w:tmpl w:val="5C7EC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683FDD"/>
    <w:multiLevelType w:val="multilevel"/>
    <w:tmpl w:val="89BC75C6"/>
    <w:styleLink w:val="CurrentList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A52EDB"/>
    <w:multiLevelType w:val="hybridMultilevel"/>
    <w:tmpl w:val="0324FBEC"/>
    <w:lvl w:ilvl="0" w:tplc="08090001">
      <w:start w:val="1"/>
      <w:numFmt w:val="bullet"/>
      <w:lvlText w:val=""/>
      <w:lvlJc w:val="left"/>
      <w:pPr>
        <w:ind w:left="720" w:hanging="360"/>
      </w:pPr>
      <w:rPr>
        <w:rFonts w:ascii="Symbol" w:hAnsi="Symbol" w:hint="default"/>
        <w:color w:val="119066"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CE2525"/>
    <w:multiLevelType w:val="hybridMultilevel"/>
    <w:tmpl w:val="5D14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F510A0"/>
    <w:multiLevelType w:val="hybridMultilevel"/>
    <w:tmpl w:val="1CCC3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12690A95"/>
    <w:multiLevelType w:val="hybridMultilevel"/>
    <w:tmpl w:val="5652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B5430D"/>
    <w:multiLevelType w:val="hybridMultilevel"/>
    <w:tmpl w:val="01020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9F80507"/>
    <w:multiLevelType w:val="hybridMultilevel"/>
    <w:tmpl w:val="F464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241D1686"/>
    <w:multiLevelType w:val="hybridMultilevel"/>
    <w:tmpl w:val="B1EA0358"/>
    <w:lvl w:ilvl="0" w:tplc="926255E6">
      <w:start w:val="1"/>
      <w:numFmt w:val="bullet"/>
      <w:lvlText w:val=""/>
      <w:lvlJc w:val="left"/>
      <w:pPr>
        <w:ind w:left="720" w:hanging="360"/>
      </w:pPr>
      <w:rPr>
        <w:rFonts w:ascii="Wingdings" w:hAnsi="Wingdings" w:hint="default"/>
        <w:color w:val="119066"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170609"/>
    <w:multiLevelType w:val="multilevel"/>
    <w:tmpl w:val="799CEA04"/>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193706"/>
    <w:multiLevelType w:val="hybridMultilevel"/>
    <w:tmpl w:val="560A5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6C29A8"/>
    <w:multiLevelType w:val="hybridMultilevel"/>
    <w:tmpl w:val="96AE1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49254E"/>
    <w:multiLevelType w:val="hybridMultilevel"/>
    <w:tmpl w:val="C3AA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EC6372"/>
    <w:multiLevelType w:val="hybridMultilevel"/>
    <w:tmpl w:val="BD005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774EE6"/>
    <w:multiLevelType w:val="hybridMultilevel"/>
    <w:tmpl w:val="3314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00B2164"/>
    <w:multiLevelType w:val="hybridMultilevel"/>
    <w:tmpl w:val="72A6E6C4"/>
    <w:lvl w:ilvl="0" w:tplc="926255E6">
      <w:start w:val="1"/>
      <w:numFmt w:val="bullet"/>
      <w:lvlText w:val=""/>
      <w:lvlJc w:val="left"/>
      <w:pPr>
        <w:ind w:left="720" w:hanging="360"/>
      </w:pPr>
      <w:rPr>
        <w:rFonts w:ascii="Wingdings" w:hAnsi="Wingdings" w:hint="default"/>
        <w:color w:val="119066"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9D4023"/>
    <w:multiLevelType w:val="hybridMultilevel"/>
    <w:tmpl w:val="8E24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3578DA"/>
    <w:multiLevelType w:val="hybridMultilevel"/>
    <w:tmpl w:val="0B5E9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19013D"/>
    <w:multiLevelType w:val="hybridMultilevel"/>
    <w:tmpl w:val="68F4B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770BD3"/>
    <w:multiLevelType w:val="hybridMultilevel"/>
    <w:tmpl w:val="AC7CB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CF21423"/>
    <w:multiLevelType w:val="hybridMultilevel"/>
    <w:tmpl w:val="E47E7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E32529"/>
    <w:multiLevelType w:val="hybridMultilevel"/>
    <w:tmpl w:val="C3147C7E"/>
    <w:lvl w:ilvl="0" w:tplc="08090001">
      <w:start w:val="1"/>
      <w:numFmt w:val="bullet"/>
      <w:lvlText w:val=""/>
      <w:lvlJc w:val="left"/>
      <w:pPr>
        <w:ind w:left="720" w:hanging="360"/>
      </w:pPr>
      <w:rPr>
        <w:rFonts w:ascii="Symbol" w:hAnsi="Symbol" w:hint="default"/>
        <w:color w:val="119066"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E51090"/>
    <w:multiLevelType w:val="hybridMultilevel"/>
    <w:tmpl w:val="36B2B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7F2B54"/>
    <w:multiLevelType w:val="hybridMultilevel"/>
    <w:tmpl w:val="DBBEA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A5F40F7"/>
    <w:multiLevelType w:val="hybridMultilevel"/>
    <w:tmpl w:val="1A463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CC065E"/>
    <w:multiLevelType w:val="hybridMultilevel"/>
    <w:tmpl w:val="F17A7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5C5562"/>
    <w:multiLevelType w:val="hybridMultilevel"/>
    <w:tmpl w:val="A06A8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1004E3"/>
    <w:multiLevelType w:val="hybridMultilevel"/>
    <w:tmpl w:val="5C4C5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3F6A01"/>
    <w:multiLevelType w:val="hybridMultilevel"/>
    <w:tmpl w:val="CAB8AA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1D60C24"/>
    <w:multiLevelType w:val="hybridMultilevel"/>
    <w:tmpl w:val="CBCE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506D66"/>
    <w:multiLevelType w:val="hybridMultilevel"/>
    <w:tmpl w:val="77380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4F82BE3"/>
    <w:multiLevelType w:val="hybridMultilevel"/>
    <w:tmpl w:val="B3DEC6A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A29471A"/>
    <w:multiLevelType w:val="multilevel"/>
    <w:tmpl w:val="9974A4E0"/>
    <w:styleLink w:val="CurrentList3"/>
    <w:lvl w:ilvl="0">
      <w:start w:val="1"/>
      <w:numFmt w:val="bullet"/>
      <w:lvlText w:val=""/>
      <w:lvlJc w:val="left"/>
      <w:pPr>
        <w:ind w:left="720" w:hanging="360"/>
      </w:pPr>
      <w:rPr>
        <w:rFonts w:ascii="Wingdings" w:hAnsi="Wingdings" w:hint="default"/>
        <w:color w:val="119066" w:themeColor="accent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250F9B"/>
    <w:multiLevelType w:val="hybridMultilevel"/>
    <w:tmpl w:val="A01A7F6A"/>
    <w:lvl w:ilvl="0" w:tplc="926255E6">
      <w:start w:val="1"/>
      <w:numFmt w:val="bullet"/>
      <w:lvlText w:val=""/>
      <w:lvlJc w:val="left"/>
      <w:pPr>
        <w:ind w:left="720" w:hanging="360"/>
      </w:pPr>
      <w:rPr>
        <w:rFonts w:ascii="Wingdings" w:hAnsi="Wingdings" w:hint="default"/>
        <w:color w:val="119066"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895388"/>
    <w:multiLevelType w:val="hybridMultilevel"/>
    <w:tmpl w:val="96641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6"/>
  </w:num>
  <w:num w:numId="4">
    <w:abstractNumId w:val="31"/>
  </w:num>
  <w:num w:numId="5">
    <w:abstractNumId w:val="30"/>
  </w:num>
  <w:num w:numId="6">
    <w:abstractNumId w:val="8"/>
  </w:num>
  <w:num w:numId="7">
    <w:abstractNumId w:val="10"/>
  </w:num>
  <w:num w:numId="8">
    <w:abstractNumId w:val="4"/>
  </w:num>
  <w:num w:numId="9">
    <w:abstractNumId w:val="44"/>
  </w:num>
  <w:num w:numId="10">
    <w:abstractNumId w:val="15"/>
  </w:num>
  <w:num w:numId="11">
    <w:abstractNumId w:val="12"/>
  </w:num>
  <w:num w:numId="12">
    <w:abstractNumId w:val="43"/>
  </w:num>
  <w:num w:numId="13">
    <w:abstractNumId w:val="14"/>
  </w:num>
  <w:num w:numId="14">
    <w:abstractNumId w:val="24"/>
  </w:num>
  <w:num w:numId="15">
    <w:abstractNumId w:val="45"/>
  </w:num>
  <w:num w:numId="16">
    <w:abstractNumId w:val="11"/>
  </w:num>
  <w:num w:numId="17">
    <w:abstractNumId w:val="36"/>
  </w:num>
  <w:num w:numId="18">
    <w:abstractNumId w:val="35"/>
  </w:num>
  <w:num w:numId="19">
    <w:abstractNumId w:val="40"/>
  </w:num>
  <w:num w:numId="20">
    <w:abstractNumId w:val="39"/>
  </w:num>
  <w:num w:numId="21">
    <w:abstractNumId w:val="26"/>
  </w:num>
  <w:num w:numId="22">
    <w:abstractNumId w:val="23"/>
  </w:num>
  <w:num w:numId="23">
    <w:abstractNumId w:val="41"/>
  </w:num>
  <w:num w:numId="24">
    <w:abstractNumId w:val="32"/>
  </w:num>
  <w:num w:numId="25">
    <w:abstractNumId w:val="20"/>
  </w:num>
  <w:num w:numId="26">
    <w:abstractNumId w:val="21"/>
  </w:num>
  <w:num w:numId="27">
    <w:abstractNumId w:val="17"/>
  </w:num>
  <w:num w:numId="28">
    <w:abstractNumId w:val="18"/>
  </w:num>
  <w:num w:numId="29">
    <w:abstractNumId w:val="2"/>
  </w:num>
  <w:num w:numId="30">
    <w:abstractNumId w:val="25"/>
  </w:num>
  <w:num w:numId="31">
    <w:abstractNumId w:val="33"/>
  </w:num>
  <w:num w:numId="32">
    <w:abstractNumId w:val="28"/>
  </w:num>
  <w:num w:numId="33">
    <w:abstractNumId w:val="27"/>
  </w:num>
  <w:num w:numId="34">
    <w:abstractNumId w:val="34"/>
  </w:num>
  <w:num w:numId="35">
    <w:abstractNumId w:val="29"/>
  </w:num>
  <w:num w:numId="36">
    <w:abstractNumId w:val="9"/>
  </w:num>
  <w:num w:numId="37">
    <w:abstractNumId w:val="6"/>
  </w:num>
  <w:num w:numId="38">
    <w:abstractNumId w:val="47"/>
  </w:num>
  <w:num w:numId="39">
    <w:abstractNumId w:val="3"/>
  </w:num>
  <w:num w:numId="40">
    <w:abstractNumId w:val="46"/>
  </w:num>
  <w:num w:numId="41">
    <w:abstractNumId w:val="5"/>
  </w:num>
  <w:num w:numId="42">
    <w:abstractNumId w:val="48"/>
  </w:num>
  <w:num w:numId="43">
    <w:abstractNumId w:val="0"/>
  </w:num>
  <w:num w:numId="44">
    <w:abstractNumId w:val="22"/>
  </w:num>
  <w:num w:numId="45">
    <w:abstractNumId w:val="37"/>
  </w:num>
  <w:num w:numId="46">
    <w:abstractNumId w:val="13"/>
  </w:num>
  <w:num w:numId="47">
    <w:abstractNumId w:val="19"/>
  </w:num>
  <w:num w:numId="48">
    <w:abstractNumId w:val="42"/>
  </w:num>
  <w:num w:numId="49">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17EE"/>
    <w:rsid w:val="00002668"/>
    <w:rsid w:val="00003743"/>
    <w:rsid w:val="0001053B"/>
    <w:rsid w:val="00012782"/>
    <w:rsid w:val="00020DBD"/>
    <w:rsid w:val="00025A92"/>
    <w:rsid w:val="0003162D"/>
    <w:rsid w:val="00036F5E"/>
    <w:rsid w:val="000406F8"/>
    <w:rsid w:val="00043671"/>
    <w:rsid w:val="00050775"/>
    <w:rsid w:val="000511D2"/>
    <w:rsid w:val="00054B74"/>
    <w:rsid w:val="00062E3A"/>
    <w:rsid w:val="00066B2D"/>
    <w:rsid w:val="00067456"/>
    <w:rsid w:val="0008065C"/>
    <w:rsid w:val="00083CA3"/>
    <w:rsid w:val="00090EFF"/>
    <w:rsid w:val="00095DA6"/>
    <w:rsid w:val="000A26C7"/>
    <w:rsid w:val="000A3F0D"/>
    <w:rsid w:val="000A4C01"/>
    <w:rsid w:val="000B0274"/>
    <w:rsid w:val="000B0BFE"/>
    <w:rsid w:val="000B79D3"/>
    <w:rsid w:val="000C1122"/>
    <w:rsid w:val="000C1722"/>
    <w:rsid w:val="000C1DD4"/>
    <w:rsid w:val="000C7A69"/>
    <w:rsid w:val="000D017D"/>
    <w:rsid w:val="000D3447"/>
    <w:rsid w:val="000D6405"/>
    <w:rsid w:val="000E2F2E"/>
    <w:rsid w:val="000E5A0C"/>
    <w:rsid w:val="000F0D77"/>
    <w:rsid w:val="00102E15"/>
    <w:rsid w:val="0010673D"/>
    <w:rsid w:val="00106CF5"/>
    <w:rsid w:val="00115403"/>
    <w:rsid w:val="00120FCB"/>
    <w:rsid w:val="00131E52"/>
    <w:rsid w:val="001413B3"/>
    <w:rsid w:val="00143A76"/>
    <w:rsid w:val="00145BE3"/>
    <w:rsid w:val="00146A66"/>
    <w:rsid w:val="00146BFB"/>
    <w:rsid w:val="001507C6"/>
    <w:rsid w:val="00157B31"/>
    <w:rsid w:val="00160453"/>
    <w:rsid w:val="001650A8"/>
    <w:rsid w:val="00174535"/>
    <w:rsid w:val="0017675C"/>
    <w:rsid w:val="00183675"/>
    <w:rsid w:val="001852DE"/>
    <w:rsid w:val="001859B5"/>
    <w:rsid w:val="001860B2"/>
    <w:rsid w:val="001918F7"/>
    <w:rsid w:val="001921ED"/>
    <w:rsid w:val="00195458"/>
    <w:rsid w:val="00196AC8"/>
    <w:rsid w:val="001A11A5"/>
    <w:rsid w:val="001A206A"/>
    <w:rsid w:val="001B15D1"/>
    <w:rsid w:val="001B3443"/>
    <w:rsid w:val="001E1042"/>
    <w:rsid w:val="001E38B8"/>
    <w:rsid w:val="001E77C4"/>
    <w:rsid w:val="001F6D10"/>
    <w:rsid w:val="0023112B"/>
    <w:rsid w:val="0023231A"/>
    <w:rsid w:val="00237ADF"/>
    <w:rsid w:val="00245D81"/>
    <w:rsid w:val="0024767D"/>
    <w:rsid w:val="002503C3"/>
    <w:rsid w:val="00251167"/>
    <w:rsid w:val="00255596"/>
    <w:rsid w:val="00255DCB"/>
    <w:rsid w:val="00261F43"/>
    <w:rsid w:val="002625FB"/>
    <w:rsid w:val="00263A63"/>
    <w:rsid w:val="00264A5A"/>
    <w:rsid w:val="0026569B"/>
    <w:rsid w:val="002662B4"/>
    <w:rsid w:val="0026675D"/>
    <w:rsid w:val="00267635"/>
    <w:rsid w:val="0028150E"/>
    <w:rsid w:val="00281FD4"/>
    <w:rsid w:val="00291EBD"/>
    <w:rsid w:val="002A364B"/>
    <w:rsid w:val="002B7E26"/>
    <w:rsid w:val="002C1CA0"/>
    <w:rsid w:val="002C2D8F"/>
    <w:rsid w:val="002C6AF0"/>
    <w:rsid w:val="002D0EB0"/>
    <w:rsid w:val="002E195D"/>
    <w:rsid w:val="002E2DBA"/>
    <w:rsid w:val="002E3959"/>
    <w:rsid w:val="002E3986"/>
    <w:rsid w:val="002E6A48"/>
    <w:rsid w:val="002E7082"/>
    <w:rsid w:val="002E7977"/>
    <w:rsid w:val="002F0A0A"/>
    <w:rsid w:val="002F3AE3"/>
    <w:rsid w:val="002F7E6F"/>
    <w:rsid w:val="00300631"/>
    <w:rsid w:val="0030786C"/>
    <w:rsid w:val="00312A62"/>
    <w:rsid w:val="00316683"/>
    <w:rsid w:val="00341BEE"/>
    <w:rsid w:val="00343286"/>
    <w:rsid w:val="0034680F"/>
    <w:rsid w:val="00350BE1"/>
    <w:rsid w:val="00360152"/>
    <w:rsid w:val="003621CE"/>
    <w:rsid w:val="003657DB"/>
    <w:rsid w:val="0036588B"/>
    <w:rsid w:val="003808E4"/>
    <w:rsid w:val="00386683"/>
    <w:rsid w:val="003873C6"/>
    <w:rsid w:val="00392002"/>
    <w:rsid w:val="00392A85"/>
    <w:rsid w:val="00396AFB"/>
    <w:rsid w:val="00397221"/>
    <w:rsid w:val="003A70CE"/>
    <w:rsid w:val="003A7DCF"/>
    <w:rsid w:val="003C297A"/>
    <w:rsid w:val="003C540E"/>
    <w:rsid w:val="003C5F0C"/>
    <w:rsid w:val="003D17F9"/>
    <w:rsid w:val="003D437B"/>
    <w:rsid w:val="003D4829"/>
    <w:rsid w:val="003E52CC"/>
    <w:rsid w:val="003E5375"/>
    <w:rsid w:val="003E6E73"/>
    <w:rsid w:val="003E76C8"/>
    <w:rsid w:val="003F013A"/>
    <w:rsid w:val="003F3F0B"/>
    <w:rsid w:val="0040152C"/>
    <w:rsid w:val="00402CBA"/>
    <w:rsid w:val="00412E9D"/>
    <w:rsid w:val="00414952"/>
    <w:rsid w:val="00422791"/>
    <w:rsid w:val="00425504"/>
    <w:rsid w:val="0042727E"/>
    <w:rsid w:val="004305D6"/>
    <w:rsid w:val="00440CC0"/>
    <w:rsid w:val="004437F3"/>
    <w:rsid w:val="00447D31"/>
    <w:rsid w:val="00450C55"/>
    <w:rsid w:val="00455560"/>
    <w:rsid w:val="00466503"/>
    <w:rsid w:val="00466862"/>
    <w:rsid w:val="00470A65"/>
    <w:rsid w:val="00470AB8"/>
    <w:rsid w:val="00477E9B"/>
    <w:rsid w:val="00482ECA"/>
    <w:rsid w:val="00485794"/>
    <w:rsid w:val="004867E2"/>
    <w:rsid w:val="00486826"/>
    <w:rsid w:val="004A0670"/>
    <w:rsid w:val="004A4851"/>
    <w:rsid w:val="004A5C81"/>
    <w:rsid w:val="004B2999"/>
    <w:rsid w:val="004C3664"/>
    <w:rsid w:val="004C4927"/>
    <w:rsid w:val="004D73A3"/>
    <w:rsid w:val="004E067A"/>
    <w:rsid w:val="004E08C8"/>
    <w:rsid w:val="004E179B"/>
    <w:rsid w:val="004E2389"/>
    <w:rsid w:val="004E50C2"/>
    <w:rsid w:val="004E58C1"/>
    <w:rsid w:val="005046D2"/>
    <w:rsid w:val="0051563D"/>
    <w:rsid w:val="005179C7"/>
    <w:rsid w:val="0052107C"/>
    <w:rsid w:val="005221B7"/>
    <w:rsid w:val="00530100"/>
    <w:rsid w:val="00536E0C"/>
    <w:rsid w:val="005408C7"/>
    <w:rsid w:val="005422E7"/>
    <w:rsid w:val="005437FD"/>
    <w:rsid w:val="00544A4E"/>
    <w:rsid w:val="00553E33"/>
    <w:rsid w:val="00562F72"/>
    <w:rsid w:val="00566B97"/>
    <w:rsid w:val="00570C6C"/>
    <w:rsid w:val="005768CA"/>
    <w:rsid w:val="00584334"/>
    <w:rsid w:val="0059380A"/>
    <w:rsid w:val="0059724C"/>
    <w:rsid w:val="005A1AA7"/>
    <w:rsid w:val="005A4A22"/>
    <w:rsid w:val="005A4D0B"/>
    <w:rsid w:val="005A735B"/>
    <w:rsid w:val="005B04D8"/>
    <w:rsid w:val="005B317B"/>
    <w:rsid w:val="005B4A94"/>
    <w:rsid w:val="005C1496"/>
    <w:rsid w:val="005C5EF4"/>
    <w:rsid w:val="005C6AAE"/>
    <w:rsid w:val="005D1073"/>
    <w:rsid w:val="005D5D06"/>
    <w:rsid w:val="005D62B5"/>
    <w:rsid w:val="005E2614"/>
    <w:rsid w:val="00607B0B"/>
    <w:rsid w:val="0061063B"/>
    <w:rsid w:val="00614E29"/>
    <w:rsid w:val="0062216A"/>
    <w:rsid w:val="00625634"/>
    <w:rsid w:val="00630199"/>
    <w:rsid w:val="00630F39"/>
    <w:rsid w:val="006317C9"/>
    <w:rsid w:val="00632475"/>
    <w:rsid w:val="00632C35"/>
    <w:rsid w:val="00641773"/>
    <w:rsid w:val="00641CB0"/>
    <w:rsid w:val="0064239F"/>
    <w:rsid w:val="00656A90"/>
    <w:rsid w:val="00664F67"/>
    <w:rsid w:val="00670F54"/>
    <w:rsid w:val="006728F9"/>
    <w:rsid w:val="006767BC"/>
    <w:rsid w:val="006803BA"/>
    <w:rsid w:val="00683DBA"/>
    <w:rsid w:val="006922F5"/>
    <w:rsid w:val="006947D9"/>
    <w:rsid w:val="006A16DD"/>
    <w:rsid w:val="006A2587"/>
    <w:rsid w:val="006A3EFA"/>
    <w:rsid w:val="006B3CFC"/>
    <w:rsid w:val="006C0CD8"/>
    <w:rsid w:val="006C5AEE"/>
    <w:rsid w:val="006C679A"/>
    <w:rsid w:val="006D09FE"/>
    <w:rsid w:val="006D0C40"/>
    <w:rsid w:val="006D732F"/>
    <w:rsid w:val="006E688D"/>
    <w:rsid w:val="006F1432"/>
    <w:rsid w:val="006F7964"/>
    <w:rsid w:val="007028EC"/>
    <w:rsid w:val="007035D8"/>
    <w:rsid w:val="0070703E"/>
    <w:rsid w:val="00710112"/>
    <w:rsid w:val="00711E21"/>
    <w:rsid w:val="00715168"/>
    <w:rsid w:val="0071637F"/>
    <w:rsid w:val="00722691"/>
    <w:rsid w:val="007238E8"/>
    <w:rsid w:val="007333AD"/>
    <w:rsid w:val="007360BF"/>
    <w:rsid w:val="007406E6"/>
    <w:rsid w:val="007449EB"/>
    <w:rsid w:val="00747CE1"/>
    <w:rsid w:val="007545C7"/>
    <w:rsid w:val="0076005C"/>
    <w:rsid w:val="007609E2"/>
    <w:rsid w:val="0076111D"/>
    <w:rsid w:val="007635C1"/>
    <w:rsid w:val="00766B42"/>
    <w:rsid w:val="0076731D"/>
    <w:rsid w:val="00767650"/>
    <w:rsid w:val="0078070C"/>
    <w:rsid w:val="00784541"/>
    <w:rsid w:val="00794D87"/>
    <w:rsid w:val="007968CC"/>
    <w:rsid w:val="00796FB7"/>
    <w:rsid w:val="0079708B"/>
    <w:rsid w:val="007A4621"/>
    <w:rsid w:val="007B04A9"/>
    <w:rsid w:val="007B16AC"/>
    <w:rsid w:val="007B4739"/>
    <w:rsid w:val="007B5D05"/>
    <w:rsid w:val="007B5D1E"/>
    <w:rsid w:val="007C2217"/>
    <w:rsid w:val="007C471C"/>
    <w:rsid w:val="007C52D3"/>
    <w:rsid w:val="007D4258"/>
    <w:rsid w:val="007E000D"/>
    <w:rsid w:val="007E2A5F"/>
    <w:rsid w:val="007F3645"/>
    <w:rsid w:val="007F58DD"/>
    <w:rsid w:val="007F61E2"/>
    <w:rsid w:val="007F6791"/>
    <w:rsid w:val="007F7053"/>
    <w:rsid w:val="00804685"/>
    <w:rsid w:val="00805E44"/>
    <w:rsid w:val="00811C26"/>
    <w:rsid w:val="00820059"/>
    <w:rsid w:val="008264EB"/>
    <w:rsid w:val="00827924"/>
    <w:rsid w:val="00830756"/>
    <w:rsid w:val="00833533"/>
    <w:rsid w:val="00851BF2"/>
    <w:rsid w:val="00856DF5"/>
    <w:rsid w:val="00857E76"/>
    <w:rsid w:val="00865170"/>
    <w:rsid w:val="00865932"/>
    <w:rsid w:val="00872059"/>
    <w:rsid w:val="00873673"/>
    <w:rsid w:val="00873BB0"/>
    <w:rsid w:val="008803A1"/>
    <w:rsid w:val="0088122A"/>
    <w:rsid w:val="008839CD"/>
    <w:rsid w:val="00892AC8"/>
    <w:rsid w:val="008A07AF"/>
    <w:rsid w:val="008A4AC8"/>
    <w:rsid w:val="008A58F9"/>
    <w:rsid w:val="008D09DE"/>
    <w:rsid w:val="008D57AE"/>
    <w:rsid w:val="008D6F52"/>
    <w:rsid w:val="008E59EB"/>
    <w:rsid w:val="008E5D6A"/>
    <w:rsid w:val="0091137C"/>
    <w:rsid w:val="0091384C"/>
    <w:rsid w:val="0092204C"/>
    <w:rsid w:val="00922DEE"/>
    <w:rsid w:val="009238AA"/>
    <w:rsid w:val="009244B8"/>
    <w:rsid w:val="00933B21"/>
    <w:rsid w:val="00941048"/>
    <w:rsid w:val="009424A5"/>
    <w:rsid w:val="00944FE9"/>
    <w:rsid w:val="00950089"/>
    <w:rsid w:val="0095539D"/>
    <w:rsid w:val="00957E88"/>
    <w:rsid w:val="00961B39"/>
    <w:rsid w:val="00961FBE"/>
    <w:rsid w:val="00964277"/>
    <w:rsid w:val="0097582E"/>
    <w:rsid w:val="00977D26"/>
    <w:rsid w:val="00977E26"/>
    <w:rsid w:val="00984227"/>
    <w:rsid w:val="00991AF5"/>
    <w:rsid w:val="0099343F"/>
    <w:rsid w:val="00995094"/>
    <w:rsid w:val="009A007B"/>
    <w:rsid w:val="009A0425"/>
    <w:rsid w:val="009A263C"/>
    <w:rsid w:val="009B053D"/>
    <w:rsid w:val="009B0AB7"/>
    <w:rsid w:val="009B64E3"/>
    <w:rsid w:val="009C5964"/>
    <w:rsid w:val="009D0B90"/>
    <w:rsid w:val="009D6852"/>
    <w:rsid w:val="009E0725"/>
    <w:rsid w:val="009E0D48"/>
    <w:rsid w:val="009E1F38"/>
    <w:rsid w:val="009E6B78"/>
    <w:rsid w:val="009E6D37"/>
    <w:rsid w:val="009F1EC9"/>
    <w:rsid w:val="009F4ACF"/>
    <w:rsid w:val="009F5557"/>
    <w:rsid w:val="00A02BFF"/>
    <w:rsid w:val="00A03812"/>
    <w:rsid w:val="00A0554C"/>
    <w:rsid w:val="00A1015B"/>
    <w:rsid w:val="00A15082"/>
    <w:rsid w:val="00A16AEE"/>
    <w:rsid w:val="00A369E8"/>
    <w:rsid w:val="00A4199A"/>
    <w:rsid w:val="00A4512D"/>
    <w:rsid w:val="00A541E1"/>
    <w:rsid w:val="00A54775"/>
    <w:rsid w:val="00A5502C"/>
    <w:rsid w:val="00A5694A"/>
    <w:rsid w:val="00A6672E"/>
    <w:rsid w:val="00A705AF"/>
    <w:rsid w:val="00A73C2F"/>
    <w:rsid w:val="00A75B58"/>
    <w:rsid w:val="00A77349"/>
    <w:rsid w:val="00A931E2"/>
    <w:rsid w:val="00A93A18"/>
    <w:rsid w:val="00A964DB"/>
    <w:rsid w:val="00A96DED"/>
    <w:rsid w:val="00AA0A90"/>
    <w:rsid w:val="00AA3A3E"/>
    <w:rsid w:val="00AA6DC2"/>
    <w:rsid w:val="00AA7B58"/>
    <w:rsid w:val="00AB0A6E"/>
    <w:rsid w:val="00AB40AB"/>
    <w:rsid w:val="00AB64E5"/>
    <w:rsid w:val="00AB6E76"/>
    <w:rsid w:val="00AB6ED9"/>
    <w:rsid w:val="00AC21F6"/>
    <w:rsid w:val="00AC637F"/>
    <w:rsid w:val="00AD01B4"/>
    <w:rsid w:val="00AD055C"/>
    <w:rsid w:val="00AD52A0"/>
    <w:rsid w:val="00AD5717"/>
    <w:rsid w:val="00AF0A67"/>
    <w:rsid w:val="00AF6154"/>
    <w:rsid w:val="00B07615"/>
    <w:rsid w:val="00B163F6"/>
    <w:rsid w:val="00B213FD"/>
    <w:rsid w:val="00B24DF4"/>
    <w:rsid w:val="00B2665E"/>
    <w:rsid w:val="00B30753"/>
    <w:rsid w:val="00B328AF"/>
    <w:rsid w:val="00B32DD1"/>
    <w:rsid w:val="00B3720C"/>
    <w:rsid w:val="00B37974"/>
    <w:rsid w:val="00B41409"/>
    <w:rsid w:val="00B41CAE"/>
    <w:rsid w:val="00B42851"/>
    <w:rsid w:val="00B456E0"/>
    <w:rsid w:val="00B459E9"/>
    <w:rsid w:val="00B47076"/>
    <w:rsid w:val="00B53823"/>
    <w:rsid w:val="00B56B37"/>
    <w:rsid w:val="00B57759"/>
    <w:rsid w:val="00B60D44"/>
    <w:rsid w:val="00B60D86"/>
    <w:rsid w:val="00B66A00"/>
    <w:rsid w:val="00B75A33"/>
    <w:rsid w:val="00B904EC"/>
    <w:rsid w:val="00B91269"/>
    <w:rsid w:val="00B91454"/>
    <w:rsid w:val="00B93CD5"/>
    <w:rsid w:val="00B9432A"/>
    <w:rsid w:val="00B95A67"/>
    <w:rsid w:val="00BA0015"/>
    <w:rsid w:val="00BA2A5D"/>
    <w:rsid w:val="00BA2DE8"/>
    <w:rsid w:val="00BA4AEE"/>
    <w:rsid w:val="00BC07E4"/>
    <w:rsid w:val="00BC4293"/>
    <w:rsid w:val="00BC4D09"/>
    <w:rsid w:val="00BD0B57"/>
    <w:rsid w:val="00BD649D"/>
    <w:rsid w:val="00BE0DE7"/>
    <w:rsid w:val="00BE6832"/>
    <w:rsid w:val="00BF2561"/>
    <w:rsid w:val="00BF5905"/>
    <w:rsid w:val="00BF6152"/>
    <w:rsid w:val="00BF6872"/>
    <w:rsid w:val="00C051AF"/>
    <w:rsid w:val="00C06314"/>
    <w:rsid w:val="00C20BB2"/>
    <w:rsid w:val="00C23604"/>
    <w:rsid w:val="00C308FA"/>
    <w:rsid w:val="00C31839"/>
    <w:rsid w:val="00C31A7F"/>
    <w:rsid w:val="00C32280"/>
    <w:rsid w:val="00C35287"/>
    <w:rsid w:val="00C35DEC"/>
    <w:rsid w:val="00C35F32"/>
    <w:rsid w:val="00C436EE"/>
    <w:rsid w:val="00C477AC"/>
    <w:rsid w:val="00C51BE7"/>
    <w:rsid w:val="00C52580"/>
    <w:rsid w:val="00C565EF"/>
    <w:rsid w:val="00C63431"/>
    <w:rsid w:val="00C64BBB"/>
    <w:rsid w:val="00C74935"/>
    <w:rsid w:val="00C7543A"/>
    <w:rsid w:val="00C911AD"/>
    <w:rsid w:val="00CA04C6"/>
    <w:rsid w:val="00CA30E3"/>
    <w:rsid w:val="00CB0684"/>
    <w:rsid w:val="00CB2190"/>
    <w:rsid w:val="00CB5999"/>
    <w:rsid w:val="00CB5B1A"/>
    <w:rsid w:val="00CB733F"/>
    <w:rsid w:val="00CC36EF"/>
    <w:rsid w:val="00CC4B8E"/>
    <w:rsid w:val="00CC697B"/>
    <w:rsid w:val="00CE1712"/>
    <w:rsid w:val="00CE3387"/>
    <w:rsid w:val="00CE3A39"/>
    <w:rsid w:val="00CE7355"/>
    <w:rsid w:val="00CF4118"/>
    <w:rsid w:val="00D07C0D"/>
    <w:rsid w:val="00D10D90"/>
    <w:rsid w:val="00D116AD"/>
    <w:rsid w:val="00D13C42"/>
    <w:rsid w:val="00D16B25"/>
    <w:rsid w:val="00D234B5"/>
    <w:rsid w:val="00D24922"/>
    <w:rsid w:val="00D301EA"/>
    <w:rsid w:val="00D30893"/>
    <w:rsid w:val="00D30AC1"/>
    <w:rsid w:val="00D31DC2"/>
    <w:rsid w:val="00D40DEC"/>
    <w:rsid w:val="00D41AE5"/>
    <w:rsid w:val="00D42B9A"/>
    <w:rsid w:val="00D469E4"/>
    <w:rsid w:val="00D4728F"/>
    <w:rsid w:val="00D5354B"/>
    <w:rsid w:val="00D563D0"/>
    <w:rsid w:val="00D738DB"/>
    <w:rsid w:val="00D73FE2"/>
    <w:rsid w:val="00D7465B"/>
    <w:rsid w:val="00D81026"/>
    <w:rsid w:val="00D812BD"/>
    <w:rsid w:val="00D96327"/>
    <w:rsid w:val="00DB07A4"/>
    <w:rsid w:val="00DB5454"/>
    <w:rsid w:val="00DB5911"/>
    <w:rsid w:val="00DC0477"/>
    <w:rsid w:val="00DC0D24"/>
    <w:rsid w:val="00DC3FB9"/>
    <w:rsid w:val="00DD047B"/>
    <w:rsid w:val="00DD5D99"/>
    <w:rsid w:val="00DE75D8"/>
    <w:rsid w:val="00DF515C"/>
    <w:rsid w:val="00E015E6"/>
    <w:rsid w:val="00E13C5C"/>
    <w:rsid w:val="00E209BF"/>
    <w:rsid w:val="00E236C6"/>
    <w:rsid w:val="00E34F33"/>
    <w:rsid w:val="00E40F95"/>
    <w:rsid w:val="00E41CF8"/>
    <w:rsid w:val="00E4269D"/>
    <w:rsid w:val="00E4312B"/>
    <w:rsid w:val="00E520C2"/>
    <w:rsid w:val="00E57576"/>
    <w:rsid w:val="00E604B3"/>
    <w:rsid w:val="00E60650"/>
    <w:rsid w:val="00E60EE1"/>
    <w:rsid w:val="00E708F6"/>
    <w:rsid w:val="00E716B4"/>
    <w:rsid w:val="00E86B67"/>
    <w:rsid w:val="00E9314D"/>
    <w:rsid w:val="00E966FB"/>
    <w:rsid w:val="00EA33D5"/>
    <w:rsid w:val="00EA4538"/>
    <w:rsid w:val="00EA5E02"/>
    <w:rsid w:val="00EA5FD0"/>
    <w:rsid w:val="00EA63B1"/>
    <w:rsid w:val="00EB0020"/>
    <w:rsid w:val="00EC21FE"/>
    <w:rsid w:val="00EC7D3F"/>
    <w:rsid w:val="00ED0DD3"/>
    <w:rsid w:val="00ED648B"/>
    <w:rsid w:val="00EE16DD"/>
    <w:rsid w:val="00EE31B0"/>
    <w:rsid w:val="00EE356F"/>
    <w:rsid w:val="00EE397E"/>
    <w:rsid w:val="00EE65B1"/>
    <w:rsid w:val="00EF1C55"/>
    <w:rsid w:val="00EF1C95"/>
    <w:rsid w:val="00EF2774"/>
    <w:rsid w:val="00EF3A7F"/>
    <w:rsid w:val="00EF4059"/>
    <w:rsid w:val="00EF5586"/>
    <w:rsid w:val="00F078B7"/>
    <w:rsid w:val="00F114D9"/>
    <w:rsid w:val="00F1278D"/>
    <w:rsid w:val="00F14BFD"/>
    <w:rsid w:val="00F17566"/>
    <w:rsid w:val="00F238F2"/>
    <w:rsid w:val="00F332B3"/>
    <w:rsid w:val="00F34D63"/>
    <w:rsid w:val="00F41C35"/>
    <w:rsid w:val="00F4438C"/>
    <w:rsid w:val="00F46ED7"/>
    <w:rsid w:val="00F545F0"/>
    <w:rsid w:val="00F549D7"/>
    <w:rsid w:val="00F556DB"/>
    <w:rsid w:val="00F560D5"/>
    <w:rsid w:val="00F73D95"/>
    <w:rsid w:val="00F75F83"/>
    <w:rsid w:val="00F77044"/>
    <w:rsid w:val="00F8015E"/>
    <w:rsid w:val="00F8291B"/>
    <w:rsid w:val="00F83598"/>
    <w:rsid w:val="00F85302"/>
    <w:rsid w:val="00F855A1"/>
    <w:rsid w:val="00F85766"/>
    <w:rsid w:val="00F91CCA"/>
    <w:rsid w:val="00F931D3"/>
    <w:rsid w:val="00F95769"/>
    <w:rsid w:val="00FA289A"/>
    <w:rsid w:val="00FB375B"/>
    <w:rsid w:val="00FB6425"/>
    <w:rsid w:val="00FC7F5D"/>
    <w:rsid w:val="00FD1D84"/>
    <w:rsid w:val="00FD50A4"/>
    <w:rsid w:val="00FE58D5"/>
    <w:rsid w:val="00FE5CA3"/>
    <w:rsid w:val="00FF08C3"/>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74535"/>
    <w:pPr>
      <w:spacing w:before="120" w:after="120"/>
    </w:pPr>
  </w:style>
  <w:style w:type="paragraph" w:styleId="Heading1">
    <w:name w:val="heading 1"/>
    <w:basedOn w:val="Normal"/>
    <w:next w:val="Normal"/>
    <w:qFormat/>
    <w:rsid w:val="00C74935"/>
    <w:pPr>
      <w:keepNext/>
      <w:spacing w:before="240"/>
      <w:outlineLvl w:val="0"/>
    </w:pPr>
    <w:rPr>
      <w:rFonts w:cs="Arial"/>
      <w:b/>
      <w:bCs/>
      <w:color w:val="1178A2"/>
      <w:kern w:val="28"/>
      <w:sz w:val="40"/>
      <w:szCs w:val="32"/>
    </w:rPr>
  </w:style>
  <w:style w:type="paragraph" w:styleId="Heading2">
    <w:name w:val="heading 2"/>
    <w:basedOn w:val="Heading1"/>
    <w:next w:val="Normal"/>
    <w:qFormat/>
    <w:rsid w:val="00300631"/>
    <w:pPr>
      <w:spacing w:before="300" w:after="240"/>
      <w:outlineLvl w:val="1"/>
    </w:pPr>
    <w:rPr>
      <w:bCs w:val="0"/>
      <w:iCs/>
      <w:color w:val="125370" w:themeColor="accent3"/>
      <w:sz w:val="32"/>
      <w:szCs w:val="28"/>
    </w:rPr>
  </w:style>
  <w:style w:type="paragraph" w:styleId="Heading3">
    <w:name w:val="heading 3"/>
    <w:basedOn w:val="Heading2"/>
    <w:next w:val="Normal"/>
    <w:qFormat/>
    <w:rsid w:val="00300631"/>
    <w:pPr>
      <w:outlineLvl w:val="2"/>
    </w:pPr>
    <w:rPr>
      <w:bCs/>
      <w:color w:val="000000" w:themeColor="text1"/>
      <w:sz w:val="28"/>
      <w:szCs w:val="26"/>
    </w:rPr>
  </w:style>
  <w:style w:type="paragraph" w:styleId="Heading4">
    <w:name w:val="heading 4"/>
    <w:basedOn w:val="Normal"/>
    <w:next w:val="Normal"/>
    <w:qFormat/>
    <w:rsid w:val="00F114D9"/>
    <w:pPr>
      <w:keepNext/>
      <w:spacing w:before="240" w:after="60"/>
      <w:outlineLvl w:val="3"/>
    </w:pPr>
    <w:rPr>
      <w:b/>
      <w:bCs/>
      <w:color w:val="000000" w:themeColor="text1"/>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uiPriority w:val="99"/>
    <w:qFormat/>
    <w:rsid w:val="004E08C8"/>
    <w:pPr>
      <w:spacing w:before="480" w:after="36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uiPriority w:val="99"/>
    <w:rsid w:val="004E08C8"/>
    <w:rPr>
      <w:rFonts w:ascii="Arial Bold" w:eastAsiaTheme="majorEastAsia" w:hAnsi="Arial Bold" w:cstheme="majorBidi"/>
      <w:b/>
      <w:color w:val="0A4A63"/>
      <w:kern w:val="28"/>
      <w:sz w:val="56"/>
      <w:szCs w:val="56"/>
    </w:rPr>
  </w:style>
  <w:style w:type="paragraph" w:customStyle="1" w:styleId="Bulletlist">
    <w:name w:val="Bullet list"/>
    <w:qFormat/>
    <w:rsid w:val="00544A4E"/>
    <w:pPr>
      <w:numPr>
        <w:numId w:val="6"/>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after="240"/>
      <w:contextualSpacing w:val="0"/>
    </w:pPr>
    <w:rPr>
      <w:color w:val="125370" w:themeColor="accent3"/>
      <w:sz w:val="48"/>
      <w:szCs w:val="48"/>
    </w:rPr>
  </w:style>
  <w:style w:type="paragraph" w:styleId="TOC1">
    <w:name w:val="toc 1"/>
    <w:basedOn w:val="Normal"/>
    <w:next w:val="Normal"/>
    <w:autoRedefine/>
    <w:uiPriority w:val="39"/>
    <w:qFormat/>
    <w:rsid w:val="005C1496"/>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itle">
    <w:name w:val="Figure Title"/>
    <w:basedOn w:val="Normal"/>
    <w:qFormat/>
    <w:rsid w:val="00EC21FE"/>
    <w:pPr>
      <w:keepNext/>
      <w:spacing w:before="240" w:after="240"/>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ACSQHC 1"/>
    <w:basedOn w:val="TableNormal"/>
    <w:locked/>
    <w:rsid w:val="00300631"/>
    <w:pPr>
      <w:spacing w:after="0"/>
    </w:pPr>
    <w:rPr>
      <w:rFonts w:ascii="Arial" w:hAnsi="Arial"/>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70" w:type="dxa"/>
        <w:bottom w:w="57" w:type="dxa"/>
        <w:right w:w="170" w:type="dxa"/>
      </w:tblCellMar>
    </w:tblPr>
    <w:tblStylePr w:type="firstRow">
      <w:pPr>
        <w:wordWrap/>
        <w:jc w:val="center"/>
        <w:outlineLvl w:val="9"/>
      </w:pPr>
      <w:rPr>
        <w:rFonts w:asciiTheme="minorHAnsi" w:hAnsiTheme="minorHAnsi"/>
        <w:b/>
        <w:color w:val="000000" w:themeColor="text1"/>
        <w:sz w:val="22"/>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F85302"/>
    <w:rPr>
      <w:color w:val="1178A2" w:themeColor="text2"/>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uiPriority w:val="99"/>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MDBAsimpletable">
    <w:name w:val="MDBA simple table"/>
    <w:basedOn w:val="TableNormal"/>
    <w:uiPriority w:val="99"/>
    <w:rsid w:val="00B904E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ommission2">
    <w:name w:val="Commission2"/>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paragraph" w:customStyle="1" w:styleId="FigureName">
    <w:name w:val="FigureName"/>
    <w:basedOn w:val="Normal"/>
    <w:next w:val="Normal"/>
    <w:rsid w:val="0003162D"/>
    <w:pPr>
      <w:keepNext/>
      <w:keepLines/>
      <w:tabs>
        <w:tab w:val="left" w:pos="1080"/>
      </w:tabs>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keepLines/>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7"/>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8"/>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paragraph" w:customStyle="1" w:styleId="BoxNotes">
    <w:name w:val="BoxNotes"/>
    <w:basedOn w:val="BoxText"/>
    <w:rsid w:val="002E195D"/>
    <w:pPr>
      <w:spacing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BoxDash">
    <w:name w:val="BoxDash"/>
    <w:basedOn w:val="BoxText"/>
    <w:rsid w:val="002E195D"/>
    <w:pPr>
      <w:tabs>
        <w:tab w:val="left" w:pos="357"/>
      </w:tabs>
      <w:ind w:left="720" w:hanging="720"/>
    </w:pPr>
  </w:style>
  <w:style w:type="character" w:styleId="CommentReference">
    <w:name w:val="annotation reference"/>
    <w:basedOn w:val="DefaultParagraphFont"/>
    <w:locked/>
    <w:rsid w:val="001F6D10"/>
    <w:rPr>
      <w:sz w:val="16"/>
      <w:szCs w:val="16"/>
    </w:rPr>
  </w:style>
  <w:style w:type="paragraph" w:styleId="CommentText">
    <w:name w:val="annotation text"/>
    <w:basedOn w:val="Normal"/>
    <w:link w:val="CommentTextChar"/>
    <w:locked/>
    <w:rsid w:val="001F6D10"/>
    <w:rPr>
      <w:sz w:val="20"/>
      <w:szCs w:val="20"/>
    </w:rPr>
  </w:style>
  <w:style w:type="character" w:customStyle="1" w:styleId="CommentTextChar">
    <w:name w:val="Comment Text Char"/>
    <w:basedOn w:val="DefaultParagraphFont"/>
    <w:link w:val="CommentText"/>
    <w:rsid w:val="001F6D10"/>
    <w:rPr>
      <w:sz w:val="20"/>
      <w:szCs w:val="20"/>
    </w:rPr>
  </w:style>
  <w:style w:type="paragraph" w:customStyle="1" w:styleId="Commissionbodytext">
    <w:name w:val="Commission body text"/>
    <w:basedOn w:val="Normal"/>
    <w:link w:val="CommissionbodytextChar"/>
    <w:qFormat/>
    <w:rsid w:val="00BF5905"/>
    <w:pPr>
      <w:spacing w:after="0" w:line="276" w:lineRule="auto"/>
    </w:pPr>
    <w:rPr>
      <w:rFonts w:ascii="Arial" w:hAnsi="Arial" w:cs="Arial"/>
    </w:rPr>
  </w:style>
  <w:style w:type="character" w:customStyle="1" w:styleId="CommissionbodytextChar">
    <w:name w:val="Commission body text Char"/>
    <w:basedOn w:val="DefaultParagraphFont"/>
    <w:link w:val="Commissionbodytext"/>
    <w:rsid w:val="00BF5905"/>
    <w:rPr>
      <w:rFonts w:ascii="Arial" w:hAnsi="Arial" w:cs="Arial"/>
    </w:r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paragraph" w:styleId="CommentSubject">
    <w:name w:val="annotation subject"/>
    <w:basedOn w:val="CommentText"/>
    <w:next w:val="CommentText"/>
    <w:link w:val="CommentSubjectChar"/>
    <w:uiPriority w:val="98"/>
    <w:locked/>
    <w:rsid w:val="00A6672E"/>
    <w:rPr>
      <w:b/>
      <w:bCs/>
    </w:rPr>
  </w:style>
  <w:style w:type="character" w:customStyle="1" w:styleId="CommentSubjectChar">
    <w:name w:val="Comment Subject Char"/>
    <w:basedOn w:val="CommentTextChar"/>
    <w:link w:val="CommentSubject"/>
    <w:uiPriority w:val="98"/>
    <w:rsid w:val="00A6672E"/>
    <w:rPr>
      <w:b/>
      <w:bCs/>
      <w:sz w:val="20"/>
      <w:szCs w:val="20"/>
    </w:rPr>
  </w:style>
  <w:style w:type="paragraph" w:styleId="ListBullet">
    <w:name w:val="List Bullet"/>
    <w:basedOn w:val="Normal"/>
    <w:uiPriority w:val="98"/>
    <w:locked/>
    <w:rsid w:val="00A6672E"/>
    <w:pPr>
      <w:tabs>
        <w:tab w:val="num" w:pos="360"/>
      </w:tabs>
      <w:ind w:left="360" w:hanging="36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character" w:customStyle="1" w:styleId="meta-citation-journal-name">
    <w:name w:val="meta-citation-journal-name"/>
    <w:basedOn w:val="DefaultParagraphFont"/>
    <w:rsid w:val="008A4AC8"/>
  </w:style>
  <w:style w:type="character" w:customStyle="1" w:styleId="meta-citation">
    <w:name w:val="meta-citation"/>
    <w:basedOn w:val="DefaultParagraphFont"/>
    <w:rsid w:val="008A4AC8"/>
  </w:style>
  <w:style w:type="table" w:customStyle="1" w:styleId="Commission3">
    <w:name w:val="Commission3"/>
    <w:basedOn w:val="TableNormal"/>
    <w:next w:val="TableGrid"/>
    <w:rsid w:val="008A4AC8"/>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mission4">
    <w:name w:val="Commission4"/>
    <w:basedOn w:val="TableNormal"/>
    <w:next w:val="TableGrid"/>
    <w:rsid w:val="00632475"/>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Commission5">
    <w:name w:val="Commission5"/>
    <w:basedOn w:val="TableNormal"/>
    <w:next w:val="TableGrid"/>
    <w:rsid w:val="0062216A"/>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179B"/>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M">
    <w:name w:val="TRIM"/>
    <w:basedOn w:val="Normal"/>
    <w:qFormat/>
    <w:rsid w:val="00174535"/>
    <w:pPr>
      <w:spacing w:before="2000"/>
    </w:pPr>
  </w:style>
  <w:style w:type="paragraph" w:styleId="Revision">
    <w:name w:val="Revision"/>
    <w:hidden/>
    <w:uiPriority w:val="99"/>
    <w:semiHidden/>
    <w:rsid w:val="00174535"/>
    <w:pPr>
      <w:spacing w:after="0"/>
    </w:pPr>
  </w:style>
  <w:style w:type="paragraph" w:customStyle="1" w:styleId="NoParagraphStyle">
    <w:name w:val="[No Paragraph Style]"/>
    <w:rsid w:val="0018367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en-US"/>
    </w:rPr>
  </w:style>
  <w:style w:type="paragraph" w:customStyle="1" w:styleId="NormalFirstPara">
    <w:name w:val="NormalFirstPara"/>
    <w:basedOn w:val="Normal"/>
    <w:uiPriority w:val="99"/>
    <w:qFormat/>
    <w:rsid w:val="00DD5D99"/>
    <w:rPr>
      <w:b/>
    </w:rPr>
  </w:style>
  <w:style w:type="paragraph" w:customStyle="1" w:styleId="TableTitle">
    <w:name w:val="TableTitle"/>
    <w:basedOn w:val="Normal"/>
    <w:uiPriority w:val="99"/>
    <w:qFormat/>
    <w:rsid w:val="0099343F"/>
    <w:pPr>
      <w:spacing w:before="360" w:after="240"/>
    </w:pPr>
    <w:rPr>
      <w:b/>
      <w:lang w:eastAsia="en-US"/>
    </w:rPr>
  </w:style>
  <w:style w:type="paragraph" w:customStyle="1" w:styleId="NormalWord">
    <w:name w:val="Normal (&gt; Word)"/>
    <w:basedOn w:val="NoParagraphStyle"/>
    <w:uiPriority w:val="99"/>
    <w:rsid w:val="00183675"/>
    <w:pPr>
      <w:spacing w:before="120" w:after="120"/>
    </w:pPr>
    <w:rPr>
      <w:rFonts w:ascii="ArialMT" w:hAnsi="ArialMT" w:cs="ArialMT"/>
      <w:sz w:val="22"/>
      <w:szCs w:val="22"/>
      <w:lang w:val="en-US"/>
    </w:rPr>
  </w:style>
  <w:style w:type="paragraph" w:customStyle="1" w:styleId="NormalFirstWord">
    <w:name w:val="NormalFirst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ableTitleWord">
    <w:name w:val="TableTitle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FIHolderBodystyles">
    <w:name w:val="TFIHolder (#) (Body styles)"/>
    <w:basedOn w:val="NormalWord"/>
    <w:uiPriority w:val="99"/>
    <w:rsid w:val="00183675"/>
    <w:pPr>
      <w:spacing w:before="113" w:after="170"/>
    </w:pPr>
  </w:style>
  <w:style w:type="paragraph" w:customStyle="1" w:styleId="NumberListLastBulletandNumberlists">
    <w:name w:val="NumberListLast (Bullet and Number lists)"/>
    <w:basedOn w:val="Normal"/>
    <w:uiPriority w:val="99"/>
    <w:rsid w:val="00D812BD"/>
    <w:pPr>
      <w:widowControl w:val="0"/>
      <w:autoSpaceDE w:val="0"/>
      <w:autoSpaceDN w:val="0"/>
      <w:adjustRightInd w:val="0"/>
      <w:spacing w:after="170" w:line="288" w:lineRule="auto"/>
      <w:ind w:left="720"/>
      <w:textAlignment w:val="center"/>
    </w:pPr>
    <w:rPr>
      <w:rFonts w:ascii="ArialMT" w:hAnsi="ArialMT" w:cs="ArialMT"/>
      <w:color w:val="000000"/>
      <w:lang w:val="en-US" w:eastAsia="en-US"/>
    </w:rPr>
  </w:style>
  <w:style w:type="paragraph" w:customStyle="1" w:styleId="FootnoteText1">
    <w:name w:val="Footnote Text1"/>
    <w:basedOn w:val="Normal"/>
    <w:uiPriority w:val="99"/>
    <w:rsid w:val="00183675"/>
    <w:pPr>
      <w:widowControl w:val="0"/>
      <w:autoSpaceDE w:val="0"/>
      <w:autoSpaceDN w:val="0"/>
      <w:adjustRightInd w:val="0"/>
      <w:spacing w:line="288" w:lineRule="auto"/>
      <w:textAlignment w:val="center"/>
    </w:pPr>
    <w:rPr>
      <w:rFonts w:ascii="ArialMT" w:hAnsi="ArialMT" w:cs="ArialMT"/>
      <w:color w:val="000000"/>
      <w:sz w:val="20"/>
      <w:szCs w:val="20"/>
      <w:lang w:val="en-US" w:eastAsia="en-US"/>
    </w:rPr>
  </w:style>
  <w:style w:type="paragraph" w:customStyle="1" w:styleId="GlossaryIndex">
    <w:name w:val="Glossary (Index"/>
    <w:aliases w:val="Glossary)"/>
    <w:basedOn w:val="NormalWord"/>
    <w:uiPriority w:val="99"/>
    <w:rsid w:val="00183675"/>
    <w:pPr>
      <w:keepLines/>
    </w:pPr>
  </w:style>
  <w:style w:type="character" w:customStyle="1" w:styleId="Superscript">
    <w:name w:val="Superscript"/>
    <w:uiPriority w:val="99"/>
    <w:rsid w:val="00183675"/>
    <w:rPr>
      <w:u w:val="none"/>
      <w:vertAlign w:val="superscript"/>
    </w:rPr>
  </w:style>
  <w:style w:type="character" w:customStyle="1" w:styleId="H3CAPS">
    <w:name w:val="H3 CAPS"/>
    <w:uiPriority w:val="99"/>
    <w:rsid w:val="00183675"/>
    <w:rPr>
      <w:sz w:val="27"/>
      <w:szCs w:val="27"/>
    </w:rPr>
  </w:style>
  <w:style w:type="character" w:customStyle="1" w:styleId="CallunaItalic">
    <w:name w:val="Calluna Italic"/>
    <w:uiPriority w:val="99"/>
    <w:rsid w:val="00183675"/>
    <w:rPr>
      <w:rFonts w:ascii="Calluna-It" w:hAnsi="Calluna-It" w:cs="Calluna-It"/>
      <w:i/>
      <w:iCs/>
      <w:color w:val="000000"/>
    </w:rPr>
  </w:style>
  <w:style w:type="character" w:customStyle="1" w:styleId="StrongMuseo">
    <w:name w:val="Strong Museo"/>
    <w:uiPriority w:val="99"/>
    <w:rsid w:val="00183675"/>
    <w:rPr>
      <w:u w:val="none" w:color="000000"/>
    </w:rPr>
  </w:style>
  <w:style w:type="paragraph" w:customStyle="1" w:styleId="TFIHolderBodystyles0">
    <w:name w:val="TFIHolder (Body styles)"/>
    <w:basedOn w:val="Normal"/>
    <w:uiPriority w:val="99"/>
    <w:rsid w:val="002E7082"/>
    <w:pPr>
      <w:widowControl w:val="0"/>
      <w:autoSpaceDE w:val="0"/>
      <w:autoSpaceDN w:val="0"/>
      <w:adjustRightInd w:val="0"/>
      <w:spacing w:before="113" w:after="0" w:line="288" w:lineRule="auto"/>
      <w:textAlignment w:val="center"/>
    </w:pPr>
    <w:rPr>
      <w:rFonts w:ascii="ArialMT" w:hAnsi="ArialMT" w:cs="ArialMT"/>
      <w:color w:val="000000"/>
      <w:lang w:val="en-US" w:eastAsia="en-US"/>
    </w:rPr>
  </w:style>
  <w:style w:type="paragraph" w:customStyle="1" w:styleId="CitationImprintpage">
    <w:name w:val="Citation (Imprint page)"/>
    <w:basedOn w:val="Normal"/>
    <w:uiPriority w:val="99"/>
    <w:rsid w:val="002E7082"/>
    <w:pPr>
      <w:widowControl w:val="0"/>
      <w:autoSpaceDE w:val="0"/>
      <w:autoSpaceDN w:val="0"/>
      <w:adjustRightInd w:val="0"/>
      <w:spacing w:line="288" w:lineRule="auto"/>
      <w:ind w:left="567"/>
      <w:textAlignment w:val="center"/>
    </w:pPr>
    <w:rPr>
      <w:rFonts w:ascii="ArialMT" w:hAnsi="ArialMT" w:cs="ArialMT"/>
      <w:color w:val="000000"/>
      <w:lang w:val="en-US" w:eastAsia="en-US"/>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HyperlinkBlue">
    <w:name w:val="Hyperlink Blue"/>
    <w:uiPriority w:val="99"/>
    <w:rsid w:val="00195458"/>
    <w:rPr>
      <w:color w:val="000000"/>
      <w:u w:val="thick" w:color="00B6F0"/>
    </w:rPr>
  </w:style>
  <w:style w:type="paragraph" w:customStyle="1" w:styleId="CopyrightMasterpages">
    <w:name w:val="Copyright (Master pages)"/>
    <w:basedOn w:val="Normal"/>
    <w:uiPriority w:val="99"/>
    <w:rsid w:val="00195458"/>
    <w:pPr>
      <w:widowControl w:val="0"/>
      <w:suppressAutoHyphens/>
      <w:autoSpaceDE w:val="0"/>
      <w:autoSpaceDN w:val="0"/>
      <w:adjustRightInd w:val="0"/>
      <w:spacing w:before="0" w:after="0" w:line="180" w:lineRule="atLeast"/>
      <w:textAlignment w:val="center"/>
    </w:pPr>
    <w:rPr>
      <w:rFonts w:ascii="ProximaNova-Bold" w:hAnsi="ProximaNova-Bold" w:cs="ProximaNova-Bold"/>
      <w:b/>
      <w:bCs/>
      <w:color w:val="000000"/>
      <w:sz w:val="16"/>
      <w:szCs w:val="16"/>
      <w:lang w:val="en-GB"/>
    </w:rPr>
  </w:style>
  <w:style w:type="character" w:customStyle="1" w:styleId="Roman">
    <w:name w:val="Roman"/>
    <w:uiPriority w:val="99"/>
    <w:rsid w:val="00195458"/>
  </w:style>
  <w:style w:type="paragraph" w:customStyle="1" w:styleId="WebsiteMasterpages">
    <w:name w:val="Website (Master pages)"/>
    <w:basedOn w:val="Normal"/>
    <w:uiPriority w:val="99"/>
    <w:rsid w:val="00195458"/>
    <w:pPr>
      <w:widowControl w:val="0"/>
      <w:suppressAutoHyphens/>
      <w:autoSpaceDE w:val="0"/>
      <w:autoSpaceDN w:val="0"/>
      <w:adjustRightInd w:val="0"/>
      <w:spacing w:before="0" w:after="0" w:line="250" w:lineRule="atLeast"/>
      <w:textAlignment w:val="center"/>
    </w:pPr>
    <w:rPr>
      <w:rFonts w:ascii="ProximaNova-Bold" w:hAnsi="ProximaNova-Bold" w:cs="ProximaNova-Bold"/>
      <w:b/>
      <w:bCs/>
      <w:color w:val="1178A2"/>
      <w:sz w:val="27"/>
      <w:szCs w:val="27"/>
      <w:u w:color="1178A2"/>
      <w:lang w:val="en-US"/>
    </w:rPr>
  </w:style>
  <w:style w:type="character" w:customStyle="1" w:styleId="Italic">
    <w:name w:val="Italic"/>
    <w:uiPriority w:val="99"/>
    <w:rsid w:val="0099343F"/>
    <w:rPr>
      <w:i/>
      <w:iCs/>
    </w:rPr>
  </w:style>
  <w:style w:type="character" w:customStyle="1" w:styleId="H1Asterisk">
    <w:name w:val="H1 Asterisk"/>
    <w:uiPriority w:val="99"/>
    <w:rsid w:val="007B5D05"/>
    <w:rPr>
      <w:position w:val="20"/>
      <w:sz w:val="27"/>
      <w:szCs w:val="27"/>
    </w:rPr>
  </w:style>
  <w:style w:type="paragraph" w:customStyle="1" w:styleId="BulletNumberBulletandNumberlists">
    <w:name w:val="Bullet Number (Bullet and Number lists)"/>
    <w:basedOn w:val="Normal"/>
    <w:uiPriority w:val="99"/>
    <w:rsid w:val="007B5D05"/>
    <w:pPr>
      <w:keepLines/>
      <w:widowControl w:val="0"/>
      <w:autoSpaceDE w:val="0"/>
      <w:autoSpaceDN w:val="0"/>
      <w:adjustRightInd w:val="0"/>
      <w:spacing w:after="57" w:line="288" w:lineRule="auto"/>
      <w:textAlignment w:val="center"/>
    </w:pPr>
    <w:rPr>
      <w:rFonts w:ascii="ArialMT" w:hAnsi="ArialMT" w:cs="ArialMT"/>
      <w:color w:val="000000"/>
      <w:lang w:val="en-US" w:eastAsia="en-US"/>
    </w:rPr>
  </w:style>
  <w:style w:type="paragraph" w:customStyle="1" w:styleId="BulletNumberContBulletandNumberlists">
    <w:name w:val="Bullet Number Cont (Bullet and Number lists)"/>
    <w:basedOn w:val="BulletNumberBulletandNumberlists"/>
    <w:uiPriority w:val="99"/>
    <w:rsid w:val="007B5D05"/>
  </w:style>
  <w:style w:type="paragraph" w:customStyle="1" w:styleId="BulletNumberLastBulletandNumberlists">
    <w:name w:val="Bullet Number Last (Bullet and Number lists)"/>
    <w:basedOn w:val="Normal"/>
    <w:uiPriority w:val="99"/>
    <w:rsid w:val="007B5D05"/>
    <w:pPr>
      <w:keepLines/>
      <w:widowControl w:val="0"/>
      <w:autoSpaceDE w:val="0"/>
      <w:autoSpaceDN w:val="0"/>
      <w:adjustRightInd w:val="0"/>
      <w:spacing w:after="142" w:line="288" w:lineRule="auto"/>
      <w:textAlignment w:val="center"/>
    </w:pPr>
    <w:rPr>
      <w:rFonts w:ascii="ArialMT" w:hAnsi="ArialMT" w:cs="ArialMT"/>
      <w:color w:val="000000"/>
      <w:lang w:val="en-US" w:eastAsia="en-US"/>
    </w:rPr>
  </w:style>
  <w:style w:type="paragraph" w:customStyle="1" w:styleId="NormalBeforeBulletBodystyles">
    <w:name w:val="NormalBeforeBullet (Body styles)"/>
    <w:basedOn w:val="Normal"/>
    <w:next w:val="Normal"/>
    <w:uiPriority w:val="99"/>
    <w:rsid w:val="0036588B"/>
    <w:pPr>
      <w:keepNext/>
      <w:widowControl w:val="0"/>
      <w:suppressAutoHyphens/>
      <w:autoSpaceDE w:val="0"/>
      <w:autoSpaceDN w:val="0"/>
      <w:adjustRightInd w:val="0"/>
      <w:spacing w:after="57" w:line="288" w:lineRule="auto"/>
      <w:textAlignment w:val="center"/>
    </w:pPr>
    <w:rPr>
      <w:rFonts w:ascii="ArialMT" w:hAnsi="ArialMT" w:cs="ArialMT"/>
      <w:color w:val="000000"/>
      <w:sz w:val="18"/>
      <w:szCs w:val="18"/>
      <w:lang w:val="en-US" w:eastAsia="en-US"/>
    </w:rPr>
  </w:style>
  <w:style w:type="paragraph" w:customStyle="1" w:styleId="Heading3andFigsHeadings">
    <w:name w:val="Heading 3 (and Figs) (Headings)"/>
    <w:basedOn w:val="Normal"/>
    <w:uiPriority w:val="99"/>
    <w:rsid w:val="00820059"/>
    <w:pPr>
      <w:widowControl w:val="0"/>
      <w:suppressAutoHyphens/>
      <w:autoSpaceDE w:val="0"/>
      <w:autoSpaceDN w:val="0"/>
      <w:adjustRightInd w:val="0"/>
      <w:spacing w:before="140" w:after="80" w:line="288" w:lineRule="auto"/>
      <w:textAlignment w:val="center"/>
    </w:pPr>
    <w:rPr>
      <w:rFonts w:ascii="ProximaNova-Bold" w:hAnsi="ProximaNova-Bold" w:cs="ProximaNova-Bold"/>
      <w:b/>
      <w:bCs/>
      <w:color w:val="000000"/>
      <w:sz w:val="24"/>
      <w:szCs w:val="24"/>
      <w:lang w:val="en-GB" w:eastAsia="en-US"/>
    </w:rPr>
  </w:style>
  <w:style w:type="character" w:customStyle="1" w:styleId="Hyperlinkwrd1">
    <w:name w:val="Hyperlink_wrd_1"/>
    <w:uiPriority w:val="99"/>
    <w:rsid w:val="0036588B"/>
    <w:rPr>
      <w:color w:val="0000FF"/>
      <w:w w:val="100"/>
      <w:u w:val="thick" w:color="0000FF"/>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Category">
    <w:name w:val="Category"/>
    <w:basedOn w:val="Subheading"/>
    <w:qFormat/>
    <w:rsid w:val="007449EB"/>
    <w:pPr>
      <w:spacing w:before="0" w:after="0"/>
      <w:jc w:val="right"/>
    </w:pPr>
    <w:rPr>
      <w:color w:val="000000" w:themeColor="text1"/>
      <w:sz w:val="28"/>
      <w:szCs w:val="40"/>
      <w:lang w:val="en-US"/>
    </w:rPr>
  </w:style>
  <w:style w:type="paragraph" w:customStyle="1" w:styleId="On-PageReferencesHeadBodystyles">
    <w:name w:val="On-Page References Head (Body styles)"/>
    <w:basedOn w:val="Normal"/>
    <w:uiPriority w:val="99"/>
    <w:rsid w:val="00F85302"/>
    <w:pPr>
      <w:widowControl w:val="0"/>
      <w:tabs>
        <w:tab w:val="left" w:pos="340"/>
      </w:tabs>
      <w:suppressAutoHyphens/>
      <w:autoSpaceDE w:val="0"/>
      <w:autoSpaceDN w:val="0"/>
      <w:adjustRightInd w:val="0"/>
      <w:spacing w:before="170" w:after="28" w:line="288" w:lineRule="auto"/>
      <w:textAlignment w:val="center"/>
    </w:pPr>
    <w:rPr>
      <w:rFonts w:ascii="Proxima Nova" w:eastAsiaTheme="minorEastAsia" w:hAnsi="Proxima Nova" w:cs="Proxima Nova"/>
      <w:b/>
      <w:bCs/>
      <w:color w:val="000000"/>
      <w:sz w:val="18"/>
      <w:szCs w:val="18"/>
      <w:lang w:val="en-GB" w:eastAsia="en-GB"/>
    </w:rPr>
  </w:style>
  <w:style w:type="paragraph" w:customStyle="1" w:styleId="On-PageReferencesListNumberBodystyles">
    <w:name w:val="On-Page References List Number (Body styles)"/>
    <w:basedOn w:val="BulletNumberBulletandNumberlists"/>
    <w:uiPriority w:val="99"/>
    <w:rsid w:val="00F85302"/>
    <w:pPr>
      <w:spacing w:after="28" w:line="230" w:lineRule="atLeast"/>
      <w:ind w:left="198" w:hanging="198"/>
    </w:pPr>
    <w:rPr>
      <w:rFonts w:ascii="Arial" w:eastAsiaTheme="minorEastAsia" w:hAnsi="Arial" w:cs="Arial"/>
      <w:sz w:val="17"/>
      <w:szCs w:val="17"/>
      <w:lang w:eastAsia="en-GB"/>
    </w:rPr>
  </w:style>
  <w:style w:type="paragraph" w:customStyle="1" w:styleId="On-PageReferencesListNumberContBodystyles">
    <w:name w:val="On-Page References List Number Cont (Body styles)"/>
    <w:basedOn w:val="On-PageReferencesListNumberBodystyles"/>
    <w:uiPriority w:val="99"/>
    <w:rsid w:val="00F85302"/>
  </w:style>
  <w:style w:type="paragraph" w:customStyle="1" w:styleId="On-PageReferencesListNumberLastBodystyles">
    <w:name w:val="On-Page References List Number Last (Body styles)"/>
    <w:basedOn w:val="On-PageReferencesListNumberContBodystyles"/>
    <w:uiPriority w:val="99"/>
    <w:rsid w:val="00F85302"/>
    <w:pPr>
      <w:spacing w:after="142"/>
    </w:pPr>
  </w:style>
  <w:style w:type="paragraph" w:customStyle="1" w:styleId="BasicParagraph">
    <w:name w:val="[Basic Paragraph]"/>
    <w:basedOn w:val="NoParagraphStyle"/>
    <w:uiPriority w:val="99"/>
    <w:rsid w:val="00300631"/>
    <w:pPr>
      <w:suppressAutoHyphens/>
      <w:spacing w:line="250" w:lineRule="atLeast"/>
    </w:pPr>
    <w:rPr>
      <w:rFonts w:ascii="Open Sans" w:eastAsiaTheme="minorEastAsia" w:hAnsi="Open Sans" w:cs="Open Sans"/>
      <w:sz w:val="19"/>
      <w:szCs w:val="19"/>
      <w:lang w:eastAsia="en-GB"/>
    </w:rPr>
  </w:style>
  <w:style w:type="paragraph" w:customStyle="1" w:styleId="Heading4Headings">
    <w:name w:val="Heading 4 (Headings)"/>
    <w:basedOn w:val="Normal"/>
    <w:next w:val="Normal"/>
    <w:uiPriority w:val="99"/>
    <w:rsid w:val="00300631"/>
    <w:pPr>
      <w:widowControl w:val="0"/>
      <w:suppressAutoHyphens/>
      <w:autoSpaceDE w:val="0"/>
      <w:autoSpaceDN w:val="0"/>
      <w:adjustRightInd w:val="0"/>
      <w:spacing w:before="113" w:after="113" w:line="250" w:lineRule="atLeast"/>
      <w:textAlignment w:val="center"/>
    </w:pPr>
    <w:rPr>
      <w:rFonts w:ascii="Proxima Nova" w:eastAsiaTheme="minorEastAsia" w:hAnsi="Proxima Nova" w:cs="Proxima Nova"/>
      <w:b/>
      <w:bCs/>
      <w:color w:val="000000"/>
      <w:sz w:val="20"/>
      <w:szCs w:val="20"/>
      <w:lang w:val="en-GB" w:eastAsia="en-GB"/>
    </w:rPr>
  </w:style>
  <w:style w:type="paragraph" w:customStyle="1" w:styleId="Heading4afterH3Headings">
    <w:name w:val="Heading 4 (after H3) (Headings)"/>
    <w:basedOn w:val="Heading4Headings"/>
    <w:next w:val="Normal"/>
    <w:uiPriority w:val="99"/>
    <w:rsid w:val="00300631"/>
    <w:pPr>
      <w:spacing w:before="57"/>
    </w:pPr>
  </w:style>
  <w:style w:type="character" w:customStyle="1" w:styleId="SecondHeading">
    <w:name w:val="Second Heading"/>
    <w:uiPriority w:val="99"/>
    <w:rsid w:val="00300631"/>
    <w:rPr>
      <w:rFonts w:ascii="Arial" w:hAnsi="Arial" w:cs="Arial"/>
      <w:w w:val="100"/>
      <w:sz w:val="40"/>
      <w:szCs w:val="40"/>
    </w:rPr>
  </w:style>
  <w:style w:type="character" w:customStyle="1" w:styleId="Strongbold">
    <w:name w:val="Strong (bold)"/>
    <w:uiPriority w:val="99"/>
    <w:rsid w:val="00300631"/>
    <w:rPr>
      <w:b/>
      <w:bCs/>
    </w:rPr>
  </w:style>
  <w:style w:type="character" w:customStyle="1" w:styleId="Strongsemibold">
    <w:name w:val="Strong (semibold)"/>
    <w:basedOn w:val="Strongbold"/>
    <w:uiPriority w:val="99"/>
    <w:rsid w:val="00300631"/>
    <w:rPr>
      <w:b/>
      <w:bCs/>
    </w:rPr>
  </w:style>
  <w:style w:type="table" w:styleId="PlainTable1">
    <w:name w:val="Plain Table 1"/>
    <w:basedOn w:val="TableNormal"/>
    <w:uiPriority w:val="98"/>
    <w:locked/>
    <w:rsid w:val="0030063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IconTable">
    <w:name w:val="Icon Table"/>
    <w:basedOn w:val="TableNormal"/>
    <w:uiPriority w:val="99"/>
    <w:rsid w:val="00422791"/>
    <w:pPr>
      <w:spacing w:after="0"/>
    </w:pPr>
    <w:tblPr>
      <w:tblCellMar>
        <w:top w:w="57" w:type="dxa"/>
        <w:left w:w="170" w:type="dxa"/>
        <w:bottom w:w="57" w:type="dxa"/>
        <w:right w:w="170" w:type="dxa"/>
      </w:tblCellMar>
    </w:tblPr>
    <w:trPr>
      <w:cantSplit/>
    </w:trPr>
    <w:tcPr>
      <w:shd w:val="clear" w:color="auto" w:fill="DFEDF8"/>
      <w:vAlign w:val="center"/>
    </w:tcPr>
    <w:tblStylePr w:type="firstRow">
      <w:rPr>
        <w:b/>
      </w:rPr>
      <w:tblPr>
        <w:tblCellMar>
          <w:top w:w="170" w:type="dxa"/>
          <w:left w:w="284" w:type="dxa"/>
          <w:bottom w:w="57" w:type="dxa"/>
          <w:right w:w="170" w:type="dxa"/>
        </w:tblCellMar>
      </w:tblPr>
      <w:trPr>
        <w:cantSplit w:val="0"/>
        <w:tblHeader/>
      </w:trPr>
      <w:tcPr>
        <w:vAlign w:val="top"/>
      </w:tcPr>
    </w:tblStylePr>
  </w:style>
  <w:style w:type="numbering" w:customStyle="1" w:styleId="CurrentList1">
    <w:name w:val="Current List1"/>
    <w:uiPriority w:val="99"/>
    <w:rsid w:val="007609E2"/>
    <w:pPr>
      <w:numPr>
        <w:numId w:val="28"/>
      </w:numPr>
    </w:pPr>
  </w:style>
  <w:style w:type="numbering" w:customStyle="1" w:styleId="CurrentList2">
    <w:name w:val="Current List2"/>
    <w:uiPriority w:val="99"/>
    <w:rsid w:val="007609E2"/>
    <w:pPr>
      <w:numPr>
        <w:numId w:val="29"/>
      </w:numPr>
    </w:pPr>
  </w:style>
  <w:style w:type="numbering" w:customStyle="1" w:styleId="CurrentList3">
    <w:name w:val="Current List3"/>
    <w:uiPriority w:val="99"/>
    <w:rsid w:val="00F114D9"/>
    <w:pPr>
      <w:numPr>
        <w:numId w:val="40"/>
      </w:numPr>
    </w:pPr>
  </w:style>
  <w:style w:type="paragraph" w:customStyle="1" w:styleId="TitleH1Headings">
    <w:name w:val="Title (H1) (Headings)"/>
    <w:basedOn w:val="Normal"/>
    <w:next w:val="NormalBodystyles"/>
    <w:uiPriority w:val="99"/>
    <w:rsid w:val="003A7DCF"/>
    <w:pPr>
      <w:keepNext/>
      <w:keepLines/>
      <w:tabs>
        <w:tab w:val="left" w:pos="850"/>
      </w:tabs>
      <w:suppressAutoHyphens/>
      <w:autoSpaceDE w:val="0"/>
      <w:autoSpaceDN w:val="0"/>
      <w:adjustRightInd w:val="0"/>
      <w:spacing w:before="0" w:after="510" w:line="700" w:lineRule="atLeast"/>
      <w:textAlignment w:val="center"/>
    </w:pPr>
    <w:rPr>
      <w:rFonts w:ascii="Proxima Nova Extrabold" w:hAnsi="Proxima Nova Extrabold" w:cs="Proxima Nova Extrabold"/>
      <w:b/>
      <w:bCs/>
      <w:color w:val="003565"/>
      <w:sz w:val="68"/>
      <w:szCs w:val="68"/>
      <w:lang w:val="en-GB"/>
    </w:rPr>
  </w:style>
  <w:style w:type="paragraph" w:customStyle="1" w:styleId="Heading2Headings">
    <w:name w:val="Heading 2 (Headings)"/>
    <w:basedOn w:val="Normal"/>
    <w:next w:val="NormalBodystyles"/>
    <w:uiPriority w:val="99"/>
    <w:rsid w:val="003A7DCF"/>
    <w:pPr>
      <w:suppressAutoHyphens/>
      <w:autoSpaceDE w:val="0"/>
      <w:autoSpaceDN w:val="0"/>
      <w:adjustRightInd w:val="0"/>
      <w:spacing w:before="170" w:after="170" w:line="320" w:lineRule="atLeast"/>
      <w:textAlignment w:val="center"/>
    </w:pPr>
    <w:rPr>
      <w:rFonts w:ascii="Proxima Nova" w:hAnsi="Proxima Nova" w:cs="Proxima Nova"/>
      <w:b/>
      <w:bCs/>
      <w:color w:val="003565"/>
      <w:sz w:val="30"/>
      <w:szCs w:val="30"/>
      <w:lang w:val="en-GB"/>
    </w:rPr>
  </w:style>
  <w:style w:type="paragraph" w:customStyle="1" w:styleId="NormalBodystyles">
    <w:name w:val="Normal (Body styles)"/>
    <w:basedOn w:val="Normal"/>
    <w:uiPriority w:val="99"/>
    <w:rsid w:val="003A7DCF"/>
    <w:pPr>
      <w:suppressAutoHyphens/>
      <w:autoSpaceDE w:val="0"/>
      <w:autoSpaceDN w:val="0"/>
      <w:adjustRightInd w:val="0"/>
      <w:spacing w:before="0" w:after="142" w:line="250" w:lineRule="atLeast"/>
      <w:textAlignment w:val="center"/>
    </w:pPr>
    <w:rPr>
      <w:rFonts w:ascii="Open Sans" w:hAnsi="Open Sans" w:cs="Open Sans"/>
      <w:color w:val="000000"/>
      <w:sz w:val="19"/>
      <w:szCs w:val="19"/>
      <w:lang w:val="en-GB"/>
    </w:rPr>
  </w:style>
  <w:style w:type="paragraph" w:customStyle="1" w:styleId="Normalinbluebox">
    <w:name w:val="Normal in blue box"/>
    <w:basedOn w:val="Normal"/>
    <w:uiPriority w:val="99"/>
    <w:rsid w:val="002B7E26"/>
    <w:pPr>
      <w:pBdr>
        <w:top w:val="single" w:sz="4" w:space="15" w:color="DFEDF8"/>
        <w:left w:val="single" w:sz="4" w:space="15" w:color="DFEDF8"/>
        <w:bottom w:val="single" w:sz="4" w:space="15" w:color="DFEDF8"/>
        <w:right w:val="single" w:sz="4" w:space="15" w:color="DFEDF8"/>
      </w:pBdr>
      <w:shd w:val="clear" w:color="auto" w:fill="DFEDF8"/>
      <w:spacing w:before="240" w:after="240"/>
      <w:ind w:left="340" w:right="340"/>
    </w:pPr>
  </w:style>
  <w:style w:type="paragraph" w:customStyle="1" w:styleId="NormalBeforeBulletBodystyles0">
    <w:name w:val="Normal Before Bullet (Body styles)"/>
    <w:basedOn w:val="NormalBodystyles"/>
    <w:next w:val="BulletBulletandNumberlists"/>
    <w:uiPriority w:val="99"/>
    <w:rsid w:val="003A7DCF"/>
    <w:pPr>
      <w:keepNext/>
      <w:spacing w:after="57"/>
    </w:pPr>
  </w:style>
  <w:style w:type="paragraph" w:customStyle="1" w:styleId="BulletBulletandNumberlists">
    <w:name w:val="Bullet (Bullet and Number lists)"/>
    <w:basedOn w:val="NormalBodystyles"/>
    <w:uiPriority w:val="99"/>
    <w:rsid w:val="003A7DCF"/>
    <w:pPr>
      <w:tabs>
        <w:tab w:val="left" w:pos="255"/>
      </w:tabs>
      <w:spacing w:after="57"/>
      <w:ind w:left="255" w:hanging="255"/>
    </w:pPr>
  </w:style>
  <w:style w:type="paragraph" w:customStyle="1" w:styleId="TFHolderspanBodystyles">
    <w:name w:val="# TF Holder # (span) • (Body styles)"/>
    <w:basedOn w:val="NormalBodystyles"/>
    <w:uiPriority w:val="99"/>
    <w:rsid w:val="003A7DCF"/>
    <w:pPr>
      <w:spacing w:before="57" w:after="227"/>
    </w:pPr>
  </w:style>
  <w:style w:type="paragraph" w:customStyle="1" w:styleId="Heading3Headings">
    <w:name w:val="Heading 3 (Headings)"/>
    <w:basedOn w:val="Normal"/>
    <w:uiPriority w:val="99"/>
    <w:rsid w:val="003A7DCF"/>
    <w:pPr>
      <w:suppressAutoHyphens/>
      <w:autoSpaceDE w:val="0"/>
      <w:autoSpaceDN w:val="0"/>
      <w:adjustRightInd w:val="0"/>
      <w:spacing w:before="113" w:after="142" w:line="288" w:lineRule="auto"/>
      <w:textAlignment w:val="center"/>
    </w:pPr>
    <w:rPr>
      <w:rFonts w:ascii="Proxima Nova" w:hAnsi="Proxima Nova" w:cs="Proxima Nova"/>
      <w:b/>
      <w:bCs/>
      <w:color w:val="000000"/>
      <w:sz w:val="24"/>
      <w:szCs w:val="24"/>
      <w:lang w:val="en-GB"/>
    </w:rPr>
  </w:style>
  <w:style w:type="paragraph" w:customStyle="1" w:styleId="Headinbluebox">
    <w:name w:val="Head in blue box"/>
    <w:basedOn w:val="Normalinbluebox"/>
    <w:uiPriority w:val="99"/>
    <w:rsid w:val="00422791"/>
    <w:rPr>
      <w:b/>
      <w:bCs/>
      <w:color w:val="1178A2" w:themeColor="text2"/>
      <w:sz w:val="24"/>
      <w:szCs w:val="24"/>
    </w:rPr>
  </w:style>
  <w:style w:type="paragraph" w:customStyle="1" w:styleId="BulletLastBulletandNumberlists">
    <w:name w:val="Bullet Last (Bullet and Number lists)"/>
    <w:basedOn w:val="BulletBulletandNumberlists"/>
    <w:uiPriority w:val="99"/>
    <w:rsid w:val="003A7DCF"/>
    <w:pPr>
      <w:spacing w:after="170"/>
    </w:pPr>
  </w:style>
  <w:style w:type="paragraph" w:customStyle="1" w:styleId="FigureTitleMisc">
    <w:name w:val="Figure Title (Misc)"/>
    <w:basedOn w:val="Normal"/>
    <w:uiPriority w:val="99"/>
    <w:rsid w:val="003A7DCF"/>
    <w:pPr>
      <w:suppressAutoHyphens/>
      <w:autoSpaceDE w:val="0"/>
      <w:autoSpaceDN w:val="0"/>
      <w:adjustRightInd w:val="0"/>
      <w:spacing w:before="113" w:after="0" w:line="250" w:lineRule="atLeast"/>
      <w:textAlignment w:val="center"/>
    </w:pPr>
    <w:rPr>
      <w:rFonts w:ascii="Open Sans" w:hAnsi="Open Sans" w:cs="Open Sans"/>
      <w:color w:val="000000"/>
      <w:sz w:val="19"/>
      <w:szCs w:val="19"/>
      <w:lang w:val="en-GB"/>
    </w:rPr>
  </w:style>
  <w:style w:type="paragraph" w:customStyle="1" w:styleId="BoxHeadingHeadings">
    <w:name w:val="Box Heading (Headings)"/>
    <w:basedOn w:val="Heading3Headings"/>
    <w:uiPriority w:val="99"/>
    <w:rsid w:val="003A7DCF"/>
  </w:style>
  <w:style w:type="paragraph" w:customStyle="1" w:styleId="TableTextTables">
    <w:name w:val="Table Text (Tables)"/>
    <w:basedOn w:val="NoParagraphStyle"/>
    <w:uiPriority w:val="99"/>
    <w:rsid w:val="003A7DCF"/>
    <w:pPr>
      <w:widowControl/>
      <w:suppressAutoHyphens/>
      <w:spacing w:after="85" w:line="250" w:lineRule="atLeast"/>
    </w:pPr>
    <w:rPr>
      <w:rFonts w:ascii="Open Sans" w:hAnsi="Open Sans" w:cs="Open Sans"/>
      <w:sz w:val="19"/>
      <w:szCs w:val="19"/>
      <w:lang w:val="en-US" w:eastAsia="en-AU"/>
    </w:rPr>
  </w:style>
  <w:style w:type="table" w:styleId="PlainTable4">
    <w:name w:val="Plain Table 4"/>
    <w:basedOn w:val="TableNormal"/>
    <w:uiPriority w:val="98"/>
    <w:locked/>
    <w:rsid w:val="005A4A22"/>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afetyandquality.gov.au"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mesarmstrong:Desktop:ACSQHC%20Word%20MASTER_d3.dotx" TargetMode="External"/></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Macintosh%20HD:Users:jamesarmstrong:Desktop:ACSQHC%20Word%20MASTER_d3.dotx</Template>
  <TotalTime>90</TotalTime>
  <Pages>5</Pages>
  <Words>924</Words>
  <Characters>5483</Characters>
  <Application>Microsoft Office Word</Application>
  <DocSecurity>0</DocSecurity>
  <Lines>101</Lines>
  <Paragraphs>60</Paragraphs>
  <ScaleCrop>false</ScaleCrop>
  <HeadingPairs>
    <vt:vector size="2" baseType="variant">
      <vt:variant>
        <vt:lpstr>Title</vt:lpstr>
      </vt:variant>
      <vt:variant>
        <vt:i4>1</vt:i4>
      </vt:variant>
    </vt:vector>
  </HeadingPairs>
  <TitlesOfParts>
    <vt:vector size="1" baseType="lpstr">
      <vt:lpstr>Fact Sheet: Location Specific Practice Numbers  </vt:lpstr>
    </vt:vector>
  </TitlesOfParts>
  <Manager/>
  <Company>Australian Commission on Safety and Quality in Health Care</Company>
  <LinksUpToDate>false</LinksUpToDate>
  <CharactersWithSpaces>6347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Introduction to the National Safety and Quality Health Service Standards</dc:title>
  <dc:subject/>
  <dc:creator>Australian Commission on Safety and Quality in Health Care</dc:creator>
  <cp:keywords/>
  <dc:description/>
  <cp:lastModifiedBy>Microsoft Office User</cp:lastModifiedBy>
  <cp:revision>89</cp:revision>
  <cp:lastPrinted>2020-03-04T03:32:00Z</cp:lastPrinted>
  <dcterms:created xsi:type="dcterms:W3CDTF">2020-05-04T03:27:00Z</dcterms:created>
  <dcterms:modified xsi:type="dcterms:W3CDTF">2021-11-18T05:06:00Z</dcterms:modified>
  <cp:category/>
</cp:coreProperties>
</file>