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4F248" w14:textId="1604137F" w:rsidR="00B160EF" w:rsidRPr="00DD7416" w:rsidRDefault="00824B99" w:rsidP="005125D9">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73424332">
            <wp:simplePos x="0" y="0"/>
            <wp:positionH relativeFrom="column">
              <wp:posOffset>138953</wp:posOffset>
            </wp:positionH>
            <wp:positionV relativeFrom="paragraph">
              <wp:posOffset>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736BF97D"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CB6455">
        <w:rPr>
          <w:rFonts w:ascii="Garamond" w:hAnsi="Garamond"/>
          <w:color w:val="000000" w:themeColor="text1"/>
          <w:lang w:val="en-AU"/>
        </w:rPr>
        <w:t>4</w:t>
      </w:r>
      <w:r w:rsidR="000B5EA6">
        <w:rPr>
          <w:rFonts w:ascii="Garamond" w:hAnsi="Garamond"/>
          <w:color w:val="000000" w:themeColor="text1"/>
          <w:lang w:val="en-AU"/>
        </w:rPr>
        <w:t>8</w:t>
      </w:r>
    </w:p>
    <w:p w14:paraId="6D81A6EC" w14:textId="4A141CAE" w:rsidR="00755242" w:rsidRDefault="006A7522" w:rsidP="00F738B5">
      <w:pPr>
        <w:rPr>
          <w:rFonts w:ascii="Garamond" w:hAnsi="Garamond"/>
          <w:lang w:val="en-AU"/>
        </w:rPr>
      </w:pPr>
      <w:r>
        <w:rPr>
          <w:rFonts w:ascii="Garamond" w:hAnsi="Garamond"/>
          <w:lang w:val="en-AU"/>
        </w:rPr>
        <w:t>2</w:t>
      </w:r>
      <w:r w:rsidR="000B5EA6">
        <w:rPr>
          <w:rFonts w:ascii="Garamond" w:hAnsi="Garamond"/>
          <w:lang w:val="en-AU"/>
        </w:rPr>
        <w:t>8</w:t>
      </w:r>
      <w:r w:rsidR="00B63FEB">
        <w:rPr>
          <w:rFonts w:ascii="Garamond" w:hAnsi="Garamond"/>
          <w:lang w:val="en-AU"/>
        </w:rPr>
        <w:t xml:space="preserve"> February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CACFC8" w14:textId="76C3761A" w:rsidR="00393621" w:rsidRDefault="00210235" w:rsidP="00EE5D5E">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EC6F87">
        <w:rPr>
          <w:rFonts w:ascii="Garamond" w:hAnsi="Garamond"/>
          <w:bCs/>
          <w:lang w:val="en-AU"/>
        </w:rPr>
        <w:t>, Dr Jan Gralton</w:t>
      </w:r>
      <w:r w:rsidR="009A09EA">
        <w:rPr>
          <w:rFonts w:ascii="Garamond" w:hAnsi="Garamond"/>
          <w:bCs/>
          <w:lang w:val="en-AU"/>
        </w:rPr>
        <w:t>, Jennifer Caldwell</w:t>
      </w:r>
      <w:r w:rsidR="007D3D91">
        <w:rPr>
          <w:rFonts w:ascii="Garamond" w:hAnsi="Garamond"/>
          <w:bCs/>
          <w:lang w:val="en-AU"/>
        </w:rPr>
        <w:t>, Kim Stewart</w:t>
      </w:r>
    </w:p>
    <w:p w14:paraId="49C8454A" w14:textId="14635F18" w:rsidR="00EC6F87" w:rsidRDefault="00EC6F87" w:rsidP="00EE5D5E">
      <w:pPr>
        <w:rPr>
          <w:rFonts w:ascii="Garamond" w:hAnsi="Garamond"/>
          <w:bCs/>
          <w:lang w:val="en-AU"/>
        </w:rPr>
      </w:pPr>
    </w:p>
    <w:p w14:paraId="2874E0B0" w14:textId="7D6BE0B4" w:rsidR="00EC6F87" w:rsidRPr="00EC6F87" w:rsidRDefault="00EC6F87" w:rsidP="00EE5D5E">
      <w:pPr>
        <w:rPr>
          <w:rFonts w:ascii="Garamond" w:hAnsi="Garamond"/>
          <w:b/>
          <w:lang w:val="en-AU"/>
        </w:rPr>
      </w:pPr>
      <w:r w:rsidRPr="00EC6F87">
        <w:rPr>
          <w:rFonts w:ascii="Garamond" w:hAnsi="Garamond"/>
          <w:b/>
          <w:lang w:val="en-AU"/>
        </w:rPr>
        <w:t>New aseptic technique resources</w:t>
      </w:r>
    </w:p>
    <w:p w14:paraId="2E9866A2" w14:textId="2231C458" w:rsidR="00EC6F87" w:rsidRDefault="00941FFA" w:rsidP="00EE5D5E">
      <w:pPr>
        <w:rPr>
          <w:rFonts w:ascii="Garamond" w:hAnsi="Garamond"/>
          <w:bCs/>
          <w:lang w:val="en-AU"/>
        </w:rPr>
      </w:pPr>
      <w:hyperlink r:id="rId15" w:history="1">
        <w:r w:rsidR="00EC6F87" w:rsidRPr="000835CF">
          <w:rPr>
            <w:rStyle w:val="Hyperlink"/>
            <w:rFonts w:ascii="Garamond" w:hAnsi="Garamond"/>
            <w:bCs/>
            <w:lang w:val="en-AU"/>
          </w:rPr>
          <w:t>https://www.safetyandquality.gov.au/our-work/infection-prevention-and-control/aseptic-technique</w:t>
        </w:r>
      </w:hyperlink>
    </w:p>
    <w:p w14:paraId="6F01502B" w14:textId="5854DEC9" w:rsidR="009A09EA" w:rsidRDefault="009A09EA" w:rsidP="009A09EA">
      <w:pPr>
        <w:rPr>
          <w:rFonts w:ascii="Garamond" w:hAnsi="Garamond"/>
          <w:bCs/>
          <w:lang w:val="en-AU"/>
        </w:rPr>
      </w:pPr>
      <w:r w:rsidRPr="009A09EA">
        <w:rPr>
          <w:rFonts w:ascii="Garamond" w:hAnsi="Garamond"/>
          <w:bCs/>
          <w:lang w:val="en-AU"/>
        </w:rPr>
        <w:t>T</w:t>
      </w:r>
      <w:r>
        <w:rPr>
          <w:rFonts w:ascii="Garamond" w:hAnsi="Garamond"/>
          <w:bCs/>
          <w:lang w:val="en-AU"/>
        </w:rPr>
        <w:t xml:space="preserve">wo new </w:t>
      </w:r>
      <w:r w:rsidRPr="009A09EA">
        <w:rPr>
          <w:rFonts w:ascii="Garamond" w:hAnsi="Garamond"/>
          <w:bCs/>
          <w:lang w:val="en-AU"/>
        </w:rPr>
        <w:t xml:space="preserve">resources </w:t>
      </w:r>
      <w:r>
        <w:rPr>
          <w:rFonts w:ascii="Garamond" w:hAnsi="Garamond"/>
          <w:bCs/>
          <w:lang w:val="en-AU"/>
        </w:rPr>
        <w:t xml:space="preserve">on aseptic technique </w:t>
      </w:r>
      <w:r w:rsidRPr="009A09EA">
        <w:rPr>
          <w:rFonts w:ascii="Garamond" w:hAnsi="Garamond"/>
          <w:bCs/>
          <w:lang w:val="en-AU"/>
        </w:rPr>
        <w:t xml:space="preserve">are </w:t>
      </w:r>
      <w:r>
        <w:rPr>
          <w:rFonts w:ascii="Garamond" w:hAnsi="Garamond"/>
          <w:bCs/>
          <w:lang w:val="en-AU"/>
        </w:rPr>
        <w:t xml:space="preserve">now </w:t>
      </w:r>
      <w:r w:rsidRPr="009A09EA">
        <w:rPr>
          <w:rFonts w:ascii="Garamond" w:hAnsi="Garamond"/>
          <w:bCs/>
          <w:lang w:val="en-AU"/>
        </w:rPr>
        <w:t xml:space="preserve">available on the Commission’s website at </w:t>
      </w:r>
      <w:hyperlink r:id="rId16" w:history="1">
        <w:r w:rsidRPr="000835CF">
          <w:rPr>
            <w:rStyle w:val="Hyperlink"/>
            <w:rFonts w:ascii="Garamond" w:hAnsi="Garamond"/>
            <w:bCs/>
            <w:lang w:val="en-AU"/>
          </w:rPr>
          <w:t>https://www.safetyandquality.gov.au/our-work/infection-prevention-and-control/aseptic-technique</w:t>
        </w:r>
      </w:hyperlink>
    </w:p>
    <w:p w14:paraId="392D9DBA" w14:textId="65433D82" w:rsidR="00EC6F87" w:rsidRDefault="009A09EA" w:rsidP="009A09EA">
      <w:pPr>
        <w:rPr>
          <w:rFonts w:ascii="Garamond" w:hAnsi="Garamond"/>
          <w:bCs/>
          <w:lang w:val="en-AU"/>
        </w:rPr>
      </w:pPr>
      <w:r>
        <w:rPr>
          <w:rFonts w:ascii="Garamond" w:hAnsi="Garamond"/>
          <w:bCs/>
          <w:lang w:val="en-AU"/>
        </w:rPr>
        <w:t>C</w:t>
      </w:r>
      <w:r w:rsidRPr="009A09EA">
        <w:rPr>
          <w:rFonts w:ascii="Garamond" w:hAnsi="Garamond"/>
          <w:bCs/>
          <w:lang w:val="en-AU"/>
        </w:rPr>
        <w:t xml:space="preserve">ontact </w:t>
      </w:r>
      <w:hyperlink r:id="rId17" w:history="1">
        <w:r w:rsidRPr="000835CF">
          <w:rPr>
            <w:rStyle w:val="Hyperlink"/>
            <w:rFonts w:ascii="Garamond" w:hAnsi="Garamond"/>
            <w:bCs/>
            <w:lang w:val="en-AU"/>
          </w:rPr>
          <w:t>hai@safetyandquality.gov.au</w:t>
        </w:r>
      </w:hyperlink>
      <w:r>
        <w:rPr>
          <w:rFonts w:ascii="Garamond" w:hAnsi="Garamond"/>
          <w:bCs/>
          <w:lang w:val="en-AU"/>
        </w:rPr>
        <w:t xml:space="preserve"> </w:t>
      </w:r>
      <w:r w:rsidRPr="009A09EA">
        <w:rPr>
          <w:rFonts w:ascii="Garamond" w:hAnsi="Garamond"/>
          <w:bCs/>
          <w:lang w:val="en-AU"/>
        </w:rPr>
        <w:t xml:space="preserve">if </w:t>
      </w:r>
      <w:r>
        <w:rPr>
          <w:rFonts w:ascii="Garamond" w:hAnsi="Garamond"/>
          <w:bCs/>
          <w:lang w:val="en-AU"/>
        </w:rPr>
        <w:t xml:space="preserve">you </w:t>
      </w:r>
      <w:r w:rsidRPr="009A09EA">
        <w:rPr>
          <w:rFonts w:ascii="Garamond" w:hAnsi="Garamond"/>
          <w:bCs/>
          <w:lang w:val="en-AU"/>
        </w:rPr>
        <w:t>have any enquiries in relation to these resources.</w:t>
      </w:r>
    </w:p>
    <w:p w14:paraId="51A2F51E" w14:textId="2F01E7F4" w:rsidR="009A09EA" w:rsidRDefault="009A09EA" w:rsidP="00EE5D5E">
      <w:pPr>
        <w:rPr>
          <w:rFonts w:ascii="Garamond" w:hAnsi="Garamond"/>
          <w:bCs/>
          <w:lang w:val="en-AU"/>
        </w:rPr>
      </w:pPr>
    </w:p>
    <w:p w14:paraId="17175CF7" w14:textId="5D7A5294" w:rsidR="00031819" w:rsidRDefault="00031819" w:rsidP="00EE5D5E">
      <w:pPr>
        <w:rPr>
          <w:rFonts w:ascii="Garamond" w:hAnsi="Garamond"/>
          <w:b/>
          <w:lang w:val="en-AU"/>
        </w:rPr>
      </w:pPr>
      <w:r w:rsidRPr="00031819">
        <w:rPr>
          <w:rFonts w:ascii="Garamond" w:hAnsi="Garamond"/>
          <w:b/>
          <w:lang w:val="en-AU"/>
        </w:rPr>
        <w:t>NSQHS Standards Implementation Guide for Action 3.11 Aseptic Technique</w:t>
      </w:r>
    </w:p>
    <w:p w14:paraId="382DBBD9" w14:textId="221B0135" w:rsidR="00673526" w:rsidRDefault="00673526" w:rsidP="00EE5D5E">
      <w:pPr>
        <w:rPr>
          <w:rFonts w:ascii="Garamond" w:hAnsi="Garamond"/>
          <w:bCs/>
          <w:lang w:val="en-AU"/>
        </w:rPr>
      </w:pPr>
      <w:r w:rsidRPr="00673526">
        <w:rPr>
          <w:rFonts w:ascii="Garamond" w:hAnsi="Garamond"/>
          <w:bCs/>
          <w:lang w:val="en-AU"/>
        </w:rPr>
        <w:t>Australian Commission on Safety and Quality in Health Care</w:t>
      </w:r>
    </w:p>
    <w:p w14:paraId="2112A409" w14:textId="67D15BA8" w:rsidR="00673526" w:rsidRPr="00673526" w:rsidRDefault="00673526" w:rsidP="00EE5D5E">
      <w:pPr>
        <w:rPr>
          <w:rFonts w:ascii="Garamond" w:hAnsi="Garamond"/>
          <w:bCs/>
          <w:lang w:val="en-AU"/>
        </w:rPr>
      </w:pPr>
      <w:r w:rsidRPr="00673526">
        <w:rPr>
          <w:rFonts w:ascii="Garamond" w:hAnsi="Garamond"/>
          <w:bCs/>
          <w:lang w:val="en-AU"/>
        </w:rPr>
        <w:t>Sydney: ACSQHC; 2021. p. 6.</w:t>
      </w:r>
    </w:p>
    <w:p w14:paraId="675F77EF" w14:textId="3E880E63" w:rsidR="00031819" w:rsidRDefault="00941FFA" w:rsidP="00EE5D5E">
      <w:pPr>
        <w:rPr>
          <w:rFonts w:ascii="Garamond" w:hAnsi="Garamond"/>
          <w:bCs/>
          <w:lang w:val="en-AU"/>
        </w:rPr>
      </w:pPr>
      <w:hyperlink r:id="rId18" w:history="1">
        <w:r w:rsidR="00673526" w:rsidRPr="000835CF">
          <w:rPr>
            <w:rStyle w:val="Hyperlink"/>
            <w:rFonts w:ascii="Garamond" w:hAnsi="Garamond"/>
            <w:bCs/>
            <w:lang w:val="en-AU"/>
          </w:rPr>
          <w:t>https://www.safetyandquality.gov.au/publications-and-resources/resource-library/nsqhs-standards-implementation-guide-action-311-aseptic-technique</w:t>
        </w:r>
      </w:hyperlink>
    </w:p>
    <w:p w14:paraId="7325A30F" w14:textId="3E946FB6" w:rsidR="009A09EA" w:rsidRPr="009A09EA" w:rsidRDefault="009A09EA" w:rsidP="009A09EA">
      <w:pPr>
        <w:rPr>
          <w:rFonts w:ascii="Garamond" w:hAnsi="Garamond"/>
          <w:bCs/>
          <w:lang w:val="en-AU"/>
        </w:rPr>
      </w:pPr>
      <w:r w:rsidRPr="009A09EA">
        <w:rPr>
          <w:rFonts w:ascii="Garamond" w:hAnsi="Garamond"/>
          <w:bCs/>
          <w:lang w:val="en-AU"/>
        </w:rPr>
        <w:t xml:space="preserve">The </w:t>
      </w:r>
      <w:r w:rsidRPr="009A09EA">
        <w:rPr>
          <w:rFonts w:ascii="Garamond" w:hAnsi="Garamond"/>
          <w:bCs/>
          <w:i/>
          <w:iCs/>
          <w:lang w:val="en-AU"/>
        </w:rPr>
        <w:t>Implementation Guide for Action 3.11 Aseptic technique</w:t>
      </w:r>
      <w:r w:rsidRPr="009A09EA">
        <w:rPr>
          <w:rFonts w:ascii="Garamond" w:hAnsi="Garamond"/>
          <w:bCs/>
          <w:lang w:val="en-AU"/>
        </w:rPr>
        <w:t xml:space="preserve"> supports health service organisations meet the actions of the </w:t>
      </w:r>
      <w:hyperlink r:id="rId19" w:history="1">
        <w:r w:rsidRPr="009A09EA">
          <w:rPr>
            <w:rStyle w:val="Hyperlink"/>
            <w:rFonts w:ascii="Garamond" w:hAnsi="Garamond"/>
            <w:bCs/>
            <w:lang w:val="en-AU"/>
          </w:rPr>
          <w:t>National Safety and Quality Health Service Standards</w:t>
        </w:r>
      </w:hyperlink>
      <w:r w:rsidRPr="009A09EA">
        <w:rPr>
          <w:rFonts w:ascii="Garamond" w:hAnsi="Garamond"/>
          <w:bCs/>
          <w:lang w:val="en-AU"/>
        </w:rPr>
        <w:t>:</w:t>
      </w:r>
    </w:p>
    <w:p w14:paraId="05ED63A0" w14:textId="320F9FCB" w:rsidR="009A09EA" w:rsidRPr="009A09EA" w:rsidRDefault="009A09EA" w:rsidP="009A09EA">
      <w:pPr>
        <w:pStyle w:val="ListParagraph"/>
        <w:numPr>
          <w:ilvl w:val="0"/>
          <w:numId w:val="44"/>
        </w:numPr>
        <w:rPr>
          <w:rFonts w:ascii="Garamond" w:hAnsi="Garamond"/>
          <w:bCs/>
          <w:lang w:val="en-AU"/>
        </w:rPr>
      </w:pPr>
      <w:r w:rsidRPr="009A09EA">
        <w:rPr>
          <w:rFonts w:ascii="Garamond" w:hAnsi="Garamond"/>
          <w:bCs/>
          <w:lang w:val="en-AU"/>
        </w:rPr>
        <w:t>Identify procedures where aseptic technique is required in a health service organisation</w:t>
      </w:r>
    </w:p>
    <w:p w14:paraId="7F139743" w14:textId="4651C670" w:rsidR="009A09EA" w:rsidRPr="009A09EA" w:rsidRDefault="009A09EA" w:rsidP="009A09EA">
      <w:pPr>
        <w:pStyle w:val="ListParagraph"/>
        <w:numPr>
          <w:ilvl w:val="0"/>
          <w:numId w:val="44"/>
        </w:numPr>
        <w:rPr>
          <w:rFonts w:ascii="Garamond" w:hAnsi="Garamond"/>
          <w:bCs/>
          <w:lang w:val="en-AU"/>
        </w:rPr>
      </w:pPr>
      <w:r w:rsidRPr="009A09EA">
        <w:rPr>
          <w:rFonts w:ascii="Garamond" w:hAnsi="Garamond"/>
          <w:bCs/>
          <w:lang w:val="en-AU"/>
        </w:rPr>
        <w:t>Assess the competence of the workforce in performing aseptic technique</w:t>
      </w:r>
    </w:p>
    <w:p w14:paraId="2D9ED0A3" w14:textId="4338F62B" w:rsidR="009A09EA" w:rsidRPr="009A09EA" w:rsidRDefault="009A09EA" w:rsidP="009A09EA">
      <w:pPr>
        <w:pStyle w:val="ListParagraph"/>
        <w:numPr>
          <w:ilvl w:val="0"/>
          <w:numId w:val="44"/>
        </w:numPr>
        <w:rPr>
          <w:rFonts w:ascii="Garamond" w:hAnsi="Garamond"/>
          <w:bCs/>
          <w:lang w:val="en-AU"/>
        </w:rPr>
      </w:pPr>
      <w:r w:rsidRPr="009A09EA">
        <w:rPr>
          <w:rFonts w:ascii="Garamond" w:hAnsi="Garamond"/>
          <w:bCs/>
          <w:lang w:val="en-AU"/>
        </w:rPr>
        <w:t>Provide training to address gaps in competency</w:t>
      </w:r>
    </w:p>
    <w:p w14:paraId="40B6DB40" w14:textId="7A4A1F85" w:rsidR="009A09EA" w:rsidRPr="009A09EA" w:rsidRDefault="009A09EA" w:rsidP="009A09EA">
      <w:pPr>
        <w:pStyle w:val="ListParagraph"/>
        <w:numPr>
          <w:ilvl w:val="0"/>
          <w:numId w:val="44"/>
        </w:numPr>
        <w:rPr>
          <w:rFonts w:ascii="Garamond" w:hAnsi="Garamond"/>
          <w:bCs/>
          <w:lang w:val="en-AU"/>
        </w:rPr>
      </w:pPr>
      <w:r w:rsidRPr="009A09EA">
        <w:rPr>
          <w:rFonts w:ascii="Garamond" w:hAnsi="Garamond"/>
          <w:bCs/>
          <w:lang w:val="en-AU"/>
        </w:rPr>
        <w:t>Monitor compliance with the organisation’s policies on aseptic technique.</w:t>
      </w:r>
    </w:p>
    <w:p w14:paraId="6B5DAFCA" w14:textId="09482AE6" w:rsidR="00673526" w:rsidRDefault="00EB120B" w:rsidP="009A09EA">
      <w:pPr>
        <w:rPr>
          <w:rFonts w:ascii="Garamond" w:hAnsi="Garamond"/>
          <w:bCs/>
          <w:lang w:val="en-AU"/>
        </w:rPr>
      </w:pPr>
      <w:r w:rsidRPr="00031819">
        <w:rPr>
          <w:rFonts w:ascii="Garamond" w:hAnsi="Garamond"/>
          <w:b/>
          <w:lang w:val="en-AU"/>
        </w:rPr>
        <w:lastRenderedPageBreak/>
        <w:t>NSQHS Standards Implementation Guide for Action 3.11 Aseptic Technique</w:t>
      </w:r>
      <w:r>
        <w:rPr>
          <w:rFonts w:ascii="Garamond" w:hAnsi="Garamond"/>
          <w:bCs/>
          <w:noProof/>
          <w:lang w:val="en-AU"/>
        </w:rPr>
        <w:t xml:space="preserve"> </w:t>
      </w:r>
      <w:r w:rsidR="000F5002">
        <w:rPr>
          <w:rFonts w:ascii="Garamond" w:hAnsi="Garamond"/>
          <w:bCs/>
          <w:noProof/>
          <w:lang w:val="en-AU"/>
        </w:rPr>
        <w:drawing>
          <wp:anchor distT="0" distB="0" distL="114300" distR="114300" simplePos="0" relativeHeight="251660288" behindDoc="0" locked="0" layoutInCell="1" allowOverlap="1" wp14:anchorId="730805CA" wp14:editId="62AAD8A9">
            <wp:simplePos x="0" y="0"/>
            <wp:positionH relativeFrom="column">
              <wp:posOffset>4765312</wp:posOffset>
            </wp:positionH>
            <wp:positionV relativeFrom="page">
              <wp:posOffset>87630</wp:posOffset>
            </wp:positionV>
            <wp:extent cx="2008800" cy="2772000"/>
            <wp:effectExtent l="0" t="0" r="0" b="0"/>
            <wp:wrapSquare wrapText="bothSides"/>
            <wp:docPr id="4" name="Picture 4" descr="NSQHS Standards Implementation Guide for Action 3.11 Aseptic Techniq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QHS Standards Implementation Guide for Action 3.11 Aseptic Technique">
                      <a:hlinkClick r:id="rId1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8800" cy="27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9EA" w:rsidRPr="009A09EA">
        <w:rPr>
          <w:rFonts w:ascii="Garamond" w:hAnsi="Garamond"/>
          <w:bCs/>
          <w:lang w:val="en-AU"/>
        </w:rPr>
        <w:t xml:space="preserve">The </w:t>
      </w:r>
      <w:r w:rsidR="009A09EA" w:rsidRPr="009A09EA">
        <w:rPr>
          <w:rFonts w:ascii="Garamond" w:hAnsi="Garamond"/>
          <w:bCs/>
          <w:i/>
          <w:iCs/>
          <w:lang w:val="en-AU"/>
        </w:rPr>
        <w:t>Implementation Guide</w:t>
      </w:r>
      <w:r w:rsidR="009A09EA" w:rsidRPr="009A09EA">
        <w:rPr>
          <w:rFonts w:ascii="Garamond" w:hAnsi="Garamond"/>
          <w:bCs/>
          <w:lang w:val="en-AU"/>
        </w:rPr>
        <w:t xml:space="preserve"> includes practical information on the importance of ongoing support for aseptic technique and the types of evidence that health service organisations could provide to demonstrate compliance. This new resource supersedes the Commission’s 2018 </w:t>
      </w:r>
      <w:r w:rsidR="009A09EA" w:rsidRPr="009A09EA">
        <w:rPr>
          <w:rFonts w:ascii="Garamond" w:hAnsi="Garamond"/>
          <w:bCs/>
          <w:i/>
          <w:iCs/>
          <w:lang w:val="en-AU"/>
        </w:rPr>
        <w:t>Aseptic Technique Risk Matrix</w:t>
      </w:r>
      <w:r w:rsidR="009A09EA" w:rsidRPr="009A09EA">
        <w:rPr>
          <w:rFonts w:ascii="Garamond" w:hAnsi="Garamond"/>
          <w:bCs/>
          <w:lang w:val="en-AU"/>
        </w:rPr>
        <w:t>.</w:t>
      </w:r>
    </w:p>
    <w:p w14:paraId="0C715D23" w14:textId="49EB0071" w:rsidR="009A09EA" w:rsidRDefault="009A09EA" w:rsidP="009A09EA">
      <w:pPr>
        <w:rPr>
          <w:rFonts w:ascii="Garamond" w:hAnsi="Garamond"/>
          <w:bCs/>
          <w:lang w:val="en-AU"/>
        </w:rPr>
      </w:pPr>
    </w:p>
    <w:p w14:paraId="55ED8770" w14:textId="77777777" w:rsidR="009A09EA" w:rsidRDefault="009A09EA" w:rsidP="00EE5D5E">
      <w:pPr>
        <w:rPr>
          <w:rFonts w:ascii="Garamond" w:hAnsi="Garamond"/>
          <w:bCs/>
          <w:lang w:val="en-AU"/>
        </w:rPr>
      </w:pPr>
    </w:p>
    <w:p w14:paraId="24A2C821" w14:textId="567DDB6B" w:rsidR="00031819" w:rsidRPr="00031819" w:rsidRDefault="00031819" w:rsidP="00EE5D5E">
      <w:pPr>
        <w:rPr>
          <w:rFonts w:ascii="Garamond" w:hAnsi="Garamond"/>
          <w:b/>
          <w:lang w:val="en-AU"/>
        </w:rPr>
      </w:pPr>
      <w:r w:rsidRPr="00031819">
        <w:rPr>
          <w:rFonts w:ascii="Garamond" w:hAnsi="Garamond"/>
          <w:b/>
          <w:lang w:val="en-AU"/>
        </w:rPr>
        <w:t>Principles of aseptic technique: Information for healthcare workers</w:t>
      </w:r>
    </w:p>
    <w:p w14:paraId="1176EA2E" w14:textId="77777777" w:rsidR="00673526" w:rsidRDefault="00673526" w:rsidP="00EE5D5E">
      <w:pPr>
        <w:rPr>
          <w:rFonts w:ascii="Garamond" w:hAnsi="Garamond"/>
          <w:bCs/>
          <w:lang w:val="en-AU"/>
        </w:rPr>
      </w:pPr>
      <w:r w:rsidRPr="00673526">
        <w:rPr>
          <w:rFonts w:ascii="Garamond" w:hAnsi="Garamond"/>
          <w:bCs/>
          <w:lang w:val="en-AU"/>
        </w:rPr>
        <w:t>Australian Commission on Safety and Quality in Health Care</w:t>
      </w:r>
    </w:p>
    <w:p w14:paraId="27C78AC7" w14:textId="5D7CA29B" w:rsidR="00673526" w:rsidRDefault="00673526" w:rsidP="00EE5D5E">
      <w:pPr>
        <w:rPr>
          <w:rFonts w:ascii="Garamond" w:hAnsi="Garamond"/>
          <w:bCs/>
          <w:lang w:val="en-AU"/>
        </w:rPr>
      </w:pPr>
      <w:r w:rsidRPr="00673526">
        <w:rPr>
          <w:rFonts w:ascii="Garamond" w:hAnsi="Garamond"/>
          <w:bCs/>
          <w:lang w:val="en-AU"/>
        </w:rPr>
        <w:t>Sydney: ACSQHC; 2021. p. 5.</w:t>
      </w:r>
    </w:p>
    <w:p w14:paraId="355771F0" w14:textId="203B280C" w:rsidR="00031819" w:rsidRDefault="00941FFA" w:rsidP="00EE5D5E">
      <w:pPr>
        <w:rPr>
          <w:rFonts w:ascii="Garamond" w:hAnsi="Garamond"/>
          <w:bCs/>
          <w:lang w:val="en-AU"/>
        </w:rPr>
      </w:pPr>
      <w:hyperlink r:id="rId21" w:history="1">
        <w:r w:rsidR="00673526" w:rsidRPr="000835CF">
          <w:rPr>
            <w:rStyle w:val="Hyperlink"/>
            <w:rFonts w:ascii="Garamond" w:hAnsi="Garamond"/>
            <w:bCs/>
            <w:lang w:val="en-AU"/>
          </w:rPr>
          <w:t>https://www.safetyandquality.gov.au/publications-and-resources/resource-library/principles-aseptic-technique-information-healthcare-workers</w:t>
        </w:r>
      </w:hyperlink>
    </w:p>
    <w:p w14:paraId="416AF060" w14:textId="77777777" w:rsidR="000F5002" w:rsidRDefault="000F5002" w:rsidP="00EE5D5E">
      <w:pPr>
        <w:rPr>
          <w:rFonts w:ascii="Garamond" w:hAnsi="Garamond"/>
          <w:bCs/>
          <w:lang w:val="en-AU"/>
        </w:rPr>
      </w:pPr>
    </w:p>
    <w:p w14:paraId="15876AB3" w14:textId="7B172171" w:rsidR="00673526" w:rsidRDefault="000F5002" w:rsidP="00EE5D5E">
      <w:pPr>
        <w:rPr>
          <w:rFonts w:ascii="Garamond" w:hAnsi="Garamond"/>
          <w:bCs/>
          <w:lang w:val="en-AU"/>
        </w:rPr>
      </w:pPr>
      <w:r>
        <w:rPr>
          <w:rFonts w:ascii="Garamond" w:hAnsi="Garamond"/>
          <w:bCs/>
          <w:noProof/>
          <w:lang w:val="en-AU"/>
        </w:rPr>
        <w:drawing>
          <wp:anchor distT="0" distB="0" distL="114300" distR="114300" simplePos="0" relativeHeight="251661312" behindDoc="0" locked="0" layoutInCell="1" allowOverlap="1" wp14:anchorId="14CE6095" wp14:editId="0E6AB3DC">
            <wp:simplePos x="0" y="0"/>
            <wp:positionH relativeFrom="page">
              <wp:posOffset>5468076</wp:posOffset>
            </wp:positionH>
            <wp:positionV relativeFrom="paragraph">
              <wp:posOffset>116205</wp:posOffset>
            </wp:positionV>
            <wp:extent cx="2009775" cy="2771775"/>
            <wp:effectExtent l="0" t="0" r="9525" b="9525"/>
            <wp:wrapSquare wrapText="bothSides"/>
            <wp:docPr id="5" name="Picture 5" descr="Principles of aseptic technique: Information for healthcare work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nciples of aseptic technique: Information for healthcare work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9EA" w:rsidRPr="009A09EA">
        <w:rPr>
          <w:rFonts w:ascii="Garamond" w:hAnsi="Garamond"/>
          <w:bCs/>
          <w:lang w:val="en-AU"/>
        </w:rPr>
        <w:t xml:space="preserve">The </w:t>
      </w:r>
      <w:r w:rsidR="009A09EA" w:rsidRPr="009A09EA">
        <w:rPr>
          <w:rFonts w:ascii="Garamond" w:hAnsi="Garamond"/>
          <w:bCs/>
          <w:i/>
          <w:iCs/>
          <w:lang w:val="en-AU"/>
        </w:rPr>
        <w:t>Principles of aseptic technique: Information for healthcare workers</w:t>
      </w:r>
      <w:r w:rsidR="009A09EA" w:rsidRPr="009A09EA">
        <w:rPr>
          <w:rFonts w:ascii="Garamond" w:hAnsi="Garamond"/>
          <w:bCs/>
          <w:lang w:val="en-AU"/>
        </w:rPr>
        <w:t xml:space="preserve"> has been developed to support healthcare workers and clinical staff who perform procedures that require an aseptic technique. It explains the essential principles and concepts used in aseptic technique. The information presented in this resource is generic and can be adapted for direct patient care, </w:t>
      </w:r>
      <w:proofErr w:type="gramStart"/>
      <w:r w:rsidR="009A09EA" w:rsidRPr="009A09EA">
        <w:rPr>
          <w:rFonts w:ascii="Garamond" w:hAnsi="Garamond"/>
          <w:bCs/>
          <w:lang w:val="en-AU"/>
        </w:rPr>
        <w:t>laboratory</w:t>
      </w:r>
      <w:proofErr w:type="gramEnd"/>
      <w:r w:rsidR="009A09EA" w:rsidRPr="009A09EA">
        <w:rPr>
          <w:rFonts w:ascii="Garamond" w:hAnsi="Garamond"/>
          <w:bCs/>
          <w:lang w:val="en-AU"/>
        </w:rPr>
        <w:t xml:space="preserve"> and pharmacy settings. This resource also supports implementation of Action 3.11 (aseptic technique) of the NSQHS standards.</w:t>
      </w:r>
    </w:p>
    <w:p w14:paraId="39309D94" w14:textId="258ECB58" w:rsidR="009A09EA" w:rsidRDefault="009A09EA" w:rsidP="00EE5D5E">
      <w:pPr>
        <w:rPr>
          <w:rFonts w:ascii="Garamond" w:hAnsi="Garamond"/>
          <w:b/>
          <w:lang w:val="en-AU"/>
        </w:rPr>
      </w:pPr>
    </w:p>
    <w:p w14:paraId="36994944" w14:textId="77C8CF88" w:rsidR="00B201BD" w:rsidRDefault="00B201BD" w:rsidP="00EE5D5E">
      <w:pPr>
        <w:rPr>
          <w:rFonts w:ascii="Garamond" w:hAnsi="Garamond"/>
          <w:b/>
          <w:lang w:val="en-AU"/>
        </w:rPr>
      </w:pPr>
    </w:p>
    <w:p w14:paraId="6DCE87A5" w14:textId="77777777" w:rsidR="00B201BD" w:rsidRPr="00B201BD" w:rsidRDefault="00B201BD" w:rsidP="00EE5D5E">
      <w:pPr>
        <w:rPr>
          <w:rFonts w:ascii="Garamond" w:hAnsi="Garamond"/>
          <w:b/>
          <w:lang w:val="en-AU"/>
        </w:rPr>
      </w:pPr>
    </w:p>
    <w:p w14:paraId="7755736C" w14:textId="3F454036" w:rsidR="00B201BD" w:rsidRPr="009234B0" w:rsidRDefault="00B201BD" w:rsidP="00B201BD">
      <w:pPr>
        <w:rPr>
          <w:rFonts w:ascii="Garamond" w:hAnsi="Garamond"/>
          <w:b/>
          <w:lang w:val="en-AU"/>
        </w:rPr>
      </w:pPr>
      <w:r w:rsidRPr="009234B0">
        <w:rPr>
          <w:rFonts w:ascii="Garamond" w:hAnsi="Garamond"/>
          <w:b/>
          <w:lang w:val="en-AU"/>
        </w:rPr>
        <w:t>Risk management of infectious agents and diseases eLearning module</w:t>
      </w:r>
    </w:p>
    <w:p w14:paraId="6F7E8B46" w14:textId="7EEA7F92" w:rsidR="00B201BD" w:rsidRDefault="00941FFA" w:rsidP="00B201BD">
      <w:pPr>
        <w:rPr>
          <w:rFonts w:ascii="Garamond" w:hAnsi="Garamond"/>
          <w:bCs/>
          <w:lang w:val="en-AU"/>
        </w:rPr>
      </w:pPr>
      <w:hyperlink r:id="rId23" w:history="1">
        <w:r w:rsidR="00B201BD" w:rsidRPr="00520256">
          <w:rPr>
            <w:rStyle w:val="Hyperlink"/>
            <w:rFonts w:ascii="Garamond" w:hAnsi="Garamond"/>
            <w:bCs/>
            <w:lang w:val="en-AU"/>
          </w:rPr>
          <w:t>https://nhhi.southrock.com</w:t>
        </w:r>
      </w:hyperlink>
    </w:p>
    <w:p w14:paraId="1C2A8075" w14:textId="77777777" w:rsidR="00B201BD" w:rsidRDefault="00B201BD" w:rsidP="00B201BD">
      <w:pPr>
        <w:rPr>
          <w:rFonts w:ascii="Garamond" w:hAnsi="Garamond"/>
          <w:bCs/>
          <w:lang w:val="en-AU"/>
        </w:rPr>
      </w:pPr>
    </w:p>
    <w:p w14:paraId="6D9D14E4" w14:textId="22A48261" w:rsidR="00B201BD" w:rsidRPr="00B201BD" w:rsidRDefault="00B201BD" w:rsidP="00B201BD">
      <w:pPr>
        <w:rPr>
          <w:rFonts w:ascii="Garamond" w:hAnsi="Garamond"/>
          <w:bCs/>
          <w:lang w:val="en-AU"/>
        </w:rPr>
      </w:pPr>
      <w:r w:rsidRPr="00B201BD">
        <w:rPr>
          <w:rFonts w:ascii="Garamond" w:hAnsi="Garamond"/>
          <w:bCs/>
          <w:lang w:val="en-AU"/>
        </w:rPr>
        <w:t xml:space="preserve">The </w:t>
      </w:r>
      <w:r>
        <w:rPr>
          <w:rFonts w:ascii="Garamond" w:hAnsi="Garamond"/>
          <w:bCs/>
          <w:lang w:val="en-AU"/>
        </w:rPr>
        <w:t xml:space="preserve">Australian </w:t>
      </w:r>
      <w:r w:rsidRPr="00B201BD">
        <w:rPr>
          <w:rFonts w:ascii="Garamond" w:hAnsi="Garamond"/>
          <w:bCs/>
          <w:lang w:val="en-AU"/>
        </w:rPr>
        <w:t xml:space="preserve">Commission </w:t>
      </w:r>
      <w:r>
        <w:rPr>
          <w:rFonts w:ascii="Garamond" w:hAnsi="Garamond"/>
          <w:bCs/>
          <w:lang w:val="en-AU"/>
        </w:rPr>
        <w:t xml:space="preserve">on Safety and Quality in Health Care </w:t>
      </w:r>
      <w:r w:rsidRPr="00B201BD">
        <w:rPr>
          <w:rFonts w:ascii="Garamond" w:hAnsi="Garamond"/>
          <w:bCs/>
          <w:lang w:val="en-AU"/>
        </w:rPr>
        <w:t>continues to develop and support online learning for infection prevention and control (IPC) and hand hygiene for health care workers through its centralised online Learning Management System (LMS).</w:t>
      </w:r>
    </w:p>
    <w:p w14:paraId="3E3761D8" w14:textId="77777777" w:rsidR="00B201BD" w:rsidRPr="00B201BD" w:rsidRDefault="00B201BD" w:rsidP="00B201BD">
      <w:pPr>
        <w:rPr>
          <w:rFonts w:ascii="Garamond" w:hAnsi="Garamond"/>
          <w:bCs/>
          <w:lang w:val="en-AU"/>
        </w:rPr>
      </w:pPr>
    </w:p>
    <w:p w14:paraId="6DB16E69" w14:textId="77777777" w:rsidR="00B201BD" w:rsidRPr="00B201BD" w:rsidRDefault="00B201BD" w:rsidP="00B201BD">
      <w:pPr>
        <w:rPr>
          <w:rFonts w:ascii="Garamond" w:hAnsi="Garamond"/>
          <w:bCs/>
          <w:lang w:val="en-AU"/>
        </w:rPr>
      </w:pPr>
      <w:r w:rsidRPr="00B201BD">
        <w:rPr>
          <w:rFonts w:ascii="Garamond" w:hAnsi="Garamond"/>
          <w:bCs/>
          <w:lang w:val="en-AU"/>
        </w:rPr>
        <w:t xml:space="preserve">The Commission has recently updated the </w:t>
      </w:r>
      <w:r w:rsidRPr="00B201BD">
        <w:rPr>
          <w:rFonts w:ascii="Garamond" w:hAnsi="Garamond"/>
          <w:bCs/>
          <w:i/>
          <w:iCs/>
          <w:lang w:val="en-AU"/>
        </w:rPr>
        <w:t>Risk management of infectious agents and diseases</w:t>
      </w:r>
      <w:r w:rsidRPr="00B201BD">
        <w:rPr>
          <w:rFonts w:ascii="Garamond" w:hAnsi="Garamond"/>
          <w:bCs/>
          <w:lang w:val="en-AU"/>
        </w:rPr>
        <w:t xml:space="preserve"> eLearning module to ensure consistency with the National Safety and Quality Health Service Standards, specifically the </w:t>
      </w:r>
      <w:r w:rsidRPr="00B201BD">
        <w:rPr>
          <w:rFonts w:ascii="Garamond" w:hAnsi="Garamond"/>
          <w:bCs/>
          <w:i/>
          <w:iCs/>
          <w:lang w:val="en-AU"/>
        </w:rPr>
        <w:t>Preventing and Controlling Infections Standard</w:t>
      </w:r>
      <w:r w:rsidRPr="00B201BD">
        <w:rPr>
          <w:rFonts w:ascii="Garamond" w:hAnsi="Garamond"/>
          <w:bCs/>
          <w:lang w:val="en-AU"/>
        </w:rPr>
        <w:t xml:space="preserve">, and the </w:t>
      </w:r>
      <w:r w:rsidRPr="00B201BD">
        <w:rPr>
          <w:rFonts w:ascii="Garamond" w:hAnsi="Garamond"/>
          <w:bCs/>
          <w:i/>
          <w:iCs/>
          <w:lang w:val="en-AU"/>
        </w:rPr>
        <w:t>Australian Guidelines for the Prevention and Control of Infection in Healthcare</w:t>
      </w:r>
      <w:r w:rsidRPr="00B201BD">
        <w:rPr>
          <w:rFonts w:ascii="Garamond" w:hAnsi="Garamond"/>
          <w:bCs/>
          <w:lang w:val="en-AU"/>
        </w:rPr>
        <w:t>. The module has also been enhanced to improve the learner experience.</w:t>
      </w:r>
    </w:p>
    <w:p w14:paraId="4AE5B545" w14:textId="77777777" w:rsidR="00B201BD" w:rsidRPr="00B201BD" w:rsidRDefault="00B201BD" w:rsidP="00B201BD">
      <w:pPr>
        <w:rPr>
          <w:rFonts w:ascii="Garamond" w:hAnsi="Garamond"/>
          <w:bCs/>
          <w:lang w:val="en-AU"/>
        </w:rPr>
      </w:pPr>
    </w:p>
    <w:p w14:paraId="6967ED1C" w14:textId="6BE73AEC" w:rsidR="00B201BD" w:rsidRPr="00B201BD" w:rsidRDefault="00B201BD" w:rsidP="00B201BD">
      <w:pPr>
        <w:rPr>
          <w:rFonts w:ascii="Garamond" w:hAnsi="Garamond"/>
          <w:bCs/>
          <w:lang w:val="en-AU"/>
        </w:rPr>
      </w:pPr>
      <w:r w:rsidRPr="00B201BD">
        <w:rPr>
          <w:rFonts w:ascii="Garamond" w:hAnsi="Garamond"/>
          <w:bCs/>
          <w:lang w:val="en-AU"/>
        </w:rPr>
        <w:t xml:space="preserve">The updated module is available in the National Hand Hygiene Initiative (NHHI) LMS at </w:t>
      </w:r>
      <w:hyperlink r:id="rId24" w:history="1">
        <w:r w:rsidRPr="00520256">
          <w:rPr>
            <w:rStyle w:val="Hyperlink"/>
            <w:rFonts w:ascii="Garamond" w:hAnsi="Garamond"/>
            <w:bCs/>
            <w:lang w:val="en-AU"/>
          </w:rPr>
          <w:t>https://nhhi.southrock.com</w:t>
        </w:r>
      </w:hyperlink>
      <w:r w:rsidR="00CF7658">
        <w:rPr>
          <w:rStyle w:val="Hyperlink"/>
          <w:rFonts w:ascii="Garamond" w:hAnsi="Garamond"/>
          <w:bCs/>
          <w:lang w:val="en-AU"/>
        </w:rPr>
        <w:t>.</w:t>
      </w:r>
      <w:r>
        <w:rPr>
          <w:rFonts w:ascii="Garamond" w:hAnsi="Garamond"/>
          <w:bCs/>
          <w:lang w:val="en-AU"/>
        </w:rPr>
        <w:t xml:space="preserve"> </w:t>
      </w:r>
      <w:r w:rsidRPr="00B201BD">
        <w:rPr>
          <w:rFonts w:ascii="Garamond" w:hAnsi="Garamond"/>
          <w:bCs/>
          <w:lang w:val="en-AU"/>
        </w:rPr>
        <w:t>Access to the NHHI LMS is free and modules can be accessed after a learner has registered a profile on the system.</w:t>
      </w:r>
    </w:p>
    <w:p w14:paraId="53002B3B" w14:textId="3A7A8034" w:rsidR="00B201BD" w:rsidRPr="00B201BD" w:rsidRDefault="00B201BD" w:rsidP="00B201BD">
      <w:pPr>
        <w:jc w:val="right"/>
        <w:rPr>
          <w:rFonts w:ascii="Garamond" w:hAnsi="Garamond"/>
          <w:bCs/>
          <w:lang w:val="en-AU"/>
        </w:rPr>
      </w:pPr>
      <w:r>
        <w:rPr>
          <w:rFonts w:ascii="Arial" w:hAnsi="Arial" w:cs="Arial"/>
          <w:noProof/>
          <w:lang w:eastAsia="en-AU"/>
        </w:rPr>
        <w:drawing>
          <wp:inline distT="0" distB="0" distL="0" distR="0" wp14:anchorId="1B25E034" wp14:editId="4D5F91B1">
            <wp:extent cx="4499429" cy="2052135"/>
            <wp:effectExtent l="0" t="0" r="0" b="5715"/>
            <wp:docPr id="9" name="Picture 9" descr="Risk management of infectious agents and diseases eLearning modu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sk management of infectious agents and diseases eLearning module">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79723" cy="2088756"/>
                    </a:xfrm>
                    <a:prstGeom prst="rect">
                      <a:avLst/>
                    </a:prstGeom>
                    <a:noFill/>
                    <a:ln>
                      <a:noFill/>
                    </a:ln>
                  </pic:spPr>
                </pic:pic>
              </a:graphicData>
            </a:graphic>
          </wp:inline>
        </w:drawing>
      </w:r>
    </w:p>
    <w:p w14:paraId="1B0672C6" w14:textId="77DB5D48" w:rsidR="00B63FEB" w:rsidRDefault="00B63FEB" w:rsidP="00E518E5">
      <w:pPr>
        <w:keepNext/>
        <w:keepLines/>
        <w:autoSpaceDE w:val="0"/>
        <w:autoSpaceDN w:val="0"/>
        <w:adjustRightInd w:val="0"/>
        <w:rPr>
          <w:rFonts w:ascii="Garamond" w:hAnsi="Garamond"/>
          <w:b/>
          <w:lang w:val="en-AU"/>
        </w:rPr>
      </w:pPr>
      <w:r>
        <w:rPr>
          <w:rFonts w:ascii="Garamond" w:hAnsi="Garamond"/>
          <w:b/>
          <w:lang w:val="en-AU"/>
        </w:rPr>
        <w:lastRenderedPageBreak/>
        <w:t>Reports</w:t>
      </w:r>
    </w:p>
    <w:p w14:paraId="4CD99B23" w14:textId="77777777" w:rsidR="003930E8" w:rsidRDefault="003930E8" w:rsidP="00D52A63">
      <w:pPr>
        <w:keepNext/>
        <w:keepLines/>
        <w:autoSpaceDE w:val="0"/>
        <w:autoSpaceDN w:val="0"/>
        <w:adjustRightInd w:val="0"/>
        <w:rPr>
          <w:rFonts w:ascii="Garamond" w:hAnsi="Garamond"/>
          <w:bCs/>
          <w:i/>
          <w:iCs/>
          <w:lang w:val="en-AU"/>
        </w:rPr>
      </w:pPr>
    </w:p>
    <w:p w14:paraId="0FC35295" w14:textId="77777777" w:rsidR="006A6AFB" w:rsidRPr="006A6AFB" w:rsidRDefault="006A6AFB" w:rsidP="006A6AFB">
      <w:pPr>
        <w:keepNext/>
        <w:keepLines/>
        <w:autoSpaceDE w:val="0"/>
        <w:autoSpaceDN w:val="0"/>
        <w:adjustRightInd w:val="0"/>
        <w:rPr>
          <w:rFonts w:ascii="Garamond" w:hAnsi="Garamond"/>
          <w:bCs/>
          <w:i/>
          <w:iCs/>
          <w:lang w:val="en-AU"/>
        </w:rPr>
      </w:pPr>
      <w:r w:rsidRPr="006A6AFB">
        <w:rPr>
          <w:rFonts w:ascii="Garamond" w:hAnsi="Garamond"/>
          <w:bCs/>
          <w:i/>
          <w:iCs/>
          <w:lang w:val="en-AU"/>
        </w:rPr>
        <w:t>We are not visitors: Working together with family caregivers and care partners</w:t>
      </w:r>
    </w:p>
    <w:p w14:paraId="0D95B001" w14:textId="77777777" w:rsidR="006A6AFB" w:rsidRDefault="006A6AFB" w:rsidP="003579F2">
      <w:pPr>
        <w:keepNext/>
        <w:keepLines/>
        <w:autoSpaceDE w:val="0"/>
        <w:autoSpaceDN w:val="0"/>
        <w:adjustRightInd w:val="0"/>
        <w:rPr>
          <w:rFonts w:ascii="Garamond" w:hAnsi="Garamond"/>
          <w:bCs/>
          <w:lang w:val="en-AU"/>
        </w:rPr>
      </w:pPr>
      <w:r w:rsidRPr="006A6AFB">
        <w:rPr>
          <w:rFonts w:ascii="Garamond" w:hAnsi="Garamond"/>
          <w:bCs/>
          <w:lang w:val="en-AU"/>
        </w:rPr>
        <w:t>Cousins J, Graham S, Montgomery N, Serge T, Serrao C, Sterling M, et al</w:t>
      </w:r>
    </w:p>
    <w:p w14:paraId="309634BF" w14:textId="50734CA6" w:rsidR="008508A4" w:rsidRPr="008508A4" w:rsidRDefault="006A6AFB" w:rsidP="003579F2">
      <w:pPr>
        <w:keepNext/>
        <w:keepLines/>
        <w:autoSpaceDE w:val="0"/>
        <w:autoSpaceDN w:val="0"/>
        <w:adjustRightInd w:val="0"/>
        <w:rPr>
          <w:rFonts w:ascii="Garamond" w:hAnsi="Garamond"/>
          <w:bCs/>
          <w:lang w:val="en-AU"/>
        </w:rPr>
      </w:pPr>
      <w:r w:rsidRPr="006A6AFB">
        <w:rPr>
          <w:rFonts w:ascii="Garamond" w:hAnsi="Garamond"/>
          <w:bCs/>
          <w:lang w:val="en-AU"/>
        </w:rPr>
        <w:t>Nashville: The Beryl Institute; 2022.</w:t>
      </w:r>
    </w:p>
    <w:tbl>
      <w:tblPr>
        <w:tblStyle w:val="TableGrid"/>
        <w:tblW w:w="9360" w:type="dxa"/>
        <w:tblInd w:w="288" w:type="dxa"/>
        <w:tblLayout w:type="fixed"/>
        <w:tblLook w:val="01E0" w:firstRow="1" w:lastRow="1" w:firstColumn="1" w:lastColumn="1" w:noHBand="0" w:noVBand="0"/>
      </w:tblPr>
      <w:tblGrid>
        <w:gridCol w:w="1080"/>
        <w:gridCol w:w="8280"/>
      </w:tblGrid>
      <w:tr w:rsidR="00B63FEB" w:rsidRPr="000170DA" w14:paraId="67723EFD"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3F4402C" w14:textId="320593F4" w:rsidR="00B63FEB" w:rsidRPr="000170DA" w:rsidRDefault="00D52A63" w:rsidP="009547E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C4ED5F1" w14:textId="1924D2EC" w:rsidR="00B63FEB" w:rsidRPr="000170DA" w:rsidRDefault="00941FFA" w:rsidP="009547E2">
            <w:pPr>
              <w:rPr>
                <w:rStyle w:val="Hyperlink"/>
                <w:rFonts w:ascii="Garamond" w:hAnsi="Garamond"/>
                <w:color w:val="auto"/>
                <w:u w:val="none"/>
                <w:lang w:val="en-AU"/>
              </w:rPr>
            </w:pPr>
            <w:hyperlink r:id="rId27" w:history="1">
              <w:r w:rsidR="006A6AFB" w:rsidRPr="00BA71C7">
                <w:rPr>
                  <w:rStyle w:val="Hyperlink"/>
                  <w:rFonts w:ascii="Garamond" w:hAnsi="Garamond"/>
                  <w:lang w:val="en-AU"/>
                </w:rPr>
                <w:t>https://www.theberylinstitute.org/store/viewproduct.aspx?id=19723335</w:t>
              </w:r>
            </w:hyperlink>
          </w:p>
        </w:tc>
      </w:tr>
      <w:tr w:rsidR="00B63FEB" w:rsidRPr="000170DA" w14:paraId="5CD4E0D0"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24E751D8" w14:textId="77777777" w:rsidR="00B63FEB" w:rsidRPr="000170DA" w:rsidRDefault="00B63FEB"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93B8E74" w14:textId="26723CE1" w:rsidR="006A6AFB" w:rsidRPr="003579F2" w:rsidRDefault="006A6AFB" w:rsidP="006A6AFB">
            <w:pPr>
              <w:rPr>
                <w:rFonts w:ascii="Garamond" w:hAnsi="Garamond"/>
                <w:lang w:val="en-AU"/>
              </w:rPr>
            </w:pPr>
            <w:r w:rsidRPr="006A6AFB">
              <w:rPr>
                <w:rFonts w:ascii="Garamond" w:hAnsi="Garamond"/>
                <w:bCs/>
                <w:lang w:val="en-AU"/>
              </w:rPr>
              <w:t>The Beryl Institute</w:t>
            </w:r>
            <w:r>
              <w:rPr>
                <w:rFonts w:ascii="Garamond" w:hAnsi="Garamond"/>
                <w:bCs/>
                <w:lang w:val="en-AU"/>
              </w:rPr>
              <w:t xml:space="preserve"> in the USA has released this guidebook </w:t>
            </w:r>
            <w:r w:rsidRPr="006A6AFB">
              <w:rPr>
                <w:rFonts w:ascii="Garamond" w:hAnsi="Garamond"/>
                <w:lang w:val="en-AU"/>
              </w:rPr>
              <w:t>for family caregivers and those who support them</w:t>
            </w:r>
            <w:r>
              <w:rPr>
                <w:rFonts w:ascii="Garamond" w:hAnsi="Garamond"/>
                <w:lang w:val="en-AU"/>
              </w:rPr>
              <w:t>. The guidebook</w:t>
            </w:r>
            <w:r w:rsidRPr="006A6AFB">
              <w:rPr>
                <w:rFonts w:ascii="Garamond" w:hAnsi="Garamond"/>
                <w:lang w:val="en-AU"/>
              </w:rPr>
              <w:t xml:space="preserve"> defines the major components of the family caregiver experience and how they differ from the patient experience, as well as providing tools for caregivers to use as they advocate for themselves and those they care for.</w:t>
            </w:r>
          </w:p>
        </w:tc>
      </w:tr>
    </w:tbl>
    <w:p w14:paraId="37B7155A" w14:textId="243A02F7" w:rsidR="00B63FEB" w:rsidRDefault="00B63FEB" w:rsidP="00E518E5">
      <w:pPr>
        <w:keepNext/>
        <w:keepLines/>
        <w:autoSpaceDE w:val="0"/>
        <w:autoSpaceDN w:val="0"/>
        <w:adjustRightInd w:val="0"/>
        <w:rPr>
          <w:rFonts w:ascii="Garamond" w:hAnsi="Garamond"/>
          <w:bCs/>
          <w:lang w:val="en-AU"/>
        </w:rPr>
      </w:pPr>
    </w:p>
    <w:p w14:paraId="07AB1A06" w14:textId="7209681A" w:rsidR="000B0C93" w:rsidRDefault="006A6AFB" w:rsidP="00E518E5">
      <w:pPr>
        <w:keepNext/>
        <w:keepLines/>
        <w:autoSpaceDE w:val="0"/>
        <w:autoSpaceDN w:val="0"/>
        <w:adjustRightInd w:val="0"/>
        <w:rPr>
          <w:rFonts w:ascii="Garamond" w:hAnsi="Garamond"/>
          <w:bCs/>
          <w:lang w:val="en-AU"/>
        </w:rPr>
      </w:pPr>
      <w:r w:rsidRPr="009902D4">
        <w:rPr>
          <w:rFonts w:ascii="Garamond" w:hAnsi="Garamond"/>
          <w:lang w:val="en-AU"/>
        </w:rPr>
        <w:t xml:space="preserve">For information on the Commission’s work on </w:t>
      </w:r>
      <w:r>
        <w:rPr>
          <w:rFonts w:ascii="Garamond" w:hAnsi="Garamond"/>
          <w:lang w:val="en-AU"/>
        </w:rPr>
        <w:t xml:space="preserve">partnering with consumers, </w:t>
      </w:r>
      <w:r w:rsidRPr="009902D4">
        <w:rPr>
          <w:rFonts w:ascii="Garamond" w:hAnsi="Garamond"/>
          <w:lang w:val="en-AU"/>
        </w:rPr>
        <w:t>see</w:t>
      </w:r>
      <w:r>
        <w:rPr>
          <w:rFonts w:ascii="Garamond" w:hAnsi="Garamond"/>
          <w:lang w:val="en-AU"/>
        </w:rPr>
        <w:t xml:space="preserve"> </w:t>
      </w:r>
      <w:hyperlink r:id="rId28" w:history="1">
        <w:r w:rsidRPr="00BA71C7">
          <w:rPr>
            <w:rStyle w:val="Hyperlink"/>
            <w:rFonts w:ascii="Garamond" w:hAnsi="Garamond"/>
            <w:bCs/>
            <w:lang w:val="en-AU"/>
          </w:rPr>
          <w:t>https://www.safetyandquality.gov.au/our-work/partnering-consumers</w:t>
        </w:r>
      </w:hyperlink>
    </w:p>
    <w:p w14:paraId="7E3F2B4B" w14:textId="77777777" w:rsidR="009234B0" w:rsidRDefault="009234B0">
      <w:pPr>
        <w:rPr>
          <w:rFonts w:ascii="Garamond" w:hAnsi="Garamond"/>
          <w:b/>
          <w:bCs/>
          <w:lang w:val="en-AU"/>
        </w:rPr>
      </w:pPr>
    </w:p>
    <w:p w14:paraId="2CC035DE" w14:textId="29D169FD" w:rsidR="007329EF" w:rsidRPr="001F4B81" w:rsidRDefault="008F3909" w:rsidP="000F5002">
      <w:pPr>
        <w:keepNext/>
        <w:rPr>
          <w:rFonts w:ascii="Garamond" w:hAnsi="Garamond"/>
          <w:b/>
          <w:bCs/>
          <w:lang w:val="en-AU"/>
        </w:rPr>
      </w:pPr>
      <w:r w:rsidRPr="001F4B81">
        <w:rPr>
          <w:rFonts w:ascii="Garamond" w:hAnsi="Garamond"/>
          <w:b/>
          <w:bCs/>
          <w:lang w:val="en-AU"/>
        </w:rPr>
        <w:t>Journal articles</w:t>
      </w:r>
    </w:p>
    <w:p w14:paraId="66AA23BD" w14:textId="77777777" w:rsidR="007329EF" w:rsidRPr="007329EF" w:rsidRDefault="007329EF" w:rsidP="000F5002">
      <w:pPr>
        <w:keepNext/>
        <w:rPr>
          <w:rFonts w:ascii="Garamond" w:hAnsi="Garamond"/>
          <w:lang w:val="en-AU"/>
        </w:rPr>
      </w:pPr>
    </w:p>
    <w:p w14:paraId="4782A1B1" w14:textId="77777777" w:rsidR="00460040" w:rsidRPr="00460040" w:rsidRDefault="00460040" w:rsidP="00460040">
      <w:pPr>
        <w:keepNext/>
        <w:keepLines/>
        <w:autoSpaceDE w:val="0"/>
        <w:autoSpaceDN w:val="0"/>
        <w:adjustRightInd w:val="0"/>
        <w:rPr>
          <w:rFonts w:ascii="Garamond" w:hAnsi="Garamond"/>
          <w:i/>
          <w:iCs/>
          <w:lang w:val="en-AU"/>
        </w:rPr>
      </w:pPr>
      <w:bookmarkStart w:id="1" w:name="_Hlk96679798"/>
      <w:r w:rsidRPr="00460040">
        <w:rPr>
          <w:rFonts w:ascii="Garamond" w:hAnsi="Garamond"/>
          <w:i/>
          <w:iCs/>
          <w:lang w:val="en-AU"/>
        </w:rPr>
        <w:t>Emergency department care-related causal factors of in-patient deterioration</w:t>
      </w:r>
    </w:p>
    <w:bookmarkEnd w:id="1"/>
    <w:p w14:paraId="4B275047" w14:textId="77777777" w:rsidR="00460040" w:rsidRDefault="00460040" w:rsidP="00530B24">
      <w:pPr>
        <w:keepNext/>
        <w:keepLines/>
        <w:autoSpaceDE w:val="0"/>
        <w:autoSpaceDN w:val="0"/>
        <w:adjustRightInd w:val="0"/>
        <w:rPr>
          <w:rFonts w:ascii="Garamond" w:hAnsi="Garamond"/>
          <w:lang w:val="en-AU"/>
        </w:rPr>
      </w:pPr>
      <w:r w:rsidRPr="00460040">
        <w:rPr>
          <w:rFonts w:ascii="Garamond" w:hAnsi="Garamond"/>
          <w:lang w:val="en-AU"/>
        </w:rPr>
        <w:t>Nassief K, Azer M, Watts M, Tuala E, McLennan P, Curtis K</w:t>
      </w:r>
    </w:p>
    <w:p w14:paraId="1389B806" w14:textId="586CD135" w:rsidR="00105F25" w:rsidRDefault="00460040" w:rsidP="00530B24">
      <w:pPr>
        <w:keepNext/>
        <w:keepLines/>
        <w:autoSpaceDE w:val="0"/>
        <w:autoSpaceDN w:val="0"/>
        <w:adjustRightInd w:val="0"/>
        <w:rPr>
          <w:rFonts w:ascii="Garamond" w:hAnsi="Garamond"/>
          <w:lang w:val="en-AU"/>
        </w:rPr>
      </w:pPr>
      <w:r w:rsidRPr="00460040">
        <w:rPr>
          <w:rFonts w:ascii="Garamond" w:hAnsi="Garamond"/>
          <w:lang w:val="en-AU"/>
        </w:rPr>
        <w:t>Australian Health Review. 2022;46(1):35-41.</w:t>
      </w:r>
    </w:p>
    <w:p w14:paraId="61A2CCEC" w14:textId="3D9C5E70" w:rsidR="009234B0" w:rsidRDefault="009234B0" w:rsidP="00530B24">
      <w:pPr>
        <w:keepNext/>
        <w:keepLines/>
        <w:autoSpaceDE w:val="0"/>
        <w:autoSpaceDN w:val="0"/>
        <w:adjustRightInd w:val="0"/>
        <w:rPr>
          <w:rFonts w:ascii="Garamond" w:hAnsi="Garamond"/>
          <w:lang w:val="en-AU"/>
        </w:rPr>
      </w:pPr>
    </w:p>
    <w:p w14:paraId="32A5E1E6" w14:textId="77777777" w:rsidR="002C7454" w:rsidRPr="002C7454" w:rsidRDefault="002C7454" w:rsidP="002C7454">
      <w:pPr>
        <w:keepNext/>
        <w:keepLines/>
        <w:autoSpaceDE w:val="0"/>
        <w:autoSpaceDN w:val="0"/>
        <w:adjustRightInd w:val="0"/>
        <w:rPr>
          <w:rFonts w:ascii="Garamond" w:hAnsi="Garamond"/>
          <w:i/>
          <w:iCs/>
          <w:lang w:val="en-AU"/>
        </w:rPr>
      </w:pPr>
      <w:r w:rsidRPr="002C7454">
        <w:rPr>
          <w:rFonts w:ascii="Garamond" w:hAnsi="Garamond"/>
          <w:i/>
          <w:iCs/>
          <w:lang w:val="en-AU"/>
        </w:rPr>
        <w:t>Discrepancy between emergency department admission diagnosis and hospital discharge diagnosis and its impact on length of stay, up-triage to the intensive care unit, and mortality</w:t>
      </w:r>
    </w:p>
    <w:p w14:paraId="7BA008D6" w14:textId="77777777" w:rsidR="002C7454" w:rsidRDefault="002C7454" w:rsidP="00530B24">
      <w:pPr>
        <w:keepNext/>
        <w:keepLines/>
        <w:autoSpaceDE w:val="0"/>
        <w:autoSpaceDN w:val="0"/>
        <w:adjustRightInd w:val="0"/>
        <w:rPr>
          <w:rFonts w:ascii="Garamond" w:hAnsi="Garamond"/>
          <w:lang w:val="en-AU"/>
        </w:rPr>
      </w:pPr>
      <w:r w:rsidRPr="002C7454">
        <w:rPr>
          <w:rFonts w:ascii="Garamond" w:hAnsi="Garamond"/>
          <w:lang w:val="en-AU"/>
        </w:rPr>
        <w:t>Bastakoti M, Muhailan M, Nassar A, Sallam T, Desale S, Fouda R, et al</w:t>
      </w:r>
    </w:p>
    <w:p w14:paraId="32DFCD53" w14:textId="346943F0" w:rsidR="009234B0" w:rsidRDefault="002C7454" w:rsidP="00530B24">
      <w:pPr>
        <w:keepNext/>
        <w:keepLines/>
        <w:autoSpaceDE w:val="0"/>
        <w:autoSpaceDN w:val="0"/>
        <w:adjustRightInd w:val="0"/>
        <w:rPr>
          <w:rFonts w:ascii="Garamond" w:hAnsi="Garamond"/>
          <w:lang w:val="en-AU"/>
        </w:rPr>
      </w:pPr>
      <w:r w:rsidRPr="002C7454">
        <w:rPr>
          <w:rFonts w:ascii="Garamond" w:hAnsi="Garamond"/>
          <w:lang w:val="en-AU"/>
        </w:rPr>
        <w:t>Diagnosis. 2022;9(1):107-114.</w:t>
      </w:r>
    </w:p>
    <w:tbl>
      <w:tblPr>
        <w:tblStyle w:val="TableGrid"/>
        <w:tblW w:w="9360" w:type="dxa"/>
        <w:tblInd w:w="288" w:type="dxa"/>
        <w:tblLayout w:type="fixed"/>
        <w:tblLook w:val="01E0" w:firstRow="1" w:lastRow="1" w:firstColumn="1" w:lastColumn="1" w:noHBand="0" w:noVBand="0"/>
      </w:tblPr>
      <w:tblGrid>
        <w:gridCol w:w="1080"/>
        <w:gridCol w:w="8280"/>
      </w:tblGrid>
      <w:tr w:rsidR="00105F25" w:rsidRPr="000170DA" w14:paraId="4104F5CE"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256580B8" w14:textId="77777777" w:rsidR="00105F25" w:rsidRPr="000170DA" w:rsidRDefault="00105F25" w:rsidP="009547E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23D12E8" w14:textId="77777777" w:rsidR="00105F25" w:rsidRDefault="00EB120B" w:rsidP="009547E2">
            <w:pPr>
              <w:rPr>
                <w:rStyle w:val="Hyperlink"/>
                <w:rFonts w:ascii="Garamond" w:hAnsi="Garamond"/>
                <w:lang w:val="en-AU"/>
              </w:rPr>
            </w:pPr>
            <w:r>
              <w:rPr>
                <w:rFonts w:ascii="Garamond" w:hAnsi="Garamond"/>
                <w:lang w:val="en-AU"/>
              </w:rPr>
              <w:t xml:space="preserve">Nassief et al </w:t>
            </w:r>
            <w:hyperlink r:id="rId29" w:history="1">
              <w:r w:rsidR="00460040" w:rsidRPr="00BA71C7">
                <w:rPr>
                  <w:rStyle w:val="Hyperlink"/>
                  <w:rFonts w:ascii="Garamond" w:hAnsi="Garamond"/>
                  <w:lang w:val="en-AU"/>
                </w:rPr>
                <w:t>https://doi.org/10.1071/AH21190</w:t>
              </w:r>
            </w:hyperlink>
          </w:p>
          <w:p w14:paraId="4207D1B5" w14:textId="5B55E73C" w:rsidR="00EB120B" w:rsidRPr="000170DA" w:rsidRDefault="00EB120B" w:rsidP="009547E2">
            <w:pPr>
              <w:rPr>
                <w:rStyle w:val="Hyperlink"/>
                <w:rFonts w:ascii="Garamond" w:hAnsi="Garamond"/>
                <w:color w:val="auto"/>
                <w:u w:val="none"/>
                <w:lang w:val="en-AU"/>
              </w:rPr>
            </w:pPr>
            <w:r w:rsidRPr="002C7454">
              <w:rPr>
                <w:rFonts w:ascii="Garamond" w:hAnsi="Garamond"/>
                <w:lang w:val="en-AU"/>
              </w:rPr>
              <w:t>Bastakoti</w:t>
            </w:r>
            <w:r>
              <w:rPr>
                <w:rFonts w:ascii="Garamond" w:hAnsi="Garamond"/>
                <w:lang w:val="en-AU"/>
              </w:rPr>
              <w:t xml:space="preserve"> et al</w:t>
            </w:r>
            <w:r>
              <w:rPr>
                <w:rFonts w:ascii="Garamond" w:hAnsi="Garamond"/>
                <w:lang w:val="en-AU"/>
              </w:rPr>
              <w:t xml:space="preserve"> </w:t>
            </w:r>
            <w:hyperlink r:id="rId30" w:history="1">
              <w:r w:rsidRPr="008D6093">
                <w:rPr>
                  <w:rStyle w:val="Hyperlink"/>
                  <w:rFonts w:ascii="Garamond" w:hAnsi="Garamond"/>
                  <w:lang w:val="en-AU"/>
                </w:rPr>
                <w:t>http</w:t>
              </w:r>
              <w:r w:rsidRPr="008D6093">
                <w:rPr>
                  <w:rStyle w:val="Hyperlink"/>
                  <w:rFonts w:ascii="Garamond" w:hAnsi="Garamond"/>
                  <w:lang w:val="en-AU"/>
                </w:rPr>
                <w:t>s</w:t>
              </w:r>
              <w:r w:rsidRPr="008D6093">
                <w:rPr>
                  <w:rStyle w:val="Hyperlink"/>
                  <w:rFonts w:ascii="Garamond" w:hAnsi="Garamond"/>
                  <w:lang w:val="en-AU"/>
                </w:rPr>
                <w:t>://doi.org/10.1515/dx-2021-0001</w:t>
              </w:r>
            </w:hyperlink>
          </w:p>
        </w:tc>
      </w:tr>
      <w:tr w:rsidR="00105F25" w:rsidRPr="000170DA" w14:paraId="3C3815B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7656ACA2" w14:textId="77777777" w:rsidR="00105F25" w:rsidRPr="000170DA" w:rsidRDefault="00105F25"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61FA34B" w14:textId="6A2C9C1F" w:rsidR="00460040" w:rsidRDefault="009234B0" w:rsidP="00460040">
            <w:pPr>
              <w:rPr>
                <w:rFonts w:ascii="Garamond" w:hAnsi="Garamond"/>
                <w:lang w:val="en-AU"/>
              </w:rPr>
            </w:pPr>
            <w:r>
              <w:rPr>
                <w:rFonts w:ascii="Garamond" w:hAnsi="Garamond"/>
                <w:lang w:val="en-AU"/>
              </w:rPr>
              <w:t xml:space="preserve">Nassief et al present an </w:t>
            </w:r>
            <w:r w:rsidR="00460040">
              <w:rPr>
                <w:rFonts w:ascii="Garamond" w:hAnsi="Garamond"/>
                <w:lang w:val="en-AU"/>
              </w:rPr>
              <w:t xml:space="preserve">Australian study that sought to examine </w:t>
            </w:r>
            <w:r w:rsidR="00460040" w:rsidRPr="00460040">
              <w:rPr>
                <w:rFonts w:ascii="Garamond" w:hAnsi="Garamond"/>
                <w:lang w:val="en-AU"/>
              </w:rPr>
              <w:t xml:space="preserve">factors related to emergency department (ED) care </w:t>
            </w:r>
            <w:r w:rsidR="00460040">
              <w:rPr>
                <w:rFonts w:ascii="Garamond" w:hAnsi="Garamond"/>
                <w:lang w:val="en-AU"/>
              </w:rPr>
              <w:t xml:space="preserve">that contributed to </w:t>
            </w:r>
            <w:r w:rsidR="00460040" w:rsidRPr="00460040">
              <w:rPr>
                <w:rFonts w:ascii="Garamond" w:hAnsi="Garamond"/>
                <w:lang w:val="en-AU"/>
              </w:rPr>
              <w:t>in-patient deterioration.</w:t>
            </w:r>
            <w:r w:rsidR="00460040">
              <w:rPr>
                <w:rFonts w:ascii="Garamond" w:hAnsi="Garamond"/>
                <w:lang w:val="en-AU"/>
              </w:rPr>
              <w:t xml:space="preserve"> </w:t>
            </w:r>
            <w:r w:rsidR="00460040" w:rsidRPr="00460040">
              <w:rPr>
                <w:rFonts w:ascii="Garamond" w:hAnsi="Garamond"/>
                <w:lang w:val="en-AU"/>
              </w:rPr>
              <w:t xml:space="preserve">This </w:t>
            </w:r>
            <w:r w:rsidR="00460040">
              <w:rPr>
                <w:rFonts w:ascii="Garamond" w:hAnsi="Garamond"/>
                <w:lang w:val="en-AU"/>
              </w:rPr>
              <w:t xml:space="preserve">was a </w:t>
            </w:r>
            <w:r w:rsidR="00460040" w:rsidRPr="00460040">
              <w:rPr>
                <w:rFonts w:ascii="Garamond" w:hAnsi="Garamond"/>
                <w:lang w:val="en-AU"/>
              </w:rPr>
              <w:t xml:space="preserve">retrospective cohort study </w:t>
            </w:r>
            <w:r w:rsidR="00460040">
              <w:rPr>
                <w:rFonts w:ascii="Garamond" w:hAnsi="Garamond"/>
                <w:lang w:val="en-AU"/>
              </w:rPr>
              <w:t xml:space="preserve">that </w:t>
            </w:r>
            <w:r w:rsidR="00460040" w:rsidRPr="00460040">
              <w:rPr>
                <w:rFonts w:ascii="Garamond" w:hAnsi="Garamond"/>
                <w:lang w:val="en-AU"/>
              </w:rPr>
              <w:t xml:space="preserve">examined in-patient records in a regional health service in New South Wales, Australia, between March 2016 and February 2017. Deterioration was defined as either the initiation of a medical emergency team call, cardiac </w:t>
            </w:r>
            <w:r w:rsidR="00406FA4" w:rsidRPr="00460040">
              <w:rPr>
                <w:rFonts w:ascii="Garamond" w:hAnsi="Garamond"/>
                <w:lang w:val="en-AU"/>
              </w:rPr>
              <w:t>arrest,</w:t>
            </w:r>
            <w:r w:rsidR="00460040" w:rsidRPr="00460040">
              <w:rPr>
                <w:rFonts w:ascii="Garamond" w:hAnsi="Garamond"/>
                <w:lang w:val="en-AU"/>
              </w:rPr>
              <w:t xml:space="preserve"> or unplanned admission to the intensive care unit.</w:t>
            </w:r>
            <w:r w:rsidR="00460040">
              <w:rPr>
                <w:rFonts w:ascii="Garamond" w:hAnsi="Garamond"/>
                <w:lang w:val="en-AU"/>
              </w:rPr>
              <w:t xml:space="preserve"> The study found that ‘of </w:t>
            </w:r>
            <w:r w:rsidR="00460040" w:rsidRPr="00460040">
              <w:rPr>
                <w:rFonts w:ascii="Garamond" w:hAnsi="Garamond"/>
                <w:lang w:val="en-AU"/>
              </w:rPr>
              <w:t>the 1074 patients who deteriorated within 72</w:t>
            </w:r>
            <w:r w:rsidR="00460040" w:rsidRPr="00460040">
              <w:rPr>
                <w:lang w:val="en-AU"/>
              </w:rPr>
              <w:t> </w:t>
            </w:r>
            <w:r w:rsidR="00460040" w:rsidRPr="00460040">
              <w:rPr>
                <w:rFonts w:ascii="Garamond" w:hAnsi="Garamond"/>
                <w:lang w:val="en-AU"/>
              </w:rPr>
              <w:t xml:space="preserve">hours of admission via the ED, the care received in the ED was a contributing factor for 101 patients (9%). The most common human causal factors were </w:t>
            </w:r>
            <w:r w:rsidR="00460040" w:rsidRPr="00460040">
              <w:rPr>
                <w:rFonts w:ascii="Garamond" w:hAnsi="Garamond"/>
                <w:b/>
                <w:bCs/>
                <w:lang w:val="en-AU"/>
              </w:rPr>
              <w:t>poor communication</w:t>
            </w:r>
            <w:r w:rsidR="00460040" w:rsidRPr="00460040">
              <w:rPr>
                <w:rFonts w:ascii="Garamond" w:hAnsi="Garamond"/>
                <w:lang w:val="en-AU"/>
              </w:rPr>
              <w:t xml:space="preserve"> between staff, </w:t>
            </w:r>
            <w:r w:rsidR="00460040" w:rsidRPr="00460040">
              <w:rPr>
                <w:rFonts w:ascii="Garamond" w:hAnsi="Garamond"/>
                <w:b/>
                <w:bCs/>
                <w:lang w:val="en-AU"/>
              </w:rPr>
              <w:t>medical management errors</w:t>
            </w:r>
            <w:r w:rsidR="00460040" w:rsidRPr="00460040">
              <w:rPr>
                <w:rFonts w:ascii="Garamond" w:hAnsi="Garamond"/>
                <w:lang w:val="en-AU"/>
              </w:rPr>
              <w:t xml:space="preserve">, </w:t>
            </w:r>
            <w:r w:rsidR="00460040" w:rsidRPr="00460040">
              <w:rPr>
                <w:rFonts w:ascii="Garamond" w:hAnsi="Garamond"/>
                <w:b/>
                <w:bCs/>
                <w:lang w:val="en-AU"/>
              </w:rPr>
              <w:t>delayed treatment</w:t>
            </w:r>
            <w:r w:rsidR="00460040" w:rsidRPr="00460040">
              <w:rPr>
                <w:rFonts w:ascii="Garamond" w:hAnsi="Garamond"/>
                <w:lang w:val="en-AU"/>
              </w:rPr>
              <w:t xml:space="preserve">, medical </w:t>
            </w:r>
            <w:r w:rsidR="00460040" w:rsidRPr="00460040">
              <w:rPr>
                <w:rFonts w:ascii="Garamond" w:hAnsi="Garamond"/>
                <w:b/>
                <w:bCs/>
                <w:lang w:val="en-AU"/>
              </w:rPr>
              <w:t>documentation errors</w:t>
            </w:r>
            <w:r w:rsidR="00460040" w:rsidRPr="00460040">
              <w:rPr>
                <w:rFonts w:ascii="Garamond" w:hAnsi="Garamond"/>
                <w:lang w:val="en-AU"/>
              </w:rPr>
              <w:t xml:space="preserve">, </w:t>
            </w:r>
            <w:r w:rsidR="00460040" w:rsidRPr="00460040">
              <w:rPr>
                <w:rFonts w:ascii="Garamond" w:hAnsi="Garamond"/>
                <w:b/>
                <w:bCs/>
                <w:lang w:val="en-AU"/>
              </w:rPr>
              <w:t>nursing management errors</w:t>
            </w:r>
            <w:r w:rsidR="00460040" w:rsidRPr="00460040">
              <w:rPr>
                <w:rFonts w:ascii="Garamond" w:hAnsi="Garamond"/>
                <w:lang w:val="en-AU"/>
              </w:rPr>
              <w:t xml:space="preserve"> and </w:t>
            </w:r>
            <w:r w:rsidR="00460040" w:rsidRPr="00460040">
              <w:rPr>
                <w:rFonts w:ascii="Garamond" w:hAnsi="Garamond"/>
                <w:b/>
                <w:bCs/>
                <w:lang w:val="en-AU"/>
              </w:rPr>
              <w:t>unclear policies or guidelines</w:t>
            </w:r>
            <w:r w:rsidR="00460040" w:rsidRPr="00460040">
              <w:rPr>
                <w:rFonts w:ascii="Garamond" w:hAnsi="Garamond"/>
                <w:lang w:val="en-AU"/>
              </w:rPr>
              <w:t>.</w:t>
            </w:r>
            <w:r w:rsidR="00460040">
              <w:rPr>
                <w:rFonts w:ascii="Garamond" w:hAnsi="Garamond"/>
                <w:lang w:val="en-AU"/>
              </w:rPr>
              <w:t xml:space="preserve">’ The authors suggest ‘that there is a </w:t>
            </w:r>
            <w:r w:rsidR="00460040" w:rsidRPr="00460040">
              <w:rPr>
                <w:rFonts w:ascii="Garamond" w:hAnsi="Garamond"/>
                <w:lang w:val="en-AU"/>
              </w:rPr>
              <w:t>need for the clarification and revision of policies and guidelines pertaining to the management of elderly patients, education regarding the critical importance of the often clinically masked vital sign deviations in younger patients and improved communication between staff, especially regarding patients with more comorbidities.</w:t>
            </w:r>
            <w:r w:rsidR="00460040">
              <w:rPr>
                <w:rFonts w:ascii="Garamond" w:hAnsi="Garamond"/>
                <w:lang w:val="en-AU"/>
              </w:rPr>
              <w:t>’</w:t>
            </w:r>
          </w:p>
          <w:p w14:paraId="7629CA05" w14:textId="747AEB4C" w:rsidR="009234B0" w:rsidRPr="006775DA" w:rsidRDefault="009234B0" w:rsidP="00460040">
            <w:pPr>
              <w:rPr>
                <w:rFonts w:ascii="Garamond" w:hAnsi="Garamond"/>
                <w:lang w:val="en-AU"/>
              </w:rPr>
            </w:pPr>
            <w:r>
              <w:rPr>
                <w:rFonts w:ascii="Garamond" w:hAnsi="Garamond"/>
                <w:lang w:val="en-AU"/>
              </w:rPr>
              <w:t xml:space="preserve">Also looking at ED is the paper from </w:t>
            </w:r>
            <w:r w:rsidR="001C0791" w:rsidRPr="002C7454">
              <w:rPr>
                <w:rFonts w:ascii="Garamond" w:hAnsi="Garamond"/>
                <w:lang w:val="en-AU"/>
              </w:rPr>
              <w:t>Bastakoti</w:t>
            </w:r>
            <w:r w:rsidR="001C0791">
              <w:rPr>
                <w:rFonts w:ascii="Garamond" w:hAnsi="Garamond"/>
                <w:lang w:val="en-AU"/>
              </w:rPr>
              <w:t xml:space="preserve"> et al.</w:t>
            </w:r>
            <w:r>
              <w:rPr>
                <w:rFonts w:ascii="Garamond" w:hAnsi="Garamond"/>
                <w:lang w:val="en-AU"/>
              </w:rPr>
              <w:t xml:space="preserve"> Here they seek to understand the </w:t>
            </w:r>
            <w:r w:rsidRPr="009234B0">
              <w:rPr>
                <w:rFonts w:ascii="Garamond" w:hAnsi="Garamond"/>
                <w:lang w:val="en-AU"/>
              </w:rPr>
              <w:t>extent of diagnostic discrepancy</w:t>
            </w:r>
            <w:r>
              <w:rPr>
                <w:rFonts w:ascii="Garamond" w:hAnsi="Garamond"/>
                <w:lang w:val="en-AU"/>
              </w:rPr>
              <w:t xml:space="preserve"> between diagnoses between the ED and on hospital discharge and ‘</w:t>
            </w:r>
            <w:r w:rsidRPr="009234B0">
              <w:rPr>
                <w:rFonts w:ascii="Garamond" w:hAnsi="Garamond"/>
                <w:lang w:val="en-AU"/>
              </w:rPr>
              <w:t xml:space="preserve">its impact on length of hospital </w:t>
            </w:r>
            <w:proofErr w:type="gramStart"/>
            <w:r w:rsidRPr="009234B0">
              <w:rPr>
                <w:rFonts w:ascii="Garamond" w:hAnsi="Garamond"/>
                <w:lang w:val="en-AU"/>
              </w:rPr>
              <w:t>stay</w:t>
            </w:r>
            <w:proofErr w:type="gramEnd"/>
            <w:r w:rsidRPr="009234B0">
              <w:rPr>
                <w:rFonts w:ascii="Garamond" w:hAnsi="Garamond"/>
                <w:lang w:val="en-AU"/>
              </w:rPr>
              <w:t xml:space="preserve"> (LOS), up-triage to the intensive care unit (ICU) and in-hospital mortality.</w:t>
            </w:r>
            <w:r>
              <w:rPr>
                <w:rFonts w:ascii="Garamond" w:hAnsi="Garamond"/>
                <w:lang w:val="en-AU"/>
              </w:rPr>
              <w:t>’ Using data from retrospective chart review of 636 patients at a US tertiary hospital, the study found that 21.77% had discordant diagnoses</w:t>
            </w:r>
            <w:r w:rsidR="002C7454">
              <w:rPr>
                <w:rFonts w:ascii="Garamond" w:hAnsi="Garamond"/>
                <w:lang w:val="en-AU"/>
              </w:rPr>
              <w:t>. Patients with a discordant diagnosis experienced ‘</w:t>
            </w:r>
            <w:r w:rsidR="002C7454" w:rsidRPr="002C7454">
              <w:rPr>
                <w:rFonts w:ascii="Garamond" w:hAnsi="Garamond"/>
                <w:lang w:val="en-AU"/>
              </w:rPr>
              <w:t>increased mortality (OR: 3.64; 95% CI: 1.026–12.91; p=0.045) and up-triage to the ICU (OR: 5.51; 95% CI: 2.43–12.5; p&lt;0.001)</w:t>
            </w:r>
            <w:r w:rsidR="002C7454">
              <w:rPr>
                <w:rFonts w:ascii="Garamond" w:hAnsi="Garamond"/>
                <w:lang w:val="en-AU"/>
              </w:rPr>
              <w:t>’ and their ‘</w:t>
            </w:r>
            <w:r w:rsidR="002C7454" w:rsidRPr="002C7454">
              <w:rPr>
                <w:rFonts w:ascii="Garamond" w:hAnsi="Garamond"/>
                <w:lang w:val="en-AU"/>
              </w:rPr>
              <w:t>median LOS was significantly greater for patients with discordant diagnoses (7 days) than for those with concordant diagnoses (4.7 days) (p=0.004).</w:t>
            </w:r>
            <w:r w:rsidR="002C7454">
              <w:rPr>
                <w:rFonts w:ascii="Garamond" w:hAnsi="Garamond"/>
                <w:lang w:val="en-AU"/>
              </w:rPr>
              <w:t>’</w:t>
            </w:r>
          </w:p>
        </w:tc>
      </w:tr>
    </w:tbl>
    <w:p w14:paraId="03ED822C" w14:textId="77777777" w:rsidR="006F0926" w:rsidRPr="006F0926" w:rsidRDefault="006F0926" w:rsidP="006F0926">
      <w:pPr>
        <w:keepNext/>
        <w:keepLines/>
        <w:autoSpaceDE w:val="0"/>
        <w:autoSpaceDN w:val="0"/>
        <w:adjustRightInd w:val="0"/>
        <w:rPr>
          <w:rFonts w:ascii="Garamond" w:hAnsi="Garamond"/>
          <w:i/>
          <w:iCs/>
          <w:lang w:val="en-AU"/>
        </w:rPr>
      </w:pPr>
      <w:r w:rsidRPr="006F0926">
        <w:rPr>
          <w:rFonts w:ascii="Garamond" w:hAnsi="Garamond"/>
          <w:i/>
          <w:iCs/>
          <w:lang w:val="en-AU"/>
        </w:rPr>
        <w:lastRenderedPageBreak/>
        <w:t xml:space="preserve">Perioperative Delirium/Agitation Associated </w:t>
      </w:r>
      <w:proofErr w:type="gramStart"/>
      <w:r w:rsidRPr="006F0926">
        <w:rPr>
          <w:rFonts w:ascii="Garamond" w:hAnsi="Garamond"/>
          <w:i/>
          <w:iCs/>
          <w:lang w:val="en-AU"/>
        </w:rPr>
        <w:t>With</w:t>
      </w:r>
      <w:proofErr w:type="gramEnd"/>
      <w:r w:rsidRPr="006F0926">
        <w:rPr>
          <w:rFonts w:ascii="Garamond" w:hAnsi="Garamond"/>
          <w:i/>
          <w:iCs/>
          <w:lang w:val="en-AU"/>
        </w:rPr>
        <w:t xml:space="preserve"> the Use of Anesthetics and/or Adjunct Agents: A Study of Patient Behaviors, Injuries, and Interventions to Mitigate Risk</w:t>
      </w:r>
    </w:p>
    <w:p w14:paraId="1C679094" w14:textId="77777777" w:rsidR="006F0926" w:rsidRDefault="006F0926" w:rsidP="000B5EA6">
      <w:pPr>
        <w:keepNext/>
        <w:keepLines/>
        <w:autoSpaceDE w:val="0"/>
        <w:autoSpaceDN w:val="0"/>
        <w:adjustRightInd w:val="0"/>
        <w:rPr>
          <w:rFonts w:ascii="Garamond" w:hAnsi="Garamond"/>
          <w:lang w:val="en-AU"/>
        </w:rPr>
      </w:pPr>
      <w:r w:rsidRPr="006F0926">
        <w:rPr>
          <w:rFonts w:ascii="Garamond" w:hAnsi="Garamond"/>
          <w:lang w:val="en-AU"/>
        </w:rPr>
        <w:t>Taylor MA, Pileggi W</w:t>
      </w:r>
    </w:p>
    <w:p w14:paraId="714020A6" w14:textId="66C33D33" w:rsidR="000B5EA6" w:rsidRDefault="006F0926" w:rsidP="000B5EA6">
      <w:pPr>
        <w:keepNext/>
        <w:keepLines/>
        <w:autoSpaceDE w:val="0"/>
        <w:autoSpaceDN w:val="0"/>
        <w:adjustRightInd w:val="0"/>
        <w:rPr>
          <w:rFonts w:ascii="Garamond" w:hAnsi="Garamond"/>
          <w:lang w:val="en-AU"/>
        </w:rPr>
      </w:pPr>
      <w:r w:rsidRPr="006F0926">
        <w:rPr>
          <w:rFonts w:ascii="Garamond" w:hAnsi="Garamond"/>
          <w:lang w:val="en-AU"/>
        </w:rPr>
        <w:t>Patient Safety. 2021 12/17;3(4):16-27.</w:t>
      </w:r>
    </w:p>
    <w:tbl>
      <w:tblPr>
        <w:tblStyle w:val="TableGrid"/>
        <w:tblW w:w="9360" w:type="dxa"/>
        <w:tblInd w:w="288" w:type="dxa"/>
        <w:tblLayout w:type="fixed"/>
        <w:tblLook w:val="01E0" w:firstRow="1" w:lastRow="1" w:firstColumn="1" w:lastColumn="1" w:noHBand="0" w:noVBand="0"/>
      </w:tblPr>
      <w:tblGrid>
        <w:gridCol w:w="1080"/>
        <w:gridCol w:w="8280"/>
      </w:tblGrid>
      <w:tr w:rsidR="000B5EA6" w:rsidRPr="000170DA" w14:paraId="12EE4FE5"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443174E5" w14:textId="77777777" w:rsidR="000B5EA6" w:rsidRPr="000170DA" w:rsidRDefault="000B5EA6" w:rsidP="009547E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85E40F2" w14:textId="1DDA3DBB" w:rsidR="000B5EA6" w:rsidRPr="000170DA" w:rsidRDefault="00941FFA" w:rsidP="009547E2">
            <w:pPr>
              <w:rPr>
                <w:rStyle w:val="Hyperlink"/>
                <w:rFonts w:ascii="Garamond" w:hAnsi="Garamond"/>
                <w:color w:val="auto"/>
                <w:u w:val="none"/>
                <w:lang w:val="en-AU"/>
              </w:rPr>
            </w:pPr>
            <w:hyperlink r:id="rId31" w:history="1">
              <w:r w:rsidR="006F0926" w:rsidRPr="00BA71C7">
                <w:rPr>
                  <w:rStyle w:val="Hyperlink"/>
                  <w:rFonts w:ascii="Garamond" w:hAnsi="Garamond"/>
                  <w:lang w:val="en-AU"/>
                </w:rPr>
                <w:t>https://doi.org/10.33940/med/2021.12.2</w:t>
              </w:r>
            </w:hyperlink>
          </w:p>
        </w:tc>
      </w:tr>
      <w:tr w:rsidR="000B5EA6" w:rsidRPr="000170DA" w14:paraId="5E00E2D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5B7BBEB6" w14:textId="77777777" w:rsidR="000B5EA6" w:rsidRPr="000170DA" w:rsidRDefault="000B5EA6"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C5883E" w14:textId="6EF4F71D" w:rsidR="007F07EC" w:rsidRDefault="007F07EC" w:rsidP="003B6CD9">
            <w:pPr>
              <w:rPr>
                <w:rFonts w:ascii="Garamond" w:hAnsi="Garamond"/>
                <w:lang w:val="en-AU"/>
              </w:rPr>
            </w:pPr>
            <w:r w:rsidRPr="007F07EC">
              <w:rPr>
                <w:rFonts w:ascii="Garamond" w:hAnsi="Garamond"/>
                <w:lang w:val="en-AU"/>
              </w:rPr>
              <w:t>Cognitive impairment is an important safety and quality issue. Cognitive impairment is common, but is often not identified, or it is dismissed or misdiagnosed. For example, symptoms of delirium may be dismissed as a normal part of ageing, or as dementia, potentially preventing further assessment and action.</w:t>
            </w:r>
          </w:p>
          <w:p w14:paraId="7A996444" w14:textId="7210CC2F" w:rsidR="000B5EA6" w:rsidRDefault="007F07EC" w:rsidP="009547E2">
            <w:pPr>
              <w:rPr>
                <w:rFonts w:ascii="Garamond" w:hAnsi="Garamond"/>
                <w:lang w:val="en-AU"/>
              </w:rPr>
            </w:pPr>
            <w:r>
              <w:rPr>
                <w:rFonts w:ascii="Garamond" w:hAnsi="Garamond"/>
                <w:lang w:val="en-AU"/>
              </w:rPr>
              <w:t xml:space="preserve">This paper reports </w:t>
            </w:r>
            <w:r w:rsidR="00D946FF">
              <w:rPr>
                <w:rFonts w:ascii="Garamond" w:hAnsi="Garamond"/>
                <w:lang w:val="en-AU"/>
              </w:rPr>
              <w:t>on the issue of delirium and agitation associated with the use of a</w:t>
            </w:r>
            <w:r w:rsidR="00D946FF" w:rsidRPr="00D946FF">
              <w:rPr>
                <w:rFonts w:ascii="Garamond" w:hAnsi="Garamond"/>
                <w:lang w:val="en-AU"/>
              </w:rPr>
              <w:t>naesthetics and adjunct agents</w:t>
            </w:r>
            <w:r w:rsidR="00D946FF">
              <w:rPr>
                <w:rFonts w:ascii="Garamond" w:hAnsi="Garamond"/>
                <w:lang w:val="en-AU"/>
              </w:rPr>
              <w:t xml:space="preserve">. Using the </w:t>
            </w:r>
            <w:r w:rsidR="00D946FF" w:rsidRPr="00D946FF">
              <w:rPr>
                <w:rFonts w:ascii="Garamond" w:hAnsi="Garamond"/>
                <w:lang w:val="en-AU"/>
              </w:rPr>
              <w:t>Pennsylvania Patient Safety Reporting System (PA-PSRS) databas</w:t>
            </w:r>
            <w:r w:rsidR="00D946FF">
              <w:rPr>
                <w:rFonts w:ascii="Garamond" w:hAnsi="Garamond"/>
                <w:lang w:val="en-AU"/>
              </w:rPr>
              <w:t>e, the study identified</w:t>
            </w:r>
            <w:r w:rsidR="00D946FF" w:rsidRPr="00D946FF">
              <w:rPr>
                <w:rFonts w:ascii="Garamond" w:hAnsi="Garamond"/>
                <w:lang w:val="en-AU"/>
              </w:rPr>
              <w:t xml:space="preserve"> 97 event reports from 63 healthcare facilities over a two-year period</w:t>
            </w:r>
            <w:r w:rsidR="00D946FF">
              <w:rPr>
                <w:rFonts w:ascii="Garamond" w:hAnsi="Garamond"/>
                <w:lang w:val="en-AU"/>
              </w:rPr>
              <w:t xml:space="preserve"> that included </w:t>
            </w:r>
            <w:r w:rsidR="00D946FF" w:rsidRPr="00D946FF">
              <w:rPr>
                <w:rFonts w:ascii="Garamond" w:hAnsi="Garamond"/>
                <w:lang w:val="en-AU"/>
              </w:rPr>
              <w:t>bouts of delirium/agitation associated with an</w:t>
            </w:r>
            <w:r w:rsidR="00D946FF">
              <w:rPr>
                <w:rFonts w:ascii="Garamond" w:hAnsi="Garamond"/>
                <w:lang w:val="en-AU"/>
              </w:rPr>
              <w:t>a</w:t>
            </w:r>
            <w:r w:rsidR="00D946FF" w:rsidRPr="00D946FF">
              <w:rPr>
                <w:rFonts w:ascii="Garamond" w:hAnsi="Garamond"/>
                <w:lang w:val="en-AU"/>
              </w:rPr>
              <w:t>esthetics and/or adjunct agents that occurred during the pre-, intra-, or postoperative period.</w:t>
            </w:r>
            <w:r w:rsidR="00FE01B7">
              <w:rPr>
                <w:rFonts w:ascii="Garamond" w:hAnsi="Garamond"/>
                <w:lang w:val="en-AU"/>
              </w:rPr>
              <w:t xml:space="preserve"> Of the identified events, 84% occurred postoperatively, ‘</w:t>
            </w:r>
            <w:r w:rsidR="00FE01B7" w:rsidRPr="00FE01B7">
              <w:rPr>
                <w:rFonts w:ascii="Garamond" w:hAnsi="Garamond"/>
                <w:lang w:val="en-AU"/>
              </w:rPr>
              <w:t>62% of the reports described dangerous/nonviolent behavior and 26% described dangerous/violent behavior. Additionally, 40% of the event reports described one or more patient injuries (e.g., cardiopulmonary arrest, asphyxiation, hematoma, prolapse/dehiscence, progressive ischemia) and 36% of the patients required additional healthcare services or monitoring (e.g., intra- or interfacility transfer, additional surgical procedure). Finally, 54% of the event reports described patient behavior that created an immediate and high risk of staff harm.</w:t>
            </w:r>
            <w:r w:rsidR="00FE01B7">
              <w:rPr>
                <w:rFonts w:ascii="Garamond" w:hAnsi="Garamond"/>
                <w:lang w:val="en-AU"/>
              </w:rPr>
              <w:t xml:space="preserve">’. The paper also offers a range of suggested interventions to </w:t>
            </w:r>
            <w:r w:rsidR="00FE01B7" w:rsidRPr="00FE01B7">
              <w:rPr>
                <w:rFonts w:ascii="Garamond" w:hAnsi="Garamond"/>
                <w:lang w:val="en-AU"/>
              </w:rPr>
              <w:t>prevent, treat, and de-escalate bouts of delirium/agitation</w:t>
            </w:r>
            <w:r w:rsidR="00FE01B7">
              <w:rPr>
                <w:rFonts w:ascii="Garamond" w:hAnsi="Garamond"/>
                <w:lang w:val="en-AU"/>
              </w:rPr>
              <w:t>.</w:t>
            </w:r>
          </w:p>
          <w:p w14:paraId="355020A3" w14:textId="5404248A" w:rsidR="006F0926" w:rsidRPr="006775DA" w:rsidRDefault="006F0926" w:rsidP="009547E2">
            <w:pPr>
              <w:rPr>
                <w:rFonts w:ascii="Garamond" w:hAnsi="Garamond"/>
                <w:lang w:val="en-AU"/>
              </w:rPr>
            </w:pPr>
            <w:r>
              <w:rPr>
                <w:rFonts w:ascii="Garamond" w:hAnsi="Garamond"/>
                <w:noProof/>
                <w:lang w:val="en-AU"/>
              </w:rPr>
              <w:drawing>
                <wp:inline distT="0" distB="0" distL="0" distR="0" wp14:anchorId="6664DB3C" wp14:editId="78AEBE12">
                  <wp:extent cx="5080000" cy="2859405"/>
                  <wp:effectExtent l="0" t="0" r="6350" b="0"/>
                  <wp:docPr id="8" name="Picture 8" descr="Visual abstract for Perioperative Delirium/Agitation Associated With the Use of Anesthetics and/or Adjunct Agents: A Study of Patient Behaviors, Injuries, and Interventions to Mitigate Ris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sual abstract for Perioperative Delirium/Agitation Associated With the Use of Anesthetics and/or Adjunct Agents: A Study of Patient Behaviors, Injuries, and Interventions to Mitigate Risk.">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0000" cy="2859405"/>
                          </a:xfrm>
                          <a:prstGeom prst="rect">
                            <a:avLst/>
                          </a:prstGeom>
                          <a:noFill/>
                          <a:ln>
                            <a:noFill/>
                          </a:ln>
                        </pic:spPr>
                      </pic:pic>
                    </a:graphicData>
                  </a:graphic>
                </wp:inline>
              </w:drawing>
            </w:r>
          </w:p>
        </w:tc>
      </w:tr>
    </w:tbl>
    <w:p w14:paraId="630BDD00" w14:textId="3F226168" w:rsidR="000B5EA6" w:rsidRDefault="000B5EA6" w:rsidP="000B5EA6">
      <w:pPr>
        <w:keepLines/>
        <w:autoSpaceDE w:val="0"/>
        <w:autoSpaceDN w:val="0"/>
        <w:adjustRightInd w:val="0"/>
        <w:rPr>
          <w:rFonts w:ascii="Garamond" w:hAnsi="Garamond"/>
          <w:lang w:val="en-AU"/>
        </w:rPr>
      </w:pPr>
    </w:p>
    <w:p w14:paraId="7CE20036" w14:textId="052F06BD" w:rsidR="003F1C5E" w:rsidRDefault="003F1C5E" w:rsidP="003F1C5E">
      <w:pPr>
        <w:keepLines/>
        <w:autoSpaceDE w:val="0"/>
        <w:autoSpaceDN w:val="0"/>
        <w:adjustRightInd w:val="0"/>
        <w:rPr>
          <w:rFonts w:ascii="Garamond" w:hAnsi="Garamond"/>
          <w:lang w:val="en-AU"/>
        </w:rPr>
      </w:pPr>
      <w:r w:rsidRPr="009902D4">
        <w:rPr>
          <w:rFonts w:ascii="Garamond" w:hAnsi="Garamond"/>
          <w:lang w:val="en-AU"/>
        </w:rPr>
        <w:t xml:space="preserve">For information on the Commission’s work on </w:t>
      </w:r>
      <w:r>
        <w:rPr>
          <w:rFonts w:ascii="Garamond" w:hAnsi="Garamond"/>
          <w:lang w:val="en-AU"/>
        </w:rPr>
        <w:t>cognitive impairment, including delirium</w:t>
      </w:r>
      <w:r w:rsidRPr="009902D4">
        <w:rPr>
          <w:rFonts w:ascii="Garamond" w:hAnsi="Garamond"/>
          <w:lang w:val="en-AU"/>
        </w:rPr>
        <w:t xml:space="preserve">, see </w:t>
      </w:r>
      <w:hyperlink r:id="rId33" w:history="1">
        <w:r w:rsidRPr="00BA71C7">
          <w:rPr>
            <w:rStyle w:val="Hyperlink"/>
            <w:rFonts w:ascii="Garamond" w:hAnsi="Garamond"/>
            <w:lang w:val="en-AU"/>
          </w:rPr>
          <w:t>https://www.safetyandquality.gov.au/our-work/cognitive-impairment</w:t>
        </w:r>
      </w:hyperlink>
    </w:p>
    <w:p w14:paraId="24FF9ACA" w14:textId="77777777" w:rsidR="003F1C5E" w:rsidRDefault="003F1C5E" w:rsidP="000B5EA6">
      <w:pPr>
        <w:keepLines/>
        <w:autoSpaceDE w:val="0"/>
        <w:autoSpaceDN w:val="0"/>
        <w:adjustRightInd w:val="0"/>
        <w:rPr>
          <w:rFonts w:ascii="Garamond" w:hAnsi="Garamond"/>
          <w:lang w:val="en-AU"/>
        </w:rPr>
      </w:pPr>
    </w:p>
    <w:p w14:paraId="27BB9C51" w14:textId="77777777" w:rsidR="003F1C5E" w:rsidRPr="006F0926" w:rsidRDefault="003F1C5E" w:rsidP="003F1C5E">
      <w:pPr>
        <w:keepNext/>
        <w:keepLines/>
        <w:autoSpaceDE w:val="0"/>
        <w:autoSpaceDN w:val="0"/>
        <w:adjustRightInd w:val="0"/>
        <w:rPr>
          <w:rFonts w:ascii="Garamond" w:hAnsi="Garamond"/>
          <w:i/>
          <w:iCs/>
          <w:lang w:val="en-AU"/>
        </w:rPr>
      </w:pPr>
      <w:r w:rsidRPr="006F0926">
        <w:rPr>
          <w:rFonts w:ascii="Garamond" w:hAnsi="Garamond"/>
          <w:i/>
          <w:iCs/>
          <w:lang w:val="en-AU"/>
        </w:rPr>
        <w:lastRenderedPageBreak/>
        <w:t>Achieving Diagnostic Excellence for Older Patients</w:t>
      </w:r>
    </w:p>
    <w:p w14:paraId="6641EB6B" w14:textId="77777777" w:rsidR="003F1C5E" w:rsidRPr="006F0926" w:rsidRDefault="003F1C5E" w:rsidP="000B5EA6">
      <w:pPr>
        <w:keepNext/>
        <w:keepLines/>
        <w:autoSpaceDE w:val="0"/>
        <w:autoSpaceDN w:val="0"/>
        <w:adjustRightInd w:val="0"/>
        <w:rPr>
          <w:rFonts w:ascii="Garamond" w:hAnsi="Garamond"/>
          <w:lang w:val="en-AU"/>
        </w:rPr>
      </w:pPr>
      <w:r w:rsidRPr="006F0926">
        <w:rPr>
          <w:rFonts w:ascii="Garamond" w:hAnsi="Garamond"/>
          <w:lang w:val="en-AU"/>
        </w:rPr>
        <w:t>Cassel C, Fulmer T</w:t>
      </w:r>
    </w:p>
    <w:p w14:paraId="592A22FD" w14:textId="721BD6CB" w:rsidR="000B5EA6" w:rsidRPr="006F0926" w:rsidRDefault="003F1C5E" w:rsidP="000B5EA6">
      <w:pPr>
        <w:keepNext/>
        <w:keepLines/>
        <w:autoSpaceDE w:val="0"/>
        <w:autoSpaceDN w:val="0"/>
        <w:adjustRightInd w:val="0"/>
        <w:rPr>
          <w:rFonts w:ascii="Garamond" w:hAnsi="Garamond"/>
          <w:lang w:val="en-AU"/>
        </w:rPr>
      </w:pPr>
      <w:r w:rsidRPr="006F0926">
        <w:rPr>
          <w:rFonts w:ascii="Garamond" w:hAnsi="Garamond"/>
          <w:lang w:val="en-AU"/>
        </w:rPr>
        <w:t>JAMA. 2022 [epub].</w:t>
      </w:r>
    </w:p>
    <w:p w14:paraId="310C22E8" w14:textId="39A3ED2E" w:rsidR="003F1C5E" w:rsidRPr="006F0926" w:rsidRDefault="003F1C5E" w:rsidP="000B5EA6">
      <w:pPr>
        <w:keepNext/>
        <w:keepLines/>
        <w:autoSpaceDE w:val="0"/>
        <w:autoSpaceDN w:val="0"/>
        <w:adjustRightInd w:val="0"/>
        <w:rPr>
          <w:rFonts w:ascii="Garamond" w:hAnsi="Garamond"/>
          <w:lang w:val="en-AU"/>
        </w:rPr>
      </w:pPr>
    </w:p>
    <w:p w14:paraId="771BC012" w14:textId="77777777" w:rsidR="00EF6217" w:rsidRPr="006F0926" w:rsidRDefault="00EF6217" w:rsidP="00EF6217">
      <w:pPr>
        <w:keepNext/>
        <w:keepLines/>
        <w:autoSpaceDE w:val="0"/>
        <w:autoSpaceDN w:val="0"/>
        <w:adjustRightInd w:val="0"/>
        <w:rPr>
          <w:rFonts w:ascii="Garamond" w:hAnsi="Garamond"/>
          <w:i/>
          <w:iCs/>
          <w:lang w:val="en-AU"/>
        </w:rPr>
      </w:pPr>
      <w:r w:rsidRPr="006F0926">
        <w:rPr>
          <w:rFonts w:ascii="Garamond" w:hAnsi="Garamond"/>
          <w:i/>
          <w:iCs/>
          <w:lang w:val="en-AU"/>
        </w:rPr>
        <w:t>At-home Diagnostics and Diagnostic Excellence: Devices vs General Wellness Products</w:t>
      </w:r>
    </w:p>
    <w:p w14:paraId="6863F1F1" w14:textId="77777777" w:rsidR="00EF6217" w:rsidRPr="006F0926" w:rsidRDefault="00EF6217" w:rsidP="000B5EA6">
      <w:pPr>
        <w:keepNext/>
        <w:keepLines/>
        <w:autoSpaceDE w:val="0"/>
        <w:autoSpaceDN w:val="0"/>
        <w:adjustRightInd w:val="0"/>
        <w:rPr>
          <w:rFonts w:ascii="Garamond" w:hAnsi="Garamond"/>
          <w:lang w:val="en-AU"/>
        </w:rPr>
      </w:pPr>
      <w:r w:rsidRPr="006F0926">
        <w:rPr>
          <w:rFonts w:ascii="Garamond" w:hAnsi="Garamond"/>
          <w:lang w:val="en-AU"/>
        </w:rPr>
        <w:t>Simon DA, Shachar C, Cohen IG</w:t>
      </w:r>
    </w:p>
    <w:p w14:paraId="60CEE1D0" w14:textId="2FB28137" w:rsidR="003F1C5E" w:rsidRPr="006F0926" w:rsidRDefault="00EF6217" w:rsidP="000B5EA6">
      <w:pPr>
        <w:keepNext/>
        <w:keepLines/>
        <w:autoSpaceDE w:val="0"/>
        <w:autoSpaceDN w:val="0"/>
        <w:adjustRightInd w:val="0"/>
        <w:rPr>
          <w:rFonts w:ascii="Garamond" w:hAnsi="Garamond"/>
          <w:lang w:val="en-AU"/>
        </w:rPr>
      </w:pPr>
      <w:r w:rsidRPr="006F0926">
        <w:rPr>
          <w:rFonts w:ascii="Garamond" w:hAnsi="Garamond"/>
          <w:lang w:val="en-AU"/>
        </w:rPr>
        <w:t>JAMA. 2022;327(6):523-524.</w:t>
      </w:r>
    </w:p>
    <w:p w14:paraId="6E13F2B8" w14:textId="0E537196" w:rsidR="003B6CD9" w:rsidRPr="006F0926" w:rsidRDefault="003B6CD9" w:rsidP="000B5EA6">
      <w:pPr>
        <w:keepNext/>
        <w:keepLines/>
        <w:autoSpaceDE w:val="0"/>
        <w:autoSpaceDN w:val="0"/>
        <w:adjustRightInd w:val="0"/>
        <w:rPr>
          <w:rFonts w:ascii="Garamond" w:hAnsi="Garamond"/>
          <w:lang w:val="en-AU"/>
        </w:rPr>
      </w:pPr>
    </w:p>
    <w:p w14:paraId="3423E277" w14:textId="77777777" w:rsidR="003B6CD9" w:rsidRPr="006F0926" w:rsidRDefault="003B6CD9" w:rsidP="003B6CD9">
      <w:pPr>
        <w:autoSpaceDE w:val="0"/>
        <w:autoSpaceDN w:val="0"/>
        <w:adjustRightInd w:val="0"/>
        <w:ind w:left="720" w:hanging="720"/>
        <w:rPr>
          <w:rFonts w:ascii="Garamond" w:hAnsi="Garamond" w:cs="Segoe UI"/>
          <w:i/>
          <w:iCs/>
          <w:lang w:val="en-AU" w:eastAsia="en-AU"/>
        </w:rPr>
      </w:pPr>
      <w:r w:rsidRPr="006F0926">
        <w:rPr>
          <w:rFonts w:ascii="Garamond" w:hAnsi="Garamond" w:cs="Segoe UI"/>
          <w:i/>
          <w:iCs/>
          <w:lang w:val="en-AU" w:eastAsia="en-AU"/>
        </w:rPr>
        <w:t>Preventing Digital Overdiagnosis</w:t>
      </w:r>
    </w:p>
    <w:p w14:paraId="31DAFA13" w14:textId="77777777" w:rsidR="003B6CD9" w:rsidRPr="006F0926" w:rsidRDefault="003B6CD9" w:rsidP="003B6CD9">
      <w:pPr>
        <w:autoSpaceDE w:val="0"/>
        <w:autoSpaceDN w:val="0"/>
        <w:adjustRightInd w:val="0"/>
        <w:ind w:left="720" w:hanging="720"/>
        <w:rPr>
          <w:rFonts w:ascii="Garamond" w:hAnsi="Garamond" w:cs="Segoe UI"/>
          <w:lang w:val="en-AU" w:eastAsia="en-AU"/>
        </w:rPr>
      </w:pPr>
      <w:r w:rsidRPr="006F0926">
        <w:rPr>
          <w:rFonts w:ascii="Garamond" w:hAnsi="Garamond" w:cs="Segoe UI"/>
          <w:lang w:val="en-AU" w:eastAsia="en-AU"/>
        </w:rPr>
        <w:t>Capurro D, Coghlan S, Pires DEV</w:t>
      </w:r>
    </w:p>
    <w:p w14:paraId="32393AF8" w14:textId="6956124B" w:rsidR="003B6CD9" w:rsidRPr="006F0926" w:rsidRDefault="003B6CD9" w:rsidP="003B6CD9">
      <w:pPr>
        <w:autoSpaceDE w:val="0"/>
        <w:autoSpaceDN w:val="0"/>
        <w:adjustRightInd w:val="0"/>
        <w:ind w:left="720" w:hanging="720"/>
        <w:rPr>
          <w:rFonts w:ascii="Garamond" w:hAnsi="Garamond"/>
          <w:lang w:val="en-AU"/>
        </w:rPr>
      </w:pPr>
      <w:r w:rsidRPr="006F0926">
        <w:rPr>
          <w:rFonts w:ascii="Garamond" w:hAnsi="Garamond" w:cs="Segoe UI"/>
          <w:lang w:val="en-AU" w:eastAsia="en-AU"/>
        </w:rPr>
        <w:t>JAMA. 2022;327(6):525-526.</w:t>
      </w:r>
    </w:p>
    <w:tbl>
      <w:tblPr>
        <w:tblStyle w:val="TableGrid"/>
        <w:tblW w:w="9360" w:type="dxa"/>
        <w:tblInd w:w="288" w:type="dxa"/>
        <w:tblLayout w:type="fixed"/>
        <w:tblLook w:val="01E0" w:firstRow="1" w:lastRow="1" w:firstColumn="1" w:lastColumn="1" w:noHBand="0" w:noVBand="0"/>
      </w:tblPr>
      <w:tblGrid>
        <w:gridCol w:w="1080"/>
        <w:gridCol w:w="8280"/>
      </w:tblGrid>
      <w:tr w:rsidR="000B5EA6" w:rsidRPr="000170DA" w14:paraId="51058234"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408D2385" w14:textId="77777777" w:rsidR="000B5EA6" w:rsidRPr="000170DA" w:rsidRDefault="000B5EA6" w:rsidP="009547E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BE1B894" w14:textId="7AAB6D48" w:rsidR="003F1C5E" w:rsidRDefault="003F1C5E" w:rsidP="009547E2">
            <w:pPr>
              <w:rPr>
                <w:rStyle w:val="Hyperlink"/>
                <w:rFonts w:ascii="Garamond" w:hAnsi="Garamond"/>
                <w:color w:val="auto"/>
                <w:u w:val="none"/>
                <w:lang w:val="en-AU"/>
              </w:rPr>
            </w:pPr>
            <w:r>
              <w:rPr>
                <w:rStyle w:val="Hyperlink"/>
                <w:rFonts w:ascii="Garamond" w:hAnsi="Garamond"/>
                <w:color w:val="auto"/>
                <w:u w:val="none"/>
                <w:lang w:val="en-AU"/>
              </w:rPr>
              <w:t xml:space="preserve">Cassel and Fulmer </w:t>
            </w:r>
            <w:hyperlink r:id="rId34" w:history="1">
              <w:r w:rsidR="006F0926" w:rsidRPr="00BA71C7">
                <w:rPr>
                  <w:rStyle w:val="Hyperlink"/>
                  <w:rFonts w:ascii="Garamond" w:hAnsi="Garamond"/>
                  <w:lang w:val="en-AU"/>
                </w:rPr>
                <w:t>https://doi.org/</w:t>
              </w:r>
              <w:r w:rsidR="006F0926" w:rsidRPr="00BA71C7">
                <w:rPr>
                  <w:rStyle w:val="Hyperlink"/>
                </w:rPr>
                <w:t>1</w:t>
              </w:r>
              <w:r w:rsidR="006F0926" w:rsidRPr="00BA71C7">
                <w:rPr>
                  <w:rStyle w:val="Hyperlink"/>
                  <w:rFonts w:ascii="Garamond" w:hAnsi="Garamond"/>
                  <w:lang w:val="en-AU"/>
                </w:rPr>
                <w:t>0.1001/jama.2022.1813</w:t>
              </w:r>
            </w:hyperlink>
          </w:p>
          <w:p w14:paraId="1FAC4A7E" w14:textId="061CE188" w:rsidR="003F1C5E" w:rsidRDefault="00EF6217" w:rsidP="009547E2">
            <w:pPr>
              <w:rPr>
                <w:rStyle w:val="Hyperlink"/>
                <w:rFonts w:ascii="Garamond" w:hAnsi="Garamond"/>
                <w:color w:val="auto"/>
                <w:u w:val="none"/>
                <w:lang w:val="en-AU"/>
              </w:rPr>
            </w:pPr>
            <w:r>
              <w:rPr>
                <w:rStyle w:val="Hyperlink"/>
                <w:rFonts w:ascii="Garamond" w:hAnsi="Garamond"/>
                <w:color w:val="auto"/>
                <w:u w:val="none"/>
                <w:lang w:val="en-AU"/>
              </w:rPr>
              <w:t xml:space="preserve">Simon et al </w:t>
            </w:r>
            <w:hyperlink r:id="rId35" w:history="1">
              <w:r w:rsidR="006F0926" w:rsidRPr="00BA71C7">
                <w:rPr>
                  <w:rStyle w:val="Hyperlink"/>
                  <w:rFonts w:ascii="Garamond" w:hAnsi="Garamond"/>
                  <w:lang w:val="en-AU"/>
                </w:rPr>
                <w:t>https://doi.org/10.1001/jama.2022.0047</w:t>
              </w:r>
            </w:hyperlink>
          </w:p>
          <w:p w14:paraId="01987678" w14:textId="29EE624A" w:rsidR="003B6CD9" w:rsidRPr="000170DA" w:rsidRDefault="003B6CD9" w:rsidP="009547E2">
            <w:pPr>
              <w:rPr>
                <w:rStyle w:val="Hyperlink"/>
                <w:rFonts w:ascii="Garamond" w:hAnsi="Garamond"/>
                <w:color w:val="auto"/>
                <w:u w:val="none"/>
                <w:lang w:val="en-AU"/>
              </w:rPr>
            </w:pPr>
            <w:r>
              <w:rPr>
                <w:rStyle w:val="Hyperlink"/>
                <w:rFonts w:ascii="Garamond" w:hAnsi="Garamond"/>
                <w:color w:val="auto"/>
                <w:u w:val="none"/>
                <w:lang w:val="en-AU"/>
              </w:rPr>
              <w:t xml:space="preserve">Capurro et al </w:t>
            </w:r>
            <w:hyperlink r:id="rId36" w:history="1">
              <w:r w:rsidR="006F0926" w:rsidRPr="00BA71C7">
                <w:rPr>
                  <w:rStyle w:val="Hyperlink"/>
                  <w:rFonts w:ascii="Garamond" w:hAnsi="Garamond"/>
                  <w:lang w:val="en-AU"/>
                </w:rPr>
                <w:t>https://doi.org/10.1001/jama.2021.22969</w:t>
              </w:r>
            </w:hyperlink>
          </w:p>
        </w:tc>
      </w:tr>
      <w:tr w:rsidR="000B5EA6" w:rsidRPr="000170DA" w14:paraId="02D36BC5"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5B60EFF7" w14:textId="77777777" w:rsidR="000B5EA6" w:rsidRPr="000170DA" w:rsidRDefault="000B5EA6"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CACBA5D" w14:textId="097613F3" w:rsidR="000B5EA6" w:rsidRDefault="003F1C5E" w:rsidP="009547E2">
            <w:pPr>
              <w:rPr>
                <w:rFonts w:ascii="Garamond" w:hAnsi="Garamond"/>
                <w:lang w:val="en-AU"/>
              </w:rPr>
            </w:pPr>
            <w:r>
              <w:rPr>
                <w:rFonts w:ascii="Garamond" w:hAnsi="Garamond"/>
                <w:lang w:val="en-AU"/>
              </w:rPr>
              <w:t xml:space="preserve">These </w:t>
            </w:r>
            <w:r w:rsidR="003B6CD9">
              <w:rPr>
                <w:rFonts w:ascii="Garamond" w:hAnsi="Garamond"/>
                <w:lang w:val="en-AU"/>
              </w:rPr>
              <w:t xml:space="preserve">first two items </w:t>
            </w:r>
            <w:r>
              <w:rPr>
                <w:rFonts w:ascii="Garamond" w:hAnsi="Garamond"/>
                <w:lang w:val="en-AU"/>
              </w:rPr>
              <w:t>are the latest pieces in the JAMA’s occasional series on diagnostic excellence.</w:t>
            </w:r>
            <w:r w:rsidR="003B6CD9">
              <w:rPr>
                <w:rFonts w:ascii="Garamond" w:hAnsi="Garamond"/>
                <w:lang w:val="en-AU"/>
              </w:rPr>
              <w:t xml:space="preserve"> </w:t>
            </w:r>
          </w:p>
          <w:p w14:paraId="11E801E9" w14:textId="2B4135D0" w:rsidR="00FE01B7" w:rsidRDefault="00FE01B7" w:rsidP="009547E2">
            <w:pPr>
              <w:rPr>
                <w:rFonts w:ascii="Garamond" w:hAnsi="Garamond"/>
                <w:lang w:val="en-AU"/>
              </w:rPr>
            </w:pPr>
            <w:r>
              <w:rPr>
                <w:rFonts w:ascii="Garamond" w:hAnsi="Garamond"/>
                <w:lang w:val="en-AU"/>
              </w:rPr>
              <w:t>Cassel and Fulmer</w:t>
            </w:r>
            <w:r w:rsidR="004E2722">
              <w:rPr>
                <w:rFonts w:ascii="Garamond" w:hAnsi="Garamond"/>
                <w:lang w:val="en-AU"/>
              </w:rPr>
              <w:t xml:space="preserve"> argue that ‘</w:t>
            </w:r>
            <w:r w:rsidR="004E2722" w:rsidRPr="004E2722">
              <w:rPr>
                <w:rFonts w:ascii="Garamond" w:hAnsi="Garamond"/>
                <w:lang w:val="en-AU"/>
              </w:rPr>
              <w:t>Diagnostic error in older adults is common and involves both overdiagnosis and underdiagnosis.</w:t>
            </w:r>
            <w:r w:rsidR="004E2722">
              <w:rPr>
                <w:rFonts w:ascii="Garamond" w:hAnsi="Garamond"/>
                <w:lang w:val="en-AU"/>
              </w:rPr>
              <w:t xml:space="preserve">’ They discuss some of the factors that can contribute, including </w:t>
            </w:r>
            <w:r w:rsidR="004E2722" w:rsidRPr="004E2722">
              <w:rPr>
                <w:rFonts w:ascii="Garamond" w:hAnsi="Garamond"/>
                <w:lang w:val="en-AU"/>
              </w:rPr>
              <w:t>differences in profiles of risk and expression of disease</w:t>
            </w:r>
            <w:r w:rsidR="004E2722">
              <w:rPr>
                <w:rFonts w:ascii="Garamond" w:hAnsi="Garamond"/>
                <w:lang w:val="en-AU"/>
              </w:rPr>
              <w:t>, communication issues, evidence gaps, etc. They stress that ‘</w:t>
            </w:r>
            <w:r w:rsidR="004E2722" w:rsidRPr="004E2722">
              <w:rPr>
                <w:rFonts w:ascii="Garamond" w:hAnsi="Garamond"/>
                <w:lang w:val="en-AU"/>
              </w:rPr>
              <w:t>A personalized approach to setting goals of care is desirable for all patients, and it is especially important for older adults</w:t>
            </w:r>
            <w:r w:rsidR="004E2722">
              <w:rPr>
                <w:rFonts w:ascii="Garamond" w:hAnsi="Garamond"/>
                <w:lang w:val="en-AU"/>
              </w:rPr>
              <w:t>’ and that ‘</w:t>
            </w:r>
            <w:r w:rsidR="004E2722" w:rsidRPr="004E2722">
              <w:rPr>
                <w:rFonts w:ascii="Garamond" w:hAnsi="Garamond"/>
                <w:lang w:val="en-AU"/>
              </w:rPr>
              <w:t>Understanding how the goals of care may change with a patient’s age or change in circumstances is central to diagnostic excellence for older adults.</w:t>
            </w:r>
            <w:r w:rsidR="004E2722">
              <w:rPr>
                <w:rFonts w:ascii="Garamond" w:hAnsi="Garamond"/>
                <w:lang w:val="en-AU"/>
              </w:rPr>
              <w:t>’</w:t>
            </w:r>
          </w:p>
          <w:p w14:paraId="4C192C1F" w14:textId="1D3231A3" w:rsidR="00FE01B7" w:rsidRDefault="00FE01B7" w:rsidP="009547E2">
            <w:pPr>
              <w:rPr>
                <w:rFonts w:ascii="Garamond" w:hAnsi="Garamond"/>
                <w:lang w:val="en-AU"/>
              </w:rPr>
            </w:pPr>
            <w:r>
              <w:rPr>
                <w:rFonts w:ascii="Garamond" w:hAnsi="Garamond"/>
                <w:lang w:val="en-AU"/>
              </w:rPr>
              <w:t xml:space="preserve">Simon et al </w:t>
            </w:r>
            <w:r w:rsidR="004E2722">
              <w:rPr>
                <w:rFonts w:ascii="Garamond" w:hAnsi="Garamond"/>
                <w:lang w:val="en-AU"/>
              </w:rPr>
              <w:t>examine the possibility of consumers increasing use of ‘wellness’ products, including devices and/or apps, that may complicate the diagnostic process.</w:t>
            </w:r>
            <w:r w:rsidR="002833FC">
              <w:rPr>
                <w:rFonts w:ascii="Garamond" w:hAnsi="Garamond"/>
                <w:lang w:val="en-AU"/>
              </w:rPr>
              <w:t xml:space="preserve"> Among the issues raised are those of</w:t>
            </w:r>
            <w:r w:rsidR="00203494">
              <w:rPr>
                <w:rFonts w:ascii="Garamond" w:hAnsi="Garamond"/>
                <w:lang w:val="en-AU"/>
              </w:rPr>
              <w:t xml:space="preserve"> </w:t>
            </w:r>
            <w:r w:rsidR="00203494" w:rsidRPr="00203494">
              <w:rPr>
                <w:rFonts w:ascii="Garamond" w:hAnsi="Garamond"/>
                <w:lang w:val="en-AU"/>
              </w:rPr>
              <w:t xml:space="preserve">regulation, consumer understanding, physician use and interpretation, </w:t>
            </w:r>
            <w:r w:rsidR="002833FC">
              <w:rPr>
                <w:rFonts w:ascii="Garamond" w:hAnsi="Garamond"/>
                <w:lang w:val="en-AU"/>
              </w:rPr>
              <w:t>p</w:t>
            </w:r>
            <w:r w:rsidR="002833FC" w:rsidRPr="002833FC">
              <w:rPr>
                <w:rFonts w:ascii="Garamond" w:hAnsi="Garamond"/>
                <w:lang w:val="en-AU"/>
              </w:rPr>
              <w:t xml:space="preserve">rivacy, </w:t>
            </w:r>
            <w:r w:rsidR="002833FC">
              <w:rPr>
                <w:rFonts w:ascii="Garamond" w:hAnsi="Garamond"/>
                <w:lang w:val="en-AU"/>
              </w:rPr>
              <w:t>r</w:t>
            </w:r>
            <w:r w:rsidR="002833FC" w:rsidRPr="002833FC">
              <w:rPr>
                <w:rFonts w:ascii="Garamond" w:hAnsi="Garamond"/>
                <w:lang w:val="en-AU"/>
              </w:rPr>
              <w:t xml:space="preserve">eimbursement, and </w:t>
            </w:r>
            <w:r w:rsidR="002833FC">
              <w:rPr>
                <w:rFonts w:ascii="Garamond" w:hAnsi="Garamond"/>
                <w:lang w:val="en-AU"/>
              </w:rPr>
              <w:t>e</w:t>
            </w:r>
            <w:r w:rsidR="002833FC" w:rsidRPr="002833FC">
              <w:rPr>
                <w:rFonts w:ascii="Garamond" w:hAnsi="Garamond"/>
                <w:lang w:val="en-AU"/>
              </w:rPr>
              <w:t>quity</w:t>
            </w:r>
            <w:r w:rsidR="00203494">
              <w:rPr>
                <w:rFonts w:ascii="Garamond" w:hAnsi="Garamond"/>
                <w:lang w:val="en-AU"/>
              </w:rPr>
              <w:t>.</w:t>
            </w:r>
          </w:p>
          <w:p w14:paraId="30E2AB53" w14:textId="16772875" w:rsidR="003B6CD9" w:rsidRPr="006775DA" w:rsidRDefault="003B6CD9" w:rsidP="00203494">
            <w:pPr>
              <w:rPr>
                <w:rFonts w:ascii="Garamond" w:hAnsi="Garamond"/>
                <w:lang w:val="en-AU"/>
              </w:rPr>
            </w:pPr>
            <w:r>
              <w:rPr>
                <w:rFonts w:ascii="Garamond" w:hAnsi="Garamond"/>
                <w:lang w:val="en-AU"/>
              </w:rPr>
              <w:t xml:space="preserve">Simon et al’s piece chimes somewhat with </w:t>
            </w:r>
            <w:r w:rsidRPr="003B6CD9">
              <w:rPr>
                <w:rFonts w:ascii="Garamond" w:hAnsi="Garamond"/>
                <w:lang w:val="en-AU"/>
              </w:rPr>
              <w:t>Capurro</w:t>
            </w:r>
            <w:r>
              <w:rPr>
                <w:rFonts w:ascii="Garamond" w:hAnsi="Garamond"/>
                <w:lang w:val="en-AU"/>
              </w:rPr>
              <w:t xml:space="preserve"> et al’s piece that raises the possibility of ‘digital overdiagnosis’. Again, with the proliferation of digital technologies into our lives, there is a concern that these may carry a risk of diagnostic error, or more particularly, overdiagnosis.</w:t>
            </w:r>
            <w:r w:rsidR="00203494">
              <w:rPr>
                <w:rFonts w:ascii="Garamond" w:hAnsi="Garamond"/>
                <w:lang w:val="en-AU"/>
              </w:rPr>
              <w:t xml:space="preserve"> Here, the issue may not be so much consumer use as the development of large databases of data collected by these digital </w:t>
            </w:r>
            <w:r w:rsidR="001C0791">
              <w:rPr>
                <w:rFonts w:ascii="Garamond" w:hAnsi="Garamond"/>
                <w:lang w:val="en-AU"/>
              </w:rPr>
              <w:t>technologies</w:t>
            </w:r>
            <w:r w:rsidR="00203494">
              <w:rPr>
                <w:rFonts w:ascii="Garamond" w:hAnsi="Garamond"/>
                <w:lang w:val="en-AU"/>
              </w:rPr>
              <w:t>.</w:t>
            </w:r>
          </w:p>
        </w:tc>
      </w:tr>
    </w:tbl>
    <w:p w14:paraId="03DA052A" w14:textId="77777777" w:rsidR="000B5EA6" w:rsidRDefault="000B5EA6" w:rsidP="000B5EA6">
      <w:pPr>
        <w:keepLines/>
        <w:autoSpaceDE w:val="0"/>
        <w:autoSpaceDN w:val="0"/>
        <w:adjustRightInd w:val="0"/>
        <w:rPr>
          <w:rFonts w:ascii="Garamond" w:hAnsi="Garamond"/>
          <w:lang w:val="en-AU"/>
        </w:rPr>
      </w:pPr>
    </w:p>
    <w:p w14:paraId="088DFBFF" w14:textId="77777777" w:rsidR="00AE631A" w:rsidRPr="00AE631A" w:rsidRDefault="00AE631A" w:rsidP="00AE631A">
      <w:pPr>
        <w:keepNext/>
        <w:keepLines/>
        <w:autoSpaceDE w:val="0"/>
        <w:autoSpaceDN w:val="0"/>
        <w:adjustRightInd w:val="0"/>
        <w:rPr>
          <w:rFonts w:ascii="Garamond" w:hAnsi="Garamond"/>
          <w:i/>
          <w:iCs/>
          <w:lang w:val="en-AU"/>
        </w:rPr>
      </w:pPr>
      <w:r w:rsidRPr="00AE631A">
        <w:rPr>
          <w:rFonts w:ascii="Garamond" w:hAnsi="Garamond"/>
          <w:i/>
          <w:iCs/>
          <w:lang w:val="en-AU"/>
        </w:rPr>
        <w:t>Equity and Quality—Improving Health Care Delivery Requires Both</w:t>
      </w:r>
    </w:p>
    <w:p w14:paraId="23446045" w14:textId="77777777" w:rsidR="00AE631A" w:rsidRDefault="00AE631A" w:rsidP="00AE631A">
      <w:pPr>
        <w:keepNext/>
        <w:keepLines/>
        <w:autoSpaceDE w:val="0"/>
        <w:autoSpaceDN w:val="0"/>
        <w:adjustRightInd w:val="0"/>
        <w:rPr>
          <w:rFonts w:ascii="Garamond" w:hAnsi="Garamond"/>
          <w:lang w:val="en-AU"/>
        </w:rPr>
      </w:pPr>
      <w:r w:rsidRPr="00AE631A">
        <w:rPr>
          <w:rFonts w:ascii="Garamond" w:hAnsi="Garamond"/>
          <w:lang w:val="en-AU"/>
        </w:rPr>
        <w:t>Dzau VJ, Mate K, O’Kane M</w:t>
      </w:r>
    </w:p>
    <w:p w14:paraId="49D9667F" w14:textId="6BEF7046" w:rsidR="00AE631A" w:rsidRPr="00AE631A" w:rsidRDefault="00AE631A" w:rsidP="00AE631A">
      <w:pPr>
        <w:keepNext/>
        <w:keepLines/>
        <w:autoSpaceDE w:val="0"/>
        <w:autoSpaceDN w:val="0"/>
        <w:adjustRightInd w:val="0"/>
        <w:rPr>
          <w:rFonts w:ascii="Garamond" w:hAnsi="Garamond"/>
          <w:lang w:val="en-AU"/>
        </w:rPr>
      </w:pPr>
      <w:r w:rsidRPr="00AE631A">
        <w:rPr>
          <w:rFonts w:ascii="Garamond" w:hAnsi="Garamond"/>
          <w:lang w:val="en-AU"/>
        </w:rPr>
        <w:t>JAMA. 2022;327(6):519-520.</w:t>
      </w:r>
    </w:p>
    <w:p w14:paraId="475EC979" w14:textId="77777777" w:rsidR="00AE631A" w:rsidRDefault="00AE631A" w:rsidP="00AE631A">
      <w:pPr>
        <w:keepNext/>
        <w:keepLines/>
        <w:autoSpaceDE w:val="0"/>
        <w:autoSpaceDN w:val="0"/>
        <w:adjustRightInd w:val="0"/>
        <w:rPr>
          <w:rFonts w:ascii="Garamond" w:hAnsi="Garamond"/>
          <w:lang w:val="en-AU"/>
        </w:rPr>
      </w:pPr>
    </w:p>
    <w:p w14:paraId="71688B37" w14:textId="77777777" w:rsidR="00AE631A" w:rsidRPr="00AE631A" w:rsidRDefault="00AE631A" w:rsidP="00AE631A">
      <w:pPr>
        <w:keepNext/>
        <w:keepLines/>
        <w:autoSpaceDE w:val="0"/>
        <w:autoSpaceDN w:val="0"/>
        <w:adjustRightInd w:val="0"/>
        <w:rPr>
          <w:rFonts w:ascii="Garamond" w:hAnsi="Garamond"/>
          <w:i/>
          <w:iCs/>
          <w:lang w:val="en-AU"/>
        </w:rPr>
      </w:pPr>
      <w:r w:rsidRPr="00AE631A">
        <w:rPr>
          <w:rFonts w:ascii="Garamond" w:hAnsi="Garamond"/>
          <w:i/>
          <w:iCs/>
          <w:lang w:val="en-AU"/>
        </w:rPr>
        <w:t>The Quintuple Aim for Health Care Improvement: A New Imperative to Advance Health Equity</w:t>
      </w:r>
    </w:p>
    <w:p w14:paraId="02FEBC35" w14:textId="77777777" w:rsidR="00AE631A" w:rsidRDefault="00AE631A" w:rsidP="00AE631A">
      <w:pPr>
        <w:keepNext/>
        <w:keepLines/>
        <w:autoSpaceDE w:val="0"/>
        <w:autoSpaceDN w:val="0"/>
        <w:adjustRightInd w:val="0"/>
        <w:rPr>
          <w:rFonts w:ascii="Garamond" w:hAnsi="Garamond"/>
          <w:lang w:val="en-AU"/>
        </w:rPr>
      </w:pPr>
      <w:r w:rsidRPr="00AE631A">
        <w:rPr>
          <w:rFonts w:ascii="Garamond" w:hAnsi="Garamond"/>
          <w:lang w:val="en-AU"/>
        </w:rPr>
        <w:t>Nundy S, Cooper LA, Mate KS</w:t>
      </w:r>
    </w:p>
    <w:p w14:paraId="5E04D042" w14:textId="3630FD49" w:rsidR="000B5EA6" w:rsidRDefault="00AE631A" w:rsidP="00AE631A">
      <w:pPr>
        <w:keepNext/>
        <w:keepLines/>
        <w:autoSpaceDE w:val="0"/>
        <w:autoSpaceDN w:val="0"/>
        <w:adjustRightInd w:val="0"/>
        <w:rPr>
          <w:rFonts w:ascii="Garamond" w:hAnsi="Garamond"/>
          <w:lang w:val="en-AU"/>
        </w:rPr>
      </w:pPr>
      <w:r w:rsidRPr="00AE631A">
        <w:rPr>
          <w:rFonts w:ascii="Garamond" w:hAnsi="Garamond"/>
          <w:lang w:val="en-AU"/>
        </w:rPr>
        <w:t>JAMA. 2022;327(6):521-522.</w:t>
      </w:r>
    </w:p>
    <w:tbl>
      <w:tblPr>
        <w:tblStyle w:val="TableGrid"/>
        <w:tblW w:w="9360" w:type="dxa"/>
        <w:tblInd w:w="288" w:type="dxa"/>
        <w:tblLayout w:type="fixed"/>
        <w:tblLook w:val="01E0" w:firstRow="1" w:lastRow="1" w:firstColumn="1" w:lastColumn="1" w:noHBand="0" w:noVBand="0"/>
      </w:tblPr>
      <w:tblGrid>
        <w:gridCol w:w="1080"/>
        <w:gridCol w:w="8280"/>
      </w:tblGrid>
      <w:tr w:rsidR="000B5EA6" w:rsidRPr="000170DA" w14:paraId="3E417703"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79B6670E" w14:textId="77777777" w:rsidR="000B5EA6" w:rsidRPr="000170DA" w:rsidRDefault="000B5EA6" w:rsidP="009547E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11C492C" w14:textId="263886FE" w:rsidR="000B5EA6" w:rsidRDefault="00AE631A" w:rsidP="009547E2">
            <w:pPr>
              <w:rPr>
                <w:rStyle w:val="Hyperlink"/>
                <w:rFonts w:ascii="Garamond" w:hAnsi="Garamond"/>
                <w:color w:val="auto"/>
                <w:u w:val="none"/>
                <w:lang w:val="en-AU"/>
              </w:rPr>
            </w:pPr>
            <w:r>
              <w:rPr>
                <w:rStyle w:val="Hyperlink"/>
                <w:rFonts w:ascii="Garamond" w:hAnsi="Garamond"/>
                <w:color w:val="auto"/>
                <w:u w:val="none"/>
                <w:lang w:val="en-AU"/>
              </w:rPr>
              <w:t xml:space="preserve">Dzau et al </w:t>
            </w:r>
            <w:hyperlink r:id="rId37" w:history="1">
              <w:r w:rsidRPr="00BA71C7">
                <w:rPr>
                  <w:rStyle w:val="Hyperlink"/>
                  <w:rFonts w:ascii="Garamond" w:hAnsi="Garamond"/>
                  <w:lang w:val="en-AU"/>
                </w:rPr>
                <w:t>https://doi.org/10.1001/jama.2022.0283</w:t>
              </w:r>
            </w:hyperlink>
          </w:p>
          <w:p w14:paraId="659C7500" w14:textId="2CAD4AB5" w:rsidR="00AE631A" w:rsidRPr="000170DA" w:rsidRDefault="00AE631A" w:rsidP="009547E2">
            <w:pPr>
              <w:rPr>
                <w:rStyle w:val="Hyperlink"/>
                <w:rFonts w:ascii="Garamond" w:hAnsi="Garamond"/>
                <w:color w:val="auto"/>
                <w:u w:val="none"/>
                <w:lang w:val="en-AU"/>
              </w:rPr>
            </w:pPr>
            <w:r>
              <w:rPr>
                <w:rStyle w:val="Hyperlink"/>
                <w:rFonts w:ascii="Garamond" w:hAnsi="Garamond"/>
                <w:color w:val="auto"/>
                <w:u w:val="none"/>
                <w:lang w:val="en-AU"/>
              </w:rPr>
              <w:t xml:space="preserve">Nundy et al </w:t>
            </w:r>
            <w:hyperlink r:id="rId38" w:history="1">
              <w:r w:rsidRPr="00BA71C7">
                <w:rPr>
                  <w:rStyle w:val="Hyperlink"/>
                  <w:rFonts w:ascii="Garamond" w:hAnsi="Garamond"/>
                  <w:lang w:val="en-AU"/>
                </w:rPr>
                <w:t>https://doi.org/10.1001/jama.2021.25181</w:t>
              </w:r>
            </w:hyperlink>
          </w:p>
        </w:tc>
      </w:tr>
      <w:tr w:rsidR="000B5EA6" w:rsidRPr="000170DA" w14:paraId="67B6C61D"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707F8B26" w14:textId="77777777" w:rsidR="000B5EA6" w:rsidRPr="000170DA" w:rsidRDefault="000B5EA6"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0DA9502" w14:textId="6359CA3A" w:rsidR="000B5EA6" w:rsidRDefault="00AE631A" w:rsidP="009547E2">
            <w:pPr>
              <w:rPr>
                <w:rFonts w:ascii="Garamond" w:hAnsi="Garamond"/>
                <w:lang w:val="en-AU"/>
              </w:rPr>
            </w:pPr>
            <w:r>
              <w:rPr>
                <w:rFonts w:ascii="Garamond" w:hAnsi="Garamond"/>
                <w:lang w:val="en-AU"/>
              </w:rPr>
              <w:t>Over the years we have seen the</w:t>
            </w:r>
            <w:r w:rsidR="00203494">
              <w:rPr>
                <w:rFonts w:ascii="Garamond" w:hAnsi="Garamond"/>
                <w:lang w:val="en-AU"/>
              </w:rPr>
              <w:t xml:space="preserve"> proposing of the</w:t>
            </w:r>
            <w:r>
              <w:rPr>
                <w:rFonts w:ascii="Garamond" w:hAnsi="Garamond"/>
                <w:lang w:val="en-AU"/>
              </w:rPr>
              <w:t xml:space="preserve"> “triple aim”</w:t>
            </w:r>
            <w:r w:rsidR="00203494">
              <w:rPr>
                <w:rFonts w:ascii="Garamond" w:hAnsi="Garamond"/>
                <w:lang w:val="en-AU"/>
              </w:rPr>
              <w:t xml:space="preserve"> (</w:t>
            </w:r>
            <w:r w:rsidR="00203494" w:rsidRPr="00203494">
              <w:rPr>
                <w:rFonts w:ascii="Garamond" w:hAnsi="Garamond"/>
                <w:lang w:val="en-AU"/>
              </w:rPr>
              <w:t>improving population health, enhancing the care experience, and reducing costs</w:t>
            </w:r>
            <w:r w:rsidR="00203494">
              <w:rPr>
                <w:rFonts w:ascii="Garamond" w:hAnsi="Garamond"/>
                <w:lang w:val="en-AU"/>
              </w:rPr>
              <w:t>)</w:t>
            </w:r>
            <w:r>
              <w:rPr>
                <w:rFonts w:ascii="Garamond" w:hAnsi="Garamond"/>
                <w:lang w:val="en-AU"/>
              </w:rPr>
              <w:t xml:space="preserve"> </w:t>
            </w:r>
            <w:r w:rsidR="00203494">
              <w:rPr>
                <w:rFonts w:ascii="Garamond" w:hAnsi="Garamond"/>
                <w:lang w:val="en-AU"/>
              </w:rPr>
              <w:t xml:space="preserve">for health </w:t>
            </w:r>
            <w:r>
              <w:rPr>
                <w:rFonts w:ascii="Garamond" w:hAnsi="Garamond"/>
                <w:lang w:val="en-AU"/>
              </w:rPr>
              <w:t>and then the “quadruple aim”</w:t>
            </w:r>
            <w:r w:rsidR="00203494">
              <w:rPr>
                <w:rFonts w:ascii="Garamond" w:hAnsi="Garamond"/>
                <w:lang w:val="en-AU"/>
              </w:rPr>
              <w:t xml:space="preserve"> (addressing burnout)</w:t>
            </w:r>
            <w:r>
              <w:rPr>
                <w:rFonts w:ascii="Garamond" w:hAnsi="Garamond"/>
                <w:lang w:val="en-AU"/>
              </w:rPr>
              <w:t>. In these two pieces the focus is on recognising the importance of health equity and making equity the ‘quintuple aim for health care improvement’</w:t>
            </w:r>
            <w:r w:rsidR="00FE01B7">
              <w:rPr>
                <w:rFonts w:ascii="Garamond" w:hAnsi="Garamond"/>
                <w:lang w:val="en-AU"/>
              </w:rPr>
              <w:t xml:space="preserve"> (Nundy et al)</w:t>
            </w:r>
          </w:p>
          <w:p w14:paraId="680A2192" w14:textId="6186D4A9" w:rsidR="004D15D3" w:rsidRPr="006775DA" w:rsidRDefault="00203494" w:rsidP="00203494">
            <w:pPr>
              <w:rPr>
                <w:rFonts w:ascii="Garamond" w:hAnsi="Garamond"/>
                <w:lang w:val="en-AU"/>
              </w:rPr>
            </w:pPr>
            <w:r>
              <w:rPr>
                <w:rFonts w:ascii="Garamond" w:hAnsi="Garamond"/>
                <w:lang w:val="en-AU"/>
              </w:rPr>
              <w:t xml:space="preserve">Dzau et al reflect on the issues of quality and equity with </w:t>
            </w:r>
            <w:proofErr w:type="gramStart"/>
            <w:r>
              <w:rPr>
                <w:rFonts w:ascii="Garamond" w:hAnsi="Garamond"/>
                <w:lang w:val="en-AU"/>
              </w:rPr>
              <w:t>particular reference</w:t>
            </w:r>
            <w:proofErr w:type="gramEnd"/>
            <w:r>
              <w:rPr>
                <w:rFonts w:ascii="Garamond" w:hAnsi="Garamond"/>
                <w:lang w:val="en-AU"/>
              </w:rPr>
              <w:t xml:space="preserve"> to the US health environment. However, the assertion that ‘</w:t>
            </w:r>
            <w:r w:rsidRPr="00203494">
              <w:rPr>
                <w:rFonts w:ascii="Garamond" w:hAnsi="Garamond"/>
                <w:lang w:val="en-AU"/>
              </w:rPr>
              <w:t>There is no quality without equity, and there is no equity without quality</w:t>
            </w:r>
            <w:r>
              <w:rPr>
                <w:rFonts w:ascii="Garamond" w:hAnsi="Garamond"/>
                <w:lang w:val="en-AU"/>
              </w:rPr>
              <w:t>’ is arguably universal.</w:t>
            </w:r>
          </w:p>
        </w:tc>
      </w:tr>
    </w:tbl>
    <w:p w14:paraId="50C7F898" w14:textId="14E0667A" w:rsidR="00C03B8B" w:rsidRPr="00C03B8B" w:rsidRDefault="00C03B8B" w:rsidP="00C03B8B">
      <w:pPr>
        <w:keepNext/>
        <w:keepLines/>
        <w:autoSpaceDE w:val="0"/>
        <w:autoSpaceDN w:val="0"/>
        <w:adjustRightInd w:val="0"/>
        <w:rPr>
          <w:rFonts w:ascii="Garamond" w:hAnsi="Garamond"/>
          <w:i/>
          <w:iCs/>
          <w:lang w:val="en-AU"/>
        </w:rPr>
      </w:pPr>
      <w:r w:rsidRPr="00C03B8B">
        <w:rPr>
          <w:rFonts w:ascii="Garamond" w:hAnsi="Garamond"/>
          <w:i/>
          <w:iCs/>
          <w:lang w:val="en-AU"/>
        </w:rPr>
        <w:lastRenderedPageBreak/>
        <w:t>Health Care Safety during the Pandemic and Beyond — Building a System That Ensures Resilience</w:t>
      </w:r>
    </w:p>
    <w:p w14:paraId="7DEC5D15" w14:textId="77777777" w:rsidR="00C03B8B" w:rsidRDefault="00C03B8B" w:rsidP="000B5EA6">
      <w:pPr>
        <w:keepNext/>
        <w:keepLines/>
        <w:autoSpaceDE w:val="0"/>
        <w:autoSpaceDN w:val="0"/>
        <w:adjustRightInd w:val="0"/>
        <w:rPr>
          <w:rFonts w:ascii="Garamond" w:hAnsi="Garamond"/>
          <w:lang w:val="en-AU"/>
        </w:rPr>
      </w:pPr>
      <w:r w:rsidRPr="00C03B8B">
        <w:rPr>
          <w:rFonts w:ascii="Garamond" w:hAnsi="Garamond"/>
          <w:lang w:val="en-AU"/>
        </w:rPr>
        <w:t>Fleisher LA, Schreiber M, Cardo D, Srinivasan A</w:t>
      </w:r>
    </w:p>
    <w:p w14:paraId="182DA0C3" w14:textId="332B58DC" w:rsidR="000B5EA6" w:rsidRDefault="00C03B8B" w:rsidP="000B5EA6">
      <w:pPr>
        <w:keepNext/>
        <w:keepLines/>
        <w:autoSpaceDE w:val="0"/>
        <w:autoSpaceDN w:val="0"/>
        <w:adjustRightInd w:val="0"/>
        <w:rPr>
          <w:rFonts w:ascii="Garamond" w:hAnsi="Garamond"/>
          <w:lang w:val="en-AU"/>
        </w:rPr>
      </w:pPr>
      <w:r w:rsidRPr="00C03B8B">
        <w:rPr>
          <w:rFonts w:ascii="Garamond" w:hAnsi="Garamond"/>
          <w:lang w:val="en-AU"/>
        </w:rPr>
        <w:t>New England Journal of Medicine. 2022 2022/02/17;386(7):609-611.</w:t>
      </w:r>
    </w:p>
    <w:tbl>
      <w:tblPr>
        <w:tblStyle w:val="TableGrid"/>
        <w:tblW w:w="9360" w:type="dxa"/>
        <w:tblInd w:w="288" w:type="dxa"/>
        <w:tblLayout w:type="fixed"/>
        <w:tblLook w:val="01E0" w:firstRow="1" w:lastRow="1" w:firstColumn="1" w:lastColumn="1" w:noHBand="0" w:noVBand="0"/>
      </w:tblPr>
      <w:tblGrid>
        <w:gridCol w:w="1080"/>
        <w:gridCol w:w="8280"/>
      </w:tblGrid>
      <w:tr w:rsidR="000B5EA6" w:rsidRPr="000170DA" w14:paraId="68611487"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297D2186" w14:textId="77777777" w:rsidR="000B5EA6" w:rsidRPr="000170DA" w:rsidRDefault="000B5EA6" w:rsidP="009547E2">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07BCC80" w14:textId="63F45BCC" w:rsidR="000B5EA6" w:rsidRPr="000170DA" w:rsidRDefault="00941FFA" w:rsidP="009547E2">
            <w:pPr>
              <w:rPr>
                <w:rStyle w:val="Hyperlink"/>
                <w:rFonts w:ascii="Garamond" w:hAnsi="Garamond"/>
                <w:color w:val="auto"/>
                <w:u w:val="none"/>
                <w:lang w:val="en-AU"/>
              </w:rPr>
            </w:pPr>
            <w:hyperlink r:id="rId39" w:history="1">
              <w:r w:rsidR="001968B8" w:rsidRPr="008214B9">
                <w:rPr>
                  <w:rStyle w:val="Hyperlink"/>
                  <w:rFonts w:ascii="Garamond" w:hAnsi="Garamond"/>
                  <w:lang w:val="en-AU"/>
                </w:rPr>
                <w:t>https://doi.org/10.1056/NEJMp2118285</w:t>
              </w:r>
            </w:hyperlink>
          </w:p>
        </w:tc>
      </w:tr>
      <w:tr w:rsidR="000B5EA6" w:rsidRPr="000170DA" w14:paraId="1445CEA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F5D6A90" w14:textId="77777777" w:rsidR="000B5EA6" w:rsidRPr="000170DA" w:rsidRDefault="000B5EA6"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DCE0940" w14:textId="65F7E680" w:rsidR="00C03B8B" w:rsidRPr="006775DA" w:rsidRDefault="00C03B8B" w:rsidP="003F489A">
            <w:pPr>
              <w:rPr>
                <w:rFonts w:ascii="Garamond" w:hAnsi="Garamond"/>
                <w:lang w:val="en-AU"/>
              </w:rPr>
            </w:pPr>
            <w:r>
              <w:rPr>
                <w:rFonts w:ascii="Garamond" w:hAnsi="Garamond"/>
                <w:lang w:val="en-AU"/>
              </w:rPr>
              <w:t>Another piece that looks to how healthcare systems could be improved, in this instance suggesting how healthcare could be more resilient.</w:t>
            </w:r>
            <w:r w:rsidR="00FE01B7">
              <w:rPr>
                <w:rFonts w:ascii="Garamond" w:hAnsi="Garamond"/>
                <w:lang w:val="en-AU"/>
              </w:rPr>
              <w:t xml:space="preserve"> </w:t>
            </w:r>
            <w:r w:rsidR="003F489A">
              <w:rPr>
                <w:rFonts w:ascii="Garamond" w:hAnsi="Garamond"/>
                <w:lang w:val="en-AU"/>
              </w:rPr>
              <w:t>While the pieces in equity were partly prompted by the experiences of the COVID-19 pandemic, this piece is explicitly framed by that experience and how to provide a health care system that is safe and resilient. The authors saw in the USA, ‘</w:t>
            </w:r>
            <w:r w:rsidR="003F489A" w:rsidRPr="003F489A">
              <w:rPr>
                <w:rFonts w:ascii="Garamond" w:hAnsi="Garamond"/>
                <w:lang w:val="en-AU"/>
              </w:rPr>
              <w:t>the pandemic degraded</w:t>
            </w:r>
            <w:r w:rsidR="003F489A">
              <w:rPr>
                <w:rFonts w:ascii="Garamond" w:hAnsi="Garamond"/>
                <w:lang w:val="en-AU"/>
              </w:rPr>
              <w:t xml:space="preserve"> </w:t>
            </w:r>
            <w:r w:rsidR="003F489A" w:rsidRPr="003F489A">
              <w:rPr>
                <w:rFonts w:ascii="Garamond" w:hAnsi="Garamond"/>
                <w:lang w:val="en-AU"/>
              </w:rPr>
              <w:t>patient safety so quickly</w:t>
            </w:r>
            <w:r w:rsidR="003F489A">
              <w:rPr>
                <w:rFonts w:ascii="Garamond" w:hAnsi="Garamond"/>
                <w:lang w:val="en-AU"/>
              </w:rPr>
              <w:t xml:space="preserve"> </w:t>
            </w:r>
            <w:r w:rsidR="003F489A" w:rsidRPr="003F489A">
              <w:rPr>
                <w:rFonts w:ascii="Garamond" w:hAnsi="Garamond"/>
                <w:lang w:val="en-AU"/>
              </w:rPr>
              <w:t>and severely</w:t>
            </w:r>
            <w:r w:rsidR="003F489A">
              <w:rPr>
                <w:rFonts w:ascii="Garamond" w:hAnsi="Garamond"/>
                <w:lang w:val="en-AU"/>
              </w:rPr>
              <w:t>’ that this</w:t>
            </w:r>
            <w:r w:rsidR="003F489A" w:rsidRPr="003F489A">
              <w:rPr>
                <w:rFonts w:ascii="Garamond" w:hAnsi="Garamond"/>
                <w:lang w:val="en-AU"/>
              </w:rPr>
              <w:t xml:space="preserve"> </w:t>
            </w:r>
            <w:r w:rsidR="003F489A">
              <w:rPr>
                <w:rFonts w:ascii="Garamond" w:hAnsi="Garamond"/>
                <w:lang w:val="en-AU"/>
              </w:rPr>
              <w:t>indicates the US ‘</w:t>
            </w:r>
            <w:r w:rsidR="003F489A" w:rsidRPr="003F489A">
              <w:rPr>
                <w:rFonts w:ascii="Garamond" w:hAnsi="Garamond"/>
                <w:lang w:val="en-AU"/>
              </w:rPr>
              <w:t xml:space="preserve">health care system lacks a </w:t>
            </w:r>
            <w:r w:rsidR="003F489A">
              <w:rPr>
                <w:rFonts w:ascii="Garamond" w:hAnsi="Garamond"/>
                <w:lang w:val="en-AU"/>
              </w:rPr>
              <w:t>s</w:t>
            </w:r>
            <w:r w:rsidR="003F489A" w:rsidRPr="003F489A">
              <w:rPr>
                <w:rFonts w:ascii="Garamond" w:hAnsi="Garamond"/>
                <w:lang w:val="en-AU"/>
              </w:rPr>
              <w:t>ufficiently</w:t>
            </w:r>
            <w:r w:rsidR="003F489A">
              <w:rPr>
                <w:rFonts w:ascii="Garamond" w:hAnsi="Garamond"/>
                <w:lang w:val="en-AU"/>
              </w:rPr>
              <w:t xml:space="preserve"> </w:t>
            </w:r>
            <w:r w:rsidR="003F489A" w:rsidRPr="003F489A">
              <w:rPr>
                <w:rFonts w:ascii="Garamond" w:hAnsi="Garamond"/>
                <w:lang w:val="en-AU"/>
              </w:rPr>
              <w:t>resilient safety culture and</w:t>
            </w:r>
            <w:r w:rsidR="003F489A">
              <w:rPr>
                <w:rFonts w:ascii="Garamond" w:hAnsi="Garamond"/>
                <w:lang w:val="en-AU"/>
              </w:rPr>
              <w:t xml:space="preserve"> </w:t>
            </w:r>
            <w:r w:rsidR="003F489A" w:rsidRPr="003F489A">
              <w:rPr>
                <w:rFonts w:ascii="Garamond" w:hAnsi="Garamond"/>
                <w:lang w:val="en-AU"/>
              </w:rPr>
              <w:t>infrastructure.</w:t>
            </w:r>
            <w:r w:rsidR="003F489A">
              <w:rPr>
                <w:rFonts w:ascii="Garamond" w:hAnsi="Garamond"/>
                <w:lang w:val="en-AU"/>
              </w:rPr>
              <w:t xml:space="preserve">’ The piece is a call to </w:t>
            </w:r>
            <w:r w:rsidR="001C0791">
              <w:rPr>
                <w:rFonts w:ascii="Garamond" w:hAnsi="Garamond"/>
                <w:lang w:val="en-AU"/>
              </w:rPr>
              <w:t>build</w:t>
            </w:r>
            <w:r w:rsidR="003F489A">
              <w:rPr>
                <w:rFonts w:ascii="Garamond" w:hAnsi="Garamond"/>
                <w:lang w:val="en-AU"/>
              </w:rPr>
              <w:t xml:space="preserve"> ‘</w:t>
            </w:r>
            <w:r w:rsidR="003F489A" w:rsidRPr="003F489A">
              <w:rPr>
                <w:rFonts w:ascii="Garamond" w:hAnsi="Garamond"/>
                <w:lang w:val="en-AU"/>
              </w:rPr>
              <w:t>a more resilient</w:t>
            </w:r>
            <w:r w:rsidR="003F489A">
              <w:rPr>
                <w:rFonts w:ascii="Garamond" w:hAnsi="Garamond"/>
                <w:lang w:val="en-AU"/>
              </w:rPr>
              <w:t xml:space="preserve"> </w:t>
            </w:r>
            <w:r w:rsidR="003F489A" w:rsidRPr="003F489A">
              <w:rPr>
                <w:rFonts w:ascii="Garamond" w:hAnsi="Garamond"/>
                <w:lang w:val="en-AU"/>
              </w:rPr>
              <w:t>health care delivery system, capable</w:t>
            </w:r>
            <w:r w:rsidR="003F489A">
              <w:rPr>
                <w:rFonts w:ascii="Garamond" w:hAnsi="Garamond"/>
                <w:lang w:val="en-AU"/>
              </w:rPr>
              <w:t xml:space="preserve"> </w:t>
            </w:r>
            <w:r w:rsidR="003F489A" w:rsidRPr="003F489A">
              <w:rPr>
                <w:rFonts w:ascii="Garamond" w:hAnsi="Garamond"/>
                <w:lang w:val="en-AU"/>
              </w:rPr>
              <w:t>not only of achieving safer</w:t>
            </w:r>
            <w:r w:rsidR="003F489A">
              <w:rPr>
                <w:rFonts w:ascii="Garamond" w:hAnsi="Garamond"/>
                <w:lang w:val="en-AU"/>
              </w:rPr>
              <w:t xml:space="preserve"> </w:t>
            </w:r>
            <w:r w:rsidR="003F489A" w:rsidRPr="003F489A">
              <w:rPr>
                <w:rFonts w:ascii="Garamond" w:hAnsi="Garamond"/>
                <w:lang w:val="en-AU"/>
              </w:rPr>
              <w:t>routine care but also of maintaining</w:t>
            </w:r>
            <w:r w:rsidR="003F489A">
              <w:rPr>
                <w:rFonts w:ascii="Garamond" w:hAnsi="Garamond"/>
                <w:lang w:val="en-AU"/>
              </w:rPr>
              <w:t xml:space="preserve"> </w:t>
            </w:r>
            <w:r w:rsidR="003F489A" w:rsidRPr="003F489A">
              <w:rPr>
                <w:rFonts w:ascii="Garamond" w:hAnsi="Garamond"/>
                <w:lang w:val="en-AU"/>
              </w:rPr>
              <w:t>high safety levels in times</w:t>
            </w:r>
            <w:r w:rsidR="003F489A">
              <w:rPr>
                <w:rFonts w:ascii="Garamond" w:hAnsi="Garamond"/>
                <w:lang w:val="en-AU"/>
              </w:rPr>
              <w:t xml:space="preserve"> </w:t>
            </w:r>
            <w:r w:rsidR="003F489A" w:rsidRPr="003F489A">
              <w:rPr>
                <w:rFonts w:ascii="Garamond" w:hAnsi="Garamond"/>
                <w:lang w:val="en-AU"/>
              </w:rPr>
              <w:t>of crisis.</w:t>
            </w:r>
            <w:r w:rsidR="003F489A">
              <w:rPr>
                <w:rFonts w:ascii="Garamond" w:hAnsi="Garamond"/>
                <w:lang w:val="en-AU"/>
              </w:rPr>
              <w:t>’</w:t>
            </w:r>
          </w:p>
        </w:tc>
      </w:tr>
    </w:tbl>
    <w:p w14:paraId="551637AF" w14:textId="77777777" w:rsidR="000B5EA6" w:rsidRDefault="000B5EA6" w:rsidP="000B5EA6">
      <w:pPr>
        <w:keepLines/>
        <w:autoSpaceDE w:val="0"/>
        <w:autoSpaceDN w:val="0"/>
        <w:adjustRightInd w:val="0"/>
        <w:rPr>
          <w:rFonts w:ascii="Garamond" w:hAnsi="Garamond"/>
          <w:lang w:val="en-AU"/>
        </w:rPr>
      </w:pPr>
    </w:p>
    <w:p w14:paraId="1E32DFD7" w14:textId="6F189783" w:rsidR="00F63FFC" w:rsidRPr="003C0588" w:rsidRDefault="00F63FFC" w:rsidP="00F63FFC">
      <w:pPr>
        <w:keepNext/>
        <w:rPr>
          <w:rFonts w:ascii="Garamond" w:hAnsi="Garamond"/>
          <w:i/>
          <w:lang w:val="en-AU"/>
        </w:rPr>
      </w:pPr>
      <w:r w:rsidRPr="003C0588">
        <w:rPr>
          <w:rFonts w:ascii="Garamond" w:hAnsi="Garamond"/>
          <w:i/>
          <w:lang w:val="en-AU"/>
        </w:rPr>
        <w:t>Journal of Patient Safety</w:t>
      </w:r>
    </w:p>
    <w:p w14:paraId="20C20E94" w14:textId="77777777" w:rsidR="00F63FFC" w:rsidRPr="00F63FFC" w:rsidRDefault="00F63FFC" w:rsidP="00F63FFC">
      <w:pPr>
        <w:keepNext/>
        <w:rPr>
          <w:rFonts w:ascii="Garamond" w:hAnsi="Garamond"/>
          <w:iCs/>
          <w:lang w:val="en-AU"/>
        </w:rPr>
      </w:pPr>
      <w:r w:rsidRPr="00F63FFC">
        <w:rPr>
          <w:rFonts w:ascii="Garamond" w:hAnsi="Garamond"/>
          <w:iCs/>
          <w:lang w:val="en-AU"/>
        </w:rPr>
        <w:t>Vol. 18, No. 2, March 2022</w:t>
      </w:r>
    </w:p>
    <w:tbl>
      <w:tblPr>
        <w:tblStyle w:val="TableGrid"/>
        <w:tblW w:w="9360" w:type="dxa"/>
        <w:tblInd w:w="288" w:type="dxa"/>
        <w:tblLayout w:type="fixed"/>
        <w:tblLook w:val="01E0" w:firstRow="1" w:lastRow="1" w:firstColumn="1" w:lastColumn="1" w:noHBand="0" w:noVBand="0"/>
      </w:tblPr>
      <w:tblGrid>
        <w:gridCol w:w="1080"/>
        <w:gridCol w:w="8280"/>
      </w:tblGrid>
      <w:tr w:rsidR="00D57CA8" w:rsidRPr="000170DA" w14:paraId="3C993A86"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4AE6D21" w14:textId="4CAB9C36" w:rsidR="00D57CA8" w:rsidRPr="000170DA" w:rsidRDefault="00D57CA8" w:rsidP="009547E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29D6E32" w14:textId="0E780F5A" w:rsidR="00D57CA8" w:rsidRPr="000170DA" w:rsidRDefault="00941FFA" w:rsidP="009547E2">
            <w:pPr>
              <w:rPr>
                <w:rStyle w:val="Hyperlink"/>
                <w:rFonts w:ascii="Garamond" w:hAnsi="Garamond"/>
                <w:color w:val="auto"/>
                <w:u w:val="none"/>
                <w:lang w:val="en-AU"/>
              </w:rPr>
            </w:pPr>
            <w:hyperlink r:id="rId40" w:history="1">
              <w:r w:rsidR="003C0588" w:rsidRPr="000835CF">
                <w:rPr>
                  <w:rStyle w:val="Hyperlink"/>
                  <w:rFonts w:ascii="Garamond" w:hAnsi="Garamond"/>
                  <w:lang w:val="en-AU"/>
                </w:rPr>
                <w:t>https://journals.lww.com/journalpatientsafety/toc/2022/03000</w:t>
              </w:r>
            </w:hyperlink>
          </w:p>
        </w:tc>
      </w:tr>
      <w:tr w:rsidR="00D57CA8" w:rsidRPr="000170DA" w14:paraId="476E14E6"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5D66EFA9" w14:textId="77777777" w:rsidR="00D57CA8" w:rsidRPr="000170DA" w:rsidRDefault="00D57CA8"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4C5B60E" w14:textId="051C9534" w:rsidR="00D57CA8" w:rsidRPr="007C3778" w:rsidRDefault="00D57CA8" w:rsidP="003C0588">
            <w:pPr>
              <w:keepNext/>
              <w:rPr>
                <w:rFonts w:ascii="Garamond" w:hAnsi="Garamond"/>
                <w:lang w:val="en-AU"/>
              </w:rPr>
            </w:pPr>
            <w:r w:rsidRPr="00B440ED">
              <w:rPr>
                <w:rFonts w:ascii="Garamond" w:hAnsi="Garamond"/>
                <w:lang w:val="en-AU"/>
              </w:rPr>
              <w:t xml:space="preserve">A new issue of </w:t>
            </w:r>
            <w:r>
              <w:rPr>
                <w:rFonts w:ascii="Garamond" w:hAnsi="Garamond"/>
                <w:lang w:val="en-AU"/>
              </w:rPr>
              <w:t xml:space="preserve">the </w:t>
            </w:r>
            <w:r w:rsidR="003C0588" w:rsidRPr="003C0588">
              <w:rPr>
                <w:rFonts w:ascii="Garamond" w:hAnsi="Garamond"/>
                <w:i/>
                <w:lang w:val="en-AU"/>
              </w:rPr>
              <w:t>Journal of Patient Safety</w:t>
            </w:r>
            <w:r>
              <w:rPr>
                <w:rFonts w:ascii="Garamond" w:hAnsi="Garamond"/>
                <w:i/>
                <w:lang w:val="en-AU"/>
              </w:rPr>
              <w:t xml:space="preserve"> </w:t>
            </w:r>
            <w:r w:rsidRPr="00B440ED">
              <w:rPr>
                <w:rFonts w:ascii="Garamond" w:hAnsi="Garamond"/>
                <w:lang w:val="en-AU"/>
              </w:rPr>
              <w:t xml:space="preserve">has been published. Articles in this issue of </w:t>
            </w:r>
            <w:r>
              <w:rPr>
                <w:rFonts w:ascii="Garamond" w:hAnsi="Garamond"/>
                <w:lang w:val="en-AU"/>
              </w:rPr>
              <w:t xml:space="preserve">the </w:t>
            </w:r>
            <w:r w:rsidR="003C0588" w:rsidRPr="003C0588">
              <w:rPr>
                <w:rFonts w:ascii="Garamond" w:hAnsi="Garamond"/>
                <w:i/>
                <w:lang w:val="en-AU"/>
              </w:rPr>
              <w:t>Journal of Patient Safety</w:t>
            </w:r>
            <w:r>
              <w:rPr>
                <w:rFonts w:ascii="Garamond" w:hAnsi="Garamond"/>
                <w:i/>
                <w:lang w:val="en-AU"/>
              </w:rPr>
              <w:t xml:space="preserve"> </w:t>
            </w:r>
            <w:r w:rsidRPr="00B440ED">
              <w:rPr>
                <w:rFonts w:ascii="Garamond" w:hAnsi="Garamond"/>
                <w:lang w:val="en-AU"/>
              </w:rPr>
              <w:t>include:</w:t>
            </w:r>
          </w:p>
          <w:p w14:paraId="67751265" w14:textId="2AAC1D90"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Training Effectiveness and Impact on Safety, Treatment Quality, and Communication in </w:t>
            </w:r>
            <w:r w:rsidRPr="003C0588">
              <w:rPr>
                <w:rFonts w:ascii="Garamond" w:hAnsi="Garamond"/>
                <w:b/>
                <w:bCs/>
                <w:lang w:val="en-AU"/>
              </w:rPr>
              <w:t>Prehospital Emergency Care</w:t>
            </w:r>
            <w:r w:rsidRPr="003C0588">
              <w:rPr>
                <w:rFonts w:ascii="Garamond" w:hAnsi="Garamond"/>
                <w:lang w:val="en-AU"/>
              </w:rPr>
              <w:t>: The Prospective Longitudinal Mixed-Methods EPPTC Trial (David Häske, Stefan K. Beckers, Marc Dieroff, Bernhard Gliwitzky, M Hofmann, R Lefering, M Münzberg</w:t>
            </w:r>
            <w:r>
              <w:rPr>
                <w:rFonts w:ascii="Garamond" w:hAnsi="Garamond"/>
                <w:lang w:val="en-AU"/>
              </w:rPr>
              <w:t>)</w:t>
            </w:r>
          </w:p>
          <w:p w14:paraId="353066D3" w14:textId="6833C64F"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Improving Safety and Quality During </w:t>
            </w:r>
            <w:r w:rsidRPr="003C0588">
              <w:rPr>
                <w:rFonts w:ascii="Garamond" w:hAnsi="Garamond"/>
                <w:b/>
                <w:bCs/>
                <w:lang w:val="en-AU"/>
              </w:rPr>
              <w:t xml:space="preserve">Interhospital Transfer of Patients </w:t>
            </w:r>
            <w:proofErr w:type="gramStart"/>
            <w:r w:rsidRPr="003C0588">
              <w:rPr>
                <w:rFonts w:ascii="Garamond" w:hAnsi="Garamond"/>
                <w:b/>
                <w:bCs/>
                <w:lang w:val="en-AU"/>
              </w:rPr>
              <w:t>With</w:t>
            </w:r>
            <w:proofErr w:type="gramEnd"/>
            <w:r w:rsidRPr="003C0588">
              <w:rPr>
                <w:rFonts w:ascii="Garamond" w:hAnsi="Garamond"/>
                <w:b/>
                <w:bCs/>
                <w:lang w:val="en-AU"/>
              </w:rPr>
              <w:t xml:space="preserve"> Nontraumatic Intracranial Hemorrhage</w:t>
            </w:r>
            <w:r w:rsidRPr="003C0588">
              <w:rPr>
                <w:rFonts w:ascii="Garamond" w:hAnsi="Garamond"/>
                <w:lang w:val="en-AU"/>
              </w:rPr>
              <w:t>: A Simulation-Based Pilot Program (Jessica M Ray, Ambrose H Wong, Emily B Finn, Kevin N Sheth, Charles C Matouk, S N Sudikoff, M A Auerbach, J E Sather, A K Venkatesh</w:t>
            </w:r>
            <w:r>
              <w:rPr>
                <w:rFonts w:ascii="Garamond" w:hAnsi="Garamond"/>
                <w:lang w:val="en-AU"/>
              </w:rPr>
              <w:t>)</w:t>
            </w:r>
          </w:p>
          <w:p w14:paraId="2D70B56B" w14:textId="70B1CAA5"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The </w:t>
            </w:r>
            <w:r w:rsidRPr="003C0588">
              <w:rPr>
                <w:rFonts w:ascii="Garamond" w:hAnsi="Garamond"/>
                <w:b/>
                <w:bCs/>
                <w:lang w:val="en-AU"/>
              </w:rPr>
              <w:t>Second Victim Experience and Support Tool</w:t>
            </w:r>
            <w:r w:rsidRPr="003C0588">
              <w:rPr>
                <w:rFonts w:ascii="Garamond" w:hAnsi="Garamond"/>
                <w:lang w:val="en-AU"/>
              </w:rPr>
              <w:t>: A Cross-Cultural Adaptation and Psychometric Evaluation in Italy (IT-SVEST) (Enrico Scarpis, Luigi Castriotta, Edoardo Ruscio, Beatrice Bianchet, Anna Doimo, Valentina Moretti, Roberto Cocconi, Federico Farneti, Rosanna Quattrin</w:t>
            </w:r>
            <w:r>
              <w:rPr>
                <w:rFonts w:ascii="Garamond" w:hAnsi="Garamond"/>
                <w:lang w:val="en-AU"/>
              </w:rPr>
              <w:t>)</w:t>
            </w:r>
          </w:p>
          <w:p w14:paraId="2C4E6EEB" w14:textId="2C97F605" w:rsidR="003C0588" w:rsidRPr="003C0588" w:rsidRDefault="003C0588" w:rsidP="003C0588">
            <w:pPr>
              <w:pStyle w:val="ListParagraph"/>
              <w:numPr>
                <w:ilvl w:val="0"/>
                <w:numId w:val="42"/>
              </w:numPr>
              <w:rPr>
                <w:rFonts w:ascii="Garamond" w:hAnsi="Garamond"/>
                <w:lang w:val="en-AU"/>
              </w:rPr>
            </w:pPr>
            <w:r w:rsidRPr="003C0588">
              <w:rPr>
                <w:rFonts w:ascii="Garamond" w:hAnsi="Garamond"/>
                <w:lang w:val="en-AU"/>
              </w:rPr>
              <w:t xml:space="preserve">Development and Validation of a </w:t>
            </w:r>
            <w:r w:rsidRPr="003C0588">
              <w:rPr>
                <w:rFonts w:ascii="Garamond" w:hAnsi="Garamond"/>
                <w:b/>
                <w:bCs/>
                <w:lang w:val="en-AU"/>
              </w:rPr>
              <w:t>Fall Prevention Efficiency Scale</w:t>
            </w:r>
            <w:r w:rsidRPr="003C0588">
              <w:rPr>
                <w:rFonts w:ascii="Garamond" w:hAnsi="Garamond"/>
                <w:lang w:val="en-AU"/>
              </w:rPr>
              <w:t xml:space="preserve"> (Patricia C Dykes, Srijesa Khasnabish, Zoe Burns, Lesley E Adkison, Lois Alfieri, Michael Bogaisky, Diane L Carroll, Eileen J Carter, Ann C Hurley, Emily Jackson, Susan Kurian, Mary Ellen Lindros, Virginia Ryan, Maureen Scanlan, Kelly Sessler, A Shelley, L B Spivack, M-A Walsh, D W Bates, J S Adelman)</w:t>
            </w:r>
          </w:p>
          <w:p w14:paraId="61684DF3" w14:textId="1D8C558B"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Cross-Cultural Adaptation, Validation, and Piloting of the </w:t>
            </w:r>
            <w:r w:rsidRPr="003C0588">
              <w:rPr>
                <w:rFonts w:ascii="Garamond" w:hAnsi="Garamond"/>
                <w:b/>
                <w:bCs/>
                <w:lang w:val="en-AU"/>
              </w:rPr>
              <w:t>Patient Reported Experiences and Outcomes of Safety in Primary Care Questionnaire</w:t>
            </w:r>
            <w:r w:rsidRPr="003C0588">
              <w:rPr>
                <w:rFonts w:ascii="Garamond" w:hAnsi="Garamond"/>
                <w:lang w:val="en-AU"/>
              </w:rPr>
              <w:t xml:space="preserve"> for Its Use in Spain (María J Serrano-Ripoll, Joan Llobera, José M Valderas, Antonio Olry de Labry Lima, María A Fiol-deRoque, J Ripoll, I Ricci-Cabello</w:t>
            </w:r>
            <w:r>
              <w:rPr>
                <w:rFonts w:ascii="Garamond" w:hAnsi="Garamond"/>
                <w:lang w:val="en-AU"/>
              </w:rPr>
              <w:t>)</w:t>
            </w:r>
          </w:p>
          <w:p w14:paraId="3EF6E997" w14:textId="31F9118F" w:rsidR="003C0588" w:rsidRPr="003C0588" w:rsidRDefault="003C0588" w:rsidP="009547E2">
            <w:pPr>
              <w:pStyle w:val="ListParagraph"/>
              <w:numPr>
                <w:ilvl w:val="0"/>
                <w:numId w:val="42"/>
              </w:numPr>
              <w:rPr>
                <w:rFonts w:ascii="Garamond" w:hAnsi="Garamond"/>
                <w:lang w:val="en-AU"/>
              </w:rPr>
            </w:pPr>
            <w:r w:rsidRPr="003C0588">
              <w:rPr>
                <w:rFonts w:ascii="Garamond" w:hAnsi="Garamond"/>
                <w:b/>
                <w:bCs/>
                <w:lang w:val="en-AU"/>
              </w:rPr>
              <w:t>Second Victim Experience and Support Tool</w:t>
            </w:r>
            <w:r w:rsidRPr="003C0588">
              <w:rPr>
                <w:rFonts w:ascii="Garamond" w:hAnsi="Garamond"/>
                <w:lang w:val="en-AU"/>
              </w:rPr>
              <w:t>: An Assessment of Psychometric Properties of Italian Version (Alessia Pieretti, Luca Bastiani, Tommaso Bellandi, Sabrina Molinaro, Paolo Zoppi, Laura Rasero</w:t>
            </w:r>
            <w:r>
              <w:rPr>
                <w:rFonts w:ascii="Garamond" w:hAnsi="Garamond"/>
                <w:lang w:val="en-AU"/>
              </w:rPr>
              <w:t>)</w:t>
            </w:r>
          </w:p>
          <w:p w14:paraId="44EDC056" w14:textId="1ED067D3"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Understanding the “</w:t>
            </w:r>
            <w:r w:rsidRPr="003C0588">
              <w:rPr>
                <w:rFonts w:ascii="Garamond" w:hAnsi="Garamond"/>
                <w:b/>
                <w:bCs/>
                <w:lang w:val="en-AU"/>
              </w:rPr>
              <w:t>Swiss Cheese Model</w:t>
            </w:r>
            <w:r w:rsidRPr="003C0588">
              <w:rPr>
                <w:rFonts w:ascii="Garamond" w:hAnsi="Garamond"/>
                <w:lang w:val="en-AU"/>
              </w:rPr>
              <w:t>” and Its Application to Patient Safety (Douglas A Wiegmann, Laura J Wood, Tara N Cohen, S A Shappell</w:t>
            </w:r>
            <w:r>
              <w:rPr>
                <w:rFonts w:ascii="Garamond" w:hAnsi="Garamond"/>
                <w:lang w:val="en-AU"/>
              </w:rPr>
              <w:t>)</w:t>
            </w:r>
          </w:p>
          <w:p w14:paraId="2C72EE53" w14:textId="3F61180F" w:rsidR="003C0588" w:rsidRPr="003C0588" w:rsidRDefault="003C0588" w:rsidP="009547E2">
            <w:pPr>
              <w:pStyle w:val="ListParagraph"/>
              <w:numPr>
                <w:ilvl w:val="0"/>
                <w:numId w:val="42"/>
              </w:numPr>
              <w:rPr>
                <w:rFonts w:ascii="Garamond" w:hAnsi="Garamond"/>
                <w:lang w:val="en-AU"/>
              </w:rPr>
            </w:pPr>
            <w:r w:rsidRPr="003C0588">
              <w:rPr>
                <w:rFonts w:ascii="Garamond" w:hAnsi="Garamond"/>
                <w:b/>
                <w:bCs/>
                <w:lang w:val="en-AU"/>
              </w:rPr>
              <w:t>Patient Safety Education in Entry to Practice Pharmacy Programs</w:t>
            </w:r>
            <w:r w:rsidRPr="003C0588">
              <w:rPr>
                <w:rFonts w:ascii="Garamond" w:hAnsi="Garamond"/>
                <w:lang w:val="en-AU"/>
              </w:rPr>
              <w:t>: A Systematic Review (Alla El-Awaisi, Sarra Koummich, Somaya Koraysh, Maguy Saffouh El Hajj</w:t>
            </w:r>
            <w:r>
              <w:rPr>
                <w:rFonts w:ascii="Garamond" w:hAnsi="Garamond"/>
                <w:lang w:val="en-AU"/>
              </w:rPr>
              <w:t>)</w:t>
            </w:r>
          </w:p>
          <w:p w14:paraId="06818112" w14:textId="4E9E514E"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Decreasing Foot Traffic in the </w:t>
            </w:r>
            <w:r w:rsidRPr="003C0588">
              <w:rPr>
                <w:rFonts w:ascii="Garamond" w:hAnsi="Garamond"/>
                <w:b/>
                <w:bCs/>
                <w:lang w:val="en-AU"/>
              </w:rPr>
              <w:t>Orthopedic Operating Room</w:t>
            </w:r>
            <w:r w:rsidRPr="003C0588">
              <w:rPr>
                <w:rFonts w:ascii="Garamond" w:hAnsi="Garamond"/>
                <w:lang w:val="en-AU"/>
              </w:rPr>
              <w:t>: A Narrative Review of the Literature (Laura Buckner, Jordan Lacy, K Young, D Dishman</w:t>
            </w:r>
            <w:r>
              <w:rPr>
                <w:rFonts w:ascii="Garamond" w:hAnsi="Garamond"/>
                <w:lang w:val="en-AU"/>
              </w:rPr>
              <w:t>)</w:t>
            </w:r>
          </w:p>
          <w:p w14:paraId="5661BB4E" w14:textId="0DD1783B" w:rsidR="003C0588" w:rsidRPr="003C0588" w:rsidRDefault="003C0588" w:rsidP="009547E2">
            <w:pPr>
              <w:pStyle w:val="ListParagraph"/>
              <w:numPr>
                <w:ilvl w:val="0"/>
                <w:numId w:val="42"/>
              </w:numPr>
              <w:rPr>
                <w:rFonts w:ascii="Garamond" w:hAnsi="Garamond"/>
                <w:lang w:val="en-AU"/>
              </w:rPr>
            </w:pPr>
            <w:r w:rsidRPr="003C0588">
              <w:rPr>
                <w:rFonts w:ascii="Garamond" w:hAnsi="Garamond"/>
                <w:b/>
                <w:bCs/>
                <w:lang w:val="en-AU"/>
              </w:rPr>
              <w:lastRenderedPageBreak/>
              <w:t>Advanced Medication Alert System</w:t>
            </w:r>
            <w:r w:rsidRPr="003C0588">
              <w:rPr>
                <w:rFonts w:ascii="Garamond" w:hAnsi="Garamond"/>
                <w:lang w:val="en-AU"/>
              </w:rPr>
              <w:t xml:space="preserve"> Decreased Hospital-Based Outpatient Duplicated Medications: A Longitudinal Hospital Cohort Study (Yu-Chun Kuo, Shou-Hsia Cheng, Herng-Chia Chiu</w:t>
            </w:r>
            <w:r>
              <w:rPr>
                <w:rFonts w:ascii="Garamond" w:hAnsi="Garamond"/>
                <w:lang w:val="en-AU"/>
              </w:rPr>
              <w:t>)</w:t>
            </w:r>
          </w:p>
          <w:p w14:paraId="168F41A9" w14:textId="482E7E67"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Frequency and Nature of </w:t>
            </w:r>
            <w:r w:rsidRPr="003C0588">
              <w:rPr>
                <w:rFonts w:ascii="Garamond" w:hAnsi="Garamond"/>
                <w:b/>
                <w:bCs/>
                <w:lang w:val="en-AU"/>
              </w:rPr>
              <w:t>Communication and Handoff Failures in Medical Malpractice Claims</w:t>
            </w:r>
            <w:r w:rsidRPr="003C0588">
              <w:rPr>
                <w:rFonts w:ascii="Garamond" w:hAnsi="Garamond"/>
                <w:lang w:val="en-AU"/>
              </w:rPr>
              <w:t xml:space="preserve"> (Kate E Humphrey, Melissa Sundberg, Carly E Milliren, Dionne A Graham, Christopher P Landrigan</w:t>
            </w:r>
            <w:r>
              <w:rPr>
                <w:rFonts w:ascii="Garamond" w:hAnsi="Garamond"/>
                <w:lang w:val="en-AU"/>
              </w:rPr>
              <w:t>)</w:t>
            </w:r>
          </w:p>
          <w:p w14:paraId="1678E6C1" w14:textId="796D7F98"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The Effect of </w:t>
            </w:r>
            <w:r w:rsidRPr="003C0588">
              <w:rPr>
                <w:rFonts w:ascii="Garamond" w:hAnsi="Garamond"/>
                <w:b/>
                <w:bCs/>
                <w:lang w:val="en-AU"/>
              </w:rPr>
              <w:t>Health Care Professional Disruptive Behavior</w:t>
            </w:r>
            <w:r w:rsidRPr="003C0588">
              <w:rPr>
                <w:rFonts w:ascii="Garamond" w:hAnsi="Garamond"/>
                <w:lang w:val="en-AU"/>
              </w:rPr>
              <w:t xml:space="preserve"> on Patient Care: A Systematic Review (Sophia Hicks, Charitini Stavropoulou</w:t>
            </w:r>
            <w:r>
              <w:rPr>
                <w:rFonts w:ascii="Garamond" w:hAnsi="Garamond"/>
                <w:lang w:val="en-AU"/>
              </w:rPr>
              <w:t>)</w:t>
            </w:r>
          </w:p>
          <w:p w14:paraId="1D1CBF75" w14:textId="0B5551BD"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 </w:t>
            </w:r>
            <w:r w:rsidRPr="003C0588">
              <w:rPr>
                <w:rFonts w:ascii="Garamond" w:hAnsi="Garamond"/>
                <w:b/>
                <w:bCs/>
                <w:lang w:val="en-AU"/>
              </w:rPr>
              <w:t>Central Venous Catheter Guidewire Retention</w:t>
            </w:r>
            <w:r w:rsidRPr="003C0588">
              <w:rPr>
                <w:rFonts w:ascii="Garamond" w:hAnsi="Garamond"/>
                <w:lang w:val="en-AU"/>
              </w:rPr>
              <w:t xml:space="preserve">: Lessons </w:t>
            </w:r>
            <w:proofErr w:type="gramStart"/>
            <w:r w:rsidRPr="003C0588">
              <w:rPr>
                <w:rFonts w:ascii="Garamond" w:hAnsi="Garamond"/>
                <w:lang w:val="en-AU"/>
              </w:rPr>
              <w:t>From</w:t>
            </w:r>
            <w:proofErr w:type="gramEnd"/>
            <w:r w:rsidRPr="003C0588">
              <w:rPr>
                <w:rFonts w:ascii="Garamond" w:hAnsi="Garamond"/>
                <w:lang w:val="en-AU"/>
              </w:rPr>
              <w:t xml:space="preserve"> England’s Never Event Database (Maryanne Z A Mariyaselvam, Vikesh Patel, Holly E Young, Mark C Blunt, Peter J Young</w:t>
            </w:r>
            <w:r>
              <w:rPr>
                <w:rFonts w:ascii="Garamond" w:hAnsi="Garamond"/>
                <w:lang w:val="en-AU"/>
              </w:rPr>
              <w:t>)</w:t>
            </w:r>
          </w:p>
          <w:p w14:paraId="07B2D2CA" w14:textId="14371DE6"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The Trigger Tool Method for </w:t>
            </w:r>
            <w:r w:rsidRPr="003C0588">
              <w:rPr>
                <w:rFonts w:ascii="Garamond" w:hAnsi="Garamond"/>
                <w:b/>
                <w:bCs/>
                <w:lang w:val="en-AU"/>
              </w:rPr>
              <w:t>Routine Pharmacovigilance</w:t>
            </w:r>
            <w:r w:rsidRPr="003C0588">
              <w:rPr>
                <w:rFonts w:ascii="Garamond" w:hAnsi="Garamond"/>
                <w:lang w:val="en-AU"/>
              </w:rPr>
              <w:t>: A Retrospective Cohort Study of the Medical Records of Hospitalized Geriatric Patients (Floriane Marseau, Joaquim Prud’Homm, Guillaume Bouzillé, Elisabeth Polard, Emmanuel Oger, Dominique Somme, M-N Osmont, L-M Scailteux</w:t>
            </w:r>
            <w:r>
              <w:rPr>
                <w:rFonts w:ascii="Garamond" w:hAnsi="Garamond"/>
                <w:lang w:val="en-AU"/>
              </w:rPr>
              <w:t>)</w:t>
            </w:r>
          </w:p>
          <w:p w14:paraId="1A9D317E" w14:textId="3E37A4C7"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Morbidity and Mortality Caused by </w:t>
            </w:r>
            <w:r w:rsidRPr="003C0588">
              <w:rPr>
                <w:rFonts w:ascii="Garamond" w:hAnsi="Garamond"/>
                <w:b/>
                <w:bCs/>
                <w:lang w:val="en-AU"/>
              </w:rPr>
              <w:t xml:space="preserve">Noncompliance </w:t>
            </w:r>
            <w:proofErr w:type="gramStart"/>
            <w:r w:rsidRPr="003C0588">
              <w:rPr>
                <w:rFonts w:ascii="Garamond" w:hAnsi="Garamond"/>
                <w:b/>
                <w:bCs/>
                <w:lang w:val="en-AU"/>
              </w:rPr>
              <w:t>With</w:t>
            </w:r>
            <w:proofErr w:type="gramEnd"/>
            <w:r w:rsidRPr="003C0588">
              <w:rPr>
                <w:rFonts w:ascii="Garamond" w:hAnsi="Garamond"/>
                <w:b/>
                <w:bCs/>
                <w:lang w:val="en-AU"/>
              </w:rPr>
              <w:t xml:space="preserve"> California Hospital Licensure</w:t>
            </w:r>
            <w:r w:rsidRPr="003C0588">
              <w:rPr>
                <w:rFonts w:ascii="Garamond" w:hAnsi="Garamond"/>
                <w:lang w:val="en-AU"/>
              </w:rPr>
              <w:t>: Immediate Jeopardies in California Hospitals, 2007–2017 (Micha Y Zheng, Hansen Lui, German Patino, Nnenaya Mmonu, Andrew J Cohen, Benjamin N Breyer</w:t>
            </w:r>
            <w:r>
              <w:rPr>
                <w:rFonts w:ascii="Garamond" w:hAnsi="Garamond"/>
                <w:lang w:val="en-AU"/>
              </w:rPr>
              <w:t>)</w:t>
            </w:r>
          </w:p>
          <w:p w14:paraId="27010607" w14:textId="397A24C4"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Engaging Patients in the </w:t>
            </w:r>
            <w:r w:rsidRPr="003C0588">
              <w:rPr>
                <w:rFonts w:ascii="Garamond" w:hAnsi="Garamond"/>
                <w:b/>
                <w:bCs/>
                <w:lang w:val="en-AU"/>
              </w:rPr>
              <w:t>Use of Real-Time Electronic Clinical Data</w:t>
            </w:r>
            <w:r w:rsidRPr="003C0588">
              <w:rPr>
                <w:rFonts w:ascii="Garamond" w:hAnsi="Garamond"/>
                <w:lang w:val="en-AU"/>
              </w:rPr>
              <w:t xml:space="preserve"> to Improve the Safety and Reliability of Their Own Care (Kumiko Schnock, Stephanie Roulier, Jorie Butler, Patricia Dykes, Julie Fiskio, Bryan Gibson, Stuart Lipsitz, Susanne Miller, Shimon Shaykevich, David Bates, D Classen</w:t>
            </w:r>
            <w:r>
              <w:rPr>
                <w:rFonts w:ascii="Garamond" w:hAnsi="Garamond"/>
                <w:lang w:val="en-AU"/>
              </w:rPr>
              <w:t>)</w:t>
            </w:r>
          </w:p>
          <w:p w14:paraId="5809A1FC" w14:textId="43A95A77" w:rsidR="003C0588" w:rsidRPr="003C0588" w:rsidRDefault="003C0588" w:rsidP="009547E2">
            <w:pPr>
              <w:pStyle w:val="ListParagraph"/>
              <w:numPr>
                <w:ilvl w:val="0"/>
                <w:numId w:val="42"/>
              </w:numPr>
              <w:rPr>
                <w:rFonts w:ascii="Garamond" w:hAnsi="Garamond"/>
                <w:lang w:val="en-AU"/>
              </w:rPr>
            </w:pPr>
            <w:r w:rsidRPr="003C0588">
              <w:rPr>
                <w:rFonts w:ascii="Garamond" w:hAnsi="Garamond"/>
                <w:b/>
                <w:bCs/>
                <w:lang w:val="en-AU"/>
              </w:rPr>
              <w:t>Primary Care Physicians’, Psychiatrists’, and Oncologists’ Coordination While Prescribing Medications</w:t>
            </w:r>
            <w:r w:rsidRPr="003C0588">
              <w:rPr>
                <w:rFonts w:ascii="Garamond" w:hAnsi="Garamond"/>
                <w:lang w:val="en-AU"/>
              </w:rPr>
              <w:t xml:space="preserve"> for Patients </w:t>
            </w:r>
            <w:proofErr w:type="gramStart"/>
            <w:r w:rsidRPr="003C0588">
              <w:rPr>
                <w:rFonts w:ascii="Garamond" w:hAnsi="Garamond"/>
                <w:lang w:val="en-AU"/>
              </w:rPr>
              <w:t>With</w:t>
            </w:r>
            <w:proofErr w:type="gramEnd"/>
            <w:r w:rsidRPr="003C0588">
              <w:rPr>
                <w:rFonts w:ascii="Garamond" w:hAnsi="Garamond"/>
                <w:lang w:val="en-AU"/>
              </w:rPr>
              <w:t xml:space="preserve"> Multiple Chronic Conditions (Cassidi C McDaniel, Chiahung Chou, Christina Camp, Natalie S Hohmann, Tessa J. Hastings, Matthew L Maciejewski, Joel F Farley, Marisa Elena Domino, Richard A Hansen</w:t>
            </w:r>
            <w:r>
              <w:rPr>
                <w:rFonts w:ascii="Garamond" w:hAnsi="Garamond"/>
                <w:lang w:val="en-AU"/>
              </w:rPr>
              <w:t>)</w:t>
            </w:r>
          </w:p>
          <w:p w14:paraId="5947A480" w14:textId="4F9A5456" w:rsidR="003C0588" w:rsidRPr="003C0588" w:rsidRDefault="003C0588" w:rsidP="009547E2">
            <w:pPr>
              <w:pStyle w:val="ListParagraph"/>
              <w:numPr>
                <w:ilvl w:val="0"/>
                <w:numId w:val="42"/>
              </w:numPr>
              <w:rPr>
                <w:rFonts w:ascii="Garamond" w:hAnsi="Garamond"/>
                <w:lang w:val="en-AU"/>
              </w:rPr>
            </w:pPr>
            <w:r w:rsidRPr="003C0588">
              <w:rPr>
                <w:rFonts w:ascii="Garamond" w:hAnsi="Garamond"/>
                <w:b/>
                <w:bCs/>
                <w:lang w:val="en-AU"/>
              </w:rPr>
              <w:t>Ambulatory Virtual Care During a Pandemic</w:t>
            </w:r>
            <w:r w:rsidRPr="003C0588">
              <w:rPr>
                <w:rFonts w:ascii="Garamond" w:hAnsi="Garamond"/>
                <w:lang w:val="en-AU"/>
              </w:rPr>
              <w:t>: Patient Safety Considerations (Jyotsna Mullur, Yih-C Chen, P Wickner, A Licurse, S Desai</w:t>
            </w:r>
            <w:r>
              <w:rPr>
                <w:rFonts w:ascii="Garamond" w:hAnsi="Garamond"/>
                <w:lang w:val="en-AU"/>
              </w:rPr>
              <w:t>)</w:t>
            </w:r>
          </w:p>
          <w:p w14:paraId="1051C681" w14:textId="167B1542"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An Analysis of Judicial Cases Concerning </w:t>
            </w:r>
            <w:r w:rsidRPr="003C0588">
              <w:rPr>
                <w:rFonts w:ascii="Garamond" w:hAnsi="Garamond"/>
                <w:b/>
                <w:bCs/>
                <w:lang w:val="en-AU"/>
              </w:rPr>
              <w:t xml:space="preserve">Analgesic-Related Medication Errors </w:t>
            </w:r>
            <w:r w:rsidRPr="003C0588">
              <w:rPr>
                <w:rFonts w:ascii="Garamond" w:hAnsi="Garamond"/>
                <w:lang w:val="en-AU"/>
              </w:rPr>
              <w:t>in the Republic of Korea (Susie Yoon, Soo Ick Cho, SuHwan Shin, Wonjong Lee, Youkang Ko, Jee Youn Moon, Ho-Jin Lee</w:t>
            </w:r>
            <w:r>
              <w:rPr>
                <w:rFonts w:ascii="Garamond" w:hAnsi="Garamond"/>
                <w:lang w:val="en-AU"/>
              </w:rPr>
              <w:t>)</w:t>
            </w:r>
          </w:p>
          <w:p w14:paraId="22492285" w14:textId="6DF701D6"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Current Situation of </w:t>
            </w:r>
            <w:r w:rsidRPr="003C0588">
              <w:rPr>
                <w:rFonts w:ascii="Garamond" w:hAnsi="Garamond"/>
                <w:b/>
                <w:bCs/>
                <w:lang w:val="en-AU"/>
              </w:rPr>
              <w:t>Medication Errors in Saudi Arabia</w:t>
            </w:r>
            <w:r w:rsidRPr="003C0588">
              <w:rPr>
                <w:rFonts w:ascii="Garamond" w:hAnsi="Garamond"/>
                <w:lang w:val="en-AU"/>
              </w:rPr>
              <w:t>: A Nationwide Observational Study (Thamir M Alshammari, Khalidah A Alenzi, Yasser Alatawi, Afnan S Almordi, Ali F Altebainawi</w:t>
            </w:r>
            <w:r>
              <w:rPr>
                <w:rFonts w:ascii="Garamond" w:hAnsi="Garamond"/>
                <w:lang w:val="en-AU"/>
              </w:rPr>
              <w:t>)</w:t>
            </w:r>
          </w:p>
          <w:p w14:paraId="15EA26FD" w14:textId="506633BC" w:rsidR="003C0588" w:rsidRPr="003C0588" w:rsidRDefault="003C0588" w:rsidP="009547E2">
            <w:pPr>
              <w:pStyle w:val="ListParagraph"/>
              <w:numPr>
                <w:ilvl w:val="0"/>
                <w:numId w:val="42"/>
              </w:numPr>
              <w:rPr>
                <w:rFonts w:ascii="Garamond" w:hAnsi="Garamond"/>
                <w:lang w:val="en-AU"/>
              </w:rPr>
            </w:pPr>
            <w:r w:rsidRPr="003C0588">
              <w:rPr>
                <w:rFonts w:ascii="Garamond" w:hAnsi="Garamond"/>
                <w:lang w:val="en-AU"/>
              </w:rPr>
              <w:t xml:space="preserve">Bedside Clinicians’ Perceptions on the Contributing Role of </w:t>
            </w:r>
            <w:r w:rsidRPr="003C0588">
              <w:rPr>
                <w:rFonts w:ascii="Garamond" w:hAnsi="Garamond"/>
                <w:b/>
                <w:bCs/>
                <w:lang w:val="en-AU"/>
              </w:rPr>
              <w:t>Diagnostic Errors in Acutely Ill Patient Presentation</w:t>
            </w:r>
            <w:r w:rsidRPr="003C0588">
              <w:rPr>
                <w:rFonts w:ascii="Garamond" w:hAnsi="Garamond"/>
                <w:lang w:val="en-AU"/>
              </w:rPr>
              <w:t>: A Survey of Academic and Community Practice (Chanyan Huang, Amelia Barwise, Jalal Soleimani, Yue Dong, Herasevich Svetlana, Syed Anjum Khan, Anne Gavin, Scott A Helgeson, Pablo Moreno-Franco, Yuliya Pinevich, Rahul Kashyap, Vitaly Herasevich, Ognjen Gajic, Brian W Pickering</w:t>
            </w:r>
            <w:r w:rsidR="00B83A77">
              <w:rPr>
                <w:rFonts w:ascii="Garamond" w:hAnsi="Garamond"/>
                <w:lang w:val="en-AU"/>
              </w:rPr>
              <w:t>)</w:t>
            </w:r>
          </w:p>
          <w:p w14:paraId="6F6FE714" w14:textId="12E8EF44"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Understanding the </w:t>
            </w:r>
            <w:r w:rsidRPr="00B83A77">
              <w:rPr>
                <w:rFonts w:ascii="Garamond" w:hAnsi="Garamond"/>
                <w:b/>
                <w:bCs/>
                <w:lang w:val="en-AU"/>
              </w:rPr>
              <w:t>Second Victim Experience</w:t>
            </w:r>
            <w:r w:rsidRPr="00B83A77">
              <w:rPr>
                <w:rFonts w:ascii="Garamond" w:hAnsi="Garamond"/>
                <w:lang w:val="en-AU"/>
              </w:rPr>
              <w:t xml:space="preserve"> Among Multidisciplinary Providers in Obstetrics and Gynecology</w:t>
            </w:r>
            <w:r w:rsidR="00B83A77" w:rsidRPr="00B83A77">
              <w:rPr>
                <w:rFonts w:ascii="Garamond" w:hAnsi="Garamond"/>
                <w:lang w:val="en-AU"/>
              </w:rPr>
              <w:t xml:space="preserve"> (</w:t>
            </w:r>
            <w:r w:rsidRPr="00B83A77">
              <w:rPr>
                <w:rFonts w:ascii="Garamond" w:hAnsi="Garamond"/>
                <w:lang w:val="en-AU"/>
              </w:rPr>
              <w:t>Enid Rivera-Chiauzzi, Robyn E Finney, K A. Riggan, A L Weaver, M E Long, V E Torbenson, M</w:t>
            </w:r>
            <w:r w:rsidR="00B83A77">
              <w:rPr>
                <w:rFonts w:ascii="Garamond" w:hAnsi="Garamond"/>
                <w:lang w:val="en-AU"/>
              </w:rPr>
              <w:t xml:space="preserve"> </w:t>
            </w:r>
            <w:r w:rsidRPr="00B83A77">
              <w:rPr>
                <w:rFonts w:ascii="Garamond" w:hAnsi="Garamond"/>
                <w:lang w:val="en-AU"/>
              </w:rPr>
              <w:t>A Allyse</w:t>
            </w:r>
            <w:r w:rsidR="00B83A77">
              <w:rPr>
                <w:rFonts w:ascii="Garamond" w:hAnsi="Garamond"/>
                <w:lang w:val="en-AU"/>
              </w:rPr>
              <w:t>)</w:t>
            </w:r>
          </w:p>
          <w:p w14:paraId="43E81E15" w14:textId="629F2F57"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Pediatric Trainee Perspectives on the Decision to </w:t>
            </w:r>
            <w:r w:rsidRPr="00B83A77">
              <w:rPr>
                <w:rFonts w:ascii="Garamond" w:hAnsi="Garamond"/>
                <w:b/>
                <w:bCs/>
                <w:lang w:val="en-AU"/>
              </w:rPr>
              <w:t>Disclose Medical Errors</w:t>
            </w:r>
            <w:r w:rsidR="00B83A77" w:rsidRPr="00B83A77">
              <w:rPr>
                <w:rFonts w:ascii="Garamond" w:hAnsi="Garamond"/>
                <w:lang w:val="en-AU"/>
              </w:rPr>
              <w:t xml:space="preserve"> (</w:t>
            </w:r>
            <w:r w:rsidRPr="00B83A77">
              <w:rPr>
                <w:rFonts w:ascii="Garamond" w:hAnsi="Garamond"/>
                <w:lang w:val="en-AU"/>
              </w:rPr>
              <w:t>Matthew Lin, Leora Horwitz, Rachel S Gross, Hannah Famiglietti, A Caplan</w:t>
            </w:r>
            <w:r w:rsidR="00B83A77">
              <w:rPr>
                <w:rFonts w:ascii="Garamond" w:hAnsi="Garamond"/>
                <w:lang w:val="en-AU"/>
              </w:rPr>
              <w:t>)</w:t>
            </w:r>
          </w:p>
          <w:p w14:paraId="639242B8" w14:textId="1EF6B9AC"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Cost of Health Care–Associated Infections</w:t>
            </w:r>
            <w:r w:rsidRPr="00B83A77">
              <w:rPr>
                <w:rFonts w:ascii="Garamond" w:hAnsi="Garamond"/>
                <w:lang w:val="en-AU"/>
              </w:rPr>
              <w:t xml:space="preserve"> in the United States</w:t>
            </w:r>
            <w:r w:rsidR="00B83A77" w:rsidRPr="00B83A77">
              <w:rPr>
                <w:rFonts w:ascii="Garamond" w:hAnsi="Garamond"/>
                <w:lang w:val="en-AU"/>
              </w:rPr>
              <w:t xml:space="preserve"> (</w:t>
            </w:r>
            <w:r w:rsidRPr="00B83A77">
              <w:rPr>
                <w:rFonts w:ascii="Garamond" w:hAnsi="Garamond"/>
                <w:lang w:val="en-AU"/>
              </w:rPr>
              <w:t>Joseph D Forrester, Paul M Maggio, Lakshika Tennakoon</w:t>
            </w:r>
            <w:r w:rsidR="00B83A77">
              <w:rPr>
                <w:rFonts w:ascii="Garamond" w:hAnsi="Garamond"/>
                <w:lang w:val="en-AU"/>
              </w:rPr>
              <w:t>)</w:t>
            </w:r>
          </w:p>
          <w:p w14:paraId="600C3222" w14:textId="211CD61B"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lastRenderedPageBreak/>
              <w:t>Patient Safety Monitoring in Acute Care</w:t>
            </w:r>
            <w:r w:rsidRPr="00B83A77">
              <w:rPr>
                <w:rFonts w:ascii="Garamond" w:hAnsi="Garamond"/>
                <w:lang w:val="en-AU"/>
              </w:rPr>
              <w:t xml:space="preserve"> in a Decentralized National Health Care System: Conceptual Framework and Initial Set of Actionable Indicators</w:t>
            </w:r>
            <w:r w:rsidR="00B83A77" w:rsidRPr="00B83A77">
              <w:rPr>
                <w:rFonts w:ascii="Garamond" w:hAnsi="Garamond"/>
                <w:lang w:val="en-AU"/>
              </w:rPr>
              <w:t xml:space="preserve"> (</w:t>
            </w:r>
            <w:r w:rsidRPr="00B83A77">
              <w:rPr>
                <w:rFonts w:ascii="Garamond" w:hAnsi="Garamond"/>
                <w:lang w:val="en-AU"/>
              </w:rPr>
              <w:t>Labella Barbara, De Blasi Roberta, Raho Vanda, Tozzi Quinto, Caracci Giovanni, Klazinga Niek Sieds, Carinci Fabrizio</w:t>
            </w:r>
            <w:r w:rsidR="00B83A77">
              <w:rPr>
                <w:rFonts w:ascii="Garamond" w:hAnsi="Garamond"/>
                <w:lang w:val="en-AU"/>
              </w:rPr>
              <w:t>)</w:t>
            </w:r>
          </w:p>
          <w:p w14:paraId="537B100A" w14:textId="05EE59B0"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Introduction of an </w:t>
            </w:r>
            <w:r w:rsidRPr="00B83A77">
              <w:rPr>
                <w:rFonts w:ascii="Garamond" w:hAnsi="Garamond"/>
                <w:b/>
                <w:bCs/>
                <w:lang w:val="en-AU"/>
              </w:rPr>
              <w:t>Ambulatory Care Medication Reconciliation Service in Dialysis Patients</w:t>
            </w:r>
            <w:r w:rsidRPr="00B83A77">
              <w:rPr>
                <w:rFonts w:ascii="Garamond" w:hAnsi="Garamond"/>
                <w:lang w:val="en-AU"/>
              </w:rPr>
              <w:t>: Positive Impact on Medication Prescribing and Economic Benefit</w:t>
            </w:r>
            <w:r w:rsidR="00B83A77" w:rsidRPr="00B83A77">
              <w:rPr>
                <w:rFonts w:ascii="Garamond" w:hAnsi="Garamond"/>
                <w:lang w:val="en-AU"/>
              </w:rPr>
              <w:t xml:space="preserve"> (</w:t>
            </w:r>
            <w:r w:rsidRPr="00B83A77">
              <w:rPr>
                <w:rFonts w:ascii="Garamond" w:hAnsi="Garamond"/>
                <w:lang w:val="en-AU"/>
              </w:rPr>
              <w:t>Sarah S Alghanem, Tania Bayoud, Sameer Taher, Mai Al-Hazami, Nasser Al-Kandari, Monther Al-Sharekh</w:t>
            </w:r>
            <w:r w:rsidR="00B83A77">
              <w:rPr>
                <w:rFonts w:ascii="Garamond" w:hAnsi="Garamond"/>
                <w:lang w:val="en-AU"/>
              </w:rPr>
              <w:t>)</w:t>
            </w:r>
          </w:p>
          <w:p w14:paraId="69B83912" w14:textId="6FA01DA9"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Medication Errors in the Operating Room</w:t>
            </w:r>
            <w:r w:rsidRPr="00B83A77">
              <w:rPr>
                <w:rFonts w:ascii="Garamond" w:hAnsi="Garamond"/>
                <w:lang w:val="en-AU"/>
              </w:rPr>
              <w:t>: An Analysis of Contributing Factors and Related Drugs in Case Reports from a Japanese Medication Error Database</w:t>
            </w:r>
            <w:r w:rsidR="00B83A77" w:rsidRPr="00B83A77">
              <w:rPr>
                <w:rFonts w:ascii="Garamond" w:hAnsi="Garamond"/>
                <w:lang w:val="en-AU"/>
              </w:rPr>
              <w:t xml:space="preserve"> (</w:t>
            </w:r>
            <w:r w:rsidRPr="00B83A77">
              <w:rPr>
                <w:rFonts w:ascii="Garamond" w:hAnsi="Garamond"/>
                <w:lang w:val="en-AU"/>
              </w:rPr>
              <w:t>Ryohei Suzuki, Tsuneo Imai, Takamasa Sakai, Kouichi Tanabe, Fumiko Ohtsu</w:t>
            </w:r>
            <w:r w:rsidR="00B83A77">
              <w:rPr>
                <w:rFonts w:ascii="Garamond" w:hAnsi="Garamond"/>
                <w:lang w:val="en-AU"/>
              </w:rPr>
              <w:t>)</w:t>
            </w:r>
          </w:p>
          <w:p w14:paraId="4DBB0470" w14:textId="5C9D7473"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 xml:space="preserve">Occupational Therapy Utilization in Veterans </w:t>
            </w:r>
            <w:proofErr w:type="gramStart"/>
            <w:r w:rsidRPr="00B83A77">
              <w:rPr>
                <w:rFonts w:ascii="Garamond" w:hAnsi="Garamond"/>
                <w:b/>
                <w:bCs/>
                <w:lang w:val="en-AU"/>
              </w:rPr>
              <w:t>With</w:t>
            </w:r>
            <w:proofErr w:type="gramEnd"/>
            <w:r w:rsidRPr="00B83A77">
              <w:rPr>
                <w:rFonts w:ascii="Garamond" w:hAnsi="Garamond"/>
                <w:b/>
                <w:bCs/>
                <w:lang w:val="en-AU"/>
              </w:rPr>
              <w:t xml:space="preserve"> Dementia</w:t>
            </w:r>
            <w:r w:rsidRPr="00B83A77">
              <w:rPr>
                <w:rFonts w:ascii="Garamond" w:hAnsi="Garamond"/>
                <w:lang w:val="en-AU"/>
              </w:rPr>
              <w:t>: A Retrospective Review of Root Cause Analyses of Falls Leading to Adverse Events</w:t>
            </w:r>
            <w:r w:rsidR="00B83A77" w:rsidRPr="00B83A77">
              <w:rPr>
                <w:rFonts w:ascii="Garamond" w:hAnsi="Garamond"/>
                <w:lang w:val="en-AU"/>
              </w:rPr>
              <w:t xml:space="preserve"> (</w:t>
            </w:r>
            <w:r w:rsidRPr="00B83A77">
              <w:rPr>
                <w:rFonts w:ascii="Garamond" w:hAnsi="Garamond"/>
                <w:lang w:val="en-AU"/>
              </w:rPr>
              <w:t>Elizabeth K Rhodus, Elizabeth A Lancaster, Elizabeth G Hunter, Tina Nudell, Casey Humphrey, Mary Duke, Andrew M Harris</w:t>
            </w:r>
            <w:r w:rsidR="00B83A77">
              <w:rPr>
                <w:rFonts w:ascii="Garamond" w:hAnsi="Garamond"/>
                <w:lang w:val="en-AU"/>
              </w:rPr>
              <w:t>)</w:t>
            </w:r>
          </w:p>
          <w:p w14:paraId="7213FB31" w14:textId="29525E57"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Can Emergency Department Wait Times Predict Rates of </w:t>
            </w:r>
            <w:r w:rsidRPr="00B83A77">
              <w:rPr>
                <w:rFonts w:ascii="Garamond" w:hAnsi="Garamond"/>
                <w:b/>
                <w:bCs/>
                <w:lang w:val="en-AU"/>
              </w:rPr>
              <w:t>Hospital-Acquired Clostridioides difficile Infection</w:t>
            </w:r>
            <w:r w:rsidRPr="00B83A77">
              <w:rPr>
                <w:rFonts w:ascii="Garamond" w:hAnsi="Garamond"/>
                <w:lang w:val="en-AU"/>
              </w:rPr>
              <w:t>? A Study of Acute Care Facilities in New York State</w:t>
            </w:r>
            <w:r w:rsidR="00B83A77" w:rsidRPr="00B83A77">
              <w:rPr>
                <w:rFonts w:ascii="Garamond" w:hAnsi="Garamond"/>
                <w:lang w:val="en-AU"/>
              </w:rPr>
              <w:t xml:space="preserve"> (</w:t>
            </w:r>
            <w:r w:rsidRPr="00B83A77">
              <w:rPr>
                <w:rFonts w:ascii="Garamond" w:hAnsi="Garamond"/>
                <w:lang w:val="en-AU"/>
              </w:rPr>
              <w:t>Danielle J Durant, Claudia Guerrazzi Young</w:t>
            </w:r>
            <w:r w:rsidR="00B83A77">
              <w:rPr>
                <w:rFonts w:ascii="Garamond" w:hAnsi="Garamond"/>
                <w:lang w:val="en-AU"/>
              </w:rPr>
              <w:t>)</w:t>
            </w:r>
          </w:p>
          <w:p w14:paraId="0E0FBCA6" w14:textId="694D942A"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Patterns of </w:t>
            </w:r>
            <w:r w:rsidRPr="00B83A77">
              <w:rPr>
                <w:rFonts w:ascii="Garamond" w:hAnsi="Garamond"/>
                <w:b/>
                <w:bCs/>
                <w:lang w:val="en-AU"/>
              </w:rPr>
              <w:t>Medication Errors Involving Older Adults</w:t>
            </w:r>
            <w:r w:rsidRPr="00B83A77">
              <w:rPr>
                <w:rFonts w:ascii="Garamond" w:hAnsi="Garamond"/>
                <w:lang w:val="en-AU"/>
              </w:rPr>
              <w:t xml:space="preserve"> Reported to the French Medication Error Guichet</w:t>
            </w:r>
            <w:r w:rsidR="00B83A77" w:rsidRPr="00B83A77">
              <w:rPr>
                <w:rFonts w:ascii="Garamond" w:hAnsi="Garamond"/>
                <w:lang w:val="en-AU"/>
              </w:rPr>
              <w:t xml:space="preserve"> (</w:t>
            </w:r>
            <w:r w:rsidRPr="00B83A77">
              <w:rPr>
                <w:rFonts w:ascii="Garamond" w:hAnsi="Garamond"/>
                <w:lang w:val="en-AU"/>
              </w:rPr>
              <w:t>Christine Azar, Laure Thomas, Valérie Gras-Champel, Marie-Laure Laroche, M Grau, D Allué, N Saleh, P</w:t>
            </w:r>
            <w:r w:rsidR="00B83A77">
              <w:rPr>
                <w:rFonts w:ascii="Garamond" w:hAnsi="Garamond"/>
                <w:lang w:val="en-AU"/>
              </w:rPr>
              <w:t xml:space="preserve"> </w:t>
            </w:r>
            <w:r w:rsidRPr="00B83A77">
              <w:rPr>
                <w:rFonts w:ascii="Garamond" w:hAnsi="Garamond"/>
                <w:lang w:val="en-AU"/>
              </w:rPr>
              <w:t>Maison</w:t>
            </w:r>
            <w:r w:rsidR="00B83A77">
              <w:rPr>
                <w:rFonts w:ascii="Garamond" w:hAnsi="Garamond"/>
                <w:lang w:val="en-AU"/>
              </w:rPr>
              <w:t>)</w:t>
            </w:r>
          </w:p>
          <w:p w14:paraId="76A1BAA5" w14:textId="00EA4556"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Collaborative Case Review</w:t>
            </w:r>
            <w:r w:rsidRPr="00B83A77">
              <w:rPr>
                <w:rFonts w:ascii="Garamond" w:hAnsi="Garamond"/>
                <w:lang w:val="en-AU"/>
              </w:rPr>
              <w:t xml:space="preserve">: A Systems-Based Approach to </w:t>
            </w:r>
            <w:r w:rsidRPr="00B83A77">
              <w:rPr>
                <w:rFonts w:ascii="Garamond" w:hAnsi="Garamond"/>
                <w:b/>
                <w:bCs/>
                <w:lang w:val="en-AU"/>
              </w:rPr>
              <w:t>Patient Safety Event Investigation and Analysis</w:t>
            </w:r>
            <w:r w:rsidR="00B83A77" w:rsidRPr="00B83A77">
              <w:rPr>
                <w:rFonts w:ascii="Garamond" w:hAnsi="Garamond"/>
                <w:lang w:val="en-AU"/>
              </w:rPr>
              <w:t xml:space="preserve"> (</w:t>
            </w:r>
            <w:r w:rsidRPr="00B83A77">
              <w:rPr>
                <w:rFonts w:ascii="Garamond" w:hAnsi="Garamond"/>
                <w:lang w:val="en-AU"/>
              </w:rPr>
              <w:t>Ronilda Lacson, Ramin Khorasani, Karen Fiumara, Neena Kapoor, Patrick Curley, Giles W Boland, S Eappen</w:t>
            </w:r>
            <w:r w:rsidR="00B83A77">
              <w:rPr>
                <w:rFonts w:ascii="Garamond" w:hAnsi="Garamond"/>
                <w:lang w:val="en-AU"/>
              </w:rPr>
              <w:t>)</w:t>
            </w:r>
          </w:p>
          <w:p w14:paraId="62FD95C5" w14:textId="700AE62F"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The Effects of </w:t>
            </w:r>
            <w:r w:rsidRPr="00B83A77">
              <w:rPr>
                <w:rFonts w:ascii="Garamond" w:hAnsi="Garamond"/>
                <w:b/>
                <w:bCs/>
                <w:lang w:val="en-AU"/>
              </w:rPr>
              <w:t>Safety Climate</w:t>
            </w:r>
            <w:r w:rsidRPr="00B83A77">
              <w:rPr>
                <w:rFonts w:ascii="Garamond" w:hAnsi="Garamond"/>
                <w:lang w:val="en-AU"/>
              </w:rPr>
              <w:t xml:space="preserve"> on Psychosocial Factors: An Empirical Study in Healthcare Workplaces</w:t>
            </w:r>
            <w:r w:rsidR="00B83A77" w:rsidRPr="00B83A77">
              <w:rPr>
                <w:rFonts w:ascii="Garamond" w:hAnsi="Garamond"/>
                <w:lang w:val="en-AU"/>
              </w:rPr>
              <w:t xml:space="preserve"> (</w:t>
            </w:r>
            <w:r w:rsidRPr="00B83A77">
              <w:rPr>
                <w:rFonts w:ascii="Garamond" w:hAnsi="Garamond"/>
                <w:lang w:val="en-AU"/>
              </w:rPr>
              <w:t>Jiana-Fu Wang, Chieh-Liang Wu, Yao-Te Tsai, Shao-Jen Weng, Ya-Chen Hsu</w:t>
            </w:r>
            <w:r w:rsidR="00B83A77">
              <w:rPr>
                <w:rFonts w:ascii="Garamond" w:hAnsi="Garamond"/>
                <w:lang w:val="en-AU"/>
              </w:rPr>
              <w:t>)</w:t>
            </w:r>
          </w:p>
          <w:p w14:paraId="614DE994" w14:textId="1534FC86"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Construction of a Scale Assessing Patients’ Perceptions Regarding </w:t>
            </w:r>
            <w:r w:rsidRPr="00B83A77">
              <w:rPr>
                <w:rFonts w:ascii="Garamond" w:hAnsi="Garamond"/>
                <w:b/>
                <w:bCs/>
                <w:lang w:val="en-AU"/>
              </w:rPr>
              <w:t>Sanitation and Hygiene in a Clinical Setting</w:t>
            </w:r>
            <w:r w:rsidR="00B83A77" w:rsidRPr="00B83A77">
              <w:rPr>
                <w:rFonts w:ascii="Garamond" w:hAnsi="Garamond"/>
                <w:lang w:val="en-AU"/>
              </w:rPr>
              <w:t xml:space="preserve"> (</w:t>
            </w:r>
            <w:r w:rsidRPr="00B83A77">
              <w:rPr>
                <w:rFonts w:ascii="Garamond" w:hAnsi="Garamond"/>
                <w:lang w:val="en-AU"/>
              </w:rPr>
              <w:t>Nestor Asiamah, Mavis Aggrey, Kwame Adu-Gyamfi, Frank Frimpong Opuni</w:t>
            </w:r>
            <w:r w:rsidR="00B83A77">
              <w:rPr>
                <w:rFonts w:ascii="Garamond" w:hAnsi="Garamond"/>
                <w:lang w:val="en-AU"/>
              </w:rPr>
              <w:t>)</w:t>
            </w:r>
          </w:p>
          <w:p w14:paraId="6D185C78" w14:textId="58669E46"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Implementation of an </w:t>
            </w:r>
            <w:r w:rsidRPr="00B83A77">
              <w:rPr>
                <w:rFonts w:ascii="Garamond" w:hAnsi="Garamond"/>
                <w:b/>
                <w:bCs/>
                <w:lang w:val="en-AU"/>
              </w:rPr>
              <w:t>Electronic Health Record–Based Messaging System in the Emergency Department</w:t>
            </w:r>
            <w:r w:rsidRPr="00B83A77">
              <w:rPr>
                <w:rFonts w:ascii="Garamond" w:hAnsi="Garamond"/>
                <w:lang w:val="en-AU"/>
              </w:rPr>
              <w:t>: Effects on Physician Workflow and Resident Burnout</w:t>
            </w:r>
            <w:r w:rsidR="00B83A77" w:rsidRPr="00B83A77">
              <w:rPr>
                <w:rFonts w:ascii="Garamond" w:hAnsi="Garamond"/>
                <w:lang w:val="en-AU"/>
              </w:rPr>
              <w:t xml:space="preserve"> (</w:t>
            </w:r>
            <w:r w:rsidRPr="00B83A77">
              <w:rPr>
                <w:rFonts w:ascii="Garamond" w:hAnsi="Garamond"/>
                <w:lang w:val="en-AU"/>
              </w:rPr>
              <w:t>Tiffany Luu, Lindsey Spiegelman, David Nykin, Kimberly Abido, Jennifer Roh, Scott Rudkin, Shannon Toohey</w:t>
            </w:r>
            <w:r w:rsidR="00B83A77">
              <w:rPr>
                <w:rFonts w:ascii="Garamond" w:hAnsi="Garamond"/>
                <w:lang w:val="en-AU"/>
              </w:rPr>
              <w:t>)</w:t>
            </w:r>
          </w:p>
          <w:p w14:paraId="537094D3" w14:textId="052D72D5"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Optimizing Hospital Electronic Prescribing Systems</w:t>
            </w:r>
            <w:r w:rsidRPr="00B83A77">
              <w:rPr>
                <w:rFonts w:ascii="Garamond" w:hAnsi="Garamond"/>
                <w:lang w:val="en-AU"/>
              </w:rPr>
              <w:t>: A Systematic Scoping Review</w:t>
            </w:r>
            <w:r w:rsidR="00B83A77" w:rsidRPr="00B83A77">
              <w:rPr>
                <w:rFonts w:ascii="Garamond" w:hAnsi="Garamond"/>
                <w:lang w:val="en-AU"/>
              </w:rPr>
              <w:t xml:space="preserve"> (</w:t>
            </w:r>
            <w:r w:rsidRPr="00B83A77">
              <w:rPr>
                <w:rFonts w:ascii="Garamond" w:hAnsi="Garamond"/>
                <w:lang w:val="en-AU"/>
              </w:rPr>
              <w:t>Jac Williams, Stephen Malden, Catherine Heeney, Matt Bouamrane, Mike Holder, Uditha Perera, David W. Bates, Aziz Sheikh</w:t>
            </w:r>
            <w:r w:rsidR="00B83A77">
              <w:rPr>
                <w:rFonts w:ascii="Garamond" w:hAnsi="Garamond"/>
                <w:lang w:val="en-AU"/>
              </w:rPr>
              <w:t>)</w:t>
            </w:r>
          </w:p>
          <w:p w14:paraId="1FBFAAF5" w14:textId="4989F5FF"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t>Patient Perceptions of Hospital Experiences</w:t>
            </w:r>
            <w:r w:rsidRPr="00B83A77">
              <w:rPr>
                <w:rFonts w:ascii="Garamond" w:hAnsi="Garamond"/>
                <w:lang w:val="en-AU"/>
              </w:rPr>
              <w:t>: Implications for Innovations in Patient Safety</w:t>
            </w:r>
            <w:r w:rsidR="00B83A77" w:rsidRPr="00B83A77">
              <w:rPr>
                <w:rFonts w:ascii="Garamond" w:hAnsi="Garamond"/>
                <w:lang w:val="en-AU"/>
              </w:rPr>
              <w:t xml:space="preserve"> (</w:t>
            </w:r>
            <w:r w:rsidRPr="00B83A77">
              <w:rPr>
                <w:rFonts w:ascii="Garamond" w:hAnsi="Garamond"/>
                <w:lang w:val="en-AU"/>
              </w:rPr>
              <w:t>Jorie M. Butler, Bryan Gibson, Kumiko Schnock, David Bates, David Classen</w:t>
            </w:r>
            <w:r w:rsidR="00B83A77">
              <w:rPr>
                <w:rFonts w:ascii="Garamond" w:hAnsi="Garamond"/>
                <w:lang w:val="en-AU"/>
              </w:rPr>
              <w:t>)</w:t>
            </w:r>
          </w:p>
          <w:p w14:paraId="18F4F804" w14:textId="687D1EDB"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Evaluation of the Efficiency and Safety of a </w:t>
            </w:r>
            <w:r w:rsidRPr="00B83A77">
              <w:rPr>
                <w:rFonts w:ascii="Garamond" w:hAnsi="Garamond"/>
                <w:b/>
                <w:bCs/>
                <w:lang w:val="en-AU"/>
              </w:rPr>
              <w:t>Safe Label System</w:t>
            </w:r>
            <w:r w:rsidRPr="00B83A77">
              <w:rPr>
                <w:rFonts w:ascii="Garamond" w:hAnsi="Garamond"/>
                <w:lang w:val="en-AU"/>
              </w:rPr>
              <w:t>: A Prospective Simulation Study</w:t>
            </w:r>
            <w:r w:rsidR="00B83A77" w:rsidRPr="00B83A77">
              <w:rPr>
                <w:rFonts w:ascii="Garamond" w:hAnsi="Garamond"/>
                <w:lang w:val="en-AU"/>
              </w:rPr>
              <w:t xml:space="preserve"> (</w:t>
            </w:r>
            <w:r w:rsidRPr="00B83A77">
              <w:rPr>
                <w:rFonts w:ascii="Garamond" w:hAnsi="Garamond"/>
                <w:lang w:val="en-AU"/>
              </w:rPr>
              <w:t>Hong Jye Neo, Ming Ann Sim, Lian Kah Ti, Sophia Bee Leng Ang</w:t>
            </w:r>
            <w:r w:rsidR="00B83A77">
              <w:rPr>
                <w:rFonts w:ascii="Garamond" w:hAnsi="Garamond"/>
                <w:lang w:val="en-AU"/>
              </w:rPr>
              <w:t>)</w:t>
            </w:r>
          </w:p>
          <w:p w14:paraId="68593AFA" w14:textId="2F3CBD67"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Communication Patterns During Routine Patient Care in a </w:t>
            </w:r>
            <w:r w:rsidRPr="00B83A77">
              <w:rPr>
                <w:rFonts w:ascii="Garamond" w:hAnsi="Garamond"/>
                <w:b/>
                <w:bCs/>
                <w:lang w:val="en-AU"/>
              </w:rPr>
              <w:t>Pediatric Intensive Care Unit</w:t>
            </w:r>
            <w:r w:rsidRPr="00B83A77">
              <w:rPr>
                <w:rFonts w:ascii="Garamond" w:hAnsi="Garamond"/>
                <w:lang w:val="en-AU"/>
              </w:rPr>
              <w:t>: The Behavioral Impact of In Situ Simulation</w:t>
            </w:r>
            <w:r w:rsidR="00B83A77" w:rsidRPr="00B83A77">
              <w:rPr>
                <w:rFonts w:ascii="Garamond" w:hAnsi="Garamond"/>
                <w:lang w:val="en-AU"/>
              </w:rPr>
              <w:t xml:space="preserve"> (</w:t>
            </w:r>
            <w:r w:rsidRPr="00B83A77">
              <w:rPr>
                <w:rFonts w:ascii="Garamond" w:hAnsi="Garamond"/>
                <w:lang w:val="en-AU"/>
              </w:rPr>
              <w:t>Francis F Ulmer, Andrea M Lutz, Fabienne Müller, Thomas Riva, L Bütikofer, R Greif</w:t>
            </w:r>
            <w:r w:rsidR="00B83A77">
              <w:rPr>
                <w:rFonts w:ascii="Garamond" w:hAnsi="Garamond"/>
                <w:lang w:val="en-AU"/>
              </w:rPr>
              <w:t>)</w:t>
            </w:r>
          </w:p>
          <w:p w14:paraId="0CFEE797" w14:textId="03CC71DB"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The Perceived Knowledge of </w:t>
            </w:r>
            <w:r w:rsidRPr="00B83A77">
              <w:rPr>
                <w:rFonts w:ascii="Garamond" w:hAnsi="Garamond"/>
                <w:b/>
                <w:bCs/>
                <w:lang w:val="en-AU"/>
              </w:rPr>
              <w:t>Fall Prevention</w:t>
            </w:r>
            <w:r w:rsidRPr="00B83A77">
              <w:rPr>
                <w:rFonts w:ascii="Garamond" w:hAnsi="Garamond"/>
                <w:lang w:val="en-AU"/>
              </w:rPr>
              <w:t xml:space="preserve"> in Nurses Working in Acute Care Hospitals in China and the United States</w:t>
            </w:r>
            <w:r w:rsidR="00B83A77" w:rsidRPr="00B83A77">
              <w:rPr>
                <w:rFonts w:ascii="Garamond" w:hAnsi="Garamond"/>
                <w:lang w:val="en-AU"/>
              </w:rPr>
              <w:t xml:space="preserve"> (</w:t>
            </w:r>
            <w:r w:rsidRPr="00B83A77">
              <w:rPr>
                <w:rFonts w:ascii="Garamond" w:hAnsi="Garamond"/>
                <w:lang w:val="en-AU"/>
              </w:rPr>
              <w:t>Lin Wang, Li Zhang, Elizabeth Roe, Sally Decker, Gwen Howard, Angela Luth, Kristine Marks, B Whitman</w:t>
            </w:r>
            <w:r w:rsidR="00B83A77">
              <w:rPr>
                <w:rFonts w:ascii="Garamond" w:hAnsi="Garamond"/>
                <w:lang w:val="en-AU"/>
              </w:rPr>
              <w:t>)</w:t>
            </w:r>
          </w:p>
          <w:p w14:paraId="728897E3" w14:textId="766D0BE1" w:rsidR="003C0588" w:rsidRPr="00B83A77" w:rsidRDefault="003C0588" w:rsidP="009547E2">
            <w:pPr>
              <w:pStyle w:val="ListParagraph"/>
              <w:numPr>
                <w:ilvl w:val="0"/>
                <w:numId w:val="42"/>
              </w:numPr>
              <w:rPr>
                <w:rFonts w:ascii="Garamond" w:hAnsi="Garamond"/>
                <w:lang w:val="en-AU"/>
              </w:rPr>
            </w:pPr>
            <w:r w:rsidRPr="00B83A77">
              <w:rPr>
                <w:rFonts w:ascii="Garamond" w:hAnsi="Garamond"/>
                <w:b/>
                <w:bCs/>
                <w:lang w:val="en-AU"/>
              </w:rPr>
              <w:lastRenderedPageBreak/>
              <w:t>Neonatal Adverse Events’ Trigger Tool</w:t>
            </w:r>
            <w:r w:rsidRPr="00B83A77">
              <w:rPr>
                <w:rFonts w:ascii="Garamond" w:hAnsi="Garamond"/>
                <w:lang w:val="en-AU"/>
              </w:rPr>
              <w:t xml:space="preserve"> Setup </w:t>
            </w:r>
            <w:proofErr w:type="gramStart"/>
            <w:r w:rsidRPr="00B83A77">
              <w:rPr>
                <w:rFonts w:ascii="Garamond" w:hAnsi="Garamond"/>
                <w:lang w:val="en-AU"/>
              </w:rPr>
              <w:t>With</w:t>
            </w:r>
            <w:proofErr w:type="gramEnd"/>
            <w:r w:rsidRPr="00B83A77">
              <w:rPr>
                <w:rFonts w:ascii="Garamond" w:hAnsi="Garamond"/>
                <w:lang w:val="en-AU"/>
              </w:rPr>
              <w:t xml:space="preserve"> Random Forest</w:t>
            </w:r>
            <w:r w:rsidR="00B83A77" w:rsidRPr="00B83A77">
              <w:rPr>
                <w:rFonts w:ascii="Garamond" w:hAnsi="Garamond"/>
                <w:lang w:val="en-AU"/>
              </w:rPr>
              <w:t xml:space="preserve"> (</w:t>
            </w:r>
            <w:r w:rsidRPr="00B83A77">
              <w:rPr>
                <w:rFonts w:ascii="Garamond" w:hAnsi="Garamond"/>
                <w:lang w:val="en-AU"/>
              </w:rPr>
              <w:t>Kun Feng, Li Zhang, Huayun He, Xueqin You, Qiannan Zhang, Hong Wei, Z Hua</w:t>
            </w:r>
            <w:r w:rsidR="00B83A77">
              <w:rPr>
                <w:rFonts w:ascii="Garamond" w:hAnsi="Garamond"/>
                <w:lang w:val="en-AU"/>
              </w:rPr>
              <w:t>)</w:t>
            </w:r>
          </w:p>
          <w:p w14:paraId="5F3F8653" w14:textId="1296EFC4"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 xml:space="preserve">Which Health Impacts of </w:t>
            </w:r>
            <w:r w:rsidRPr="00B83A77">
              <w:rPr>
                <w:rFonts w:ascii="Garamond" w:hAnsi="Garamond"/>
                <w:b/>
                <w:bCs/>
                <w:lang w:val="en-AU"/>
              </w:rPr>
              <w:t>Medical Device Adverse Event</w:t>
            </w:r>
            <w:r w:rsidRPr="00B83A77">
              <w:rPr>
                <w:rFonts w:ascii="Garamond" w:hAnsi="Garamond"/>
                <w:lang w:val="en-AU"/>
              </w:rPr>
              <w:t xml:space="preserve"> Should Be Reported Immediately in Korea?</w:t>
            </w:r>
            <w:r w:rsidR="00B83A77" w:rsidRPr="00B83A77">
              <w:rPr>
                <w:rFonts w:ascii="Garamond" w:hAnsi="Garamond"/>
                <w:lang w:val="en-AU"/>
              </w:rPr>
              <w:t xml:space="preserve"> (</w:t>
            </w:r>
            <w:r w:rsidRPr="00B83A77">
              <w:rPr>
                <w:rFonts w:ascii="Garamond" w:hAnsi="Garamond"/>
                <w:lang w:val="en-AU"/>
              </w:rPr>
              <w:t>Sooin Choi, Soo Jeong Choi, Jin Kuk Kim, Chiho Yoon, Ki Chang Nam, Bum Sun Kwon, You Kyoung Lee</w:t>
            </w:r>
            <w:r w:rsidR="00B83A77">
              <w:rPr>
                <w:rFonts w:ascii="Garamond" w:hAnsi="Garamond"/>
                <w:lang w:val="en-AU"/>
              </w:rPr>
              <w:t>)</w:t>
            </w:r>
          </w:p>
          <w:p w14:paraId="5DCA1426" w14:textId="64EF62DF" w:rsidR="003C0588" w:rsidRPr="00B83A77" w:rsidRDefault="003C0588" w:rsidP="009547E2">
            <w:pPr>
              <w:pStyle w:val="ListParagraph"/>
              <w:numPr>
                <w:ilvl w:val="0"/>
                <w:numId w:val="42"/>
              </w:numPr>
              <w:rPr>
                <w:rFonts w:ascii="Garamond" w:hAnsi="Garamond"/>
                <w:lang w:val="en-AU"/>
              </w:rPr>
            </w:pPr>
            <w:r w:rsidRPr="00B83A77">
              <w:rPr>
                <w:rFonts w:ascii="Garamond" w:hAnsi="Garamond"/>
                <w:lang w:val="en-AU"/>
              </w:rPr>
              <w:t>Linking Technology to Address the</w:t>
            </w:r>
            <w:r w:rsidRPr="00B83A77">
              <w:rPr>
                <w:rFonts w:ascii="Garamond" w:hAnsi="Garamond"/>
                <w:b/>
                <w:bCs/>
                <w:lang w:val="en-AU"/>
              </w:rPr>
              <w:t xml:space="preserve"> Social and Medical Determinants of Health for Safe Medicines Use</w:t>
            </w:r>
            <w:r w:rsidR="00B83A77" w:rsidRPr="00B83A77">
              <w:rPr>
                <w:rFonts w:ascii="Garamond" w:hAnsi="Garamond"/>
                <w:lang w:val="en-AU"/>
              </w:rPr>
              <w:t xml:space="preserve"> (</w:t>
            </w:r>
            <w:r w:rsidRPr="00B83A77">
              <w:rPr>
                <w:rFonts w:ascii="Garamond" w:hAnsi="Garamond"/>
                <w:lang w:val="en-AU"/>
              </w:rPr>
              <w:t>Raymond L. Woosley, June Simmons, Ester M. Sefilyan, Sandy Atkins, Kristin Black, William A Read</w:t>
            </w:r>
            <w:r w:rsidR="00B83A77">
              <w:rPr>
                <w:rFonts w:ascii="Garamond" w:hAnsi="Garamond"/>
                <w:lang w:val="en-AU"/>
              </w:rPr>
              <w:t>)</w:t>
            </w:r>
          </w:p>
          <w:p w14:paraId="5104FD16" w14:textId="1954EA96" w:rsidR="00D57CA8" w:rsidRPr="00D57CA8" w:rsidRDefault="003C0588" w:rsidP="00B83A77">
            <w:pPr>
              <w:pStyle w:val="ListParagraph"/>
              <w:numPr>
                <w:ilvl w:val="0"/>
                <w:numId w:val="42"/>
              </w:numPr>
              <w:rPr>
                <w:rFonts w:ascii="Garamond" w:hAnsi="Garamond"/>
                <w:lang w:val="en-AU"/>
              </w:rPr>
            </w:pPr>
            <w:r w:rsidRPr="00B83A77">
              <w:rPr>
                <w:rFonts w:ascii="Garamond" w:hAnsi="Garamond"/>
                <w:lang w:val="en-AU"/>
              </w:rPr>
              <w:t xml:space="preserve">A Novel Color-Coding Method to Prevent </w:t>
            </w:r>
            <w:r w:rsidRPr="00B83A77">
              <w:rPr>
                <w:rFonts w:ascii="Garamond" w:hAnsi="Garamond"/>
                <w:b/>
                <w:bCs/>
                <w:lang w:val="en-AU"/>
              </w:rPr>
              <w:t>Wrong-Site Surgery in Ophthalmology</w:t>
            </w:r>
            <w:r w:rsidR="00B83A77" w:rsidRPr="00B83A77">
              <w:rPr>
                <w:rFonts w:ascii="Garamond" w:hAnsi="Garamond"/>
                <w:lang w:val="en-AU"/>
              </w:rPr>
              <w:t xml:space="preserve"> (</w:t>
            </w:r>
            <w:r w:rsidRPr="00B83A77">
              <w:rPr>
                <w:rFonts w:ascii="Garamond" w:hAnsi="Garamond"/>
                <w:lang w:val="en-AU"/>
              </w:rPr>
              <w:t>Bruttendu Moharana, Ashok Gupta, Reeti Saini, Nishtha Singh, Easha Ramawat</w:t>
            </w:r>
            <w:r w:rsidR="00B83A77" w:rsidRPr="00B83A77">
              <w:rPr>
                <w:rFonts w:ascii="Garamond" w:hAnsi="Garamond"/>
                <w:lang w:val="en-AU"/>
              </w:rPr>
              <w:t>)</w:t>
            </w:r>
          </w:p>
        </w:tc>
      </w:tr>
    </w:tbl>
    <w:p w14:paraId="6524A893" w14:textId="77777777" w:rsidR="00D57CA8" w:rsidRDefault="00D57CA8" w:rsidP="00D57CA8">
      <w:pPr>
        <w:keepLines/>
        <w:autoSpaceDE w:val="0"/>
        <w:autoSpaceDN w:val="0"/>
        <w:adjustRightInd w:val="0"/>
        <w:rPr>
          <w:rFonts w:ascii="Garamond" w:hAnsi="Garamond"/>
          <w:lang w:val="en-AU"/>
        </w:rPr>
      </w:pPr>
    </w:p>
    <w:p w14:paraId="5B980E9D" w14:textId="33DE67A3" w:rsidR="000B5EA6" w:rsidRDefault="003A1B1F" w:rsidP="000B5EA6">
      <w:pPr>
        <w:keepNext/>
        <w:rPr>
          <w:rFonts w:ascii="Garamond" w:hAnsi="Garamond"/>
          <w:i/>
          <w:lang w:val="en-AU"/>
        </w:rPr>
      </w:pPr>
      <w:r>
        <w:rPr>
          <w:rFonts w:ascii="Garamond" w:hAnsi="Garamond"/>
          <w:i/>
          <w:lang w:val="en-AU"/>
        </w:rPr>
        <w:t>health Expectations</w:t>
      </w:r>
    </w:p>
    <w:p w14:paraId="2D7C9751" w14:textId="061E7A12" w:rsidR="00C4686A" w:rsidRPr="00D57CA8" w:rsidRDefault="000B5EA6" w:rsidP="00C4686A">
      <w:pPr>
        <w:keepNext/>
        <w:rPr>
          <w:rFonts w:ascii="Garamond" w:hAnsi="Garamond"/>
          <w:iCs/>
          <w:lang w:val="en-AU"/>
        </w:rPr>
      </w:pPr>
      <w:r>
        <w:rPr>
          <w:rFonts w:ascii="Garamond" w:hAnsi="Garamond"/>
          <w:iCs/>
          <w:lang w:val="en-AU"/>
        </w:rPr>
        <w:t>Volume 2</w:t>
      </w:r>
      <w:r w:rsidR="00C4686A">
        <w:rPr>
          <w:rFonts w:ascii="Garamond" w:hAnsi="Garamond"/>
          <w:iCs/>
          <w:lang w:val="en-AU"/>
        </w:rPr>
        <w:t>5</w:t>
      </w:r>
      <w:r>
        <w:rPr>
          <w:rFonts w:ascii="Garamond" w:hAnsi="Garamond"/>
          <w:iCs/>
          <w:lang w:val="en-AU"/>
        </w:rPr>
        <w:t xml:space="preserve"> Number 1, February 2022</w:t>
      </w:r>
    </w:p>
    <w:tbl>
      <w:tblPr>
        <w:tblStyle w:val="TableGrid"/>
        <w:tblW w:w="9360" w:type="dxa"/>
        <w:tblInd w:w="288" w:type="dxa"/>
        <w:tblLayout w:type="fixed"/>
        <w:tblLook w:val="01E0" w:firstRow="1" w:lastRow="1" w:firstColumn="1" w:lastColumn="1" w:noHBand="0" w:noVBand="0"/>
      </w:tblPr>
      <w:tblGrid>
        <w:gridCol w:w="1080"/>
        <w:gridCol w:w="8280"/>
      </w:tblGrid>
      <w:tr w:rsidR="000B5EA6" w:rsidRPr="000170DA" w14:paraId="0111EFDC"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7E412B51" w14:textId="77777777" w:rsidR="000B5EA6" w:rsidRPr="000170DA" w:rsidRDefault="000B5EA6" w:rsidP="009547E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527C088" w14:textId="36E6EBF2" w:rsidR="000B5EA6" w:rsidRPr="000170DA" w:rsidRDefault="00941FFA" w:rsidP="009547E2">
            <w:pPr>
              <w:rPr>
                <w:rStyle w:val="Hyperlink"/>
                <w:rFonts w:ascii="Garamond" w:hAnsi="Garamond"/>
                <w:color w:val="auto"/>
                <w:u w:val="none"/>
                <w:lang w:val="en-AU"/>
              </w:rPr>
            </w:pPr>
            <w:hyperlink r:id="rId41" w:history="1">
              <w:r w:rsidR="00C4686A" w:rsidRPr="008214B9">
                <w:rPr>
                  <w:rStyle w:val="Hyperlink"/>
                  <w:rFonts w:ascii="Garamond" w:hAnsi="Garamond"/>
                  <w:lang w:val="en-AU"/>
                </w:rPr>
                <w:t>https://onlinelibrary.wiley.com/toc/13697625/2022/25/1</w:t>
              </w:r>
            </w:hyperlink>
          </w:p>
        </w:tc>
      </w:tr>
      <w:tr w:rsidR="000B5EA6" w:rsidRPr="000170DA" w14:paraId="3DB22231"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282B8538" w14:textId="77777777" w:rsidR="000B5EA6" w:rsidRPr="000170DA" w:rsidRDefault="000B5EA6" w:rsidP="009547E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8A274F6" w14:textId="2538F343" w:rsidR="000B5EA6" w:rsidRPr="007C3778" w:rsidRDefault="000B5EA6" w:rsidP="009547E2">
            <w:pPr>
              <w:rPr>
                <w:rFonts w:ascii="Garamond" w:hAnsi="Garamond"/>
                <w:lang w:val="en-AU"/>
              </w:rPr>
            </w:pPr>
            <w:r w:rsidRPr="00B440ED">
              <w:rPr>
                <w:rFonts w:ascii="Garamond" w:hAnsi="Garamond"/>
                <w:lang w:val="en-AU"/>
              </w:rPr>
              <w:t xml:space="preserve">A new issue of </w:t>
            </w:r>
            <w:r w:rsidR="00C4686A">
              <w:rPr>
                <w:rFonts w:ascii="Garamond" w:hAnsi="Garamond"/>
                <w:i/>
                <w:lang w:val="en-AU"/>
              </w:rPr>
              <w:t>health Expectations</w:t>
            </w:r>
            <w:r w:rsidR="00C4686A" w:rsidRPr="00B440ED">
              <w:rPr>
                <w:rFonts w:ascii="Garamond" w:hAnsi="Garamond"/>
                <w:lang w:val="en-AU"/>
              </w:rPr>
              <w:t xml:space="preserve"> </w:t>
            </w:r>
            <w:r w:rsidRPr="00B440ED">
              <w:rPr>
                <w:rFonts w:ascii="Garamond" w:hAnsi="Garamond"/>
                <w:lang w:val="en-AU"/>
              </w:rPr>
              <w:t xml:space="preserve">has been published. Articles in this issue of </w:t>
            </w:r>
            <w:r w:rsidR="00C4686A">
              <w:rPr>
                <w:rFonts w:ascii="Garamond" w:hAnsi="Garamond"/>
                <w:i/>
                <w:lang w:val="en-AU"/>
              </w:rPr>
              <w:t>health Expectations</w:t>
            </w:r>
            <w:r w:rsidR="00C4686A" w:rsidRPr="00B440ED">
              <w:rPr>
                <w:rFonts w:ascii="Garamond" w:hAnsi="Garamond"/>
                <w:lang w:val="en-AU"/>
              </w:rPr>
              <w:t xml:space="preserve"> </w:t>
            </w:r>
            <w:r w:rsidRPr="00B440ED">
              <w:rPr>
                <w:rFonts w:ascii="Garamond" w:hAnsi="Garamond"/>
                <w:lang w:val="en-AU"/>
              </w:rPr>
              <w:t>include:</w:t>
            </w:r>
          </w:p>
          <w:p w14:paraId="424200FB" w14:textId="77777777" w:rsidR="00C4686A" w:rsidRDefault="00C4686A" w:rsidP="00804FD3">
            <w:pPr>
              <w:pStyle w:val="ListParagraph"/>
              <w:numPr>
                <w:ilvl w:val="0"/>
                <w:numId w:val="42"/>
              </w:numPr>
              <w:rPr>
                <w:rFonts w:ascii="Garamond" w:hAnsi="Garamond"/>
                <w:lang w:val="en-AU"/>
              </w:rPr>
            </w:pPr>
            <w:r w:rsidRPr="00C4686A">
              <w:rPr>
                <w:rFonts w:ascii="Garamond" w:hAnsi="Garamond"/>
                <w:lang w:val="en-AU"/>
              </w:rPr>
              <w:t xml:space="preserve">Editorial: How can we achieve </w:t>
            </w:r>
            <w:r w:rsidRPr="00C4686A">
              <w:rPr>
                <w:rFonts w:ascii="Garamond" w:hAnsi="Garamond"/>
                <w:b/>
                <w:bCs/>
                <w:lang w:val="en-AU"/>
              </w:rPr>
              <w:t>health equity</w:t>
            </w:r>
            <w:r w:rsidRPr="00C4686A">
              <w:rPr>
                <w:rFonts w:ascii="Garamond" w:hAnsi="Garamond"/>
                <w:lang w:val="en-AU"/>
              </w:rPr>
              <w:t>? Revisit the premise informing the scientific method (Karen L Fortuna, Matthew F</w:t>
            </w:r>
            <w:r>
              <w:rPr>
                <w:rFonts w:ascii="Garamond" w:hAnsi="Garamond"/>
                <w:lang w:val="en-AU"/>
              </w:rPr>
              <w:t xml:space="preserve"> </w:t>
            </w:r>
            <w:r w:rsidRPr="00C4686A">
              <w:rPr>
                <w:rFonts w:ascii="Garamond" w:hAnsi="Garamond"/>
                <w:lang w:val="en-AU"/>
              </w:rPr>
              <w:t>Hudson, Amanda Myers, Arya Kadakia, Jennifer Rivera, Tony Nutz</w:t>
            </w:r>
            <w:r>
              <w:rPr>
                <w:rFonts w:ascii="Garamond" w:hAnsi="Garamond"/>
                <w:lang w:val="en-AU"/>
              </w:rPr>
              <w:t>)</w:t>
            </w:r>
          </w:p>
          <w:p w14:paraId="2842BE04" w14:textId="1BC9E5F9" w:rsidR="00C4686A" w:rsidRDefault="00C4686A" w:rsidP="00D01986">
            <w:pPr>
              <w:pStyle w:val="ListParagraph"/>
              <w:numPr>
                <w:ilvl w:val="0"/>
                <w:numId w:val="42"/>
              </w:numPr>
              <w:rPr>
                <w:rFonts w:ascii="Garamond" w:hAnsi="Garamond"/>
                <w:lang w:val="en-AU"/>
              </w:rPr>
            </w:pPr>
            <w:r w:rsidRPr="00C4686A">
              <w:rPr>
                <w:rFonts w:ascii="Garamond" w:hAnsi="Garamond"/>
                <w:lang w:val="en-AU"/>
              </w:rPr>
              <w:t xml:space="preserve">Participatory codesign of </w:t>
            </w:r>
            <w:r w:rsidRPr="00C4686A">
              <w:rPr>
                <w:rFonts w:ascii="Garamond" w:hAnsi="Garamond"/>
                <w:b/>
                <w:bCs/>
                <w:lang w:val="en-AU"/>
              </w:rPr>
              <w:t>patient involvement in a Learning Health System</w:t>
            </w:r>
            <w:r w:rsidRPr="00C4686A">
              <w:rPr>
                <w:rFonts w:ascii="Garamond" w:hAnsi="Garamond"/>
                <w:lang w:val="en-AU"/>
              </w:rPr>
              <w:t>: How can data-driven care be patient-driven care? (Sarah E Knowles, Dawn Allen, Ailsa Donnelly, Jackie Flynn, Kay Gallacher, Annmarie Lewis, Grace McCorkle, Manoj Mistry, Pat Walkington, Lisa Brunton</w:t>
            </w:r>
            <w:r>
              <w:rPr>
                <w:rFonts w:ascii="Garamond" w:hAnsi="Garamond"/>
                <w:lang w:val="en-AU"/>
              </w:rPr>
              <w:t>)</w:t>
            </w:r>
          </w:p>
          <w:p w14:paraId="5FDC8504" w14:textId="77777777" w:rsidR="00C4686A" w:rsidRDefault="00C4686A" w:rsidP="005D466F">
            <w:pPr>
              <w:pStyle w:val="ListParagraph"/>
              <w:numPr>
                <w:ilvl w:val="0"/>
                <w:numId w:val="42"/>
              </w:numPr>
              <w:rPr>
                <w:rFonts w:ascii="Garamond" w:hAnsi="Garamond"/>
                <w:lang w:val="en-AU"/>
              </w:rPr>
            </w:pPr>
            <w:r w:rsidRPr="00C4686A">
              <w:rPr>
                <w:rFonts w:ascii="Garamond" w:hAnsi="Garamond"/>
                <w:b/>
                <w:bCs/>
                <w:lang w:val="en-AU"/>
              </w:rPr>
              <w:t>Patients as team members</w:t>
            </w:r>
            <w:r w:rsidRPr="00C4686A">
              <w:rPr>
                <w:rFonts w:ascii="Garamond" w:hAnsi="Garamond"/>
                <w:lang w:val="en-AU"/>
              </w:rPr>
              <w:t>: Factors affecting involvement in treatment decisions from the perspective of patients with a chronic condition (Martina Buljac-Samardzic, Mark A Clark, N Job A van Exel, Jeroen D H.van Wijngaarden</w:t>
            </w:r>
            <w:r>
              <w:rPr>
                <w:rFonts w:ascii="Garamond" w:hAnsi="Garamond"/>
                <w:lang w:val="en-AU"/>
              </w:rPr>
              <w:t>)</w:t>
            </w:r>
          </w:p>
          <w:p w14:paraId="117B6024" w14:textId="77777777" w:rsidR="00C4686A" w:rsidRDefault="00C4686A" w:rsidP="00610B18">
            <w:pPr>
              <w:pStyle w:val="ListParagraph"/>
              <w:numPr>
                <w:ilvl w:val="0"/>
                <w:numId w:val="42"/>
              </w:numPr>
              <w:rPr>
                <w:rFonts w:ascii="Garamond" w:hAnsi="Garamond"/>
                <w:lang w:val="en-AU"/>
              </w:rPr>
            </w:pPr>
            <w:r w:rsidRPr="00C4686A">
              <w:rPr>
                <w:rFonts w:ascii="Garamond" w:hAnsi="Garamond"/>
                <w:lang w:val="en-AU"/>
              </w:rPr>
              <w:t xml:space="preserve">Healthcare needs, </w:t>
            </w:r>
            <w:proofErr w:type="gramStart"/>
            <w:r w:rsidRPr="00C4686A">
              <w:rPr>
                <w:rFonts w:ascii="Garamond" w:hAnsi="Garamond"/>
                <w:lang w:val="en-AU"/>
              </w:rPr>
              <w:t>experiences</w:t>
            </w:r>
            <w:proofErr w:type="gramEnd"/>
            <w:r w:rsidRPr="00C4686A">
              <w:rPr>
                <w:rFonts w:ascii="Garamond" w:hAnsi="Garamond"/>
                <w:lang w:val="en-AU"/>
              </w:rPr>
              <w:t xml:space="preserve"> and treatment burden in primary care patients with multimorbidity: An evaluation of </w:t>
            </w:r>
            <w:r w:rsidRPr="00C4686A">
              <w:rPr>
                <w:rFonts w:ascii="Garamond" w:hAnsi="Garamond"/>
                <w:b/>
                <w:bCs/>
                <w:lang w:val="en-AU"/>
              </w:rPr>
              <w:t>process of care from patients' perspectives</w:t>
            </w:r>
            <w:r w:rsidRPr="00C4686A">
              <w:rPr>
                <w:rFonts w:ascii="Garamond" w:hAnsi="Garamond"/>
                <w:lang w:val="en-AU"/>
              </w:rPr>
              <w:t xml:space="preserve"> (Xiu-Jing Hu, Harry H X Wang, Yu-Ting Li, Xiao-Ya Wu, Yi Wang, Jia-Heng Chen, Jia-Ji Wang, Samuel Y S Wong, Stewart W Mercer</w:t>
            </w:r>
            <w:r>
              <w:rPr>
                <w:rFonts w:ascii="Garamond" w:hAnsi="Garamond"/>
                <w:lang w:val="en-AU"/>
              </w:rPr>
              <w:t>)</w:t>
            </w:r>
          </w:p>
          <w:p w14:paraId="60EF4B97" w14:textId="77777777" w:rsidR="00C4686A" w:rsidRDefault="00C4686A" w:rsidP="007A7E62">
            <w:pPr>
              <w:pStyle w:val="ListParagraph"/>
              <w:numPr>
                <w:ilvl w:val="0"/>
                <w:numId w:val="42"/>
              </w:numPr>
              <w:rPr>
                <w:rFonts w:ascii="Garamond" w:hAnsi="Garamond"/>
                <w:lang w:val="en-AU"/>
              </w:rPr>
            </w:pPr>
            <w:r w:rsidRPr="00C4686A">
              <w:rPr>
                <w:rFonts w:ascii="Garamond" w:hAnsi="Garamond"/>
                <w:b/>
                <w:bCs/>
                <w:lang w:val="en-AU"/>
              </w:rPr>
              <w:t>Young adults' healthcare utilisation and healthcare needs</w:t>
            </w:r>
            <w:r w:rsidRPr="00C4686A">
              <w:rPr>
                <w:rFonts w:ascii="Garamond" w:hAnsi="Garamond"/>
                <w:lang w:val="en-AU"/>
              </w:rPr>
              <w:t>: Perceptions and experiences of healthcare providers (Lisa Viktorsson</w:t>
            </w:r>
            <w:proofErr w:type="gramStart"/>
            <w:r w:rsidRPr="00C4686A">
              <w:rPr>
                <w:rFonts w:ascii="Garamond" w:hAnsi="Garamond"/>
                <w:lang w:val="en-AU"/>
              </w:rPr>
              <w:t>, ,</w:t>
            </w:r>
            <w:proofErr w:type="gramEnd"/>
            <w:r w:rsidRPr="00C4686A">
              <w:rPr>
                <w:rFonts w:ascii="Garamond" w:hAnsi="Garamond"/>
                <w:lang w:val="en-AU"/>
              </w:rPr>
              <w:t xml:space="preserve"> Eva Törnvall, Magnus Falk, Ingrid Wåhlin, Pia Yngman-Uhlin</w:t>
            </w:r>
            <w:r>
              <w:rPr>
                <w:rFonts w:ascii="Garamond" w:hAnsi="Garamond"/>
                <w:lang w:val="en-AU"/>
              </w:rPr>
              <w:t>)</w:t>
            </w:r>
          </w:p>
          <w:p w14:paraId="6F21F6AA" w14:textId="77777777" w:rsidR="00C4686A" w:rsidRDefault="00C4686A" w:rsidP="00D81D75">
            <w:pPr>
              <w:pStyle w:val="ListParagraph"/>
              <w:numPr>
                <w:ilvl w:val="0"/>
                <w:numId w:val="42"/>
              </w:numPr>
              <w:rPr>
                <w:rFonts w:ascii="Garamond" w:hAnsi="Garamond"/>
                <w:lang w:val="en-AU"/>
              </w:rPr>
            </w:pPr>
            <w:r w:rsidRPr="00C4686A">
              <w:rPr>
                <w:rFonts w:ascii="Garamond" w:hAnsi="Garamond"/>
                <w:b/>
                <w:bCs/>
                <w:lang w:val="en-AU"/>
              </w:rPr>
              <w:t>Patients at the centre after a health care incident</w:t>
            </w:r>
            <w:r w:rsidRPr="00C4686A">
              <w:rPr>
                <w:rFonts w:ascii="Garamond" w:hAnsi="Garamond"/>
                <w:lang w:val="en-AU"/>
              </w:rPr>
              <w:t>: A scoping review of hospital strategies targeting communication and nonmaterial restoration (Rachel I Dijkstra, Ruud T J Roodbeen, Renée J R Bouwman, Antony Pemberton, Roland Friele</w:t>
            </w:r>
            <w:r>
              <w:rPr>
                <w:rFonts w:ascii="Garamond" w:hAnsi="Garamond"/>
                <w:lang w:val="en-AU"/>
              </w:rPr>
              <w:t>)</w:t>
            </w:r>
          </w:p>
          <w:p w14:paraId="44D9E5E4" w14:textId="77777777" w:rsidR="00C4686A" w:rsidRDefault="00C4686A" w:rsidP="0033560F">
            <w:pPr>
              <w:pStyle w:val="ListParagraph"/>
              <w:numPr>
                <w:ilvl w:val="0"/>
                <w:numId w:val="42"/>
              </w:numPr>
              <w:rPr>
                <w:rFonts w:ascii="Garamond" w:hAnsi="Garamond"/>
                <w:lang w:val="en-AU"/>
              </w:rPr>
            </w:pPr>
            <w:r w:rsidRPr="00C4686A">
              <w:rPr>
                <w:rFonts w:ascii="Garamond" w:hAnsi="Garamond"/>
                <w:b/>
                <w:bCs/>
                <w:lang w:val="en-AU"/>
              </w:rPr>
              <w:t>Tailored patient therapeutic educational interventions</w:t>
            </w:r>
            <w:r w:rsidRPr="00C4686A">
              <w:rPr>
                <w:rFonts w:ascii="Garamond" w:hAnsi="Garamond"/>
                <w:lang w:val="en-AU"/>
              </w:rPr>
              <w:t>: A patient-centred communication model (Laetitia Ricci, Julie Villegente, Déborah Loyal, Carole Ayav, Joëlle Kivits, Anne-Christine Rat</w:t>
            </w:r>
            <w:r>
              <w:rPr>
                <w:rFonts w:ascii="Garamond" w:hAnsi="Garamond"/>
                <w:lang w:val="en-AU"/>
              </w:rPr>
              <w:t>)</w:t>
            </w:r>
          </w:p>
          <w:p w14:paraId="423DFFD8" w14:textId="77777777" w:rsidR="00FA1DB3" w:rsidRDefault="00C4686A" w:rsidP="00E955A4">
            <w:pPr>
              <w:pStyle w:val="ListParagraph"/>
              <w:numPr>
                <w:ilvl w:val="0"/>
                <w:numId w:val="42"/>
              </w:numPr>
              <w:rPr>
                <w:rFonts w:ascii="Garamond" w:hAnsi="Garamond"/>
                <w:lang w:val="en-AU"/>
              </w:rPr>
            </w:pPr>
            <w:r w:rsidRPr="00FA1DB3">
              <w:rPr>
                <w:rFonts w:ascii="Garamond" w:hAnsi="Garamond"/>
                <w:lang w:val="en-AU"/>
              </w:rPr>
              <w:t xml:space="preserve">Part of the solution: A survey of community organisation perspectives on barriers and facilitating actions to </w:t>
            </w:r>
            <w:r w:rsidRPr="00FA1DB3">
              <w:rPr>
                <w:rFonts w:ascii="Garamond" w:hAnsi="Garamond"/>
                <w:b/>
                <w:bCs/>
                <w:lang w:val="en-AU"/>
              </w:rPr>
              <w:t>Advance Care Planning</w:t>
            </w:r>
            <w:r w:rsidRPr="00FA1DB3">
              <w:rPr>
                <w:rFonts w:ascii="Garamond" w:hAnsi="Garamond"/>
                <w:lang w:val="en-AU"/>
              </w:rPr>
              <w:t xml:space="preserve"> in British Columbia, Canada</w:t>
            </w:r>
            <w:r w:rsidR="00FA1DB3" w:rsidRPr="00FA1DB3">
              <w:rPr>
                <w:rFonts w:ascii="Garamond" w:hAnsi="Garamond"/>
                <w:lang w:val="en-AU"/>
              </w:rPr>
              <w:t xml:space="preserve"> (</w:t>
            </w:r>
            <w:r w:rsidRPr="00FA1DB3">
              <w:rPr>
                <w:rFonts w:ascii="Garamond" w:hAnsi="Garamond"/>
                <w:lang w:val="en-AU"/>
              </w:rPr>
              <w:t>Ellie G Siden, Rachel Z Carter, Doris Barwich, Eman Hassan</w:t>
            </w:r>
            <w:r w:rsidR="00FA1DB3">
              <w:rPr>
                <w:rFonts w:ascii="Garamond" w:hAnsi="Garamond"/>
                <w:lang w:val="en-AU"/>
              </w:rPr>
              <w:t>)</w:t>
            </w:r>
          </w:p>
          <w:p w14:paraId="64006C54" w14:textId="0E66F50D" w:rsidR="00C4686A" w:rsidRPr="00FA1DB3" w:rsidRDefault="00C4686A" w:rsidP="004B6B90">
            <w:pPr>
              <w:pStyle w:val="ListParagraph"/>
              <w:numPr>
                <w:ilvl w:val="0"/>
                <w:numId w:val="42"/>
              </w:numPr>
              <w:rPr>
                <w:rFonts w:ascii="Garamond" w:hAnsi="Garamond"/>
                <w:lang w:val="en-AU"/>
              </w:rPr>
            </w:pPr>
            <w:r w:rsidRPr="00FA1DB3">
              <w:rPr>
                <w:rFonts w:ascii="Garamond" w:hAnsi="Garamond"/>
                <w:lang w:val="en-AU"/>
              </w:rPr>
              <w:t xml:space="preserve">Development and field testing of a decision aid to facilitate shared decision making for </w:t>
            </w:r>
            <w:r w:rsidRPr="00FA1DB3">
              <w:rPr>
                <w:rFonts w:ascii="Garamond" w:hAnsi="Garamond"/>
                <w:b/>
                <w:bCs/>
                <w:lang w:val="en-AU"/>
              </w:rPr>
              <w:t>adults newly diagnosed with attention-deficit hyperactivity disorder</w:t>
            </w:r>
            <w:r w:rsidR="00FA1DB3" w:rsidRPr="00FA1DB3">
              <w:rPr>
                <w:rFonts w:ascii="Garamond" w:hAnsi="Garamond"/>
                <w:lang w:val="en-AU"/>
              </w:rPr>
              <w:t xml:space="preserve"> (</w:t>
            </w:r>
            <w:r w:rsidRPr="00FA1DB3">
              <w:rPr>
                <w:rFonts w:ascii="Garamond" w:hAnsi="Garamond"/>
                <w:lang w:val="en-AU"/>
              </w:rPr>
              <w:t>Yumi Aoki, Takashi Tsuboi, Yoshikazu Takaesu, Koichiro Watanabe, Kazuhiro Nakayama, Yasuhito Kinoshita, Mami Kayama</w:t>
            </w:r>
            <w:r w:rsidR="00FA1DB3">
              <w:rPr>
                <w:rFonts w:ascii="Garamond" w:hAnsi="Garamond"/>
                <w:lang w:val="en-AU"/>
              </w:rPr>
              <w:t>)</w:t>
            </w:r>
          </w:p>
          <w:p w14:paraId="54B3CFA4" w14:textId="77777777" w:rsidR="00FA1DB3" w:rsidRDefault="00C4686A" w:rsidP="000B2F4E">
            <w:pPr>
              <w:pStyle w:val="ListParagraph"/>
              <w:numPr>
                <w:ilvl w:val="0"/>
                <w:numId w:val="42"/>
              </w:numPr>
              <w:rPr>
                <w:rFonts w:ascii="Garamond" w:hAnsi="Garamond"/>
                <w:lang w:val="en-AU"/>
              </w:rPr>
            </w:pPr>
            <w:r w:rsidRPr="00FA1DB3">
              <w:rPr>
                <w:rFonts w:ascii="Garamond" w:hAnsi="Garamond"/>
                <w:lang w:val="en-AU"/>
              </w:rPr>
              <w:lastRenderedPageBreak/>
              <w:t xml:space="preserve">Views of </w:t>
            </w:r>
            <w:r w:rsidRPr="00FA1DB3">
              <w:rPr>
                <w:rFonts w:ascii="Garamond" w:hAnsi="Garamond"/>
                <w:b/>
                <w:bCs/>
                <w:lang w:val="en-AU"/>
              </w:rPr>
              <w:t>healthcare consumer representatives on defensive practice</w:t>
            </w:r>
            <w:r w:rsidRPr="00FA1DB3">
              <w:rPr>
                <w:rFonts w:ascii="Garamond" w:hAnsi="Garamond"/>
                <w:lang w:val="en-AU"/>
              </w:rPr>
              <w:t>: ‘We are your biggest advocate and supporter… not the enemy’</w:t>
            </w:r>
            <w:r w:rsidR="00FA1DB3" w:rsidRPr="00FA1DB3">
              <w:rPr>
                <w:rFonts w:ascii="Garamond" w:hAnsi="Garamond"/>
                <w:lang w:val="en-AU"/>
              </w:rPr>
              <w:t xml:space="preserve"> (</w:t>
            </w:r>
            <w:r w:rsidRPr="00FA1DB3">
              <w:rPr>
                <w:rFonts w:ascii="Garamond" w:hAnsi="Garamond"/>
                <w:lang w:val="en-AU"/>
              </w:rPr>
              <w:t>Nola M. Ries, Briony Johnston, Jesse Jansen</w:t>
            </w:r>
            <w:r w:rsidR="00FA1DB3">
              <w:rPr>
                <w:rFonts w:ascii="Garamond" w:hAnsi="Garamond"/>
                <w:lang w:val="en-AU"/>
              </w:rPr>
              <w:t>)</w:t>
            </w:r>
          </w:p>
          <w:p w14:paraId="378D3EE9" w14:textId="10B60D3D" w:rsidR="00FA1DB3" w:rsidRDefault="00C4686A" w:rsidP="00CD304E">
            <w:pPr>
              <w:pStyle w:val="ListParagraph"/>
              <w:numPr>
                <w:ilvl w:val="0"/>
                <w:numId w:val="42"/>
              </w:numPr>
              <w:rPr>
                <w:rFonts w:ascii="Garamond" w:hAnsi="Garamond"/>
                <w:lang w:val="en-AU"/>
              </w:rPr>
            </w:pPr>
            <w:r w:rsidRPr="00FA1DB3">
              <w:rPr>
                <w:rFonts w:ascii="Garamond" w:hAnsi="Garamond"/>
                <w:lang w:val="en-AU"/>
              </w:rPr>
              <w:t xml:space="preserve">How paediatric departments in Sweden facilitate </w:t>
            </w:r>
            <w:r w:rsidRPr="00FA1DB3">
              <w:rPr>
                <w:rFonts w:ascii="Garamond" w:hAnsi="Garamond"/>
                <w:b/>
                <w:bCs/>
                <w:lang w:val="en-AU"/>
              </w:rPr>
              <w:t>giving children a voice on their experiences of healthcare</w:t>
            </w:r>
            <w:r w:rsidRPr="00FA1DB3">
              <w:rPr>
                <w:rFonts w:ascii="Garamond" w:hAnsi="Garamond"/>
                <w:lang w:val="en-AU"/>
              </w:rPr>
              <w:t>: A cross-sectional study</w:t>
            </w:r>
            <w:r w:rsidR="00FA1DB3" w:rsidRPr="00FA1DB3">
              <w:rPr>
                <w:rFonts w:ascii="Garamond" w:hAnsi="Garamond"/>
                <w:lang w:val="en-AU"/>
              </w:rPr>
              <w:t xml:space="preserve"> </w:t>
            </w:r>
            <w:r w:rsidR="00FA1DB3">
              <w:rPr>
                <w:rFonts w:ascii="Garamond" w:hAnsi="Garamond"/>
                <w:lang w:val="en-AU"/>
              </w:rPr>
              <w:t>(</w:t>
            </w:r>
            <w:r w:rsidRPr="00FA1DB3">
              <w:rPr>
                <w:rFonts w:ascii="Garamond" w:hAnsi="Garamond"/>
                <w:lang w:val="en-AU"/>
              </w:rPr>
              <w:t>Anna Nordlind, Ann-Sofie Sundqvist, Agneta Anderzén-Carlsson, A-C Almblad, K Ängeby</w:t>
            </w:r>
            <w:r w:rsidR="00FA1DB3">
              <w:rPr>
                <w:rFonts w:ascii="Garamond" w:hAnsi="Garamond"/>
                <w:lang w:val="en-AU"/>
              </w:rPr>
              <w:t>)</w:t>
            </w:r>
          </w:p>
          <w:p w14:paraId="52217E85" w14:textId="0A9575C4" w:rsidR="00C4686A" w:rsidRDefault="00C4686A" w:rsidP="00914286">
            <w:pPr>
              <w:pStyle w:val="ListParagraph"/>
              <w:numPr>
                <w:ilvl w:val="0"/>
                <w:numId w:val="42"/>
              </w:numPr>
              <w:rPr>
                <w:rFonts w:ascii="Garamond" w:hAnsi="Garamond"/>
                <w:lang w:val="en-AU"/>
              </w:rPr>
            </w:pPr>
            <w:r w:rsidRPr="00FA1DB3">
              <w:rPr>
                <w:rFonts w:ascii="Garamond" w:hAnsi="Garamond"/>
                <w:lang w:val="en-AU"/>
              </w:rPr>
              <w:t xml:space="preserve">Swallowing the pill of adverse effects: A qualitative study of patients' and pharmacists' experiences and decision-making regarding the </w:t>
            </w:r>
            <w:r w:rsidRPr="00FA1DB3">
              <w:rPr>
                <w:rFonts w:ascii="Garamond" w:hAnsi="Garamond"/>
                <w:b/>
                <w:bCs/>
                <w:lang w:val="en-AU"/>
              </w:rPr>
              <w:t>adverse effects of chronic pain medications</w:t>
            </w:r>
            <w:r w:rsidR="00FA1DB3" w:rsidRPr="00FA1DB3">
              <w:rPr>
                <w:rFonts w:ascii="Garamond" w:hAnsi="Garamond"/>
                <w:lang w:val="en-AU"/>
              </w:rPr>
              <w:t xml:space="preserve"> (</w:t>
            </w:r>
            <w:r w:rsidRPr="00FA1DB3">
              <w:rPr>
                <w:rFonts w:ascii="Garamond" w:hAnsi="Garamond"/>
                <w:lang w:val="en-AU"/>
              </w:rPr>
              <w:t>Lise Dassieu, Emilie Paul-Savoie, Élise Develay, A Cecilia V Guilhon, A Lacasse, L Guénette, K Perreault, H Beaudry, L Dupuis, the Quebec Consortium on Adverse Effects of Pain Medications</w:t>
            </w:r>
            <w:r w:rsidR="00FA1DB3">
              <w:rPr>
                <w:rFonts w:ascii="Garamond" w:hAnsi="Garamond"/>
                <w:lang w:val="en-AU"/>
              </w:rPr>
              <w:t>)</w:t>
            </w:r>
          </w:p>
          <w:p w14:paraId="01F80DF2" w14:textId="77777777" w:rsidR="00FA1DB3" w:rsidRDefault="00C4686A" w:rsidP="007B4B15">
            <w:pPr>
              <w:pStyle w:val="ListParagraph"/>
              <w:numPr>
                <w:ilvl w:val="0"/>
                <w:numId w:val="42"/>
              </w:numPr>
              <w:rPr>
                <w:rFonts w:ascii="Garamond" w:hAnsi="Garamond"/>
                <w:lang w:val="en-AU"/>
              </w:rPr>
            </w:pPr>
            <w:r w:rsidRPr="00FA1DB3">
              <w:rPr>
                <w:rFonts w:ascii="Garamond" w:hAnsi="Garamond"/>
                <w:lang w:val="en-AU"/>
              </w:rPr>
              <w:t xml:space="preserve">The relative importance of information items and preferred mode of delivery when </w:t>
            </w:r>
            <w:r w:rsidRPr="00FA1DB3">
              <w:rPr>
                <w:rFonts w:ascii="Garamond" w:hAnsi="Garamond"/>
                <w:b/>
                <w:bCs/>
                <w:lang w:val="en-AU"/>
              </w:rPr>
              <w:t>disseminating results from trials to participants</w:t>
            </w:r>
            <w:r w:rsidRPr="00FA1DB3">
              <w:rPr>
                <w:rFonts w:ascii="Garamond" w:hAnsi="Garamond"/>
                <w:lang w:val="en-AU"/>
              </w:rPr>
              <w:t>: A mixed-methods study</w:t>
            </w:r>
            <w:r w:rsidR="00FA1DB3" w:rsidRPr="00FA1DB3">
              <w:rPr>
                <w:rFonts w:ascii="Garamond" w:hAnsi="Garamond"/>
                <w:lang w:val="en-AU"/>
              </w:rPr>
              <w:t xml:space="preserve"> (</w:t>
            </w:r>
            <w:r w:rsidRPr="00FA1DB3">
              <w:rPr>
                <w:rFonts w:ascii="Garamond" w:hAnsi="Garamond"/>
                <w:lang w:val="en-AU"/>
              </w:rPr>
              <w:t>Jessica Wood, Seonaidh C. Cotton, Katie Gillies</w:t>
            </w:r>
            <w:r w:rsidR="00FA1DB3">
              <w:rPr>
                <w:rFonts w:ascii="Garamond" w:hAnsi="Garamond"/>
                <w:lang w:val="en-AU"/>
              </w:rPr>
              <w:t>)</w:t>
            </w:r>
          </w:p>
          <w:p w14:paraId="7B6DC882" w14:textId="1A2F53B0" w:rsidR="000B5EA6" w:rsidRPr="00FA1DB3" w:rsidRDefault="00C4686A" w:rsidP="00FA1DB3">
            <w:pPr>
              <w:pStyle w:val="ListParagraph"/>
              <w:numPr>
                <w:ilvl w:val="0"/>
                <w:numId w:val="42"/>
              </w:numPr>
              <w:rPr>
                <w:rFonts w:ascii="Garamond" w:hAnsi="Garamond"/>
                <w:lang w:val="en-AU"/>
              </w:rPr>
            </w:pPr>
            <w:r w:rsidRPr="00FA1DB3">
              <w:rPr>
                <w:rFonts w:ascii="Garamond" w:hAnsi="Garamond"/>
                <w:b/>
                <w:bCs/>
                <w:lang w:val="en-AU"/>
              </w:rPr>
              <w:t>Adolescents encouraging healthy lifestyles</w:t>
            </w:r>
            <w:r w:rsidRPr="00FA1DB3">
              <w:rPr>
                <w:rFonts w:ascii="Garamond" w:hAnsi="Garamond"/>
                <w:lang w:val="en-AU"/>
              </w:rPr>
              <w:t xml:space="preserve"> through a peer-led social marketing intervention: Training and key competencies learned by peer leaders</w:t>
            </w:r>
            <w:r w:rsidR="00FA1DB3" w:rsidRPr="00FA1DB3">
              <w:rPr>
                <w:rFonts w:ascii="Garamond" w:hAnsi="Garamond"/>
                <w:lang w:val="en-AU"/>
              </w:rPr>
              <w:t xml:space="preserve"> (</w:t>
            </w:r>
            <w:r w:rsidRPr="00FA1DB3">
              <w:rPr>
                <w:rFonts w:ascii="Garamond" w:hAnsi="Garamond"/>
                <w:lang w:val="en-AU"/>
              </w:rPr>
              <w:t>Elisabet Llauradó, Magaly Aceves-Martins, Jordi Prades-Tena, Maria Besora-Moreno, Ignasi Papell-Garcia, Montse Giralt, Amy Davies, L Tarro, R Solà</w:t>
            </w:r>
            <w:r w:rsidR="00FA1DB3">
              <w:rPr>
                <w:rFonts w:ascii="Garamond" w:hAnsi="Garamond"/>
                <w:lang w:val="en-AU"/>
              </w:rPr>
              <w:t>)</w:t>
            </w:r>
          </w:p>
        </w:tc>
      </w:tr>
    </w:tbl>
    <w:p w14:paraId="75D696E0" w14:textId="77777777" w:rsidR="000B5EA6" w:rsidRDefault="000B5EA6" w:rsidP="000B5EA6">
      <w:pPr>
        <w:keepLines/>
        <w:autoSpaceDE w:val="0"/>
        <w:autoSpaceDN w:val="0"/>
        <w:adjustRightInd w:val="0"/>
        <w:rPr>
          <w:rFonts w:ascii="Garamond" w:hAnsi="Garamond"/>
          <w:lang w:val="en-AU"/>
        </w:rPr>
      </w:pPr>
    </w:p>
    <w:p w14:paraId="74866E49" w14:textId="121175C4" w:rsidR="00132FB2" w:rsidRPr="00467B47" w:rsidRDefault="00132FB2" w:rsidP="009D5D05">
      <w:pPr>
        <w:keepNext/>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 xml:space="preserve"> Safety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132FB2" w:rsidRPr="00467B47" w14:paraId="0996830C" w14:textId="77777777" w:rsidTr="009547E2">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441E958" w14:textId="77777777" w:rsidR="00132FB2" w:rsidRPr="00467B47" w:rsidRDefault="00132FB2" w:rsidP="009547E2">
            <w:pPr>
              <w:keepNext/>
              <w:rPr>
                <w:rFonts w:ascii="Garamond" w:hAnsi="Garamond"/>
                <w:lang w:val="en-AU"/>
              </w:rPr>
            </w:pPr>
            <w:r w:rsidRPr="00467B4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4FA1B480" w14:textId="77777777" w:rsidR="00132FB2" w:rsidRPr="00467B47" w:rsidRDefault="00941FFA" w:rsidP="009547E2">
            <w:pPr>
              <w:keepNext/>
              <w:rPr>
                <w:rFonts w:ascii="Garamond" w:hAnsi="Garamond"/>
                <w:lang w:val="en-AU"/>
              </w:rPr>
            </w:pPr>
            <w:hyperlink r:id="rId42" w:history="1">
              <w:r w:rsidR="00132FB2" w:rsidRPr="00467B47">
                <w:rPr>
                  <w:rStyle w:val="Hyperlink"/>
                  <w:rFonts w:ascii="Garamond" w:hAnsi="Garamond"/>
                  <w:lang w:val="en-AU"/>
                </w:rPr>
                <w:t>https://qualitysafety.bmj.com/content/early/recent</w:t>
              </w:r>
            </w:hyperlink>
          </w:p>
        </w:tc>
      </w:tr>
      <w:tr w:rsidR="00132FB2" w:rsidRPr="00467B47" w14:paraId="3078AB9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E2E1017" w14:textId="77777777" w:rsidR="00132FB2" w:rsidRPr="00467B47" w:rsidRDefault="00132FB2" w:rsidP="009547E2">
            <w:pPr>
              <w:rPr>
                <w:rFonts w:ascii="Garamond" w:hAnsi="Garamond"/>
                <w:lang w:val="en-AU"/>
              </w:rPr>
            </w:pPr>
            <w:r w:rsidRPr="00467B4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82C2D0D" w14:textId="77777777" w:rsidR="00132FB2" w:rsidRPr="00D84575" w:rsidRDefault="00132FB2" w:rsidP="009547E2">
            <w:pPr>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Safety</w:t>
            </w:r>
            <w:r w:rsidRPr="00467B47">
              <w:rPr>
                <w:rFonts w:ascii="Garamond" w:hAnsi="Garamond"/>
                <w:lang w:val="en-AU"/>
              </w:rPr>
              <w:t xml:space="preserve"> has published </w:t>
            </w:r>
            <w:proofErr w:type="gramStart"/>
            <w:r w:rsidRPr="00467B47">
              <w:rPr>
                <w:rFonts w:ascii="Garamond" w:hAnsi="Garamond"/>
                <w:lang w:val="en-AU"/>
              </w:rPr>
              <w:t>a number of</w:t>
            </w:r>
            <w:proofErr w:type="gramEnd"/>
            <w:r w:rsidRPr="00467B47">
              <w:rPr>
                <w:rFonts w:ascii="Garamond" w:hAnsi="Garamond"/>
                <w:lang w:val="en-AU"/>
              </w:rPr>
              <w:t xml:space="preserve"> ‘online first’ articles, including:</w:t>
            </w:r>
          </w:p>
          <w:p w14:paraId="51C93EBD" w14:textId="7A6A41D7" w:rsidR="00132FB2" w:rsidRPr="00DB4875" w:rsidRDefault="004F63C0" w:rsidP="004F63C0">
            <w:pPr>
              <w:pStyle w:val="ListParagraph"/>
              <w:numPr>
                <w:ilvl w:val="0"/>
                <w:numId w:val="14"/>
              </w:numPr>
              <w:rPr>
                <w:rFonts w:ascii="Garamond" w:hAnsi="Garamond"/>
                <w:lang w:val="en-AU"/>
              </w:rPr>
            </w:pPr>
            <w:r w:rsidRPr="004F63C0">
              <w:rPr>
                <w:rFonts w:ascii="Garamond" w:hAnsi="Garamond"/>
                <w:lang w:val="en-AU"/>
              </w:rPr>
              <w:t xml:space="preserve">•The problem with … </w:t>
            </w:r>
            <w:r w:rsidRPr="001B013F">
              <w:rPr>
                <w:rFonts w:ascii="Garamond" w:hAnsi="Garamond"/>
                <w:b/>
                <w:bCs/>
                <w:lang w:val="en-AU"/>
              </w:rPr>
              <w:t>using stories as a source of evidence</w:t>
            </w:r>
            <w:r w:rsidRPr="004F63C0">
              <w:rPr>
                <w:rFonts w:ascii="Garamond" w:hAnsi="Garamond"/>
                <w:lang w:val="en-AU"/>
              </w:rPr>
              <w:t xml:space="preserve"> and learning</w:t>
            </w:r>
            <w:r>
              <w:rPr>
                <w:rFonts w:ascii="Garamond" w:hAnsi="Garamond"/>
                <w:lang w:val="en-AU"/>
              </w:rPr>
              <w:t xml:space="preserve"> (</w:t>
            </w:r>
            <w:r w:rsidRPr="004F63C0">
              <w:rPr>
                <w:rFonts w:ascii="Garamond" w:hAnsi="Garamond"/>
                <w:lang w:val="en-AU"/>
              </w:rPr>
              <w:t>Rick Iedema</w:t>
            </w:r>
            <w:r>
              <w:rPr>
                <w:rFonts w:ascii="Garamond" w:hAnsi="Garamond"/>
                <w:lang w:val="en-AU"/>
              </w:rPr>
              <w:t>)</w:t>
            </w:r>
          </w:p>
        </w:tc>
      </w:tr>
    </w:tbl>
    <w:p w14:paraId="66B19840" w14:textId="66A17B48" w:rsidR="00D66138" w:rsidRDefault="00D66138">
      <w:pPr>
        <w:rPr>
          <w:rFonts w:ascii="Garamond" w:hAnsi="Garamond"/>
          <w:b/>
          <w:lang w:val="en-AU"/>
        </w:rPr>
      </w:pPr>
    </w:p>
    <w:p w14:paraId="5C035E88" w14:textId="77777777" w:rsidR="00FE01B7" w:rsidRDefault="00FE01B7">
      <w:pPr>
        <w:rPr>
          <w:rFonts w:ascii="Garamond" w:hAnsi="Garamond"/>
          <w:b/>
          <w:lang w:val="en-AU"/>
        </w:rPr>
      </w:pPr>
    </w:p>
    <w:p w14:paraId="332C5B51" w14:textId="15653511" w:rsidR="008A334C" w:rsidRDefault="008A334C" w:rsidP="008A334C">
      <w:pPr>
        <w:keepNext/>
        <w:rPr>
          <w:rFonts w:ascii="Garamond" w:hAnsi="Garamond"/>
          <w:b/>
          <w:lang w:val="en-AU"/>
        </w:rPr>
      </w:pPr>
      <w:r>
        <w:rPr>
          <w:rFonts w:ascii="Garamond" w:hAnsi="Garamond"/>
          <w:b/>
          <w:lang w:val="en-AU"/>
        </w:rPr>
        <w:t>Online resources</w:t>
      </w:r>
    </w:p>
    <w:p w14:paraId="47B813E8" w14:textId="77777777" w:rsidR="008A334C" w:rsidRDefault="008A334C" w:rsidP="008A334C">
      <w:pPr>
        <w:keepNext/>
        <w:keepLines/>
        <w:rPr>
          <w:rFonts w:ascii="Garamond" w:hAnsi="Garamond"/>
          <w:i/>
          <w:lang w:val="en-AU"/>
        </w:rPr>
      </w:pPr>
    </w:p>
    <w:p w14:paraId="41EEC4BC" w14:textId="77777777" w:rsidR="008A334C" w:rsidRPr="00D77160" w:rsidRDefault="008A334C" w:rsidP="008A334C">
      <w:pPr>
        <w:rPr>
          <w:rFonts w:ascii="Garamond" w:hAnsi="Garamond"/>
          <w:b/>
          <w:bCs/>
          <w:i/>
          <w:lang w:val="en-AU"/>
        </w:rPr>
      </w:pPr>
      <w:r w:rsidRPr="00D77160">
        <w:rPr>
          <w:rFonts w:ascii="Garamond" w:hAnsi="Garamond"/>
          <w:b/>
          <w:bCs/>
          <w:i/>
          <w:lang w:val="en-AU"/>
        </w:rPr>
        <w:t>[UK] NICE Guidelines and Quality Standards</w:t>
      </w:r>
    </w:p>
    <w:p w14:paraId="7FFE38B5" w14:textId="77777777" w:rsidR="008A334C" w:rsidRPr="008F3909" w:rsidRDefault="00941FFA" w:rsidP="008A334C">
      <w:pPr>
        <w:keepNext/>
        <w:rPr>
          <w:rFonts w:ascii="Garamond" w:hAnsi="Garamond"/>
          <w:lang w:val="en-AU"/>
        </w:rPr>
      </w:pPr>
      <w:hyperlink r:id="rId43" w:history="1">
        <w:r w:rsidR="008A334C" w:rsidRPr="00B91B4F">
          <w:rPr>
            <w:rStyle w:val="Hyperlink"/>
            <w:rFonts w:ascii="Garamond" w:hAnsi="Garamond"/>
            <w:lang w:val="en-AU"/>
          </w:rPr>
          <w:t>https://www.nice.org.uk/guidance</w:t>
        </w:r>
      </w:hyperlink>
    </w:p>
    <w:p w14:paraId="56D284D8" w14:textId="77777777" w:rsidR="008A334C" w:rsidRPr="008F3909" w:rsidRDefault="008A334C" w:rsidP="008A334C">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14:paraId="36CA50E2" w14:textId="5B211BD5" w:rsidR="003A1B1F" w:rsidRDefault="008A334C" w:rsidP="008A334C">
      <w:pPr>
        <w:pStyle w:val="ListParagraph"/>
        <w:numPr>
          <w:ilvl w:val="0"/>
          <w:numId w:val="14"/>
        </w:numPr>
        <w:rPr>
          <w:rFonts w:ascii="Garamond" w:hAnsi="Garamond"/>
          <w:iCs/>
          <w:lang w:val="en-AU"/>
        </w:rPr>
      </w:pPr>
      <w:r>
        <w:rPr>
          <w:rFonts w:ascii="Garamond" w:hAnsi="Garamond"/>
          <w:iCs/>
          <w:lang w:val="en-AU"/>
        </w:rPr>
        <w:t>NICE Guideline NG</w:t>
      </w:r>
      <w:r w:rsidR="003A1B1F">
        <w:rPr>
          <w:rFonts w:ascii="Garamond" w:hAnsi="Garamond"/>
          <w:iCs/>
          <w:lang w:val="en-AU"/>
        </w:rPr>
        <w:t xml:space="preserve">191 </w:t>
      </w:r>
      <w:r w:rsidR="003A1B1F" w:rsidRPr="003A1B1F">
        <w:rPr>
          <w:rFonts w:ascii="Garamond" w:hAnsi="Garamond"/>
          <w:i/>
          <w:lang w:val="en-AU"/>
        </w:rPr>
        <w:t xml:space="preserve">COVID-19 rapid guideline: </w:t>
      </w:r>
      <w:r w:rsidR="003A1B1F" w:rsidRPr="003A1B1F">
        <w:rPr>
          <w:rFonts w:ascii="Garamond" w:hAnsi="Garamond"/>
          <w:b/>
          <w:bCs/>
          <w:i/>
          <w:lang w:val="en-AU"/>
        </w:rPr>
        <w:t>managing COVID-19</w:t>
      </w:r>
      <w:r w:rsidR="003A1B1F">
        <w:rPr>
          <w:rFonts w:ascii="Garamond" w:hAnsi="Garamond"/>
          <w:iCs/>
          <w:lang w:val="en-AU"/>
        </w:rPr>
        <w:t xml:space="preserve"> </w:t>
      </w:r>
      <w:hyperlink r:id="rId44" w:history="1">
        <w:r w:rsidR="003A1B1F" w:rsidRPr="008214B9">
          <w:rPr>
            <w:rStyle w:val="Hyperlink"/>
            <w:rFonts w:ascii="Garamond" w:hAnsi="Garamond"/>
            <w:iCs/>
            <w:lang w:val="en-AU"/>
          </w:rPr>
          <w:t>https://www.nice.org.uk/guidance/ng191</w:t>
        </w:r>
      </w:hyperlink>
    </w:p>
    <w:p w14:paraId="267E6BAD" w14:textId="00921915" w:rsidR="00CA2EC4" w:rsidRDefault="00CA2EC4">
      <w:pPr>
        <w:rPr>
          <w:rFonts w:ascii="Garamond" w:hAnsi="Garamond"/>
          <w:b/>
          <w:lang w:val="en-AU"/>
        </w:rPr>
      </w:pPr>
    </w:p>
    <w:p w14:paraId="3ED4A342" w14:textId="77777777" w:rsidR="00D77160" w:rsidRPr="00D77160" w:rsidRDefault="00D77160" w:rsidP="00D77160">
      <w:pPr>
        <w:keepNext/>
        <w:keepLines/>
        <w:rPr>
          <w:rFonts w:ascii="Garamond" w:hAnsi="Garamond"/>
          <w:b/>
          <w:bCs/>
          <w:i/>
          <w:lang w:val="en-AU"/>
        </w:rPr>
      </w:pPr>
      <w:r w:rsidRPr="00D77160">
        <w:rPr>
          <w:rFonts w:ascii="Garamond" w:hAnsi="Garamond"/>
          <w:b/>
          <w:bCs/>
          <w:i/>
          <w:lang w:val="en-AU"/>
        </w:rPr>
        <w:t>[USA] Effective Health Care Program reports</w:t>
      </w:r>
    </w:p>
    <w:p w14:paraId="7E8803F3" w14:textId="77777777" w:rsidR="00D77160" w:rsidRPr="000170DA" w:rsidRDefault="00941FFA" w:rsidP="00D77160">
      <w:pPr>
        <w:keepNext/>
        <w:keepLines/>
        <w:rPr>
          <w:rFonts w:ascii="Garamond" w:hAnsi="Garamond"/>
          <w:u w:val="single"/>
          <w:lang w:val="en-AU"/>
        </w:rPr>
      </w:pPr>
      <w:hyperlink r:id="rId45" w:history="1">
        <w:r w:rsidR="00D77160" w:rsidRPr="000170DA">
          <w:rPr>
            <w:rStyle w:val="Hyperlink"/>
            <w:rFonts w:ascii="Garamond" w:hAnsi="Garamond"/>
            <w:lang w:val="en-AU"/>
          </w:rPr>
          <w:t>https://effectivehealthcare.ahrq.gov/</w:t>
        </w:r>
      </w:hyperlink>
    </w:p>
    <w:p w14:paraId="430C6D79" w14:textId="77777777" w:rsidR="00D77160" w:rsidRDefault="00D77160" w:rsidP="00D77160">
      <w:pPr>
        <w:keepNext/>
        <w:keepLines/>
        <w:rPr>
          <w:rFonts w:ascii="Garamond" w:hAnsi="Garamond"/>
          <w:lang w:val="en-AU"/>
        </w:rPr>
      </w:pPr>
      <w:r w:rsidRPr="000170DA">
        <w:rPr>
          <w:rFonts w:ascii="Garamond" w:hAnsi="Garamond"/>
          <w:lang w:val="en-AU"/>
        </w:rPr>
        <w:t>The US Agency for Healthcare Research and Quality (AHRQ) has an Effective Health Care (EHC) Program. The EHC has released the following final reports and updates:</w:t>
      </w:r>
    </w:p>
    <w:p w14:paraId="0996CBEF" w14:textId="73C3E093" w:rsidR="00D77160" w:rsidRDefault="00D77160" w:rsidP="00D77160">
      <w:pPr>
        <w:pStyle w:val="ListParagraph"/>
        <w:keepNext/>
        <w:numPr>
          <w:ilvl w:val="0"/>
          <w:numId w:val="14"/>
        </w:numPr>
        <w:rPr>
          <w:rFonts w:ascii="Garamond" w:hAnsi="Garamond"/>
          <w:lang w:val="en-AU"/>
        </w:rPr>
      </w:pPr>
      <w:r w:rsidRPr="00D77160">
        <w:rPr>
          <w:rFonts w:ascii="Garamond" w:hAnsi="Garamond"/>
          <w:i/>
          <w:iCs/>
          <w:lang w:val="en-AU"/>
        </w:rPr>
        <w:t xml:space="preserve">Models of Care That Include </w:t>
      </w:r>
      <w:r w:rsidRPr="00D77160">
        <w:rPr>
          <w:rFonts w:ascii="Garamond" w:hAnsi="Garamond"/>
          <w:b/>
          <w:bCs/>
          <w:i/>
          <w:iCs/>
          <w:lang w:val="en-AU"/>
        </w:rPr>
        <w:t>Primary Care for Adult Survivors of Childhood Cancer</w:t>
      </w:r>
      <w:r w:rsidRPr="00D77160">
        <w:rPr>
          <w:rFonts w:ascii="Garamond" w:hAnsi="Garamond"/>
          <w:i/>
          <w:iCs/>
          <w:lang w:val="en-AU"/>
        </w:rPr>
        <w:t>: A Realist Review</w:t>
      </w:r>
      <w:r>
        <w:rPr>
          <w:rFonts w:ascii="Garamond" w:hAnsi="Garamond"/>
          <w:lang w:val="en-AU"/>
        </w:rPr>
        <w:t xml:space="preserve"> </w:t>
      </w:r>
      <w:hyperlink r:id="rId46" w:history="1">
        <w:r w:rsidRPr="000835CF">
          <w:rPr>
            <w:rStyle w:val="Hyperlink"/>
            <w:rFonts w:ascii="Garamond" w:hAnsi="Garamond"/>
            <w:lang w:val="en-AU"/>
          </w:rPr>
          <w:t>https://effectivehealthcare.ahrq.gov/products/childhood-cancer-survivorship-care/research</w:t>
        </w:r>
      </w:hyperlink>
    </w:p>
    <w:p w14:paraId="4298F23E" w14:textId="77777777" w:rsidR="00D77160" w:rsidRDefault="00D77160">
      <w:pPr>
        <w:rPr>
          <w:rFonts w:ascii="Garamond" w:hAnsi="Garamond"/>
          <w:b/>
          <w:lang w:val="en-AU"/>
        </w:rPr>
      </w:pPr>
    </w:p>
    <w:p w14:paraId="01001232" w14:textId="2E42E676" w:rsidR="00D66138" w:rsidRPr="00D77160" w:rsidRDefault="007D3D91">
      <w:pPr>
        <w:rPr>
          <w:rFonts w:ascii="Garamond" w:hAnsi="Garamond"/>
          <w:b/>
          <w:i/>
          <w:iCs/>
          <w:lang w:val="en-AU"/>
        </w:rPr>
      </w:pPr>
      <w:r w:rsidRPr="00D77160">
        <w:rPr>
          <w:rFonts w:ascii="Garamond" w:hAnsi="Garamond"/>
          <w:b/>
          <w:i/>
          <w:iCs/>
          <w:lang w:val="en-AU"/>
        </w:rPr>
        <w:t>ICD-11 comes into effect</w:t>
      </w:r>
    </w:p>
    <w:p w14:paraId="5790058C" w14:textId="2323EFE2" w:rsidR="007D3D91" w:rsidRDefault="00941FFA">
      <w:pPr>
        <w:rPr>
          <w:rFonts w:ascii="Garamond" w:hAnsi="Garamond"/>
          <w:bCs/>
          <w:lang w:val="en-AU"/>
        </w:rPr>
      </w:pPr>
      <w:hyperlink r:id="rId47" w:history="1">
        <w:r w:rsidR="007D3D91" w:rsidRPr="000835CF">
          <w:rPr>
            <w:rStyle w:val="Hyperlink"/>
            <w:rFonts w:ascii="Garamond" w:hAnsi="Garamond"/>
            <w:bCs/>
            <w:lang w:val="en-AU"/>
          </w:rPr>
          <w:t>https://www.who.int/news/item/11-02-2022-who-s-new-international-classification-of-diseases-(icd-11)-comes-into-effect</w:t>
        </w:r>
      </w:hyperlink>
    </w:p>
    <w:p w14:paraId="4653AD40" w14:textId="6EA2596E" w:rsidR="00FE01B7" w:rsidRDefault="007D3D91">
      <w:pPr>
        <w:rPr>
          <w:rFonts w:ascii="Garamond" w:hAnsi="Garamond"/>
          <w:b/>
          <w:lang w:val="en-AU"/>
        </w:rPr>
      </w:pPr>
      <w:r w:rsidRPr="007D3D91">
        <w:rPr>
          <w:rFonts w:ascii="Garamond" w:hAnsi="Garamond"/>
          <w:bCs/>
          <w:lang w:val="en-AU"/>
        </w:rPr>
        <w:t>The World Health Organization (WHO) Eleventh Revision of the International Classification of Diseases (ICD-11) was released in February 2022. Changes incorporated in ICD 11 include alignment of codes relating to antimicrobial resistance with the Global Antimicrobial Resistance Surveillance System (GLASS). ICD-11 is also more capable of capturing data on health-care safety, thus identifying and reducing unnecessary events that may harm health such as unsafe workflows in hospitals.</w:t>
      </w:r>
    </w:p>
    <w:p w14:paraId="12E7A6B9" w14:textId="6AC0B37B" w:rsidR="00B419AC" w:rsidRDefault="00B419AC" w:rsidP="00B419AC">
      <w:pPr>
        <w:keepNext/>
        <w:tabs>
          <w:tab w:val="left" w:pos="0"/>
        </w:tabs>
        <w:rPr>
          <w:rFonts w:ascii="Garamond" w:hAnsi="Garamond"/>
          <w:b/>
          <w:lang w:val="en-AU"/>
        </w:rPr>
      </w:pPr>
      <w:r>
        <w:rPr>
          <w:rFonts w:ascii="Garamond" w:hAnsi="Garamond"/>
          <w:b/>
          <w:lang w:val="en-AU"/>
        </w:rPr>
        <w:lastRenderedPageBreak/>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48"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725A15CF" w14:textId="388BEAEF" w:rsidR="005F0438" w:rsidRPr="005F0438" w:rsidRDefault="005F0438" w:rsidP="005F0438">
      <w:pPr>
        <w:pStyle w:val="ListParagraph"/>
        <w:numPr>
          <w:ilvl w:val="0"/>
          <w:numId w:val="16"/>
        </w:numPr>
        <w:autoSpaceDE w:val="0"/>
        <w:autoSpaceDN w:val="0"/>
        <w:adjustRightInd w:val="0"/>
        <w:rPr>
          <w:rFonts w:ascii="Garamond" w:hAnsi="Garamond"/>
          <w:lang w:val="en-AU"/>
        </w:rPr>
      </w:pPr>
      <w:r w:rsidRPr="005F0438">
        <w:rPr>
          <w:rFonts w:ascii="Garamond" w:hAnsi="Garamond"/>
          <w:b/>
          <w:i/>
          <w:lang w:val="en-AU"/>
        </w:rPr>
        <w:t>OVID-19 infection prevention and control risk management</w:t>
      </w:r>
      <w:r>
        <w:rPr>
          <w:rFonts w:ascii="Garamond" w:hAnsi="Garamond"/>
          <w:lang w:val="en-AU"/>
        </w:rPr>
        <w:t xml:space="preserve"> </w:t>
      </w:r>
      <w:hyperlink r:id="rId49" w:history="1">
        <w:r w:rsidRPr="001C4B51">
          <w:rPr>
            <w:rStyle w:val="Hyperlink"/>
            <w:rFonts w:ascii="Garamond" w:hAnsi="Garamond"/>
            <w:lang w:val="en-AU"/>
          </w:rPr>
          <w:t>https://www.safetyandquality.gov.au/publications-and-resources/resource-library/covid-19-infection-prevention-and-control-risk-management-guidance</w:t>
        </w:r>
      </w:hyperlink>
      <w:r>
        <w:rPr>
          <w:rFonts w:ascii="Garamond" w:hAnsi="Garamond"/>
          <w:lang w:val="en-AU"/>
        </w:rPr>
        <w:t xml:space="preserve"> </w:t>
      </w:r>
    </w:p>
    <w:p w14:paraId="75C369CE" w14:textId="7490A49E" w:rsidR="00D574D3" w:rsidRPr="001B3E7F" w:rsidRDefault="00D574D3" w:rsidP="0078214E">
      <w:pPr>
        <w:pStyle w:val="ListParagraph"/>
        <w:autoSpaceDE w:val="0"/>
        <w:autoSpaceDN w:val="0"/>
        <w:adjustRightInd w:val="0"/>
        <w:ind w:hanging="578"/>
        <w:jc w:val="center"/>
        <w:rPr>
          <w:rFonts w:ascii="Garamond" w:hAnsi="Garamond"/>
          <w:lang w:val="en-AU"/>
        </w:rPr>
      </w:pPr>
    </w:p>
    <w:p w14:paraId="64BEE923" w14:textId="77777777" w:rsidR="008612B9" w:rsidRDefault="008612B9" w:rsidP="00FE01B7">
      <w:pPr>
        <w:pStyle w:val="ListParagraph"/>
        <w:numPr>
          <w:ilvl w:val="0"/>
          <w:numId w:val="16"/>
        </w:numPr>
        <w:autoSpaceDE w:val="0"/>
        <w:autoSpaceDN w:val="0"/>
        <w:adjustRightInd w:val="0"/>
        <w:ind w:left="714" w:hanging="357"/>
        <w:rPr>
          <w:rFonts w:ascii="Garamond" w:hAnsi="Garamond"/>
          <w:lang w:val="en-AU"/>
        </w:rPr>
      </w:pPr>
      <w:r w:rsidRPr="008612B9">
        <w:rPr>
          <w:rFonts w:ascii="Garamond" w:hAnsi="Garamond"/>
          <w:b/>
          <w:i/>
          <w:lang w:val="en-AU"/>
        </w:rPr>
        <w:t xml:space="preserve">Poster – Combined contact and droplet precautions </w:t>
      </w:r>
      <w:hyperlink r:id="rId50" w:history="1">
        <w:r w:rsidRPr="000728A2">
          <w:rPr>
            <w:rStyle w:val="Hyperlink"/>
            <w:rFonts w:ascii="Garamond" w:hAnsi="Garamond"/>
            <w:lang w:val="en-AU"/>
          </w:rPr>
          <w:t>https://www.safetyandquality.gov.au/publications-and-resources/resource-library/poster-combined-contact-and-droplet-precautions</w:t>
        </w:r>
      </w:hyperlink>
      <w:r>
        <w:rPr>
          <w:rFonts w:ascii="Garamond" w:hAnsi="Garamond"/>
          <w:lang w:val="en-AU"/>
        </w:rPr>
        <w:br/>
      </w:r>
      <w:r>
        <w:rPr>
          <w:rFonts w:ascii="Garamond" w:hAnsi="Garamond"/>
          <w:noProof/>
          <w:lang w:val="en-AU" w:eastAsia="en-AU"/>
        </w:rPr>
        <w:drawing>
          <wp:inline distT="0" distB="0" distL="0" distR="0" wp14:anchorId="65B3B9B3" wp14:editId="53D811EB">
            <wp:extent cx="4617720" cy="6573050"/>
            <wp:effectExtent l="0" t="0" r="0" b="0"/>
            <wp:docPr id="6" name="Picture 6" descr="COVID-19 Poster – Combined contact and droplet precautions ">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ID-19 Poster – Combined contact and droplet precautions ">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4334" cy="6724809"/>
                    </a:xfrm>
                    <a:prstGeom prst="rect">
                      <a:avLst/>
                    </a:prstGeom>
                    <a:noFill/>
                    <a:ln>
                      <a:noFill/>
                    </a:ln>
                  </pic:spPr>
                </pic:pic>
              </a:graphicData>
            </a:graphic>
          </wp:inline>
        </w:drawing>
      </w:r>
    </w:p>
    <w:p w14:paraId="0B02D3BC" w14:textId="77777777" w:rsidR="008612B9" w:rsidRPr="008612B9" w:rsidRDefault="008612B9" w:rsidP="00DD043E">
      <w:pPr>
        <w:pStyle w:val="ListParagraph"/>
        <w:keepNext/>
        <w:keepLines/>
        <w:numPr>
          <w:ilvl w:val="0"/>
          <w:numId w:val="16"/>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52"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12FD07AC">
            <wp:extent cx="5711825" cy="8114796"/>
            <wp:effectExtent l="0" t="0" r="3175" b="635"/>
            <wp:docPr id="7" name="Picture 7" descr="COVID-19 poster – Combined airborne and contact precautions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1825" cy="8114796"/>
                    </a:xfrm>
                    <a:prstGeom prst="rect">
                      <a:avLst/>
                    </a:prstGeom>
                    <a:noFill/>
                    <a:ln>
                      <a:noFill/>
                    </a:ln>
                  </pic:spPr>
                </pic:pic>
              </a:graphicData>
            </a:graphic>
          </wp:inline>
        </w:drawing>
      </w:r>
    </w:p>
    <w:p w14:paraId="06819BFB" w14:textId="77777777" w:rsidR="00D574D3" w:rsidRPr="00B0351C" w:rsidRDefault="00D574D3" w:rsidP="00D574D3">
      <w:pPr>
        <w:pStyle w:val="ListParagraph"/>
        <w:keepNext/>
        <w:keepLines/>
        <w:numPr>
          <w:ilvl w:val="0"/>
          <w:numId w:val="16"/>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54"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D574D3">
      <w:pPr>
        <w:pStyle w:val="ListParagraph"/>
        <w:numPr>
          <w:ilvl w:val="0"/>
          <w:numId w:val="16"/>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55"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56"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D253DE">
      <w:pPr>
        <w:pStyle w:val="ListParagraph"/>
        <w:numPr>
          <w:ilvl w:val="0"/>
          <w:numId w:val="16"/>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1D590A28">
            <wp:extent cx="4815068" cy="6857824"/>
            <wp:effectExtent l="19050" t="19050" r="24130" b="19685"/>
            <wp:docPr id="1" name="Picture 1" descr="Stop COVID-19. Break the chain of infection post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59"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t xml:space="preserve">FAQs for consumers on elective surgery </w:t>
      </w:r>
      <w:hyperlink r:id="rId60" w:history="1">
        <w:r w:rsidRPr="0015250A">
          <w:rPr>
            <w:rStyle w:val="Hyperlink"/>
            <w:rFonts w:ascii="Garamond" w:hAnsi="Garamond"/>
            <w:lang w:val="en-AU"/>
          </w:rPr>
          <w:t>https://www.safetyandquality.gov.au/node/5725</w:t>
        </w:r>
      </w:hyperlink>
    </w:p>
    <w:p w14:paraId="68C87D4A" w14:textId="77777777" w:rsidR="00D574D3" w:rsidRPr="00621902"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61"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22FB4D7">
            <wp:extent cx="5281165" cy="7778187"/>
            <wp:effectExtent l="19050" t="19050" r="15240" b="13335"/>
            <wp:docPr id="2" name="Picture 2" descr="COVID-19 and face masks information for consumers poster ima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941FFA" w:rsidP="00D574D3">
      <w:pPr>
        <w:keepNext/>
        <w:keepLines/>
        <w:rPr>
          <w:rFonts w:ascii="Garamond" w:hAnsi="Garamond"/>
          <w:lang w:val="en-AU"/>
        </w:rPr>
      </w:pPr>
      <w:hyperlink r:id="rId64"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w:t>
      </w:r>
      <w:proofErr w:type="gramStart"/>
      <w:r w:rsidRPr="007F0962">
        <w:rPr>
          <w:rFonts w:ascii="Garamond" w:hAnsi="Garamond"/>
          <w:lang w:val="en-AU"/>
        </w:rPr>
        <w:t>in order to</w:t>
      </w:r>
      <w:proofErr w:type="gramEnd"/>
      <w:r w:rsidRPr="007F0962">
        <w:rPr>
          <w:rFonts w:ascii="Garamond" w:hAnsi="Garamond"/>
          <w:lang w:val="en-AU"/>
        </w:rPr>
        <w:t xml:space="preserve">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xml:space="preserve">. The guidelines address questions that are specific to managing COVID-19 and cover the full disease course across mild, moderate, </w:t>
      </w:r>
      <w:proofErr w:type="gramStart"/>
      <w:r w:rsidRPr="007F0962">
        <w:rPr>
          <w:rFonts w:ascii="Garamond" w:hAnsi="Garamond"/>
          <w:lang w:val="en-AU"/>
        </w:rPr>
        <w:t>severe</w:t>
      </w:r>
      <w:proofErr w:type="gramEnd"/>
      <w:r w:rsidRPr="007F0962">
        <w:rPr>
          <w:rFonts w:ascii="Garamond" w:hAnsi="Garamond"/>
          <w:lang w:val="en-AU"/>
        </w:rPr>
        <w:t xml:space="preserve"> and critical illness. These are ‘living’ guidelines, updated with new research in near real-time </w:t>
      </w:r>
      <w:proofErr w:type="gramStart"/>
      <w:r w:rsidRPr="007F0962">
        <w:rPr>
          <w:rFonts w:ascii="Garamond" w:hAnsi="Garamond"/>
          <w:lang w:val="en-AU"/>
        </w:rPr>
        <w:t>in order to</w:t>
      </w:r>
      <w:proofErr w:type="gramEnd"/>
      <w:r w:rsidRPr="007F0962">
        <w:rPr>
          <w:rFonts w:ascii="Garamond" w:hAnsi="Garamond"/>
          <w:lang w:val="en-AU"/>
        </w:rPr>
        <w:t xml:space="preserve">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941FFA" w:rsidP="00D574D3">
      <w:pPr>
        <w:keepNext/>
        <w:keepLines/>
        <w:rPr>
          <w:rFonts w:ascii="Garamond" w:hAnsi="Garamond"/>
          <w:lang w:val="en-AU"/>
        </w:rPr>
      </w:pPr>
      <w:hyperlink r:id="rId65" w:history="1">
        <w:r w:rsidR="00D574D3" w:rsidRPr="007F0962">
          <w:rPr>
            <w:rStyle w:val="Hyperlink"/>
            <w:rFonts w:ascii="Garamond" w:hAnsi="Garamond"/>
            <w:lang w:val="en-AU"/>
          </w:rPr>
          <w:t>https://www.aci.health.nsw.gov.au/covid-19/critical-intelligence-unit</w:t>
        </w:r>
      </w:hyperlink>
    </w:p>
    <w:p w14:paraId="776A3053" w14:textId="7201BCE9"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w:t>
      </w:r>
      <w:proofErr w:type="gramStart"/>
      <w:r w:rsidRPr="007F0962">
        <w:rPr>
          <w:rFonts w:ascii="Garamond" w:hAnsi="Garamond"/>
          <w:lang w:val="en-AU"/>
        </w:rPr>
        <w:t>intelligence</w:t>
      </w:r>
      <w:proofErr w:type="gramEnd"/>
      <w:r w:rsidRPr="007F0962">
        <w:rPr>
          <w:rFonts w:ascii="Garamond" w:hAnsi="Garamond"/>
          <w:lang w:val="en-AU"/>
        </w:rPr>
        <w:t xml:space="preserv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50C0F5CD" w14:textId="1A725A42" w:rsidR="00EF6217" w:rsidRPr="00EF6217" w:rsidRDefault="00EF6217" w:rsidP="00CD0982">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6B215F93" w14:textId="77777777" w:rsidR="00F509BF" w:rsidRPr="00F509BF" w:rsidRDefault="00F509BF" w:rsidP="00F509BF">
      <w:pPr>
        <w:pStyle w:val="ListParagraph"/>
        <w:numPr>
          <w:ilvl w:val="0"/>
          <w:numId w:val="14"/>
        </w:numPr>
        <w:rPr>
          <w:rFonts w:ascii="Garamond" w:hAnsi="Garamond"/>
          <w:lang w:val="en-AU"/>
        </w:rPr>
      </w:pPr>
      <w:r w:rsidRPr="00F509BF">
        <w:rPr>
          <w:rFonts w:ascii="Garamond" w:hAnsi="Garamond"/>
          <w:lang w:val="en-AU"/>
        </w:rPr>
        <w:t xml:space="preserve"> Show summary </w:t>
      </w:r>
      <w:proofErr w:type="gramStart"/>
      <w:r w:rsidRPr="00F509BF">
        <w:rPr>
          <w:rFonts w:ascii="Garamond" w:hAnsi="Garamond"/>
          <w:lang w:val="en-AU"/>
        </w:rPr>
        <w:t>|  Download</w:t>
      </w:r>
      <w:proofErr w:type="gramEnd"/>
      <w:r w:rsidRPr="00F509BF">
        <w:rPr>
          <w:rFonts w:ascii="Garamond" w:hAnsi="Garamond"/>
          <w:lang w:val="en-AU"/>
        </w:rPr>
        <w:t xml:space="preserve"> full Evidence Check (PDF 189 KB)</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51EBC93A" w14:textId="65D3FBAF"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Omicron (BA.2 sub-lineage)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available evidence for the BA.2 sub-lineage of the Omicron variant of concern?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Post acute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4049AA7" w14:textId="25D2C4A6"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C0604A7" w:rsidR="00D750EE" w:rsidRP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1A2CC78F" w14:textId="21CEE2D5" w:rsidR="00D20670" w:rsidRDefault="00D20670" w:rsidP="00DB4AE7">
      <w:pPr>
        <w:rPr>
          <w:rFonts w:ascii="Garamond" w:hAnsi="Garamond"/>
          <w:lang w:val="en-AU"/>
        </w:rPr>
      </w:pPr>
    </w:p>
    <w:p w14:paraId="18E0C6A5" w14:textId="77777777" w:rsidR="00F509BF" w:rsidRDefault="00F509BF" w:rsidP="00DB4AE7">
      <w:pPr>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2EA64CFA"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66"/>
      <w:footerReference w:type="default" r:id="rId67"/>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9791F" w14:textId="77777777" w:rsidR="00407C34" w:rsidRDefault="00407C34">
      <w:r>
        <w:separator/>
      </w:r>
    </w:p>
  </w:endnote>
  <w:endnote w:type="continuationSeparator" w:id="0">
    <w:p w14:paraId="07587BE1" w14:textId="77777777" w:rsidR="00407C34" w:rsidRDefault="0040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2148" w14:textId="77777777" w:rsidR="00CE052E" w:rsidRDefault="00CE052E"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6026505C" w:rsidR="00CE052E" w:rsidRPr="001E78F0" w:rsidRDefault="00CE052E"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54</w:t>
    </w:r>
    <w:r w:rsidR="000B5EA6">
      <w:rPr>
        <w:rFonts w:ascii="Garamond" w:hAnsi="Garamond"/>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8854" w14:textId="77777777" w:rsidR="00CE052E" w:rsidRPr="001E78F0" w:rsidRDefault="00CE052E"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520C0E8F" w:rsidR="00CE052E" w:rsidRPr="001E78F0" w:rsidRDefault="00CE052E" w:rsidP="00E66B3F">
    <w:pPr>
      <w:pStyle w:val="Footer"/>
      <w:tabs>
        <w:tab w:val="clear" w:pos="4153"/>
        <w:tab w:val="clear" w:pos="8306"/>
        <w:tab w:val="left" w:pos="3008"/>
      </w:tabs>
      <w:ind w:right="360"/>
      <w:rPr>
        <w:rFonts w:ascii="Garamond" w:hAnsi="Garamond"/>
      </w:rPr>
    </w:pPr>
    <w:r w:rsidRPr="001E78F0">
      <w:rPr>
        <w:rFonts w:ascii="Garamond" w:hAnsi="Garamond"/>
        <w:i/>
      </w:rPr>
      <w:t>On the Radar</w:t>
    </w:r>
    <w:r>
      <w:rPr>
        <w:rFonts w:ascii="Garamond" w:hAnsi="Garamond"/>
      </w:rPr>
      <w:t xml:space="preserve"> Issue 54</w:t>
    </w:r>
    <w:r w:rsidR="000B5EA6">
      <w:rPr>
        <w:rFonts w:ascii="Garamond" w:hAnsi="Garamond"/>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01072" w14:textId="77777777" w:rsidR="00407C34" w:rsidRDefault="00407C34">
      <w:r>
        <w:separator/>
      </w:r>
    </w:p>
  </w:footnote>
  <w:footnote w:type="continuationSeparator" w:id="0">
    <w:p w14:paraId="0210F66D" w14:textId="77777777" w:rsidR="00407C34" w:rsidRDefault="00407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2E25"/>
    <w:multiLevelType w:val="hybridMultilevel"/>
    <w:tmpl w:val="0BD8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AE4B3F"/>
    <w:multiLevelType w:val="hybridMultilevel"/>
    <w:tmpl w:val="DDA244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7148B4"/>
    <w:multiLevelType w:val="hybridMultilevel"/>
    <w:tmpl w:val="D39E0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B5530"/>
    <w:multiLevelType w:val="hybridMultilevel"/>
    <w:tmpl w:val="A536B27A"/>
    <w:lvl w:ilvl="0" w:tplc="6AA814D8">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C46301"/>
    <w:multiLevelType w:val="hybridMultilevel"/>
    <w:tmpl w:val="F51E0C5E"/>
    <w:lvl w:ilvl="0" w:tplc="4308E45A">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826DAC"/>
    <w:multiLevelType w:val="hybridMultilevel"/>
    <w:tmpl w:val="400EE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5A6067"/>
    <w:multiLevelType w:val="hybridMultilevel"/>
    <w:tmpl w:val="31E8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E36B1"/>
    <w:multiLevelType w:val="hybridMultilevel"/>
    <w:tmpl w:val="E2C2C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F445DF"/>
    <w:multiLevelType w:val="hybridMultilevel"/>
    <w:tmpl w:val="9B7EDABA"/>
    <w:lvl w:ilvl="0" w:tplc="A266A1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296BDA"/>
    <w:multiLevelType w:val="hybridMultilevel"/>
    <w:tmpl w:val="A178E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3A3FEC"/>
    <w:multiLevelType w:val="hybridMultilevel"/>
    <w:tmpl w:val="EB5A9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1C135B"/>
    <w:multiLevelType w:val="hybridMultilevel"/>
    <w:tmpl w:val="7286DC18"/>
    <w:lvl w:ilvl="0" w:tplc="A266A1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BF63F5"/>
    <w:multiLevelType w:val="hybridMultilevel"/>
    <w:tmpl w:val="D602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6739DA"/>
    <w:multiLevelType w:val="hybridMultilevel"/>
    <w:tmpl w:val="0AF263BC"/>
    <w:lvl w:ilvl="0" w:tplc="4308E45A">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D03703"/>
    <w:multiLevelType w:val="hybridMultilevel"/>
    <w:tmpl w:val="691E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5870D5"/>
    <w:multiLevelType w:val="hybridMultilevel"/>
    <w:tmpl w:val="F05C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FA4495"/>
    <w:multiLevelType w:val="hybridMultilevel"/>
    <w:tmpl w:val="ED18478A"/>
    <w:lvl w:ilvl="0" w:tplc="6AA814D8">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864006"/>
    <w:multiLevelType w:val="hybridMultilevel"/>
    <w:tmpl w:val="E7CC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313E28"/>
    <w:multiLevelType w:val="hybridMultilevel"/>
    <w:tmpl w:val="36A82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FF5FF0"/>
    <w:multiLevelType w:val="hybridMultilevel"/>
    <w:tmpl w:val="66D0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764110"/>
    <w:multiLevelType w:val="hybridMultilevel"/>
    <w:tmpl w:val="79949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43791"/>
    <w:multiLevelType w:val="hybridMultilevel"/>
    <w:tmpl w:val="C778D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E16A15"/>
    <w:multiLevelType w:val="hybridMultilevel"/>
    <w:tmpl w:val="FB14E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CE6486"/>
    <w:multiLevelType w:val="hybridMultilevel"/>
    <w:tmpl w:val="67F0CF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09559DA"/>
    <w:multiLevelType w:val="hybridMultilevel"/>
    <w:tmpl w:val="B71A0B2E"/>
    <w:lvl w:ilvl="0" w:tplc="A266A1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1B024F"/>
    <w:multiLevelType w:val="hybridMultilevel"/>
    <w:tmpl w:val="4210C494"/>
    <w:lvl w:ilvl="0" w:tplc="384E8B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605849"/>
    <w:multiLevelType w:val="hybridMultilevel"/>
    <w:tmpl w:val="268AC22A"/>
    <w:lvl w:ilvl="0" w:tplc="50D21B3C">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B80B9D"/>
    <w:multiLevelType w:val="hybridMultilevel"/>
    <w:tmpl w:val="62282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4E13CD"/>
    <w:multiLevelType w:val="hybridMultilevel"/>
    <w:tmpl w:val="BB4CF5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3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25"/>
  </w:num>
  <w:num w:numId="15">
    <w:abstractNumId w:val="20"/>
  </w:num>
  <w:num w:numId="16">
    <w:abstractNumId w:val="31"/>
  </w:num>
  <w:num w:numId="17">
    <w:abstractNumId w:val="28"/>
  </w:num>
  <w:num w:numId="18">
    <w:abstractNumId w:val="41"/>
  </w:num>
  <w:num w:numId="19">
    <w:abstractNumId w:val="37"/>
  </w:num>
  <w:num w:numId="20">
    <w:abstractNumId w:val="14"/>
  </w:num>
  <w:num w:numId="21">
    <w:abstractNumId w:val="35"/>
  </w:num>
  <w:num w:numId="22">
    <w:abstractNumId w:val="11"/>
  </w:num>
  <w:num w:numId="23">
    <w:abstractNumId w:val="43"/>
  </w:num>
  <w:num w:numId="24">
    <w:abstractNumId w:val="42"/>
  </w:num>
  <w:num w:numId="25">
    <w:abstractNumId w:val="30"/>
  </w:num>
  <w:num w:numId="26">
    <w:abstractNumId w:val="16"/>
  </w:num>
  <w:num w:numId="27">
    <w:abstractNumId w:val="17"/>
  </w:num>
  <w:num w:numId="28">
    <w:abstractNumId w:val="34"/>
  </w:num>
  <w:num w:numId="29">
    <w:abstractNumId w:val="36"/>
  </w:num>
  <w:num w:numId="30">
    <w:abstractNumId w:val="22"/>
  </w:num>
  <w:num w:numId="31">
    <w:abstractNumId w:val="23"/>
  </w:num>
  <w:num w:numId="32">
    <w:abstractNumId w:val="38"/>
  </w:num>
  <w:num w:numId="33">
    <w:abstractNumId w:val="19"/>
  </w:num>
  <w:num w:numId="34">
    <w:abstractNumId w:val="33"/>
  </w:num>
  <w:num w:numId="35">
    <w:abstractNumId w:val="29"/>
  </w:num>
  <w:num w:numId="36">
    <w:abstractNumId w:val="13"/>
  </w:num>
  <w:num w:numId="37">
    <w:abstractNumId w:val="21"/>
  </w:num>
  <w:num w:numId="38">
    <w:abstractNumId w:val="40"/>
  </w:num>
  <w:num w:numId="39">
    <w:abstractNumId w:val="27"/>
  </w:num>
  <w:num w:numId="40">
    <w:abstractNumId w:val="26"/>
  </w:num>
  <w:num w:numId="41">
    <w:abstractNumId w:val="15"/>
  </w:num>
  <w:num w:numId="42">
    <w:abstractNumId w:val="18"/>
  </w:num>
  <w:num w:numId="43">
    <w:abstractNumId w:val="12"/>
  </w:num>
  <w:num w:numId="4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5AE"/>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5C"/>
    <w:rsid w:val="00012357"/>
    <w:rsid w:val="00012462"/>
    <w:rsid w:val="00012841"/>
    <w:rsid w:val="00012904"/>
    <w:rsid w:val="00012B48"/>
    <w:rsid w:val="00012B53"/>
    <w:rsid w:val="00012DDC"/>
    <w:rsid w:val="00012E0F"/>
    <w:rsid w:val="00012FCF"/>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30E"/>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8E"/>
    <w:rsid w:val="00024E2E"/>
    <w:rsid w:val="00024FCC"/>
    <w:rsid w:val="000254D2"/>
    <w:rsid w:val="000255F6"/>
    <w:rsid w:val="000258C2"/>
    <w:rsid w:val="00025991"/>
    <w:rsid w:val="00025D95"/>
    <w:rsid w:val="00025DC1"/>
    <w:rsid w:val="00025DFC"/>
    <w:rsid w:val="00025ED6"/>
    <w:rsid w:val="000267F1"/>
    <w:rsid w:val="00026C43"/>
    <w:rsid w:val="00026C9C"/>
    <w:rsid w:val="00026CA9"/>
    <w:rsid w:val="00026E16"/>
    <w:rsid w:val="00026E7E"/>
    <w:rsid w:val="00027059"/>
    <w:rsid w:val="00027062"/>
    <w:rsid w:val="00027144"/>
    <w:rsid w:val="00027216"/>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BB"/>
    <w:rsid w:val="000418C2"/>
    <w:rsid w:val="00041A76"/>
    <w:rsid w:val="00041B2D"/>
    <w:rsid w:val="00041B4A"/>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4A5"/>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90C"/>
    <w:rsid w:val="00056FAD"/>
    <w:rsid w:val="00057111"/>
    <w:rsid w:val="0005715D"/>
    <w:rsid w:val="00057184"/>
    <w:rsid w:val="00057ABB"/>
    <w:rsid w:val="00057DD4"/>
    <w:rsid w:val="000602C8"/>
    <w:rsid w:val="000606EF"/>
    <w:rsid w:val="0006079C"/>
    <w:rsid w:val="00060926"/>
    <w:rsid w:val="00060AFD"/>
    <w:rsid w:val="00060F3C"/>
    <w:rsid w:val="000610CB"/>
    <w:rsid w:val="000613E1"/>
    <w:rsid w:val="00061609"/>
    <w:rsid w:val="00061824"/>
    <w:rsid w:val="000618E2"/>
    <w:rsid w:val="00061B9C"/>
    <w:rsid w:val="00061C52"/>
    <w:rsid w:val="00061D38"/>
    <w:rsid w:val="00061E6A"/>
    <w:rsid w:val="00061F1E"/>
    <w:rsid w:val="0006203E"/>
    <w:rsid w:val="0006211D"/>
    <w:rsid w:val="00062139"/>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AD9"/>
    <w:rsid w:val="00076CA1"/>
    <w:rsid w:val="00076F63"/>
    <w:rsid w:val="0007700B"/>
    <w:rsid w:val="00077417"/>
    <w:rsid w:val="000774CF"/>
    <w:rsid w:val="00077753"/>
    <w:rsid w:val="000778FC"/>
    <w:rsid w:val="00077931"/>
    <w:rsid w:val="00077ADD"/>
    <w:rsid w:val="00077D98"/>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57B"/>
    <w:rsid w:val="000A7A1F"/>
    <w:rsid w:val="000A7A27"/>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211E"/>
    <w:rsid w:val="000C2240"/>
    <w:rsid w:val="000C2319"/>
    <w:rsid w:val="000C2463"/>
    <w:rsid w:val="000C262B"/>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890"/>
    <w:rsid w:val="000C69AC"/>
    <w:rsid w:val="000C6A11"/>
    <w:rsid w:val="000C6A18"/>
    <w:rsid w:val="000C6A68"/>
    <w:rsid w:val="000C6C26"/>
    <w:rsid w:val="000C7205"/>
    <w:rsid w:val="000C7298"/>
    <w:rsid w:val="000C7336"/>
    <w:rsid w:val="000C75F9"/>
    <w:rsid w:val="000C78AB"/>
    <w:rsid w:val="000C7ED8"/>
    <w:rsid w:val="000C7F8E"/>
    <w:rsid w:val="000D007F"/>
    <w:rsid w:val="000D0208"/>
    <w:rsid w:val="000D04A6"/>
    <w:rsid w:val="000D04F2"/>
    <w:rsid w:val="000D085D"/>
    <w:rsid w:val="000D08A2"/>
    <w:rsid w:val="000D09ED"/>
    <w:rsid w:val="000D0AC4"/>
    <w:rsid w:val="000D0EF6"/>
    <w:rsid w:val="000D0F62"/>
    <w:rsid w:val="000D111F"/>
    <w:rsid w:val="000D124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F6"/>
    <w:rsid w:val="000F1C1A"/>
    <w:rsid w:val="000F1C5A"/>
    <w:rsid w:val="000F1E80"/>
    <w:rsid w:val="000F1FD1"/>
    <w:rsid w:val="000F2054"/>
    <w:rsid w:val="000F214D"/>
    <w:rsid w:val="000F2187"/>
    <w:rsid w:val="000F22AD"/>
    <w:rsid w:val="000F25D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607"/>
    <w:rsid w:val="0010063E"/>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934"/>
    <w:rsid w:val="00111962"/>
    <w:rsid w:val="00111A25"/>
    <w:rsid w:val="00111CFE"/>
    <w:rsid w:val="001121BB"/>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E9"/>
    <w:rsid w:val="00115990"/>
    <w:rsid w:val="00115BC2"/>
    <w:rsid w:val="00115BD2"/>
    <w:rsid w:val="00115C15"/>
    <w:rsid w:val="00115C36"/>
    <w:rsid w:val="00116200"/>
    <w:rsid w:val="0011625A"/>
    <w:rsid w:val="001163FE"/>
    <w:rsid w:val="00116450"/>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387"/>
    <w:rsid w:val="00124575"/>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580"/>
    <w:rsid w:val="0013273A"/>
    <w:rsid w:val="00132A3B"/>
    <w:rsid w:val="00132CB3"/>
    <w:rsid w:val="00132E71"/>
    <w:rsid w:val="00132EF5"/>
    <w:rsid w:val="00132F6F"/>
    <w:rsid w:val="00132F90"/>
    <w:rsid w:val="00132FB2"/>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CD4"/>
    <w:rsid w:val="00184E89"/>
    <w:rsid w:val="00184E9E"/>
    <w:rsid w:val="00184F2A"/>
    <w:rsid w:val="00184FDD"/>
    <w:rsid w:val="00185083"/>
    <w:rsid w:val="00185608"/>
    <w:rsid w:val="001857E7"/>
    <w:rsid w:val="00185878"/>
    <w:rsid w:val="001859A0"/>
    <w:rsid w:val="001859BD"/>
    <w:rsid w:val="00185C3D"/>
    <w:rsid w:val="00185CF4"/>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F0"/>
    <w:rsid w:val="001C1625"/>
    <w:rsid w:val="001C1658"/>
    <w:rsid w:val="001C16FC"/>
    <w:rsid w:val="001C1830"/>
    <w:rsid w:val="001C1ECB"/>
    <w:rsid w:val="001C21E6"/>
    <w:rsid w:val="001C2357"/>
    <w:rsid w:val="001C238F"/>
    <w:rsid w:val="001C23FF"/>
    <w:rsid w:val="001C2598"/>
    <w:rsid w:val="001C2CA3"/>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DDE"/>
    <w:rsid w:val="001D4F86"/>
    <w:rsid w:val="001D50D9"/>
    <w:rsid w:val="001D5299"/>
    <w:rsid w:val="001D55DF"/>
    <w:rsid w:val="001D5789"/>
    <w:rsid w:val="001D5978"/>
    <w:rsid w:val="001D5A47"/>
    <w:rsid w:val="001D60B4"/>
    <w:rsid w:val="001D6132"/>
    <w:rsid w:val="001D6223"/>
    <w:rsid w:val="001D63AF"/>
    <w:rsid w:val="001D6426"/>
    <w:rsid w:val="001D6550"/>
    <w:rsid w:val="001D67EA"/>
    <w:rsid w:val="001D6861"/>
    <w:rsid w:val="001D6B38"/>
    <w:rsid w:val="001D6B57"/>
    <w:rsid w:val="001D6C6C"/>
    <w:rsid w:val="001D6E06"/>
    <w:rsid w:val="001D70A5"/>
    <w:rsid w:val="001D7135"/>
    <w:rsid w:val="001D7192"/>
    <w:rsid w:val="001D71B4"/>
    <w:rsid w:val="001D7200"/>
    <w:rsid w:val="001D7487"/>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51"/>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DC4"/>
    <w:rsid w:val="001F403C"/>
    <w:rsid w:val="001F4157"/>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76E"/>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9D0"/>
    <w:rsid w:val="002109FD"/>
    <w:rsid w:val="00210A87"/>
    <w:rsid w:val="00210B78"/>
    <w:rsid w:val="00210CC3"/>
    <w:rsid w:val="00210D69"/>
    <w:rsid w:val="002111C4"/>
    <w:rsid w:val="002111C5"/>
    <w:rsid w:val="0021143B"/>
    <w:rsid w:val="00211614"/>
    <w:rsid w:val="0021172A"/>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510"/>
    <w:rsid w:val="00216567"/>
    <w:rsid w:val="002165DE"/>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CB8"/>
    <w:rsid w:val="00251D5E"/>
    <w:rsid w:val="00251E07"/>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6C5"/>
    <w:rsid w:val="00277A11"/>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2C3"/>
    <w:rsid w:val="0028640E"/>
    <w:rsid w:val="002864A3"/>
    <w:rsid w:val="00286879"/>
    <w:rsid w:val="002868A2"/>
    <w:rsid w:val="002868AE"/>
    <w:rsid w:val="00286B4E"/>
    <w:rsid w:val="00286B88"/>
    <w:rsid w:val="00286D37"/>
    <w:rsid w:val="00286EAC"/>
    <w:rsid w:val="002870CE"/>
    <w:rsid w:val="00287182"/>
    <w:rsid w:val="002872C3"/>
    <w:rsid w:val="0028738D"/>
    <w:rsid w:val="0028743D"/>
    <w:rsid w:val="002876DF"/>
    <w:rsid w:val="00287798"/>
    <w:rsid w:val="0028783C"/>
    <w:rsid w:val="00287CBB"/>
    <w:rsid w:val="00287D72"/>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A1"/>
    <w:rsid w:val="0029390F"/>
    <w:rsid w:val="00293964"/>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D0F"/>
    <w:rsid w:val="002E1F03"/>
    <w:rsid w:val="002E23F9"/>
    <w:rsid w:val="002E2687"/>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DE2"/>
    <w:rsid w:val="00301F1F"/>
    <w:rsid w:val="00302133"/>
    <w:rsid w:val="003021D2"/>
    <w:rsid w:val="00302358"/>
    <w:rsid w:val="00302FB3"/>
    <w:rsid w:val="00303085"/>
    <w:rsid w:val="0030331D"/>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13"/>
    <w:rsid w:val="00321236"/>
    <w:rsid w:val="00321757"/>
    <w:rsid w:val="00321B69"/>
    <w:rsid w:val="00321CEF"/>
    <w:rsid w:val="00321DAA"/>
    <w:rsid w:val="00321DAD"/>
    <w:rsid w:val="00321E21"/>
    <w:rsid w:val="0032200F"/>
    <w:rsid w:val="0032214F"/>
    <w:rsid w:val="003222C3"/>
    <w:rsid w:val="003224C9"/>
    <w:rsid w:val="003225C2"/>
    <w:rsid w:val="003228AA"/>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1E"/>
    <w:rsid w:val="003349B6"/>
    <w:rsid w:val="00334CDC"/>
    <w:rsid w:val="00334E24"/>
    <w:rsid w:val="00334EB5"/>
    <w:rsid w:val="00334EBF"/>
    <w:rsid w:val="00334F53"/>
    <w:rsid w:val="00335238"/>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2A1"/>
    <w:rsid w:val="00353533"/>
    <w:rsid w:val="003537CA"/>
    <w:rsid w:val="00353AAC"/>
    <w:rsid w:val="00353DBF"/>
    <w:rsid w:val="00353E62"/>
    <w:rsid w:val="00353F91"/>
    <w:rsid w:val="0035408C"/>
    <w:rsid w:val="003540E0"/>
    <w:rsid w:val="003541B3"/>
    <w:rsid w:val="00354740"/>
    <w:rsid w:val="003547D2"/>
    <w:rsid w:val="00354906"/>
    <w:rsid w:val="00354B63"/>
    <w:rsid w:val="00354BC1"/>
    <w:rsid w:val="00354C54"/>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457"/>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AF2"/>
    <w:rsid w:val="003A7C4D"/>
    <w:rsid w:val="003A7D67"/>
    <w:rsid w:val="003A7E4C"/>
    <w:rsid w:val="003B0336"/>
    <w:rsid w:val="003B03E4"/>
    <w:rsid w:val="003B0712"/>
    <w:rsid w:val="003B0982"/>
    <w:rsid w:val="003B0B62"/>
    <w:rsid w:val="003B0E97"/>
    <w:rsid w:val="003B0F14"/>
    <w:rsid w:val="003B1021"/>
    <w:rsid w:val="003B1604"/>
    <w:rsid w:val="003B1B0D"/>
    <w:rsid w:val="003B1EB5"/>
    <w:rsid w:val="003B1FFB"/>
    <w:rsid w:val="003B21DC"/>
    <w:rsid w:val="003B251D"/>
    <w:rsid w:val="003B2606"/>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27B"/>
    <w:rsid w:val="003C246D"/>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DC0"/>
    <w:rsid w:val="003C6F8F"/>
    <w:rsid w:val="003C7040"/>
    <w:rsid w:val="003C705F"/>
    <w:rsid w:val="003C70D0"/>
    <w:rsid w:val="003C738D"/>
    <w:rsid w:val="003C7404"/>
    <w:rsid w:val="003C7452"/>
    <w:rsid w:val="003C75BA"/>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6FA4"/>
    <w:rsid w:val="00407041"/>
    <w:rsid w:val="00407209"/>
    <w:rsid w:val="00407238"/>
    <w:rsid w:val="004072B8"/>
    <w:rsid w:val="004075DB"/>
    <w:rsid w:val="00407738"/>
    <w:rsid w:val="0040773F"/>
    <w:rsid w:val="004077C5"/>
    <w:rsid w:val="00407B31"/>
    <w:rsid w:val="00407B96"/>
    <w:rsid w:val="00407C34"/>
    <w:rsid w:val="00407D0D"/>
    <w:rsid w:val="00407DC7"/>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7BB"/>
    <w:rsid w:val="00414843"/>
    <w:rsid w:val="004148AA"/>
    <w:rsid w:val="00414FAF"/>
    <w:rsid w:val="00415487"/>
    <w:rsid w:val="00415573"/>
    <w:rsid w:val="004155A2"/>
    <w:rsid w:val="00415AD6"/>
    <w:rsid w:val="00415B1F"/>
    <w:rsid w:val="00415D44"/>
    <w:rsid w:val="00416045"/>
    <w:rsid w:val="0041657F"/>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388"/>
    <w:rsid w:val="0042680B"/>
    <w:rsid w:val="00426902"/>
    <w:rsid w:val="00426915"/>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726"/>
    <w:rsid w:val="00442765"/>
    <w:rsid w:val="004427E3"/>
    <w:rsid w:val="0044295C"/>
    <w:rsid w:val="00442A21"/>
    <w:rsid w:val="00442A60"/>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AB"/>
    <w:rsid w:val="004518D3"/>
    <w:rsid w:val="00451DFF"/>
    <w:rsid w:val="00451F77"/>
    <w:rsid w:val="004522D6"/>
    <w:rsid w:val="004524D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F0"/>
    <w:rsid w:val="00457F82"/>
    <w:rsid w:val="00460040"/>
    <w:rsid w:val="00460085"/>
    <w:rsid w:val="00460264"/>
    <w:rsid w:val="004603C9"/>
    <w:rsid w:val="004604C4"/>
    <w:rsid w:val="004604CE"/>
    <w:rsid w:val="004604FE"/>
    <w:rsid w:val="00460719"/>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456"/>
    <w:rsid w:val="0047663A"/>
    <w:rsid w:val="00476E8B"/>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B6E"/>
    <w:rsid w:val="00480D73"/>
    <w:rsid w:val="00480D9D"/>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617E"/>
    <w:rsid w:val="004A61B9"/>
    <w:rsid w:val="004A61D8"/>
    <w:rsid w:val="004A62AF"/>
    <w:rsid w:val="004A6731"/>
    <w:rsid w:val="004A6761"/>
    <w:rsid w:val="004A68C4"/>
    <w:rsid w:val="004A6998"/>
    <w:rsid w:val="004A6C1B"/>
    <w:rsid w:val="004A6C50"/>
    <w:rsid w:val="004A708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C90"/>
    <w:rsid w:val="004C0E6C"/>
    <w:rsid w:val="004C103E"/>
    <w:rsid w:val="004C157F"/>
    <w:rsid w:val="004C1774"/>
    <w:rsid w:val="004C1809"/>
    <w:rsid w:val="004C1999"/>
    <w:rsid w:val="004C1A8B"/>
    <w:rsid w:val="004C1B5F"/>
    <w:rsid w:val="004C1CA2"/>
    <w:rsid w:val="004C1D03"/>
    <w:rsid w:val="004C1E4B"/>
    <w:rsid w:val="004C1EE4"/>
    <w:rsid w:val="004C20C0"/>
    <w:rsid w:val="004C215D"/>
    <w:rsid w:val="004C2277"/>
    <w:rsid w:val="004C2534"/>
    <w:rsid w:val="004C2559"/>
    <w:rsid w:val="004C2A4F"/>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E3"/>
    <w:rsid w:val="004C75E6"/>
    <w:rsid w:val="004C78C9"/>
    <w:rsid w:val="004C78CF"/>
    <w:rsid w:val="004C7A99"/>
    <w:rsid w:val="004C7C67"/>
    <w:rsid w:val="004C7F9A"/>
    <w:rsid w:val="004D0158"/>
    <w:rsid w:val="004D02FF"/>
    <w:rsid w:val="004D07A8"/>
    <w:rsid w:val="004D097D"/>
    <w:rsid w:val="004D0E80"/>
    <w:rsid w:val="004D102D"/>
    <w:rsid w:val="004D1103"/>
    <w:rsid w:val="004D15D3"/>
    <w:rsid w:val="004D1680"/>
    <w:rsid w:val="004D1B8C"/>
    <w:rsid w:val="004D1BFB"/>
    <w:rsid w:val="004D1F6E"/>
    <w:rsid w:val="004D255A"/>
    <w:rsid w:val="004D267F"/>
    <w:rsid w:val="004D2854"/>
    <w:rsid w:val="004D28FC"/>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9EF"/>
    <w:rsid w:val="004E0D02"/>
    <w:rsid w:val="004E135C"/>
    <w:rsid w:val="004E136F"/>
    <w:rsid w:val="004E13B4"/>
    <w:rsid w:val="004E1437"/>
    <w:rsid w:val="004E1D7E"/>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E5"/>
    <w:rsid w:val="004F3886"/>
    <w:rsid w:val="004F39B7"/>
    <w:rsid w:val="004F3C24"/>
    <w:rsid w:val="004F3C8A"/>
    <w:rsid w:val="004F3F9A"/>
    <w:rsid w:val="004F401F"/>
    <w:rsid w:val="004F41F6"/>
    <w:rsid w:val="004F43A3"/>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64E"/>
    <w:rsid w:val="00511B26"/>
    <w:rsid w:val="00511CC9"/>
    <w:rsid w:val="00511D5B"/>
    <w:rsid w:val="00511D8A"/>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8C8"/>
    <w:rsid w:val="00517A0E"/>
    <w:rsid w:val="00520061"/>
    <w:rsid w:val="00520243"/>
    <w:rsid w:val="0052038D"/>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C7"/>
    <w:rsid w:val="00553C53"/>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4DF"/>
    <w:rsid w:val="005817D9"/>
    <w:rsid w:val="005819E8"/>
    <w:rsid w:val="00581A15"/>
    <w:rsid w:val="00581BB3"/>
    <w:rsid w:val="00581DB6"/>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460"/>
    <w:rsid w:val="00586619"/>
    <w:rsid w:val="00586661"/>
    <w:rsid w:val="00586771"/>
    <w:rsid w:val="0058688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052"/>
    <w:rsid w:val="0059228A"/>
    <w:rsid w:val="00592477"/>
    <w:rsid w:val="005925D0"/>
    <w:rsid w:val="00592652"/>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94"/>
    <w:rsid w:val="005B54DD"/>
    <w:rsid w:val="005B55E4"/>
    <w:rsid w:val="005B57C1"/>
    <w:rsid w:val="005B5CDA"/>
    <w:rsid w:val="005B5E5B"/>
    <w:rsid w:val="005B5EA5"/>
    <w:rsid w:val="005B61CF"/>
    <w:rsid w:val="005B6459"/>
    <w:rsid w:val="005B676D"/>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99"/>
    <w:rsid w:val="005F52C2"/>
    <w:rsid w:val="005F5344"/>
    <w:rsid w:val="005F5397"/>
    <w:rsid w:val="005F53B3"/>
    <w:rsid w:val="005F5633"/>
    <w:rsid w:val="005F57D7"/>
    <w:rsid w:val="005F58B1"/>
    <w:rsid w:val="005F5D88"/>
    <w:rsid w:val="005F5DA5"/>
    <w:rsid w:val="005F5F5D"/>
    <w:rsid w:val="005F5F62"/>
    <w:rsid w:val="005F60F6"/>
    <w:rsid w:val="005F635E"/>
    <w:rsid w:val="005F63CD"/>
    <w:rsid w:val="005F651A"/>
    <w:rsid w:val="005F651F"/>
    <w:rsid w:val="005F65E7"/>
    <w:rsid w:val="005F68EE"/>
    <w:rsid w:val="005F6C62"/>
    <w:rsid w:val="005F6E21"/>
    <w:rsid w:val="005F6F8E"/>
    <w:rsid w:val="005F7107"/>
    <w:rsid w:val="005F7381"/>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CB5"/>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7A8"/>
    <w:rsid w:val="00633A56"/>
    <w:rsid w:val="00633A7D"/>
    <w:rsid w:val="00633BFE"/>
    <w:rsid w:val="00633CF2"/>
    <w:rsid w:val="00633DBF"/>
    <w:rsid w:val="00634312"/>
    <w:rsid w:val="006344D4"/>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914"/>
    <w:rsid w:val="00640A0E"/>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DD"/>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5A9"/>
    <w:rsid w:val="00665B3B"/>
    <w:rsid w:val="00665D8A"/>
    <w:rsid w:val="00665E77"/>
    <w:rsid w:val="0066628E"/>
    <w:rsid w:val="006662D8"/>
    <w:rsid w:val="0066672C"/>
    <w:rsid w:val="0066678E"/>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495"/>
    <w:rsid w:val="006844F8"/>
    <w:rsid w:val="00684544"/>
    <w:rsid w:val="0068468B"/>
    <w:rsid w:val="0068493F"/>
    <w:rsid w:val="00684B28"/>
    <w:rsid w:val="00684F49"/>
    <w:rsid w:val="00685385"/>
    <w:rsid w:val="006854BA"/>
    <w:rsid w:val="0068571D"/>
    <w:rsid w:val="006859F3"/>
    <w:rsid w:val="00685C11"/>
    <w:rsid w:val="00685E98"/>
    <w:rsid w:val="0068623A"/>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7D"/>
    <w:rsid w:val="00691DE3"/>
    <w:rsid w:val="00691EB5"/>
    <w:rsid w:val="00692149"/>
    <w:rsid w:val="006923B3"/>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C3"/>
    <w:rsid w:val="006A6AFB"/>
    <w:rsid w:val="006A6DC0"/>
    <w:rsid w:val="006A6E27"/>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353"/>
    <w:rsid w:val="006B7365"/>
    <w:rsid w:val="006B7376"/>
    <w:rsid w:val="006B775B"/>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5C"/>
    <w:rsid w:val="006E508F"/>
    <w:rsid w:val="006E509D"/>
    <w:rsid w:val="006E518F"/>
    <w:rsid w:val="006E5352"/>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10BB"/>
    <w:rsid w:val="0073113F"/>
    <w:rsid w:val="00731427"/>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D5A"/>
    <w:rsid w:val="00742E35"/>
    <w:rsid w:val="0074315A"/>
    <w:rsid w:val="0074329E"/>
    <w:rsid w:val="0074338D"/>
    <w:rsid w:val="0074369F"/>
    <w:rsid w:val="00743A05"/>
    <w:rsid w:val="00743AF2"/>
    <w:rsid w:val="0074420D"/>
    <w:rsid w:val="007442A3"/>
    <w:rsid w:val="007442C9"/>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4A6"/>
    <w:rsid w:val="007466B5"/>
    <w:rsid w:val="007468BF"/>
    <w:rsid w:val="00746946"/>
    <w:rsid w:val="007469BC"/>
    <w:rsid w:val="007469F2"/>
    <w:rsid w:val="00746DE9"/>
    <w:rsid w:val="0074720A"/>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391C"/>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893"/>
    <w:rsid w:val="00776A91"/>
    <w:rsid w:val="00776AE4"/>
    <w:rsid w:val="00776B34"/>
    <w:rsid w:val="00776DCC"/>
    <w:rsid w:val="00776EE8"/>
    <w:rsid w:val="007770DE"/>
    <w:rsid w:val="00777178"/>
    <w:rsid w:val="0077737C"/>
    <w:rsid w:val="00777439"/>
    <w:rsid w:val="00777631"/>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FA0"/>
    <w:rsid w:val="0078214E"/>
    <w:rsid w:val="0078246C"/>
    <w:rsid w:val="0078297A"/>
    <w:rsid w:val="00782F05"/>
    <w:rsid w:val="00782F25"/>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BB"/>
    <w:rsid w:val="007A6A0B"/>
    <w:rsid w:val="007A6A88"/>
    <w:rsid w:val="007A6BAA"/>
    <w:rsid w:val="007A6C01"/>
    <w:rsid w:val="007A6C29"/>
    <w:rsid w:val="007A6D1E"/>
    <w:rsid w:val="007A6D59"/>
    <w:rsid w:val="007A6DC2"/>
    <w:rsid w:val="007A75CC"/>
    <w:rsid w:val="007A795F"/>
    <w:rsid w:val="007A7AE1"/>
    <w:rsid w:val="007A7B94"/>
    <w:rsid w:val="007A7CD9"/>
    <w:rsid w:val="007B00E7"/>
    <w:rsid w:val="007B0270"/>
    <w:rsid w:val="007B05B7"/>
    <w:rsid w:val="007B06DA"/>
    <w:rsid w:val="007B0734"/>
    <w:rsid w:val="007B0810"/>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AF2"/>
    <w:rsid w:val="007D1D4D"/>
    <w:rsid w:val="007D2009"/>
    <w:rsid w:val="007D21C0"/>
    <w:rsid w:val="007D2648"/>
    <w:rsid w:val="007D29FA"/>
    <w:rsid w:val="007D30B3"/>
    <w:rsid w:val="007D3239"/>
    <w:rsid w:val="007D328E"/>
    <w:rsid w:val="007D32AD"/>
    <w:rsid w:val="007D32E3"/>
    <w:rsid w:val="007D33D7"/>
    <w:rsid w:val="007D34BB"/>
    <w:rsid w:val="007D3743"/>
    <w:rsid w:val="007D3949"/>
    <w:rsid w:val="007D3A8A"/>
    <w:rsid w:val="007D3C7F"/>
    <w:rsid w:val="007D3D40"/>
    <w:rsid w:val="007D3D72"/>
    <w:rsid w:val="007D3D91"/>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30B"/>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F0"/>
    <w:rsid w:val="008207A3"/>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6AC2"/>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8CD"/>
    <w:rsid w:val="008358E8"/>
    <w:rsid w:val="00835937"/>
    <w:rsid w:val="00835A5A"/>
    <w:rsid w:val="00835A83"/>
    <w:rsid w:val="00836095"/>
    <w:rsid w:val="00836261"/>
    <w:rsid w:val="00836293"/>
    <w:rsid w:val="00836319"/>
    <w:rsid w:val="00836718"/>
    <w:rsid w:val="00836B91"/>
    <w:rsid w:val="00836C42"/>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F37"/>
    <w:rsid w:val="00853204"/>
    <w:rsid w:val="00853259"/>
    <w:rsid w:val="00853503"/>
    <w:rsid w:val="008536C5"/>
    <w:rsid w:val="00853716"/>
    <w:rsid w:val="008538D0"/>
    <w:rsid w:val="008539B9"/>
    <w:rsid w:val="00853A5C"/>
    <w:rsid w:val="00853A79"/>
    <w:rsid w:val="00853BE9"/>
    <w:rsid w:val="008540F0"/>
    <w:rsid w:val="008542E1"/>
    <w:rsid w:val="008544AB"/>
    <w:rsid w:val="008544DE"/>
    <w:rsid w:val="00854705"/>
    <w:rsid w:val="00854B0C"/>
    <w:rsid w:val="00854D01"/>
    <w:rsid w:val="00854F5A"/>
    <w:rsid w:val="00854FFF"/>
    <w:rsid w:val="008553D0"/>
    <w:rsid w:val="00855536"/>
    <w:rsid w:val="008555E1"/>
    <w:rsid w:val="00855672"/>
    <w:rsid w:val="00855925"/>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8DF"/>
    <w:rsid w:val="008669D3"/>
    <w:rsid w:val="00866B82"/>
    <w:rsid w:val="00866EBB"/>
    <w:rsid w:val="00866EF9"/>
    <w:rsid w:val="008672E0"/>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898"/>
    <w:rsid w:val="008948C9"/>
    <w:rsid w:val="00894B33"/>
    <w:rsid w:val="00894C3F"/>
    <w:rsid w:val="00894D5A"/>
    <w:rsid w:val="00894D76"/>
    <w:rsid w:val="00894D7E"/>
    <w:rsid w:val="00894F63"/>
    <w:rsid w:val="00895092"/>
    <w:rsid w:val="0089526D"/>
    <w:rsid w:val="00895274"/>
    <w:rsid w:val="00895605"/>
    <w:rsid w:val="00895B93"/>
    <w:rsid w:val="0089697C"/>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4C"/>
    <w:rsid w:val="008A3361"/>
    <w:rsid w:val="008A3857"/>
    <w:rsid w:val="008A38EA"/>
    <w:rsid w:val="008A3ABD"/>
    <w:rsid w:val="008A3D6A"/>
    <w:rsid w:val="008A3E31"/>
    <w:rsid w:val="008A3F86"/>
    <w:rsid w:val="008A41E8"/>
    <w:rsid w:val="008A435B"/>
    <w:rsid w:val="008A44E1"/>
    <w:rsid w:val="008A4615"/>
    <w:rsid w:val="008A47D4"/>
    <w:rsid w:val="008A47D6"/>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920"/>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CCA"/>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E98"/>
    <w:rsid w:val="008F1F16"/>
    <w:rsid w:val="008F1FF8"/>
    <w:rsid w:val="008F2199"/>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5FF"/>
    <w:rsid w:val="00905966"/>
    <w:rsid w:val="00905A06"/>
    <w:rsid w:val="00905A0A"/>
    <w:rsid w:val="00905A70"/>
    <w:rsid w:val="00905A83"/>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843"/>
    <w:rsid w:val="00932A44"/>
    <w:rsid w:val="00932B43"/>
    <w:rsid w:val="00932B5D"/>
    <w:rsid w:val="00932B6F"/>
    <w:rsid w:val="00932C23"/>
    <w:rsid w:val="00932DB8"/>
    <w:rsid w:val="009330B1"/>
    <w:rsid w:val="00933273"/>
    <w:rsid w:val="00933332"/>
    <w:rsid w:val="0093364F"/>
    <w:rsid w:val="009336AF"/>
    <w:rsid w:val="00933786"/>
    <w:rsid w:val="00933BE2"/>
    <w:rsid w:val="00933FB9"/>
    <w:rsid w:val="009340D9"/>
    <w:rsid w:val="00934106"/>
    <w:rsid w:val="009343E7"/>
    <w:rsid w:val="009347BC"/>
    <w:rsid w:val="009347C0"/>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4B3"/>
    <w:rsid w:val="009405A2"/>
    <w:rsid w:val="009405E3"/>
    <w:rsid w:val="009407C4"/>
    <w:rsid w:val="009407CA"/>
    <w:rsid w:val="00940F8C"/>
    <w:rsid w:val="0094108E"/>
    <w:rsid w:val="009410B4"/>
    <w:rsid w:val="0094155F"/>
    <w:rsid w:val="00941CDF"/>
    <w:rsid w:val="00941EFA"/>
    <w:rsid w:val="00941F14"/>
    <w:rsid w:val="00941FFA"/>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8DA"/>
    <w:rsid w:val="0095297A"/>
    <w:rsid w:val="009529B3"/>
    <w:rsid w:val="00952D48"/>
    <w:rsid w:val="00953373"/>
    <w:rsid w:val="009535BD"/>
    <w:rsid w:val="009536D8"/>
    <w:rsid w:val="0095387D"/>
    <w:rsid w:val="0095391E"/>
    <w:rsid w:val="00953A87"/>
    <w:rsid w:val="00953E39"/>
    <w:rsid w:val="009541A1"/>
    <w:rsid w:val="0095420F"/>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8A3"/>
    <w:rsid w:val="00972AAD"/>
    <w:rsid w:val="00972B16"/>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4D0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F04"/>
    <w:rsid w:val="009910F6"/>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3000"/>
    <w:rsid w:val="009930F1"/>
    <w:rsid w:val="00993572"/>
    <w:rsid w:val="00993862"/>
    <w:rsid w:val="009939BF"/>
    <w:rsid w:val="00993A53"/>
    <w:rsid w:val="00993A5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C82"/>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46E"/>
    <w:rsid w:val="009F45DA"/>
    <w:rsid w:val="009F4654"/>
    <w:rsid w:val="009F4874"/>
    <w:rsid w:val="009F48B7"/>
    <w:rsid w:val="009F4A56"/>
    <w:rsid w:val="009F4AEC"/>
    <w:rsid w:val="009F4BE6"/>
    <w:rsid w:val="009F505C"/>
    <w:rsid w:val="009F5249"/>
    <w:rsid w:val="009F52CE"/>
    <w:rsid w:val="009F5423"/>
    <w:rsid w:val="009F58AC"/>
    <w:rsid w:val="009F590B"/>
    <w:rsid w:val="009F5B3C"/>
    <w:rsid w:val="009F5C39"/>
    <w:rsid w:val="009F5D43"/>
    <w:rsid w:val="009F5E45"/>
    <w:rsid w:val="009F608E"/>
    <w:rsid w:val="009F625D"/>
    <w:rsid w:val="009F6504"/>
    <w:rsid w:val="009F6548"/>
    <w:rsid w:val="009F65E9"/>
    <w:rsid w:val="009F6971"/>
    <w:rsid w:val="009F6BEA"/>
    <w:rsid w:val="009F6C61"/>
    <w:rsid w:val="009F6EC4"/>
    <w:rsid w:val="009F6F9B"/>
    <w:rsid w:val="009F6FD3"/>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99"/>
    <w:rsid w:val="00A10FA4"/>
    <w:rsid w:val="00A10FB7"/>
    <w:rsid w:val="00A10FBA"/>
    <w:rsid w:val="00A111E4"/>
    <w:rsid w:val="00A1122B"/>
    <w:rsid w:val="00A1151A"/>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629"/>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C6A"/>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B3"/>
    <w:rsid w:val="00AF6566"/>
    <w:rsid w:val="00AF6568"/>
    <w:rsid w:val="00AF66A9"/>
    <w:rsid w:val="00AF66FA"/>
    <w:rsid w:val="00AF6712"/>
    <w:rsid w:val="00AF68A9"/>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F8"/>
    <w:rsid w:val="00B17BF1"/>
    <w:rsid w:val="00B17F98"/>
    <w:rsid w:val="00B201BD"/>
    <w:rsid w:val="00B20E1C"/>
    <w:rsid w:val="00B20EB1"/>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2FF"/>
    <w:rsid w:val="00B2747B"/>
    <w:rsid w:val="00B27493"/>
    <w:rsid w:val="00B274F7"/>
    <w:rsid w:val="00B2767D"/>
    <w:rsid w:val="00B2781D"/>
    <w:rsid w:val="00B278AE"/>
    <w:rsid w:val="00B27AE1"/>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33"/>
    <w:rsid w:val="00B41803"/>
    <w:rsid w:val="00B419AC"/>
    <w:rsid w:val="00B41B99"/>
    <w:rsid w:val="00B41BC0"/>
    <w:rsid w:val="00B41C92"/>
    <w:rsid w:val="00B41DB9"/>
    <w:rsid w:val="00B41F24"/>
    <w:rsid w:val="00B4284B"/>
    <w:rsid w:val="00B42C7B"/>
    <w:rsid w:val="00B42CED"/>
    <w:rsid w:val="00B42D00"/>
    <w:rsid w:val="00B42E3F"/>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CAD"/>
    <w:rsid w:val="00B63D98"/>
    <w:rsid w:val="00B63FEB"/>
    <w:rsid w:val="00B64166"/>
    <w:rsid w:val="00B6475D"/>
    <w:rsid w:val="00B64A95"/>
    <w:rsid w:val="00B64C97"/>
    <w:rsid w:val="00B64D88"/>
    <w:rsid w:val="00B6507F"/>
    <w:rsid w:val="00B65139"/>
    <w:rsid w:val="00B6522D"/>
    <w:rsid w:val="00B65373"/>
    <w:rsid w:val="00B654B7"/>
    <w:rsid w:val="00B658AB"/>
    <w:rsid w:val="00B658DD"/>
    <w:rsid w:val="00B659B8"/>
    <w:rsid w:val="00B659FF"/>
    <w:rsid w:val="00B65C76"/>
    <w:rsid w:val="00B65D25"/>
    <w:rsid w:val="00B6617A"/>
    <w:rsid w:val="00B66276"/>
    <w:rsid w:val="00B662D6"/>
    <w:rsid w:val="00B664E1"/>
    <w:rsid w:val="00B667AC"/>
    <w:rsid w:val="00B667B0"/>
    <w:rsid w:val="00B6693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819"/>
    <w:rsid w:val="00B749DB"/>
    <w:rsid w:val="00B74E83"/>
    <w:rsid w:val="00B74FA9"/>
    <w:rsid w:val="00B75119"/>
    <w:rsid w:val="00B752DC"/>
    <w:rsid w:val="00B75320"/>
    <w:rsid w:val="00B75333"/>
    <w:rsid w:val="00B753BB"/>
    <w:rsid w:val="00B75604"/>
    <w:rsid w:val="00B7562E"/>
    <w:rsid w:val="00B7578F"/>
    <w:rsid w:val="00B75794"/>
    <w:rsid w:val="00B75870"/>
    <w:rsid w:val="00B7595C"/>
    <w:rsid w:val="00B75D4A"/>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A0B"/>
    <w:rsid w:val="00B80BAB"/>
    <w:rsid w:val="00B80C80"/>
    <w:rsid w:val="00B80F82"/>
    <w:rsid w:val="00B8117A"/>
    <w:rsid w:val="00B811C2"/>
    <w:rsid w:val="00B81505"/>
    <w:rsid w:val="00B81531"/>
    <w:rsid w:val="00B815EC"/>
    <w:rsid w:val="00B81C8E"/>
    <w:rsid w:val="00B81E33"/>
    <w:rsid w:val="00B820C9"/>
    <w:rsid w:val="00B821F1"/>
    <w:rsid w:val="00B82292"/>
    <w:rsid w:val="00B8235C"/>
    <w:rsid w:val="00B82491"/>
    <w:rsid w:val="00B825E9"/>
    <w:rsid w:val="00B82636"/>
    <w:rsid w:val="00B828E8"/>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ACC"/>
    <w:rsid w:val="00BE3C51"/>
    <w:rsid w:val="00BE3E38"/>
    <w:rsid w:val="00BE4092"/>
    <w:rsid w:val="00BE4213"/>
    <w:rsid w:val="00BE442A"/>
    <w:rsid w:val="00BE45D9"/>
    <w:rsid w:val="00BE45DD"/>
    <w:rsid w:val="00BE4709"/>
    <w:rsid w:val="00BE494F"/>
    <w:rsid w:val="00BE4F5B"/>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ECC"/>
    <w:rsid w:val="00C16F3E"/>
    <w:rsid w:val="00C16FCD"/>
    <w:rsid w:val="00C172FE"/>
    <w:rsid w:val="00C17BAE"/>
    <w:rsid w:val="00C17C82"/>
    <w:rsid w:val="00C20126"/>
    <w:rsid w:val="00C202B8"/>
    <w:rsid w:val="00C203A4"/>
    <w:rsid w:val="00C204C3"/>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EBA"/>
    <w:rsid w:val="00C2519F"/>
    <w:rsid w:val="00C2554D"/>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82"/>
    <w:rsid w:val="00C826F8"/>
    <w:rsid w:val="00C828C4"/>
    <w:rsid w:val="00C82C11"/>
    <w:rsid w:val="00C82C40"/>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D19"/>
    <w:rsid w:val="00C90D9B"/>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A0"/>
    <w:rsid w:val="00CA3681"/>
    <w:rsid w:val="00CA36C8"/>
    <w:rsid w:val="00CA384D"/>
    <w:rsid w:val="00CA396E"/>
    <w:rsid w:val="00CA3F3D"/>
    <w:rsid w:val="00CA3F79"/>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61"/>
    <w:rsid w:val="00CD6653"/>
    <w:rsid w:val="00CD6699"/>
    <w:rsid w:val="00CD6B18"/>
    <w:rsid w:val="00CD6C71"/>
    <w:rsid w:val="00CD7211"/>
    <w:rsid w:val="00CD74AE"/>
    <w:rsid w:val="00CD76C9"/>
    <w:rsid w:val="00CD785A"/>
    <w:rsid w:val="00CD7AA4"/>
    <w:rsid w:val="00CD7E8F"/>
    <w:rsid w:val="00CD7F1D"/>
    <w:rsid w:val="00CE003C"/>
    <w:rsid w:val="00CE0099"/>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EB6"/>
    <w:rsid w:val="00CE4047"/>
    <w:rsid w:val="00CE4164"/>
    <w:rsid w:val="00CE4174"/>
    <w:rsid w:val="00CE4220"/>
    <w:rsid w:val="00CE43A4"/>
    <w:rsid w:val="00CE4518"/>
    <w:rsid w:val="00CE48CD"/>
    <w:rsid w:val="00CE4C64"/>
    <w:rsid w:val="00CE4E3D"/>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87"/>
    <w:rsid w:val="00CF5C87"/>
    <w:rsid w:val="00CF5C8F"/>
    <w:rsid w:val="00CF5CDB"/>
    <w:rsid w:val="00CF5D1E"/>
    <w:rsid w:val="00CF62C9"/>
    <w:rsid w:val="00CF644A"/>
    <w:rsid w:val="00CF64AF"/>
    <w:rsid w:val="00CF668B"/>
    <w:rsid w:val="00CF6BB6"/>
    <w:rsid w:val="00CF6EE7"/>
    <w:rsid w:val="00CF701C"/>
    <w:rsid w:val="00CF7658"/>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EF9"/>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670"/>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6FC"/>
    <w:rsid w:val="00D268EC"/>
    <w:rsid w:val="00D26B92"/>
    <w:rsid w:val="00D26F12"/>
    <w:rsid w:val="00D272A0"/>
    <w:rsid w:val="00D272F3"/>
    <w:rsid w:val="00D2741A"/>
    <w:rsid w:val="00D27719"/>
    <w:rsid w:val="00D278D5"/>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C2A"/>
    <w:rsid w:val="00D41EC2"/>
    <w:rsid w:val="00D41F76"/>
    <w:rsid w:val="00D425AE"/>
    <w:rsid w:val="00D425B4"/>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3DA4"/>
    <w:rsid w:val="00D64254"/>
    <w:rsid w:val="00D6453B"/>
    <w:rsid w:val="00D64565"/>
    <w:rsid w:val="00D645D0"/>
    <w:rsid w:val="00D64608"/>
    <w:rsid w:val="00D6461D"/>
    <w:rsid w:val="00D64A4A"/>
    <w:rsid w:val="00D64A8B"/>
    <w:rsid w:val="00D65371"/>
    <w:rsid w:val="00D6558C"/>
    <w:rsid w:val="00D65744"/>
    <w:rsid w:val="00D6576D"/>
    <w:rsid w:val="00D65FF2"/>
    <w:rsid w:val="00D66138"/>
    <w:rsid w:val="00D661E9"/>
    <w:rsid w:val="00D664EA"/>
    <w:rsid w:val="00D6652A"/>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1272"/>
    <w:rsid w:val="00D71275"/>
    <w:rsid w:val="00D715A3"/>
    <w:rsid w:val="00D716E3"/>
    <w:rsid w:val="00D71C54"/>
    <w:rsid w:val="00D71CF2"/>
    <w:rsid w:val="00D71CFE"/>
    <w:rsid w:val="00D71EE2"/>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EF3"/>
    <w:rsid w:val="00DA610B"/>
    <w:rsid w:val="00DA61DA"/>
    <w:rsid w:val="00DA6435"/>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66"/>
    <w:rsid w:val="00DE0C8E"/>
    <w:rsid w:val="00DE0E6C"/>
    <w:rsid w:val="00DE0EF7"/>
    <w:rsid w:val="00DE0F38"/>
    <w:rsid w:val="00DE10EE"/>
    <w:rsid w:val="00DE1188"/>
    <w:rsid w:val="00DE1395"/>
    <w:rsid w:val="00DE1500"/>
    <w:rsid w:val="00DE174E"/>
    <w:rsid w:val="00DE1A97"/>
    <w:rsid w:val="00DE1B36"/>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63B"/>
    <w:rsid w:val="00E0265D"/>
    <w:rsid w:val="00E02713"/>
    <w:rsid w:val="00E0292E"/>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710F"/>
    <w:rsid w:val="00E37159"/>
    <w:rsid w:val="00E3747A"/>
    <w:rsid w:val="00E378B6"/>
    <w:rsid w:val="00E378FB"/>
    <w:rsid w:val="00E37F0C"/>
    <w:rsid w:val="00E40495"/>
    <w:rsid w:val="00E4081F"/>
    <w:rsid w:val="00E40917"/>
    <w:rsid w:val="00E4098B"/>
    <w:rsid w:val="00E410C5"/>
    <w:rsid w:val="00E411BD"/>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510A"/>
    <w:rsid w:val="00E6532C"/>
    <w:rsid w:val="00E6560D"/>
    <w:rsid w:val="00E656DD"/>
    <w:rsid w:val="00E659AD"/>
    <w:rsid w:val="00E65ABF"/>
    <w:rsid w:val="00E65C2A"/>
    <w:rsid w:val="00E65D28"/>
    <w:rsid w:val="00E660B4"/>
    <w:rsid w:val="00E661C9"/>
    <w:rsid w:val="00E663A6"/>
    <w:rsid w:val="00E664E2"/>
    <w:rsid w:val="00E665DD"/>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E6B"/>
    <w:rsid w:val="00EA146B"/>
    <w:rsid w:val="00EA16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A0D"/>
    <w:rsid w:val="00EB0A79"/>
    <w:rsid w:val="00EB0C51"/>
    <w:rsid w:val="00EB0DD3"/>
    <w:rsid w:val="00EB0FFF"/>
    <w:rsid w:val="00EB1118"/>
    <w:rsid w:val="00EB116D"/>
    <w:rsid w:val="00EB120B"/>
    <w:rsid w:val="00EB144C"/>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518"/>
    <w:rsid w:val="00ED153B"/>
    <w:rsid w:val="00ED1896"/>
    <w:rsid w:val="00ED198B"/>
    <w:rsid w:val="00ED19E4"/>
    <w:rsid w:val="00ED1B6C"/>
    <w:rsid w:val="00ED1F40"/>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8D4"/>
    <w:rsid w:val="00ED6925"/>
    <w:rsid w:val="00ED6E3D"/>
    <w:rsid w:val="00ED6ED8"/>
    <w:rsid w:val="00ED6F22"/>
    <w:rsid w:val="00ED70F8"/>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32"/>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314"/>
    <w:rsid w:val="00F343DD"/>
    <w:rsid w:val="00F3459B"/>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8"/>
    <w:rsid w:val="00F4199B"/>
    <w:rsid w:val="00F41DA2"/>
    <w:rsid w:val="00F4232D"/>
    <w:rsid w:val="00F425B0"/>
    <w:rsid w:val="00F425D1"/>
    <w:rsid w:val="00F4277F"/>
    <w:rsid w:val="00F42859"/>
    <w:rsid w:val="00F42C9D"/>
    <w:rsid w:val="00F42EDE"/>
    <w:rsid w:val="00F42EEF"/>
    <w:rsid w:val="00F43289"/>
    <w:rsid w:val="00F43524"/>
    <w:rsid w:val="00F43673"/>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9BE"/>
    <w:rsid w:val="00F55D9E"/>
    <w:rsid w:val="00F56120"/>
    <w:rsid w:val="00F5645E"/>
    <w:rsid w:val="00F567A6"/>
    <w:rsid w:val="00F56A48"/>
    <w:rsid w:val="00F56EBD"/>
    <w:rsid w:val="00F56FEB"/>
    <w:rsid w:val="00F570FB"/>
    <w:rsid w:val="00F57104"/>
    <w:rsid w:val="00F57157"/>
    <w:rsid w:val="00F571EA"/>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EFD"/>
    <w:rsid w:val="00F97183"/>
    <w:rsid w:val="00F97235"/>
    <w:rsid w:val="00F976AD"/>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4DA"/>
    <w:rsid w:val="00FA7DD7"/>
    <w:rsid w:val="00FB008B"/>
    <w:rsid w:val="00FB00B4"/>
    <w:rsid w:val="00FB00D9"/>
    <w:rsid w:val="00FB0156"/>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BD5"/>
    <w:rsid w:val="00FB1E1E"/>
    <w:rsid w:val="00FB1F77"/>
    <w:rsid w:val="00FB2090"/>
    <w:rsid w:val="00FB2222"/>
    <w:rsid w:val="00FB2311"/>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26"/>
    <w:rsid w:val="00FC19BF"/>
    <w:rsid w:val="00FC1A2B"/>
    <w:rsid w:val="00FC1B4F"/>
    <w:rsid w:val="00FC1DB3"/>
    <w:rsid w:val="00FC210F"/>
    <w:rsid w:val="00FC2402"/>
    <w:rsid w:val="00FC247E"/>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21E"/>
    <w:rsid w:val="00FD3221"/>
    <w:rsid w:val="00FD359B"/>
    <w:rsid w:val="00FD35F4"/>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E01B7"/>
    <w:rsid w:val="00FE0207"/>
    <w:rsid w:val="00FE0402"/>
    <w:rsid w:val="00FE045C"/>
    <w:rsid w:val="00FE04B1"/>
    <w:rsid w:val="00FE06A9"/>
    <w:rsid w:val="00FE06D4"/>
    <w:rsid w:val="00FE0802"/>
    <w:rsid w:val="00FE0964"/>
    <w:rsid w:val="00FE0AD8"/>
    <w:rsid w:val="00FE0CF2"/>
    <w:rsid w:val="00FE120C"/>
    <w:rsid w:val="00FE12D8"/>
    <w:rsid w:val="00FE1630"/>
    <w:rsid w:val="00FE16A6"/>
    <w:rsid w:val="00FE19E9"/>
    <w:rsid w:val="00FE1B79"/>
    <w:rsid w:val="00FE1C41"/>
    <w:rsid w:val="00FE1CCA"/>
    <w:rsid w:val="00FE1EC3"/>
    <w:rsid w:val="00FE2058"/>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publications-and-resources/resource-library/nsqhs-standards-implementation-guide-action-311-aseptic-technique" TargetMode="External"/><Relationship Id="rId26" Type="http://schemas.openxmlformats.org/officeDocument/2006/relationships/image" Target="cid:image001.png@01D8295A.BE2DD5E0" TargetMode="External"/><Relationship Id="rId39" Type="http://schemas.openxmlformats.org/officeDocument/2006/relationships/hyperlink" Target="https://doi.org/10.1056/NEJMp2118285" TargetMode="External"/><Relationship Id="rId21" Type="http://schemas.openxmlformats.org/officeDocument/2006/relationships/hyperlink" Target="https://www.safetyandquality.gov.au/publications-and-resources/resource-library/principles-aseptic-technique-information-healthcare-workers" TargetMode="External"/><Relationship Id="rId34" Type="http://schemas.openxmlformats.org/officeDocument/2006/relationships/hyperlink" Target="https://doi.org/10.1001/jama.2022.1813" TargetMode="External"/><Relationship Id="rId42" Type="http://schemas.openxmlformats.org/officeDocument/2006/relationships/hyperlink" Target="https://qualitysafety.bmj.com/content/early/recent" TargetMode="External"/><Relationship Id="rId47" Type="http://schemas.openxmlformats.org/officeDocument/2006/relationships/hyperlink" Target="https://www.who.int/news/item/11-02-2022-who-s-new-international-classification-of-diseases-(icd-11)-comes-into-effect" TargetMode="External"/><Relationship Id="rId50" Type="http://schemas.openxmlformats.org/officeDocument/2006/relationships/hyperlink" Target="https://www.safetyandquality.gov.au/publications-and-resources/resource-library/poster-combined-contact-and-droplet-precautions" TargetMode="External"/><Relationship Id="rId55" Type="http://schemas.openxmlformats.org/officeDocument/2006/relationships/hyperlink" Target="https://www.safetyandquality.gov.au/publications-and-resources/resource-library/covid-19-infection-prevention-and-control-risk-management-guidance" TargetMode="Externa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our-work/infection-prevention-and-control/aseptic-technique" TargetMode="External"/><Relationship Id="rId29" Type="http://schemas.openxmlformats.org/officeDocument/2006/relationships/hyperlink" Target="https://doi.org/10.1071/AH211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nhhi.southrock.com" TargetMode="External"/><Relationship Id="rId32" Type="http://schemas.openxmlformats.org/officeDocument/2006/relationships/image" Target="media/image5.png"/><Relationship Id="rId37" Type="http://schemas.openxmlformats.org/officeDocument/2006/relationships/hyperlink" Target="https://doi.org/10.1001/jama.2022.0283" TargetMode="External"/><Relationship Id="rId40" Type="http://schemas.openxmlformats.org/officeDocument/2006/relationships/hyperlink" Target="https://journals.lww.com/journalpatientsafety/toc/2022/03000" TargetMode="External"/><Relationship Id="rId45" Type="http://schemas.openxmlformats.org/officeDocument/2006/relationships/hyperlink" Target="https://effectivehealthcare.ahrq.gov/" TargetMode="External"/><Relationship Id="rId53" Type="http://schemas.openxmlformats.org/officeDocument/2006/relationships/image" Target="media/image7.PNG"/><Relationship Id="rId58" Type="http://schemas.openxmlformats.org/officeDocument/2006/relationships/image" Target="media/image8.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fetyandquality.gov.au/our-work/infection-prevention-and-control/aseptic-technique" TargetMode="External"/><Relationship Id="rId23" Type="http://schemas.openxmlformats.org/officeDocument/2006/relationships/hyperlink" Target="https://nhhi.southrock.com" TargetMode="External"/><Relationship Id="rId28" Type="http://schemas.openxmlformats.org/officeDocument/2006/relationships/hyperlink" Target="https://www.safetyandquality.gov.au/our-work/partnering-consumers" TargetMode="External"/><Relationship Id="rId36" Type="http://schemas.openxmlformats.org/officeDocument/2006/relationships/hyperlink" Target="https://doi.org/10.1001/jama.2021.22969" TargetMode="External"/><Relationship Id="rId49" Type="http://schemas.openxmlformats.org/officeDocument/2006/relationships/hyperlink" Target="https://www.safetyandquality.gov.au/publications-and-resources/resource-library/covid-19-infection-prevention-and-control-risk-management-guidance" TargetMode="External"/><Relationship Id="rId57"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61" Type="http://schemas.openxmlformats.org/officeDocument/2006/relationships/hyperlink" Target="https://www.safetyandquality.gov.au/publications-and-resources/resource-library/covid-19-and-face-masks-information-consumers" TargetMode="Externa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www.safetyandquality.gov.au/standards/nsqhs-standards" TargetMode="External"/><Relationship Id="rId31" Type="http://schemas.openxmlformats.org/officeDocument/2006/relationships/hyperlink" Target="https://doi.org/10.33940/med/2021.12.2" TargetMode="External"/><Relationship Id="rId44" Type="http://schemas.openxmlformats.org/officeDocument/2006/relationships/hyperlink" Target="https://www.nice.org.uk/guidance/ng191" TargetMode="External"/><Relationship Id="rId52" Type="http://schemas.openxmlformats.org/officeDocument/2006/relationships/hyperlink" Target="https://www.safetyandquality.gov.au/publications-and-resources/resource-library/poster-combined-airborne-and-contact-precautions" TargetMode="External"/><Relationship Id="rId60" Type="http://schemas.openxmlformats.org/officeDocument/2006/relationships/hyperlink" Target="https://www.safetyandquality.gov.au/node/5725" TargetMode="External"/><Relationship Id="rId65" Type="http://schemas.openxmlformats.org/officeDocument/2006/relationships/hyperlink" Target="https://www.aci.health.nsw.gov.au/covid-19/critical-intelligence-unit" TargetMode="Externa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image" Target="media/image3.png"/><Relationship Id="rId27" Type="http://schemas.openxmlformats.org/officeDocument/2006/relationships/hyperlink" Target="https://www.theberylinstitute.org/store/viewproduct.aspx?id=19723335" TargetMode="External"/><Relationship Id="rId30" Type="http://schemas.openxmlformats.org/officeDocument/2006/relationships/hyperlink" Target="https://doi.org/10.1515/dx-2021-0001" TargetMode="External"/><Relationship Id="rId35" Type="http://schemas.openxmlformats.org/officeDocument/2006/relationships/hyperlink" Target="https://doi.org/10.1001/jama.2022.0047" TargetMode="External"/><Relationship Id="rId43" Type="http://schemas.openxmlformats.org/officeDocument/2006/relationships/hyperlink" Target="https://www.nice.org.uk/guidance" TargetMode="External"/><Relationship Id="rId48" Type="http://schemas.openxmlformats.org/officeDocument/2006/relationships/hyperlink" Target="https://www.safetyandquality.gov.au/covid-19" TargetMode="External"/><Relationship Id="rId56" Type="http://schemas.openxmlformats.org/officeDocument/2006/relationships/hyperlink" Target="https://www.safetyandquality.gov.au/our-work/cognitive-impairment/cognitive-impairment-and-covid-19" TargetMode="External"/><Relationship Id="rId64" Type="http://schemas.openxmlformats.org/officeDocument/2006/relationships/hyperlink" Target="https://covid19evidence.net.au/"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mailto:hai@safetyandquality.gov.au" TargetMode="External"/><Relationship Id="rId25" Type="http://schemas.openxmlformats.org/officeDocument/2006/relationships/image" Target="media/image4.png"/><Relationship Id="rId33" Type="http://schemas.openxmlformats.org/officeDocument/2006/relationships/hyperlink" Target="https://www.safetyandquality.gov.au/our-work/cognitive-impairment" TargetMode="External"/><Relationship Id="rId38" Type="http://schemas.openxmlformats.org/officeDocument/2006/relationships/hyperlink" Target="https://doi.org/10.1001/jama.2021.25181" TargetMode="External"/><Relationship Id="rId46" Type="http://schemas.openxmlformats.org/officeDocument/2006/relationships/hyperlink" Target="https://effectivehealthcare.ahrq.gov/products/childhood-cancer-survivorship-care/research" TargetMode="External"/><Relationship Id="rId59" Type="http://schemas.openxmlformats.org/officeDocument/2006/relationships/hyperlink" Target="https://www.safetyandquality.gov.au/node/5724" TargetMode="External"/><Relationship Id="rId67" Type="http://schemas.openxmlformats.org/officeDocument/2006/relationships/footer" Target="footer2.xml"/><Relationship Id="rId20" Type="http://schemas.openxmlformats.org/officeDocument/2006/relationships/image" Target="media/image2.png"/><Relationship Id="rId41" Type="http://schemas.openxmlformats.org/officeDocument/2006/relationships/hyperlink" Target="https://onlinelibrary.wiley.com/toc/13697625/2022/25/1" TargetMode="External"/><Relationship Id="rId54" Type="http://schemas.openxmlformats.org/officeDocument/2006/relationships/hyperlink" Target="http://www.safetyandquality.gov.au/environmental-cleaning" TargetMode="External"/><Relationship Id="rId62" Type="http://schemas.openxmlformats.org/officeDocument/2006/relationships/hyperlink" Target="https://www.safetyandquality.gov.au/sites/default/files/2020-07/covid-19_and_face_masks_-_information_for_consum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15</Pages>
  <Words>5639</Words>
  <Characters>32144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Draft On the Radar Issue 548</vt:lpstr>
    </vt:vector>
  </TitlesOfParts>
  <Company>ACSQHC</Company>
  <LinksUpToDate>false</LinksUpToDate>
  <CharactersWithSpaces>37708</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On the Radar Issue 548</dc:title>
  <dc:subject/>
  <dc:creator>Dr Niall Johnson</dc:creator>
  <cp:keywords>On the Radar</cp:keywords>
  <dc:description/>
  <cp:lastModifiedBy>JOHNSON, Niall</cp:lastModifiedBy>
  <cp:revision>22</cp:revision>
  <cp:lastPrinted>2018-03-02T02:34:00Z</cp:lastPrinted>
  <dcterms:created xsi:type="dcterms:W3CDTF">2022-02-22T06:25:00Z</dcterms:created>
  <dcterms:modified xsi:type="dcterms:W3CDTF">2022-02-25T00:48:00Z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