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990D34" w14:textId="3870372D" w:rsidR="00B93CD5" w:rsidRPr="00D738DB" w:rsidRDefault="00F85302" w:rsidP="007449EB">
      <w:pPr>
        <w:pStyle w:val="Category"/>
      </w:pPr>
      <w:bookmarkStart w:id="0" w:name="_Toc476822632"/>
      <w:bookmarkStart w:id="1" w:name="_Toc476822653"/>
      <w:r>
        <w:t>KEY ACTIONS</w:t>
      </w:r>
      <w:r w:rsidR="00B93CD5" w:rsidRPr="00D738DB">
        <w:t xml:space="preserve"> </w:t>
      </w:r>
    </w:p>
    <w:p w14:paraId="1F86D526" w14:textId="42DC0AB6" w:rsidR="00F931D3" w:rsidRPr="00547605" w:rsidRDefault="00B93CD5" w:rsidP="00547605">
      <w:pPr>
        <w:pStyle w:val="Category"/>
        <w:rPr>
          <w:lang w:val="en-GB"/>
        </w:rPr>
      </w:pPr>
      <w:r w:rsidRPr="007449EB">
        <w:rPr>
          <w:b w:val="0"/>
        </w:rPr>
        <w:t xml:space="preserve">for </w:t>
      </w:r>
      <w:r w:rsidR="00547605" w:rsidRPr="00547605">
        <w:rPr>
          <w:b w:val="0"/>
          <w:lang w:val="en-GB"/>
        </w:rPr>
        <w:t xml:space="preserve">accrediting agencies </w:t>
      </w:r>
      <w:r w:rsidR="00FC14E8">
        <w:rPr>
          <w:b w:val="0"/>
          <w:lang w:val="en-GB"/>
        </w:rPr>
        <w:br/>
      </w:r>
      <w:r w:rsidR="00547605">
        <w:rPr>
          <w:b w:val="0"/>
          <w:lang w:val="en-GB"/>
        </w:rPr>
        <w:t xml:space="preserve">and </w:t>
      </w:r>
      <w:r w:rsidR="00851BF2">
        <w:rPr>
          <w:b w:val="0"/>
          <w:lang w:val="en-GB"/>
        </w:rPr>
        <w:t>general practices</w:t>
      </w:r>
    </w:p>
    <w:bookmarkEnd w:id="0"/>
    <w:bookmarkEnd w:id="1"/>
    <w:p w14:paraId="10E38985" w14:textId="3CC62E1B" w:rsidR="0058792B" w:rsidRDefault="0058792B" w:rsidP="0058792B">
      <w:pPr>
        <w:pStyle w:val="Title"/>
      </w:pPr>
      <w:r>
        <w:t xml:space="preserve">Accreditation assessments </w:t>
      </w:r>
      <w:r>
        <w:br/>
        <w:t>in 2022</w:t>
      </w:r>
    </w:p>
    <w:p w14:paraId="041F6E70" w14:textId="77777777" w:rsidR="0058792B" w:rsidRDefault="0058792B" w:rsidP="0058792B">
      <w:pPr>
        <w:pStyle w:val="Heading2"/>
      </w:pPr>
      <w:r>
        <w:t xml:space="preserve">Background </w:t>
      </w:r>
    </w:p>
    <w:p w14:paraId="44DC7E3A" w14:textId="77777777" w:rsidR="0058792B" w:rsidRDefault="0058792B" w:rsidP="0058792B">
      <w:r>
        <w:t xml:space="preserve">Under the </w:t>
      </w:r>
      <w:r>
        <w:rPr>
          <w:rStyle w:val="Italic"/>
        </w:rPr>
        <w:t>National Health Reform Act 2011</w:t>
      </w:r>
      <w:r>
        <w:t xml:space="preserve">, the Australian Commission on Safety and Quality in Health Care (the Commission) is responsible for </w:t>
      </w:r>
      <w:r w:rsidRPr="0058792B">
        <w:t>coordinating</w:t>
      </w:r>
      <w:r>
        <w:t xml:space="preserve"> the National General Practice Accreditation (NGPA) Scheme, which provides for accreditation of general practices to the Royal Australian College of General Practitioners (RACGP) Standards for general practices.</w:t>
      </w:r>
    </w:p>
    <w:p w14:paraId="59E3521B" w14:textId="77777777" w:rsidR="0058792B" w:rsidRDefault="0058792B" w:rsidP="0058792B">
      <w:r>
        <w:t xml:space="preserve">This fact sheet describes how scheduled </w:t>
      </w:r>
      <w:r w:rsidRPr="0058792B">
        <w:t>accreditation</w:t>
      </w:r>
      <w:r>
        <w:t xml:space="preserve"> assessments may proceed in 2022 for general practices impacted by COVID-19. </w:t>
      </w:r>
    </w:p>
    <w:p w14:paraId="00D1CA40" w14:textId="77777777" w:rsidR="0058792B" w:rsidRDefault="0058792B" w:rsidP="0058792B">
      <w:pPr>
        <w:pStyle w:val="Heading2"/>
      </w:pPr>
      <w:r>
        <w:t>Impact of COVID-19</w:t>
      </w:r>
    </w:p>
    <w:p w14:paraId="0B48B712" w14:textId="4FE026EF" w:rsidR="0058792B" w:rsidRDefault="0058792B" w:rsidP="0058792B">
      <w:r>
        <w:t xml:space="preserve">The COVID-19 pandemic continues to create challenges for the health system. In some instances, this may impact the ability of general practices to </w:t>
      </w:r>
      <w:r w:rsidRPr="0058792B">
        <w:t>participate</w:t>
      </w:r>
      <w:r>
        <w:t xml:space="preserve"> in on</w:t>
      </w:r>
      <w:r w:rsidR="00404089">
        <w:t>-</w:t>
      </w:r>
      <w:r>
        <w:t xml:space="preserve">site accreditation assessments. </w:t>
      </w:r>
    </w:p>
    <w:p w14:paraId="7FA3DB65" w14:textId="77777777" w:rsidR="0058792B" w:rsidRDefault="0058792B" w:rsidP="0058792B">
      <w:r>
        <w:t xml:space="preserve">It is anticipated that the ongoing </w:t>
      </w:r>
      <w:r w:rsidRPr="0058792B">
        <w:t>uncertainty</w:t>
      </w:r>
      <w:r>
        <w:t xml:space="preserve"> related to the COVID-19 pandemic may impact the health system throughout 2022 due to:</w:t>
      </w:r>
    </w:p>
    <w:p w14:paraId="4C249D53" w14:textId="77777777" w:rsidR="0058792B" w:rsidRPr="0058792B" w:rsidRDefault="0058792B" w:rsidP="0058792B">
      <w:pPr>
        <w:pStyle w:val="ListParagraph"/>
        <w:numPr>
          <w:ilvl w:val="0"/>
          <w:numId w:val="27"/>
        </w:numPr>
      </w:pPr>
      <w:r>
        <w:t xml:space="preserve">Diverted resourcing to support COVID-19 </w:t>
      </w:r>
      <w:r w:rsidRPr="0058792B">
        <w:t>related activities</w:t>
      </w:r>
    </w:p>
    <w:p w14:paraId="33B4637A" w14:textId="77777777" w:rsidR="0058792B" w:rsidRPr="0058792B" w:rsidRDefault="0058792B" w:rsidP="0058792B">
      <w:pPr>
        <w:pStyle w:val="ListParagraph"/>
        <w:numPr>
          <w:ilvl w:val="0"/>
          <w:numId w:val="27"/>
        </w:numPr>
      </w:pPr>
      <w:r w:rsidRPr="0058792B">
        <w:t xml:space="preserve">A high proportion of furloughed members of the workforce </w:t>
      </w:r>
    </w:p>
    <w:p w14:paraId="2A590F7F" w14:textId="77777777" w:rsidR="0058792B" w:rsidRPr="0058792B" w:rsidRDefault="0058792B" w:rsidP="0058792B">
      <w:pPr>
        <w:pStyle w:val="ListParagraph"/>
        <w:numPr>
          <w:ilvl w:val="0"/>
          <w:numId w:val="27"/>
        </w:numPr>
      </w:pPr>
      <w:r w:rsidRPr="0058792B">
        <w:t>Travel restrictions as a result of public health orders</w:t>
      </w:r>
    </w:p>
    <w:p w14:paraId="35B43C40" w14:textId="77777777" w:rsidR="0058792B" w:rsidRPr="0058792B" w:rsidRDefault="0058792B" w:rsidP="0058792B">
      <w:pPr>
        <w:pStyle w:val="ListParagraph"/>
        <w:numPr>
          <w:ilvl w:val="0"/>
          <w:numId w:val="27"/>
        </w:numPr>
      </w:pPr>
      <w:r w:rsidRPr="0058792B">
        <w:t>Ban of non-essential visitors at facilities, in line with public health orders.</w:t>
      </w:r>
    </w:p>
    <w:p w14:paraId="44E9573E" w14:textId="4191F98B" w:rsidR="0058792B" w:rsidRDefault="0058792B" w:rsidP="0058792B">
      <w:r w:rsidRPr="0058792B">
        <w:t>These factors will in turn impact</w:t>
      </w:r>
      <w:r>
        <w:t xml:space="preserve"> the ability of general practices and accrediting agencies to participate in accreditation assessments.</w:t>
      </w:r>
    </w:p>
    <w:p w14:paraId="46C4D192" w14:textId="77777777" w:rsidR="0058792B" w:rsidRDefault="0058792B" w:rsidP="0058792B">
      <w:pPr>
        <w:pStyle w:val="Heading2"/>
      </w:pPr>
      <w:r>
        <w:t>Accreditation assessments in 2022</w:t>
      </w:r>
    </w:p>
    <w:p w14:paraId="07A8A509" w14:textId="77777777" w:rsidR="0058792B" w:rsidRDefault="0058792B" w:rsidP="0058792B">
      <w:r>
        <w:t xml:space="preserve">To provide certainty for general practices, and facilitate accreditation assessments proceeding where possible, the following provisions for accreditation </w:t>
      </w:r>
      <w:r w:rsidRPr="0058792B">
        <w:t>assessments</w:t>
      </w:r>
      <w:r>
        <w:t xml:space="preserve"> will apply during 2022:</w:t>
      </w:r>
    </w:p>
    <w:p w14:paraId="6BCFF952" w14:textId="77777777" w:rsidR="0058792B" w:rsidRPr="0058792B" w:rsidRDefault="0058792B" w:rsidP="0058792B">
      <w:pPr>
        <w:pStyle w:val="ListParagraph"/>
        <w:numPr>
          <w:ilvl w:val="0"/>
          <w:numId w:val="28"/>
        </w:numPr>
      </w:pPr>
      <w:r w:rsidRPr="0058792B">
        <w:rPr>
          <w:rStyle w:val="Strongsemibold"/>
          <w:b/>
          <w:bCs/>
        </w:rPr>
        <w:t>On-site assessment</w:t>
      </w:r>
      <w:r>
        <w:t xml:space="preserve"> is to </w:t>
      </w:r>
      <w:r w:rsidRPr="0058792B">
        <w:t xml:space="preserve">proceed, whenever safe and feasible. </w:t>
      </w:r>
    </w:p>
    <w:p w14:paraId="249CC1B1" w14:textId="77777777" w:rsidR="0058792B" w:rsidRPr="0058792B" w:rsidRDefault="0058792B" w:rsidP="0058792B">
      <w:pPr>
        <w:pStyle w:val="ListParagraph"/>
        <w:numPr>
          <w:ilvl w:val="0"/>
          <w:numId w:val="28"/>
        </w:numPr>
      </w:pPr>
      <w:r w:rsidRPr="0058792B">
        <w:rPr>
          <w:b/>
          <w:bCs/>
        </w:rPr>
        <w:t>Hybrid assessment</w:t>
      </w:r>
      <w:r w:rsidRPr="0058792B">
        <w:t xml:space="preserve"> may occur where it is not possible for a full assessment team to be on site. This assessment involves part of the assessment team being on site and part of assessment team off-site. The off-site team will participate in the assessment using videoconferencing technology to observe, interview and assess. </w:t>
      </w:r>
    </w:p>
    <w:p w14:paraId="2CBF635E" w14:textId="77777777" w:rsidR="0058792B" w:rsidRPr="0058792B" w:rsidRDefault="0058792B" w:rsidP="0058792B">
      <w:pPr>
        <w:pStyle w:val="ListParagraph"/>
        <w:numPr>
          <w:ilvl w:val="0"/>
          <w:numId w:val="28"/>
        </w:numPr>
      </w:pPr>
      <w:r w:rsidRPr="0058792B">
        <w:rPr>
          <w:b/>
          <w:bCs/>
        </w:rPr>
        <w:t>Off-site virtual assessment</w:t>
      </w:r>
      <w:r w:rsidRPr="0058792B">
        <w:t xml:space="preserve"> may be allowed in exceptional circumstances. Virtual assessments involve all members of the assessment team using videoconferencing technology off-site to observe, interview and assess. All virtual assessments must be followed up with an on-site assessment.</w:t>
      </w:r>
    </w:p>
    <w:p w14:paraId="4553CC3D" w14:textId="48E1DA3C" w:rsidR="0058792B" w:rsidRDefault="0058792B" w:rsidP="0058792B">
      <w:pPr>
        <w:pStyle w:val="ListParagraph"/>
        <w:numPr>
          <w:ilvl w:val="0"/>
          <w:numId w:val="28"/>
        </w:numPr>
      </w:pPr>
      <w:r w:rsidRPr="0058792B">
        <w:rPr>
          <w:b/>
          <w:bCs/>
        </w:rPr>
        <w:lastRenderedPageBreak/>
        <w:t>Accreditation can be maintained</w:t>
      </w:r>
      <w:r w:rsidRPr="0058792B">
        <w:t xml:space="preserve"> and the accreditation expiry date revised by up to six months. This option is available to general practices with assessments scheduled before 31</w:t>
      </w:r>
      <w:r w:rsidR="00840472">
        <w:t> </w:t>
      </w:r>
      <w:r w:rsidRPr="0058792B">
        <w:t>July 2022 that are experiencing COVID-19 related disruptions or unable to proceed due to public health orders imposing travel and border restrictions. This is assessed on a case-by-case basis. For eligible general practices the minimum</w:t>
      </w:r>
      <w:r>
        <w:t xml:space="preserve"> time required to complete assessments will be granted. </w:t>
      </w:r>
    </w:p>
    <w:p w14:paraId="3ACF17C1" w14:textId="77777777" w:rsidR="0058792B" w:rsidRDefault="0058792B" w:rsidP="0058792B">
      <w:r w:rsidRPr="00EA067E">
        <w:rPr>
          <w:rStyle w:val="Strongsemibold"/>
          <w:b/>
          <w:bCs/>
        </w:rPr>
        <w:t>Table 1</w:t>
      </w:r>
      <w:r>
        <w:t xml:space="preserve"> provides a detailed breakdown of the 2022 accreditation assessment model.</w:t>
      </w:r>
    </w:p>
    <w:p w14:paraId="62618E27" w14:textId="4BC85242" w:rsidR="0058792B" w:rsidRDefault="0058792B" w:rsidP="00EA067E">
      <w:pPr>
        <w:pStyle w:val="Heading2"/>
      </w:pPr>
      <w:r>
        <w:t>How to proceed with a hybrid or virtual assessment,</w:t>
      </w:r>
      <w:r w:rsidR="00EA067E">
        <w:t xml:space="preserve"> </w:t>
      </w:r>
      <w:r>
        <w:t>or</w:t>
      </w:r>
      <w:r w:rsidR="00EA067E">
        <w:t> </w:t>
      </w:r>
      <w:r>
        <w:t>maintenance of accreditation?</w:t>
      </w:r>
    </w:p>
    <w:p w14:paraId="53975784" w14:textId="77777777" w:rsidR="0058792B" w:rsidRPr="00A014E8" w:rsidRDefault="0058792B" w:rsidP="00A014E8">
      <w:r>
        <w:t xml:space="preserve">Accrediting agencies are to use the </w:t>
      </w:r>
      <w:r w:rsidRPr="00A014E8">
        <w:t xml:space="preserve">decision support tool at </w:t>
      </w:r>
      <w:r w:rsidRPr="00A014E8">
        <w:rPr>
          <w:b/>
          <w:bCs/>
        </w:rPr>
        <w:t>Attachment 1</w:t>
      </w:r>
      <w:r w:rsidRPr="00A014E8">
        <w:t xml:space="preserve"> when determining whether changes for accreditation assessments are required for a particular general practice. </w:t>
      </w:r>
    </w:p>
    <w:p w14:paraId="70054BA0" w14:textId="77777777" w:rsidR="0058792B" w:rsidRPr="00A014E8" w:rsidRDefault="0058792B" w:rsidP="00A014E8">
      <w:r w:rsidRPr="00A014E8">
        <w:t xml:space="preserve">General practices who meet the criteria and believe they are eligible to apply for changes to accreditation assessments should discuss this with their accrediting agency. </w:t>
      </w:r>
    </w:p>
    <w:p w14:paraId="16332FD0" w14:textId="77777777" w:rsidR="0058792B" w:rsidRPr="00A014E8" w:rsidRDefault="0058792B" w:rsidP="00A014E8">
      <w:r w:rsidRPr="00A014E8">
        <w:t xml:space="preserve">Accrediting agencies will need to submit an application, including supporting evidence, to the Commission on behalf of the general practice. </w:t>
      </w:r>
    </w:p>
    <w:p w14:paraId="44BE0D9D" w14:textId="77777777" w:rsidR="0058792B" w:rsidRPr="00A014E8" w:rsidRDefault="0058792B" w:rsidP="00A014E8">
      <w:r w:rsidRPr="00A014E8">
        <w:t xml:space="preserve">Based on the evidence and rationale provided, the Commission will determine approval on a case-by-case basis. </w:t>
      </w:r>
    </w:p>
    <w:p w14:paraId="5757307D" w14:textId="6180E3F0" w:rsidR="0058792B" w:rsidRDefault="0058792B" w:rsidP="00B94431">
      <w:r w:rsidRPr="00A014E8">
        <w:t>Accrediting agencies and general pra</w:t>
      </w:r>
      <w:r>
        <w:t xml:space="preserve">ctices must comply with requirements set out in </w:t>
      </w:r>
      <w:r w:rsidRPr="00A014E8">
        <w:rPr>
          <w:rStyle w:val="Strongsemibold"/>
          <w:b/>
          <w:bCs/>
        </w:rPr>
        <w:t>Attachment</w:t>
      </w:r>
      <w:r w:rsidR="00ED5460">
        <w:rPr>
          <w:rStyle w:val="Strongsemibold"/>
          <w:b/>
          <w:bCs/>
        </w:rPr>
        <w:t> </w:t>
      </w:r>
      <w:r w:rsidRPr="00A014E8">
        <w:rPr>
          <w:rStyle w:val="Strongsemibold"/>
          <w:b/>
          <w:bCs/>
        </w:rPr>
        <w:t>2</w:t>
      </w:r>
      <w:r>
        <w:t xml:space="preserve"> when proceeding with a hybrid or virtual assessment. </w:t>
      </w:r>
    </w:p>
    <w:p w14:paraId="46EC106A" w14:textId="77777777" w:rsidR="0058792B" w:rsidRDefault="0058792B" w:rsidP="00B94431">
      <w:pPr>
        <w:pStyle w:val="Heading2"/>
      </w:pPr>
      <w:r>
        <w:t xml:space="preserve">Questions? </w:t>
      </w:r>
    </w:p>
    <w:p w14:paraId="693E86A6" w14:textId="019F82AA" w:rsidR="0058792B" w:rsidRDefault="0058792B" w:rsidP="00B94431">
      <w:r>
        <w:t xml:space="preserve">For more </w:t>
      </w:r>
      <w:r w:rsidRPr="00B94431">
        <w:t>information</w:t>
      </w:r>
      <w:r>
        <w:t xml:space="preserve">, please visit the </w:t>
      </w:r>
      <w:hyperlink r:id="rId8" w:history="1">
        <w:r w:rsidRPr="00B94431">
          <w:rPr>
            <w:rStyle w:val="Hyperlink"/>
          </w:rPr>
          <w:t>NGPA Scheme webpage</w:t>
        </w:r>
      </w:hyperlink>
      <w:r>
        <w:t xml:space="preserve"> on the Commission’s website.</w:t>
      </w:r>
    </w:p>
    <w:p w14:paraId="1EC08DD6" w14:textId="131F8A97" w:rsidR="0058792B" w:rsidRDefault="0058792B" w:rsidP="00B94431">
      <w:r>
        <w:t xml:space="preserve">You can also email the Safety and Quality </w:t>
      </w:r>
      <w:r w:rsidRPr="00B94431">
        <w:t>Advice</w:t>
      </w:r>
      <w:r>
        <w:t xml:space="preserve"> Centre at </w:t>
      </w:r>
      <w:hyperlink r:id="rId9" w:history="1">
        <w:r w:rsidRPr="00B94431">
          <w:rPr>
            <w:rStyle w:val="Hyperlink"/>
          </w:rPr>
          <w:t>AdviceCentre@safetyandquality.gov.au</w:t>
        </w:r>
      </w:hyperlink>
      <w:r>
        <w:t xml:space="preserve"> or call 1800 304 056.</w:t>
      </w:r>
    </w:p>
    <w:p w14:paraId="270C69AD" w14:textId="77777777" w:rsidR="00C05429" w:rsidRDefault="00C05429" w:rsidP="001E6995">
      <w:pPr>
        <w:pStyle w:val="TableTitle"/>
        <w:sectPr w:rsidR="00C05429" w:rsidSect="00C67843">
          <w:headerReference w:type="even" r:id="rId10"/>
          <w:headerReference w:type="default" r:id="rId11"/>
          <w:footerReference w:type="even" r:id="rId12"/>
          <w:footerReference w:type="default" r:id="rId13"/>
          <w:pgSz w:w="11906" w:h="16838"/>
          <w:pgMar w:top="2126" w:right="1134" w:bottom="1418" w:left="1134" w:header="709" w:footer="709" w:gutter="0"/>
          <w:cols w:space="708"/>
          <w:docGrid w:linePitch="360"/>
        </w:sectPr>
      </w:pPr>
    </w:p>
    <w:p w14:paraId="20BEB1EE" w14:textId="78EC9491" w:rsidR="0058792B" w:rsidRDefault="0058792B" w:rsidP="001E6995">
      <w:pPr>
        <w:pStyle w:val="TableTitle"/>
      </w:pPr>
      <w:r>
        <w:lastRenderedPageBreak/>
        <w:t>Table 1: 2022 accreditation assessment model</w:t>
      </w:r>
    </w:p>
    <w:tbl>
      <w:tblPr>
        <w:tblStyle w:val="TableGrid"/>
        <w:tblW w:w="5000" w:type="pct"/>
        <w:tblLook w:val="00A0" w:firstRow="1" w:lastRow="0" w:firstColumn="1" w:lastColumn="0" w:noHBand="0" w:noVBand="0"/>
        <w:tblDescription w:val="Table 1: 2022 accreditation assessment model"/>
      </w:tblPr>
      <w:tblGrid>
        <w:gridCol w:w="2305"/>
        <w:gridCol w:w="1517"/>
        <w:gridCol w:w="3544"/>
        <w:gridCol w:w="2970"/>
        <w:gridCol w:w="2720"/>
        <w:gridCol w:w="1504"/>
      </w:tblGrid>
      <w:tr w:rsidR="008251F7" w:rsidRPr="001E6995" w14:paraId="2B500014" w14:textId="77777777" w:rsidTr="006F119E">
        <w:trPr>
          <w:cnfStyle w:val="100000000000" w:firstRow="1" w:lastRow="0" w:firstColumn="0" w:lastColumn="0" w:oddVBand="0" w:evenVBand="0" w:oddHBand="0" w:evenHBand="0" w:firstRowFirstColumn="0" w:firstRowLastColumn="0" w:lastRowFirstColumn="0" w:lastRowLastColumn="0"/>
          <w:trHeight w:val="514"/>
        </w:trPr>
        <w:tc>
          <w:tcPr>
            <w:cnfStyle w:val="001000000000" w:firstRow="0" w:lastRow="0" w:firstColumn="1" w:lastColumn="0" w:oddVBand="0" w:evenVBand="0" w:oddHBand="0" w:evenHBand="0" w:firstRowFirstColumn="0" w:firstRowLastColumn="0" w:lastRowFirstColumn="0" w:lastRowLastColumn="0"/>
            <w:tcW w:w="1312" w:type="pct"/>
            <w:gridSpan w:val="2"/>
          </w:tcPr>
          <w:p w14:paraId="4EBCC250" w14:textId="77777777" w:rsidR="0058792B" w:rsidRPr="001E6995" w:rsidRDefault="0058792B" w:rsidP="001E6995">
            <w:r w:rsidRPr="001E6995">
              <w:t>Assessment mode</w:t>
            </w:r>
          </w:p>
        </w:tc>
        <w:tc>
          <w:tcPr>
            <w:tcW w:w="1217" w:type="pct"/>
          </w:tcPr>
          <w:p w14:paraId="3A776283" w14:textId="77777777" w:rsidR="0058792B" w:rsidRPr="001E6995" w:rsidRDefault="0058792B" w:rsidP="001E6995">
            <w:pPr>
              <w:cnfStyle w:val="100000000000" w:firstRow="1" w:lastRow="0" w:firstColumn="0" w:lastColumn="0" w:oddVBand="0" w:evenVBand="0" w:oddHBand="0" w:evenHBand="0" w:firstRowFirstColumn="0" w:firstRowLastColumn="0" w:lastRowFirstColumn="0" w:lastRowLastColumn="0"/>
            </w:pPr>
            <w:r w:rsidRPr="001E6995">
              <w:t>Indicators to be assessed</w:t>
            </w:r>
          </w:p>
        </w:tc>
        <w:tc>
          <w:tcPr>
            <w:tcW w:w="1020" w:type="pct"/>
          </w:tcPr>
          <w:p w14:paraId="110B0134" w14:textId="77777777" w:rsidR="0058792B" w:rsidRPr="001E6995" w:rsidRDefault="0058792B" w:rsidP="001E6995">
            <w:pPr>
              <w:cnfStyle w:val="100000000000" w:firstRow="1" w:lastRow="0" w:firstColumn="0" w:lastColumn="0" w:oddVBand="0" w:evenVBand="0" w:oddHBand="0" w:evenHBand="0" w:firstRowFirstColumn="0" w:firstRowLastColumn="0" w:lastRowFirstColumn="0" w:lastRowLastColumn="0"/>
            </w:pPr>
            <w:r w:rsidRPr="001E6995">
              <w:t>Assessment due</w:t>
            </w:r>
          </w:p>
        </w:tc>
        <w:tc>
          <w:tcPr>
            <w:tcW w:w="934" w:type="pct"/>
          </w:tcPr>
          <w:p w14:paraId="6E39D18C" w14:textId="77777777" w:rsidR="0058792B" w:rsidRPr="001E6995" w:rsidRDefault="0058792B" w:rsidP="001E6995">
            <w:pPr>
              <w:cnfStyle w:val="100000000000" w:firstRow="1" w:lastRow="0" w:firstColumn="0" w:lastColumn="0" w:oddVBand="0" w:evenVBand="0" w:oddHBand="0" w:evenHBand="0" w:firstRowFirstColumn="0" w:firstRowLastColumn="0" w:lastRowFirstColumn="0" w:lastRowLastColumn="0"/>
            </w:pPr>
            <w:r w:rsidRPr="001E6995">
              <w:t>Remediation period</w:t>
            </w:r>
          </w:p>
        </w:tc>
        <w:tc>
          <w:tcPr>
            <w:tcW w:w="517" w:type="pct"/>
          </w:tcPr>
          <w:p w14:paraId="3B28E7C3" w14:textId="5F5047D3" w:rsidR="0058792B" w:rsidRPr="001E6995" w:rsidRDefault="0058792B" w:rsidP="008251F7">
            <w:pPr>
              <w:jc w:val="center"/>
              <w:cnfStyle w:val="100000000000" w:firstRow="1" w:lastRow="0" w:firstColumn="0" w:lastColumn="0" w:oddVBand="0" w:evenVBand="0" w:oddHBand="0" w:evenHBand="0" w:firstRowFirstColumn="0" w:firstRowLastColumn="0" w:lastRowFirstColumn="0" w:lastRowLastColumn="0"/>
            </w:pPr>
            <w:r w:rsidRPr="001E6995">
              <w:t>Accreditation award</w:t>
            </w:r>
          </w:p>
        </w:tc>
      </w:tr>
      <w:tr w:rsidR="00097E56" w:rsidRPr="001E6995" w14:paraId="3ABE332E" w14:textId="77777777" w:rsidTr="006F119E">
        <w:trPr>
          <w:trHeight w:val="60"/>
        </w:trPr>
        <w:tc>
          <w:tcPr>
            <w:cnfStyle w:val="001000000000" w:firstRow="0" w:lastRow="0" w:firstColumn="1" w:lastColumn="0" w:oddVBand="0" w:evenVBand="0" w:oddHBand="0" w:evenHBand="0" w:firstRowFirstColumn="0" w:firstRowLastColumn="0" w:lastRowFirstColumn="0" w:lastRowLastColumn="0"/>
            <w:tcW w:w="1312" w:type="pct"/>
            <w:gridSpan w:val="2"/>
          </w:tcPr>
          <w:p w14:paraId="371FC9BF" w14:textId="77777777" w:rsidR="0058792B" w:rsidRPr="001E6995" w:rsidRDefault="0058792B" w:rsidP="001E6995">
            <w:r w:rsidRPr="001E6995">
              <w:t xml:space="preserve">On-site assessment </w:t>
            </w:r>
          </w:p>
        </w:tc>
        <w:tc>
          <w:tcPr>
            <w:tcW w:w="1217" w:type="pct"/>
          </w:tcPr>
          <w:p w14:paraId="598B6CFE" w14:textId="77777777" w:rsidR="0058792B" w:rsidRPr="001E6995" w:rsidRDefault="0058792B" w:rsidP="001E6995">
            <w:pPr>
              <w:cnfStyle w:val="000000000000" w:firstRow="0" w:lastRow="0" w:firstColumn="0" w:lastColumn="0" w:oddVBand="0" w:evenVBand="0" w:oddHBand="0" w:evenHBand="0" w:firstRowFirstColumn="0" w:firstRowLastColumn="0" w:lastRowFirstColumn="0" w:lastRowLastColumn="0"/>
            </w:pPr>
            <w:r w:rsidRPr="001E6995">
              <w:t>All RACGP indicators</w:t>
            </w:r>
          </w:p>
        </w:tc>
        <w:tc>
          <w:tcPr>
            <w:tcW w:w="1020" w:type="pct"/>
          </w:tcPr>
          <w:p w14:paraId="54E1267C" w14:textId="77777777" w:rsidR="0058792B" w:rsidRPr="001E6995" w:rsidRDefault="0058792B" w:rsidP="001E6995">
            <w:pPr>
              <w:cnfStyle w:val="000000000000" w:firstRow="0" w:lastRow="0" w:firstColumn="0" w:lastColumn="0" w:oddVBand="0" w:evenVBand="0" w:oddHBand="0" w:evenHBand="0" w:firstRowFirstColumn="0" w:firstRowLastColumn="0" w:lastRowFirstColumn="0" w:lastRowLastColumn="0"/>
            </w:pPr>
            <w:r w:rsidRPr="001E6995">
              <w:t>More than four months before accreditation expires</w:t>
            </w:r>
          </w:p>
        </w:tc>
        <w:tc>
          <w:tcPr>
            <w:tcW w:w="934" w:type="pct"/>
          </w:tcPr>
          <w:p w14:paraId="5C8E578F" w14:textId="77777777" w:rsidR="0058792B" w:rsidRPr="001E6995" w:rsidRDefault="0058792B" w:rsidP="001E6995">
            <w:pPr>
              <w:cnfStyle w:val="000000000000" w:firstRow="0" w:lastRow="0" w:firstColumn="0" w:lastColumn="0" w:oddVBand="0" w:evenVBand="0" w:oddHBand="0" w:evenHBand="0" w:firstRowFirstColumn="0" w:firstRowLastColumn="0" w:lastRowFirstColumn="0" w:lastRowLastColumn="0"/>
            </w:pPr>
            <w:r w:rsidRPr="001E6995">
              <w:t>65 business days, between initial and final assessments</w:t>
            </w:r>
          </w:p>
        </w:tc>
        <w:tc>
          <w:tcPr>
            <w:tcW w:w="517" w:type="pct"/>
          </w:tcPr>
          <w:p w14:paraId="5BC1F418" w14:textId="77777777" w:rsidR="0058792B" w:rsidRPr="001E6995" w:rsidRDefault="0058792B" w:rsidP="008251F7">
            <w:pPr>
              <w:jc w:val="center"/>
              <w:cnfStyle w:val="000000000000" w:firstRow="0" w:lastRow="0" w:firstColumn="0" w:lastColumn="0" w:oddVBand="0" w:evenVBand="0" w:oddHBand="0" w:evenHBand="0" w:firstRowFirstColumn="0" w:firstRowLastColumn="0" w:lastRowFirstColumn="0" w:lastRowLastColumn="0"/>
            </w:pPr>
            <w:r w:rsidRPr="001E6995">
              <w:t>Three years</w:t>
            </w:r>
          </w:p>
        </w:tc>
      </w:tr>
      <w:tr w:rsidR="00C23BFB" w:rsidRPr="001E6995" w14:paraId="0C85FB26" w14:textId="77777777" w:rsidTr="006F119E">
        <w:trPr>
          <w:trHeight w:val="60"/>
        </w:trPr>
        <w:tc>
          <w:tcPr>
            <w:cnfStyle w:val="001000000000" w:firstRow="0" w:lastRow="0" w:firstColumn="1" w:lastColumn="0" w:oddVBand="0" w:evenVBand="0" w:oddHBand="0" w:evenHBand="0" w:firstRowFirstColumn="0" w:firstRowLastColumn="0" w:lastRowFirstColumn="0" w:lastRowLastColumn="0"/>
            <w:tcW w:w="1312" w:type="pct"/>
            <w:gridSpan w:val="2"/>
            <w:shd w:val="clear" w:color="auto" w:fill="F1F8FC"/>
          </w:tcPr>
          <w:p w14:paraId="2DBE4C38" w14:textId="77777777" w:rsidR="0058792B" w:rsidRPr="001E6995" w:rsidRDefault="0058792B" w:rsidP="001E6995">
            <w:r w:rsidRPr="001E6995">
              <w:t xml:space="preserve">Hybrid assessment </w:t>
            </w:r>
          </w:p>
        </w:tc>
        <w:tc>
          <w:tcPr>
            <w:tcW w:w="1217" w:type="pct"/>
            <w:shd w:val="clear" w:color="auto" w:fill="F1F8FC"/>
          </w:tcPr>
          <w:p w14:paraId="787ED862" w14:textId="77777777" w:rsidR="0058792B" w:rsidRPr="001E6995" w:rsidRDefault="0058792B" w:rsidP="001E6995">
            <w:pPr>
              <w:cnfStyle w:val="000000000000" w:firstRow="0" w:lastRow="0" w:firstColumn="0" w:lastColumn="0" w:oddVBand="0" w:evenVBand="0" w:oddHBand="0" w:evenHBand="0" w:firstRowFirstColumn="0" w:firstRowLastColumn="0" w:lastRowFirstColumn="0" w:lastRowLastColumn="0"/>
            </w:pPr>
            <w:r w:rsidRPr="001E6995">
              <w:t>All RACGP indicators</w:t>
            </w:r>
          </w:p>
        </w:tc>
        <w:tc>
          <w:tcPr>
            <w:tcW w:w="1020" w:type="pct"/>
            <w:shd w:val="clear" w:color="auto" w:fill="F1F8FC"/>
          </w:tcPr>
          <w:p w14:paraId="354011DA" w14:textId="77777777" w:rsidR="0058792B" w:rsidRPr="001E6995" w:rsidRDefault="0058792B" w:rsidP="001E6995">
            <w:pPr>
              <w:cnfStyle w:val="000000000000" w:firstRow="0" w:lastRow="0" w:firstColumn="0" w:lastColumn="0" w:oddVBand="0" w:evenVBand="0" w:oddHBand="0" w:evenHBand="0" w:firstRowFirstColumn="0" w:firstRowLastColumn="0" w:lastRowFirstColumn="0" w:lastRowLastColumn="0"/>
            </w:pPr>
            <w:r w:rsidRPr="001E6995">
              <w:t>More than four months before accreditation expires</w:t>
            </w:r>
          </w:p>
        </w:tc>
        <w:tc>
          <w:tcPr>
            <w:tcW w:w="934" w:type="pct"/>
            <w:shd w:val="clear" w:color="auto" w:fill="F1F8FC"/>
          </w:tcPr>
          <w:p w14:paraId="75F9A18C" w14:textId="77777777" w:rsidR="0058792B" w:rsidRPr="001E6995" w:rsidRDefault="0058792B" w:rsidP="001E6995">
            <w:pPr>
              <w:cnfStyle w:val="000000000000" w:firstRow="0" w:lastRow="0" w:firstColumn="0" w:lastColumn="0" w:oddVBand="0" w:evenVBand="0" w:oddHBand="0" w:evenHBand="0" w:firstRowFirstColumn="0" w:firstRowLastColumn="0" w:lastRowFirstColumn="0" w:lastRowLastColumn="0"/>
            </w:pPr>
            <w:r w:rsidRPr="001E6995">
              <w:t>65 business days, between initial and final assessments</w:t>
            </w:r>
          </w:p>
        </w:tc>
        <w:tc>
          <w:tcPr>
            <w:tcW w:w="517" w:type="pct"/>
            <w:shd w:val="clear" w:color="auto" w:fill="F1F8FC"/>
          </w:tcPr>
          <w:p w14:paraId="04B77166" w14:textId="77777777" w:rsidR="0058792B" w:rsidRPr="001E6995" w:rsidRDefault="0058792B" w:rsidP="008251F7">
            <w:pPr>
              <w:jc w:val="center"/>
              <w:cnfStyle w:val="000000000000" w:firstRow="0" w:lastRow="0" w:firstColumn="0" w:lastColumn="0" w:oddVBand="0" w:evenVBand="0" w:oddHBand="0" w:evenHBand="0" w:firstRowFirstColumn="0" w:firstRowLastColumn="0" w:lastRowFirstColumn="0" w:lastRowLastColumn="0"/>
            </w:pPr>
            <w:r w:rsidRPr="001E6995">
              <w:t>Three years</w:t>
            </w:r>
          </w:p>
        </w:tc>
      </w:tr>
      <w:tr w:rsidR="00097E56" w:rsidRPr="001E6995" w14:paraId="7E1E3C53" w14:textId="77777777" w:rsidTr="006F119E">
        <w:trPr>
          <w:trHeight w:val="60"/>
        </w:trPr>
        <w:tc>
          <w:tcPr>
            <w:cnfStyle w:val="001000000000" w:firstRow="0" w:lastRow="0" w:firstColumn="1" w:lastColumn="0" w:oddVBand="0" w:evenVBand="0" w:oddHBand="0" w:evenHBand="0" w:firstRowFirstColumn="0" w:firstRowLastColumn="0" w:lastRowFirstColumn="0" w:lastRowLastColumn="0"/>
            <w:tcW w:w="792" w:type="pct"/>
          </w:tcPr>
          <w:p w14:paraId="0B0090EA" w14:textId="77777777" w:rsidR="0058792B" w:rsidRPr="001E6995" w:rsidRDefault="0058792B" w:rsidP="001E6995">
            <w:r w:rsidRPr="001E6995">
              <w:t>(</w:t>
            </w:r>
            <w:proofErr w:type="spellStart"/>
            <w:r w:rsidRPr="001E6995">
              <w:t>i</w:t>
            </w:r>
            <w:proofErr w:type="spellEnd"/>
            <w:r w:rsidRPr="001E6995">
              <w:t>) Virtual assessment</w:t>
            </w:r>
          </w:p>
        </w:tc>
        <w:tc>
          <w:tcPr>
            <w:tcW w:w="521" w:type="pct"/>
          </w:tcPr>
          <w:p w14:paraId="2FC405A6" w14:textId="77777777" w:rsidR="0058792B" w:rsidRPr="00455331" w:rsidRDefault="0058792B" w:rsidP="001E6995">
            <w:pPr>
              <w:cnfStyle w:val="000000000000" w:firstRow="0" w:lastRow="0" w:firstColumn="0" w:lastColumn="0" w:oddVBand="0" w:evenVBand="0" w:oddHBand="0" w:evenHBand="0" w:firstRowFirstColumn="0" w:firstRowLastColumn="0" w:lastRowFirstColumn="0" w:lastRowLastColumn="0"/>
              <w:rPr>
                <w:b/>
                <w:bCs/>
              </w:rPr>
            </w:pPr>
            <w:r w:rsidRPr="00455331">
              <w:rPr>
                <w:b/>
                <w:bCs/>
              </w:rPr>
              <w:t xml:space="preserve">Off-site assessment </w:t>
            </w:r>
          </w:p>
        </w:tc>
        <w:tc>
          <w:tcPr>
            <w:tcW w:w="1217" w:type="pct"/>
          </w:tcPr>
          <w:p w14:paraId="0E198454" w14:textId="77777777" w:rsidR="0058792B" w:rsidRPr="001E6995" w:rsidRDefault="0058792B" w:rsidP="001E6995">
            <w:pPr>
              <w:cnfStyle w:val="000000000000" w:firstRow="0" w:lastRow="0" w:firstColumn="0" w:lastColumn="0" w:oddVBand="0" w:evenVBand="0" w:oddHBand="0" w:evenHBand="0" w:firstRowFirstColumn="0" w:firstRowLastColumn="0" w:lastRowFirstColumn="0" w:lastRowLastColumn="0"/>
            </w:pPr>
            <w:r w:rsidRPr="001E6995">
              <w:t>All RACGP indicators</w:t>
            </w:r>
          </w:p>
        </w:tc>
        <w:tc>
          <w:tcPr>
            <w:tcW w:w="1020" w:type="pct"/>
          </w:tcPr>
          <w:p w14:paraId="03F647E3" w14:textId="77777777" w:rsidR="0058792B" w:rsidRPr="001E6995" w:rsidRDefault="0058792B" w:rsidP="001E6995">
            <w:pPr>
              <w:cnfStyle w:val="000000000000" w:firstRow="0" w:lastRow="0" w:firstColumn="0" w:lastColumn="0" w:oddVBand="0" w:evenVBand="0" w:oddHBand="0" w:evenHBand="0" w:firstRowFirstColumn="0" w:firstRowLastColumn="0" w:lastRowFirstColumn="0" w:lastRowLastColumn="0"/>
            </w:pPr>
            <w:r w:rsidRPr="001E6995">
              <w:t>More than four months before accreditation expires</w:t>
            </w:r>
          </w:p>
        </w:tc>
        <w:tc>
          <w:tcPr>
            <w:tcW w:w="934" w:type="pct"/>
            <w:vMerge w:val="restart"/>
          </w:tcPr>
          <w:p w14:paraId="1A3079E0" w14:textId="77777777" w:rsidR="0058792B" w:rsidRPr="001E6995" w:rsidRDefault="0058792B" w:rsidP="001E6995">
            <w:pPr>
              <w:cnfStyle w:val="000000000000" w:firstRow="0" w:lastRow="0" w:firstColumn="0" w:lastColumn="0" w:oddVBand="0" w:evenVBand="0" w:oddHBand="0" w:evenHBand="0" w:firstRowFirstColumn="0" w:firstRowLastColumn="0" w:lastRowFirstColumn="0" w:lastRowLastColumn="0"/>
            </w:pPr>
            <w:r w:rsidRPr="001E6995">
              <w:t>65 business days, between initial and final assessment which includes the four</w:t>
            </w:r>
            <w:r w:rsidRPr="001E6995">
              <w:rPr>
                <w:rFonts w:ascii="Cambria Math" w:hAnsi="Cambria Math" w:cs="Cambria Math"/>
              </w:rPr>
              <w:t>‑</w:t>
            </w:r>
            <w:r w:rsidRPr="001E6995">
              <w:t>week period between assessments</w:t>
            </w:r>
          </w:p>
        </w:tc>
        <w:tc>
          <w:tcPr>
            <w:tcW w:w="517" w:type="pct"/>
            <w:vMerge w:val="restart"/>
          </w:tcPr>
          <w:p w14:paraId="50C058DF" w14:textId="77777777" w:rsidR="0058792B" w:rsidRPr="001E6995" w:rsidRDefault="0058792B" w:rsidP="008251F7">
            <w:pPr>
              <w:jc w:val="center"/>
              <w:cnfStyle w:val="000000000000" w:firstRow="0" w:lastRow="0" w:firstColumn="0" w:lastColumn="0" w:oddVBand="0" w:evenVBand="0" w:oddHBand="0" w:evenHBand="0" w:firstRowFirstColumn="0" w:firstRowLastColumn="0" w:lastRowFirstColumn="0" w:lastRowLastColumn="0"/>
            </w:pPr>
            <w:r w:rsidRPr="001E6995">
              <w:t>Three years</w:t>
            </w:r>
          </w:p>
        </w:tc>
      </w:tr>
      <w:tr w:rsidR="00097E56" w:rsidRPr="001E6995" w14:paraId="4832A501" w14:textId="77777777" w:rsidTr="006F119E">
        <w:trPr>
          <w:trHeight w:val="60"/>
        </w:trPr>
        <w:tc>
          <w:tcPr>
            <w:cnfStyle w:val="001000000000" w:firstRow="0" w:lastRow="0" w:firstColumn="1" w:lastColumn="0" w:oddVBand="0" w:evenVBand="0" w:oddHBand="0" w:evenHBand="0" w:firstRowFirstColumn="0" w:firstRowLastColumn="0" w:lastRowFirstColumn="0" w:lastRowLastColumn="0"/>
            <w:tcW w:w="792" w:type="pct"/>
          </w:tcPr>
          <w:p w14:paraId="533860E1" w14:textId="0E715235" w:rsidR="0058792B" w:rsidRPr="00444062" w:rsidRDefault="0058792B" w:rsidP="00444062">
            <w:pPr>
              <w:jc w:val="right"/>
              <w:rPr>
                <w:b w:val="0"/>
                <w:bCs/>
              </w:rPr>
            </w:pPr>
            <w:r w:rsidRPr="00455331">
              <w:rPr>
                <w:b w:val="0"/>
                <w:bCs/>
              </w:rPr>
              <w:t>Followed by:</w:t>
            </w:r>
          </w:p>
        </w:tc>
        <w:tc>
          <w:tcPr>
            <w:tcW w:w="521" w:type="pct"/>
          </w:tcPr>
          <w:p w14:paraId="34E96A4F" w14:textId="77777777" w:rsidR="0058792B" w:rsidRPr="00455331" w:rsidRDefault="0058792B" w:rsidP="001E6995">
            <w:pPr>
              <w:cnfStyle w:val="000000000000" w:firstRow="0" w:lastRow="0" w:firstColumn="0" w:lastColumn="0" w:oddVBand="0" w:evenVBand="0" w:oddHBand="0" w:evenHBand="0" w:firstRowFirstColumn="0" w:firstRowLastColumn="0" w:lastRowFirstColumn="0" w:lastRowLastColumn="0"/>
              <w:rPr>
                <w:b/>
                <w:bCs/>
              </w:rPr>
            </w:pPr>
            <w:r w:rsidRPr="00455331">
              <w:rPr>
                <w:b/>
                <w:bCs/>
              </w:rPr>
              <w:t>On-site assessment</w:t>
            </w:r>
          </w:p>
        </w:tc>
        <w:tc>
          <w:tcPr>
            <w:tcW w:w="1217" w:type="pct"/>
          </w:tcPr>
          <w:p w14:paraId="79A038FB" w14:textId="77777777" w:rsidR="0058792B" w:rsidRPr="008251F7" w:rsidRDefault="0058792B" w:rsidP="008251F7">
            <w:pPr>
              <w:pStyle w:val="ListParagraph"/>
              <w:numPr>
                <w:ilvl w:val="0"/>
                <w:numId w:val="29"/>
              </w:numPr>
              <w:cnfStyle w:val="000000000000" w:firstRow="0" w:lastRow="0" w:firstColumn="0" w:lastColumn="0" w:oddVBand="0" w:evenVBand="0" w:oddHBand="0" w:evenHBand="0" w:firstRowFirstColumn="0" w:firstRowLastColumn="0" w:lastRowFirstColumn="0" w:lastRowLastColumn="0"/>
            </w:pPr>
            <w:r w:rsidRPr="008251F7">
              <w:t>Indicators rated as not met at the virtual assessment</w:t>
            </w:r>
          </w:p>
          <w:p w14:paraId="12B6DEB0" w14:textId="77777777" w:rsidR="0058792B" w:rsidRPr="008251F7" w:rsidRDefault="0058792B" w:rsidP="008251F7">
            <w:pPr>
              <w:pStyle w:val="ListParagraph"/>
              <w:numPr>
                <w:ilvl w:val="0"/>
                <w:numId w:val="29"/>
              </w:numPr>
              <w:cnfStyle w:val="000000000000" w:firstRow="0" w:lastRow="0" w:firstColumn="0" w:lastColumn="0" w:oddVBand="0" w:evenVBand="0" w:oddHBand="0" w:evenHBand="0" w:firstRowFirstColumn="0" w:firstRowLastColumn="0" w:lastRowFirstColumn="0" w:lastRowLastColumn="0"/>
            </w:pPr>
            <w:r w:rsidRPr="008251F7">
              <w:t>Observation of clinical areas</w:t>
            </w:r>
          </w:p>
          <w:p w14:paraId="0C89AFD3" w14:textId="24448E99" w:rsidR="0058792B" w:rsidRPr="008251F7" w:rsidRDefault="0058792B" w:rsidP="008251F7">
            <w:pPr>
              <w:pStyle w:val="ListParagraph"/>
              <w:numPr>
                <w:ilvl w:val="0"/>
                <w:numId w:val="29"/>
              </w:numPr>
              <w:cnfStyle w:val="000000000000" w:firstRow="0" w:lastRow="0" w:firstColumn="0" w:lastColumn="0" w:oddVBand="0" w:evenVBand="0" w:oddHBand="0" w:evenHBand="0" w:firstRowFirstColumn="0" w:firstRowLastColumn="0" w:lastRowFirstColumn="0" w:lastRowLastColumn="0"/>
            </w:pPr>
            <w:r w:rsidRPr="008251F7">
              <w:t>Review of high</w:t>
            </w:r>
            <w:r w:rsidR="00455331" w:rsidRPr="008251F7">
              <w:t>-</w:t>
            </w:r>
            <w:r w:rsidRPr="008251F7">
              <w:t>risk scenarios</w:t>
            </w:r>
          </w:p>
        </w:tc>
        <w:tc>
          <w:tcPr>
            <w:tcW w:w="1020" w:type="pct"/>
          </w:tcPr>
          <w:p w14:paraId="192AF9BC" w14:textId="77777777" w:rsidR="0058792B" w:rsidRPr="001E6995" w:rsidRDefault="0058792B" w:rsidP="001E6995">
            <w:pPr>
              <w:cnfStyle w:val="000000000000" w:firstRow="0" w:lastRow="0" w:firstColumn="0" w:lastColumn="0" w:oddVBand="0" w:evenVBand="0" w:oddHBand="0" w:evenHBand="0" w:firstRowFirstColumn="0" w:firstRowLastColumn="0" w:lastRowFirstColumn="0" w:lastRowLastColumn="0"/>
            </w:pPr>
            <w:r w:rsidRPr="001E6995">
              <w:t>Within four weeks of virtual assessment</w:t>
            </w:r>
          </w:p>
        </w:tc>
        <w:tc>
          <w:tcPr>
            <w:tcW w:w="934" w:type="pct"/>
            <w:vMerge/>
          </w:tcPr>
          <w:p w14:paraId="20BB7119" w14:textId="77777777" w:rsidR="0058792B" w:rsidRPr="001E6995" w:rsidRDefault="0058792B" w:rsidP="001E6995">
            <w:pPr>
              <w:cnfStyle w:val="000000000000" w:firstRow="0" w:lastRow="0" w:firstColumn="0" w:lastColumn="0" w:oddVBand="0" w:evenVBand="0" w:oddHBand="0" w:evenHBand="0" w:firstRowFirstColumn="0" w:firstRowLastColumn="0" w:lastRowFirstColumn="0" w:lastRowLastColumn="0"/>
            </w:pPr>
          </w:p>
        </w:tc>
        <w:tc>
          <w:tcPr>
            <w:tcW w:w="517" w:type="pct"/>
            <w:vMerge/>
          </w:tcPr>
          <w:p w14:paraId="51EE90B7" w14:textId="77777777" w:rsidR="0058792B" w:rsidRPr="001E6995" w:rsidRDefault="0058792B" w:rsidP="008251F7">
            <w:pPr>
              <w:jc w:val="center"/>
              <w:cnfStyle w:val="000000000000" w:firstRow="0" w:lastRow="0" w:firstColumn="0" w:lastColumn="0" w:oddVBand="0" w:evenVBand="0" w:oddHBand="0" w:evenHBand="0" w:firstRowFirstColumn="0" w:firstRowLastColumn="0" w:lastRowFirstColumn="0" w:lastRowLastColumn="0"/>
            </w:pPr>
          </w:p>
        </w:tc>
      </w:tr>
      <w:tr w:rsidR="008251F7" w:rsidRPr="001E6995" w14:paraId="257A3510" w14:textId="77777777" w:rsidTr="006F119E">
        <w:trPr>
          <w:trHeight w:val="60"/>
        </w:trPr>
        <w:tc>
          <w:tcPr>
            <w:cnfStyle w:val="001000000000" w:firstRow="0" w:lastRow="0" w:firstColumn="1" w:lastColumn="0" w:oddVBand="0" w:evenVBand="0" w:oddHBand="0" w:evenHBand="0" w:firstRowFirstColumn="0" w:firstRowLastColumn="0" w:lastRowFirstColumn="0" w:lastRowLastColumn="0"/>
            <w:tcW w:w="792" w:type="pct"/>
            <w:shd w:val="clear" w:color="auto" w:fill="F1F8FC"/>
          </w:tcPr>
          <w:p w14:paraId="59F1001D" w14:textId="77777777" w:rsidR="0058792B" w:rsidRPr="001E6995" w:rsidRDefault="0058792B" w:rsidP="001E6995">
            <w:r w:rsidRPr="001E6995">
              <w:t>(ii) Virtual assessment</w:t>
            </w:r>
          </w:p>
        </w:tc>
        <w:tc>
          <w:tcPr>
            <w:tcW w:w="521" w:type="pct"/>
            <w:shd w:val="clear" w:color="auto" w:fill="F1F8FC"/>
          </w:tcPr>
          <w:p w14:paraId="0D9E2FD4" w14:textId="77777777" w:rsidR="0058792B" w:rsidRPr="00455331" w:rsidRDefault="0058792B" w:rsidP="001E6995">
            <w:pPr>
              <w:cnfStyle w:val="000000000000" w:firstRow="0" w:lastRow="0" w:firstColumn="0" w:lastColumn="0" w:oddVBand="0" w:evenVBand="0" w:oddHBand="0" w:evenHBand="0" w:firstRowFirstColumn="0" w:firstRowLastColumn="0" w:lastRowFirstColumn="0" w:lastRowLastColumn="0"/>
              <w:rPr>
                <w:b/>
                <w:bCs/>
              </w:rPr>
            </w:pPr>
            <w:r w:rsidRPr="00455331">
              <w:rPr>
                <w:b/>
                <w:bCs/>
              </w:rPr>
              <w:t xml:space="preserve">Off-site assessment </w:t>
            </w:r>
          </w:p>
        </w:tc>
        <w:tc>
          <w:tcPr>
            <w:tcW w:w="1217" w:type="pct"/>
            <w:shd w:val="clear" w:color="auto" w:fill="F1F8FC"/>
          </w:tcPr>
          <w:p w14:paraId="089DA2F3" w14:textId="77777777" w:rsidR="0058792B" w:rsidRPr="001E6995" w:rsidRDefault="0058792B" w:rsidP="001E6995">
            <w:pPr>
              <w:cnfStyle w:val="000000000000" w:firstRow="0" w:lastRow="0" w:firstColumn="0" w:lastColumn="0" w:oddVBand="0" w:evenVBand="0" w:oddHBand="0" w:evenHBand="0" w:firstRowFirstColumn="0" w:firstRowLastColumn="0" w:lastRowFirstColumn="0" w:lastRowLastColumn="0"/>
            </w:pPr>
            <w:r w:rsidRPr="001E6995">
              <w:t>All RACGP indicators</w:t>
            </w:r>
          </w:p>
        </w:tc>
        <w:tc>
          <w:tcPr>
            <w:tcW w:w="1020" w:type="pct"/>
            <w:shd w:val="clear" w:color="auto" w:fill="F1F8FC"/>
          </w:tcPr>
          <w:p w14:paraId="2280E9F8" w14:textId="77777777" w:rsidR="0058792B" w:rsidRPr="001E6995" w:rsidRDefault="0058792B" w:rsidP="001E6995">
            <w:pPr>
              <w:cnfStyle w:val="000000000000" w:firstRow="0" w:lastRow="0" w:firstColumn="0" w:lastColumn="0" w:oddVBand="0" w:evenVBand="0" w:oddHBand="0" w:evenHBand="0" w:firstRowFirstColumn="0" w:firstRowLastColumn="0" w:lastRowFirstColumn="0" w:lastRowLastColumn="0"/>
            </w:pPr>
            <w:r w:rsidRPr="001E6995">
              <w:t>More than four months before accreditation expires</w:t>
            </w:r>
          </w:p>
        </w:tc>
        <w:tc>
          <w:tcPr>
            <w:tcW w:w="934" w:type="pct"/>
            <w:shd w:val="clear" w:color="auto" w:fill="F1F8FC"/>
          </w:tcPr>
          <w:p w14:paraId="469C9095" w14:textId="24246D8E" w:rsidR="0058792B" w:rsidRPr="001E6995" w:rsidRDefault="0058792B" w:rsidP="001E6995">
            <w:pPr>
              <w:cnfStyle w:val="000000000000" w:firstRow="0" w:lastRow="0" w:firstColumn="0" w:lastColumn="0" w:oddVBand="0" w:evenVBand="0" w:oddHBand="0" w:evenHBand="0" w:firstRowFirstColumn="0" w:firstRowLastColumn="0" w:lastRowFirstColumn="0" w:lastRowLastColumn="0"/>
            </w:pPr>
            <w:r w:rsidRPr="001E6995">
              <w:t>65 business days, between initial and final</w:t>
            </w:r>
            <w:r w:rsidR="008251F7">
              <w:t xml:space="preserve"> </w:t>
            </w:r>
            <w:r w:rsidRPr="001E6995">
              <w:t>virtual</w:t>
            </w:r>
            <w:r w:rsidR="008251F7">
              <w:t xml:space="preserve"> </w:t>
            </w:r>
            <w:r w:rsidRPr="001E6995">
              <w:t>assessments</w:t>
            </w:r>
          </w:p>
        </w:tc>
        <w:tc>
          <w:tcPr>
            <w:tcW w:w="517" w:type="pct"/>
            <w:shd w:val="clear" w:color="auto" w:fill="F1F8FC"/>
          </w:tcPr>
          <w:p w14:paraId="7F637486" w14:textId="77777777" w:rsidR="0058792B" w:rsidRPr="001E6995" w:rsidRDefault="0058792B" w:rsidP="008251F7">
            <w:pPr>
              <w:jc w:val="center"/>
              <w:cnfStyle w:val="000000000000" w:firstRow="0" w:lastRow="0" w:firstColumn="0" w:lastColumn="0" w:oddVBand="0" w:evenVBand="0" w:oddHBand="0" w:evenHBand="0" w:firstRowFirstColumn="0" w:firstRowLastColumn="0" w:lastRowFirstColumn="0" w:lastRowLastColumn="0"/>
            </w:pPr>
            <w:r w:rsidRPr="001E6995">
              <w:t>18 months</w:t>
            </w:r>
          </w:p>
        </w:tc>
      </w:tr>
      <w:tr w:rsidR="008251F7" w:rsidRPr="001E6995" w14:paraId="5AA564E3" w14:textId="77777777" w:rsidTr="006F119E">
        <w:trPr>
          <w:trHeight w:val="60"/>
        </w:trPr>
        <w:tc>
          <w:tcPr>
            <w:cnfStyle w:val="001000000000" w:firstRow="0" w:lastRow="0" w:firstColumn="1" w:lastColumn="0" w:oddVBand="0" w:evenVBand="0" w:oddHBand="0" w:evenHBand="0" w:firstRowFirstColumn="0" w:firstRowLastColumn="0" w:lastRowFirstColumn="0" w:lastRowLastColumn="0"/>
            <w:tcW w:w="792" w:type="pct"/>
            <w:shd w:val="clear" w:color="auto" w:fill="F1F8FC"/>
          </w:tcPr>
          <w:p w14:paraId="5C526E5E" w14:textId="77777777" w:rsidR="0058792B" w:rsidRPr="00455331" w:rsidRDefault="0058792B" w:rsidP="00444062">
            <w:pPr>
              <w:jc w:val="right"/>
              <w:rPr>
                <w:b w:val="0"/>
                <w:bCs/>
              </w:rPr>
            </w:pPr>
            <w:r w:rsidRPr="00455331">
              <w:rPr>
                <w:b w:val="0"/>
                <w:bCs/>
              </w:rPr>
              <w:t>Followed by:</w:t>
            </w:r>
          </w:p>
        </w:tc>
        <w:tc>
          <w:tcPr>
            <w:tcW w:w="521" w:type="pct"/>
            <w:shd w:val="clear" w:color="auto" w:fill="F1F8FC"/>
          </w:tcPr>
          <w:p w14:paraId="6160F7E5" w14:textId="77777777" w:rsidR="0058792B" w:rsidRPr="00455331" w:rsidRDefault="0058792B" w:rsidP="001E6995">
            <w:pPr>
              <w:cnfStyle w:val="000000000000" w:firstRow="0" w:lastRow="0" w:firstColumn="0" w:lastColumn="0" w:oddVBand="0" w:evenVBand="0" w:oddHBand="0" w:evenHBand="0" w:firstRowFirstColumn="0" w:firstRowLastColumn="0" w:lastRowFirstColumn="0" w:lastRowLastColumn="0"/>
              <w:rPr>
                <w:b/>
                <w:bCs/>
              </w:rPr>
            </w:pPr>
            <w:r w:rsidRPr="00455331">
              <w:rPr>
                <w:b/>
                <w:bCs/>
              </w:rPr>
              <w:t xml:space="preserve">On-site assessment </w:t>
            </w:r>
          </w:p>
          <w:p w14:paraId="6012EDAC" w14:textId="77777777" w:rsidR="0058792B" w:rsidRPr="00455331" w:rsidRDefault="0058792B" w:rsidP="001E6995">
            <w:pPr>
              <w:cnfStyle w:val="000000000000" w:firstRow="0" w:lastRow="0" w:firstColumn="0" w:lastColumn="0" w:oddVBand="0" w:evenVBand="0" w:oddHBand="0" w:evenHBand="0" w:firstRowFirstColumn="0" w:firstRowLastColumn="0" w:lastRowFirstColumn="0" w:lastRowLastColumn="0"/>
              <w:rPr>
                <w:b/>
                <w:bCs/>
              </w:rPr>
            </w:pPr>
          </w:p>
          <w:p w14:paraId="5134C563" w14:textId="77777777" w:rsidR="0058792B" w:rsidRPr="00455331" w:rsidRDefault="0058792B" w:rsidP="001E6995">
            <w:pPr>
              <w:cnfStyle w:val="000000000000" w:firstRow="0" w:lastRow="0" w:firstColumn="0" w:lastColumn="0" w:oddVBand="0" w:evenVBand="0" w:oddHBand="0" w:evenHBand="0" w:firstRowFirstColumn="0" w:firstRowLastColumn="0" w:lastRowFirstColumn="0" w:lastRowLastColumn="0"/>
              <w:rPr>
                <w:b/>
                <w:bCs/>
              </w:rPr>
            </w:pPr>
          </w:p>
        </w:tc>
        <w:tc>
          <w:tcPr>
            <w:tcW w:w="1217" w:type="pct"/>
            <w:shd w:val="clear" w:color="auto" w:fill="F1F8FC"/>
          </w:tcPr>
          <w:p w14:paraId="70854200" w14:textId="77777777" w:rsidR="0058792B" w:rsidRPr="008251F7" w:rsidRDefault="0058792B" w:rsidP="008251F7">
            <w:pPr>
              <w:pStyle w:val="ListParagraph"/>
              <w:numPr>
                <w:ilvl w:val="0"/>
                <w:numId w:val="30"/>
              </w:numPr>
              <w:cnfStyle w:val="000000000000" w:firstRow="0" w:lastRow="0" w:firstColumn="0" w:lastColumn="0" w:oddVBand="0" w:evenVBand="0" w:oddHBand="0" w:evenHBand="0" w:firstRowFirstColumn="0" w:firstRowLastColumn="0" w:lastRowFirstColumn="0" w:lastRowLastColumn="0"/>
            </w:pPr>
            <w:r w:rsidRPr="008251F7">
              <w:t>RACGP specified indicators</w:t>
            </w:r>
          </w:p>
          <w:p w14:paraId="4341EE70" w14:textId="77777777" w:rsidR="0058792B" w:rsidRPr="008251F7" w:rsidRDefault="0058792B" w:rsidP="008251F7">
            <w:pPr>
              <w:pStyle w:val="ListParagraph"/>
              <w:numPr>
                <w:ilvl w:val="0"/>
                <w:numId w:val="30"/>
              </w:numPr>
              <w:cnfStyle w:val="000000000000" w:firstRow="0" w:lastRow="0" w:firstColumn="0" w:lastColumn="0" w:oddVBand="0" w:evenVBand="0" w:oddHBand="0" w:evenHBand="0" w:firstRowFirstColumn="0" w:firstRowLastColumn="0" w:lastRowFirstColumn="0" w:lastRowLastColumn="0"/>
            </w:pPr>
            <w:r w:rsidRPr="008251F7">
              <w:t>Indicators rated as not met at the virtual assessment</w:t>
            </w:r>
          </w:p>
          <w:p w14:paraId="53652304" w14:textId="77777777" w:rsidR="0058792B" w:rsidRPr="008251F7" w:rsidRDefault="0058792B" w:rsidP="008251F7">
            <w:pPr>
              <w:pStyle w:val="ListParagraph"/>
              <w:numPr>
                <w:ilvl w:val="0"/>
                <w:numId w:val="30"/>
              </w:numPr>
              <w:cnfStyle w:val="000000000000" w:firstRow="0" w:lastRow="0" w:firstColumn="0" w:lastColumn="0" w:oddVBand="0" w:evenVBand="0" w:oddHBand="0" w:evenHBand="0" w:firstRowFirstColumn="0" w:firstRowLastColumn="0" w:lastRowFirstColumn="0" w:lastRowLastColumn="0"/>
            </w:pPr>
            <w:r w:rsidRPr="008251F7">
              <w:t>Observation of clinical areas</w:t>
            </w:r>
          </w:p>
          <w:p w14:paraId="69FD329B" w14:textId="77777777" w:rsidR="0058792B" w:rsidRPr="008251F7" w:rsidRDefault="0058792B" w:rsidP="008251F7">
            <w:pPr>
              <w:pStyle w:val="ListParagraph"/>
              <w:numPr>
                <w:ilvl w:val="0"/>
                <w:numId w:val="30"/>
              </w:numPr>
              <w:cnfStyle w:val="000000000000" w:firstRow="0" w:lastRow="0" w:firstColumn="0" w:lastColumn="0" w:oddVBand="0" w:evenVBand="0" w:oddHBand="0" w:evenHBand="0" w:firstRowFirstColumn="0" w:firstRowLastColumn="0" w:lastRowFirstColumn="0" w:lastRowLastColumn="0"/>
            </w:pPr>
            <w:r w:rsidRPr="008251F7">
              <w:t>Review of high-risk scenarios</w:t>
            </w:r>
          </w:p>
        </w:tc>
        <w:tc>
          <w:tcPr>
            <w:tcW w:w="1020" w:type="pct"/>
            <w:shd w:val="clear" w:color="auto" w:fill="F1F8FC"/>
          </w:tcPr>
          <w:p w14:paraId="318B6290" w14:textId="77777777" w:rsidR="0058792B" w:rsidRPr="001E6995" w:rsidRDefault="0058792B" w:rsidP="001E6995">
            <w:pPr>
              <w:cnfStyle w:val="000000000000" w:firstRow="0" w:lastRow="0" w:firstColumn="0" w:lastColumn="0" w:oddVBand="0" w:evenVBand="0" w:oddHBand="0" w:evenHBand="0" w:firstRowFirstColumn="0" w:firstRowLastColumn="0" w:lastRowFirstColumn="0" w:lastRowLastColumn="0"/>
            </w:pPr>
            <w:r w:rsidRPr="001E6995">
              <w:t xml:space="preserve">Less than 12 months from conclusion of virtual assessment </w:t>
            </w:r>
          </w:p>
        </w:tc>
        <w:tc>
          <w:tcPr>
            <w:tcW w:w="934" w:type="pct"/>
            <w:shd w:val="clear" w:color="auto" w:fill="F1F8FC"/>
          </w:tcPr>
          <w:p w14:paraId="4B510AA0" w14:textId="77777777" w:rsidR="0058792B" w:rsidRPr="001E6995" w:rsidRDefault="0058792B" w:rsidP="001E6995">
            <w:pPr>
              <w:cnfStyle w:val="000000000000" w:firstRow="0" w:lastRow="0" w:firstColumn="0" w:lastColumn="0" w:oddVBand="0" w:evenVBand="0" w:oddHBand="0" w:evenHBand="0" w:firstRowFirstColumn="0" w:firstRowLastColumn="0" w:lastRowFirstColumn="0" w:lastRowLastColumn="0"/>
            </w:pPr>
            <w:r w:rsidRPr="001E6995">
              <w:t>65 business days, between initial and final assessments</w:t>
            </w:r>
          </w:p>
        </w:tc>
        <w:tc>
          <w:tcPr>
            <w:tcW w:w="517" w:type="pct"/>
            <w:shd w:val="clear" w:color="auto" w:fill="F1F8FC"/>
          </w:tcPr>
          <w:p w14:paraId="7F116D92" w14:textId="25E06463" w:rsidR="0058792B" w:rsidRPr="001E6995" w:rsidRDefault="0058792B" w:rsidP="008251F7">
            <w:pPr>
              <w:jc w:val="center"/>
              <w:cnfStyle w:val="000000000000" w:firstRow="0" w:lastRow="0" w:firstColumn="0" w:lastColumn="0" w:oddVBand="0" w:evenVBand="0" w:oddHBand="0" w:evenHBand="0" w:firstRowFirstColumn="0" w:firstRowLastColumn="0" w:lastRowFirstColumn="0" w:lastRowLastColumn="0"/>
            </w:pPr>
            <w:r w:rsidRPr="001E6995">
              <w:t>18 months</w:t>
            </w:r>
          </w:p>
        </w:tc>
      </w:tr>
      <w:tr w:rsidR="008251F7" w:rsidRPr="001E6995" w14:paraId="4CF253B7" w14:textId="77777777" w:rsidTr="006F119E">
        <w:trPr>
          <w:trHeight w:val="60"/>
        </w:trPr>
        <w:tc>
          <w:tcPr>
            <w:cnfStyle w:val="001000000000" w:firstRow="0" w:lastRow="0" w:firstColumn="1" w:lastColumn="0" w:oddVBand="0" w:evenVBand="0" w:oddHBand="0" w:evenHBand="0" w:firstRowFirstColumn="0" w:firstRowLastColumn="0" w:lastRowFirstColumn="0" w:lastRowLastColumn="0"/>
            <w:tcW w:w="792" w:type="pct"/>
            <w:shd w:val="clear" w:color="auto" w:fill="F1F8FC"/>
          </w:tcPr>
          <w:p w14:paraId="161C3335" w14:textId="77777777" w:rsidR="0058792B" w:rsidRPr="00455331" w:rsidRDefault="0058792B" w:rsidP="00444062">
            <w:pPr>
              <w:jc w:val="right"/>
              <w:rPr>
                <w:b w:val="0"/>
                <w:bCs/>
              </w:rPr>
            </w:pPr>
            <w:r w:rsidRPr="00455331">
              <w:rPr>
                <w:b w:val="0"/>
                <w:bCs/>
              </w:rPr>
              <w:t>Or:</w:t>
            </w:r>
          </w:p>
        </w:tc>
        <w:tc>
          <w:tcPr>
            <w:tcW w:w="521" w:type="pct"/>
            <w:shd w:val="clear" w:color="auto" w:fill="F1F8FC"/>
          </w:tcPr>
          <w:p w14:paraId="52E52A74" w14:textId="77777777" w:rsidR="0058792B" w:rsidRPr="00455331" w:rsidRDefault="0058792B" w:rsidP="001E6995">
            <w:pPr>
              <w:cnfStyle w:val="000000000000" w:firstRow="0" w:lastRow="0" w:firstColumn="0" w:lastColumn="0" w:oddVBand="0" w:evenVBand="0" w:oddHBand="0" w:evenHBand="0" w:firstRowFirstColumn="0" w:firstRowLastColumn="0" w:lastRowFirstColumn="0" w:lastRowLastColumn="0"/>
              <w:rPr>
                <w:b/>
                <w:bCs/>
              </w:rPr>
            </w:pPr>
            <w:r w:rsidRPr="00455331">
              <w:rPr>
                <w:b/>
                <w:bCs/>
              </w:rPr>
              <w:t>On-site assessment</w:t>
            </w:r>
          </w:p>
        </w:tc>
        <w:tc>
          <w:tcPr>
            <w:tcW w:w="1217" w:type="pct"/>
            <w:shd w:val="clear" w:color="auto" w:fill="F1F8FC"/>
          </w:tcPr>
          <w:p w14:paraId="3C9A98CE" w14:textId="77777777" w:rsidR="0058792B" w:rsidRPr="001E6995" w:rsidRDefault="0058792B" w:rsidP="001E6995">
            <w:pPr>
              <w:cnfStyle w:val="000000000000" w:firstRow="0" w:lastRow="0" w:firstColumn="0" w:lastColumn="0" w:oddVBand="0" w:evenVBand="0" w:oddHBand="0" w:evenHBand="0" w:firstRowFirstColumn="0" w:firstRowLastColumn="0" w:lastRowFirstColumn="0" w:lastRowLastColumn="0"/>
            </w:pPr>
            <w:r w:rsidRPr="001E6995">
              <w:t>All RACGP indicators</w:t>
            </w:r>
          </w:p>
        </w:tc>
        <w:tc>
          <w:tcPr>
            <w:tcW w:w="1020" w:type="pct"/>
            <w:shd w:val="clear" w:color="auto" w:fill="F1F8FC"/>
          </w:tcPr>
          <w:p w14:paraId="11E4E98F" w14:textId="77777777" w:rsidR="0058792B" w:rsidRPr="001E6995" w:rsidRDefault="0058792B" w:rsidP="001E6995">
            <w:pPr>
              <w:cnfStyle w:val="000000000000" w:firstRow="0" w:lastRow="0" w:firstColumn="0" w:lastColumn="0" w:oddVBand="0" w:evenVBand="0" w:oddHBand="0" w:evenHBand="0" w:firstRowFirstColumn="0" w:firstRowLastColumn="0" w:lastRowFirstColumn="0" w:lastRowLastColumn="0"/>
            </w:pPr>
            <w:r w:rsidRPr="001E6995">
              <w:t>Less than 12 months from conclusion of virtual assessment</w:t>
            </w:r>
          </w:p>
        </w:tc>
        <w:tc>
          <w:tcPr>
            <w:tcW w:w="934" w:type="pct"/>
            <w:shd w:val="clear" w:color="auto" w:fill="F1F8FC"/>
          </w:tcPr>
          <w:p w14:paraId="15E0DACF" w14:textId="77777777" w:rsidR="0058792B" w:rsidRPr="001E6995" w:rsidRDefault="0058792B" w:rsidP="001E6995">
            <w:pPr>
              <w:cnfStyle w:val="000000000000" w:firstRow="0" w:lastRow="0" w:firstColumn="0" w:lastColumn="0" w:oddVBand="0" w:evenVBand="0" w:oddHBand="0" w:evenHBand="0" w:firstRowFirstColumn="0" w:firstRowLastColumn="0" w:lastRowFirstColumn="0" w:lastRowLastColumn="0"/>
            </w:pPr>
            <w:r w:rsidRPr="001E6995">
              <w:t>65 business days, between initial and final assessments</w:t>
            </w:r>
          </w:p>
        </w:tc>
        <w:tc>
          <w:tcPr>
            <w:tcW w:w="517" w:type="pct"/>
            <w:shd w:val="clear" w:color="auto" w:fill="F1F8FC"/>
          </w:tcPr>
          <w:p w14:paraId="6E36F217" w14:textId="77777777" w:rsidR="0058792B" w:rsidRPr="001E6995" w:rsidRDefault="0058792B" w:rsidP="008251F7">
            <w:pPr>
              <w:jc w:val="center"/>
              <w:cnfStyle w:val="000000000000" w:firstRow="0" w:lastRow="0" w:firstColumn="0" w:lastColumn="0" w:oddVBand="0" w:evenVBand="0" w:oddHBand="0" w:evenHBand="0" w:firstRowFirstColumn="0" w:firstRowLastColumn="0" w:lastRowFirstColumn="0" w:lastRowLastColumn="0"/>
            </w:pPr>
            <w:r w:rsidRPr="001E6995">
              <w:t>Three years</w:t>
            </w:r>
          </w:p>
        </w:tc>
      </w:tr>
    </w:tbl>
    <w:p w14:paraId="5BA47F4B" w14:textId="77777777" w:rsidR="000D5E92" w:rsidRDefault="000D5E92" w:rsidP="0058792B">
      <w:pPr>
        <w:pStyle w:val="TFHolderspanBodystyles"/>
        <w:rPr>
          <w:sz w:val="24"/>
          <w:szCs w:val="24"/>
        </w:rPr>
        <w:sectPr w:rsidR="000D5E92" w:rsidSect="00C67843">
          <w:pgSz w:w="16838" w:h="11906" w:orient="landscape"/>
          <w:pgMar w:top="2126" w:right="1134" w:bottom="1418" w:left="1134" w:header="709" w:footer="709" w:gutter="0"/>
          <w:cols w:space="708"/>
          <w:docGrid w:linePitch="360"/>
        </w:sectPr>
      </w:pPr>
    </w:p>
    <w:p w14:paraId="162F345C" w14:textId="27E88966" w:rsidR="0058792B" w:rsidRDefault="0058792B" w:rsidP="00A5549D">
      <w:pPr>
        <w:pStyle w:val="Heading1"/>
        <w:spacing w:before="0" w:after="240"/>
      </w:pPr>
      <w:r>
        <w:lastRenderedPageBreak/>
        <w:t>Attachment 1: Decision support tool for accrediting agencies</w:t>
      </w:r>
    </w:p>
    <w:p w14:paraId="2BF8731B" w14:textId="77777777" w:rsidR="0058792B" w:rsidRDefault="0058792B" w:rsidP="002410AB">
      <w:r>
        <w:t xml:space="preserve">This tool is developed to help accrediting agencies determine how to proceed with accreditation assessments when the accrediting agency or </w:t>
      </w:r>
      <w:r w:rsidRPr="002410AB">
        <w:t>general</w:t>
      </w:r>
      <w:r>
        <w:t xml:space="preserve"> practice is impacted by COVID-19.</w:t>
      </w:r>
    </w:p>
    <w:p w14:paraId="7564A9CC" w14:textId="2AA34577" w:rsidR="0058792B" w:rsidRDefault="00A5549D" w:rsidP="00A5549D">
      <w:pPr>
        <w:pStyle w:val="TFHolderspanBodystyles"/>
        <w:ind w:right="-143"/>
      </w:pPr>
      <w:r w:rsidRPr="00A5549D">
        <w:rPr>
          <w:noProof/>
        </w:rPr>
        <w:drawing>
          <wp:inline distT="0" distB="0" distL="0" distR="0" wp14:anchorId="54ACB4AE" wp14:editId="599321B5">
            <wp:extent cx="6211222" cy="7382190"/>
            <wp:effectExtent l="0" t="0" r="0" b="0"/>
            <wp:docPr id="3" name="Picture 3" descr="Attachment 1: Decision support tool for accrediting agenc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ttachment 1: Decision support tool for accrediting agencies"/>
                    <pic:cNvPicPr/>
                  </pic:nvPicPr>
                  <pic:blipFill>
                    <a:blip r:embed="rId14"/>
                    <a:stretch>
                      <a:fillRect/>
                    </a:stretch>
                  </pic:blipFill>
                  <pic:spPr>
                    <a:xfrm>
                      <a:off x="0" y="0"/>
                      <a:ext cx="6211222" cy="7382190"/>
                    </a:xfrm>
                    <a:prstGeom prst="rect">
                      <a:avLst/>
                    </a:prstGeom>
                  </pic:spPr>
                </pic:pic>
              </a:graphicData>
            </a:graphic>
          </wp:inline>
        </w:drawing>
      </w:r>
    </w:p>
    <w:p w14:paraId="31D2F2E4" w14:textId="1DDA8DDD" w:rsidR="0058792B" w:rsidRPr="008D0DBE" w:rsidRDefault="0058792B" w:rsidP="008D0DBE">
      <w:r>
        <w:t>* </w:t>
      </w:r>
      <w:hyperlink r:id="rId15" w:history="1">
        <w:r w:rsidRPr="008D0DBE">
          <w:rPr>
            <w:rStyle w:val="Hyperlink"/>
          </w:rPr>
          <w:t>Advisory GP18/01: Extensions to accreditation</w:t>
        </w:r>
      </w:hyperlink>
      <w:r>
        <w:t>.</w:t>
      </w:r>
    </w:p>
    <w:p w14:paraId="04BCF15E" w14:textId="5F7694F4" w:rsidR="0058792B" w:rsidRDefault="0058792B" w:rsidP="002410AB">
      <w:pPr>
        <w:pStyle w:val="Heading1"/>
      </w:pPr>
      <w:r>
        <w:lastRenderedPageBreak/>
        <w:t xml:space="preserve">Attachment 2: Guidance on conducting </w:t>
      </w:r>
      <w:r>
        <w:br/>
        <w:t>hybrid or virtual assessments</w:t>
      </w:r>
    </w:p>
    <w:p w14:paraId="5F846323" w14:textId="77777777" w:rsidR="0058792B" w:rsidRDefault="0058792B" w:rsidP="00FC55BF">
      <w:pPr>
        <w:pStyle w:val="Heading2"/>
      </w:pPr>
      <w:r>
        <w:t>Requirements for hybrid or virtual assessments</w:t>
      </w:r>
    </w:p>
    <w:p w14:paraId="74DC1432" w14:textId="77777777" w:rsidR="0058792B" w:rsidRPr="00A73B17" w:rsidRDefault="0058792B" w:rsidP="00A73B17">
      <w:pPr>
        <w:pStyle w:val="ListParagraph"/>
        <w:numPr>
          <w:ilvl w:val="0"/>
          <w:numId w:val="32"/>
        </w:numPr>
      </w:pPr>
      <w:r>
        <w:t xml:space="preserve">Accrediting agencies </w:t>
      </w:r>
      <w:r w:rsidRPr="00A73B17">
        <w:t>must seek approval from the Commission prior to conducting a hybrid or virtual assessment</w:t>
      </w:r>
    </w:p>
    <w:p w14:paraId="39FFC43E" w14:textId="77777777" w:rsidR="0058792B" w:rsidRPr="00A73B17" w:rsidRDefault="0058792B" w:rsidP="00A73B17">
      <w:pPr>
        <w:pStyle w:val="ListParagraph"/>
        <w:numPr>
          <w:ilvl w:val="0"/>
          <w:numId w:val="32"/>
        </w:numPr>
      </w:pPr>
      <w:r w:rsidRPr="00A73B17">
        <w:t xml:space="preserve">Must comply with local, state and territory confidentiality and privacy laws </w:t>
      </w:r>
    </w:p>
    <w:p w14:paraId="24183E97" w14:textId="77777777" w:rsidR="0058792B" w:rsidRPr="00A73B17" w:rsidRDefault="0058792B" w:rsidP="00A73B17">
      <w:pPr>
        <w:pStyle w:val="ListParagraph"/>
        <w:numPr>
          <w:ilvl w:val="0"/>
          <w:numId w:val="32"/>
        </w:numPr>
      </w:pPr>
      <w:r w:rsidRPr="00A73B17">
        <w:t>Accrediting agencies and assessors must comply with the requirements of the NGPA Scheme (such as rating scale, initial assessment and threshold for mandatory re-assessment) and ensure the assessment processes are rigorous</w:t>
      </w:r>
    </w:p>
    <w:p w14:paraId="5125E5F2" w14:textId="77777777" w:rsidR="0058792B" w:rsidRPr="00A73B17" w:rsidRDefault="0058792B" w:rsidP="00A73B17">
      <w:pPr>
        <w:pStyle w:val="ListParagraph"/>
        <w:numPr>
          <w:ilvl w:val="0"/>
          <w:numId w:val="32"/>
        </w:numPr>
      </w:pPr>
      <w:r w:rsidRPr="00A73B17">
        <w:t>For hybrid assessments, a member of the assessment team must be on site throughout the assessment</w:t>
      </w:r>
    </w:p>
    <w:p w14:paraId="35F34C82" w14:textId="77777777" w:rsidR="0058792B" w:rsidRPr="00A73B17" w:rsidRDefault="0058792B" w:rsidP="00A73B17">
      <w:pPr>
        <w:pStyle w:val="ListParagraph"/>
        <w:numPr>
          <w:ilvl w:val="0"/>
          <w:numId w:val="32"/>
        </w:numPr>
      </w:pPr>
      <w:r w:rsidRPr="00A73B17">
        <w:t xml:space="preserve">Assessors must take all necessary steps to ensure that the integrity of the assessment is not compromised and that the number, scope and type of examination and interviews are consistent with an on-site assessment </w:t>
      </w:r>
    </w:p>
    <w:p w14:paraId="51CAD7AA" w14:textId="77777777" w:rsidR="0058792B" w:rsidRPr="00A73B17" w:rsidRDefault="0058792B" w:rsidP="00A73B17">
      <w:pPr>
        <w:pStyle w:val="ListParagraph"/>
        <w:numPr>
          <w:ilvl w:val="0"/>
          <w:numId w:val="32"/>
        </w:numPr>
      </w:pPr>
      <w:r w:rsidRPr="00A73B17">
        <w:t xml:space="preserve">All relevant areas within the general practice must be </w:t>
      </w:r>
      <w:r w:rsidRPr="00A73B17">
        <w:rPr>
          <w:b/>
          <w:bCs/>
        </w:rPr>
        <w:t>viewed</w:t>
      </w:r>
      <w:r w:rsidRPr="00A73B17">
        <w:t xml:space="preserve"> and </w:t>
      </w:r>
      <w:r w:rsidRPr="00A73B17">
        <w:rPr>
          <w:b/>
          <w:bCs/>
        </w:rPr>
        <w:t>assessed</w:t>
      </w:r>
    </w:p>
    <w:p w14:paraId="6DC076B0" w14:textId="77777777" w:rsidR="0058792B" w:rsidRPr="00A73B17" w:rsidRDefault="0058792B" w:rsidP="00A73B17">
      <w:pPr>
        <w:pStyle w:val="ListParagraph"/>
        <w:numPr>
          <w:ilvl w:val="0"/>
          <w:numId w:val="32"/>
        </w:numPr>
      </w:pPr>
      <w:r w:rsidRPr="00A73B17">
        <w:t>The length of an accreditation assessment must be extended if needed, for example, limited numbers of assessors are on site</w:t>
      </w:r>
    </w:p>
    <w:p w14:paraId="0B96274A" w14:textId="77777777" w:rsidR="0058792B" w:rsidRDefault="0058792B" w:rsidP="00A73B17">
      <w:pPr>
        <w:pStyle w:val="ListParagraph"/>
        <w:numPr>
          <w:ilvl w:val="0"/>
          <w:numId w:val="32"/>
        </w:numPr>
      </w:pPr>
      <w:r w:rsidRPr="00A73B17">
        <w:t>The general practice assessment report must specify that a hybrid or virtual assessment was performed, the locations that</w:t>
      </w:r>
      <w:r>
        <w:t xml:space="preserve"> were assessed virtually and note any limitations to the assessment or technical difficulties encountered.</w:t>
      </w:r>
    </w:p>
    <w:p w14:paraId="1A6E0459" w14:textId="77777777" w:rsidR="0058792B" w:rsidRDefault="0058792B" w:rsidP="00FC55BF">
      <w:pPr>
        <w:pStyle w:val="Heading2"/>
      </w:pPr>
      <w:r>
        <w:t>Approval to conduct a hybrid or virtual assessment</w:t>
      </w:r>
    </w:p>
    <w:p w14:paraId="09A9823B" w14:textId="77777777" w:rsidR="0058792B" w:rsidRDefault="0058792B" w:rsidP="0091467E">
      <w:pPr>
        <w:pStyle w:val="Heading3"/>
      </w:pPr>
      <w:r w:rsidRPr="0091467E">
        <w:t>Administration</w:t>
      </w:r>
    </w:p>
    <w:p w14:paraId="46F5D83E" w14:textId="77777777" w:rsidR="0058792B" w:rsidRDefault="0058792B" w:rsidP="0091467E">
      <w:pPr>
        <w:pStyle w:val="Heading4"/>
      </w:pPr>
      <w:r>
        <w:t>Accrediting agency</w:t>
      </w:r>
    </w:p>
    <w:p w14:paraId="60758EF3" w14:textId="77777777" w:rsidR="0058792B" w:rsidRDefault="0058792B" w:rsidP="0091467E">
      <w:r>
        <w:t xml:space="preserve">Conduct a risk assessment and feasibility review to ensure a robust hybrid or virtual assessment can be conducted, including consideration of: </w:t>
      </w:r>
    </w:p>
    <w:p w14:paraId="18F9E49C" w14:textId="77777777" w:rsidR="0058792B" w:rsidRPr="0091467E" w:rsidRDefault="0058792B" w:rsidP="0091467E">
      <w:pPr>
        <w:pStyle w:val="ListParagraph"/>
        <w:numPr>
          <w:ilvl w:val="0"/>
          <w:numId w:val="35"/>
        </w:numPr>
      </w:pPr>
      <w:r>
        <w:t xml:space="preserve">Information </w:t>
      </w:r>
      <w:r w:rsidRPr="0091467E">
        <w:t xml:space="preserve">communication technology (ICT) availability, capacity, security and reliability </w:t>
      </w:r>
    </w:p>
    <w:p w14:paraId="45C3F077" w14:textId="77777777" w:rsidR="0058792B" w:rsidRPr="0091467E" w:rsidRDefault="0058792B" w:rsidP="0091467E">
      <w:pPr>
        <w:pStyle w:val="ListParagraph"/>
        <w:numPr>
          <w:ilvl w:val="0"/>
          <w:numId w:val="35"/>
        </w:numPr>
      </w:pPr>
      <w:r w:rsidRPr="0091467E">
        <w:t>Size and complexity of the general practice</w:t>
      </w:r>
    </w:p>
    <w:p w14:paraId="08ECDD20" w14:textId="77777777" w:rsidR="0058792B" w:rsidRPr="0091467E" w:rsidRDefault="0058792B" w:rsidP="0091467E">
      <w:pPr>
        <w:pStyle w:val="ListParagraph"/>
        <w:numPr>
          <w:ilvl w:val="0"/>
          <w:numId w:val="35"/>
        </w:numPr>
      </w:pPr>
      <w:r w:rsidRPr="0091467E">
        <w:t xml:space="preserve">Maturity of the general practice’s safety and quality systems </w:t>
      </w:r>
    </w:p>
    <w:p w14:paraId="01EBCA94" w14:textId="77777777" w:rsidR="0058792B" w:rsidRPr="0091467E" w:rsidRDefault="0058792B" w:rsidP="0091467E">
      <w:pPr>
        <w:pStyle w:val="ListParagraph"/>
        <w:numPr>
          <w:ilvl w:val="0"/>
          <w:numId w:val="35"/>
        </w:numPr>
      </w:pPr>
      <w:r w:rsidRPr="0091467E">
        <w:t>Information on the general practice’s layout</w:t>
      </w:r>
    </w:p>
    <w:p w14:paraId="4DC73AD9" w14:textId="77777777" w:rsidR="0058792B" w:rsidRPr="0091467E" w:rsidRDefault="0058792B" w:rsidP="0091467E">
      <w:pPr>
        <w:pStyle w:val="ListParagraph"/>
        <w:numPr>
          <w:ilvl w:val="0"/>
          <w:numId w:val="35"/>
        </w:numPr>
      </w:pPr>
      <w:r w:rsidRPr="0091467E">
        <w:t xml:space="preserve">The extent and location(s) where virtual assessment will be used. </w:t>
      </w:r>
    </w:p>
    <w:p w14:paraId="6F2981AE" w14:textId="77777777" w:rsidR="0058792B" w:rsidRDefault="0058792B" w:rsidP="0091467E">
      <w:r w:rsidRPr="0091467E">
        <w:t>If a hybrid or virtual assessment is feasible and meets the criteria, seek approval to conduct the assessment from the Commission.</w:t>
      </w:r>
      <w:r>
        <w:t xml:space="preserve"> The application must include a rationale for undertaking a hybrid or virtual assessment.</w:t>
      </w:r>
    </w:p>
    <w:p w14:paraId="2660E1CE" w14:textId="77777777" w:rsidR="0058792B" w:rsidRDefault="0058792B" w:rsidP="006163A7">
      <w:pPr>
        <w:pStyle w:val="Heading4"/>
      </w:pPr>
      <w:r>
        <w:t>General practice</w:t>
      </w:r>
    </w:p>
    <w:p w14:paraId="6DC35D65" w14:textId="77777777" w:rsidR="0058792B" w:rsidRDefault="0058792B" w:rsidP="006163A7">
      <w:r>
        <w:t xml:space="preserve">Participate in or provide information for </w:t>
      </w:r>
      <w:r w:rsidRPr="006163A7">
        <w:t>the</w:t>
      </w:r>
      <w:r>
        <w:t xml:space="preserve"> risk assessment and feasibility review.</w:t>
      </w:r>
    </w:p>
    <w:p w14:paraId="7AE2E96B" w14:textId="77777777" w:rsidR="0058792B" w:rsidRDefault="0058792B" w:rsidP="00FC55BF">
      <w:pPr>
        <w:pStyle w:val="Heading2"/>
      </w:pPr>
      <w:r>
        <w:lastRenderedPageBreak/>
        <w:t xml:space="preserve">Prior to a hybrid or virtual assessment </w:t>
      </w:r>
    </w:p>
    <w:p w14:paraId="6E21A647" w14:textId="77777777" w:rsidR="0058792B" w:rsidRDefault="0058792B" w:rsidP="001E6211">
      <w:pPr>
        <w:pStyle w:val="Heading3"/>
      </w:pPr>
      <w:r>
        <w:t>Administration</w:t>
      </w:r>
    </w:p>
    <w:p w14:paraId="1BF4EE1A" w14:textId="77777777" w:rsidR="0058792B" w:rsidRDefault="0058792B" w:rsidP="00AB28A2">
      <w:pPr>
        <w:pStyle w:val="Heading4"/>
      </w:pPr>
      <w:r>
        <w:t>Accrediting agency</w:t>
      </w:r>
    </w:p>
    <w:p w14:paraId="1E5F1C1C" w14:textId="77777777" w:rsidR="0058792B" w:rsidRPr="00AB28A2" w:rsidRDefault="0058792B" w:rsidP="00AB28A2">
      <w:pPr>
        <w:rPr>
          <w:b/>
          <w:bCs/>
        </w:rPr>
      </w:pPr>
      <w:r w:rsidRPr="00AB28A2">
        <w:rPr>
          <w:rStyle w:val="Strongsemibold"/>
          <w:b/>
          <w:bCs/>
        </w:rPr>
        <w:t xml:space="preserve">Where approval has been </w:t>
      </w:r>
      <w:r w:rsidRPr="00AB28A2">
        <w:rPr>
          <w:b/>
          <w:bCs/>
        </w:rPr>
        <w:t>granted:</w:t>
      </w:r>
    </w:p>
    <w:p w14:paraId="41C62EA5" w14:textId="77777777" w:rsidR="0058792B" w:rsidRPr="00AB28A2" w:rsidRDefault="0058792B" w:rsidP="00AB28A2">
      <w:r w:rsidRPr="00AB28A2">
        <w:t>Agree on the format of reviews to be conducted in operational areas, including:</w:t>
      </w:r>
    </w:p>
    <w:p w14:paraId="6AF84CED" w14:textId="77777777" w:rsidR="0058792B" w:rsidRPr="00AB28A2" w:rsidRDefault="0058792B" w:rsidP="00AB28A2">
      <w:pPr>
        <w:pStyle w:val="ListParagraph"/>
        <w:numPr>
          <w:ilvl w:val="0"/>
          <w:numId w:val="36"/>
        </w:numPr>
      </w:pPr>
      <w:r w:rsidRPr="00AB28A2">
        <w:t xml:space="preserve">The involvement of and capturing consumers in the camera view </w:t>
      </w:r>
    </w:p>
    <w:p w14:paraId="52AC09E5" w14:textId="70DAF7F4" w:rsidR="0058792B" w:rsidRPr="00AB28A2" w:rsidRDefault="0058792B" w:rsidP="00AB28A2">
      <w:pPr>
        <w:pStyle w:val="ListParagraph"/>
        <w:numPr>
          <w:ilvl w:val="0"/>
          <w:numId w:val="36"/>
        </w:numPr>
      </w:pPr>
      <w:r w:rsidRPr="00AB28A2">
        <w:t>The need for a virtual tour of the general practice at or prior to the commencement of the</w:t>
      </w:r>
      <w:r w:rsidR="0093131D">
        <w:t> </w:t>
      </w:r>
      <w:r w:rsidRPr="00AB28A2">
        <w:t>assessment</w:t>
      </w:r>
    </w:p>
    <w:p w14:paraId="2D048250" w14:textId="62238E41" w:rsidR="0058792B" w:rsidRPr="00AB28A2" w:rsidRDefault="0058792B" w:rsidP="00AB28A2">
      <w:pPr>
        <w:pStyle w:val="ListParagraph"/>
        <w:numPr>
          <w:ilvl w:val="0"/>
          <w:numId w:val="36"/>
        </w:numPr>
      </w:pPr>
      <w:r w:rsidRPr="00AB28A2">
        <w:t>Asking for a map of the general practice so assessors can orientate themselves during the</w:t>
      </w:r>
      <w:r w:rsidR="0093131D">
        <w:t> </w:t>
      </w:r>
      <w:r w:rsidRPr="00AB28A2">
        <w:t>assessment</w:t>
      </w:r>
    </w:p>
    <w:p w14:paraId="21081506" w14:textId="0029E7FE" w:rsidR="0058792B" w:rsidRPr="00AB28A2" w:rsidRDefault="0058792B" w:rsidP="00AB28A2">
      <w:pPr>
        <w:pStyle w:val="ListParagraph"/>
        <w:numPr>
          <w:ilvl w:val="0"/>
          <w:numId w:val="36"/>
        </w:numPr>
      </w:pPr>
      <w:r w:rsidRPr="00AB28A2">
        <w:t>Considering time zones for assessors and general practices when agreeing the schedule of</w:t>
      </w:r>
      <w:r w:rsidR="0093131D">
        <w:t> </w:t>
      </w:r>
      <w:r w:rsidRPr="00AB28A2">
        <w:t>events</w:t>
      </w:r>
    </w:p>
    <w:p w14:paraId="4E1B587A" w14:textId="77777777" w:rsidR="0058792B" w:rsidRPr="00AB28A2" w:rsidRDefault="0058792B" w:rsidP="00AB28A2">
      <w:pPr>
        <w:pStyle w:val="ListParagraph"/>
        <w:numPr>
          <w:ilvl w:val="0"/>
          <w:numId w:val="36"/>
        </w:numPr>
      </w:pPr>
      <w:r w:rsidRPr="00AB28A2">
        <w:t>Agreeing on mechanisms of communication with general practices during the assessment</w:t>
      </w:r>
    </w:p>
    <w:p w14:paraId="0A1E1D3C" w14:textId="77777777" w:rsidR="0058792B" w:rsidRPr="00AB28A2" w:rsidRDefault="0058792B" w:rsidP="00AB28A2">
      <w:pPr>
        <w:pStyle w:val="ListParagraph"/>
        <w:numPr>
          <w:ilvl w:val="0"/>
          <w:numId w:val="36"/>
        </w:numPr>
      </w:pPr>
      <w:r w:rsidRPr="00AB28A2">
        <w:t xml:space="preserve">Agreeing on mechanisms of communication between assessors during the assessment. </w:t>
      </w:r>
    </w:p>
    <w:p w14:paraId="40544344" w14:textId="77777777" w:rsidR="0058792B" w:rsidRPr="00AB28A2" w:rsidRDefault="0058792B" w:rsidP="00AB28A2">
      <w:r w:rsidRPr="00AB28A2">
        <w:t>Ensure all of the assessment team members:</w:t>
      </w:r>
    </w:p>
    <w:p w14:paraId="7BA55194" w14:textId="77777777" w:rsidR="0058792B" w:rsidRPr="00AB28A2" w:rsidRDefault="0058792B" w:rsidP="00AB28A2">
      <w:pPr>
        <w:pStyle w:val="ListParagraph"/>
        <w:numPr>
          <w:ilvl w:val="0"/>
          <w:numId w:val="36"/>
        </w:numPr>
      </w:pPr>
      <w:r w:rsidRPr="00AB28A2">
        <w:t>Know and understand their role and responsibilities during the assessment, and ensure the tasks are well defined</w:t>
      </w:r>
    </w:p>
    <w:p w14:paraId="10379EB8" w14:textId="77777777" w:rsidR="0058792B" w:rsidRPr="00AB28A2" w:rsidRDefault="0058792B" w:rsidP="00AB28A2">
      <w:pPr>
        <w:pStyle w:val="ListParagraph"/>
        <w:numPr>
          <w:ilvl w:val="0"/>
          <w:numId w:val="36"/>
        </w:numPr>
      </w:pPr>
      <w:r w:rsidRPr="00AB28A2">
        <w:t>Have the skills and/or the support to use the ICT equipment</w:t>
      </w:r>
    </w:p>
    <w:p w14:paraId="40D0A760" w14:textId="77777777" w:rsidR="0058792B" w:rsidRPr="00AB28A2" w:rsidRDefault="0058792B" w:rsidP="00AB28A2">
      <w:pPr>
        <w:pStyle w:val="ListParagraph"/>
        <w:numPr>
          <w:ilvl w:val="0"/>
          <w:numId w:val="36"/>
        </w:numPr>
      </w:pPr>
      <w:r w:rsidRPr="00AB28A2">
        <w:t>Understand the risks and limitations of hybrid or virtual assessments, particularly in relation to evidence gathering and the robustness of the assessment.</w:t>
      </w:r>
    </w:p>
    <w:p w14:paraId="1FB1E000" w14:textId="77777777" w:rsidR="0058792B" w:rsidRPr="00AB28A2" w:rsidRDefault="0058792B" w:rsidP="00AB28A2">
      <w:r w:rsidRPr="00AB28A2">
        <w:t>Ensure sufficient time is allocated to testing of ICT equipment prior to the hybrid or virtual assessment, using the same equipment that will be used during the assessment, and in areas where the assessment will be conducted.</w:t>
      </w:r>
    </w:p>
    <w:p w14:paraId="05EB167A" w14:textId="77777777" w:rsidR="0058792B" w:rsidRPr="00AB28A2" w:rsidRDefault="0058792B" w:rsidP="00AB28A2">
      <w:r w:rsidRPr="00AB28A2">
        <w:t>Identify the mechanism by which assessors will keep in contact during the assessment, individually and through group chat. Ensure this mechanism is secure at all times and that the record of the conversations can be fully deleted at the end of the assessment.</w:t>
      </w:r>
    </w:p>
    <w:p w14:paraId="26C9FBD2" w14:textId="30BE0F5C" w:rsidR="0058792B" w:rsidRPr="00AB28A2" w:rsidRDefault="0058792B" w:rsidP="00AB28A2">
      <w:r w:rsidRPr="00AB28A2">
        <w:t>Develop a contingency plan, that includes actions and responsibilities for situations including when</w:t>
      </w:r>
      <w:r w:rsidR="00AB28A2">
        <w:t> </w:t>
      </w:r>
      <w:r w:rsidRPr="00AB28A2">
        <w:t>the:</w:t>
      </w:r>
    </w:p>
    <w:p w14:paraId="2DCE754A" w14:textId="77777777" w:rsidR="0058792B" w:rsidRPr="00AB28A2" w:rsidRDefault="0058792B" w:rsidP="00AB28A2">
      <w:pPr>
        <w:pStyle w:val="ListParagraph"/>
        <w:numPr>
          <w:ilvl w:val="0"/>
          <w:numId w:val="37"/>
        </w:numPr>
      </w:pPr>
      <w:r w:rsidRPr="00AB28A2">
        <w:t>Video link is disconnected</w:t>
      </w:r>
    </w:p>
    <w:p w14:paraId="64767517" w14:textId="77777777" w:rsidR="0058792B" w:rsidRPr="00AB28A2" w:rsidRDefault="0058792B" w:rsidP="00AB28A2">
      <w:pPr>
        <w:pStyle w:val="ListParagraph"/>
        <w:numPr>
          <w:ilvl w:val="0"/>
          <w:numId w:val="37"/>
        </w:numPr>
      </w:pPr>
      <w:r w:rsidRPr="00AB28A2">
        <w:t>Voice link is unavailable</w:t>
      </w:r>
    </w:p>
    <w:p w14:paraId="2F76F20F" w14:textId="77777777" w:rsidR="0058792B" w:rsidRPr="00AB28A2" w:rsidRDefault="0058792B" w:rsidP="00AB28A2">
      <w:pPr>
        <w:pStyle w:val="ListParagraph"/>
        <w:numPr>
          <w:ilvl w:val="0"/>
          <w:numId w:val="37"/>
        </w:numPr>
      </w:pPr>
      <w:proofErr w:type="spellStart"/>
      <w:r w:rsidRPr="00AB28A2">
        <w:t>WiFi</w:t>
      </w:r>
      <w:proofErr w:type="spellEnd"/>
      <w:r w:rsidRPr="00AB28A2">
        <w:t xml:space="preserve"> is unavailable </w:t>
      </w:r>
    </w:p>
    <w:p w14:paraId="01310936" w14:textId="77777777" w:rsidR="0058792B" w:rsidRPr="00AB28A2" w:rsidRDefault="0058792B" w:rsidP="00AB28A2">
      <w:pPr>
        <w:pStyle w:val="ListParagraph"/>
        <w:numPr>
          <w:ilvl w:val="0"/>
          <w:numId w:val="37"/>
        </w:numPr>
      </w:pPr>
      <w:r w:rsidRPr="00AB28A2">
        <w:t>Assessment has to be discontinued</w:t>
      </w:r>
    </w:p>
    <w:p w14:paraId="513B1556" w14:textId="77777777" w:rsidR="0058792B" w:rsidRPr="00AB28A2" w:rsidRDefault="0058792B" w:rsidP="00AB28A2">
      <w:pPr>
        <w:pStyle w:val="ListParagraph"/>
        <w:numPr>
          <w:ilvl w:val="0"/>
          <w:numId w:val="37"/>
        </w:numPr>
      </w:pPr>
      <w:r w:rsidRPr="00AB28A2">
        <w:t>General practice workforce is unable or does not comply with the reasonable requests during the assessment.</w:t>
      </w:r>
    </w:p>
    <w:p w14:paraId="62AE7156" w14:textId="77777777" w:rsidR="0058792B" w:rsidRPr="00AB28A2" w:rsidRDefault="0058792B" w:rsidP="00AB28A2">
      <w:r w:rsidRPr="00AB28A2">
        <w:t>Clearly articulate to the general practice, in writing if necessary:</w:t>
      </w:r>
    </w:p>
    <w:p w14:paraId="593EE787" w14:textId="77777777" w:rsidR="0058792B" w:rsidRPr="00AB28A2" w:rsidRDefault="0058792B" w:rsidP="00AF6AFB">
      <w:pPr>
        <w:pStyle w:val="ListParagraph"/>
        <w:numPr>
          <w:ilvl w:val="0"/>
          <w:numId w:val="38"/>
        </w:numPr>
      </w:pPr>
      <w:r w:rsidRPr="00AB28A2">
        <w:t>The contingency plan and process should the assessment not be able to proceed</w:t>
      </w:r>
    </w:p>
    <w:p w14:paraId="5D450679" w14:textId="77777777" w:rsidR="0058792B" w:rsidRDefault="0058792B" w:rsidP="00AF6AFB">
      <w:pPr>
        <w:pStyle w:val="ListParagraph"/>
        <w:numPr>
          <w:ilvl w:val="0"/>
          <w:numId w:val="38"/>
        </w:numPr>
      </w:pPr>
      <w:r w:rsidRPr="00AB28A2">
        <w:t>The consequences of members of the general practice’s workforce not following an assessor’s reasonable direction, particularly in regard to the movement and placement of the camera, volume of the microphone, sharing o</w:t>
      </w:r>
      <w:r>
        <w:t>f documents.</w:t>
      </w:r>
    </w:p>
    <w:p w14:paraId="3C164765" w14:textId="77777777" w:rsidR="0058792B" w:rsidRDefault="0058792B" w:rsidP="00E267B9">
      <w:pPr>
        <w:pStyle w:val="Heading4"/>
      </w:pPr>
      <w:r>
        <w:lastRenderedPageBreak/>
        <w:t xml:space="preserve">General </w:t>
      </w:r>
      <w:r w:rsidRPr="00E267B9">
        <w:t>practice</w:t>
      </w:r>
    </w:p>
    <w:p w14:paraId="3DBDB5B3" w14:textId="77777777" w:rsidR="0058792B" w:rsidRPr="008662B1" w:rsidRDefault="0058792B" w:rsidP="008662B1">
      <w:pPr>
        <w:pStyle w:val="ListParagraph"/>
        <w:numPr>
          <w:ilvl w:val="0"/>
          <w:numId w:val="39"/>
        </w:numPr>
      </w:pPr>
      <w:r>
        <w:t xml:space="preserve">Provide assessors </w:t>
      </w:r>
      <w:r w:rsidRPr="008662B1">
        <w:t>with a time limited clearance to the relevant programs and areas in the general practice’s ICT systems</w:t>
      </w:r>
    </w:p>
    <w:p w14:paraId="31F05CDC" w14:textId="77777777" w:rsidR="0058792B" w:rsidRPr="008662B1" w:rsidRDefault="0058792B" w:rsidP="008662B1">
      <w:pPr>
        <w:pStyle w:val="ListParagraph"/>
        <w:numPr>
          <w:ilvl w:val="0"/>
          <w:numId w:val="39"/>
        </w:numPr>
      </w:pPr>
      <w:r w:rsidRPr="008662B1">
        <w:t>Provide assessors with a security briefing or instructions, if required</w:t>
      </w:r>
    </w:p>
    <w:p w14:paraId="6D272CAD" w14:textId="77777777" w:rsidR="0058792B" w:rsidRPr="008662B1" w:rsidRDefault="0058792B" w:rsidP="008662B1">
      <w:pPr>
        <w:pStyle w:val="ListParagraph"/>
        <w:numPr>
          <w:ilvl w:val="0"/>
          <w:numId w:val="39"/>
        </w:numPr>
      </w:pPr>
      <w:r w:rsidRPr="008662B1">
        <w:t>Ensure ICT devices are fully operational and charged</w:t>
      </w:r>
    </w:p>
    <w:p w14:paraId="12E9D100" w14:textId="77777777" w:rsidR="0058792B" w:rsidRPr="008662B1" w:rsidRDefault="0058792B" w:rsidP="008662B1">
      <w:pPr>
        <w:pStyle w:val="ListParagraph"/>
        <w:numPr>
          <w:ilvl w:val="0"/>
          <w:numId w:val="39"/>
        </w:numPr>
      </w:pPr>
      <w:r w:rsidRPr="008662B1">
        <w:t>Nominate an ICT support person to be responsible for the integrity and operation of the ICT systems during the assessment</w:t>
      </w:r>
    </w:p>
    <w:p w14:paraId="2F03B30F" w14:textId="77777777" w:rsidR="0058792B" w:rsidRPr="008662B1" w:rsidRDefault="0058792B" w:rsidP="008662B1">
      <w:pPr>
        <w:pStyle w:val="ListParagraph"/>
        <w:numPr>
          <w:ilvl w:val="0"/>
          <w:numId w:val="39"/>
        </w:numPr>
      </w:pPr>
      <w:r w:rsidRPr="008662B1">
        <w:t xml:space="preserve">Ensure the nominated ICT support person is available to the assessors throughout the assessment </w:t>
      </w:r>
    </w:p>
    <w:p w14:paraId="3BF919EB" w14:textId="77777777" w:rsidR="0058792B" w:rsidRPr="008662B1" w:rsidRDefault="0058792B" w:rsidP="008662B1">
      <w:pPr>
        <w:pStyle w:val="ListParagraph"/>
        <w:numPr>
          <w:ilvl w:val="0"/>
          <w:numId w:val="39"/>
        </w:numPr>
      </w:pPr>
      <w:r w:rsidRPr="008662B1">
        <w:t xml:space="preserve">Provide contact details to assessors for all key contacts in the general practice </w:t>
      </w:r>
    </w:p>
    <w:p w14:paraId="5E64338C" w14:textId="77777777" w:rsidR="0058792B" w:rsidRDefault="0058792B" w:rsidP="008662B1">
      <w:pPr>
        <w:pStyle w:val="ListParagraph"/>
        <w:numPr>
          <w:ilvl w:val="0"/>
          <w:numId w:val="39"/>
        </w:numPr>
      </w:pPr>
      <w:r w:rsidRPr="008662B1">
        <w:t>Agree to a c</w:t>
      </w:r>
      <w:r>
        <w:t>ontingency plan with the accrediting agency in the event the assessment cannot be finalised as scheduled.</w:t>
      </w:r>
    </w:p>
    <w:p w14:paraId="1FEC0BD0" w14:textId="77777777" w:rsidR="0058792B" w:rsidRDefault="0058792B" w:rsidP="00513724">
      <w:pPr>
        <w:pStyle w:val="Heading3"/>
      </w:pPr>
      <w:r>
        <w:t>Information and communications technology systems</w:t>
      </w:r>
    </w:p>
    <w:p w14:paraId="3D8DEEBF" w14:textId="77777777" w:rsidR="0058792B" w:rsidRDefault="0058792B" w:rsidP="00A062B4">
      <w:pPr>
        <w:pStyle w:val="Heading4"/>
      </w:pPr>
      <w:r>
        <w:t>Accrediting agency</w:t>
      </w:r>
    </w:p>
    <w:p w14:paraId="090CFA78" w14:textId="77777777" w:rsidR="0058792B" w:rsidRPr="00060164" w:rsidRDefault="0058792B" w:rsidP="00060164">
      <w:r>
        <w:t xml:space="preserve">If the ICT program is </w:t>
      </w:r>
      <w:r w:rsidRPr="00060164">
        <w:t>specified by the general practice, prior to the assessment test the ICT programs and equipment to be used to ensure the IT equipment has the functionality and flexibility required for a robust assessment.</w:t>
      </w:r>
    </w:p>
    <w:p w14:paraId="51F18258" w14:textId="77777777" w:rsidR="0058792B" w:rsidRPr="00060164" w:rsidRDefault="0058792B" w:rsidP="00060164">
      <w:r w:rsidRPr="00060164">
        <w:t>If the ICT equipment is not specified by the general practice, determine which platform will be used by assessors after considering:</w:t>
      </w:r>
    </w:p>
    <w:p w14:paraId="39223F03" w14:textId="77777777" w:rsidR="0058792B" w:rsidRPr="00060164" w:rsidRDefault="0058792B" w:rsidP="00060164">
      <w:pPr>
        <w:pStyle w:val="ListParagraph"/>
        <w:numPr>
          <w:ilvl w:val="0"/>
          <w:numId w:val="41"/>
        </w:numPr>
      </w:pPr>
      <w:r w:rsidRPr="00060164">
        <w:t>Capacity of the program to share screens for the review of documents</w:t>
      </w:r>
    </w:p>
    <w:p w14:paraId="71D83625" w14:textId="77777777" w:rsidR="0058792B" w:rsidRPr="00060164" w:rsidRDefault="0058792B" w:rsidP="00060164">
      <w:pPr>
        <w:pStyle w:val="ListParagraph"/>
        <w:numPr>
          <w:ilvl w:val="0"/>
          <w:numId w:val="41"/>
        </w:numPr>
      </w:pPr>
      <w:r w:rsidRPr="00060164">
        <w:t>Ability of the assessor to take control of the screen</w:t>
      </w:r>
    </w:p>
    <w:p w14:paraId="0EA22467" w14:textId="77777777" w:rsidR="0058792B" w:rsidRPr="00060164" w:rsidRDefault="0058792B" w:rsidP="00060164">
      <w:pPr>
        <w:pStyle w:val="ListParagraph"/>
        <w:numPr>
          <w:ilvl w:val="0"/>
          <w:numId w:val="41"/>
        </w:numPr>
      </w:pPr>
      <w:r w:rsidRPr="00060164">
        <w:t xml:space="preserve">Availability of breakout rooms for assessors to undertake review independently </w:t>
      </w:r>
    </w:p>
    <w:p w14:paraId="7D5B39BD" w14:textId="77777777" w:rsidR="0058792B" w:rsidRPr="00060164" w:rsidRDefault="0058792B" w:rsidP="00060164">
      <w:pPr>
        <w:pStyle w:val="ListParagraph"/>
        <w:numPr>
          <w:ilvl w:val="0"/>
          <w:numId w:val="41"/>
        </w:numPr>
      </w:pPr>
      <w:r w:rsidRPr="00060164">
        <w:t>Capacity to view documents in real time, including clinical and personnel files, using high resolution camera/photography</w:t>
      </w:r>
    </w:p>
    <w:p w14:paraId="2FC2FBF3" w14:textId="77777777" w:rsidR="0058792B" w:rsidRDefault="0058792B" w:rsidP="00060164">
      <w:pPr>
        <w:pStyle w:val="ListParagraph"/>
        <w:numPr>
          <w:ilvl w:val="0"/>
          <w:numId w:val="41"/>
        </w:numPr>
      </w:pPr>
      <w:r w:rsidRPr="00060164">
        <w:t>Mobility of ICT equipm</w:t>
      </w:r>
      <w:r>
        <w:t>ent, including stability of the network.</w:t>
      </w:r>
    </w:p>
    <w:p w14:paraId="66486F85" w14:textId="77777777" w:rsidR="0058792B" w:rsidRDefault="0058792B" w:rsidP="00A062B4">
      <w:pPr>
        <w:pStyle w:val="Heading4"/>
      </w:pPr>
      <w:r>
        <w:t>General practice</w:t>
      </w:r>
    </w:p>
    <w:p w14:paraId="03EB1DC8" w14:textId="77777777" w:rsidR="0058792B" w:rsidRPr="00060164" w:rsidRDefault="0058792B" w:rsidP="00060164">
      <w:r>
        <w:t xml:space="preserve">Confirm with the accrediting </w:t>
      </w:r>
      <w:r w:rsidRPr="00060164">
        <w:t>agency the videoconferencing software and ICT platform to be used during the assessment.</w:t>
      </w:r>
    </w:p>
    <w:p w14:paraId="6DE23AAD" w14:textId="77777777" w:rsidR="0058792B" w:rsidRPr="00060164" w:rsidRDefault="0058792B" w:rsidP="00060164">
      <w:r w:rsidRPr="00060164">
        <w:t>Ensure there is sufficient appropriate ICT equipment available for the assessment to proceed. If the assessment includes multiple sites, ensure there is sufficient supports and equipment at each site for the assessment to proceed.</w:t>
      </w:r>
    </w:p>
    <w:p w14:paraId="1AF1E175" w14:textId="77777777" w:rsidR="0058792B" w:rsidRPr="00060164" w:rsidRDefault="0058792B" w:rsidP="00060164">
      <w:r w:rsidRPr="00060164">
        <w:t>Ensure documents to be presented as evidence can be made available securely to assessors, using for example drop box or other secure sites.</w:t>
      </w:r>
    </w:p>
    <w:p w14:paraId="4C62FA7A" w14:textId="77777777" w:rsidR="0058792B" w:rsidRPr="00060164" w:rsidRDefault="0058792B" w:rsidP="00060164">
      <w:r w:rsidRPr="00060164">
        <w:t>Test the IT equipment with those involved in the assessment:</w:t>
      </w:r>
    </w:p>
    <w:p w14:paraId="0C300446" w14:textId="77777777" w:rsidR="0058792B" w:rsidRPr="00060164" w:rsidRDefault="0058792B" w:rsidP="00060164">
      <w:pPr>
        <w:pStyle w:val="ListParagraph"/>
        <w:numPr>
          <w:ilvl w:val="0"/>
          <w:numId w:val="42"/>
        </w:numPr>
      </w:pPr>
      <w:r w:rsidRPr="00060164">
        <w:t>Ensure all of the workforce involved in the assessment have the IT skills and/or support to operate the IT equipment, including camera focus, volume and screen sharing</w:t>
      </w:r>
    </w:p>
    <w:p w14:paraId="29209EC3" w14:textId="77777777" w:rsidR="0058792B" w:rsidRPr="00060164" w:rsidRDefault="0058792B" w:rsidP="00060164">
      <w:pPr>
        <w:pStyle w:val="ListParagraph"/>
        <w:numPr>
          <w:ilvl w:val="0"/>
          <w:numId w:val="42"/>
        </w:numPr>
      </w:pPr>
      <w:r w:rsidRPr="00060164">
        <w:t>Simulate a virtual tour of the general practice to test visibility, voice quality and the appropriate speed of camera movements in order for participants to be able to view objects and text clearly.</w:t>
      </w:r>
    </w:p>
    <w:p w14:paraId="6377748E" w14:textId="77777777" w:rsidR="0058792B" w:rsidRDefault="0058792B" w:rsidP="00060164">
      <w:r w:rsidRPr="00060164">
        <w:t>Check all locations where the assessm</w:t>
      </w:r>
      <w:r>
        <w:t xml:space="preserve">ent will be conducted to identify areas where the </w:t>
      </w:r>
      <w:proofErr w:type="spellStart"/>
      <w:r>
        <w:t>WiFi</w:t>
      </w:r>
      <w:proofErr w:type="spellEnd"/>
      <w:r>
        <w:t xml:space="preserve"> signal may be weak or not accessible. Address any issues identified with the </w:t>
      </w:r>
      <w:proofErr w:type="spellStart"/>
      <w:r>
        <w:t>WiFi</w:t>
      </w:r>
      <w:proofErr w:type="spellEnd"/>
      <w:r>
        <w:t xml:space="preserve"> coverage.</w:t>
      </w:r>
    </w:p>
    <w:p w14:paraId="78BF63FE" w14:textId="77777777" w:rsidR="0058792B" w:rsidRDefault="0058792B" w:rsidP="00A062B4">
      <w:pPr>
        <w:pStyle w:val="Heading3"/>
      </w:pPr>
      <w:r>
        <w:lastRenderedPageBreak/>
        <w:t>Documentation</w:t>
      </w:r>
    </w:p>
    <w:p w14:paraId="616C0381" w14:textId="77777777" w:rsidR="0058792B" w:rsidRDefault="0058792B" w:rsidP="00060164">
      <w:pPr>
        <w:pStyle w:val="Heading4"/>
      </w:pPr>
      <w:r>
        <w:t>Accrediting agency</w:t>
      </w:r>
    </w:p>
    <w:p w14:paraId="07CF4C00" w14:textId="77777777" w:rsidR="0058792B" w:rsidRDefault="0058792B" w:rsidP="00060164">
      <w:r>
        <w:t xml:space="preserve">Develop a policy for recording and </w:t>
      </w:r>
      <w:r w:rsidRPr="00060164">
        <w:t>photographing</w:t>
      </w:r>
      <w:r>
        <w:t xml:space="preserve"> during the assessment sessions conducted using virtual access digital technology and provide a copy to the general practice.</w:t>
      </w:r>
    </w:p>
    <w:p w14:paraId="36A35133" w14:textId="77777777" w:rsidR="0058792B" w:rsidRDefault="0058792B" w:rsidP="00060164">
      <w:pPr>
        <w:pStyle w:val="Heading2"/>
      </w:pPr>
      <w:r>
        <w:t xml:space="preserve">During a hybrid or virtual assessment </w:t>
      </w:r>
    </w:p>
    <w:p w14:paraId="326EEA05" w14:textId="77777777" w:rsidR="0058792B" w:rsidRDefault="0058792B" w:rsidP="00060164">
      <w:pPr>
        <w:pStyle w:val="Heading3"/>
      </w:pPr>
      <w:r>
        <w:t>Administration</w:t>
      </w:r>
    </w:p>
    <w:p w14:paraId="64148925" w14:textId="77777777" w:rsidR="0058792B" w:rsidRDefault="0058792B" w:rsidP="00060164">
      <w:pPr>
        <w:pStyle w:val="Heading4"/>
      </w:pPr>
      <w:r>
        <w:t>Accrediting agency</w:t>
      </w:r>
    </w:p>
    <w:p w14:paraId="02DE4DA7" w14:textId="77777777" w:rsidR="0058792B" w:rsidRDefault="0058792B" w:rsidP="00060164">
      <w:r>
        <w:t xml:space="preserve">Limit the length of each </w:t>
      </w:r>
      <w:r w:rsidRPr="00060164">
        <w:t>session</w:t>
      </w:r>
      <w:r>
        <w:t xml:space="preserve"> to ensure the virtual assessments are manageable for assessors.</w:t>
      </w:r>
    </w:p>
    <w:p w14:paraId="2555A0CA" w14:textId="77777777" w:rsidR="0058792B" w:rsidRPr="00277F74" w:rsidRDefault="0058792B" w:rsidP="00277F74">
      <w:r>
        <w:t xml:space="preserve">At the commencement of </w:t>
      </w:r>
      <w:r w:rsidRPr="00277F74">
        <w:t xml:space="preserve">each interview or assessment session, clarify for participants: </w:t>
      </w:r>
    </w:p>
    <w:p w14:paraId="610623CC" w14:textId="77777777" w:rsidR="0058792B" w:rsidRPr="00277F74" w:rsidRDefault="0058792B" w:rsidP="00CD36D2">
      <w:pPr>
        <w:pStyle w:val="ListParagraph"/>
        <w:numPr>
          <w:ilvl w:val="0"/>
          <w:numId w:val="43"/>
        </w:numPr>
      </w:pPr>
      <w:r w:rsidRPr="00277F74">
        <w:t>If the meeting is being recorded</w:t>
      </w:r>
    </w:p>
    <w:p w14:paraId="439845B7" w14:textId="77777777" w:rsidR="0058792B" w:rsidRPr="00277F74" w:rsidRDefault="0058792B" w:rsidP="00CD36D2">
      <w:pPr>
        <w:pStyle w:val="ListParagraph"/>
        <w:numPr>
          <w:ilvl w:val="0"/>
          <w:numId w:val="43"/>
        </w:numPr>
      </w:pPr>
      <w:r w:rsidRPr="00277F74">
        <w:t xml:space="preserve">How and what documents will be accessed for review during the session </w:t>
      </w:r>
    </w:p>
    <w:p w14:paraId="43B759F1" w14:textId="77777777" w:rsidR="0058792B" w:rsidRPr="00277F74" w:rsidRDefault="0058792B" w:rsidP="00CD36D2">
      <w:pPr>
        <w:pStyle w:val="ListParagraph"/>
        <w:numPr>
          <w:ilvl w:val="0"/>
          <w:numId w:val="43"/>
        </w:numPr>
      </w:pPr>
      <w:r w:rsidRPr="00277F74">
        <w:t>How security of data will be maintained</w:t>
      </w:r>
    </w:p>
    <w:p w14:paraId="6C0251EF" w14:textId="77777777" w:rsidR="0058792B" w:rsidRPr="00277F74" w:rsidRDefault="0058792B" w:rsidP="00CD36D2">
      <w:pPr>
        <w:pStyle w:val="ListParagraph"/>
        <w:numPr>
          <w:ilvl w:val="0"/>
          <w:numId w:val="43"/>
        </w:numPr>
      </w:pPr>
      <w:r w:rsidRPr="00277F74">
        <w:t>That the assessors through verbal direction and cues will have control of the camera direction, placement and movement at all times.</w:t>
      </w:r>
    </w:p>
    <w:p w14:paraId="300E206E" w14:textId="77777777" w:rsidR="0058792B" w:rsidRPr="00277F74" w:rsidRDefault="0058792B" w:rsidP="00277F74">
      <w:r w:rsidRPr="00277F74">
        <w:t xml:space="preserve">Assessors should: </w:t>
      </w:r>
    </w:p>
    <w:p w14:paraId="28FEF74D" w14:textId="77777777" w:rsidR="0058792B" w:rsidRPr="00277F74" w:rsidRDefault="0058792B" w:rsidP="00CD36D2">
      <w:pPr>
        <w:pStyle w:val="ListParagraph"/>
        <w:numPr>
          <w:ilvl w:val="0"/>
          <w:numId w:val="44"/>
        </w:numPr>
      </w:pPr>
      <w:r w:rsidRPr="00277F74">
        <w:t>Ensure their camera is positioned so the assessor’s full head and shoulders are visible to those in the general practice</w:t>
      </w:r>
    </w:p>
    <w:p w14:paraId="5862088F" w14:textId="77777777" w:rsidR="0058792B" w:rsidRPr="00277F74" w:rsidRDefault="0058792B" w:rsidP="00CD36D2">
      <w:pPr>
        <w:pStyle w:val="ListParagraph"/>
        <w:numPr>
          <w:ilvl w:val="0"/>
          <w:numId w:val="44"/>
        </w:numPr>
      </w:pPr>
      <w:r w:rsidRPr="00277F74">
        <w:t>Be located in a private, quiet environment to avoid interference, background distractions and noise</w:t>
      </w:r>
    </w:p>
    <w:p w14:paraId="43EF29A5" w14:textId="77777777" w:rsidR="0058792B" w:rsidRPr="00277F74" w:rsidRDefault="0058792B" w:rsidP="00CD36D2">
      <w:pPr>
        <w:pStyle w:val="ListParagraph"/>
        <w:numPr>
          <w:ilvl w:val="0"/>
          <w:numId w:val="44"/>
        </w:numPr>
      </w:pPr>
      <w:r w:rsidRPr="00277F74">
        <w:t xml:space="preserve">Be mindful of the background view of their location, and ensure it is appropriate </w:t>
      </w:r>
    </w:p>
    <w:p w14:paraId="491D74A9" w14:textId="77777777" w:rsidR="0058792B" w:rsidRPr="00277F74" w:rsidRDefault="0058792B" w:rsidP="00CD36D2">
      <w:pPr>
        <w:pStyle w:val="ListParagraph"/>
        <w:numPr>
          <w:ilvl w:val="0"/>
          <w:numId w:val="44"/>
        </w:numPr>
      </w:pPr>
      <w:r w:rsidRPr="00277F74">
        <w:t xml:space="preserve">Use headphones or other equipment to maximise the capacity to hear and focus their attention, </w:t>
      </w:r>
      <w:proofErr w:type="gramStart"/>
      <w:r w:rsidRPr="00277F74">
        <w:t>e.g.</w:t>
      </w:r>
      <w:proofErr w:type="gramEnd"/>
      <w:r w:rsidRPr="00277F74">
        <w:t xml:space="preserve"> headsets with a microphone or noise cancelling headphones</w:t>
      </w:r>
    </w:p>
    <w:p w14:paraId="0A114972" w14:textId="77777777" w:rsidR="0058792B" w:rsidRPr="00277F74" w:rsidRDefault="0058792B" w:rsidP="00CD36D2">
      <w:pPr>
        <w:pStyle w:val="ListParagraph"/>
        <w:numPr>
          <w:ilvl w:val="0"/>
          <w:numId w:val="44"/>
        </w:numPr>
      </w:pPr>
      <w:r w:rsidRPr="00277F74">
        <w:t xml:space="preserve">Remain in control of the camera viewing the general practice at all times </w:t>
      </w:r>
    </w:p>
    <w:p w14:paraId="543B49EB" w14:textId="77777777" w:rsidR="0058792B" w:rsidRPr="00277F74" w:rsidRDefault="0058792B" w:rsidP="00CD36D2">
      <w:pPr>
        <w:pStyle w:val="ListParagraph"/>
        <w:numPr>
          <w:ilvl w:val="0"/>
          <w:numId w:val="44"/>
        </w:numPr>
      </w:pPr>
      <w:r w:rsidRPr="00277F74">
        <w:t>Issue clear and direct instructions to members of the general practice’s workforce if they are physically responsible for moving and positioning the camera</w:t>
      </w:r>
    </w:p>
    <w:p w14:paraId="018F9C5C" w14:textId="77777777" w:rsidR="0058792B" w:rsidRPr="00277F74" w:rsidRDefault="0058792B" w:rsidP="00CD36D2">
      <w:pPr>
        <w:pStyle w:val="ListParagraph"/>
        <w:numPr>
          <w:ilvl w:val="0"/>
          <w:numId w:val="44"/>
        </w:numPr>
      </w:pPr>
      <w:r w:rsidRPr="00277F74">
        <w:t>Use check-back techniques to ensure what has been said is clearly heard and understood, particularly where there are poor or unstable IT connections</w:t>
      </w:r>
    </w:p>
    <w:p w14:paraId="7D6E1CAE" w14:textId="77777777" w:rsidR="0058792B" w:rsidRPr="00277F74" w:rsidRDefault="0058792B" w:rsidP="00CD36D2">
      <w:pPr>
        <w:pStyle w:val="ListParagraph"/>
        <w:numPr>
          <w:ilvl w:val="0"/>
          <w:numId w:val="44"/>
        </w:numPr>
      </w:pPr>
      <w:r w:rsidRPr="00277F74">
        <w:t>Terminate the interview, observation, or the assessment if there is continued poor connections or inability to retain a connection, or where the general practice fails to comply with reasonable directions from the assessor</w:t>
      </w:r>
    </w:p>
    <w:p w14:paraId="044F4650" w14:textId="77777777" w:rsidR="0058792B" w:rsidRPr="00277F74" w:rsidRDefault="0058792B" w:rsidP="00CD36D2">
      <w:pPr>
        <w:pStyle w:val="ListParagraph"/>
        <w:numPr>
          <w:ilvl w:val="0"/>
          <w:numId w:val="44"/>
        </w:numPr>
      </w:pPr>
      <w:r w:rsidRPr="00277F74">
        <w:t>Implement the contingency plan if the assessment is terminated.</w:t>
      </w:r>
    </w:p>
    <w:p w14:paraId="704916E5" w14:textId="77777777" w:rsidR="0058792B" w:rsidRPr="00277F74" w:rsidRDefault="0058792B" w:rsidP="00277F74">
      <w:r w:rsidRPr="00277F74">
        <w:t>Where virtual breakout rooms are used, ensure privacy is maintained by inviting participants, nominating rooms and virtually locking the room once a meeting has commenced.</w:t>
      </w:r>
    </w:p>
    <w:p w14:paraId="3F0032FF" w14:textId="77777777" w:rsidR="0058792B" w:rsidRPr="00277F74" w:rsidRDefault="0058792B" w:rsidP="00277F74">
      <w:r w:rsidRPr="00277F74">
        <w:t xml:space="preserve">Where meetings are recorded, assessors are to seek agreement from all participants before the meeting commences and provide a clear statement on how the recording will be used and if/when it will be deleted. </w:t>
      </w:r>
    </w:p>
    <w:p w14:paraId="05B13862" w14:textId="77777777" w:rsidR="0058792B" w:rsidRPr="00277F74" w:rsidRDefault="0058792B" w:rsidP="00277F74">
      <w:r w:rsidRPr="00277F74">
        <w:t xml:space="preserve">Ensure that communication between assessors occurs regularly to share findings. </w:t>
      </w:r>
    </w:p>
    <w:p w14:paraId="7ACCAF9C" w14:textId="77777777" w:rsidR="0058792B" w:rsidRDefault="0058792B" w:rsidP="00277F74">
      <w:r w:rsidRPr="00277F74">
        <w:t>For hybrid assessments, direct ass</w:t>
      </w:r>
      <w:r>
        <w:t>essors that are on site to follow up issues that have been identified by assessors using virtual access digital technology.</w:t>
      </w:r>
    </w:p>
    <w:p w14:paraId="1979F3BA" w14:textId="77777777" w:rsidR="0058792B" w:rsidRDefault="0058792B" w:rsidP="00332591">
      <w:pPr>
        <w:pStyle w:val="Heading4"/>
      </w:pPr>
      <w:r>
        <w:lastRenderedPageBreak/>
        <w:t xml:space="preserve">General </w:t>
      </w:r>
      <w:r w:rsidRPr="00332591">
        <w:t>practice</w:t>
      </w:r>
    </w:p>
    <w:p w14:paraId="7687EA61" w14:textId="77777777" w:rsidR="0058792B" w:rsidRPr="00332591" w:rsidRDefault="0058792B" w:rsidP="00332591">
      <w:r>
        <w:t xml:space="preserve">If consumers are involved in the </w:t>
      </w:r>
      <w:r w:rsidRPr="00332591">
        <w:t>assessment, obtain permission and provide them with information on the hybrid or virtual assessment processes.</w:t>
      </w:r>
    </w:p>
    <w:p w14:paraId="573773D6" w14:textId="77777777" w:rsidR="0058792B" w:rsidRDefault="0058792B" w:rsidP="00332591">
      <w:r w:rsidRPr="00332591">
        <w:t>Recognise that a general wide sweep</w:t>
      </w:r>
      <w:r>
        <w:t xml:space="preserve"> of the camera does not need permission and is similar to an assessor being on site.</w:t>
      </w:r>
    </w:p>
    <w:p w14:paraId="0563C877" w14:textId="77777777" w:rsidR="0058792B" w:rsidRDefault="0058792B" w:rsidP="00332591">
      <w:pPr>
        <w:pStyle w:val="Heading3"/>
      </w:pPr>
      <w:r>
        <w:t xml:space="preserve">Information </w:t>
      </w:r>
      <w:r w:rsidRPr="00332591">
        <w:t>technology</w:t>
      </w:r>
      <w:r>
        <w:t> systems</w:t>
      </w:r>
    </w:p>
    <w:p w14:paraId="600E2A09" w14:textId="77777777" w:rsidR="0058792B" w:rsidRDefault="0058792B" w:rsidP="00332591">
      <w:pPr>
        <w:pStyle w:val="Heading4"/>
      </w:pPr>
      <w:r>
        <w:t>General practice</w:t>
      </w:r>
    </w:p>
    <w:p w14:paraId="1A6F8CF0" w14:textId="77777777" w:rsidR="0058792B" w:rsidRPr="00332591" w:rsidRDefault="0058792B" w:rsidP="00332591">
      <w:r>
        <w:t xml:space="preserve">Ensure the ICT equipment being </w:t>
      </w:r>
      <w:r w:rsidRPr="00332591">
        <w:t>used during the assessments:</w:t>
      </w:r>
    </w:p>
    <w:p w14:paraId="447E9BB8" w14:textId="77777777" w:rsidR="0058792B" w:rsidRPr="00332591" w:rsidRDefault="0058792B" w:rsidP="00332591">
      <w:pPr>
        <w:pStyle w:val="ListParagraph"/>
        <w:numPr>
          <w:ilvl w:val="0"/>
          <w:numId w:val="45"/>
        </w:numPr>
      </w:pPr>
      <w:r w:rsidRPr="00332591">
        <w:t>Can be moved on a stable surface, such as a trolley to all locations where the assessment is to occur</w:t>
      </w:r>
    </w:p>
    <w:p w14:paraId="4828B517" w14:textId="77777777" w:rsidR="0058792B" w:rsidRPr="00332591" w:rsidRDefault="0058792B" w:rsidP="00332591">
      <w:pPr>
        <w:pStyle w:val="ListParagraph"/>
        <w:numPr>
          <w:ilvl w:val="0"/>
          <w:numId w:val="45"/>
        </w:numPr>
      </w:pPr>
      <w:r w:rsidRPr="00332591">
        <w:t>When being moved through a facility, the camera is facing forward</w:t>
      </w:r>
    </w:p>
    <w:p w14:paraId="5CB805A0" w14:textId="77777777" w:rsidR="0058792B" w:rsidRPr="00332591" w:rsidRDefault="0058792B" w:rsidP="00332591">
      <w:pPr>
        <w:pStyle w:val="ListParagraph"/>
        <w:numPr>
          <w:ilvl w:val="0"/>
          <w:numId w:val="45"/>
        </w:numPr>
      </w:pPr>
      <w:r w:rsidRPr="00332591">
        <w:t>Complies with infection prevention and control requirements for equipment being moved between clinical areas</w:t>
      </w:r>
    </w:p>
    <w:p w14:paraId="1ABCB5E7" w14:textId="77777777" w:rsidR="0058792B" w:rsidRPr="00332591" w:rsidRDefault="0058792B" w:rsidP="00332591">
      <w:pPr>
        <w:pStyle w:val="ListParagraph"/>
        <w:numPr>
          <w:ilvl w:val="0"/>
          <w:numId w:val="45"/>
        </w:numPr>
      </w:pPr>
      <w:r w:rsidRPr="00332591">
        <w:t>Is fully charged and includes backup power supply, if required.</w:t>
      </w:r>
    </w:p>
    <w:p w14:paraId="5B2EE919" w14:textId="799AE212" w:rsidR="0058792B" w:rsidRDefault="0058792B" w:rsidP="00BE2757">
      <w:r w:rsidRPr="00332591">
        <w:t>Do not use virtual backgrounds during assessments. These reduce the likelihood of opportunistic observation of practice and environ</w:t>
      </w:r>
      <w:r>
        <w:t>ment.</w:t>
      </w:r>
    </w:p>
    <w:p w14:paraId="31B13A40" w14:textId="77777777" w:rsidR="0058792B" w:rsidRDefault="0058792B" w:rsidP="00BE2757">
      <w:pPr>
        <w:pStyle w:val="Heading3"/>
      </w:pPr>
      <w:r>
        <w:t>Documentation</w:t>
      </w:r>
    </w:p>
    <w:p w14:paraId="77147EBD" w14:textId="77777777" w:rsidR="0058792B" w:rsidRDefault="0058792B" w:rsidP="00BE2757">
      <w:pPr>
        <w:pStyle w:val="Heading4"/>
      </w:pPr>
      <w:r>
        <w:t>Accrediting agency</w:t>
      </w:r>
    </w:p>
    <w:p w14:paraId="684F2287" w14:textId="77777777" w:rsidR="0058792B" w:rsidRPr="00BE2757" w:rsidRDefault="0058792B" w:rsidP="00BE2757">
      <w:r>
        <w:t xml:space="preserve">Document in the final </w:t>
      </w:r>
      <w:r w:rsidRPr="00BE2757">
        <w:t>assessment report to the general practice:</w:t>
      </w:r>
    </w:p>
    <w:p w14:paraId="3EEC7746" w14:textId="77777777" w:rsidR="0058792B" w:rsidRPr="00BE2757" w:rsidRDefault="0058792B" w:rsidP="00BE2757">
      <w:pPr>
        <w:pStyle w:val="ListParagraph"/>
        <w:numPr>
          <w:ilvl w:val="0"/>
          <w:numId w:val="46"/>
        </w:numPr>
      </w:pPr>
      <w:r w:rsidRPr="00BE2757">
        <w:t>The reason a hybrid or virtual assessment was conducted</w:t>
      </w:r>
    </w:p>
    <w:p w14:paraId="10A8974B" w14:textId="77777777" w:rsidR="0058792B" w:rsidRPr="00BE2757" w:rsidRDefault="0058792B" w:rsidP="00BE2757">
      <w:pPr>
        <w:pStyle w:val="ListParagraph"/>
        <w:numPr>
          <w:ilvl w:val="0"/>
          <w:numId w:val="46"/>
        </w:numPr>
      </w:pPr>
      <w:r w:rsidRPr="00BE2757">
        <w:t>The sections of the assessment conducted using virtual access digital technology</w:t>
      </w:r>
    </w:p>
    <w:p w14:paraId="2EC0CA13" w14:textId="77777777" w:rsidR="0058792B" w:rsidRPr="00BE2757" w:rsidRDefault="0058792B" w:rsidP="00BE2757">
      <w:pPr>
        <w:pStyle w:val="ListParagraph"/>
        <w:numPr>
          <w:ilvl w:val="0"/>
          <w:numId w:val="46"/>
        </w:numPr>
      </w:pPr>
      <w:r w:rsidRPr="00BE2757">
        <w:t>Actions that could not be evidenced or not fully evidenced by virtual assessment</w:t>
      </w:r>
    </w:p>
    <w:p w14:paraId="35150CBA" w14:textId="77777777" w:rsidR="0058792B" w:rsidRPr="00BE2757" w:rsidRDefault="0058792B" w:rsidP="00BE2757">
      <w:pPr>
        <w:pStyle w:val="ListParagraph"/>
        <w:numPr>
          <w:ilvl w:val="0"/>
          <w:numId w:val="46"/>
        </w:numPr>
      </w:pPr>
      <w:r w:rsidRPr="00BE2757">
        <w:t>Barriers, technical difficulties and/or enablers during the assessment.</w:t>
      </w:r>
    </w:p>
    <w:p w14:paraId="0395FC8A" w14:textId="77777777" w:rsidR="0058792B" w:rsidRPr="00BE2757" w:rsidRDefault="0058792B" w:rsidP="00BE2757">
      <w:r w:rsidRPr="00BE2757">
        <w:t>Where an assessment is prematurely terminated and does not recommence document:</w:t>
      </w:r>
    </w:p>
    <w:p w14:paraId="2C05D9C1" w14:textId="77777777" w:rsidR="0058792B" w:rsidRPr="00BE2757" w:rsidRDefault="0058792B" w:rsidP="00BE2757">
      <w:pPr>
        <w:pStyle w:val="ListParagraph"/>
        <w:numPr>
          <w:ilvl w:val="0"/>
          <w:numId w:val="47"/>
        </w:numPr>
      </w:pPr>
      <w:r w:rsidRPr="00BE2757">
        <w:t>The actions still to be assessed</w:t>
      </w:r>
    </w:p>
    <w:p w14:paraId="777F8D9D" w14:textId="77777777" w:rsidR="0058792B" w:rsidRPr="00BE2757" w:rsidRDefault="0058792B" w:rsidP="00BE2757">
      <w:pPr>
        <w:pStyle w:val="ListParagraph"/>
        <w:numPr>
          <w:ilvl w:val="0"/>
          <w:numId w:val="47"/>
        </w:numPr>
      </w:pPr>
      <w:r w:rsidRPr="00BE2757">
        <w:t>The plan and timelines for the assessment to be finalised</w:t>
      </w:r>
    </w:p>
    <w:p w14:paraId="7368AB54" w14:textId="77777777" w:rsidR="0058792B" w:rsidRPr="00BE2757" w:rsidRDefault="0058792B" w:rsidP="00BE2757">
      <w:pPr>
        <w:pStyle w:val="ListParagraph"/>
        <w:numPr>
          <w:ilvl w:val="0"/>
          <w:numId w:val="47"/>
        </w:numPr>
      </w:pPr>
      <w:r w:rsidRPr="00BE2757">
        <w:t>Reasons for changes to assessment schedule</w:t>
      </w:r>
    </w:p>
    <w:p w14:paraId="1181B9EB" w14:textId="77777777" w:rsidR="0058792B" w:rsidRPr="00BE2757" w:rsidRDefault="0058792B" w:rsidP="00BE2757">
      <w:pPr>
        <w:pStyle w:val="ListParagraph"/>
        <w:numPr>
          <w:ilvl w:val="0"/>
          <w:numId w:val="47"/>
        </w:numPr>
      </w:pPr>
      <w:r w:rsidRPr="00BE2757">
        <w:t>Areas not yet reviewed or not fully reviewed by the assessment process</w:t>
      </w:r>
    </w:p>
    <w:p w14:paraId="38C61E59" w14:textId="77777777" w:rsidR="0058792B" w:rsidRPr="00BE2757" w:rsidRDefault="0058792B" w:rsidP="00BE2757">
      <w:pPr>
        <w:pStyle w:val="ListParagraph"/>
        <w:numPr>
          <w:ilvl w:val="0"/>
          <w:numId w:val="47"/>
        </w:numPr>
      </w:pPr>
      <w:r w:rsidRPr="00BE2757">
        <w:t xml:space="preserve">Other options, including ICT systems considered or used to complete the assessment </w:t>
      </w:r>
    </w:p>
    <w:p w14:paraId="23871C18" w14:textId="3EE69248" w:rsidR="0058792B" w:rsidRPr="00BE2757" w:rsidRDefault="0058792B" w:rsidP="00BE2757">
      <w:pPr>
        <w:pStyle w:val="ListParagraph"/>
        <w:numPr>
          <w:ilvl w:val="0"/>
          <w:numId w:val="47"/>
        </w:numPr>
      </w:pPr>
      <w:r w:rsidRPr="00BE2757">
        <w:t>The proposed action for the completion of the assessment, including</w:t>
      </w:r>
    </w:p>
    <w:p w14:paraId="114D7D71" w14:textId="3BB5769C" w:rsidR="0058792B" w:rsidRPr="00BE2757" w:rsidRDefault="00BE2757" w:rsidP="00BE2757">
      <w:pPr>
        <w:pStyle w:val="ListParagraph"/>
        <w:numPr>
          <w:ilvl w:val="1"/>
          <w:numId w:val="47"/>
        </w:numPr>
      </w:pPr>
      <w:r>
        <w:t>d</w:t>
      </w:r>
      <w:r w:rsidR="0058792B" w:rsidRPr="00BE2757">
        <w:t>ate for the completion of the assessment</w:t>
      </w:r>
    </w:p>
    <w:p w14:paraId="64D21EC8" w14:textId="3863CEF5" w:rsidR="0058792B" w:rsidRPr="00BE2757" w:rsidRDefault="00BE2757" w:rsidP="00BE2757">
      <w:pPr>
        <w:pStyle w:val="ListParagraph"/>
        <w:numPr>
          <w:ilvl w:val="1"/>
          <w:numId w:val="47"/>
        </w:numPr>
      </w:pPr>
      <w:r>
        <w:t>f</w:t>
      </w:r>
      <w:r w:rsidR="0058792B" w:rsidRPr="00BE2757">
        <w:t>ormat for the completion of the assessment</w:t>
      </w:r>
    </w:p>
    <w:p w14:paraId="6BF3CA7A" w14:textId="7CEA9631" w:rsidR="0058792B" w:rsidRPr="00BE2757" w:rsidRDefault="00BE2757" w:rsidP="00BE2757">
      <w:pPr>
        <w:pStyle w:val="ListParagraph"/>
        <w:numPr>
          <w:ilvl w:val="1"/>
          <w:numId w:val="47"/>
        </w:numPr>
      </w:pPr>
      <w:r>
        <w:t>a</w:t>
      </w:r>
      <w:r w:rsidR="0058792B" w:rsidRPr="00BE2757">
        <w:t>dditional costs, if any</w:t>
      </w:r>
    </w:p>
    <w:p w14:paraId="02AB92C6" w14:textId="2540B82E" w:rsidR="0058792B" w:rsidRDefault="00BE2757" w:rsidP="00BE2757">
      <w:pPr>
        <w:pStyle w:val="ListParagraph"/>
        <w:numPr>
          <w:ilvl w:val="1"/>
          <w:numId w:val="47"/>
        </w:numPr>
      </w:pPr>
      <w:r>
        <w:t>i</w:t>
      </w:r>
      <w:r w:rsidR="0058792B" w:rsidRPr="00BE2757">
        <w:t>mplication and/or c</w:t>
      </w:r>
      <w:r w:rsidR="0058792B">
        <w:t>onsequences of the delay.</w:t>
      </w:r>
    </w:p>
    <w:p w14:paraId="0B2A7180" w14:textId="77777777" w:rsidR="0058792B" w:rsidRDefault="0058792B" w:rsidP="00E82277">
      <w:pPr>
        <w:pStyle w:val="Heading4"/>
      </w:pPr>
      <w:r>
        <w:t>General practice</w:t>
      </w:r>
    </w:p>
    <w:p w14:paraId="7650FE7C" w14:textId="77777777" w:rsidR="0058792B" w:rsidRPr="00E82277" w:rsidRDefault="0058792B" w:rsidP="00E82277">
      <w:r>
        <w:t xml:space="preserve">At </w:t>
      </w:r>
      <w:r w:rsidRPr="00E82277">
        <w:t xml:space="preserve">assessment: </w:t>
      </w:r>
    </w:p>
    <w:p w14:paraId="1C3FDAB8" w14:textId="77777777" w:rsidR="0058792B" w:rsidRPr="00E82277" w:rsidRDefault="0058792B" w:rsidP="00E82277">
      <w:pPr>
        <w:pStyle w:val="ListParagraph"/>
        <w:numPr>
          <w:ilvl w:val="0"/>
          <w:numId w:val="48"/>
        </w:numPr>
      </w:pPr>
      <w:r w:rsidRPr="00E82277">
        <w:t>Ensure all relevant documents are readily available or easily accessible to avoid delays waiting for documents to display</w:t>
      </w:r>
    </w:p>
    <w:p w14:paraId="58B67CF7" w14:textId="77777777" w:rsidR="0058792B" w:rsidRDefault="0058792B" w:rsidP="00E82277">
      <w:pPr>
        <w:pStyle w:val="ListParagraph"/>
        <w:numPr>
          <w:ilvl w:val="0"/>
          <w:numId w:val="48"/>
        </w:numPr>
      </w:pPr>
      <w:r w:rsidRPr="00E82277">
        <w:t>Ensure ICT system has the functionality to enlarge documents if</w:t>
      </w:r>
      <w:r>
        <w:t xml:space="preserve"> necessary so they can be read by assessors.</w:t>
      </w:r>
    </w:p>
    <w:p w14:paraId="4829347A" w14:textId="77777777" w:rsidR="0058792B" w:rsidRDefault="0058792B" w:rsidP="00F731B3">
      <w:pPr>
        <w:pStyle w:val="Heading2"/>
      </w:pPr>
      <w:r>
        <w:lastRenderedPageBreak/>
        <w:t>After a hybrid or virtual assessment</w:t>
      </w:r>
    </w:p>
    <w:p w14:paraId="6FCF11D8" w14:textId="77777777" w:rsidR="0058792B" w:rsidRDefault="0058792B" w:rsidP="00190643">
      <w:pPr>
        <w:pStyle w:val="Heading3"/>
      </w:pPr>
      <w:r>
        <w:t xml:space="preserve">Administration </w:t>
      </w:r>
    </w:p>
    <w:p w14:paraId="75EC9063" w14:textId="77777777" w:rsidR="0058792B" w:rsidRDefault="0058792B" w:rsidP="00190643">
      <w:pPr>
        <w:pStyle w:val="Heading4"/>
      </w:pPr>
      <w:r>
        <w:t>Accrediting agency</w:t>
      </w:r>
    </w:p>
    <w:p w14:paraId="0F6C2F29" w14:textId="77777777" w:rsidR="0058792B" w:rsidRPr="00736517" w:rsidRDefault="0058792B" w:rsidP="00736517">
      <w:r>
        <w:t xml:space="preserve">Remove and delete any documents, images, or </w:t>
      </w:r>
      <w:r w:rsidRPr="00736517">
        <w:t>recordings accessed through the ICT system at the conclusion of the assessment.</w:t>
      </w:r>
    </w:p>
    <w:p w14:paraId="445A01D9" w14:textId="77777777" w:rsidR="0058792B" w:rsidRPr="00736517" w:rsidRDefault="0058792B" w:rsidP="00736517">
      <w:r w:rsidRPr="00736517">
        <w:t xml:space="preserve">Use the agency’s monitoring systems to evaluate the effectiveness of the sessions of the assessment conducted using virtual access digital technology and ways to improve its effectiveness, including but not limited to: </w:t>
      </w:r>
    </w:p>
    <w:p w14:paraId="4C05C663" w14:textId="77777777" w:rsidR="0058792B" w:rsidRPr="00736517" w:rsidRDefault="0058792B" w:rsidP="00736517">
      <w:pPr>
        <w:pStyle w:val="ListParagraph"/>
        <w:numPr>
          <w:ilvl w:val="0"/>
          <w:numId w:val="49"/>
        </w:numPr>
      </w:pPr>
      <w:r w:rsidRPr="00736517">
        <w:t>Understanding and use of technology</w:t>
      </w:r>
    </w:p>
    <w:p w14:paraId="149894AA" w14:textId="77777777" w:rsidR="0058792B" w:rsidRPr="00736517" w:rsidRDefault="0058792B" w:rsidP="00736517">
      <w:pPr>
        <w:pStyle w:val="ListParagraph"/>
        <w:numPr>
          <w:ilvl w:val="0"/>
          <w:numId w:val="49"/>
        </w:numPr>
      </w:pPr>
      <w:r w:rsidRPr="00736517">
        <w:t>Training of assessors</w:t>
      </w:r>
    </w:p>
    <w:p w14:paraId="3C8C0949" w14:textId="77777777" w:rsidR="0058792B" w:rsidRPr="00736517" w:rsidRDefault="0058792B" w:rsidP="00736517">
      <w:pPr>
        <w:pStyle w:val="ListParagraph"/>
        <w:numPr>
          <w:ilvl w:val="0"/>
          <w:numId w:val="49"/>
        </w:numPr>
      </w:pPr>
      <w:r w:rsidRPr="00736517">
        <w:t>Information and instructions provided to general practices</w:t>
      </w:r>
    </w:p>
    <w:p w14:paraId="634D12F4" w14:textId="77777777" w:rsidR="0058792B" w:rsidRPr="00736517" w:rsidRDefault="0058792B" w:rsidP="00736517">
      <w:pPr>
        <w:pStyle w:val="ListParagraph"/>
        <w:numPr>
          <w:ilvl w:val="0"/>
          <w:numId w:val="49"/>
        </w:numPr>
      </w:pPr>
      <w:r w:rsidRPr="00736517">
        <w:t>Design of the assessment schedule</w:t>
      </w:r>
    </w:p>
    <w:p w14:paraId="1EDD07E3" w14:textId="415ABAF4" w:rsidR="0058792B" w:rsidRPr="00736517" w:rsidRDefault="0058792B" w:rsidP="00736517">
      <w:pPr>
        <w:pStyle w:val="ListParagraph"/>
        <w:numPr>
          <w:ilvl w:val="0"/>
          <w:numId w:val="49"/>
        </w:numPr>
      </w:pPr>
      <w:r w:rsidRPr="00736517">
        <w:t>Mix of on</w:t>
      </w:r>
      <w:r w:rsidR="00736517">
        <w:t>-</w:t>
      </w:r>
      <w:r w:rsidRPr="00736517">
        <w:t xml:space="preserve">site assessors and those present via virtual access digital technology </w:t>
      </w:r>
    </w:p>
    <w:p w14:paraId="208462DD" w14:textId="77777777" w:rsidR="0058792B" w:rsidRPr="00736517" w:rsidRDefault="0058792B" w:rsidP="00736517">
      <w:pPr>
        <w:pStyle w:val="ListParagraph"/>
        <w:numPr>
          <w:ilvl w:val="0"/>
          <w:numId w:val="49"/>
        </w:numPr>
      </w:pPr>
      <w:r w:rsidRPr="00736517">
        <w:t xml:space="preserve">Role of assessors present via virtual access digital technology compared with role of assessors on site </w:t>
      </w:r>
    </w:p>
    <w:p w14:paraId="11D17222" w14:textId="77777777" w:rsidR="0058792B" w:rsidRPr="00736517" w:rsidRDefault="0058792B" w:rsidP="00736517">
      <w:pPr>
        <w:pStyle w:val="ListParagraph"/>
        <w:numPr>
          <w:ilvl w:val="0"/>
          <w:numId w:val="49"/>
        </w:numPr>
      </w:pPr>
      <w:r w:rsidRPr="00736517">
        <w:t>Planning processes</w:t>
      </w:r>
    </w:p>
    <w:p w14:paraId="2B143E85" w14:textId="77777777" w:rsidR="0058792B" w:rsidRDefault="0058792B" w:rsidP="00736517">
      <w:pPr>
        <w:pStyle w:val="ListParagraph"/>
        <w:numPr>
          <w:ilvl w:val="0"/>
          <w:numId w:val="49"/>
        </w:numPr>
      </w:pPr>
      <w:r w:rsidRPr="00736517">
        <w:t>Contingency plan</w:t>
      </w:r>
      <w:r>
        <w:t>ning.</w:t>
      </w:r>
    </w:p>
    <w:p w14:paraId="42AF48B0" w14:textId="77777777" w:rsidR="0058792B" w:rsidRDefault="0058792B" w:rsidP="005F2422">
      <w:pPr>
        <w:pStyle w:val="Heading4"/>
      </w:pPr>
      <w:r>
        <w:t>General practice</w:t>
      </w:r>
    </w:p>
    <w:p w14:paraId="59844FA5" w14:textId="77777777" w:rsidR="0058792B" w:rsidRPr="005F2422" w:rsidRDefault="0058792B" w:rsidP="005F2422">
      <w:pPr>
        <w:pStyle w:val="ListParagraph"/>
        <w:numPr>
          <w:ilvl w:val="0"/>
          <w:numId w:val="50"/>
        </w:numPr>
      </w:pPr>
      <w:r>
        <w:t xml:space="preserve">Revoke assessors ICT </w:t>
      </w:r>
      <w:r w:rsidRPr="005F2422">
        <w:t>and security access</w:t>
      </w:r>
    </w:p>
    <w:p w14:paraId="43F04043" w14:textId="77777777" w:rsidR="0058792B" w:rsidRDefault="0058792B" w:rsidP="005F2422">
      <w:pPr>
        <w:pStyle w:val="ListParagraph"/>
        <w:numPr>
          <w:ilvl w:val="0"/>
          <w:numId w:val="50"/>
        </w:numPr>
      </w:pPr>
      <w:r w:rsidRPr="005F2422">
        <w:t>Evaluate the effectiveness of the hybrid or virtual assessment and provide feedback to the accrediting agency and the Com</w:t>
      </w:r>
      <w:r>
        <w:t>mission.</w:t>
      </w:r>
    </w:p>
    <w:p w14:paraId="72DE2394" w14:textId="77777777" w:rsidR="0058792B" w:rsidRDefault="0058792B" w:rsidP="005F2422">
      <w:pPr>
        <w:pStyle w:val="Heading3"/>
      </w:pPr>
      <w:r>
        <w:t>Documentation</w:t>
      </w:r>
    </w:p>
    <w:p w14:paraId="4F07CB6B" w14:textId="77777777" w:rsidR="0058792B" w:rsidRDefault="0058792B" w:rsidP="005F2422">
      <w:pPr>
        <w:pStyle w:val="Heading4"/>
      </w:pPr>
      <w:r>
        <w:t>Accrediting agency</w:t>
      </w:r>
    </w:p>
    <w:p w14:paraId="79139C03" w14:textId="17C31BE8" w:rsidR="0058792B" w:rsidRDefault="0058792B" w:rsidP="005F2422">
      <w:r>
        <w:t>Assessment reports and testimonials are to state the assessment was a hybrid or virtual</w:t>
      </w:r>
      <w:r w:rsidR="005F2422">
        <w:t> </w:t>
      </w:r>
      <w:r>
        <w:t>assessment.</w:t>
      </w:r>
    </w:p>
    <w:p w14:paraId="44585CBC" w14:textId="0F96C21E" w:rsidR="00F85302" w:rsidRDefault="00F85302" w:rsidP="00F85302"/>
    <w:p w14:paraId="1F64B81D" w14:textId="25D01DE6" w:rsidR="00195458" w:rsidRPr="0026569B" w:rsidRDefault="006549C2" w:rsidP="00820059">
      <w:pPr>
        <w:spacing w:before="360" w:after="60"/>
        <w:rPr>
          <w:rFonts w:cstheme="minorHAnsi"/>
          <w:b/>
          <w:bCs/>
          <w:sz w:val="27"/>
          <w:szCs w:val="27"/>
        </w:rPr>
      </w:pPr>
      <w:hyperlink r:id="rId16" w:history="1">
        <w:r w:rsidR="00195458" w:rsidRPr="0026569B">
          <w:rPr>
            <w:rStyle w:val="Hyperlink"/>
            <w:rFonts w:cstheme="minorHAnsi"/>
            <w:b/>
            <w:bCs/>
            <w:color w:val="007EA5" w:themeColor="accent2" w:themeShade="BF"/>
            <w:sz w:val="27"/>
            <w:szCs w:val="27"/>
            <w:u w:val="none"/>
          </w:rPr>
          <w:t>safetyandquality.gov.au</w:t>
        </w:r>
      </w:hyperlink>
    </w:p>
    <w:p w14:paraId="4FD3C59B" w14:textId="45815A81" w:rsidR="00C477AC" w:rsidRPr="00F85302" w:rsidRDefault="001918F7" w:rsidP="00F85302">
      <w:pPr>
        <w:pStyle w:val="FootnoteText"/>
        <w:tabs>
          <w:tab w:val="right" w:pos="8931"/>
        </w:tabs>
        <w:spacing w:before="140"/>
        <w:rPr>
          <w:rFonts w:eastAsiaTheme="majorEastAsia"/>
          <w:sz w:val="16"/>
          <w:szCs w:val="16"/>
        </w:rPr>
      </w:pPr>
      <w:r w:rsidRPr="00146BFB">
        <w:rPr>
          <w:noProof/>
          <w:sz w:val="16"/>
          <w:szCs w:val="16"/>
          <w:lang w:val="en-US" w:eastAsia="en-US"/>
        </w:rPr>
        <w:drawing>
          <wp:anchor distT="0" distB="0" distL="114300" distR="114300" simplePos="0" relativeHeight="251663360" behindDoc="0" locked="0" layoutInCell="1" allowOverlap="1" wp14:anchorId="52E40C1F" wp14:editId="5445298F">
            <wp:simplePos x="0" y="0"/>
            <wp:positionH relativeFrom="column">
              <wp:posOffset>-1905</wp:posOffset>
            </wp:positionH>
            <wp:positionV relativeFrom="paragraph">
              <wp:posOffset>62715</wp:posOffset>
            </wp:positionV>
            <wp:extent cx="596265" cy="211455"/>
            <wp:effectExtent l="0" t="0" r="635" b="4445"/>
            <wp:wrapSquare wrapText="bothSides"/>
            <wp:docPr id="4" name="Picture 4" descr="Creative Commons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icenc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6265" cy="211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6BFB">
        <w:rPr>
          <w:rStyle w:val="Roman"/>
          <w:rFonts w:eastAsiaTheme="majorEastAsia"/>
          <w:sz w:val="16"/>
          <w:szCs w:val="16"/>
        </w:rPr>
        <w:t xml:space="preserve">© Australian Commission on </w:t>
      </w:r>
      <w:r w:rsidR="00146BFB" w:rsidRPr="00146BFB">
        <w:rPr>
          <w:rStyle w:val="Roman"/>
          <w:rFonts w:eastAsiaTheme="majorEastAsia"/>
          <w:sz w:val="16"/>
          <w:szCs w:val="16"/>
        </w:rPr>
        <w:br/>
      </w:r>
      <w:r w:rsidRPr="00146BFB">
        <w:rPr>
          <w:rStyle w:val="Roman"/>
          <w:rFonts w:eastAsiaTheme="majorEastAsia"/>
          <w:sz w:val="16"/>
          <w:szCs w:val="16"/>
        </w:rPr>
        <w:t>Safety</w:t>
      </w:r>
      <w:r w:rsidR="00146BFB" w:rsidRPr="00146BFB">
        <w:rPr>
          <w:rStyle w:val="Roman"/>
          <w:rFonts w:eastAsiaTheme="majorEastAsia"/>
          <w:sz w:val="16"/>
          <w:szCs w:val="16"/>
        </w:rPr>
        <w:t xml:space="preserve"> </w:t>
      </w:r>
      <w:r w:rsidRPr="00146BFB">
        <w:rPr>
          <w:rStyle w:val="Roman"/>
          <w:rFonts w:eastAsiaTheme="majorEastAsia"/>
          <w:sz w:val="16"/>
          <w:szCs w:val="16"/>
        </w:rPr>
        <w:t>and</w:t>
      </w:r>
      <w:r w:rsidR="00146BFB">
        <w:rPr>
          <w:rStyle w:val="Roman"/>
          <w:rFonts w:eastAsiaTheme="majorEastAsia"/>
          <w:sz w:val="16"/>
          <w:szCs w:val="16"/>
        </w:rPr>
        <w:softHyphen/>
      </w:r>
      <w:r w:rsidR="00146BFB">
        <w:rPr>
          <w:rStyle w:val="Roman"/>
          <w:rFonts w:eastAsiaTheme="majorEastAsia"/>
          <w:sz w:val="16"/>
          <w:szCs w:val="16"/>
        </w:rPr>
        <w:softHyphen/>
      </w:r>
      <w:r w:rsidRPr="00146BFB">
        <w:rPr>
          <w:rStyle w:val="Roman"/>
          <w:rFonts w:eastAsiaTheme="majorEastAsia"/>
          <w:sz w:val="16"/>
          <w:szCs w:val="16"/>
        </w:rPr>
        <w:t xml:space="preserve"> </w:t>
      </w:r>
      <w:r w:rsidR="00146BFB" w:rsidRPr="00146BFB">
        <w:rPr>
          <w:rStyle w:val="Roman"/>
          <w:rFonts w:eastAsiaTheme="majorEastAsia"/>
          <w:sz w:val="16"/>
          <w:szCs w:val="16"/>
        </w:rPr>
        <w:softHyphen/>
      </w:r>
      <w:r w:rsidRPr="00146BFB">
        <w:rPr>
          <w:rStyle w:val="Roman"/>
          <w:rFonts w:eastAsiaTheme="majorEastAsia"/>
          <w:sz w:val="16"/>
          <w:szCs w:val="16"/>
        </w:rPr>
        <w:t>Quality in Health Care 20</w:t>
      </w:r>
      <w:r w:rsidR="003A70CE" w:rsidRPr="00146BFB">
        <w:rPr>
          <w:rStyle w:val="Roman"/>
          <w:rFonts w:eastAsiaTheme="majorEastAsia"/>
          <w:sz w:val="16"/>
          <w:szCs w:val="16"/>
        </w:rPr>
        <w:t>2</w:t>
      </w:r>
      <w:r w:rsidR="00665243">
        <w:rPr>
          <w:rStyle w:val="Roman"/>
          <w:rFonts w:eastAsiaTheme="majorEastAsia"/>
          <w:sz w:val="16"/>
          <w:szCs w:val="16"/>
        </w:rPr>
        <w:t>2</w:t>
      </w:r>
      <w:r w:rsidR="007B5D1E" w:rsidRPr="00146BFB">
        <w:rPr>
          <w:sz w:val="16"/>
          <w:szCs w:val="16"/>
        </w:rPr>
        <w:t xml:space="preserve"> </w:t>
      </w:r>
      <w:r w:rsidR="007B5D1E" w:rsidRPr="00146BFB" w:rsidDel="00174535">
        <w:rPr>
          <w:rStyle w:val="Roman"/>
          <w:rFonts w:eastAsiaTheme="majorEastAsia"/>
          <w:sz w:val="16"/>
          <w:szCs w:val="16"/>
        </w:rPr>
        <w:t xml:space="preserve"> </w:t>
      </w:r>
    </w:p>
    <w:sectPr w:rsidR="00C477AC" w:rsidRPr="00F85302" w:rsidSect="000D5E92">
      <w:pgSz w:w="11906" w:h="16838"/>
      <w:pgMar w:top="2126"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56680A" w14:textId="77777777" w:rsidR="00E52EB0" w:rsidRDefault="00E52EB0" w:rsidP="000B0274">
      <w:r>
        <w:separator/>
      </w:r>
    </w:p>
    <w:p w14:paraId="07E2205A" w14:textId="77777777" w:rsidR="00E52EB0" w:rsidRDefault="00E52EB0"/>
    <w:p w14:paraId="08FFD293" w14:textId="77777777" w:rsidR="00E52EB0" w:rsidRDefault="00E52EB0"/>
  </w:endnote>
  <w:endnote w:type="continuationSeparator" w:id="0">
    <w:p w14:paraId="3900B7EC" w14:textId="77777777" w:rsidR="00E52EB0" w:rsidRDefault="00E52EB0" w:rsidP="000B0274">
      <w:r>
        <w:continuationSeparator/>
      </w:r>
    </w:p>
    <w:p w14:paraId="6B9CB2F2" w14:textId="77777777" w:rsidR="00E52EB0" w:rsidRDefault="00E52EB0"/>
    <w:p w14:paraId="7589E26D" w14:textId="77777777" w:rsidR="00E52EB0" w:rsidRDefault="00E52E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otham Medium">
    <w:altName w:val="Calibri"/>
    <w:panose1 w:val="00000000000000000000"/>
    <w:charset w:val="00"/>
    <w:family w:val="auto"/>
    <w:notTrueType/>
    <w:pitch w:val="variable"/>
    <w:sig w:usb0="00000003" w:usb1="00000000" w:usb2="00000000" w:usb3="00000000" w:csb0="0000000B"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Calluna-It">
    <w:altName w:val="Arial"/>
    <w:panose1 w:val="00000000000000000000"/>
    <w:charset w:val="4D"/>
    <w:family w:val="auto"/>
    <w:notTrueType/>
    <w:pitch w:val="default"/>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ProximaNova-Bold">
    <w:altName w:val="Arial"/>
    <w:panose1 w:val="00000000000000000000"/>
    <w:charset w:val="4D"/>
    <w:family w:val="auto"/>
    <w:notTrueType/>
    <w:pitch w:val="default"/>
    <w:sig w:usb0="00000003" w:usb1="00000000" w:usb2="00000000" w:usb3="00000000" w:csb0="00000001" w:csb1="00000000"/>
  </w:font>
  <w:font w:name="Proxima Nova">
    <w:panose1 w:val="00000000000000000000"/>
    <w:charset w:val="00"/>
    <w:family w:val="auto"/>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oxima Nova Extrabold">
    <w:panose1 w:val="00000000000000000000"/>
    <w:charset w:val="00"/>
    <w:family w:val="auto"/>
    <w:notTrueType/>
    <w:pitch w:val="variable"/>
    <w:sig w:usb0="20000287" w:usb1="00000001" w:usb2="00000000" w:usb3="00000000" w:csb0="0000019F" w:csb1="00000000"/>
  </w:font>
  <w:font w:name="Open Sans">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800FC" w14:textId="37E2D28D" w:rsidR="00A5694A" w:rsidRDefault="00A5694A">
    <w:pPr>
      <w:pStyle w:val="Footer"/>
    </w:pPr>
  </w:p>
  <w:p w14:paraId="15F8C43E" w14:textId="77777777" w:rsidR="000D3447" w:rsidRDefault="000D34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BEF61" w14:textId="77777777" w:rsidR="00F545F0" w:rsidRPr="00F545F0" w:rsidRDefault="00F545F0" w:rsidP="00F545F0">
    <w:pPr>
      <w:pStyle w:val="Footer"/>
      <w:tabs>
        <w:tab w:val="right" w:pos="9638"/>
      </w:tabs>
      <w:rPr>
        <w:lang w:val="en-GB"/>
      </w:rPr>
    </w:pPr>
  </w:p>
  <w:p w14:paraId="61EF3ACF" w14:textId="513DB00B" w:rsidR="000D3447" w:rsidRPr="009B0AB7" w:rsidRDefault="00103758" w:rsidP="009C72B7">
    <w:pPr>
      <w:pStyle w:val="Footer"/>
      <w:tabs>
        <w:tab w:val="clear" w:pos="4513"/>
        <w:tab w:val="clear" w:pos="9026"/>
        <w:tab w:val="right" w:pos="14570"/>
      </w:tabs>
      <w:rPr>
        <w:b/>
      </w:rPr>
    </w:pPr>
    <w:r w:rsidRPr="00103758">
      <w:rPr>
        <w:bCs/>
      </w:rPr>
      <w:t>Accreditation assessments in 2022</w:t>
    </w:r>
    <w:r w:rsidRPr="00103758">
      <w:rPr>
        <w:b/>
      </w:rPr>
      <w:t xml:space="preserve"> </w:t>
    </w:r>
    <w:r w:rsidR="0026569B" w:rsidRPr="0026569B">
      <w:tab/>
    </w:r>
    <w:r w:rsidR="0026569B" w:rsidRPr="0026569B">
      <w:fldChar w:fldCharType="begin"/>
    </w:r>
    <w:r w:rsidR="0026569B" w:rsidRPr="0026569B">
      <w:instrText xml:space="preserve"> PAGE </w:instrText>
    </w:r>
    <w:r w:rsidR="0026569B" w:rsidRPr="0026569B">
      <w:fldChar w:fldCharType="separate"/>
    </w:r>
    <w:r w:rsidR="0026569B" w:rsidRPr="0026569B">
      <w:t>1</w:t>
    </w:r>
    <w:r w:rsidR="0026569B" w:rsidRPr="0026569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115DA1" w14:textId="77777777" w:rsidR="00E52EB0" w:rsidRDefault="00E52EB0" w:rsidP="000B0274">
      <w:r>
        <w:separator/>
      </w:r>
    </w:p>
    <w:p w14:paraId="3941CB32" w14:textId="77777777" w:rsidR="00E52EB0" w:rsidRDefault="00E52EB0"/>
    <w:p w14:paraId="2C1D119C" w14:textId="77777777" w:rsidR="00E52EB0" w:rsidRDefault="00E52EB0"/>
  </w:footnote>
  <w:footnote w:type="continuationSeparator" w:id="0">
    <w:p w14:paraId="1D989189" w14:textId="77777777" w:rsidR="00E52EB0" w:rsidRDefault="00E52EB0" w:rsidP="000B0274">
      <w:r>
        <w:continuationSeparator/>
      </w:r>
    </w:p>
    <w:p w14:paraId="0113E819" w14:textId="77777777" w:rsidR="00E52EB0" w:rsidRDefault="00E52EB0"/>
    <w:p w14:paraId="73BBCAD0" w14:textId="77777777" w:rsidR="00E52EB0" w:rsidRDefault="00E52E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53CD3" w14:textId="0F215348" w:rsidR="00A5694A" w:rsidRDefault="00A5694A">
    <w:pPr>
      <w:pStyle w:val="Header"/>
    </w:pPr>
  </w:p>
  <w:p w14:paraId="42D3D454" w14:textId="77777777" w:rsidR="000D3447" w:rsidRDefault="000D344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B3B42" w14:textId="63898736" w:rsidR="000D3447" w:rsidRDefault="0036588B" w:rsidP="003F46CE">
    <w:pPr>
      <w:pStyle w:val="Header"/>
      <w:tabs>
        <w:tab w:val="clear" w:pos="9026"/>
        <w:tab w:val="right" w:pos="14570"/>
      </w:tabs>
      <w:ind w:left="-142"/>
    </w:pPr>
    <w:r w:rsidRPr="00FB375B">
      <w:rPr>
        <w:rFonts w:eastAsiaTheme="majorEastAsia"/>
        <w:noProof/>
        <w:lang w:val="en-US" w:eastAsia="en-US"/>
      </w:rPr>
      <w:drawing>
        <wp:inline distT="0" distB="0" distL="0" distR="0" wp14:anchorId="752AEEBE" wp14:editId="63B0FCBB">
          <wp:extent cx="3907790" cy="468000"/>
          <wp:effectExtent l="0" t="0" r="3810" b="1905"/>
          <wp:docPr id="2" name="Picture 2" descr="Australian Commission on Safety and Quality in Health Care log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CSQHC_logo_inline_CMYK300_JPG (53722) (D15-40815).jpg"/>
                  <pic:cNvPicPr/>
                </pic:nvPicPr>
                <pic:blipFill rotWithShape="1">
                  <a:blip r:embed="rId1" cstate="print">
                    <a:extLst>
                      <a:ext uri="{28A0092B-C50C-407E-A947-70E740481C1C}">
                        <a14:useLocalDpi xmlns:a14="http://schemas.microsoft.com/office/drawing/2010/main" val="0"/>
                      </a:ext>
                    </a:extLst>
                  </a:blip>
                  <a:srcRect b="15152"/>
                  <a:stretch/>
                </pic:blipFill>
                <pic:spPr bwMode="auto">
                  <a:xfrm>
                    <a:off x="0" y="0"/>
                    <a:ext cx="4067301" cy="487103"/>
                  </a:xfrm>
                  <a:prstGeom prst="rect">
                    <a:avLst/>
                  </a:prstGeom>
                  <a:ln>
                    <a:noFill/>
                  </a:ln>
                  <a:extLst>
                    <a:ext uri="{53640926-AAD7-44D8-BBD7-CCE9431645EC}">
                      <a14:shadowObscured xmlns:a14="http://schemas.microsoft.com/office/drawing/2010/main"/>
                    </a:ext>
                  </a:extLst>
                </pic:spPr>
              </pic:pic>
            </a:graphicData>
          </a:graphic>
        </wp:inline>
      </w:drawing>
    </w:r>
    <w:r w:rsidR="00851BF2">
      <w:tab/>
    </w:r>
    <w:r w:rsidR="00851BF2">
      <w:rPr>
        <w:noProof/>
      </w:rPr>
      <w:drawing>
        <wp:inline distT="0" distB="0" distL="0" distR="0" wp14:anchorId="2DA3174F" wp14:editId="63702A07">
          <wp:extent cx="1057143" cy="501835"/>
          <wp:effectExtent l="0" t="0" r="0" b="0"/>
          <wp:docPr id="1" name="Picture 1" descr="The National General Practice Accreditation Schem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National General Practice Accreditation Scheme logo "/>
                  <pic:cNvPicPr/>
                </pic:nvPicPr>
                <pic:blipFill rotWithShape="1">
                  <a:blip r:embed="rId2"/>
                  <a:srcRect t="-1" b="5855"/>
                  <a:stretch/>
                </pic:blipFill>
                <pic:spPr bwMode="auto">
                  <a:xfrm>
                    <a:off x="0" y="0"/>
                    <a:ext cx="1069567" cy="50773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55C83"/>
    <w:multiLevelType w:val="hybridMultilevel"/>
    <w:tmpl w:val="C088CBEE"/>
    <w:lvl w:ilvl="0" w:tplc="7D7C9A22">
      <w:start w:val="1"/>
      <w:numFmt w:val="bullet"/>
      <w:lvlText w:val=""/>
      <w:lvlJc w:val="left"/>
      <w:pPr>
        <w:ind w:left="720" w:hanging="360"/>
      </w:pPr>
      <w:rPr>
        <w:rFonts w:ascii="Wingdings" w:hAnsi="Wingdings" w:hint="default"/>
        <w:color w:val="119066"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9049FA"/>
    <w:multiLevelType w:val="multilevel"/>
    <w:tmpl w:val="EABE25FA"/>
    <w:styleLink w:val="Listbullets"/>
    <w:lvl w:ilvl="0">
      <w:start w:val="1"/>
      <w:numFmt w:val="bullet"/>
      <w:lvlText w:val=""/>
      <w:lvlJc w:val="left"/>
      <w:pPr>
        <w:ind w:left="360" w:hanging="360"/>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bullet"/>
      <w:lvlText w:val="-"/>
      <w:lvlJc w:val="left"/>
      <w:pPr>
        <w:ind w:left="1080" w:hanging="360"/>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6105138"/>
    <w:multiLevelType w:val="hybridMultilevel"/>
    <w:tmpl w:val="0E8C4BC4"/>
    <w:lvl w:ilvl="0" w:tplc="EC840366">
      <w:start w:val="1"/>
      <w:numFmt w:val="bullet"/>
      <w:pStyle w:val="Dash"/>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51013C"/>
    <w:multiLevelType w:val="hybridMultilevel"/>
    <w:tmpl w:val="149E5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DF2360"/>
    <w:multiLevelType w:val="hybridMultilevel"/>
    <w:tmpl w:val="B8E6C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E37A1E"/>
    <w:multiLevelType w:val="hybridMultilevel"/>
    <w:tmpl w:val="2C5E9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CB4511"/>
    <w:multiLevelType w:val="multilevel"/>
    <w:tmpl w:val="0C09001D"/>
    <w:styleLink w:val="Bullet"/>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Arial" w:hAnsi="Arial" w:hint="default"/>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E9C32EB"/>
    <w:multiLevelType w:val="multilevel"/>
    <w:tmpl w:val="D1DCA2EC"/>
    <w:lvl w:ilvl="0">
      <w:start w:val="1"/>
      <w:numFmt w:val="bullet"/>
      <w:pStyle w:val="Bulletlist"/>
      <w:lvlText w:val=""/>
      <w:lvlJc w:val="left"/>
      <w:pPr>
        <w:ind w:left="567" w:hanging="283"/>
      </w:pPr>
      <w:rPr>
        <w:rFonts w:ascii="Symbol" w:hAnsi="Symbol" w:hint="default"/>
        <w:sz w:val="22"/>
      </w:rPr>
    </w:lvl>
    <w:lvl w:ilvl="1">
      <w:start w:val="1"/>
      <w:numFmt w:val="bullet"/>
      <w:lvlText w:val="-"/>
      <w:lvlJc w:val="left"/>
      <w:pPr>
        <w:ind w:left="851" w:hanging="284"/>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 w15:restartNumberingAfterBreak="0">
    <w:nsid w:val="165502B5"/>
    <w:multiLevelType w:val="hybridMultilevel"/>
    <w:tmpl w:val="2FFC2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B5430D"/>
    <w:multiLevelType w:val="hybridMultilevel"/>
    <w:tmpl w:val="01020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1E7EC2"/>
    <w:multiLevelType w:val="hybridMultilevel"/>
    <w:tmpl w:val="59B83B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9F1571C"/>
    <w:multiLevelType w:val="hybridMultilevel"/>
    <w:tmpl w:val="3C0AC47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19FB70A4"/>
    <w:multiLevelType w:val="hybridMultilevel"/>
    <w:tmpl w:val="06FA1C6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1A5E2DC9"/>
    <w:multiLevelType w:val="hybridMultilevel"/>
    <w:tmpl w:val="86E4779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1A974AC2"/>
    <w:multiLevelType w:val="hybridMultilevel"/>
    <w:tmpl w:val="7FA66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5D3738"/>
    <w:multiLevelType w:val="hybridMultilevel"/>
    <w:tmpl w:val="59C2EBB0"/>
    <w:lvl w:ilvl="0" w:tplc="08090001">
      <w:start w:val="1"/>
      <w:numFmt w:val="bullet"/>
      <w:lvlText w:val=""/>
      <w:lvlJc w:val="left"/>
      <w:pPr>
        <w:ind w:left="720" w:hanging="360"/>
      </w:pPr>
      <w:rPr>
        <w:rFonts w:ascii="Symbol" w:hAnsi="Symbol" w:hint="default"/>
        <w:color w:val="119066"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3F52A50"/>
    <w:multiLevelType w:val="multilevel"/>
    <w:tmpl w:val="A3CE8E94"/>
    <w:styleLink w:val="Bullets"/>
    <w:lvl w:ilvl="0">
      <w:start w:val="1"/>
      <w:numFmt w:val="bullet"/>
      <w:lvlText w:val=""/>
      <w:lvlJc w:val="left"/>
      <w:pPr>
        <w:ind w:left="1080" w:hanging="360"/>
      </w:pPr>
      <w:rPr>
        <w:rFonts w:ascii="Symbol" w:hAnsi="Symbol" w:hint="default"/>
        <w:sz w:val="22"/>
      </w:rPr>
    </w:lvl>
    <w:lvl w:ilvl="1">
      <w:start w:val="1"/>
      <w:numFmt w:val="bullet"/>
      <w:lvlText w:val="-"/>
      <w:lvlJc w:val="left"/>
      <w:pPr>
        <w:ind w:left="1440" w:hanging="360"/>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8" w15:restartNumberingAfterBreak="0">
    <w:nsid w:val="268E5CE7"/>
    <w:multiLevelType w:val="hybridMultilevel"/>
    <w:tmpl w:val="8722C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BA66B4"/>
    <w:multiLevelType w:val="hybridMultilevel"/>
    <w:tmpl w:val="98C8C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9E855FD"/>
    <w:multiLevelType w:val="hybridMultilevel"/>
    <w:tmpl w:val="437A2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4C4FAA"/>
    <w:multiLevelType w:val="hybridMultilevel"/>
    <w:tmpl w:val="CDBAD6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4B3265"/>
    <w:multiLevelType w:val="hybridMultilevel"/>
    <w:tmpl w:val="1ACEAE84"/>
    <w:lvl w:ilvl="0" w:tplc="7D7C9A22">
      <w:start w:val="1"/>
      <w:numFmt w:val="bullet"/>
      <w:lvlText w:val=""/>
      <w:lvlJc w:val="left"/>
      <w:pPr>
        <w:ind w:left="720" w:hanging="360"/>
      </w:pPr>
      <w:rPr>
        <w:rFonts w:ascii="Wingdings" w:hAnsi="Wingdings" w:hint="default"/>
        <w:color w:val="119066"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C774EE6"/>
    <w:multiLevelType w:val="hybridMultilevel"/>
    <w:tmpl w:val="33141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8200AE"/>
    <w:multiLevelType w:val="hybridMultilevel"/>
    <w:tmpl w:val="8B9C7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E90D34"/>
    <w:multiLevelType w:val="hybridMultilevel"/>
    <w:tmpl w:val="603C357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1523582"/>
    <w:multiLevelType w:val="hybridMultilevel"/>
    <w:tmpl w:val="151C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9D4023"/>
    <w:multiLevelType w:val="hybridMultilevel"/>
    <w:tmpl w:val="8E246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5DF32E9"/>
    <w:multiLevelType w:val="hybridMultilevel"/>
    <w:tmpl w:val="AE50C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6A452C3"/>
    <w:multiLevelType w:val="multilevel"/>
    <w:tmpl w:val="3FEA7ED4"/>
    <w:lvl w:ilvl="0">
      <w:start w:val="1"/>
      <w:numFmt w:val="decimal"/>
      <w:pStyle w:val="Numberedlists"/>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8DA1328"/>
    <w:multiLevelType w:val="hybridMultilevel"/>
    <w:tmpl w:val="352C2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D975F5"/>
    <w:multiLevelType w:val="multilevel"/>
    <w:tmpl w:val="0C09001D"/>
    <w:styleLink w:val="BulletsLevel1"/>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0C263E5"/>
    <w:multiLevelType w:val="hybridMultilevel"/>
    <w:tmpl w:val="4E987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7F2B54"/>
    <w:multiLevelType w:val="hybridMultilevel"/>
    <w:tmpl w:val="DBBEAD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4575C9D"/>
    <w:multiLevelType w:val="hybridMultilevel"/>
    <w:tmpl w:val="92684824"/>
    <w:lvl w:ilvl="0" w:tplc="7D7C9A22">
      <w:start w:val="1"/>
      <w:numFmt w:val="bullet"/>
      <w:lvlText w:val=""/>
      <w:lvlJc w:val="left"/>
      <w:pPr>
        <w:ind w:left="720" w:hanging="360"/>
      </w:pPr>
      <w:rPr>
        <w:rFonts w:ascii="Wingdings" w:hAnsi="Wingdings" w:hint="default"/>
        <w:color w:val="119066"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4B4346E"/>
    <w:multiLevelType w:val="hybridMultilevel"/>
    <w:tmpl w:val="5B7CFC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A5F40F7"/>
    <w:multiLevelType w:val="hybridMultilevel"/>
    <w:tmpl w:val="1A463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B5D4CDE"/>
    <w:multiLevelType w:val="hybridMultilevel"/>
    <w:tmpl w:val="3F12F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D414FA5"/>
    <w:multiLevelType w:val="hybridMultilevel"/>
    <w:tmpl w:val="8C643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01004E3"/>
    <w:multiLevelType w:val="hybridMultilevel"/>
    <w:tmpl w:val="5C4C5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13F6A01"/>
    <w:multiLevelType w:val="hybridMultilevel"/>
    <w:tmpl w:val="CAB8AA4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66F109A5"/>
    <w:multiLevelType w:val="hybridMultilevel"/>
    <w:tmpl w:val="857EC0D6"/>
    <w:lvl w:ilvl="0" w:tplc="7D7C9A22">
      <w:start w:val="1"/>
      <w:numFmt w:val="bullet"/>
      <w:lvlText w:val=""/>
      <w:lvlJc w:val="left"/>
      <w:pPr>
        <w:ind w:left="720" w:hanging="360"/>
      </w:pPr>
      <w:rPr>
        <w:rFonts w:ascii="Wingdings" w:hAnsi="Wingdings" w:hint="default"/>
        <w:color w:val="119066"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68221C5B"/>
    <w:multiLevelType w:val="hybridMultilevel"/>
    <w:tmpl w:val="FE7A1DDA"/>
    <w:lvl w:ilvl="0" w:tplc="08090001">
      <w:start w:val="1"/>
      <w:numFmt w:val="bullet"/>
      <w:lvlText w:val=""/>
      <w:lvlJc w:val="left"/>
      <w:pPr>
        <w:ind w:left="360" w:hanging="360"/>
      </w:pPr>
      <w:rPr>
        <w:rFonts w:ascii="Symbol" w:hAnsi="Symbol" w:hint="default"/>
        <w:color w:val="119066"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6977367A"/>
    <w:multiLevelType w:val="hybridMultilevel"/>
    <w:tmpl w:val="C8D6723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4" w15:restartNumberingAfterBreak="0">
    <w:nsid w:val="7213168D"/>
    <w:multiLevelType w:val="hybridMultilevel"/>
    <w:tmpl w:val="839C9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3443A08"/>
    <w:multiLevelType w:val="hybridMultilevel"/>
    <w:tmpl w:val="0E1CA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4F82BE3"/>
    <w:multiLevelType w:val="hybridMultilevel"/>
    <w:tmpl w:val="B3DEC6A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7" w15:restartNumberingAfterBreak="0">
    <w:nsid w:val="75981A1B"/>
    <w:multiLevelType w:val="hybridMultilevel"/>
    <w:tmpl w:val="8302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7D73AC8"/>
    <w:multiLevelType w:val="hybridMultilevel"/>
    <w:tmpl w:val="9192FEC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9" w15:restartNumberingAfterBreak="0">
    <w:nsid w:val="7BC63A33"/>
    <w:multiLevelType w:val="hybridMultilevel"/>
    <w:tmpl w:val="D73A7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7"/>
  </w:num>
  <w:num w:numId="4">
    <w:abstractNumId w:val="31"/>
  </w:num>
  <w:num w:numId="5">
    <w:abstractNumId w:val="29"/>
  </w:num>
  <w:num w:numId="6">
    <w:abstractNumId w:val="7"/>
  </w:num>
  <w:num w:numId="7">
    <w:abstractNumId w:val="9"/>
  </w:num>
  <w:num w:numId="8">
    <w:abstractNumId w:val="2"/>
  </w:num>
  <w:num w:numId="9">
    <w:abstractNumId w:val="46"/>
  </w:num>
  <w:num w:numId="10">
    <w:abstractNumId w:val="14"/>
  </w:num>
  <w:num w:numId="11">
    <w:abstractNumId w:val="12"/>
  </w:num>
  <w:num w:numId="12">
    <w:abstractNumId w:val="43"/>
  </w:num>
  <w:num w:numId="13">
    <w:abstractNumId w:val="13"/>
  </w:num>
  <w:num w:numId="14">
    <w:abstractNumId w:val="25"/>
  </w:num>
  <w:num w:numId="15">
    <w:abstractNumId w:val="48"/>
  </w:num>
  <w:num w:numId="16">
    <w:abstractNumId w:val="10"/>
  </w:num>
  <w:num w:numId="17">
    <w:abstractNumId w:val="36"/>
  </w:num>
  <w:num w:numId="18">
    <w:abstractNumId w:val="33"/>
  </w:num>
  <w:num w:numId="19">
    <w:abstractNumId w:val="40"/>
  </w:num>
  <w:num w:numId="20">
    <w:abstractNumId w:val="39"/>
  </w:num>
  <w:num w:numId="21">
    <w:abstractNumId w:val="27"/>
  </w:num>
  <w:num w:numId="22">
    <w:abstractNumId w:val="23"/>
  </w:num>
  <w:num w:numId="23">
    <w:abstractNumId w:val="18"/>
  </w:num>
  <w:num w:numId="24">
    <w:abstractNumId w:val="22"/>
  </w:num>
  <w:num w:numId="25">
    <w:abstractNumId w:val="0"/>
  </w:num>
  <w:num w:numId="26">
    <w:abstractNumId w:val="16"/>
  </w:num>
  <w:num w:numId="27">
    <w:abstractNumId w:val="5"/>
  </w:num>
  <w:num w:numId="28">
    <w:abstractNumId w:val="11"/>
  </w:num>
  <w:num w:numId="29">
    <w:abstractNumId w:val="19"/>
  </w:num>
  <w:num w:numId="30">
    <w:abstractNumId w:val="35"/>
  </w:num>
  <w:num w:numId="31">
    <w:abstractNumId w:val="8"/>
  </w:num>
  <w:num w:numId="32">
    <w:abstractNumId w:val="41"/>
  </w:num>
  <w:num w:numId="33">
    <w:abstractNumId w:val="34"/>
  </w:num>
  <w:num w:numId="34">
    <w:abstractNumId w:val="42"/>
  </w:num>
  <w:num w:numId="35">
    <w:abstractNumId w:val="26"/>
  </w:num>
  <w:num w:numId="36">
    <w:abstractNumId w:val="15"/>
  </w:num>
  <w:num w:numId="37">
    <w:abstractNumId w:val="24"/>
  </w:num>
  <w:num w:numId="38">
    <w:abstractNumId w:val="38"/>
  </w:num>
  <w:num w:numId="39">
    <w:abstractNumId w:val="49"/>
  </w:num>
  <w:num w:numId="40">
    <w:abstractNumId w:val="20"/>
  </w:num>
  <w:num w:numId="41">
    <w:abstractNumId w:val="3"/>
  </w:num>
  <w:num w:numId="42">
    <w:abstractNumId w:val="30"/>
  </w:num>
  <w:num w:numId="43">
    <w:abstractNumId w:val="37"/>
  </w:num>
  <w:num w:numId="44">
    <w:abstractNumId w:val="4"/>
  </w:num>
  <w:num w:numId="45">
    <w:abstractNumId w:val="44"/>
  </w:num>
  <w:num w:numId="46">
    <w:abstractNumId w:val="28"/>
  </w:num>
  <w:num w:numId="47">
    <w:abstractNumId w:val="21"/>
  </w:num>
  <w:num w:numId="48">
    <w:abstractNumId w:val="47"/>
  </w:num>
  <w:num w:numId="49">
    <w:abstractNumId w:val="32"/>
  </w:num>
  <w:num w:numId="50">
    <w:abstractNumId w:val="4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en-GB" w:vendorID="64" w:dllVersion="4096"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DEE"/>
    <w:rsid w:val="000017EE"/>
    <w:rsid w:val="00002668"/>
    <w:rsid w:val="00003743"/>
    <w:rsid w:val="0001053B"/>
    <w:rsid w:val="00012782"/>
    <w:rsid w:val="00020DBD"/>
    <w:rsid w:val="00025A92"/>
    <w:rsid w:val="0003162D"/>
    <w:rsid w:val="00036F5E"/>
    <w:rsid w:val="000406F8"/>
    <w:rsid w:val="00043671"/>
    <w:rsid w:val="00050775"/>
    <w:rsid w:val="00054B74"/>
    <w:rsid w:val="00060164"/>
    <w:rsid w:val="00067456"/>
    <w:rsid w:val="0008065C"/>
    <w:rsid w:val="00090EFF"/>
    <w:rsid w:val="00095DA6"/>
    <w:rsid w:val="00097E56"/>
    <w:rsid w:val="000A3F0D"/>
    <w:rsid w:val="000A4C01"/>
    <w:rsid w:val="000B0274"/>
    <w:rsid w:val="000B0BFE"/>
    <w:rsid w:val="000B424E"/>
    <w:rsid w:val="000B79D3"/>
    <w:rsid w:val="000C1722"/>
    <w:rsid w:val="000C1DD4"/>
    <w:rsid w:val="000C7A69"/>
    <w:rsid w:val="000D017D"/>
    <w:rsid w:val="000D0921"/>
    <w:rsid w:val="000D3447"/>
    <w:rsid w:val="000D5E92"/>
    <w:rsid w:val="000D6405"/>
    <w:rsid w:val="000D77B7"/>
    <w:rsid w:val="000E2F2E"/>
    <w:rsid w:val="000F0D77"/>
    <w:rsid w:val="000F422A"/>
    <w:rsid w:val="000F6ECE"/>
    <w:rsid w:val="00103758"/>
    <w:rsid w:val="0010673D"/>
    <w:rsid w:val="00106CF5"/>
    <w:rsid w:val="00115403"/>
    <w:rsid w:val="00120FCB"/>
    <w:rsid w:val="00131E52"/>
    <w:rsid w:val="001413B3"/>
    <w:rsid w:val="00143A76"/>
    <w:rsid w:val="00145BE3"/>
    <w:rsid w:val="00146A66"/>
    <w:rsid w:val="00146BFB"/>
    <w:rsid w:val="001507C6"/>
    <w:rsid w:val="00157B31"/>
    <w:rsid w:val="00160453"/>
    <w:rsid w:val="00174535"/>
    <w:rsid w:val="0017675C"/>
    <w:rsid w:val="00183675"/>
    <w:rsid w:val="001852DE"/>
    <w:rsid w:val="001859B5"/>
    <w:rsid w:val="001860B2"/>
    <w:rsid w:val="00190643"/>
    <w:rsid w:val="001918F7"/>
    <w:rsid w:val="001921ED"/>
    <w:rsid w:val="00195458"/>
    <w:rsid w:val="00196AC8"/>
    <w:rsid w:val="001A11A5"/>
    <w:rsid w:val="001B15D1"/>
    <w:rsid w:val="001B3443"/>
    <w:rsid w:val="001D3930"/>
    <w:rsid w:val="001E1042"/>
    <w:rsid w:val="001E38B8"/>
    <w:rsid w:val="001E6211"/>
    <w:rsid w:val="001E6995"/>
    <w:rsid w:val="001E77C4"/>
    <w:rsid w:val="001F6D10"/>
    <w:rsid w:val="0023112B"/>
    <w:rsid w:val="0023231A"/>
    <w:rsid w:val="00237ADF"/>
    <w:rsid w:val="002410AB"/>
    <w:rsid w:val="00245D81"/>
    <w:rsid w:val="0024767D"/>
    <w:rsid w:val="002503C3"/>
    <w:rsid w:val="00251167"/>
    <w:rsid w:val="00255596"/>
    <w:rsid w:val="00255DCB"/>
    <w:rsid w:val="00261F43"/>
    <w:rsid w:val="002625FB"/>
    <w:rsid w:val="00263A63"/>
    <w:rsid w:val="00264A5A"/>
    <w:rsid w:val="0026569B"/>
    <w:rsid w:val="002662B4"/>
    <w:rsid w:val="0026675D"/>
    <w:rsid w:val="00267635"/>
    <w:rsid w:val="00277F74"/>
    <w:rsid w:val="0028150E"/>
    <w:rsid w:val="00281FD4"/>
    <w:rsid w:val="00291EBD"/>
    <w:rsid w:val="002C1CA0"/>
    <w:rsid w:val="002C6AF0"/>
    <w:rsid w:val="002D0EB0"/>
    <w:rsid w:val="002E195D"/>
    <w:rsid w:val="002E2DBA"/>
    <w:rsid w:val="002E3986"/>
    <w:rsid w:val="002E6A48"/>
    <w:rsid w:val="002E7082"/>
    <w:rsid w:val="002E7977"/>
    <w:rsid w:val="002F0A0A"/>
    <w:rsid w:val="002F3AE3"/>
    <w:rsid w:val="002F7E6F"/>
    <w:rsid w:val="0030786C"/>
    <w:rsid w:val="00312A62"/>
    <w:rsid w:val="00316683"/>
    <w:rsid w:val="00332591"/>
    <w:rsid w:val="00337CDD"/>
    <w:rsid w:val="00341BEE"/>
    <w:rsid w:val="00343286"/>
    <w:rsid w:val="0034680F"/>
    <w:rsid w:val="0035073E"/>
    <w:rsid w:val="00350BE1"/>
    <w:rsid w:val="003657DB"/>
    <w:rsid w:val="0036588B"/>
    <w:rsid w:val="003808E4"/>
    <w:rsid w:val="00383DB4"/>
    <w:rsid w:val="00386683"/>
    <w:rsid w:val="003873C6"/>
    <w:rsid w:val="00392002"/>
    <w:rsid w:val="00392A85"/>
    <w:rsid w:val="00396AFB"/>
    <w:rsid w:val="003A0AB8"/>
    <w:rsid w:val="003A70CE"/>
    <w:rsid w:val="003C297A"/>
    <w:rsid w:val="003C540E"/>
    <w:rsid w:val="003C5F0C"/>
    <w:rsid w:val="003D17F9"/>
    <w:rsid w:val="003D437B"/>
    <w:rsid w:val="003D4829"/>
    <w:rsid w:val="003E6E73"/>
    <w:rsid w:val="003E76C8"/>
    <w:rsid w:val="003F3F0B"/>
    <w:rsid w:val="003F46CE"/>
    <w:rsid w:val="0040152C"/>
    <w:rsid w:val="00401F56"/>
    <w:rsid w:val="00402CBA"/>
    <w:rsid w:val="00404089"/>
    <w:rsid w:val="00412E9D"/>
    <w:rsid w:val="00414952"/>
    <w:rsid w:val="00425504"/>
    <w:rsid w:val="0042727E"/>
    <w:rsid w:val="004305D6"/>
    <w:rsid w:val="00440CC0"/>
    <w:rsid w:val="004437F3"/>
    <w:rsid w:val="00444062"/>
    <w:rsid w:val="00447D31"/>
    <w:rsid w:val="00455331"/>
    <w:rsid w:val="00455560"/>
    <w:rsid w:val="00466345"/>
    <w:rsid w:val="00466862"/>
    <w:rsid w:val="00470AB8"/>
    <w:rsid w:val="00477E9B"/>
    <w:rsid w:val="00482ECA"/>
    <w:rsid w:val="00485794"/>
    <w:rsid w:val="004867E2"/>
    <w:rsid w:val="00486826"/>
    <w:rsid w:val="004A0670"/>
    <w:rsid w:val="004A4851"/>
    <w:rsid w:val="004A5C81"/>
    <w:rsid w:val="004B2999"/>
    <w:rsid w:val="004C3664"/>
    <w:rsid w:val="004C4927"/>
    <w:rsid w:val="004E067A"/>
    <w:rsid w:val="004E179B"/>
    <w:rsid w:val="004E2389"/>
    <w:rsid w:val="004E50C2"/>
    <w:rsid w:val="004E58C1"/>
    <w:rsid w:val="00513724"/>
    <w:rsid w:val="0051563D"/>
    <w:rsid w:val="00515E8F"/>
    <w:rsid w:val="005179C7"/>
    <w:rsid w:val="0052107C"/>
    <w:rsid w:val="005221B7"/>
    <w:rsid w:val="00530100"/>
    <w:rsid w:val="005352AB"/>
    <w:rsid w:val="00536E0C"/>
    <w:rsid w:val="005408C7"/>
    <w:rsid w:val="005422E7"/>
    <w:rsid w:val="005437FD"/>
    <w:rsid w:val="00544A4E"/>
    <w:rsid w:val="00547605"/>
    <w:rsid w:val="00553E33"/>
    <w:rsid w:val="00562F72"/>
    <w:rsid w:val="00566B97"/>
    <w:rsid w:val="00570C6C"/>
    <w:rsid w:val="005768CA"/>
    <w:rsid w:val="00584334"/>
    <w:rsid w:val="0058792B"/>
    <w:rsid w:val="0059380A"/>
    <w:rsid w:val="0059724C"/>
    <w:rsid w:val="005A1AA7"/>
    <w:rsid w:val="005A4D0B"/>
    <w:rsid w:val="005A735B"/>
    <w:rsid w:val="005B04D8"/>
    <w:rsid w:val="005C088E"/>
    <w:rsid w:val="005C13DD"/>
    <w:rsid w:val="005C1496"/>
    <w:rsid w:val="005C5EF4"/>
    <w:rsid w:val="005C6AAE"/>
    <w:rsid w:val="005D1073"/>
    <w:rsid w:val="005D5D06"/>
    <w:rsid w:val="005D62B5"/>
    <w:rsid w:val="005E2614"/>
    <w:rsid w:val="005F2422"/>
    <w:rsid w:val="00607B0B"/>
    <w:rsid w:val="00614E29"/>
    <w:rsid w:val="006163A7"/>
    <w:rsid w:val="0062216A"/>
    <w:rsid w:val="00625634"/>
    <w:rsid w:val="00630199"/>
    <w:rsid w:val="006317C9"/>
    <w:rsid w:val="00632475"/>
    <w:rsid w:val="00632C35"/>
    <w:rsid w:val="00641773"/>
    <w:rsid w:val="00641CB0"/>
    <w:rsid w:val="0064239F"/>
    <w:rsid w:val="006549C2"/>
    <w:rsid w:val="00656A90"/>
    <w:rsid w:val="00664F67"/>
    <w:rsid w:val="00665243"/>
    <w:rsid w:val="0066543A"/>
    <w:rsid w:val="00670F54"/>
    <w:rsid w:val="006728F9"/>
    <w:rsid w:val="006767BC"/>
    <w:rsid w:val="006803BA"/>
    <w:rsid w:val="006922F5"/>
    <w:rsid w:val="006947D9"/>
    <w:rsid w:val="00694CCB"/>
    <w:rsid w:val="006A16DD"/>
    <w:rsid w:val="006A2587"/>
    <w:rsid w:val="006A3EFA"/>
    <w:rsid w:val="006B3CFC"/>
    <w:rsid w:val="006C0CD8"/>
    <w:rsid w:val="006C5AEE"/>
    <w:rsid w:val="006C679A"/>
    <w:rsid w:val="006D09FE"/>
    <w:rsid w:val="006D0C40"/>
    <w:rsid w:val="006D4A44"/>
    <w:rsid w:val="006D59E5"/>
    <w:rsid w:val="006D732F"/>
    <w:rsid w:val="006E688D"/>
    <w:rsid w:val="006F119E"/>
    <w:rsid w:val="006F1432"/>
    <w:rsid w:val="006F7964"/>
    <w:rsid w:val="007028EC"/>
    <w:rsid w:val="007035D8"/>
    <w:rsid w:val="0070703E"/>
    <w:rsid w:val="00711E21"/>
    <w:rsid w:val="00715168"/>
    <w:rsid w:val="0071637F"/>
    <w:rsid w:val="00722691"/>
    <w:rsid w:val="007238E8"/>
    <w:rsid w:val="007333AD"/>
    <w:rsid w:val="007360BF"/>
    <w:rsid w:val="00736517"/>
    <w:rsid w:val="007406E6"/>
    <w:rsid w:val="007449EB"/>
    <w:rsid w:val="00747CE1"/>
    <w:rsid w:val="007545C7"/>
    <w:rsid w:val="007560FB"/>
    <w:rsid w:val="0076005C"/>
    <w:rsid w:val="0076111D"/>
    <w:rsid w:val="007635C1"/>
    <w:rsid w:val="00766B42"/>
    <w:rsid w:val="0076731D"/>
    <w:rsid w:val="00767650"/>
    <w:rsid w:val="0078070C"/>
    <w:rsid w:val="00784541"/>
    <w:rsid w:val="007968CC"/>
    <w:rsid w:val="00796FB7"/>
    <w:rsid w:val="0079708B"/>
    <w:rsid w:val="007B04A9"/>
    <w:rsid w:val="007B16AC"/>
    <w:rsid w:val="007B5D05"/>
    <w:rsid w:val="007B5D1E"/>
    <w:rsid w:val="007C2217"/>
    <w:rsid w:val="007C471C"/>
    <w:rsid w:val="007C52D3"/>
    <w:rsid w:val="007D4258"/>
    <w:rsid w:val="007E000D"/>
    <w:rsid w:val="007F3645"/>
    <w:rsid w:val="007F58DD"/>
    <w:rsid w:val="007F6791"/>
    <w:rsid w:val="007F7053"/>
    <w:rsid w:val="00805E44"/>
    <w:rsid w:val="0081184D"/>
    <w:rsid w:val="00811C26"/>
    <w:rsid w:val="00820059"/>
    <w:rsid w:val="008251F7"/>
    <w:rsid w:val="008264EB"/>
    <w:rsid w:val="00827924"/>
    <w:rsid w:val="00830756"/>
    <w:rsid w:val="00840472"/>
    <w:rsid w:val="00851BF2"/>
    <w:rsid w:val="00856DF5"/>
    <w:rsid w:val="00857E76"/>
    <w:rsid w:val="00865932"/>
    <w:rsid w:val="008662B1"/>
    <w:rsid w:val="00872059"/>
    <w:rsid w:val="00873673"/>
    <w:rsid w:val="008803A1"/>
    <w:rsid w:val="0088122A"/>
    <w:rsid w:val="008839CD"/>
    <w:rsid w:val="00892AC8"/>
    <w:rsid w:val="008A07AF"/>
    <w:rsid w:val="008A0EEA"/>
    <w:rsid w:val="008A4AC8"/>
    <w:rsid w:val="008A58F9"/>
    <w:rsid w:val="008D09DE"/>
    <w:rsid w:val="008D0DBE"/>
    <w:rsid w:val="008E59EB"/>
    <w:rsid w:val="008E5D6A"/>
    <w:rsid w:val="0091137C"/>
    <w:rsid w:val="0091384C"/>
    <w:rsid w:val="0091467E"/>
    <w:rsid w:val="0092204C"/>
    <w:rsid w:val="00922DEE"/>
    <w:rsid w:val="009238AA"/>
    <w:rsid w:val="009244B8"/>
    <w:rsid w:val="0093131D"/>
    <w:rsid w:val="00933B21"/>
    <w:rsid w:val="00941048"/>
    <w:rsid w:val="009424A5"/>
    <w:rsid w:val="00950089"/>
    <w:rsid w:val="00951A84"/>
    <w:rsid w:val="0095539D"/>
    <w:rsid w:val="00957E88"/>
    <w:rsid w:val="00961B39"/>
    <w:rsid w:val="00961FBE"/>
    <w:rsid w:val="00964277"/>
    <w:rsid w:val="0097582E"/>
    <w:rsid w:val="00977D26"/>
    <w:rsid w:val="00977E26"/>
    <w:rsid w:val="00984227"/>
    <w:rsid w:val="00991AF5"/>
    <w:rsid w:val="0099343F"/>
    <w:rsid w:val="00995094"/>
    <w:rsid w:val="009A007B"/>
    <w:rsid w:val="009A0425"/>
    <w:rsid w:val="009A263C"/>
    <w:rsid w:val="009B053D"/>
    <w:rsid w:val="009B0AB7"/>
    <w:rsid w:val="009B64E3"/>
    <w:rsid w:val="009C5964"/>
    <w:rsid w:val="009C72B7"/>
    <w:rsid w:val="009D0B90"/>
    <w:rsid w:val="009D6852"/>
    <w:rsid w:val="009E0725"/>
    <w:rsid w:val="009E0D48"/>
    <w:rsid w:val="009E1F38"/>
    <w:rsid w:val="009E6B78"/>
    <w:rsid w:val="009E6D37"/>
    <w:rsid w:val="009F1EC9"/>
    <w:rsid w:val="009F4ACF"/>
    <w:rsid w:val="009F5557"/>
    <w:rsid w:val="00A014E8"/>
    <w:rsid w:val="00A02BFF"/>
    <w:rsid w:val="00A0554C"/>
    <w:rsid w:val="00A062B4"/>
    <w:rsid w:val="00A1015B"/>
    <w:rsid w:val="00A11773"/>
    <w:rsid w:val="00A15082"/>
    <w:rsid w:val="00A16AEE"/>
    <w:rsid w:val="00A243E8"/>
    <w:rsid w:val="00A369E8"/>
    <w:rsid w:val="00A4199A"/>
    <w:rsid w:val="00A4512D"/>
    <w:rsid w:val="00A541E1"/>
    <w:rsid w:val="00A54775"/>
    <w:rsid w:val="00A5502C"/>
    <w:rsid w:val="00A5549D"/>
    <w:rsid w:val="00A5694A"/>
    <w:rsid w:val="00A6672E"/>
    <w:rsid w:val="00A705AF"/>
    <w:rsid w:val="00A73B17"/>
    <w:rsid w:val="00A73C2F"/>
    <w:rsid w:val="00A75B58"/>
    <w:rsid w:val="00A77349"/>
    <w:rsid w:val="00A931E2"/>
    <w:rsid w:val="00A93A18"/>
    <w:rsid w:val="00A964DB"/>
    <w:rsid w:val="00A96DED"/>
    <w:rsid w:val="00A97483"/>
    <w:rsid w:val="00AA0A90"/>
    <w:rsid w:val="00AA1552"/>
    <w:rsid w:val="00AA3A3E"/>
    <w:rsid w:val="00AA6DC2"/>
    <w:rsid w:val="00AA7B58"/>
    <w:rsid w:val="00AB0A6E"/>
    <w:rsid w:val="00AB28A2"/>
    <w:rsid w:val="00AB40AB"/>
    <w:rsid w:val="00AB64E5"/>
    <w:rsid w:val="00AB6E76"/>
    <w:rsid w:val="00AB6ED9"/>
    <w:rsid w:val="00AC21F6"/>
    <w:rsid w:val="00AC637F"/>
    <w:rsid w:val="00AD01B4"/>
    <w:rsid w:val="00AD055C"/>
    <w:rsid w:val="00AD52A0"/>
    <w:rsid w:val="00AD5717"/>
    <w:rsid w:val="00AF6154"/>
    <w:rsid w:val="00AF6AFB"/>
    <w:rsid w:val="00B0621D"/>
    <w:rsid w:val="00B07615"/>
    <w:rsid w:val="00B163F6"/>
    <w:rsid w:val="00B213FD"/>
    <w:rsid w:val="00B24DF4"/>
    <w:rsid w:val="00B2665E"/>
    <w:rsid w:val="00B30753"/>
    <w:rsid w:val="00B328AF"/>
    <w:rsid w:val="00B32DD1"/>
    <w:rsid w:val="00B3720C"/>
    <w:rsid w:val="00B37974"/>
    <w:rsid w:val="00B41409"/>
    <w:rsid w:val="00B42851"/>
    <w:rsid w:val="00B42F89"/>
    <w:rsid w:val="00B43E39"/>
    <w:rsid w:val="00B456E0"/>
    <w:rsid w:val="00B459E9"/>
    <w:rsid w:val="00B47076"/>
    <w:rsid w:val="00B53823"/>
    <w:rsid w:val="00B56B37"/>
    <w:rsid w:val="00B57759"/>
    <w:rsid w:val="00B60D44"/>
    <w:rsid w:val="00B60D86"/>
    <w:rsid w:val="00B76B5E"/>
    <w:rsid w:val="00B904EC"/>
    <w:rsid w:val="00B906B2"/>
    <w:rsid w:val="00B91269"/>
    <w:rsid w:val="00B91454"/>
    <w:rsid w:val="00B93CD5"/>
    <w:rsid w:val="00B9432A"/>
    <w:rsid w:val="00B94431"/>
    <w:rsid w:val="00B95A67"/>
    <w:rsid w:val="00BA0015"/>
    <w:rsid w:val="00BA2A5D"/>
    <w:rsid w:val="00BA2DE8"/>
    <w:rsid w:val="00BA4AEE"/>
    <w:rsid w:val="00BC07E4"/>
    <w:rsid w:val="00BC4293"/>
    <w:rsid w:val="00BC4D09"/>
    <w:rsid w:val="00BD0643"/>
    <w:rsid w:val="00BD0B57"/>
    <w:rsid w:val="00BD649D"/>
    <w:rsid w:val="00BE0DE7"/>
    <w:rsid w:val="00BE2757"/>
    <w:rsid w:val="00BE6832"/>
    <w:rsid w:val="00BF2561"/>
    <w:rsid w:val="00BF5905"/>
    <w:rsid w:val="00BF6152"/>
    <w:rsid w:val="00C05429"/>
    <w:rsid w:val="00C06314"/>
    <w:rsid w:val="00C21560"/>
    <w:rsid w:val="00C23604"/>
    <w:rsid w:val="00C23BFB"/>
    <w:rsid w:val="00C308FA"/>
    <w:rsid w:val="00C31839"/>
    <w:rsid w:val="00C31A7F"/>
    <w:rsid w:val="00C32280"/>
    <w:rsid w:val="00C35287"/>
    <w:rsid w:val="00C35DEC"/>
    <w:rsid w:val="00C35F32"/>
    <w:rsid w:val="00C436EE"/>
    <w:rsid w:val="00C477AC"/>
    <w:rsid w:val="00C51BE7"/>
    <w:rsid w:val="00C565EF"/>
    <w:rsid w:val="00C63431"/>
    <w:rsid w:val="00C64BBB"/>
    <w:rsid w:val="00C67843"/>
    <w:rsid w:val="00C74935"/>
    <w:rsid w:val="00C7543A"/>
    <w:rsid w:val="00C911AD"/>
    <w:rsid w:val="00CA04C6"/>
    <w:rsid w:val="00CA30E3"/>
    <w:rsid w:val="00CB0684"/>
    <w:rsid w:val="00CB2190"/>
    <w:rsid w:val="00CB5999"/>
    <w:rsid w:val="00CB5B1A"/>
    <w:rsid w:val="00CB733F"/>
    <w:rsid w:val="00CC36EF"/>
    <w:rsid w:val="00CC4B8E"/>
    <w:rsid w:val="00CC697B"/>
    <w:rsid w:val="00CD36D2"/>
    <w:rsid w:val="00CE1712"/>
    <w:rsid w:val="00CE3387"/>
    <w:rsid w:val="00CE3A39"/>
    <w:rsid w:val="00CE7355"/>
    <w:rsid w:val="00CF4118"/>
    <w:rsid w:val="00D03F5E"/>
    <w:rsid w:val="00D07C0D"/>
    <w:rsid w:val="00D10D90"/>
    <w:rsid w:val="00D116AD"/>
    <w:rsid w:val="00D13C42"/>
    <w:rsid w:val="00D16625"/>
    <w:rsid w:val="00D16B25"/>
    <w:rsid w:val="00D234B5"/>
    <w:rsid w:val="00D24922"/>
    <w:rsid w:val="00D301EA"/>
    <w:rsid w:val="00D30893"/>
    <w:rsid w:val="00D31DC2"/>
    <w:rsid w:val="00D40DEC"/>
    <w:rsid w:val="00D41AE5"/>
    <w:rsid w:val="00D42B9A"/>
    <w:rsid w:val="00D469E4"/>
    <w:rsid w:val="00D4728F"/>
    <w:rsid w:val="00D5354B"/>
    <w:rsid w:val="00D563D0"/>
    <w:rsid w:val="00D738DB"/>
    <w:rsid w:val="00D73FE2"/>
    <w:rsid w:val="00D7465B"/>
    <w:rsid w:val="00D81026"/>
    <w:rsid w:val="00D812BD"/>
    <w:rsid w:val="00D96327"/>
    <w:rsid w:val="00DB07A4"/>
    <w:rsid w:val="00DB5454"/>
    <w:rsid w:val="00DB5911"/>
    <w:rsid w:val="00DC0477"/>
    <w:rsid w:val="00DC0D24"/>
    <w:rsid w:val="00DD047B"/>
    <w:rsid w:val="00DD5D99"/>
    <w:rsid w:val="00DE75D8"/>
    <w:rsid w:val="00DF515C"/>
    <w:rsid w:val="00E015E6"/>
    <w:rsid w:val="00E13C5C"/>
    <w:rsid w:val="00E209BF"/>
    <w:rsid w:val="00E236C6"/>
    <w:rsid w:val="00E267B9"/>
    <w:rsid w:val="00E34F33"/>
    <w:rsid w:val="00E40F95"/>
    <w:rsid w:val="00E41CF8"/>
    <w:rsid w:val="00E4269D"/>
    <w:rsid w:val="00E4312B"/>
    <w:rsid w:val="00E520C2"/>
    <w:rsid w:val="00E52EB0"/>
    <w:rsid w:val="00E57576"/>
    <w:rsid w:val="00E604B3"/>
    <w:rsid w:val="00E60650"/>
    <w:rsid w:val="00E60EE1"/>
    <w:rsid w:val="00E708F6"/>
    <w:rsid w:val="00E716B4"/>
    <w:rsid w:val="00E82277"/>
    <w:rsid w:val="00E86B67"/>
    <w:rsid w:val="00E9314D"/>
    <w:rsid w:val="00EA067E"/>
    <w:rsid w:val="00EA33D5"/>
    <w:rsid w:val="00EA5E02"/>
    <w:rsid w:val="00EA5FD0"/>
    <w:rsid w:val="00EA63B1"/>
    <w:rsid w:val="00EB0020"/>
    <w:rsid w:val="00EC7D3F"/>
    <w:rsid w:val="00ED0DD3"/>
    <w:rsid w:val="00ED5460"/>
    <w:rsid w:val="00ED648B"/>
    <w:rsid w:val="00EE16DD"/>
    <w:rsid w:val="00EE31B0"/>
    <w:rsid w:val="00EE356F"/>
    <w:rsid w:val="00EE397E"/>
    <w:rsid w:val="00EE65B1"/>
    <w:rsid w:val="00EF1C55"/>
    <w:rsid w:val="00EF1C95"/>
    <w:rsid w:val="00EF2774"/>
    <w:rsid w:val="00EF4059"/>
    <w:rsid w:val="00EF5586"/>
    <w:rsid w:val="00F078B7"/>
    <w:rsid w:val="00F1278D"/>
    <w:rsid w:val="00F14BFD"/>
    <w:rsid w:val="00F14DE4"/>
    <w:rsid w:val="00F17566"/>
    <w:rsid w:val="00F238F2"/>
    <w:rsid w:val="00F332B3"/>
    <w:rsid w:val="00F34D63"/>
    <w:rsid w:val="00F41C35"/>
    <w:rsid w:val="00F4438C"/>
    <w:rsid w:val="00F46ED7"/>
    <w:rsid w:val="00F545F0"/>
    <w:rsid w:val="00F549D7"/>
    <w:rsid w:val="00F556DB"/>
    <w:rsid w:val="00F55F85"/>
    <w:rsid w:val="00F560D5"/>
    <w:rsid w:val="00F731B3"/>
    <w:rsid w:val="00F73D95"/>
    <w:rsid w:val="00F77044"/>
    <w:rsid w:val="00F8015E"/>
    <w:rsid w:val="00F83598"/>
    <w:rsid w:val="00F83CB6"/>
    <w:rsid w:val="00F85302"/>
    <w:rsid w:val="00F85766"/>
    <w:rsid w:val="00F91CCA"/>
    <w:rsid w:val="00F931D3"/>
    <w:rsid w:val="00F95769"/>
    <w:rsid w:val="00FA289A"/>
    <w:rsid w:val="00FB375B"/>
    <w:rsid w:val="00FB6425"/>
    <w:rsid w:val="00FC14E8"/>
    <w:rsid w:val="00FC55BF"/>
    <w:rsid w:val="00FC7F5D"/>
    <w:rsid w:val="00FD1D84"/>
    <w:rsid w:val="00FD50A4"/>
    <w:rsid w:val="00FE4C76"/>
    <w:rsid w:val="00FE58D5"/>
    <w:rsid w:val="00FE5CA3"/>
    <w:rsid w:val="00FE6BC8"/>
    <w:rsid w:val="00FF08C3"/>
    <w:rsid w:val="00FF7C8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F01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imes New Roman"/>
        <w:sz w:val="22"/>
        <w:szCs w:val="22"/>
        <w:lang w:val="en-AU" w:eastAsia="en-AU" w:bidi="ar-SA"/>
      </w:rPr>
    </w:rPrDefault>
    <w:pPrDefault>
      <w:pPr>
        <w:spacing w:after="80"/>
      </w:pPr>
    </w:pPrDefault>
  </w:docDefaults>
  <w:latentStyles w:defLockedState="1" w:defUIPriority="98" w:defSemiHidden="0" w:defUnhideWhenUsed="0" w:defQFormat="0" w:count="376">
    <w:lsdException w:name="Normal" w:locked="0" w:uiPriority="0" w:qFormat="1"/>
    <w:lsdException w:name="heading 1" w:locked="0" w:uiPriority="0" w:qFormat="1"/>
    <w:lsdException w:name="heading 2" w:locked="0" w:uiPriority="0"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0" w:unhideWhenUsed="1"/>
    <w:lsdException w:name="annotation text" w:semiHidden="1" w:uiPriority="0" w:unhideWhenUsed="1"/>
    <w:lsdException w:name="header" w:semiHidden="1" w:uiPriority="0" w:unhideWhenUsed="1"/>
    <w:lsdException w:name="footer" w:locked="0"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99" w:qFormat="1"/>
    <w:lsdException w:name="Closing" w:semiHidden="1" w:unhideWhenUsed="1"/>
    <w:lsdException w:name="Signature" w:semiHidden="1" w:unhideWhenUsed="1"/>
    <w:lsdException w:name="Default Paragraph Font" w:locked="0"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iPriority="0" w:unhideWhenUsed="1"/>
    <w:lsdException w:name="Strong" w:locked="0" w:uiPriority="99" w:qFormat="1"/>
    <w:lsdException w:name="Emphasis" w:locked="0" w:uiPriority="0"/>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locked="0"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qFormat="1"/>
    <w:lsdException w:name="Quote" w:locked="0"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Reference" w:uiPriority="32" w:qFormat="1"/>
    <w:lsdException w:name="Bibliography" w:semiHidden="1" w:unhideWhenUsed="1"/>
    <w:lsdException w:name="TOC Heading" w:locked="0" w:semiHidden="1" w:uiPriority="0"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515E8F"/>
    <w:pPr>
      <w:keepLines/>
      <w:spacing w:before="120" w:after="120"/>
    </w:pPr>
  </w:style>
  <w:style w:type="paragraph" w:styleId="Heading1">
    <w:name w:val="heading 1"/>
    <w:basedOn w:val="Normal"/>
    <w:next w:val="Normal"/>
    <w:qFormat/>
    <w:rsid w:val="00A5549D"/>
    <w:pPr>
      <w:keepNext/>
      <w:spacing w:before="360"/>
      <w:outlineLvl w:val="0"/>
    </w:pPr>
    <w:rPr>
      <w:rFonts w:cs="Arial"/>
      <w:b/>
      <w:bCs/>
      <w:color w:val="000000" w:themeColor="text1"/>
      <w:kern w:val="28"/>
      <w:sz w:val="32"/>
      <w:szCs w:val="32"/>
    </w:rPr>
  </w:style>
  <w:style w:type="paragraph" w:styleId="Heading2">
    <w:name w:val="heading 2"/>
    <w:basedOn w:val="Heading1"/>
    <w:next w:val="Normal"/>
    <w:qFormat/>
    <w:rsid w:val="000F422A"/>
    <w:pPr>
      <w:spacing w:before="300" w:after="240"/>
      <w:outlineLvl w:val="1"/>
    </w:pPr>
    <w:rPr>
      <w:bCs w:val="0"/>
      <w:iCs/>
      <w:color w:val="125370" w:themeColor="accent3"/>
      <w:szCs w:val="28"/>
    </w:rPr>
  </w:style>
  <w:style w:type="paragraph" w:styleId="Heading3">
    <w:name w:val="heading 3"/>
    <w:basedOn w:val="Heading2"/>
    <w:next w:val="Normal"/>
    <w:qFormat/>
    <w:rsid w:val="0091467E"/>
    <w:pPr>
      <w:outlineLvl w:val="2"/>
    </w:pPr>
    <w:rPr>
      <w:bCs/>
      <w:color w:val="000000" w:themeColor="text1"/>
      <w:sz w:val="26"/>
      <w:szCs w:val="26"/>
    </w:rPr>
  </w:style>
  <w:style w:type="paragraph" w:styleId="Heading4">
    <w:name w:val="heading 4"/>
    <w:basedOn w:val="Normal"/>
    <w:next w:val="Normal"/>
    <w:qFormat/>
    <w:rsid w:val="00FE6BC8"/>
    <w:pPr>
      <w:keepNext/>
      <w:spacing w:before="240"/>
      <w:outlineLvl w:val="3"/>
    </w:pPr>
    <w:rPr>
      <w:b/>
      <w:bCs/>
      <w:color w:val="404040" w:themeColor="text1" w:themeTint="BF"/>
      <w:sz w:val="24"/>
    </w:rPr>
  </w:style>
  <w:style w:type="paragraph" w:styleId="Heading5">
    <w:name w:val="heading 5"/>
    <w:basedOn w:val="Normal"/>
    <w:next w:val="Normal"/>
    <w:qFormat/>
    <w:rsid w:val="00A15082"/>
    <w:pPr>
      <w:keepNext/>
      <w:spacing w:before="240" w:after="60"/>
      <w:outlineLvl w:val="4"/>
    </w:pPr>
    <w:rPr>
      <w:b/>
      <w:bCs/>
      <w:iCs/>
      <w:color w:val="404040" w:themeColor="text1" w:themeTint="BF"/>
      <w:sz w:val="24"/>
    </w:rPr>
  </w:style>
  <w:style w:type="paragraph" w:styleId="Heading6">
    <w:name w:val="heading 6"/>
    <w:basedOn w:val="Normal"/>
    <w:next w:val="Normal"/>
    <w:uiPriority w:val="98"/>
    <w:locked/>
    <w:rsid w:val="00A705AF"/>
    <w:pPr>
      <w:keepNext/>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uiPriority w:val="99"/>
    <w:qFormat/>
    <w:rsid w:val="00A705AF"/>
    <w:rPr>
      <w:b/>
      <w:bCs/>
    </w:rPr>
  </w:style>
  <w:style w:type="paragraph" w:styleId="Subtitle">
    <w:name w:val="Subtitle"/>
    <w:basedOn w:val="Normal"/>
    <w:next w:val="Normal"/>
    <w:link w:val="SubtitleChar"/>
    <w:uiPriority w:val="98"/>
    <w:locked/>
    <w:rsid w:val="00A75B58"/>
    <w:pPr>
      <w:numPr>
        <w:ilvl w:val="1"/>
      </w:numPr>
      <w:ind w:right="397"/>
    </w:pPr>
    <w:rPr>
      <w:rFonts w:ascii="Franklin Gothic Medium" w:eastAsiaTheme="majorEastAsia" w:hAnsi="Franklin Gothic Medium" w:cstheme="majorBidi"/>
      <w:iCs/>
      <w:color w:val="00A9E5"/>
      <w:spacing w:val="15"/>
      <w:sz w:val="52"/>
    </w:rPr>
  </w:style>
  <w:style w:type="character" w:customStyle="1" w:styleId="SubtitleChar">
    <w:name w:val="Subtitle Char"/>
    <w:basedOn w:val="DefaultParagraphFont"/>
    <w:link w:val="Subtitle"/>
    <w:uiPriority w:val="98"/>
    <w:rsid w:val="007B04A9"/>
    <w:rPr>
      <w:rFonts w:ascii="Franklin Gothic Medium" w:eastAsiaTheme="majorEastAsia" w:hAnsi="Franklin Gothic Medium" w:cstheme="majorBidi"/>
      <w:iCs/>
      <w:color w:val="00A9E5"/>
      <w:spacing w:val="15"/>
      <w:sz w:val="52"/>
    </w:rPr>
  </w:style>
  <w:style w:type="paragraph" w:styleId="Title">
    <w:name w:val="Title"/>
    <w:basedOn w:val="Normal"/>
    <w:next w:val="Normal"/>
    <w:link w:val="TitleChar"/>
    <w:uiPriority w:val="99"/>
    <w:qFormat/>
    <w:rsid w:val="00F55F85"/>
    <w:pPr>
      <w:spacing w:before="480" w:after="600"/>
      <w:contextualSpacing/>
    </w:pPr>
    <w:rPr>
      <w:rFonts w:ascii="Arial Bold" w:eastAsiaTheme="majorEastAsia" w:hAnsi="Arial Bold" w:cstheme="majorBidi"/>
      <w:b/>
      <w:color w:val="0A4A63"/>
      <w:kern w:val="28"/>
      <w:sz w:val="56"/>
      <w:szCs w:val="56"/>
    </w:rPr>
  </w:style>
  <w:style w:type="character" w:customStyle="1" w:styleId="TitleChar">
    <w:name w:val="Title Char"/>
    <w:basedOn w:val="DefaultParagraphFont"/>
    <w:link w:val="Title"/>
    <w:uiPriority w:val="99"/>
    <w:rsid w:val="00F55F85"/>
    <w:rPr>
      <w:rFonts w:ascii="Arial Bold" w:eastAsiaTheme="majorEastAsia" w:hAnsi="Arial Bold" w:cstheme="majorBidi"/>
      <w:b/>
      <w:color w:val="0A4A63"/>
      <w:kern w:val="28"/>
      <w:sz w:val="56"/>
      <w:szCs w:val="56"/>
    </w:rPr>
  </w:style>
  <w:style w:type="paragraph" w:customStyle="1" w:styleId="Bulletlist">
    <w:name w:val="Bullet list"/>
    <w:qFormat/>
    <w:rsid w:val="00544A4E"/>
    <w:pPr>
      <w:numPr>
        <w:numId w:val="6"/>
      </w:numPr>
      <w:spacing w:after="200"/>
      <w:ind w:left="568" w:hanging="284"/>
      <w:contextualSpacing/>
    </w:pPr>
    <w:rPr>
      <w:rFonts w:ascii="Arial" w:hAnsi="Arial"/>
      <w:color w:val="000000" w:themeColor="text1"/>
      <w:szCs w:val="24"/>
      <w:lang w:eastAsia="en-US"/>
    </w:rPr>
  </w:style>
  <w:style w:type="paragraph" w:customStyle="1" w:styleId="Chaptertitle">
    <w:name w:val="Chapter title"/>
    <w:basedOn w:val="Title"/>
    <w:qFormat/>
    <w:rsid w:val="003873C6"/>
    <w:pPr>
      <w:spacing w:after="240"/>
      <w:contextualSpacing w:val="0"/>
    </w:pPr>
    <w:rPr>
      <w:color w:val="125370" w:themeColor="accent3"/>
      <w:sz w:val="48"/>
      <w:szCs w:val="48"/>
    </w:rPr>
  </w:style>
  <w:style w:type="paragraph" w:styleId="TOC1">
    <w:name w:val="toc 1"/>
    <w:basedOn w:val="Normal"/>
    <w:next w:val="Normal"/>
    <w:autoRedefine/>
    <w:uiPriority w:val="39"/>
    <w:qFormat/>
    <w:rsid w:val="005C1496"/>
    <w:rPr>
      <w:rFonts w:cstheme="minorHAnsi"/>
      <w:b/>
      <w:bCs/>
      <w:color w:val="1178A2" w:themeColor="text2"/>
      <w:sz w:val="24"/>
      <w:szCs w:val="20"/>
    </w:rPr>
  </w:style>
  <w:style w:type="paragraph" w:styleId="Quote">
    <w:name w:val="Quote"/>
    <w:basedOn w:val="Normal"/>
    <w:next w:val="Normal"/>
    <w:link w:val="QuoteChar"/>
    <w:qFormat/>
    <w:rsid w:val="000D017D"/>
    <w:pPr>
      <w:spacing w:before="240" w:after="240"/>
      <w:ind w:left="397"/>
    </w:pPr>
    <w:rPr>
      <w:iCs/>
      <w:sz w:val="20"/>
    </w:rPr>
  </w:style>
  <w:style w:type="character" w:customStyle="1" w:styleId="QuoteChar">
    <w:name w:val="Quote Char"/>
    <w:basedOn w:val="DefaultParagraphFont"/>
    <w:link w:val="Quote"/>
    <w:rsid w:val="007B04A9"/>
    <w:rPr>
      <w:iCs/>
      <w:sz w:val="20"/>
    </w:rPr>
  </w:style>
  <w:style w:type="paragraph" w:styleId="TOC2">
    <w:name w:val="toc 2"/>
    <w:basedOn w:val="Normal"/>
    <w:next w:val="Normal"/>
    <w:autoRedefine/>
    <w:uiPriority w:val="39"/>
    <w:qFormat/>
    <w:rsid w:val="009A263C"/>
    <w:pPr>
      <w:tabs>
        <w:tab w:val="right" w:pos="9016"/>
      </w:tabs>
      <w:ind w:left="221"/>
    </w:pPr>
    <w:rPr>
      <w:rFonts w:cstheme="minorHAnsi"/>
      <w:szCs w:val="20"/>
    </w:rPr>
  </w:style>
  <w:style w:type="paragraph" w:styleId="TOC3">
    <w:name w:val="toc 3"/>
    <w:basedOn w:val="Normal"/>
    <w:next w:val="Normal"/>
    <w:autoRedefine/>
    <w:uiPriority w:val="39"/>
    <w:qFormat/>
    <w:rsid w:val="00747CE1"/>
    <w:pPr>
      <w:tabs>
        <w:tab w:val="left" w:pos="8789"/>
      </w:tabs>
      <w:spacing w:after="0"/>
      <w:ind w:left="442" w:right="-188"/>
    </w:pPr>
    <w:rPr>
      <w:rFonts w:cstheme="minorHAnsi"/>
      <w:iCs/>
      <w:noProof/>
      <w:szCs w:val="20"/>
    </w:rPr>
  </w:style>
  <w:style w:type="paragraph" w:customStyle="1" w:styleId="FigureTitle">
    <w:name w:val="Figure Title"/>
    <w:basedOn w:val="Normal"/>
    <w:qFormat/>
    <w:rsid w:val="005C1496"/>
    <w:pPr>
      <w:contextualSpacing/>
    </w:pPr>
    <w:rPr>
      <w:b/>
    </w:rPr>
  </w:style>
  <w:style w:type="paragraph" w:styleId="FootnoteText">
    <w:name w:val="footnote text"/>
    <w:basedOn w:val="Normal"/>
    <w:link w:val="FootnoteTextChar"/>
    <w:rsid w:val="00C436EE"/>
    <w:pPr>
      <w:spacing w:after="0"/>
    </w:pPr>
    <w:rPr>
      <w:sz w:val="20"/>
      <w:szCs w:val="20"/>
    </w:rPr>
  </w:style>
  <w:style w:type="character" w:customStyle="1" w:styleId="FootnoteTextChar">
    <w:name w:val="Footnote Text Char"/>
    <w:basedOn w:val="DefaultParagraphFont"/>
    <w:link w:val="FootnoteText"/>
    <w:rsid w:val="00C436EE"/>
    <w:rPr>
      <w:rFonts w:ascii="Arial" w:hAnsi="Arial"/>
      <w:color w:val="000000" w:themeColor="text1"/>
      <w:lang w:eastAsia="en-US"/>
    </w:rPr>
  </w:style>
  <w:style w:type="paragraph" w:styleId="BalloonText">
    <w:name w:val="Balloon Text"/>
    <w:basedOn w:val="Normal"/>
    <w:link w:val="BalloonTextChar"/>
    <w:locked/>
    <w:rsid w:val="00A4199A"/>
    <w:pPr>
      <w:spacing w:after="0"/>
    </w:pPr>
    <w:rPr>
      <w:rFonts w:ascii="Tahoma" w:hAnsi="Tahoma" w:cs="Tahoma"/>
      <w:sz w:val="16"/>
      <w:szCs w:val="16"/>
    </w:rPr>
  </w:style>
  <w:style w:type="character" w:styleId="FootnoteReference">
    <w:name w:val="footnote reference"/>
    <w:basedOn w:val="DefaultParagraphFont"/>
    <w:rsid w:val="00E13C5C"/>
    <w:rPr>
      <w:rFonts w:ascii="Arial" w:hAnsi="Arial"/>
      <w:vertAlign w:val="superscript"/>
    </w:rPr>
  </w:style>
  <w:style w:type="table" w:styleId="TableGrid">
    <w:name w:val="Table Grid"/>
    <w:aliases w:val="Commission"/>
    <w:basedOn w:val="TableNormal"/>
    <w:locked/>
    <w:rsid w:val="008251F7"/>
    <w:pPr>
      <w:spacing w:after="0"/>
    </w:pPr>
    <w:rPr>
      <w:rFonts w:ascii="Arial" w:hAnsi="Arial"/>
      <w:color w:val="000000" w:themeColor="text1"/>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Pr>
    <w:tblStylePr w:type="firstRow">
      <w:pPr>
        <w:wordWrap/>
        <w:spacing w:line="240" w:lineRule="auto"/>
        <w:jc w:val="left"/>
        <w:outlineLvl w:val="9"/>
      </w:pPr>
      <w:rPr>
        <w:rFonts w:ascii="Arial Bold" w:hAnsi="Arial Bold"/>
        <w:b/>
        <w:color w:val="000000" w:themeColor="text1"/>
        <w:sz w:val="20"/>
      </w:rPr>
      <w:tblPr/>
      <w:tcPr>
        <w:shd w:val="clear" w:color="auto" w:fill="C2E9F8" w:themeFill="text2" w:themeFillTint="33"/>
      </w:tcPr>
    </w:tblStylePr>
    <w:tblStylePr w:type="firstCol">
      <w:rPr>
        <w:b/>
      </w:rPr>
    </w:tblStylePr>
  </w:style>
  <w:style w:type="character" w:customStyle="1" w:styleId="Underline">
    <w:name w:val="Underline"/>
    <w:basedOn w:val="DefaultParagraphFont"/>
    <w:qFormat/>
    <w:rsid w:val="00E13C5C"/>
    <w:rPr>
      <w:u w:val="single"/>
    </w:rPr>
  </w:style>
  <w:style w:type="character" w:customStyle="1" w:styleId="BalloonTextChar">
    <w:name w:val="Balloon Text Char"/>
    <w:basedOn w:val="DefaultParagraphFont"/>
    <w:link w:val="BalloonText"/>
    <w:rsid w:val="00A4199A"/>
    <w:rPr>
      <w:rFonts w:ascii="Tahoma" w:hAnsi="Tahoma" w:cs="Tahoma"/>
      <w:sz w:val="16"/>
      <w:szCs w:val="16"/>
    </w:rPr>
  </w:style>
  <w:style w:type="paragraph" w:styleId="Header">
    <w:name w:val="header"/>
    <w:basedOn w:val="Normal"/>
    <w:link w:val="HeaderChar"/>
    <w:uiPriority w:val="98"/>
    <w:locked/>
    <w:rsid w:val="009B053D"/>
    <w:pPr>
      <w:tabs>
        <w:tab w:val="center" w:pos="4513"/>
        <w:tab w:val="right" w:pos="9026"/>
      </w:tabs>
      <w:spacing w:after="0"/>
    </w:pPr>
  </w:style>
  <w:style w:type="character" w:styleId="PlaceholderText">
    <w:name w:val="Placeholder Text"/>
    <w:basedOn w:val="DefaultParagraphFont"/>
    <w:uiPriority w:val="98"/>
    <w:semiHidden/>
    <w:locked/>
    <w:rsid w:val="00C51BE7"/>
    <w:rPr>
      <w:color w:val="808080"/>
    </w:rPr>
  </w:style>
  <w:style w:type="character" w:customStyle="1" w:styleId="HeaderChar">
    <w:name w:val="Header Char"/>
    <w:basedOn w:val="DefaultParagraphFont"/>
    <w:link w:val="Header"/>
    <w:uiPriority w:val="98"/>
    <w:rsid w:val="007B04A9"/>
  </w:style>
  <w:style w:type="character" w:styleId="Hyperlink">
    <w:name w:val="Hyperlink"/>
    <w:basedOn w:val="DefaultParagraphFont"/>
    <w:uiPriority w:val="99"/>
    <w:rsid w:val="00F85302"/>
    <w:rPr>
      <w:color w:val="1178A2" w:themeColor="text2"/>
      <w:u w:val="single"/>
    </w:rPr>
  </w:style>
  <w:style w:type="paragraph" w:styleId="Footer">
    <w:name w:val="footer"/>
    <w:basedOn w:val="Normal"/>
    <w:link w:val="FooterChar"/>
    <w:rsid w:val="007635C1"/>
    <w:pPr>
      <w:tabs>
        <w:tab w:val="center" w:pos="4513"/>
        <w:tab w:val="right" w:pos="9026"/>
      </w:tabs>
      <w:spacing w:after="0"/>
    </w:pPr>
    <w:rPr>
      <w:color w:val="404040" w:themeColor="text1" w:themeTint="BF"/>
      <w:sz w:val="20"/>
    </w:rPr>
  </w:style>
  <w:style w:type="character" w:customStyle="1" w:styleId="FooterChar">
    <w:name w:val="Footer Char"/>
    <w:basedOn w:val="DefaultParagraphFont"/>
    <w:link w:val="Footer"/>
    <w:rsid w:val="007B04A9"/>
    <w:rPr>
      <w:color w:val="404040" w:themeColor="text1" w:themeTint="BF"/>
      <w:sz w:val="20"/>
    </w:rPr>
  </w:style>
  <w:style w:type="character" w:styleId="FollowedHyperlink">
    <w:name w:val="FollowedHyperlink"/>
    <w:basedOn w:val="DefaultParagraphFont"/>
    <w:rsid w:val="00F95769"/>
    <w:rPr>
      <w:color w:val="800080" w:themeColor="followedHyperlink"/>
      <w:u w:val="single"/>
    </w:rPr>
  </w:style>
  <w:style w:type="paragraph" w:styleId="TOCHeading">
    <w:name w:val="TOC Heading"/>
    <w:basedOn w:val="Heading1"/>
    <w:next w:val="Normal"/>
    <w:unhideWhenUsed/>
    <w:qFormat/>
    <w:rsid w:val="00255596"/>
    <w:pPr>
      <w:spacing w:before="480" w:after="0" w:line="276" w:lineRule="auto"/>
      <w:outlineLvl w:val="9"/>
    </w:pPr>
    <w:rPr>
      <w:rFonts w:asciiTheme="majorHAnsi" w:eastAsiaTheme="majorEastAsia" w:hAnsiTheme="majorHAnsi" w:cstheme="majorBidi"/>
      <w:color w:val="0C5979" w:themeColor="accent1" w:themeShade="BF"/>
      <w:kern w:val="0"/>
      <w:szCs w:val="28"/>
      <w:lang w:val="en-US" w:eastAsia="ja-JP"/>
    </w:rPr>
  </w:style>
  <w:style w:type="paragraph" w:customStyle="1" w:styleId="Captions">
    <w:name w:val="Captions"/>
    <w:basedOn w:val="Normal"/>
    <w:link w:val="CaptionsChar"/>
    <w:qFormat/>
    <w:rsid w:val="00A15082"/>
    <w:rPr>
      <w:sz w:val="20"/>
      <w:szCs w:val="20"/>
    </w:rPr>
  </w:style>
  <w:style w:type="character" w:customStyle="1" w:styleId="CaptionsChar">
    <w:name w:val="Captions Char"/>
    <w:basedOn w:val="DefaultParagraphFont"/>
    <w:link w:val="Captions"/>
    <w:rsid w:val="00A15082"/>
    <w:rPr>
      <w:rFonts w:ascii="Arial" w:hAnsi="Arial"/>
      <w:color w:val="000000" w:themeColor="text1"/>
      <w:lang w:eastAsia="en-US"/>
    </w:rPr>
  </w:style>
  <w:style w:type="numbering" w:customStyle="1" w:styleId="Listbullets">
    <w:name w:val="List bullets"/>
    <w:uiPriority w:val="99"/>
    <w:rsid w:val="000D017D"/>
    <w:pPr>
      <w:numPr>
        <w:numId w:val="1"/>
      </w:numPr>
    </w:pPr>
  </w:style>
  <w:style w:type="paragraph" w:customStyle="1" w:styleId="Numberedlists">
    <w:name w:val="Numbered lists"/>
    <w:basedOn w:val="Normal"/>
    <w:link w:val="NumberedlistsChar"/>
    <w:qFormat/>
    <w:rsid w:val="00A4199A"/>
    <w:pPr>
      <w:numPr>
        <w:numId w:val="5"/>
      </w:numPr>
      <w:contextualSpacing/>
    </w:pPr>
  </w:style>
  <w:style w:type="character" w:customStyle="1" w:styleId="NumberedlistsChar">
    <w:name w:val="Numbered lists Char"/>
    <w:basedOn w:val="DefaultParagraphFont"/>
    <w:link w:val="Numberedlists"/>
    <w:rsid w:val="00A4199A"/>
  </w:style>
  <w:style w:type="paragraph" w:customStyle="1" w:styleId="Subheading">
    <w:name w:val="Subheading"/>
    <w:basedOn w:val="Normal"/>
    <w:next w:val="Normal"/>
    <w:uiPriority w:val="99"/>
    <w:qFormat/>
    <w:rsid w:val="000B0274"/>
    <w:pPr>
      <w:spacing w:before="240"/>
    </w:pPr>
    <w:rPr>
      <w:b/>
      <w:color w:val="00A9E5"/>
      <w:sz w:val="36"/>
      <w:szCs w:val="36"/>
    </w:rPr>
  </w:style>
  <w:style w:type="numbering" w:customStyle="1" w:styleId="Bullet">
    <w:name w:val="Bullet"/>
    <w:uiPriority w:val="99"/>
    <w:locked/>
    <w:rsid w:val="000D017D"/>
    <w:pPr>
      <w:numPr>
        <w:numId w:val="2"/>
      </w:numPr>
    </w:pPr>
  </w:style>
  <w:style w:type="numbering" w:customStyle="1" w:styleId="Bullets">
    <w:name w:val="Bullets"/>
    <w:uiPriority w:val="99"/>
    <w:locked/>
    <w:rsid w:val="000D017D"/>
    <w:pPr>
      <w:numPr>
        <w:numId w:val="3"/>
      </w:numPr>
    </w:pPr>
  </w:style>
  <w:style w:type="numbering" w:customStyle="1" w:styleId="BulletsLevel1">
    <w:name w:val="Bullets Level 1"/>
    <w:uiPriority w:val="99"/>
    <w:locked/>
    <w:rsid w:val="000D017D"/>
    <w:pPr>
      <w:numPr>
        <w:numId w:val="4"/>
      </w:numPr>
    </w:pPr>
  </w:style>
  <w:style w:type="paragraph" w:customStyle="1" w:styleId="PublicationDate">
    <w:name w:val="Publication Date"/>
    <w:basedOn w:val="Normal"/>
    <w:link w:val="PublicationDateChar"/>
    <w:uiPriority w:val="99"/>
    <w:qFormat/>
    <w:rsid w:val="00447D31"/>
    <w:pPr>
      <w:spacing w:before="240" w:after="240"/>
    </w:pPr>
    <w:rPr>
      <w:color w:val="0A4A63"/>
      <w:sz w:val="32"/>
      <w:szCs w:val="40"/>
    </w:rPr>
  </w:style>
  <w:style w:type="character" w:customStyle="1" w:styleId="PublicationDateChar">
    <w:name w:val="Publication Date Char"/>
    <w:basedOn w:val="DefaultParagraphFont"/>
    <w:link w:val="PublicationDate"/>
    <w:rsid w:val="00447D31"/>
    <w:rPr>
      <w:rFonts w:ascii="Arial" w:hAnsi="Arial"/>
      <w:color w:val="0A4A63"/>
      <w:sz w:val="32"/>
      <w:szCs w:val="40"/>
      <w:lang w:eastAsia="en-US"/>
    </w:rPr>
  </w:style>
  <w:style w:type="paragraph" w:customStyle="1" w:styleId="Redtext">
    <w:name w:val="Red text"/>
    <w:basedOn w:val="Normal"/>
    <w:qFormat/>
    <w:rsid w:val="00BC07E4"/>
    <w:pPr>
      <w:spacing w:after="80"/>
    </w:pPr>
    <w:rPr>
      <w:color w:val="FF0000"/>
    </w:rPr>
  </w:style>
  <w:style w:type="paragraph" w:customStyle="1" w:styleId="Normal-beforebullets">
    <w:name w:val="Normal - before bullets"/>
    <w:basedOn w:val="Normal"/>
    <w:qFormat/>
    <w:rsid w:val="00020DBD"/>
    <w:pPr>
      <w:spacing w:after="0"/>
    </w:pPr>
  </w:style>
  <w:style w:type="paragraph" w:styleId="TOC4">
    <w:name w:val="toc 4"/>
    <w:basedOn w:val="Normal"/>
    <w:next w:val="Normal"/>
    <w:autoRedefine/>
    <w:uiPriority w:val="39"/>
    <w:locked/>
    <w:rsid w:val="002E6A48"/>
    <w:pPr>
      <w:tabs>
        <w:tab w:val="right" w:pos="9016"/>
      </w:tabs>
      <w:spacing w:after="0"/>
      <w:ind w:left="658"/>
    </w:pPr>
  </w:style>
  <w:style w:type="table" w:customStyle="1" w:styleId="MDBAsimpletable">
    <w:name w:val="MDBA simple table"/>
    <w:basedOn w:val="TableNormal"/>
    <w:uiPriority w:val="99"/>
    <w:rsid w:val="00B904EC"/>
    <w:pPr>
      <w:spacing w:after="0"/>
    </w:pPr>
    <w:rPr>
      <w:rFonts w:ascii="Arial" w:eastAsia="Calibri" w:hAnsi="Arial"/>
      <w:lang w:eastAsia="en-US"/>
    </w:rPr>
    <w:tblPr>
      <w:tblStyleRowBandSize w:val="1"/>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Pr>
    <w:tcPr>
      <w:shd w:val="clear" w:color="auto" w:fill="auto"/>
    </w:tcPr>
    <w:tblStylePr w:type="firstRow">
      <w:pPr>
        <w:wordWrap/>
        <w:spacing w:beforeLines="0" w:before="240" w:beforeAutospacing="0"/>
      </w:pPr>
      <w:rPr>
        <w:rFonts w:ascii="Arial" w:hAnsi="Arial"/>
        <w:b/>
        <w:color w:val="auto"/>
        <w:sz w:val="22"/>
      </w:rPr>
      <w:tblPr/>
      <w:tcPr>
        <w:shd w:val="clear" w:color="auto" w:fill="95B3D7"/>
      </w:tcPr>
    </w:tblStylePr>
    <w:tblStylePr w:type="lastRow">
      <w:tblPr/>
      <w:tcPr>
        <w:shd w:val="clear" w:color="auto" w:fill="BFBFBF"/>
      </w:tcPr>
    </w:tblStylePr>
    <w:tblStylePr w:type="band1Horz">
      <w:tblPr/>
      <w:tcPr>
        <w:shd w:val="clear" w:color="auto" w:fill="ECECEC"/>
      </w:tcPr>
    </w:tblStylePr>
  </w:style>
  <w:style w:type="table" w:customStyle="1" w:styleId="Commission1">
    <w:name w:val="Commission1"/>
    <w:basedOn w:val="TableNormal"/>
    <w:uiPriority w:val="99"/>
    <w:rsid w:val="00865932"/>
    <w:pPr>
      <w:spacing w:after="0"/>
    </w:pPr>
    <w:rPr>
      <w:rFonts w:ascii="Arial Narrow" w:hAnsi="Arial Narrow"/>
      <w:szCs w:val="20"/>
    </w:rPr>
    <w:tblPr>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Pr>
    <w:tblStylePr w:type="firstRow">
      <w:rPr>
        <w:rFonts w:ascii="Arial Narrow" w:hAnsi="Arial Narrow"/>
        <w:b/>
        <w:color w:val="FFFFFF"/>
        <w:sz w:val="22"/>
      </w:rPr>
      <w:tblPr/>
      <w:tcPr>
        <w:shd w:val="clear" w:color="auto" w:fill="365F91"/>
      </w:tcPr>
    </w:tblStylePr>
  </w:style>
  <w:style w:type="table" w:customStyle="1" w:styleId="Commission2">
    <w:name w:val="Commission2"/>
    <w:basedOn w:val="TableNormal"/>
    <w:uiPriority w:val="99"/>
    <w:rsid w:val="00865932"/>
    <w:pPr>
      <w:spacing w:after="0"/>
    </w:pPr>
    <w:rPr>
      <w:rFonts w:ascii="Arial Narrow" w:hAnsi="Arial Narrow"/>
      <w:szCs w:val="20"/>
    </w:rPr>
    <w:tblPr>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Pr>
    <w:tblStylePr w:type="firstRow">
      <w:rPr>
        <w:rFonts w:ascii="Arial Narrow" w:hAnsi="Arial Narrow"/>
        <w:b/>
        <w:color w:val="FFFFFF"/>
        <w:sz w:val="22"/>
      </w:rPr>
      <w:tblPr/>
      <w:tcPr>
        <w:shd w:val="clear" w:color="auto" w:fill="365F91"/>
      </w:tcPr>
    </w:tblStylePr>
  </w:style>
  <w:style w:type="paragraph" w:customStyle="1" w:styleId="FigureName">
    <w:name w:val="FigureName"/>
    <w:basedOn w:val="Normal"/>
    <w:next w:val="Normal"/>
    <w:rsid w:val="0003162D"/>
    <w:pPr>
      <w:keepNext/>
      <w:tabs>
        <w:tab w:val="left" w:pos="1080"/>
      </w:tabs>
      <w:ind w:left="1077" w:hanging="1077"/>
    </w:pPr>
    <w:rPr>
      <w:rFonts w:ascii="Arial" w:hAnsi="Arial"/>
      <w:b/>
      <w:bCs/>
      <w:color w:val="1178A2" w:themeColor="accent1"/>
      <w:szCs w:val="20"/>
    </w:rPr>
  </w:style>
  <w:style w:type="paragraph" w:customStyle="1" w:styleId="TFAbbrevsSpace">
    <w:name w:val="TFAbbrevs+Space"/>
    <w:basedOn w:val="Normal"/>
    <w:next w:val="Normal"/>
    <w:rsid w:val="0003162D"/>
    <w:pPr>
      <w:keepNext/>
      <w:spacing w:after="360"/>
    </w:pPr>
    <w:rPr>
      <w:rFonts w:ascii="Arial" w:hAnsi="Arial"/>
      <w:color w:val="000000"/>
      <w:sz w:val="18"/>
      <w:szCs w:val="18"/>
    </w:rPr>
  </w:style>
  <w:style w:type="paragraph" w:customStyle="1" w:styleId="BoxHeading">
    <w:name w:val="BoxHeading"/>
    <w:basedOn w:val="Normal"/>
    <w:rsid w:val="000B79D3"/>
    <w:pPr>
      <w:keepNext/>
      <w:pBdr>
        <w:top w:val="single" w:sz="4" w:space="4" w:color="0C5979" w:themeColor="accent1" w:themeShade="BF"/>
        <w:left w:val="single" w:sz="4" w:space="4" w:color="0C5979" w:themeColor="accent1" w:themeShade="BF"/>
        <w:bottom w:val="single" w:sz="4" w:space="4" w:color="0C5979" w:themeColor="accent1" w:themeShade="BF"/>
        <w:right w:val="single" w:sz="4" w:space="4" w:color="0C5979" w:themeColor="accent1" w:themeShade="BF"/>
      </w:pBdr>
      <w:spacing w:after="60"/>
    </w:pPr>
    <w:rPr>
      <w:rFonts w:ascii="Arial" w:hAnsi="Arial"/>
      <w:b/>
      <w:bCs/>
      <w:color w:val="1178A2" w:themeColor="accent1"/>
      <w:szCs w:val="20"/>
    </w:rPr>
  </w:style>
  <w:style w:type="paragraph" w:customStyle="1" w:styleId="BoxBullet">
    <w:name w:val="BoxBullet"/>
    <w:basedOn w:val="Normal"/>
    <w:link w:val="BoxBulletChar"/>
    <w:rsid w:val="000B79D3"/>
    <w:pPr>
      <w:numPr>
        <w:numId w:val="7"/>
      </w:numPr>
      <w:pBdr>
        <w:top w:val="single" w:sz="4" w:space="4" w:color="0C5979" w:themeColor="accent1" w:themeShade="BF"/>
        <w:left w:val="single" w:sz="4" w:space="4" w:color="0C5979" w:themeColor="accent1" w:themeShade="BF"/>
        <w:bottom w:val="single" w:sz="4" w:space="4" w:color="0C5979" w:themeColor="accent1" w:themeShade="BF"/>
        <w:right w:val="single" w:sz="4" w:space="4" w:color="0C5979" w:themeColor="accent1" w:themeShade="BF"/>
      </w:pBdr>
    </w:pPr>
    <w:rPr>
      <w:rFonts w:ascii="Arial" w:hAnsi="Arial"/>
      <w:color w:val="000000"/>
      <w:szCs w:val="20"/>
    </w:rPr>
  </w:style>
  <w:style w:type="character" w:customStyle="1" w:styleId="BoxBulletChar">
    <w:name w:val="BoxBullet Char"/>
    <w:link w:val="BoxBullet"/>
    <w:rsid w:val="000B79D3"/>
    <w:rPr>
      <w:rFonts w:ascii="Arial" w:hAnsi="Arial"/>
      <w:color w:val="000000"/>
      <w:szCs w:val="20"/>
    </w:rPr>
  </w:style>
  <w:style w:type="paragraph" w:customStyle="1" w:styleId="Dash">
    <w:name w:val="Dash"/>
    <w:basedOn w:val="Normal"/>
    <w:rsid w:val="002E195D"/>
    <w:pPr>
      <w:numPr>
        <w:numId w:val="8"/>
      </w:numPr>
      <w:tabs>
        <w:tab w:val="clear" w:pos="216"/>
        <w:tab w:val="left" w:pos="720"/>
      </w:tabs>
      <w:spacing w:after="0"/>
      <w:ind w:left="754" w:hanging="357"/>
    </w:pPr>
    <w:rPr>
      <w:rFonts w:ascii="Arial" w:hAnsi="Arial"/>
      <w:color w:val="000000"/>
      <w:szCs w:val="20"/>
    </w:rPr>
  </w:style>
  <w:style w:type="paragraph" w:customStyle="1" w:styleId="BoxText">
    <w:name w:val="BoxText"/>
    <w:basedOn w:val="Normal"/>
    <w:qFormat/>
    <w:rsid w:val="002E195D"/>
    <w:pPr>
      <w:pBdr>
        <w:top w:val="single" w:sz="4" w:space="4" w:color="0C5979" w:themeColor="accent1" w:themeShade="BF"/>
        <w:left w:val="single" w:sz="4" w:space="4" w:color="0C5979" w:themeColor="accent1" w:themeShade="BF"/>
        <w:bottom w:val="single" w:sz="4" w:space="4" w:color="0C5979" w:themeColor="accent1" w:themeShade="BF"/>
        <w:right w:val="single" w:sz="4" w:space="4" w:color="0C5979" w:themeColor="accent1" w:themeShade="BF"/>
      </w:pBdr>
    </w:pPr>
    <w:rPr>
      <w:rFonts w:ascii="Arial" w:hAnsi="Arial"/>
      <w:color w:val="000000"/>
      <w:szCs w:val="20"/>
    </w:rPr>
  </w:style>
  <w:style w:type="paragraph" w:customStyle="1" w:styleId="BoxNotes">
    <w:name w:val="BoxNotes"/>
    <w:basedOn w:val="BoxText"/>
    <w:rsid w:val="002E195D"/>
    <w:pPr>
      <w:spacing w:after="60"/>
    </w:pPr>
    <w:rPr>
      <w:sz w:val="18"/>
    </w:rPr>
  </w:style>
  <w:style w:type="paragraph" w:customStyle="1" w:styleId="BoxName">
    <w:name w:val="BoxName"/>
    <w:basedOn w:val="BoxText"/>
    <w:next w:val="BoxText"/>
    <w:rsid w:val="002E195D"/>
    <w:pPr>
      <w:keepNext/>
      <w:spacing w:before="180"/>
      <w:ind w:left="1077" w:hanging="1077"/>
    </w:pPr>
    <w:rPr>
      <w:b/>
      <w:bCs/>
      <w:color w:val="0C5979" w:themeColor="accent1" w:themeShade="BF"/>
      <w:sz w:val="24"/>
    </w:rPr>
  </w:style>
  <w:style w:type="paragraph" w:customStyle="1" w:styleId="BoxDash">
    <w:name w:val="BoxDash"/>
    <w:basedOn w:val="BoxText"/>
    <w:rsid w:val="002E195D"/>
    <w:pPr>
      <w:tabs>
        <w:tab w:val="left" w:pos="357"/>
      </w:tabs>
      <w:ind w:left="720" w:hanging="720"/>
    </w:pPr>
  </w:style>
  <w:style w:type="character" w:styleId="CommentReference">
    <w:name w:val="annotation reference"/>
    <w:basedOn w:val="DefaultParagraphFont"/>
    <w:locked/>
    <w:rsid w:val="001F6D10"/>
    <w:rPr>
      <w:sz w:val="16"/>
      <w:szCs w:val="16"/>
    </w:rPr>
  </w:style>
  <w:style w:type="paragraph" w:styleId="CommentText">
    <w:name w:val="annotation text"/>
    <w:basedOn w:val="Normal"/>
    <w:link w:val="CommentTextChar"/>
    <w:locked/>
    <w:rsid w:val="001F6D10"/>
    <w:rPr>
      <w:sz w:val="20"/>
      <w:szCs w:val="20"/>
    </w:rPr>
  </w:style>
  <w:style w:type="character" w:customStyle="1" w:styleId="CommentTextChar">
    <w:name w:val="Comment Text Char"/>
    <w:basedOn w:val="DefaultParagraphFont"/>
    <w:link w:val="CommentText"/>
    <w:rsid w:val="001F6D10"/>
    <w:rPr>
      <w:sz w:val="20"/>
      <w:szCs w:val="20"/>
    </w:rPr>
  </w:style>
  <w:style w:type="paragraph" w:customStyle="1" w:styleId="Commissionbodytext">
    <w:name w:val="Commission body text"/>
    <w:basedOn w:val="Normal"/>
    <w:link w:val="CommissionbodytextChar"/>
    <w:qFormat/>
    <w:rsid w:val="00BF5905"/>
    <w:pPr>
      <w:spacing w:after="0" w:line="276" w:lineRule="auto"/>
    </w:pPr>
    <w:rPr>
      <w:rFonts w:ascii="Arial" w:hAnsi="Arial" w:cs="Arial"/>
    </w:rPr>
  </w:style>
  <w:style w:type="character" w:customStyle="1" w:styleId="CommissionbodytextChar">
    <w:name w:val="Commission body text Char"/>
    <w:basedOn w:val="DefaultParagraphFont"/>
    <w:link w:val="Commissionbodytext"/>
    <w:rsid w:val="00BF5905"/>
    <w:rPr>
      <w:rFonts w:ascii="Arial" w:hAnsi="Arial" w:cs="Arial"/>
    </w:rPr>
  </w:style>
  <w:style w:type="paragraph" w:styleId="ListParagraph">
    <w:name w:val="List Paragraph"/>
    <w:aliases w:val="NFP GP Bulleted List,List Paragraph1,Recommendation,Bullet table,Bullet point,CV text,Dot pt,F5 List Paragraph,FooterText,L,List Paragraph11,List Paragraph111,List Paragraph2,Medium Grid 1 - Accent 21,NAST Quote,Numbered Paragraph"/>
    <w:basedOn w:val="Normal"/>
    <w:link w:val="ListParagraphChar"/>
    <w:uiPriority w:val="99"/>
    <w:qFormat/>
    <w:locked/>
    <w:rsid w:val="00A6672E"/>
    <w:pPr>
      <w:ind w:left="720"/>
      <w:contextualSpacing/>
    </w:pPr>
  </w:style>
  <w:style w:type="paragraph" w:styleId="CommentSubject">
    <w:name w:val="annotation subject"/>
    <w:basedOn w:val="CommentText"/>
    <w:next w:val="CommentText"/>
    <w:link w:val="CommentSubjectChar"/>
    <w:uiPriority w:val="98"/>
    <w:locked/>
    <w:rsid w:val="00A6672E"/>
    <w:rPr>
      <w:b/>
      <w:bCs/>
    </w:rPr>
  </w:style>
  <w:style w:type="character" w:customStyle="1" w:styleId="CommentSubjectChar">
    <w:name w:val="Comment Subject Char"/>
    <w:basedOn w:val="CommentTextChar"/>
    <w:link w:val="CommentSubject"/>
    <w:uiPriority w:val="98"/>
    <w:rsid w:val="00A6672E"/>
    <w:rPr>
      <w:b/>
      <w:bCs/>
      <w:sz w:val="20"/>
      <w:szCs w:val="20"/>
    </w:rPr>
  </w:style>
  <w:style w:type="paragraph" w:styleId="ListBullet">
    <w:name w:val="List Bullet"/>
    <w:basedOn w:val="Normal"/>
    <w:uiPriority w:val="98"/>
    <w:locked/>
    <w:rsid w:val="00A6672E"/>
    <w:pPr>
      <w:tabs>
        <w:tab w:val="num" w:pos="360"/>
      </w:tabs>
      <w:ind w:left="360" w:hanging="360"/>
      <w:contextualSpacing/>
    </w:pPr>
  </w:style>
  <w:style w:type="character" w:customStyle="1" w:styleId="ListParagraphChar">
    <w:name w:val="List Paragraph Char"/>
    <w:aliases w:val="NFP GP Bulleted List Char,List Paragraph1 Char,Recommendation Char,Bullet table Char,Bullet point Char,CV text Char,Dot pt Char,F5 List Paragraph Char,FooterText Char,L Char,List Paragraph11 Char,List Paragraph111 Char"/>
    <w:basedOn w:val="DefaultParagraphFont"/>
    <w:link w:val="ListParagraph"/>
    <w:uiPriority w:val="34"/>
    <w:rsid w:val="00A6672E"/>
  </w:style>
  <w:style w:type="paragraph" w:styleId="EndnoteText">
    <w:name w:val="endnote text"/>
    <w:basedOn w:val="Normal"/>
    <w:link w:val="EndnoteTextChar"/>
    <w:unhideWhenUsed/>
    <w:locked/>
    <w:rsid w:val="00EA63B1"/>
    <w:pPr>
      <w:spacing w:after="0"/>
    </w:pPr>
    <w:rPr>
      <w:rFonts w:ascii="Arial" w:hAnsi="Arial"/>
      <w:sz w:val="20"/>
      <w:szCs w:val="20"/>
      <w:lang w:val="en-GB" w:eastAsia="en-US"/>
    </w:rPr>
  </w:style>
  <w:style w:type="character" w:customStyle="1" w:styleId="EndnoteTextChar">
    <w:name w:val="Endnote Text Char"/>
    <w:basedOn w:val="DefaultParagraphFont"/>
    <w:link w:val="EndnoteText"/>
    <w:rsid w:val="00EA63B1"/>
    <w:rPr>
      <w:rFonts w:ascii="Arial" w:hAnsi="Arial"/>
      <w:sz w:val="20"/>
      <w:szCs w:val="20"/>
      <w:lang w:val="en-GB" w:eastAsia="en-US"/>
    </w:rPr>
  </w:style>
  <w:style w:type="character" w:styleId="EndnoteReference">
    <w:name w:val="endnote reference"/>
    <w:basedOn w:val="DefaultParagraphFont"/>
    <w:unhideWhenUsed/>
    <w:locked/>
    <w:rsid w:val="00EA63B1"/>
    <w:rPr>
      <w:vertAlign w:val="superscript"/>
    </w:rPr>
  </w:style>
  <w:style w:type="character" w:customStyle="1" w:styleId="meta-citation-journal-name">
    <w:name w:val="meta-citation-journal-name"/>
    <w:basedOn w:val="DefaultParagraphFont"/>
    <w:rsid w:val="008A4AC8"/>
  </w:style>
  <w:style w:type="character" w:customStyle="1" w:styleId="meta-citation">
    <w:name w:val="meta-citation"/>
    <w:basedOn w:val="DefaultParagraphFont"/>
    <w:rsid w:val="008A4AC8"/>
  </w:style>
  <w:style w:type="table" w:customStyle="1" w:styleId="Commission3">
    <w:name w:val="Commission3"/>
    <w:basedOn w:val="TableNormal"/>
    <w:next w:val="TableGrid"/>
    <w:rsid w:val="008A4AC8"/>
    <w:pPr>
      <w:spacing w:after="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mmission4">
    <w:name w:val="Commission4"/>
    <w:basedOn w:val="TableNormal"/>
    <w:next w:val="TableGrid"/>
    <w:rsid w:val="00632475"/>
    <w:pPr>
      <w:spacing w:after="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32475"/>
    <w:pPr>
      <w:autoSpaceDE w:val="0"/>
      <w:autoSpaceDN w:val="0"/>
      <w:adjustRightInd w:val="0"/>
      <w:spacing w:after="0"/>
    </w:pPr>
    <w:rPr>
      <w:rFonts w:ascii="Gotham Medium" w:hAnsi="Gotham Medium" w:cs="Gotham Medium"/>
      <w:color w:val="000000"/>
      <w:sz w:val="24"/>
      <w:szCs w:val="24"/>
    </w:rPr>
  </w:style>
  <w:style w:type="table" w:customStyle="1" w:styleId="Commission5">
    <w:name w:val="Commission5"/>
    <w:basedOn w:val="TableNormal"/>
    <w:next w:val="TableGrid"/>
    <w:rsid w:val="0062216A"/>
    <w:pPr>
      <w:spacing w:after="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4E179B"/>
    <w:pPr>
      <w:spacing w:after="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IM">
    <w:name w:val="TRIM"/>
    <w:basedOn w:val="Normal"/>
    <w:qFormat/>
    <w:rsid w:val="00174535"/>
    <w:pPr>
      <w:spacing w:before="2000"/>
    </w:pPr>
  </w:style>
  <w:style w:type="paragraph" w:styleId="Revision">
    <w:name w:val="Revision"/>
    <w:hidden/>
    <w:uiPriority w:val="99"/>
    <w:semiHidden/>
    <w:rsid w:val="00174535"/>
    <w:pPr>
      <w:spacing w:after="0"/>
    </w:pPr>
  </w:style>
  <w:style w:type="paragraph" w:customStyle="1" w:styleId="NoParagraphStyle">
    <w:name w:val="[No Paragraph Style]"/>
    <w:rsid w:val="00183675"/>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GB" w:eastAsia="en-US"/>
    </w:rPr>
  </w:style>
  <w:style w:type="paragraph" w:customStyle="1" w:styleId="NormalFirstPara">
    <w:name w:val="NormalFirstPara"/>
    <w:basedOn w:val="Normal"/>
    <w:uiPriority w:val="99"/>
    <w:qFormat/>
    <w:rsid w:val="00DD5D99"/>
    <w:rPr>
      <w:b/>
    </w:rPr>
  </w:style>
  <w:style w:type="paragraph" w:customStyle="1" w:styleId="TableTitle">
    <w:name w:val="TableTitle"/>
    <w:basedOn w:val="Normal"/>
    <w:uiPriority w:val="99"/>
    <w:qFormat/>
    <w:rsid w:val="0099343F"/>
    <w:pPr>
      <w:spacing w:before="360" w:after="240"/>
    </w:pPr>
    <w:rPr>
      <w:b/>
      <w:lang w:eastAsia="en-US"/>
    </w:rPr>
  </w:style>
  <w:style w:type="paragraph" w:customStyle="1" w:styleId="NormalWord">
    <w:name w:val="Normal (&gt; Word)"/>
    <w:basedOn w:val="NoParagraphStyle"/>
    <w:uiPriority w:val="99"/>
    <w:rsid w:val="00183675"/>
    <w:pPr>
      <w:spacing w:before="120" w:after="120"/>
    </w:pPr>
    <w:rPr>
      <w:rFonts w:ascii="ArialMT" w:hAnsi="ArialMT" w:cs="ArialMT"/>
      <w:sz w:val="22"/>
      <w:szCs w:val="22"/>
      <w:lang w:val="en-US"/>
    </w:rPr>
  </w:style>
  <w:style w:type="paragraph" w:customStyle="1" w:styleId="NormalFirstWord">
    <w:name w:val="NormalFirst (&gt; Word)"/>
    <w:basedOn w:val="Normal"/>
    <w:uiPriority w:val="99"/>
    <w:rsid w:val="00183675"/>
    <w:pPr>
      <w:widowControl w:val="0"/>
      <w:autoSpaceDE w:val="0"/>
      <w:autoSpaceDN w:val="0"/>
      <w:adjustRightInd w:val="0"/>
      <w:spacing w:line="288" w:lineRule="auto"/>
      <w:textAlignment w:val="center"/>
    </w:pPr>
    <w:rPr>
      <w:rFonts w:ascii="Arial-BoldMT" w:hAnsi="Arial-BoldMT" w:cs="Arial-BoldMT"/>
      <w:b/>
      <w:bCs/>
      <w:color w:val="000000"/>
      <w:lang w:val="en-US" w:eastAsia="en-US"/>
    </w:rPr>
  </w:style>
  <w:style w:type="paragraph" w:customStyle="1" w:styleId="TableTitleWord">
    <w:name w:val="TableTitle (&gt; Word)"/>
    <w:basedOn w:val="Normal"/>
    <w:uiPriority w:val="99"/>
    <w:rsid w:val="00183675"/>
    <w:pPr>
      <w:widowControl w:val="0"/>
      <w:autoSpaceDE w:val="0"/>
      <w:autoSpaceDN w:val="0"/>
      <w:adjustRightInd w:val="0"/>
      <w:spacing w:line="288" w:lineRule="auto"/>
      <w:textAlignment w:val="center"/>
    </w:pPr>
    <w:rPr>
      <w:rFonts w:ascii="Arial-BoldMT" w:hAnsi="Arial-BoldMT" w:cs="Arial-BoldMT"/>
      <w:b/>
      <w:bCs/>
      <w:color w:val="000000"/>
      <w:lang w:val="en-US" w:eastAsia="en-US"/>
    </w:rPr>
  </w:style>
  <w:style w:type="paragraph" w:customStyle="1" w:styleId="TFIHolderBodystyles">
    <w:name w:val="TFIHolder (#) (Body styles)"/>
    <w:basedOn w:val="NormalWord"/>
    <w:uiPriority w:val="99"/>
    <w:rsid w:val="00183675"/>
    <w:pPr>
      <w:spacing w:before="113" w:after="170"/>
    </w:pPr>
  </w:style>
  <w:style w:type="paragraph" w:customStyle="1" w:styleId="NumberListLastBulletandNumberlists">
    <w:name w:val="NumberListLast (Bullet and Number lists)"/>
    <w:basedOn w:val="Normal"/>
    <w:uiPriority w:val="99"/>
    <w:rsid w:val="00D812BD"/>
    <w:pPr>
      <w:widowControl w:val="0"/>
      <w:autoSpaceDE w:val="0"/>
      <w:autoSpaceDN w:val="0"/>
      <w:adjustRightInd w:val="0"/>
      <w:spacing w:after="170" w:line="288" w:lineRule="auto"/>
      <w:ind w:left="720"/>
      <w:textAlignment w:val="center"/>
    </w:pPr>
    <w:rPr>
      <w:rFonts w:ascii="ArialMT" w:hAnsi="ArialMT" w:cs="ArialMT"/>
      <w:color w:val="000000"/>
      <w:lang w:val="en-US" w:eastAsia="en-US"/>
    </w:rPr>
  </w:style>
  <w:style w:type="paragraph" w:customStyle="1" w:styleId="FootnoteText1">
    <w:name w:val="Footnote Text1"/>
    <w:basedOn w:val="Normal"/>
    <w:uiPriority w:val="99"/>
    <w:rsid w:val="00183675"/>
    <w:pPr>
      <w:widowControl w:val="0"/>
      <w:autoSpaceDE w:val="0"/>
      <w:autoSpaceDN w:val="0"/>
      <w:adjustRightInd w:val="0"/>
      <w:spacing w:line="288" w:lineRule="auto"/>
      <w:textAlignment w:val="center"/>
    </w:pPr>
    <w:rPr>
      <w:rFonts w:ascii="ArialMT" w:hAnsi="ArialMT" w:cs="ArialMT"/>
      <w:color w:val="000000"/>
      <w:sz w:val="20"/>
      <w:szCs w:val="20"/>
      <w:lang w:val="en-US" w:eastAsia="en-US"/>
    </w:rPr>
  </w:style>
  <w:style w:type="paragraph" w:customStyle="1" w:styleId="GlossaryIndex">
    <w:name w:val="Glossary (Index"/>
    <w:aliases w:val="Glossary)"/>
    <w:basedOn w:val="NormalWord"/>
    <w:uiPriority w:val="99"/>
    <w:rsid w:val="00183675"/>
    <w:pPr>
      <w:keepLines/>
    </w:pPr>
  </w:style>
  <w:style w:type="character" w:customStyle="1" w:styleId="Superscript">
    <w:name w:val="Superscript"/>
    <w:uiPriority w:val="99"/>
    <w:rsid w:val="00183675"/>
    <w:rPr>
      <w:u w:val="none"/>
      <w:vertAlign w:val="superscript"/>
    </w:rPr>
  </w:style>
  <w:style w:type="character" w:customStyle="1" w:styleId="H3CAPS">
    <w:name w:val="H3 CAPS"/>
    <w:uiPriority w:val="99"/>
    <w:rsid w:val="00183675"/>
    <w:rPr>
      <w:sz w:val="27"/>
      <w:szCs w:val="27"/>
    </w:rPr>
  </w:style>
  <w:style w:type="character" w:customStyle="1" w:styleId="CallunaItalic">
    <w:name w:val="Calluna Italic"/>
    <w:uiPriority w:val="99"/>
    <w:rsid w:val="00183675"/>
    <w:rPr>
      <w:rFonts w:ascii="Calluna-It" w:hAnsi="Calluna-It" w:cs="Calluna-It"/>
      <w:i/>
      <w:iCs/>
      <w:color w:val="000000"/>
    </w:rPr>
  </w:style>
  <w:style w:type="character" w:customStyle="1" w:styleId="StrongMuseo">
    <w:name w:val="Strong Museo"/>
    <w:uiPriority w:val="99"/>
    <w:rsid w:val="00183675"/>
    <w:rPr>
      <w:u w:val="none" w:color="000000"/>
    </w:rPr>
  </w:style>
  <w:style w:type="paragraph" w:customStyle="1" w:styleId="TFIHolderBodystyles0">
    <w:name w:val="TFIHolder (Body styles)"/>
    <w:basedOn w:val="Normal"/>
    <w:uiPriority w:val="99"/>
    <w:rsid w:val="002E7082"/>
    <w:pPr>
      <w:widowControl w:val="0"/>
      <w:autoSpaceDE w:val="0"/>
      <w:autoSpaceDN w:val="0"/>
      <w:adjustRightInd w:val="0"/>
      <w:spacing w:before="113" w:after="0" w:line="288" w:lineRule="auto"/>
      <w:textAlignment w:val="center"/>
    </w:pPr>
    <w:rPr>
      <w:rFonts w:ascii="ArialMT" w:hAnsi="ArialMT" w:cs="ArialMT"/>
      <w:color w:val="000000"/>
      <w:lang w:val="en-US" w:eastAsia="en-US"/>
    </w:rPr>
  </w:style>
  <w:style w:type="paragraph" w:customStyle="1" w:styleId="CitationImprintpage">
    <w:name w:val="Citation (Imprint page)"/>
    <w:basedOn w:val="Normal"/>
    <w:uiPriority w:val="99"/>
    <w:rsid w:val="002E7082"/>
    <w:pPr>
      <w:widowControl w:val="0"/>
      <w:autoSpaceDE w:val="0"/>
      <w:autoSpaceDN w:val="0"/>
      <w:adjustRightInd w:val="0"/>
      <w:spacing w:line="288" w:lineRule="auto"/>
      <w:ind w:left="567"/>
      <w:textAlignment w:val="center"/>
    </w:pPr>
    <w:rPr>
      <w:rFonts w:ascii="ArialMT" w:hAnsi="ArialMT" w:cs="ArialMT"/>
      <w:color w:val="000000"/>
      <w:lang w:val="en-US" w:eastAsia="en-US"/>
    </w:rPr>
  </w:style>
  <w:style w:type="paragraph" w:styleId="DocumentMap">
    <w:name w:val="Document Map"/>
    <w:basedOn w:val="Normal"/>
    <w:link w:val="DocumentMapChar"/>
    <w:uiPriority w:val="98"/>
    <w:semiHidden/>
    <w:unhideWhenUsed/>
    <w:locked/>
    <w:rsid w:val="006F7964"/>
    <w:pPr>
      <w:spacing w:before="0" w:after="0"/>
    </w:pPr>
    <w:rPr>
      <w:rFonts w:ascii="Lucida Grande" w:hAnsi="Lucida Grande" w:cs="Lucida Grande"/>
      <w:sz w:val="24"/>
      <w:szCs w:val="24"/>
    </w:rPr>
  </w:style>
  <w:style w:type="character" w:customStyle="1" w:styleId="DocumentMapChar">
    <w:name w:val="Document Map Char"/>
    <w:basedOn w:val="DefaultParagraphFont"/>
    <w:link w:val="DocumentMap"/>
    <w:uiPriority w:val="98"/>
    <w:semiHidden/>
    <w:rsid w:val="006F7964"/>
    <w:rPr>
      <w:rFonts w:ascii="Lucida Grande" w:hAnsi="Lucida Grande" w:cs="Lucida Grande"/>
      <w:sz w:val="24"/>
      <w:szCs w:val="24"/>
    </w:rPr>
  </w:style>
  <w:style w:type="character" w:customStyle="1" w:styleId="HyperlinkBlue">
    <w:name w:val="Hyperlink Blue"/>
    <w:uiPriority w:val="99"/>
    <w:rsid w:val="00195458"/>
    <w:rPr>
      <w:color w:val="000000"/>
      <w:u w:val="thick" w:color="00B6F0"/>
    </w:rPr>
  </w:style>
  <w:style w:type="paragraph" w:customStyle="1" w:styleId="CopyrightMasterpages">
    <w:name w:val="Copyright (Master pages)"/>
    <w:basedOn w:val="Normal"/>
    <w:uiPriority w:val="99"/>
    <w:rsid w:val="00195458"/>
    <w:pPr>
      <w:widowControl w:val="0"/>
      <w:suppressAutoHyphens/>
      <w:autoSpaceDE w:val="0"/>
      <w:autoSpaceDN w:val="0"/>
      <w:adjustRightInd w:val="0"/>
      <w:spacing w:before="0" w:after="0" w:line="180" w:lineRule="atLeast"/>
      <w:textAlignment w:val="center"/>
    </w:pPr>
    <w:rPr>
      <w:rFonts w:ascii="ProximaNova-Bold" w:hAnsi="ProximaNova-Bold" w:cs="ProximaNova-Bold"/>
      <w:b/>
      <w:bCs/>
      <w:color w:val="000000"/>
      <w:sz w:val="16"/>
      <w:szCs w:val="16"/>
      <w:lang w:val="en-GB"/>
    </w:rPr>
  </w:style>
  <w:style w:type="character" w:customStyle="1" w:styleId="Roman">
    <w:name w:val="Roman"/>
    <w:uiPriority w:val="99"/>
    <w:rsid w:val="00195458"/>
  </w:style>
  <w:style w:type="paragraph" w:customStyle="1" w:styleId="WebsiteMasterpages">
    <w:name w:val="Website (Master pages)"/>
    <w:basedOn w:val="Normal"/>
    <w:uiPriority w:val="99"/>
    <w:rsid w:val="00195458"/>
    <w:pPr>
      <w:widowControl w:val="0"/>
      <w:suppressAutoHyphens/>
      <w:autoSpaceDE w:val="0"/>
      <w:autoSpaceDN w:val="0"/>
      <w:adjustRightInd w:val="0"/>
      <w:spacing w:before="0" w:after="0" w:line="250" w:lineRule="atLeast"/>
      <w:textAlignment w:val="center"/>
    </w:pPr>
    <w:rPr>
      <w:rFonts w:ascii="ProximaNova-Bold" w:hAnsi="ProximaNova-Bold" w:cs="ProximaNova-Bold"/>
      <w:b/>
      <w:bCs/>
      <w:color w:val="1178A2"/>
      <w:sz w:val="27"/>
      <w:szCs w:val="27"/>
      <w:u w:color="1178A2"/>
      <w:lang w:val="en-US"/>
    </w:rPr>
  </w:style>
  <w:style w:type="character" w:customStyle="1" w:styleId="Italic">
    <w:name w:val="Italic"/>
    <w:uiPriority w:val="99"/>
    <w:rsid w:val="0099343F"/>
    <w:rPr>
      <w:i/>
      <w:iCs/>
    </w:rPr>
  </w:style>
  <w:style w:type="character" w:customStyle="1" w:styleId="H1Asterisk">
    <w:name w:val="H1 Asterisk"/>
    <w:uiPriority w:val="99"/>
    <w:rsid w:val="007B5D05"/>
    <w:rPr>
      <w:position w:val="20"/>
      <w:sz w:val="27"/>
      <w:szCs w:val="27"/>
    </w:rPr>
  </w:style>
  <w:style w:type="paragraph" w:customStyle="1" w:styleId="BulletNumberBulletandNumberlists">
    <w:name w:val="Bullet Number (Bullet and Number lists)"/>
    <w:basedOn w:val="Normal"/>
    <w:uiPriority w:val="99"/>
    <w:rsid w:val="007B5D05"/>
    <w:pPr>
      <w:widowControl w:val="0"/>
      <w:autoSpaceDE w:val="0"/>
      <w:autoSpaceDN w:val="0"/>
      <w:adjustRightInd w:val="0"/>
      <w:spacing w:after="57" w:line="288" w:lineRule="auto"/>
      <w:textAlignment w:val="center"/>
    </w:pPr>
    <w:rPr>
      <w:rFonts w:ascii="ArialMT" w:hAnsi="ArialMT" w:cs="ArialMT"/>
      <w:color w:val="000000"/>
      <w:lang w:val="en-US" w:eastAsia="en-US"/>
    </w:rPr>
  </w:style>
  <w:style w:type="paragraph" w:customStyle="1" w:styleId="BulletNumberContBulletandNumberlists">
    <w:name w:val="Bullet Number Cont (Bullet and Number lists)"/>
    <w:basedOn w:val="BulletNumberBulletandNumberlists"/>
    <w:uiPriority w:val="99"/>
    <w:rsid w:val="007B5D05"/>
  </w:style>
  <w:style w:type="paragraph" w:customStyle="1" w:styleId="BulletNumberLastBulletandNumberlists">
    <w:name w:val="Bullet Number Last (Bullet and Number lists)"/>
    <w:basedOn w:val="Normal"/>
    <w:uiPriority w:val="99"/>
    <w:rsid w:val="007B5D05"/>
    <w:pPr>
      <w:widowControl w:val="0"/>
      <w:autoSpaceDE w:val="0"/>
      <w:autoSpaceDN w:val="0"/>
      <w:adjustRightInd w:val="0"/>
      <w:spacing w:after="142" w:line="288" w:lineRule="auto"/>
      <w:textAlignment w:val="center"/>
    </w:pPr>
    <w:rPr>
      <w:rFonts w:ascii="ArialMT" w:hAnsi="ArialMT" w:cs="ArialMT"/>
      <w:color w:val="000000"/>
      <w:lang w:val="en-US" w:eastAsia="en-US"/>
    </w:rPr>
  </w:style>
  <w:style w:type="paragraph" w:customStyle="1" w:styleId="NormalBeforeBulletBodystyles">
    <w:name w:val="NormalBeforeBullet (Body styles)"/>
    <w:basedOn w:val="Normal"/>
    <w:next w:val="Normal"/>
    <w:uiPriority w:val="99"/>
    <w:rsid w:val="0036588B"/>
    <w:pPr>
      <w:keepNext/>
      <w:widowControl w:val="0"/>
      <w:suppressAutoHyphens/>
      <w:autoSpaceDE w:val="0"/>
      <w:autoSpaceDN w:val="0"/>
      <w:adjustRightInd w:val="0"/>
      <w:spacing w:after="57" w:line="288" w:lineRule="auto"/>
      <w:textAlignment w:val="center"/>
    </w:pPr>
    <w:rPr>
      <w:rFonts w:ascii="ArialMT" w:hAnsi="ArialMT" w:cs="ArialMT"/>
      <w:color w:val="000000"/>
      <w:sz w:val="18"/>
      <w:szCs w:val="18"/>
      <w:lang w:val="en-US" w:eastAsia="en-US"/>
    </w:rPr>
  </w:style>
  <w:style w:type="paragraph" w:customStyle="1" w:styleId="Heading3andFigsHeadings">
    <w:name w:val="Heading 3 (and Figs) (Headings)"/>
    <w:basedOn w:val="Normal"/>
    <w:uiPriority w:val="99"/>
    <w:rsid w:val="00820059"/>
    <w:pPr>
      <w:widowControl w:val="0"/>
      <w:suppressAutoHyphens/>
      <w:autoSpaceDE w:val="0"/>
      <w:autoSpaceDN w:val="0"/>
      <w:adjustRightInd w:val="0"/>
      <w:spacing w:before="140" w:after="80" w:line="288" w:lineRule="auto"/>
      <w:textAlignment w:val="center"/>
    </w:pPr>
    <w:rPr>
      <w:rFonts w:ascii="ProximaNova-Bold" w:hAnsi="ProximaNova-Bold" w:cs="ProximaNova-Bold"/>
      <w:b/>
      <w:bCs/>
      <w:color w:val="000000"/>
      <w:sz w:val="24"/>
      <w:szCs w:val="24"/>
      <w:lang w:val="en-GB" w:eastAsia="en-US"/>
    </w:rPr>
  </w:style>
  <w:style w:type="character" w:customStyle="1" w:styleId="Hyperlinkwrd1">
    <w:name w:val="Hyperlink_wrd_1"/>
    <w:uiPriority w:val="99"/>
    <w:rsid w:val="0036588B"/>
    <w:rPr>
      <w:color w:val="0000FF"/>
      <w:w w:val="100"/>
      <w:u w:val="thick" w:color="0000FF"/>
    </w:rPr>
  </w:style>
  <w:style w:type="character" w:styleId="UnresolvedMention">
    <w:name w:val="Unresolved Mention"/>
    <w:basedOn w:val="DefaultParagraphFont"/>
    <w:uiPriority w:val="99"/>
    <w:semiHidden/>
    <w:unhideWhenUsed/>
    <w:rsid w:val="00AB0A6E"/>
    <w:rPr>
      <w:color w:val="605E5C"/>
      <w:shd w:val="clear" w:color="auto" w:fill="E1DFDD"/>
    </w:rPr>
  </w:style>
  <w:style w:type="paragraph" w:customStyle="1" w:styleId="Category">
    <w:name w:val="Category"/>
    <w:basedOn w:val="Subheading"/>
    <w:qFormat/>
    <w:rsid w:val="007449EB"/>
    <w:pPr>
      <w:spacing w:before="0" w:after="0"/>
      <w:jc w:val="right"/>
    </w:pPr>
    <w:rPr>
      <w:color w:val="000000" w:themeColor="text1"/>
      <w:sz w:val="28"/>
      <w:szCs w:val="40"/>
      <w:lang w:val="en-US"/>
    </w:rPr>
  </w:style>
  <w:style w:type="paragraph" w:customStyle="1" w:styleId="On-PageReferencesHeadBodystyles">
    <w:name w:val="On-Page References Head (Body styles)"/>
    <w:basedOn w:val="Normal"/>
    <w:uiPriority w:val="99"/>
    <w:rsid w:val="00F85302"/>
    <w:pPr>
      <w:widowControl w:val="0"/>
      <w:tabs>
        <w:tab w:val="left" w:pos="340"/>
      </w:tabs>
      <w:suppressAutoHyphens/>
      <w:autoSpaceDE w:val="0"/>
      <w:autoSpaceDN w:val="0"/>
      <w:adjustRightInd w:val="0"/>
      <w:spacing w:before="170" w:after="28" w:line="288" w:lineRule="auto"/>
      <w:textAlignment w:val="center"/>
    </w:pPr>
    <w:rPr>
      <w:rFonts w:ascii="Proxima Nova" w:eastAsiaTheme="minorEastAsia" w:hAnsi="Proxima Nova" w:cs="Proxima Nova"/>
      <w:b/>
      <w:bCs/>
      <w:color w:val="000000"/>
      <w:sz w:val="18"/>
      <w:szCs w:val="18"/>
      <w:lang w:val="en-GB" w:eastAsia="en-GB"/>
    </w:rPr>
  </w:style>
  <w:style w:type="paragraph" w:customStyle="1" w:styleId="On-PageReferencesListNumberBodystyles">
    <w:name w:val="On-Page References List Number (Body styles)"/>
    <w:basedOn w:val="BulletNumberBulletandNumberlists"/>
    <w:uiPriority w:val="99"/>
    <w:rsid w:val="00F85302"/>
    <w:pPr>
      <w:spacing w:after="28" w:line="230" w:lineRule="atLeast"/>
      <w:ind w:left="198" w:hanging="198"/>
    </w:pPr>
    <w:rPr>
      <w:rFonts w:ascii="Arial" w:eastAsiaTheme="minorEastAsia" w:hAnsi="Arial" w:cs="Arial"/>
      <w:sz w:val="17"/>
      <w:szCs w:val="17"/>
      <w:lang w:eastAsia="en-GB"/>
    </w:rPr>
  </w:style>
  <w:style w:type="paragraph" w:customStyle="1" w:styleId="On-PageReferencesListNumberContBodystyles">
    <w:name w:val="On-Page References List Number Cont (Body styles)"/>
    <w:basedOn w:val="On-PageReferencesListNumberBodystyles"/>
    <w:uiPriority w:val="99"/>
    <w:rsid w:val="00F85302"/>
  </w:style>
  <w:style w:type="paragraph" w:customStyle="1" w:styleId="On-PageReferencesListNumberLastBodystyles">
    <w:name w:val="On-Page References List Number Last (Body styles)"/>
    <w:basedOn w:val="On-PageReferencesListNumberContBodystyles"/>
    <w:uiPriority w:val="99"/>
    <w:rsid w:val="00F85302"/>
    <w:pPr>
      <w:spacing w:after="142"/>
    </w:pPr>
  </w:style>
  <w:style w:type="paragraph" w:customStyle="1" w:styleId="TitleH1Headings">
    <w:name w:val="Title (H1) (Headings)"/>
    <w:basedOn w:val="Normal"/>
    <w:next w:val="NormalBodystyles"/>
    <w:uiPriority w:val="99"/>
    <w:rsid w:val="0058792B"/>
    <w:pPr>
      <w:keepNext/>
      <w:tabs>
        <w:tab w:val="left" w:pos="850"/>
      </w:tabs>
      <w:suppressAutoHyphens/>
      <w:autoSpaceDE w:val="0"/>
      <w:autoSpaceDN w:val="0"/>
      <w:adjustRightInd w:val="0"/>
      <w:spacing w:before="0" w:after="510" w:line="247" w:lineRule="auto"/>
      <w:textAlignment w:val="center"/>
    </w:pPr>
    <w:rPr>
      <w:rFonts w:ascii="Proxima Nova Extrabold" w:hAnsi="Proxima Nova Extrabold" w:cs="Proxima Nova Extrabold"/>
      <w:b/>
      <w:bCs/>
      <w:color w:val="003565"/>
      <w:sz w:val="68"/>
      <w:szCs w:val="68"/>
      <w:lang w:val="en-GB"/>
    </w:rPr>
  </w:style>
  <w:style w:type="paragraph" w:customStyle="1" w:styleId="Heading2Headings">
    <w:name w:val="Heading 2 (Headings)"/>
    <w:basedOn w:val="Normal"/>
    <w:next w:val="NormalBodystyles"/>
    <w:uiPriority w:val="99"/>
    <w:rsid w:val="0058792B"/>
    <w:pPr>
      <w:suppressAutoHyphens/>
      <w:autoSpaceDE w:val="0"/>
      <w:autoSpaceDN w:val="0"/>
      <w:adjustRightInd w:val="0"/>
      <w:spacing w:before="170" w:after="170" w:line="320" w:lineRule="atLeast"/>
      <w:textAlignment w:val="center"/>
    </w:pPr>
    <w:rPr>
      <w:rFonts w:ascii="Proxima Nova" w:hAnsi="Proxima Nova" w:cs="Proxima Nova"/>
      <w:b/>
      <w:bCs/>
      <w:color w:val="003565"/>
      <w:sz w:val="30"/>
      <w:szCs w:val="30"/>
      <w:lang w:val="en-GB"/>
    </w:rPr>
  </w:style>
  <w:style w:type="paragraph" w:customStyle="1" w:styleId="NormalBodystyles">
    <w:name w:val="Normal (Body styles)"/>
    <w:basedOn w:val="Normal"/>
    <w:uiPriority w:val="99"/>
    <w:rsid w:val="0058792B"/>
    <w:pPr>
      <w:suppressAutoHyphens/>
      <w:autoSpaceDE w:val="0"/>
      <w:autoSpaceDN w:val="0"/>
      <w:adjustRightInd w:val="0"/>
      <w:spacing w:before="0" w:after="142" w:line="250" w:lineRule="atLeast"/>
      <w:textAlignment w:val="center"/>
    </w:pPr>
    <w:rPr>
      <w:rFonts w:ascii="Open Sans" w:hAnsi="Open Sans" w:cs="Open Sans"/>
      <w:color w:val="000000"/>
      <w:sz w:val="19"/>
      <w:szCs w:val="19"/>
      <w:lang w:val="en-GB"/>
    </w:rPr>
  </w:style>
  <w:style w:type="paragraph" w:customStyle="1" w:styleId="NormalBeforeBulletBodystyles0">
    <w:name w:val="Normal Before Bullet (Body styles)"/>
    <w:basedOn w:val="NormalBodystyles"/>
    <w:next w:val="BulletBulletandNumberlists"/>
    <w:uiPriority w:val="99"/>
    <w:rsid w:val="0058792B"/>
    <w:pPr>
      <w:keepNext/>
      <w:spacing w:after="57"/>
    </w:pPr>
  </w:style>
  <w:style w:type="paragraph" w:customStyle="1" w:styleId="BulletBulletandNumberlists">
    <w:name w:val="Bullet (Bullet and Number lists)"/>
    <w:basedOn w:val="NormalBodystyles"/>
    <w:uiPriority w:val="99"/>
    <w:rsid w:val="0058792B"/>
    <w:pPr>
      <w:tabs>
        <w:tab w:val="left" w:pos="255"/>
      </w:tabs>
      <w:spacing w:after="57"/>
      <w:ind w:left="255" w:hanging="255"/>
    </w:pPr>
  </w:style>
  <w:style w:type="paragraph" w:customStyle="1" w:styleId="BulletLastBulletandNumberlists">
    <w:name w:val="Bullet Last (Bullet and Number lists)"/>
    <w:basedOn w:val="BulletBulletandNumberlists"/>
    <w:uiPriority w:val="99"/>
    <w:rsid w:val="0058792B"/>
    <w:pPr>
      <w:spacing w:after="142"/>
    </w:pPr>
  </w:style>
  <w:style w:type="paragraph" w:customStyle="1" w:styleId="Heading3andFigsspanHeadings">
    <w:name w:val="Heading 3 (and Figs) (span) (Headings)"/>
    <w:basedOn w:val="Heading3andFigsHeadings"/>
    <w:uiPriority w:val="99"/>
    <w:rsid w:val="0058792B"/>
    <w:pPr>
      <w:widowControl/>
      <w:spacing w:before="113" w:after="227" w:line="276" w:lineRule="auto"/>
    </w:pPr>
    <w:rPr>
      <w:rFonts w:ascii="Proxima Nova" w:hAnsi="Proxima Nova" w:cs="Proxima Nova"/>
      <w:lang w:eastAsia="en-AU"/>
    </w:rPr>
  </w:style>
  <w:style w:type="paragraph" w:customStyle="1" w:styleId="TFHolderspanBodystyles">
    <w:name w:val="# TF Holder # (span) (Body styles)"/>
    <w:basedOn w:val="NormalBodystyles"/>
    <w:uiPriority w:val="99"/>
    <w:rsid w:val="0058792B"/>
  </w:style>
  <w:style w:type="paragraph" w:customStyle="1" w:styleId="AttachmentH1Headings">
    <w:name w:val="Attachment (H1) (Headings)"/>
    <w:basedOn w:val="Normal"/>
    <w:next w:val="NormalBodystyles"/>
    <w:uiPriority w:val="99"/>
    <w:rsid w:val="0058792B"/>
    <w:pPr>
      <w:suppressAutoHyphens/>
      <w:autoSpaceDE w:val="0"/>
      <w:autoSpaceDN w:val="0"/>
      <w:adjustRightInd w:val="0"/>
      <w:spacing w:before="0" w:after="340" w:line="440" w:lineRule="atLeast"/>
      <w:textAlignment w:val="center"/>
    </w:pPr>
    <w:rPr>
      <w:rFonts w:ascii="Proxima Nova" w:hAnsi="Proxima Nova" w:cs="Proxima Nova"/>
      <w:b/>
      <w:bCs/>
      <w:color w:val="000000"/>
      <w:sz w:val="40"/>
      <w:szCs w:val="40"/>
      <w:lang w:val="en-GB"/>
    </w:rPr>
  </w:style>
  <w:style w:type="paragraph" w:customStyle="1" w:styleId="FootnoteBodystyles">
    <w:name w:val="Footnote (Body styles)"/>
    <w:basedOn w:val="On-PageReferencesListNumberBodystyles"/>
    <w:uiPriority w:val="99"/>
    <w:rsid w:val="0058792B"/>
    <w:pPr>
      <w:widowControl/>
      <w:tabs>
        <w:tab w:val="left" w:pos="255"/>
      </w:tabs>
      <w:suppressAutoHyphens/>
      <w:spacing w:before="0" w:line="190" w:lineRule="atLeast"/>
    </w:pPr>
    <w:rPr>
      <w:rFonts w:ascii="Open Sans" w:eastAsia="Times New Roman" w:hAnsi="Open Sans" w:cs="Open Sans"/>
      <w:sz w:val="16"/>
      <w:szCs w:val="16"/>
      <w:lang w:eastAsia="en-AU"/>
    </w:rPr>
  </w:style>
  <w:style w:type="paragraph" w:customStyle="1" w:styleId="TickBulletGrouplessBulletandNumberlists">
    <w:name w:val="Tick Bullet Group (less #) (Bullet and Number lists)"/>
    <w:basedOn w:val="BulletBulletandNumberlists"/>
    <w:uiPriority w:val="99"/>
    <w:rsid w:val="0058792B"/>
    <w:pPr>
      <w:spacing w:after="142"/>
      <w:ind w:left="369" w:hanging="369"/>
    </w:pPr>
  </w:style>
  <w:style w:type="paragraph" w:customStyle="1" w:styleId="Heading3lessafterHeadings">
    <w:name w:val="Heading 3 (less # after) (Headings)"/>
    <w:basedOn w:val="Heading3andFigsHeadings"/>
    <w:uiPriority w:val="99"/>
    <w:rsid w:val="0058792B"/>
    <w:pPr>
      <w:widowControl/>
      <w:spacing w:before="113" w:after="170" w:line="276" w:lineRule="auto"/>
    </w:pPr>
    <w:rPr>
      <w:rFonts w:ascii="Proxima Nova" w:hAnsi="Proxima Nova" w:cs="Proxima Nova"/>
      <w:lang w:eastAsia="en-AU"/>
    </w:rPr>
  </w:style>
  <w:style w:type="paragraph" w:customStyle="1" w:styleId="Heading3afterH2Headings">
    <w:name w:val="Heading 3 (after H2) (Headings)"/>
    <w:basedOn w:val="Heading3lessafterHeadings"/>
    <w:uiPriority w:val="99"/>
    <w:rsid w:val="0058792B"/>
    <w:pPr>
      <w:spacing w:before="28"/>
    </w:pPr>
  </w:style>
  <w:style w:type="paragraph" w:customStyle="1" w:styleId="Heading4Headings">
    <w:name w:val="Heading 4 (Headings)"/>
    <w:basedOn w:val="Normal"/>
    <w:next w:val="NormalBodystyles"/>
    <w:uiPriority w:val="99"/>
    <w:rsid w:val="0058792B"/>
    <w:pPr>
      <w:suppressAutoHyphens/>
      <w:autoSpaceDE w:val="0"/>
      <w:autoSpaceDN w:val="0"/>
      <w:adjustRightInd w:val="0"/>
      <w:spacing w:before="85" w:after="113" w:line="250" w:lineRule="atLeast"/>
      <w:textAlignment w:val="center"/>
    </w:pPr>
    <w:rPr>
      <w:rFonts w:ascii="Proxima Nova" w:hAnsi="Proxima Nova" w:cs="Proxima Nova"/>
      <w:b/>
      <w:bCs/>
      <w:color w:val="000000"/>
      <w:lang w:val="en-GB"/>
    </w:rPr>
  </w:style>
  <w:style w:type="paragraph" w:customStyle="1" w:styleId="Heading4afterH3Headings">
    <w:name w:val="Heading 4 (after H3) (Headings)"/>
    <w:basedOn w:val="Heading4Headings"/>
    <w:next w:val="NormalBodystyles"/>
    <w:uiPriority w:val="99"/>
    <w:rsid w:val="0058792B"/>
    <w:pPr>
      <w:spacing w:before="0"/>
    </w:pPr>
  </w:style>
  <w:style w:type="paragraph" w:customStyle="1" w:styleId="TableTextTables">
    <w:name w:val="Table Text (Tables)"/>
    <w:basedOn w:val="NoParagraphStyle"/>
    <w:uiPriority w:val="99"/>
    <w:rsid w:val="0058792B"/>
    <w:pPr>
      <w:widowControl/>
      <w:suppressAutoHyphens/>
      <w:spacing w:after="57" w:line="250" w:lineRule="atLeast"/>
    </w:pPr>
    <w:rPr>
      <w:rFonts w:ascii="Open Sans" w:hAnsi="Open Sans" w:cs="Open Sans"/>
      <w:sz w:val="19"/>
      <w:szCs w:val="19"/>
      <w:lang w:val="en-US" w:eastAsia="en-AU"/>
    </w:rPr>
  </w:style>
  <w:style w:type="paragraph" w:customStyle="1" w:styleId="TableTextBeforeBulletTables">
    <w:name w:val="Table Text Before Bullet  (Tables)"/>
    <w:basedOn w:val="TableTextTables"/>
    <w:uiPriority w:val="99"/>
    <w:rsid w:val="0058792B"/>
  </w:style>
  <w:style w:type="paragraph" w:customStyle="1" w:styleId="TableTextBulletTables">
    <w:name w:val="Table Text Bullet (Tables)"/>
    <w:basedOn w:val="TableTextTables"/>
    <w:uiPriority w:val="99"/>
    <w:rsid w:val="0058792B"/>
    <w:pPr>
      <w:tabs>
        <w:tab w:val="left" w:pos="255"/>
      </w:tabs>
      <w:ind w:left="255" w:hanging="227"/>
    </w:pPr>
  </w:style>
  <w:style w:type="paragraph" w:customStyle="1" w:styleId="BulletBeforeDashBulletandNumberlists">
    <w:name w:val="Bullet Before Dash (Bullet and Number lists)"/>
    <w:basedOn w:val="BulletBulletandNumberlists"/>
    <w:uiPriority w:val="99"/>
    <w:rsid w:val="0058792B"/>
    <w:pPr>
      <w:spacing w:after="28"/>
    </w:pPr>
  </w:style>
  <w:style w:type="paragraph" w:customStyle="1" w:styleId="DashBulletandNumberlists">
    <w:name w:val="Dash (Bullet and Number lists)"/>
    <w:basedOn w:val="Normal"/>
    <w:uiPriority w:val="99"/>
    <w:rsid w:val="0058792B"/>
    <w:pPr>
      <w:tabs>
        <w:tab w:val="left" w:pos="0"/>
        <w:tab w:val="left" w:pos="227"/>
      </w:tabs>
      <w:suppressAutoHyphens/>
      <w:autoSpaceDE w:val="0"/>
      <w:autoSpaceDN w:val="0"/>
      <w:adjustRightInd w:val="0"/>
      <w:spacing w:before="0" w:after="28" w:line="250" w:lineRule="atLeast"/>
      <w:ind w:left="510" w:hanging="227"/>
      <w:textAlignment w:val="center"/>
    </w:pPr>
    <w:rPr>
      <w:rFonts w:ascii="Open Sans" w:hAnsi="Open Sans" w:cs="Open Sans"/>
      <w:color w:val="000000"/>
      <w:sz w:val="19"/>
      <w:szCs w:val="19"/>
      <w:lang w:val="en-GB"/>
    </w:rPr>
  </w:style>
  <w:style w:type="paragraph" w:customStyle="1" w:styleId="DashFinalBulletandNumberlists">
    <w:name w:val="Dash Final (Bullet and Number lists)"/>
    <w:basedOn w:val="Normal"/>
    <w:next w:val="Normal"/>
    <w:uiPriority w:val="99"/>
    <w:rsid w:val="0058792B"/>
    <w:pPr>
      <w:tabs>
        <w:tab w:val="left" w:pos="0"/>
        <w:tab w:val="left" w:pos="227"/>
      </w:tabs>
      <w:suppressAutoHyphens/>
      <w:autoSpaceDE w:val="0"/>
      <w:autoSpaceDN w:val="0"/>
      <w:adjustRightInd w:val="0"/>
      <w:spacing w:before="0" w:after="142" w:line="250" w:lineRule="atLeast"/>
      <w:ind w:left="510" w:hanging="227"/>
      <w:textAlignment w:val="center"/>
    </w:pPr>
    <w:rPr>
      <w:rFonts w:ascii="Open Sans" w:hAnsi="Open Sans" w:cs="Open Sans"/>
      <w:color w:val="000000"/>
      <w:sz w:val="19"/>
      <w:szCs w:val="19"/>
      <w:lang w:val="en-GB"/>
    </w:rPr>
  </w:style>
  <w:style w:type="paragraph" w:customStyle="1" w:styleId="TableHeadingTables">
    <w:name w:val="TableHeading (Tables)"/>
    <w:basedOn w:val="Normal"/>
    <w:uiPriority w:val="99"/>
    <w:rsid w:val="0058792B"/>
    <w:pPr>
      <w:suppressAutoHyphens/>
      <w:autoSpaceDE w:val="0"/>
      <w:autoSpaceDN w:val="0"/>
      <w:adjustRightInd w:val="0"/>
      <w:spacing w:before="0" w:after="0" w:line="250" w:lineRule="atLeast"/>
      <w:textAlignment w:val="center"/>
    </w:pPr>
    <w:rPr>
      <w:rFonts w:ascii="Open Sans" w:hAnsi="Open Sans" w:cs="Open Sans"/>
      <w:b/>
      <w:bCs/>
      <w:color w:val="000000"/>
      <w:w w:val="95"/>
      <w:sz w:val="20"/>
      <w:szCs w:val="20"/>
      <w:lang w:val="en-GB"/>
    </w:rPr>
  </w:style>
  <w:style w:type="character" w:customStyle="1" w:styleId="Strongsemibold">
    <w:name w:val="Strong (semibold)"/>
    <w:basedOn w:val="DefaultParagraphFont"/>
    <w:uiPriority w:val="99"/>
    <w:rsid w:val="005879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971472">
      <w:bodyDiv w:val="1"/>
      <w:marLeft w:val="0"/>
      <w:marRight w:val="0"/>
      <w:marTop w:val="0"/>
      <w:marBottom w:val="0"/>
      <w:divBdr>
        <w:top w:val="none" w:sz="0" w:space="0" w:color="auto"/>
        <w:left w:val="none" w:sz="0" w:space="0" w:color="auto"/>
        <w:bottom w:val="none" w:sz="0" w:space="0" w:color="auto"/>
        <w:right w:val="none" w:sz="0" w:space="0" w:color="auto"/>
      </w:divBdr>
      <w:divsChild>
        <w:div w:id="382369097">
          <w:marLeft w:val="0"/>
          <w:marRight w:val="0"/>
          <w:marTop w:val="240"/>
          <w:marBottom w:val="480"/>
          <w:divBdr>
            <w:top w:val="none" w:sz="0" w:space="0" w:color="auto"/>
            <w:left w:val="none" w:sz="0" w:space="0" w:color="auto"/>
            <w:bottom w:val="none" w:sz="0" w:space="0" w:color="auto"/>
            <w:right w:val="none" w:sz="0" w:space="0" w:color="auto"/>
          </w:divBdr>
          <w:divsChild>
            <w:div w:id="87702876">
              <w:marLeft w:val="0"/>
              <w:marRight w:val="0"/>
              <w:marTop w:val="0"/>
              <w:marBottom w:val="0"/>
              <w:divBdr>
                <w:top w:val="none" w:sz="0" w:space="0" w:color="auto"/>
                <w:left w:val="none" w:sz="0" w:space="0" w:color="auto"/>
                <w:bottom w:val="none" w:sz="0" w:space="0" w:color="auto"/>
                <w:right w:val="none" w:sz="0" w:space="0" w:color="auto"/>
              </w:divBdr>
              <w:divsChild>
                <w:div w:id="112749679">
                  <w:marLeft w:val="0"/>
                  <w:marRight w:val="0"/>
                  <w:marTop w:val="0"/>
                  <w:marBottom w:val="0"/>
                  <w:divBdr>
                    <w:top w:val="none" w:sz="0" w:space="0" w:color="auto"/>
                    <w:left w:val="none" w:sz="0" w:space="0" w:color="auto"/>
                    <w:bottom w:val="none" w:sz="0" w:space="0" w:color="auto"/>
                    <w:right w:val="none" w:sz="0" w:space="0" w:color="auto"/>
                  </w:divBdr>
                  <w:divsChild>
                    <w:div w:id="1983850956">
                      <w:marLeft w:val="0"/>
                      <w:marRight w:val="0"/>
                      <w:marTop w:val="0"/>
                      <w:marBottom w:val="0"/>
                      <w:divBdr>
                        <w:top w:val="none" w:sz="0" w:space="0" w:color="auto"/>
                        <w:left w:val="none" w:sz="0" w:space="0" w:color="auto"/>
                        <w:bottom w:val="none" w:sz="0" w:space="0" w:color="auto"/>
                        <w:right w:val="none" w:sz="0" w:space="0" w:color="auto"/>
                      </w:divBdr>
                      <w:divsChild>
                        <w:div w:id="15825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48325">
      <w:bodyDiv w:val="1"/>
      <w:marLeft w:val="0"/>
      <w:marRight w:val="0"/>
      <w:marTop w:val="0"/>
      <w:marBottom w:val="0"/>
      <w:divBdr>
        <w:top w:val="none" w:sz="0" w:space="0" w:color="auto"/>
        <w:left w:val="none" w:sz="0" w:space="0" w:color="auto"/>
        <w:bottom w:val="none" w:sz="0" w:space="0" w:color="auto"/>
        <w:right w:val="none" w:sz="0" w:space="0" w:color="auto"/>
      </w:divBdr>
      <w:divsChild>
        <w:div w:id="794181293">
          <w:marLeft w:val="0"/>
          <w:marRight w:val="0"/>
          <w:marTop w:val="0"/>
          <w:marBottom w:val="0"/>
          <w:divBdr>
            <w:top w:val="none" w:sz="0" w:space="0" w:color="auto"/>
            <w:left w:val="none" w:sz="0" w:space="0" w:color="auto"/>
            <w:bottom w:val="none" w:sz="0" w:space="0" w:color="auto"/>
            <w:right w:val="none" w:sz="0" w:space="0" w:color="auto"/>
          </w:divBdr>
        </w:div>
      </w:divsChild>
    </w:div>
    <w:div w:id="1152867776">
      <w:bodyDiv w:val="1"/>
      <w:marLeft w:val="0"/>
      <w:marRight w:val="0"/>
      <w:marTop w:val="0"/>
      <w:marBottom w:val="0"/>
      <w:divBdr>
        <w:top w:val="none" w:sz="0" w:space="0" w:color="auto"/>
        <w:left w:val="none" w:sz="0" w:space="0" w:color="auto"/>
        <w:bottom w:val="none" w:sz="0" w:space="0" w:color="auto"/>
        <w:right w:val="none" w:sz="0" w:space="0" w:color="auto"/>
      </w:divBdr>
    </w:div>
    <w:div w:id="1350136222">
      <w:bodyDiv w:val="1"/>
      <w:marLeft w:val="0"/>
      <w:marRight w:val="0"/>
      <w:marTop w:val="0"/>
      <w:marBottom w:val="0"/>
      <w:divBdr>
        <w:top w:val="none" w:sz="0" w:space="0" w:color="auto"/>
        <w:left w:val="none" w:sz="0" w:space="0" w:color="auto"/>
        <w:bottom w:val="none" w:sz="0" w:space="0" w:color="auto"/>
        <w:right w:val="none" w:sz="0" w:space="0" w:color="auto"/>
      </w:divBdr>
    </w:div>
    <w:div w:id="1673139811">
      <w:bodyDiv w:val="1"/>
      <w:marLeft w:val="0"/>
      <w:marRight w:val="0"/>
      <w:marTop w:val="0"/>
      <w:marBottom w:val="0"/>
      <w:divBdr>
        <w:top w:val="none" w:sz="0" w:space="0" w:color="auto"/>
        <w:left w:val="none" w:sz="0" w:space="0" w:color="auto"/>
        <w:bottom w:val="none" w:sz="0" w:space="0" w:color="auto"/>
        <w:right w:val="none" w:sz="0" w:space="0" w:color="auto"/>
      </w:divBdr>
      <w:divsChild>
        <w:div w:id="857963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afetyandquality.gov.au/our-work/primary-health-care/national-general-practice-accreditation-scheme"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www.safetyandquality.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safetyandquality.gov.au/publications-and-resources/resource-library/advisory-gp1801-extensions-accreditation"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dviceCentre@safetyandquality.gov.au" TargetMode="External"/><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ommission">
      <a:dk1>
        <a:sysClr val="windowText" lastClr="000000"/>
      </a:dk1>
      <a:lt1>
        <a:sysClr val="window" lastClr="FFFFFF"/>
      </a:lt1>
      <a:dk2>
        <a:srgbClr val="1178A2"/>
      </a:dk2>
      <a:lt2>
        <a:srgbClr val="EEECE1"/>
      </a:lt2>
      <a:accent1>
        <a:srgbClr val="1178A2"/>
      </a:accent1>
      <a:accent2>
        <a:srgbClr val="00A9DD"/>
      </a:accent2>
      <a:accent3>
        <a:srgbClr val="125370"/>
      </a:accent3>
      <a:accent4>
        <a:srgbClr val="119066"/>
      </a:accent4>
      <a:accent5>
        <a:srgbClr val="DC5827"/>
      </a:accent5>
      <a:accent6>
        <a:srgbClr val="8F278B"/>
      </a:accent6>
      <a:hlink>
        <a:srgbClr val="0000FF"/>
      </a:hlink>
      <a:folHlink>
        <a:srgbClr val="800080"/>
      </a:folHlink>
    </a:clrScheme>
    <a:fontScheme name="Commissio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16665-7C5A-3347-B9F9-71760F4CF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2742</Words>
  <Characters>16202</Characters>
  <Application>Microsoft Office Word</Application>
  <DocSecurity>0</DocSecurity>
  <Lines>135</Lines>
  <Paragraphs>37</Paragraphs>
  <ScaleCrop>false</ScaleCrop>
  <HeadingPairs>
    <vt:vector size="2" baseType="variant">
      <vt:variant>
        <vt:lpstr>Title</vt:lpstr>
      </vt:variant>
      <vt:variant>
        <vt:i4>1</vt:i4>
      </vt:variant>
    </vt:vector>
  </HeadingPairs>
  <TitlesOfParts>
    <vt:vector size="1" baseType="lpstr">
      <vt:lpstr>NGPA Scheme - Accreditation assessments in 2022</vt:lpstr>
    </vt:vector>
  </TitlesOfParts>
  <Manager/>
  <Company/>
  <LinksUpToDate>false</LinksUpToDate>
  <CharactersWithSpaces>18907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NGPA Scheme - Accreditation assessments in 2022</dc:title>
  <dc:subject/>
  <dc:creator/>
  <cp:keywords/>
  <dc:description/>
  <cp:lastModifiedBy/>
  <cp:revision>1</cp:revision>
  <dcterms:created xsi:type="dcterms:W3CDTF">2022-03-16T20:14:00Z</dcterms:created>
  <dcterms:modified xsi:type="dcterms:W3CDTF">2022-03-16T20:15:00Z</dcterms:modified>
  <cp:category/>
</cp:coreProperties>
</file>