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D6F72E6"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1E29E7">
        <w:rPr>
          <w:rFonts w:ascii="Garamond" w:hAnsi="Garamond"/>
          <w:color w:val="000000" w:themeColor="text1"/>
          <w:lang w:val="en-AU"/>
        </w:rPr>
        <w:t>3</w:t>
      </w:r>
    </w:p>
    <w:p w14:paraId="6D81A6EC" w14:textId="59971765" w:rsidR="00755242" w:rsidRDefault="008B6E6B" w:rsidP="00F738B5">
      <w:pPr>
        <w:rPr>
          <w:rFonts w:ascii="Garamond" w:hAnsi="Garamond"/>
          <w:lang w:val="en-AU"/>
        </w:rPr>
      </w:pPr>
      <w:r>
        <w:rPr>
          <w:rFonts w:ascii="Garamond" w:hAnsi="Garamond"/>
          <w:lang w:val="en-AU"/>
        </w:rPr>
        <w:t>2</w:t>
      </w:r>
      <w:r w:rsidR="001E29E7">
        <w:rPr>
          <w:rFonts w:ascii="Garamond" w:hAnsi="Garamond"/>
          <w:lang w:val="en-AU"/>
        </w:rPr>
        <w:t>7</w:t>
      </w:r>
      <w:r w:rsidR="003C781C">
        <w:rPr>
          <w:rFonts w:ascii="Garamond" w:hAnsi="Garamond"/>
          <w:lang w:val="en-AU"/>
        </w:rPr>
        <w:t xml:space="preserve"> June</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3EB0B68C"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C29BE">
        <w:rPr>
          <w:rFonts w:ascii="Garamond" w:hAnsi="Garamond"/>
          <w:bCs/>
          <w:lang w:val="en-AU"/>
        </w:rPr>
        <w:t xml:space="preserve">, </w:t>
      </w:r>
      <w:r w:rsidR="0098646F">
        <w:rPr>
          <w:rFonts w:ascii="Garamond" w:hAnsi="Garamond"/>
          <w:bCs/>
          <w:lang w:val="en-AU"/>
        </w:rPr>
        <w:t>Amy Forsyth</w:t>
      </w:r>
      <w:r w:rsidR="001F10F1">
        <w:rPr>
          <w:rFonts w:ascii="Garamond" w:hAnsi="Garamond"/>
          <w:bCs/>
          <w:lang w:val="en-AU"/>
        </w:rPr>
        <w:t>, Jennifer Caldwell</w:t>
      </w:r>
    </w:p>
    <w:p w14:paraId="23A246C3" w14:textId="2F16F741" w:rsidR="0098646F" w:rsidRDefault="0098646F" w:rsidP="009525CC">
      <w:pPr>
        <w:rPr>
          <w:rFonts w:ascii="Garamond" w:hAnsi="Garamond"/>
          <w:bCs/>
          <w:lang w:val="en-AU"/>
        </w:rPr>
      </w:pPr>
    </w:p>
    <w:p w14:paraId="1F18396E" w14:textId="77777777" w:rsidR="00333B54" w:rsidRDefault="00333B54" w:rsidP="009525CC">
      <w:pPr>
        <w:rPr>
          <w:rFonts w:ascii="Garamond" w:hAnsi="Garamond"/>
          <w:bCs/>
          <w:lang w:val="en-AU"/>
        </w:rPr>
      </w:pPr>
    </w:p>
    <w:p w14:paraId="4E0ACC03" w14:textId="77777777" w:rsidR="00333B54" w:rsidRDefault="00333B54" w:rsidP="00333B54">
      <w:pPr>
        <w:rPr>
          <w:rFonts w:ascii="Garamond" w:hAnsi="Garamond"/>
          <w:b/>
          <w:i/>
          <w:iCs/>
          <w:lang w:val="en-AU"/>
        </w:rPr>
      </w:pPr>
      <w:r w:rsidRPr="002C7AD2">
        <w:rPr>
          <w:rFonts w:ascii="Garamond" w:hAnsi="Garamond"/>
          <w:b/>
          <w:i/>
          <w:iCs/>
          <w:lang w:val="en-AU"/>
        </w:rPr>
        <w:t>Updated Epidemiology and outbreak prevention and management eLearning module</w:t>
      </w:r>
    </w:p>
    <w:p w14:paraId="0F418089" w14:textId="77777777" w:rsidR="00333B54" w:rsidRDefault="008528CD" w:rsidP="00333B54">
      <w:pPr>
        <w:rPr>
          <w:rFonts w:ascii="Garamond" w:hAnsi="Garamond"/>
          <w:bCs/>
          <w:lang w:val="en-AU"/>
        </w:rPr>
      </w:pPr>
      <w:hyperlink r:id="rId15" w:history="1">
        <w:r w:rsidR="00333B54" w:rsidRPr="006D7860">
          <w:rPr>
            <w:rStyle w:val="Hyperlink"/>
            <w:rFonts w:ascii="Garamond" w:hAnsi="Garamond"/>
            <w:bCs/>
            <w:lang w:val="en-AU"/>
          </w:rPr>
          <w:t>https://nhhi.southrock.com</w:t>
        </w:r>
      </w:hyperlink>
    </w:p>
    <w:p w14:paraId="5EECBB65" w14:textId="77777777" w:rsidR="00333B54" w:rsidRDefault="00333B54" w:rsidP="00333B54">
      <w:pPr>
        <w:rPr>
          <w:rFonts w:ascii="Garamond" w:hAnsi="Garamond"/>
          <w:bCs/>
          <w:lang w:val="en-AU"/>
        </w:rPr>
      </w:pPr>
    </w:p>
    <w:p w14:paraId="3ADDF14D" w14:textId="77777777" w:rsidR="00333B54" w:rsidRPr="00665634" w:rsidRDefault="00333B54" w:rsidP="00333B54">
      <w:pPr>
        <w:rPr>
          <w:rFonts w:ascii="Garamond" w:hAnsi="Garamond"/>
          <w:bCs/>
          <w:lang w:val="en-AU"/>
        </w:rPr>
      </w:pPr>
      <w:r w:rsidRPr="00665634">
        <w:rPr>
          <w:rFonts w:ascii="Garamond" w:hAnsi="Garamond"/>
          <w:bCs/>
          <w:lang w:val="en-AU"/>
        </w:rPr>
        <w:t xml:space="preserve">The </w:t>
      </w:r>
      <w:r>
        <w:rPr>
          <w:rFonts w:ascii="Garamond" w:hAnsi="Garamond"/>
          <w:bCs/>
          <w:lang w:val="en-AU"/>
        </w:rPr>
        <w:t xml:space="preserve">Australian </w:t>
      </w:r>
      <w:r w:rsidRPr="00665634">
        <w:rPr>
          <w:rFonts w:ascii="Garamond" w:hAnsi="Garamond"/>
          <w:bCs/>
          <w:lang w:val="en-AU"/>
        </w:rPr>
        <w:t xml:space="preserve">Commission </w:t>
      </w:r>
      <w:r>
        <w:rPr>
          <w:rFonts w:ascii="Garamond" w:hAnsi="Garamond"/>
          <w:bCs/>
          <w:lang w:val="en-AU"/>
        </w:rPr>
        <w:t xml:space="preserve">on Safety and Quality in Health Care </w:t>
      </w:r>
      <w:r w:rsidRPr="00665634">
        <w:rPr>
          <w:rFonts w:ascii="Garamond" w:hAnsi="Garamond"/>
          <w:bCs/>
          <w:lang w:val="en-AU"/>
        </w:rPr>
        <w:t>continues to develop and support online learning for infection prevention and control (IPC) and hand hygiene for healthcare workers through its centralised online Learning Management System (LMS).</w:t>
      </w:r>
    </w:p>
    <w:p w14:paraId="6F7EE81E" w14:textId="77777777" w:rsidR="00333B54" w:rsidRPr="00665634" w:rsidRDefault="00333B54" w:rsidP="00333B54">
      <w:pPr>
        <w:rPr>
          <w:rFonts w:ascii="Garamond" w:hAnsi="Garamond"/>
          <w:bCs/>
          <w:lang w:val="en-AU"/>
        </w:rPr>
      </w:pPr>
    </w:p>
    <w:p w14:paraId="729BBC3C" w14:textId="77777777" w:rsidR="00333B54" w:rsidRPr="002C7AD2" w:rsidRDefault="00333B54" w:rsidP="00333B54">
      <w:pPr>
        <w:rPr>
          <w:rFonts w:ascii="Garamond" w:hAnsi="Garamond"/>
          <w:bCs/>
          <w:lang w:val="en-AU"/>
        </w:rPr>
      </w:pPr>
      <w:r w:rsidRPr="002C7AD2">
        <w:rPr>
          <w:rFonts w:ascii="Garamond" w:hAnsi="Garamond"/>
          <w:bCs/>
          <w:lang w:val="en-AU"/>
        </w:rPr>
        <w:t xml:space="preserve">The Commission is working the ensure that the content of the modules is current and improves the learner experience. Most recently the </w:t>
      </w:r>
      <w:r w:rsidRPr="002C7AD2">
        <w:rPr>
          <w:rFonts w:ascii="Garamond" w:hAnsi="Garamond"/>
          <w:bCs/>
          <w:i/>
          <w:iCs/>
          <w:lang w:val="en-AU"/>
        </w:rPr>
        <w:t>Epidemiology and outbreak prevention and management</w:t>
      </w:r>
      <w:r w:rsidRPr="002C7AD2">
        <w:rPr>
          <w:rFonts w:ascii="Garamond" w:hAnsi="Garamond"/>
          <w:bCs/>
          <w:lang w:val="en-AU"/>
        </w:rPr>
        <w:t xml:space="preserve"> eLearning module has been updated to ensure consistency with the National Safety and Quality Health Service Standards, specifically the </w:t>
      </w:r>
      <w:r w:rsidRPr="002C7AD2">
        <w:rPr>
          <w:rFonts w:ascii="Garamond" w:hAnsi="Garamond"/>
          <w:bCs/>
          <w:i/>
          <w:iCs/>
          <w:lang w:val="en-AU"/>
        </w:rPr>
        <w:t>Preventing and Controlling Infections Standard</w:t>
      </w:r>
      <w:r w:rsidRPr="002C7AD2">
        <w:rPr>
          <w:rFonts w:ascii="Garamond" w:hAnsi="Garamond"/>
          <w:bCs/>
          <w:lang w:val="en-AU"/>
        </w:rPr>
        <w:t xml:space="preserve">, and the </w:t>
      </w:r>
      <w:r w:rsidRPr="002C7AD2">
        <w:rPr>
          <w:rFonts w:ascii="Garamond" w:hAnsi="Garamond"/>
          <w:bCs/>
          <w:i/>
          <w:iCs/>
          <w:lang w:val="en-AU"/>
        </w:rPr>
        <w:t>Australian Guidelines for the Prevention and Control of Infection in Healthcare</w:t>
      </w:r>
      <w:r w:rsidRPr="002C7AD2">
        <w:rPr>
          <w:rFonts w:ascii="Garamond" w:hAnsi="Garamond"/>
          <w:bCs/>
          <w:lang w:val="en-AU"/>
        </w:rPr>
        <w:t>.</w:t>
      </w:r>
    </w:p>
    <w:p w14:paraId="5B913505" w14:textId="77777777" w:rsidR="00333B54" w:rsidRDefault="00333B54" w:rsidP="00333B54">
      <w:pPr>
        <w:rPr>
          <w:rFonts w:ascii="Garamond" w:hAnsi="Garamond"/>
          <w:bCs/>
          <w:lang w:val="en-AU"/>
        </w:rPr>
      </w:pPr>
    </w:p>
    <w:p w14:paraId="6CABD7F5" w14:textId="77777777" w:rsidR="00333B54" w:rsidRPr="00665634" w:rsidRDefault="00333B54" w:rsidP="00333B54">
      <w:pPr>
        <w:rPr>
          <w:rFonts w:ascii="Garamond" w:hAnsi="Garamond"/>
          <w:bCs/>
          <w:lang w:val="en-AU"/>
        </w:rPr>
      </w:pPr>
      <w:r w:rsidRPr="00665634">
        <w:rPr>
          <w:rFonts w:ascii="Garamond" w:hAnsi="Garamond"/>
          <w:bCs/>
          <w:lang w:val="en-AU"/>
        </w:rPr>
        <w:t xml:space="preserve">The module is available in the National Hand Hygiene Initiative (NHHI) LMS at </w:t>
      </w:r>
      <w:hyperlink r:id="rId16" w:history="1">
        <w:r w:rsidRPr="006D7860">
          <w:rPr>
            <w:rStyle w:val="Hyperlink"/>
            <w:rFonts w:ascii="Garamond" w:hAnsi="Garamond"/>
            <w:bCs/>
            <w:lang w:val="en-AU"/>
          </w:rPr>
          <w:t>https://nhhi.southrock.com</w:t>
        </w:r>
      </w:hyperlink>
      <w:r w:rsidRPr="00665634">
        <w:rPr>
          <w:rFonts w:ascii="Garamond" w:hAnsi="Garamond"/>
          <w:bCs/>
          <w:lang w:val="en-AU"/>
        </w:rPr>
        <w:t>. Access to the NHHI LMS is free for all users and modules can be accessed after a learner has registered a profile on the system.</w:t>
      </w:r>
    </w:p>
    <w:p w14:paraId="1788B55D" w14:textId="77777777" w:rsidR="00333B54" w:rsidRDefault="00333B54" w:rsidP="00333B54">
      <w:pPr>
        <w:rPr>
          <w:rFonts w:ascii="Garamond" w:hAnsi="Garamond"/>
          <w:bCs/>
          <w:lang w:val="en-AU"/>
        </w:rPr>
      </w:pPr>
    </w:p>
    <w:p w14:paraId="72A25EDD" w14:textId="77777777" w:rsidR="00333B54" w:rsidRDefault="00333B54" w:rsidP="00333B54">
      <w:pPr>
        <w:rPr>
          <w:rFonts w:ascii="Garamond" w:hAnsi="Garamond"/>
          <w:bCs/>
          <w:lang w:val="en-AU"/>
        </w:rPr>
      </w:pPr>
      <w:r>
        <w:rPr>
          <w:rFonts w:ascii="Garamond" w:hAnsi="Garamond"/>
          <w:bCs/>
          <w:noProof/>
          <w:lang w:val="en-AU"/>
        </w:rPr>
        <w:lastRenderedPageBreak/>
        <w:drawing>
          <wp:inline distT="0" distB="0" distL="0" distR="0" wp14:anchorId="4B75BA0D" wp14:editId="7E6F5F9B">
            <wp:extent cx="6099146" cy="1559169"/>
            <wp:effectExtent l="0" t="0" r="0" b="3175"/>
            <wp:docPr id="8" name="Picture 8" descr="Image from updated Epidemiology and outbreak prevention and management eLearning modu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from updated Epidemiology and outbreak prevention and management eLearning modu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1095" cy="1575005"/>
                    </a:xfrm>
                    <a:prstGeom prst="rect">
                      <a:avLst/>
                    </a:prstGeom>
                    <a:noFill/>
                    <a:ln>
                      <a:noFill/>
                    </a:ln>
                  </pic:spPr>
                </pic:pic>
              </a:graphicData>
            </a:graphic>
          </wp:inline>
        </w:drawing>
      </w:r>
    </w:p>
    <w:p w14:paraId="5A1E3952" w14:textId="77777777" w:rsidR="00333B54" w:rsidRDefault="00333B54" w:rsidP="00333B54">
      <w:pPr>
        <w:rPr>
          <w:rFonts w:ascii="Garamond" w:hAnsi="Garamond"/>
          <w:bCs/>
          <w:lang w:val="en-AU"/>
        </w:rPr>
      </w:pPr>
    </w:p>
    <w:p w14:paraId="0F0F6F72" w14:textId="4B3A125B" w:rsidR="0098646F" w:rsidRDefault="0098646F" w:rsidP="00B93C94">
      <w:pPr>
        <w:rPr>
          <w:rFonts w:ascii="Garamond" w:hAnsi="Garamond"/>
          <w:b/>
          <w:i/>
          <w:iCs/>
          <w:lang w:val="en-AU"/>
        </w:rPr>
      </w:pPr>
      <w:r>
        <w:rPr>
          <w:rFonts w:ascii="Garamond" w:hAnsi="Garamond"/>
          <w:bCs/>
          <w:noProof/>
          <w:lang w:val="en-AU"/>
        </w:rPr>
        <w:drawing>
          <wp:inline distT="0" distB="0" distL="0" distR="0" wp14:anchorId="3D87629D" wp14:editId="1F9C9F63">
            <wp:extent cx="6119495" cy="2180590"/>
            <wp:effectExtent l="0" t="0" r="0" b="0"/>
            <wp:docPr id="5" name="Picture 5" descr="The Australian Commission on Safety and Quality in Health Care will launch the first national Sepsis Clinical Care Standard on Thursday, 30 June 202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ustralian Commission on Safety and Quality in Health Care will launch the first national Sepsis Clinical Care Standard on Thursday, 30 June 202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2180590"/>
                    </a:xfrm>
                    <a:prstGeom prst="rect">
                      <a:avLst/>
                    </a:prstGeom>
                    <a:noFill/>
                    <a:ln>
                      <a:noFill/>
                    </a:ln>
                  </pic:spPr>
                </pic:pic>
              </a:graphicData>
            </a:graphic>
          </wp:inline>
        </w:drawing>
      </w:r>
    </w:p>
    <w:p w14:paraId="6A5464E7" w14:textId="77777777" w:rsidR="0098646F" w:rsidRDefault="0098646F" w:rsidP="00B93C94">
      <w:pPr>
        <w:rPr>
          <w:rFonts w:ascii="Garamond" w:hAnsi="Garamond"/>
          <w:b/>
          <w:i/>
          <w:iCs/>
          <w:lang w:val="en-AU"/>
        </w:rPr>
      </w:pPr>
    </w:p>
    <w:p w14:paraId="35BC45F4" w14:textId="2DDF694C" w:rsidR="0098646F" w:rsidRDefault="0098646F" w:rsidP="00B93C94">
      <w:pPr>
        <w:rPr>
          <w:rFonts w:ascii="Garamond" w:hAnsi="Garamond"/>
          <w:b/>
          <w:i/>
          <w:iCs/>
          <w:lang w:val="en-AU"/>
        </w:rPr>
      </w:pPr>
      <w:r w:rsidRPr="0098646F">
        <w:rPr>
          <w:rFonts w:ascii="Garamond" w:hAnsi="Garamond"/>
          <w:b/>
          <w:i/>
          <w:iCs/>
          <w:lang w:val="en-AU"/>
        </w:rPr>
        <w:t>Launch of the first national standard of care for sepsis</w:t>
      </w:r>
    </w:p>
    <w:p w14:paraId="78A3DC9E" w14:textId="136C5F33" w:rsidR="0098646F" w:rsidRDefault="008528CD" w:rsidP="00B93C94">
      <w:pPr>
        <w:rPr>
          <w:rFonts w:ascii="Garamond" w:hAnsi="Garamond"/>
          <w:bCs/>
          <w:lang w:val="en-AU"/>
        </w:rPr>
      </w:pPr>
      <w:hyperlink r:id="rId20" w:history="1">
        <w:r w:rsidR="0098646F" w:rsidRPr="00D95633">
          <w:rPr>
            <w:rStyle w:val="Hyperlink"/>
            <w:rFonts w:ascii="Garamond" w:hAnsi="Garamond"/>
            <w:bCs/>
            <w:lang w:val="en-AU"/>
          </w:rPr>
          <w:t>https://www.safetyandquality.gov.au/standards/clinical-care-standards/sepsis-clinical-care-standard</w:t>
        </w:r>
      </w:hyperlink>
    </w:p>
    <w:p w14:paraId="05EEE26A" w14:textId="02EC2889" w:rsidR="0098646F" w:rsidRPr="0098646F" w:rsidRDefault="0098646F" w:rsidP="0098646F">
      <w:pPr>
        <w:rPr>
          <w:rFonts w:ascii="Garamond" w:hAnsi="Garamond"/>
          <w:bCs/>
          <w:lang w:val="en-AU"/>
        </w:rPr>
      </w:pPr>
      <w:r w:rsidRPr="0098646F">
        <w:rPr>
          <w:rFonts w:ascii="Garamond" w:hAnsi="Garamond"/>
          <w:bCs/>
          <w:lang w:val="en-AU"/>
        </w:rPr>
        <w:t xml:space="preserve">The Australian Commission on Safety and Quality in Health Care will launch the first national </w:t>
      </w:r>
      <w:r w:rsidRPr="0098646F">
        <w:rPr>
          <w:rFonts w:ascii="Garamond" w:hAnsi="Garamond"/>
          <w:bCs/>
          <w:i/>
          <w:iCs/>
          <w:lang w:val="en-AU"/>
        </w:rPr>
        <w:t>Sepsis Clinical Care Standard</w:t>
      </w:r>
      <w:r w:rsidRPr="0098646F">
        <w:rPr>
          <w:rFonts w:ascii="Garamond" w:hAnsi="Garamond"/>
          <w:bCs/>
          <w:lang w:val="en-AU"/>
        </w:rPr>
        <w:t xml:space="preserve"> on </w:t>
      </w:r>
      <w:r w:rsidRPr="0098646F">
        <w:rPr>
          <w:rFonts w:ascii="Garamond" w:hAnsi="Garamond"/>
          <w:b/>
          <w:lang w:val="en-AU"/>
        </w:rPr>
        <w:t>Thursday, 30 June 2022</w:t>
      </w:r>
      <w:r w:rsidRPr="0098646F">
        <w:rPr>
          <w:rFonts w:ascii="Garamond" w:hAnsi="Garamond"/>
          <w:bCs/>
          <w:lang w:val="en-AU"/>
        </w:rPr>
        <w:t>.</w:t>
      </w:r>
    </w:p>
    <w:p w14:paraId="3870A20C" w14:textId="77777777" w:rsidR="0098646F" w:rsidRPr="0098646F" w:rsidRDefault="0098646F" w:rsidP="0098646F">
      <w:pPr>
        <w:rPr>
          <w:rFonts w:ascii="Garamond" w:hAnsi="Garamond"/>
          <w:bCs/>
          <w:lang w:val="en-AU"/>
        </w:rPr>
      </w:pPr>
    </w:p>
    <w:p w14:paraId="7216D611" w14:textId="395FE668" w:rsidR="0098646F" w:rsidRPr="0098646F" w:rsidRDefault="0098646F" w:rsidP="0098646F">
      <w:pPr>
        <w:rPr>
          <w:rFonts w:ascii="Garamond" w:hAnsi="Garamond"/>
          <w:bCs/>
          <w:lang w:val="en-AU"/>
        </w:rPr>
      </w:pPr>
      <w:r w:rsidRPr="0098646F">
        <w:rPr>
          <w:rFonts w:ascii="Garamond" w:hAnsi="Garamond"/>
          <w:bCs/>
          <w:lang w:val="en-AU"/>
        </w:rPr>
        <w:t>Every year, there are over 55,000 cases of sepsis in Australia and more than 8,700 sepsis-related deaths.</w:t>
      </w:r>
    </w:p>
    <w:p w14:paraId="711F45CE" w14:textId="607F8B76" w:rsidR="0098646F" w:rsidRPr="0098646F" w:rsidRDefault="0098646F" w:rsidP="0098646F">
      <w:pPr>
        <w:rPr>
          <w:rFonts w:ascii="Garamond" w:hAnsi="Garamond"/>
          <w:bCs/>
          <w:lang w:val="en-AU"/>
        </w:rPr>
      </w:pPr>
      <w:r w:rsidRPr="0098646F">
        <w:rPr>
          <w:rFonts w:ascii="Garamond" w:hAnsi="Garamond"/>
          <w:bCs/>
          <w:lang w:val="en-AU"/>
        </w:rPr>
        <w:t xml:space="preserve">The new </w:t>
      </w:r>
      <w:r>
        <w:rPr>
          <w:rFonts w:ascii="Garamond" w:hAnsi="Garamond"/>
          <w:bCs/>
          <w:lang w:val="en-AU"/>
        </w:rPr>
        <w:t xml:space="preserve">clinical care </w:t>
      </w:r>
      <w:r w:rsidRPr="0098646F">
        <w:rPr>
          <w:rFonts w:ascii="Garamond" w:hAnsi="Garamond"/>
          <w:bCs/>
          <w:lang w:val="en-AU"/>
        </w:rPr>
        <w:t>standard provides guidance to ensure we spot the warning signs early and act quickly to stop sepsis and save lives.</w:t>
      </w:r>
    </w:p>
    <w:p w14:paraId="57C5E4F3" w14:textId="77777777" w:rsidR="0098646F" w:rsidRPr="0098646F" w:rsidRDefault="0098646F" w:rsidP="0098646F">
      <w:pPr>
        <w:rPr>
          <w:rFonts w:ascii="Garamond" w:hAnsi="Garamond"/>
          <w:bCs/>
          <w:lang w:val="en-AU"/>
        </w:rPr>
      </w:pPr>
    </w:p>
    <w:p w14:paraId="23155A96" w14:textId="77777777" w:rsidR="00C60BDB" w:rsidRDefault="0098646F" w:rsidP="0098646F">
      <w:r w:rsidRPr="0098646F">
        <w:rPr>
          <w:rFonts w:ascii="Garamond" w:hAnsi="Garamond"/>
          <w:bCs/>
          <w:lang w:val="en-AU"/>
        </w:rPr>
        <w:t>Join our webcast to hear the experts discuss timely recognition of sepsis, systems to support time-critical management, the ongoing effects of sepsis, and the importance of multidisciplinary, coordinated sepsis care.</w:t>
      </w:r>
      <w:r w:rsidRPr="0098646F">
        <w:t xml:space="preserve"> </w:t>
      </w:r>
    </w:p>
    <w:p w14:paraId="670E0811" w14:textId="77777777" w:rsidR="00C60BDB" w:rsidRPr="0098646F" w:rsidRDefault="00C60BDB" w:rsidP="0098646F">
      <w:pPr>
        <w:rPr>
          <w:rFonts w:ascii="Garamond" w:hAnsi="Garamond"/>
          <w:bCs/>
          <w:lang w:val="en-AU"/>
        </w:rPr>
      </w:pPr>
    </w:p>
    <w:p w14:paraId="06F8C7AE" w14:textId="77777777" w:rsidR="0098646F" w:rsidRPr="0098646F" w:rsidRDefault="0098646F" w:rsidP="0098646F">
      <w:pPr>
        <w:rPr>
          <w:rFonts w:ascii="Garamond" w:hAnsi="Garamond"/>
          <w:bCs/>
          <w:lang w:val="en-AU"/>
        </w:rPr>
      </w:pPr>
      <w:r w:rsidRPr="0098646F">
        <w:rPr>
          <w:rFonts w:ascii="Garamond" w:hAnsi="Garamond"/>
          <w:bCs/>
          <w:lang w:val="en-AU"/>
        </w:rPr>
        <w:t>Hosted by Ms Julie McCrossin AM, Broadcaster and Commentator, the panellists include:</w:t>
      </w:r>
    </w:p>
    <w:p w14:paraId="58338F59" w14:textId="068E984E"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Carolyn Hullick – Clinical Director, Australian Commission on Safety and Quality in Health Care and Emergency Physician, Hunter New England Health NSW</w:t>
      </w:r>
    </w:p>
    <w:p w14:paraId="4D0F2F29" w14:textId="468681EA"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Professor Simon Finfer AO – </w:t>
      </w:r>
      <w:r w:rsidR="00C60BDB" w:rsidRPr="00C60BDB">
        <w:rPr>
          <w:rFonts w:ascii="Garamond" w:hAnsi="Garamond"/>
          <w:bCs/>
          <w:lang w:val="en-AU"/>
        </w:rPr>
        <w:t>Professorial Fellow in the Critical Care Division at The George Institute for Global Health. Adjunct Professor, University of New South Wales and Chair of Critical Care, School of Public Health, Imperial College London</w:t>
      </w:r>
    </w:p>
    <w:p w14:paraId="5A910BF6" w14:textId="03ED4439"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Associate Professor Paula Lister – Director Paediatric Critical Care, Sunshine Coast University Hospital QLD &amp; Medical Co-Chair, Queensland Paediatric Sepsis Program </w:t>
      </w:r>
    </w:p>
    <w:p w14:paraId="0984D4EE" w14:textId="1EED2C18"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Lorraine Anderson – Medical Director, Kimberley Aboriginal Medical Services WA</w:t>
      </w:r>
    </w:p>
    <w:p w14:paraId="47E96BE7" w14:textId="77777777" w:rsidR="0098646F" w:rsidRPr="0098646F" w:rsidRDefault="0098646F" w:rsidP="0098646F">
      <w:pPr>
        <w:rPr>
          <w:rFonts w:ascii="Garamond" w:hAnsi="Garamond"/>
          <w:bCs/>
          <w:lang w:val="en-AU"/>
        </w:rPr>
      </w:pPr>
    </w:p>
    <w:p w14:paraId="60DD54A8" w14:textId="77777777" w:rsidR="0098646F" w:rsidRPr="0098646F" w:rsidRDefault="0098646F" w:rsidP="0098646F">
      <w:pPr>
        <w:rPr>
          <w:rFonts w:ascii="Garamond" w:hAnsi="Garamond"/>
          <w:bCs/>
          <w:lang w:val="en-AU"/>
        </w:rPr>
      </w:pPr>
      <w:r w:rsidRPr="0098646F">
        <w:rPr>
          <w:rFonts w:ascii="Garamond" w:hAnsi="Garamond"/>
          <w:bCs/>
          <w:lang w:val="en-AU"/>
        </w:rPr>
        <w:t xml:space="preserve">Date: </w:t>
      </w:r>
      <w:r w:rsidRPr="0098646F">
        <w:rPr>
          <w:rFonts w:ascii="Garamond" w:hAnsi="Garamond"/>
          <w:b/>
          <w:lang w:val="en-AU"/>
        </w:rPr>
        <w:t>Thursday, 30 June 2022</w:t>
      </w:r>
    </w:p>
    <w:p w14:paraId="2605A5C5" w14:textId="77777777" w:rsidR="0098646F" w:rsidRPr="0098646F" w:rsidRDefault="0098646F" w:rsidP="0098646F">
      <w:pPr>
        <w:rPr>
          <w:rFonts w:ascii="Garamond" w:hAnsi="Garamond"/>
          <w:bCs/>
          <w:lang w:val="en-AU"/>
        </w:rPr>
      </w:pPr>
      <w:r w:rsidRPr="0098646F">
        <w:rPr>
          <w:rFonts w:ascii="Garamond" w:hAnsi="Garamond"/>
          <w:bCs/>
          <w:lang w:val="en-AU"/>
        </w:rPr>
        <w:t xml:space="preserve">Time: </w:t>
      </w:r>
      <w:r w:rsidRPr="0098646F">
        <w:rPr>
          <w:rFonts w:ascii="Garamond" w:hAnsi="Garamond"/>
          <w:b/>
          <w:lang w:val="en-AU"/>
        </w:rPr>
        <w:t>12:00pm – 1:00pm AEST</w:t>
      </w:r>
    </w:p>
    <w:p w14:paraId="41B55041" w14:textId="77777777" w:rsidR="0098646F" w:rsidRPr="0098646F" w:rsidRDefault="0098646F" w:rsidP="0098646F">
      <w:pPr>
        <w:rPr>
          <w:rFonts w:ascii="Garamond" w:hAnsi="Garamond"/>
          <w:bCs/>
          <w:lang w:val="en-AU"/>
        </w:rPr>
      </w:pPr>
      <w:r w:rsidRPr="0098646F">
        <w:rPr>
          <w:rFonts w:ascii="Garamond" w:hAnsi="Garamond"/>
          <w:bCs/>
          <w:lang w:val="en-AU"/>
        </w:rPr>
        <w:t>Location: Online</w:t>
      </w:r>
    </w:p>
    <w:p w14:paraId="63D4B7B6" w14:textId="77777777" w:rsidR="0098646F" w:rsidRPr="0098646F" w:rsidRDefault="0098646F" w:rsidP="0098646F">
      <w:pPr>
        <w:rPr>
          <w:rFonts w:ascii="Garamond" w:hAnsi="Garamond"/>
          <w:bCs/>
          <w:lang w:val="en-AU"/>
        </w:rPr>
      </w:pPr>
      <w:r w:rsidRPr="0098646F">
        <w:rPr>
          <w:rFonts w:ascii="Garamond" w:hAnsi="Garamond"/>
          <w:bCs/>
          <w:lang w:val="en-AU"/>
        </w:rPr>
        <w:t xml:space="preserve"> </w:t>
      </w:r>
    </w:p>
    <w:p w14:paraId="7298A2BF" w14:textId="76E90B46" w:rsidR="0098646F" w:rsidRPr="0098646F" w:rsidRDefault="0098646F" w:rsidP="0098646F">
      <w:pPr>
        <w:rPr>
          <w:rFonts w:ascii="Garamond" w:hAnsi="Garamond"/>
          <w:bCs/>
          <w:lang w:val="en-AU"/>
        </w:rPr>
      </w:pPr>
      <w:r w:rsidRPr="0098646F">
        <w:rPr>
          <w:rFonts w:ascii="Garamond" w:hAnsi="Garamond"/>
          <w:bCs/>
          <w:lang w:val="en-AU"/>
        </w:rPr>
        <w:t xml:space="preserve">Click </w:t>
      </w:r>
      <w:hyperlink r:id="rId21" w:history="1">
        <w:r w:rsidRPr="0098646F">
          <w:rPr>
            <w:rStyle w:val="Hyperlink"/>
            <w:rFonts w:ascii="Garamond" w:hAnsi="Garamond"/>
            <w:bCs/>
            <w:lang w:val="en-AU"/>
          </w:rPr>
          <w:t>here</w:t>
        </w:r>
      </w:hyperlink>
      <w:r w:rsidRPr="0098646F">
        <w:rPr>
          <w:rFonts w:ascii="Garamond" w:hAnsi="Garamond"/>
          <w:bCs/>
          <w:lang w:val="en-AU"/>
        </w:rPr>
        <w:t xml:space="preserve"> to register</w:t>
      </w:r>
    </w:p>
    <w:p w14:paraId="64A86D39" w14:textId="77777777" w:rsidR="0098646F" w:rsidRPr="0098646F" w:rsidRDefault="0098646F" w:rsidP="0098646F">
      <w:pPr>
        <w:rPr>
          <w:rFonts w:ascii="Garamond" w:hAnsi="Garamond"/>
          <w:bCs/>
          <w:lang w:val="en-AU"/>
        </w:rPr>
      </w:pPr>
    </w:p>
    <w:p w14:paraId="3CD7161C" w14:textId="4D5E7A3A" w:rsidR="0098646F" w:rsidRDefault="0098646F" w:rsidP="0098646F">
      <w:pPr>
        <w:rPr>
          <w:rFonts w:ascii="Garamond" w:hAnsi="Garamond"/>
          <w:bCs/>
          <w:lang w:val="en-AU"/>
        </w:rPr>
      </w:pPr>
      <w:r w:rsidRPr="0098646F">
        <w:rPr>
          <w:rFonts w:ascii="Garamond" w:hAnsi="Garamond"/>
          <w:bCs/>
          <w:lang w:val="en-AU"/>
        </w:rPr>
        <w:t>For more information, email ccs@safetyandquality.gov.au or visit our web page</w:t>
      </w:r>
      <w:r>
        <w:rPr>
          <w:rFonts w:ascii="Garamond" w:hAnsi="Garamond"/>
          <w:bCs/>
          <w:lang w:val="en-AU"/>
        </w:rPr>
        <w:t xml:space="preserve"> at </w:t>
      </w:r>
      <w:hyperlink r:id="rId22" w:history="1">
        <w:r w:rsidRPr="00D95633">
          <w:rPr>
            <w:rStyle w:val="Hyperlink"/>
            <w:rFonts w:ascii="Garamond" w:hAnsi="Garamond"/>
            <w:bCs/>
            <w:lang w:val="en-AU"/>
          </w:rPr>
          <w:t>https://www.safetyandquality.gov.au/standards/clinical-care-standards/sepsis-clinical-care-standard</w:t>
        </w:r>
      </w:hyperlink>
    </w:p>
    <w:p w14:paraId="54E45D12" w14:textId="6C307A1E" w:rsidR="0098646F" w:rsidRDefault="0098646F" w:rsidP="0098646F">
      <w:pPr>
        <w:rPr>
          <w:rFonts w:ascii="Garamond" w:hAnsi="Garamond"/>
          <w:bCs/>
          <w:lang w:val="en-AU"/>
        </w:rPr>
      </w:pPr>
    </w:p>
    <w:p w14:paraId="255EF341" w14:textId="3FFDCF7A"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77777777" w:rsidR="00185EA7" w:rsidRDefault="00185EA7" w:rsidP="003C781C">
      <w:pPr>
        <w:keepLines/>
        <w:autoSpaceDE w:val="0"/>
        <w:autoSpaceDN w:val="0"/>
        <w:adjustRightInd w:val="0"/>
        <w:rPr>
          <w:rFonts w:ascii="Garamond" w:hAnsi="Garamond"/>
          <w:lang w:val="en-AU"/>
        </w:rPr>
      </w:pPr>
    </w:p>
    <w:p w14:paraId="39B921FD" w14:textId="77777777" w:rsidR="000234E7" w:rsidRPr="000234E7" w:rsidRDefault="000234E7" w:rsidP="000234E7">
      <w:pPr>
        <w:keepLines/>
        <w:autoSpaceDE w:val="0"/>
        <w:autoSpaceDN w:val="0"/>
        <w:adjustRightInd w:val="0"/>
        <w:rPr>
          <w:rFonts w:ascii="Garamond" w:hAnsi="Garamond"/>
          <w:i/>
          <w:iCs/>
          <w:lang w:val="en-AU"/>
        </w:rPr>
      </w:pPr>
      <w:r w:rsidRPr="000234E7">
        <w:rPr>
          <w:rFonts w:ascii="Garamond" w:hAnsi="Garamond"/>
          <w:i/>
          <w:iCs/>
          <w:lang w:val="en-AU"/>
        </w:rPr>
        <w:t>Prioritising Responses Of Nurses To deteriorating patient Observations (PRONTO): a pragmatic cluster randomised controlled trial evaluating the effectiveness of a facilitation intervention on recognition and response to clinical deterioration</w:t>
      </w:r>
    </w:p>
    <w:p w14:paraId="0094F654" w14:textId="77777777" w:rsidR="000234E7" w:rsidRDefault="000234E7" w:rsidP="0046642D">
      <w:pPr>
        <w:keepLines/>
        <w:autoSpaceDE w:val="0"/>
        <w:autoSpaceDN w:val="0"/>
        <w:adjustRightInd w:val="0"/>
        <w:rPr>
          <w:rFonts w:ascii="Garamond" w:hAnsi="Garamond"/>
          <w:lang w:val="en-AU"/>
        </w:rPr>
      </w:pPr>
      <w:r w:rsidRPr="000234E7">
        <w:rPr>
          <w:rFonts w:ascii="Garamond" w:hAnsi="Garamond"/>
          <w:lang w:val="en-AU"/>
        </w:rPr>
        <w:t>Bucknall TK, Considine J, Harvey G, Graham ID, Rycroft-Malone J, Mitchell I, et al</w:t>
      </w:r>
    </w:p>
    <w:p w14:paraId="68CAA567" w14:textId="5D8165B5" w:rsidR="001F43CC" w:rsidRDefault="000234E7" w:rsidP="0046642D">
      <w:pPr>
        <w:keepLines/>
        <w:autoSpaceDE w:val="0"/>
        <w:autoSpaceDN w:val="0"/>
        <w:adjustRightInd w:val="0"/>
        <w:rPr>
          <w:rFonts w:ascii="Garamond" w:hAnsi="Garamond"/>
          <w:lang w:val="en-AU"/>
        </w:rPr>
      </w:pPr>
      <w:r w:rsidRPr="000234E7">
        <w:rPr>
          <w:rFonts w:ascii="Garamond" w:hAnsi="Garamond"/>
          <w:lang w:val="en-AU"/>
        </w:rPr>
        <w:t>BMJ Quality &amp; Safety. 2022</w:t>
      </w:r>
      <w:r>
        <w:rPr>
          <w:rFonts w:ascii="Garamond" w:hAnsi="Garamond"/>
          <w:lang w:val="en-AU"/>
        </w:rPr>
        <w:t xml:space="preserve"> [epub]</w:t>
      </w:r>
      <w:r w:rsidRPr="000234E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D1A04" w:rsidRPr="00E37911" w14:paraId="024B671B"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4977596E" w14:textId="77777777" w:rsidR="007D1A04" w:rsidRPr="00E37911" w:rsidRDefault="007D1A04" w:rsidP="00C2635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AEADBA" w14:textId="111092C2" w:rsidR="007D1A04" w:rsidRPr="00E37911" w:rsidRDefault="008528CD" w:rsidP="00C2635D">
            <w:pPr>
              <w:rPr>
                <w:rStyle w:val="Hyperlink"/>
                <w:rFonts w:ascii="Garamond" w:hAnsi="Garamond"/>
                <w:color w:val="auto"/>
                <w:u w:val="none"/>
                <w:lang w:val="en-AU"/>
              </w:rPr>
            </w:pPr>
            <w:hyperlink r:id="rId23" w:history="1">
              <w:r w:rsidR="000234E7" w:rsidRPr="00262BA8">
                <w:rPr>
                  <w:rStyle w:val="Hyperlink"/>
                  <w:rFonts w:ascii="Garamond" w:hAnsi="Garamond"/>
                  <w:lang w:val="en-AU"/>
                </w:rPr>
                <w:t>https://doi.org/10.1136/bmjqs-2021-013785</w:t>
              </w:r>
            </w:hyperlink>
          </w:p>
        </w:tc>
      </w:tr>
      <w:tr w:rsidR="007D1A04" w:rsidRPr="00E37911" w14:paraId="15B954BF"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21BF2292" w14:textId="77777777" w:rsidR="007D1A04" w:rsidRPr="00E37911" w:rsidRDefault="007D1A04" w:rsidP="00C2635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C2DE4E" w14:textId="458C38A8" w:rsidR="00DC474B" w:rsidRDefault="0008018C" w:rsidP="00DC474B">
            <w:pPr>
              <w:rPr>
                <w:rFonts w:ascii="Garamond" w:hAnsi="Garamond"/>
                <w:lang w:val="en-AU"/>
              </w:rPr>
            </w:pPr>
            <w:r>
              <w:rPr>
                <w:rFonts w:ascii="Garamond" w:hAnsi="Garamond"/>
                <w:lang w:val="en-AU"/>
              </w:rPr>
              <w:t>Paper reporting on ‘</w:t>
            </w:r>
            <w:r w:rsidR="001F43CC" w:rsidRPr="001F43CC">
              <w:rPr>
                <w:rFonts w:ascii="Garamond" w:hAnsi="Garamond"/>
                <w:lang w:val="en-AU"/>
              </w:rPr>
              <w:t>a pragmatic cluster randomised controlled trial evaluating the effectiveness of a facilitation intervention on recognition and response to clinical deterioration</w:t>
            </w:r>
            <w:r>
              <w:rPr>
                <w:rFonts w:ascii="Garamond" w:hAnsi="Garamond"/>
                <w:lang w:val="en-AU"/>
              </w:rPr>
              <w:t xml:space="preserve">’. </w:t>
            </w:r>
            <w:r w:rsidR="00DC474B">
              <w:rPr>
                <w:rFonts w:ascii="Garamond" w:hAnsi="Garamond"/>
                <w:lang w:val="en-AU"/>
              </w:rPr>
              <w:t xml:space="preserve">This Australian study involved and compared </w:t>
            </w:r>
            <w:r w:rsidR="00DC474B" w:rsidRPr="00DC474B">
              <w:rPr>
                <w:rFonts w:ascii="Garamond" w:hAnsi="Garamond"/>
                <w:lang w:val="en-AU"/>
              </w:rPr>
              <w:t xml:space="preserve">standard clinical practice guideline (CPG) dissemination to ward staff (n=18) </w:t>
            </w:r>
            <w:r w:rsidR="00DC474B">
              <w:rPr>
                <w:rFonts w:ascii="Garamond" w:hAnsi="Garamond"/>
                <w:lang w:val="en-AU"/>
              </w:rPr>
              <w:t xml:space="preserve">with a </w:t>
            </w:r>
            <w:r w:rsidR="00DC474B" w:rsidRPr="00DC474B">
              <w:rPr>
                <w:rFonts w:ascii="Garamond" w:hAnsi="Garamond"/>
                <w:lang w:val="en-AU"/>
              </w:rPr>
              <w:t>facilitated implementation for 6 months following standard dissemination (n=18).</w:t>
            </w:r>
            <w:r w:rsidR="00DC474B">
              <w:rPr>
                <w:rFonts w:ascii="Garamond" w:hAnsi="Garamond"/>
                <w:lang w:val="en-AU"/>
              </w:rPr>
              <w:t xml:space="preserve"> The primary outcome was e</w:t>
            </w:r>
            <w:r w:rsidR="001F43CC" w:rsidRPr="001F43CC">
              <w:rPr>
                <w:rFonts w:ascii="Garamond" w:hAnsi="Garamond"/>
                <w:lang w:val="en-AU"/>
              </w:rPr>
              <w:t>scalation of care as per hospital policy at 6 and 12</w:t>
            </w:r>
            <w:r w:rsidR="001F43CC" w:rsidRPr="001F43CC">
              <w:rPr>
                <w:lang w:val="en-AU"/>
              </w:rPr>
              <w:t> </w:t>
            </w:r>
            <w:r w:rsidR="001F43CC" w:rsidRPr="001F43CC">
              <w:rPr>
                <w:rFonts w:ascii="Garamond" w:hAnsi="Garamond"/>
                <w:lang w:val="en-AU"/>
              </w:rPr>
              <w:t xml:space="preserve">months after implementation. </w:t>
            </w:r>
          </w:p>
          <w:p w14:paraId="2F664FE3" w14:textId="77777777" w:rsidR="00F15C03" w:rsidRDefault="00F15C03" w:rsidP="00DC474B">
            <w:pPr>
              <w:rPr>
                <w:rFonts w:ascii="Garamond" w:hAnsi="Garamond"/>
                <w:lang w:val="en-AU"/>
              </w:rPr>
            </w:pPr>
          </w:p>
          <w:p w14:paraId="3EEAA7DB" w14:textId="03137C8E" w:rsidR="00DC474B" w:rsidRDefault="00DC474B" w:rsidP="00DC474B">
            <w:pPr>
              <w:rPr>
                <w:rFonts w:ascii="Garamond" w:hAnsi="Garamond"/>
                <w:lang w:val="en-AU"/>
              </w:rPr>
            </w:pPr>
            <w:r>
              <w:rPr>
                <w:rFonts w:ascii="Garamond" w:hAnsi="Garamond"/>
                <w:lang w:val="en-AU"/>
              </w:rPr>
              <w:t>The authors report that ‘</w:t>
            </w:r>
            <w:r w:rsidRPr="00DC474B">
              <w:rPr>
                <w:rFonts w:ascii="Garamond" w:hAnsi="Garamond"/>
                <w:lang w:val="en-AU"/>
              </w:rPr>
              <w:t>From 10</w:t>
            </w:r>
            <w:r w:rsidRPr="00DC474B">
              <w:rPr>
                <w:lang w:val="en-AU"/>
              </w:rPr>
              <w:t> </w:t>
            </w:r>
            <w:r w:rsidRPr="00DC474B">
              <w:rPr>
                <w:rFonts w:ascii="Garamond" w:hAnsi="Garamond"/>
                <w:lang w:val="en-AU"/>
              </w:rPr>
              <w:t>383 audits, improved escalation as per hospital policy was evident in the intervention group at 6 months (OR 1.47, 95%</w:t>
            </w:r>
            <w:r w:rsidRPr="00DC474B">
              <w:rPr>
                <w:lang w:val="en-AU"/>
              </w:rPr>
              <w:t> </w:t>
            </w:r>
            <w:r w:rsidRPr="00DC474B">
              <w:rPr>
                <w:rFonts w:ascii="Garamond" w:hAnsi="Garamond"/>
                <w:lang w:val="en-AU"/>
              </w:rPr>
              <w:t>CI (1.06 to 2.04)) with a complete set of vital sign measurements sustained at 12 months (OR 1.22, 95%</w:t>
            </w:r>
            <w:r w:rsidRPr="00DC474B">
              <w:rPr>
                <w:lang w:val="en-AU"/>
              </w:rPr>
              <w:t> </w:t>
            </w:r>
            <w:r w:rsidRPr="00DC474B">
              <w:rPr>
                <w:rFonts w:ascii="Garamond" w:hAnsi="Garamond"/>
                <w:lang w:val="en-AU"/>
              </w:rPr>
              <w:t>CI (1.02 to 1.47)).</w:t>
            </w:r>
            <w:r>
              <w:rPr>
                <w:rFonts w:ascii="Garamond" w:hAnsi="Garamond"/>
                <w:lang w:val="en-AU"/>
              </w:rPr>
              <w:t>’ However, the authors also found that ‘</w:t>
            </w:r>
            <w:r w:rsidRPr="00DC474B">
              <w:rPr>
                <w:rFonts w:ascii="Garamond" w:hAnsi="Garamond"/>
                <w:lang w:val="en-AU"/>
              </w:rPr>
              <w:t>Multi-level facilitation significantly improved escalation as per hospital policy at 6 months in the intervention group that was not sustained at 12 months. The intervention group had increased vital sign measurement by nurses, as well as shorter lengths of stay for patients at 12 months.</w:t>
            </w:r>
            <w:r>
              <w:rPr>
                <w:rFonts w:ascii="Garamond" w:hAnsi="Garamond"/>
                <w:lang w:val="en-AU"/>
              </w:rPr>
              <w:t>’ They also note that ‘</w:t>
            </w:r>
            <w:r w:rsidRPr="00DC474B">
              <w:rPr>
                <w:rFonts w:ascii="Garamond" w:hAnsi="Garamond"/>
                <w:lang w:val="en-AU"/>
              </w:rPr>
              <w:t>The study highlights the potential for targeted behavioural change interventions, supported by electronic decision support systems, to decrease cognitive burden and improve patient safety.</w:t>
            </w:r>
            <w:r>
              <w:rPr>
                <w:rFonts w:ascii="Garamond" w:hAnsi="Garamond"/>
                <w:lang w:val="en-AU"/>
              </w:rPr>
              <w:t>’</w:t>
            </w:r>
          </w:p>
          <w:p w14:paraId="1D9DF2D5" w14:textId="77777777" w:rsidR="00F15C03" w:rsidRDefault="00F15C03" w:rsidP="00DC474B">
            <w:pPr>
              <w:rPr>
                <w:rFonts w:ascii="Garamond" w:hAnsi="Garamond"/>
                <w:lang w:val="en-AU"/>
              </w:rPr>
            </w:pPr>
          </w:p>
          <w:p w14:paraId="459132E1" w14:textId="4F79A567" w:rsidR="001F43CC" w:rsidRDefault="00DC474B" w:rsidP="001F43CC">
            <w:pPr>
              <w:rPr>
                <w:rFonts w:ascii="Garamond" w:hAnsi="Garamond"/>
                <w:lang w:val="en-AU"/>
              </w:rPr>
            </w:pPr>
            <w:r>
              <w:rPr>
                <w:rFonts w:ascii="Garamond" w:hAnsi="Garamond"/>
                <w:lang w:val="en-AU"/>
              </w:rPr>
              <w:t xml:space="preserve">The issue of clinical deterioration and the importance of timely recognition and response has been known for some time with a range of approaches to addressing this issue adopted. This study suggests </w:t>
            </w:r>
            <w:r w:rsidR="001F43CC">
              <w:rPr>
                <w:rFonts w:ascii="Garamond" w:hAnsi="Garamond"/>
                <w:lang w:val="en-AU"/>
              </w:rPr>
              <w:t xml:space="preserve">that there remains </w:t>
            </w:r>
            <w:r w:rsidR="001F43CC" w:rsidRPr="001F43CC">
              <w:rPr>
                <w:rFonts w:ascii="Garamond" w:hAnsi="Garamond"/>
                <w:lang w:val="en-AU"/>
              </w:rPr>
              <w:t>room for improvement.</w:t>
            </w:r>
          </w:p>
          <w:p w14:paraId="08CB50F7" w14:textId="77777777" w:rsidR="00F15C03" w:rsidRDefault="00F15C03" w:rsidP="001F43CC">
            <w:pPr>
              <w:rPr>
                <w:rFonts w:ascii="Garamond" w:hAnsi="Garamond"/>
                <w:lang w:val="en-AU"/>
              </w:rPr>
            </w:pPr>
          </w:p>
          <w:p w14:paraId="3C9E0883" w14:textId="5EAC0405" w:rsidR="000234E7" w:rsidRPr="005A1055" w:rsidRDefault="00F15C03" w:rsidP="001F43CC">
            <w:pPr>
              <w:rPr>
                <w:rFonts w:ascii="Garamond" w:hAnsi="Garamond"/>
                <w:lang w:val="en-AU"/>
              </w:rPr>
            </w:pPr>
            <w:r w:rsidRPr="00F15C03">
              <w:rPr>
                <w:rFonts w:ascii="Garamond" w:hAnsi="Garamond"/>
                <w:lang w:val="en-AU"/>
              </w:rPr>
              <w:t>The Australian Commission on Safety and Quality in Health Care was a research partner on this work.</w:t>
            </w:r>
          </w:p>
        </w:tc>
      </w:tr>
    </w:tbl>
    <w:p w14:paraId="01F4DDFC" w14:textId="73261334" w:rsidR="007D1A04" w:rsidRDefault="007D1A04" w:rsidP="007D1A04">
      <w:pPr>
        <w:keepNext/>
        <w:keepLines/>
        <w:autoSpaceDE w:val="0"/>
        <w:autoSpaceDN w:val="0"/>
        <w:adjustRightInd w:val="0"/>
        <w:rPr>
          <w:rFonts w:ascii="Garamond" w:hAnsi="Garamond"/>
          <w:b/>
          <w:lang w:val="en-AU"/>
        </w:rPr>
      </w:pPr>
    </w:p>
    <w:p w14:paraId="16BB9CAB" w14:textId="34599A70" w:rsidR="00DC474B" w:rsidRDefault="00DC474B" w:rsidP="007D1A04">
      <w:pPr>
        <w:keepNext/>
        <w:keepLines/>
        <w:autoSpaceDE w:val="0"/>
        <w:autoSpaceDN w:val="0"/>
        <w:adjustRightInd w:val="0"/>
        <w:rPr>
          <w:rFonts w:ascii="Garamond" w:hAnsi="Garamond"/>
          <w:bCs/>
          <w:lang w:val="en-AU"/>
        </w:rPr>
      </w:pPr>
      <w:r w:rsidRPr="00DC474B">
        <w:rPr>
          <w:rFonts w:ascii="Garamond" w:hAnsi="Garamond"/>
          <w:bCs/>
          <w:lang w:val="en-AU"/>
        </w:rPr>
        <w:t>For information on the C</w:t>
      </w:r>
      <w:r>
        <w:rPr>
          <w:rFonts w:ascii="Garamond" w:hAnsi="Garamond"/>
          <w:bCs/>
          <w:lang w:val="en-AU"/>
        </w:rPr>
        <w:t>o</w:t>
      </w:r>
      <w:r w:rsidRPr="00DC474B">
        <w:rPr>
          <w:rFonts w:ascii="Garamond" w:hAnsi="Garamond"/>
          <w:bCs/>
          <w:lang w:val="en-AU"/>
        </w:rPr>
        <w:t>mmis</w:t>
      </w:r>
      <w:r>
        <w:rPr>
          <w:rFonts w:ascii="Garamond" w:hAnsi="Garamond"/>
          <w:bCs/>
          <w:lang w:val="en-AU"/>
        </w:rPr>
        <w:t>s</w:t>
      </w:r>
      <w:r w:rsidRPr="00DC474B">
        <w:rPr>
          <w:rFonts w:ascii="Garamond" w:hAnsi="Garamond"/>
          <w:bCs/>
          <w:lang w:val="en-AU"/>
        </w:rPr>
        <w:t xml:space="preserve">ion’s work on recognising and responding to deterioration, see </w:t>
      </w:r>
      <w:hyperlink r:id="rId24" w:history="1">
        <w:r w:rsidRPr="00252532">
          <w:rPr>
            <w:rStyle w:val="Hyperlink"/>
            <w:rFonts w:ascii="Garamond" w:hAnsi="Garamond"/>
            <w:bCs/>
            <w:lang w:val="en-AU"/>
          </w:rPr>
          <w:t>https://www.safetyandquality.gov.au/our-work/recognising-and-responding-deterioration</w:t>
        </w:r>
      </w:hyperlink>
    </w:p>
    <w:p w14:paraId="186289C9" w14:textId="77777777" w:rsidR="00DC474B" w:rsidRPr="00DC474B" w:rsidRDefault="00DC474B" w:rsidP="007D1A04">
      <w:pPr>
        <w:keepNext/>
        <w:keepLines/>
        <w:autoSpaceDE w:val="0"/>
        <w:autoSpaceDN w:val="0"/>
        <w:adjustRightInd w:val="0"/>
        <w:rPr>
          <w:rFonts w:ascii="Garamond" w:hAnsi="Garamond"/>
          <w:bCs/>
          <w:lang w:val="en-AU"/>
        </w:rPr>
      </w:pPr>
    </w:p>
    <w:p w14:paraId="2C4877BB" w14:textId="77777777" w:rsidR="00DC474B" w:rsidRPr="00DC474B" w:rsidRDefault="00DC474B" w:rsidP="007D1A04">
      <w:pPr>
        <w:keepNext/>
        <w:keepLines/>
        <w:autoSpaceDE w:val="0"/>
        <w:autoSpaceDN w:val="0"/>
        <w:adjustRightInd w:val="0"/>
        <w:rPr>
          <w:rFonts w:ascii="Garamond" w:hAnsi="Garamond"/>
          <w:bCs/>
          <w:lang w:val="en-AU"/>
        </w:rPr>
      </w:pPr>
    </w:p>
    <w:p w14:paraId="59CBF33D" w14:textId="77777777" w:rsidR="00933C81" w:rsidRPr="00933C81" w:rsidRDefault="00933C81" w:rsidP="00933C81">
      <w:pPr>
        <w:keepLines/>
        <w:autoSpaceDE w:val="0"/>
        <w:autoSpaceDN w:val="0"/>
        <w:adjustRightInd w:val="0"/>
        <w:rPr>
          <w:rFonts w:ascii="Garamond" w:hAnsi="Garamond"/>
          <w:i/>
          <w:iCs/>
          <w:lang w:val="en-AU"/>
        </w:rPr>
      </w:pPr>
      <w:r w:rsidRPr="00933C81">
        <w:rPr>
          <w:rFonts w:ascii="Garamond" w:hAnsi="Garamond"/>
          <w:i/>
          <w:iCs/>
          <w:lang w:val="en-AU"/>
        </w:rPr>
        <w:t>Vitamin, Mineral, and Multivitamin Supplementation to Prevent Cardiovascular Disease and Cancer</w:t>
      </w:r>
    </w:p>
    <w:p w14:paraId="3D3C7F8D" w14:textId="6F824D40" w:rsidR="001E29E7" w:rsidRDefault="00933C81" w:rsidP="00933C81">
      <w:pPr>
        <w:keepLines/>
        <w:autoSpaceDE w:val="0"/>
        <w:autoSpaceDN w:val="0"/>
        <w:adjustRightInd w:val="0"/>
        <w:rPr>
          <w:rFonts w:ascii="Garamond" w:hAnsi="Garamond"/>
          <w:i/>
          <w:iCs/>
          <w:lang w:val="en-AU"/>
        </w:rPr>
      </w:pPr>
      <w:r w:rsidRPr="00933C81">
        <w:rPr>
          <w:rFonts w:ascii="Garamond" w:hAnsi="Garamond"/>
          <w:i/>
          <w:iCs/>
          <w:lang w:val="en-AU"/>
        </w:rPr>
        <w:t>US Preventive Services Task Force Recommendation Statement</w:t>
      </w:r>
    </w:p>
    <w:p w14:paraId="7C0E4466" w14:textId="77777777" w:rsidR="00527A39" w:rsidRDefault="00527A39" w:rsidP="00933C81">
      <w:pPr>
        <w:keepLines/>
        <w:autoSpaceDE w:val="0"/>
        <w:autoSpaceDN w:val="0"/>
        <w:adjustRightInd w:val="0"/>
        <w:rPr>
          <w:rFonts w:ascii="Garamond" w:hAnsi="Garamond"/>
          <w:lang w:val="en-AU"/>
        </w:rPr>
      </w:pPr>
      <w:r w:rsidRPr="00527A39">
        <w:rPr>
          <w:rFonts w:ascii="Garamond" w:hAnsi="Garamond"/>
          <w:lang w:val="en-AU"/>
        </w:rPr>
        <w:t>US Preventive Services Task Force</w:t>
      </w:r>
    </w:p>
    <w:p w14:paraId="74DA904D" w14:textId="539FB48D" w:rsidR="00527A39" w:rsidRPr="00527A39" w:rsidRDefault="00527A39" w:rsidP="00933C81">
      <w:pPr>
        <w:keepLines/>
        <w:autoSpaceDE w:val="0"/>
        <w:autoSpaceDN w:val="0"/>
        <w:adjustRightInd w:val="0"/>
        <w:rPr>
          <w:rFonts w:ascii="Garamond" w:hAnsi="Garamond"/>
          <w:lang w:val="en-AU"/>
        </w:rPr>
      </w:pPr>
      <w:r w:rsidRPr="00527A39">
        <w:rPr>
          <w:rFonts w:ascii="Garamond" w:hAnsi="Garamond"/>
          <w:lang w:val="en-AU"/>
        </w:rPr>
        <w:t>JAMA. 2022;327(23):2326-2333.</w:t>
      </w:r>
    </w:p>
    <w:p w14:paraId="41F52E32" w14:textId="67F0A12C" w:rsidR="00933C81" w:rsidRDefault="00933C81" w:rsidP="00933C81">
      <w:pPr>
        <w:keepLines/>
        <w:autoSpaceDE w:val="0"/>
        <w:autoSpaceDN w:val="0"/>
        <w:adjustRightInd w:val="0"/>
        <w:rPr>
          <w:rFonts w:ascii="Garamond" w:hAnsi="Garamond"/>
          <w:lang w:val="en-AU"/>
        </w:rPr>
      </w:pPr>
    </w:p>
    <w:p w14:paraId="1564035B" w14:textId="218F7E02" w:rsidR="00933C81" w:rsidRPr="00933C81" w:rsidRDefault="00933C81" w:rsidP="00933C81">
      <w:pPr>
        <w:keepLines/>
        <w:autoSpaceDE w:val="0"/>
        <w:autoSpaceDN w:val="0"/>
        <w:adjustRightInd w:val="0"/>
        <w:rPr>
          <w:rFonts w:ascii="Garamond" w:hAnsi="Garamond"/>
          <w:i/>
          <w:iCs/>
          <w:lang w:val="en-AU"/>
        </w:rPr>
      </w:pPr>
      <w:r w:rsidRPr="00933C81">
        <w:rPr>
          <w:rFonts w:ascii="Garamond" w:hAnsi="Garamond"/>
          <w:i/>
          <w:iCs/>
          <w:lang w:val="en-AU"/>
        </w:rPr>
        <w:t>Multivitamins and Supplements—Benign Prevention or Potentially Harmful Distraction?</w:t>
      </w:r>
    </w:p>
    <w:p w14:paraId="667E402B" w14:textId="77777777" w:rsidR="00527A39" w:rsidRDefault="00527A39" w:rsidP="00933C81">
      <w:pPr>
        <w:keepLines/>
        <w:autoSpaceDE w:val="0"/>
        <w:autoSpaceDN w:val="0"/>
        <w:adjustRightInd w:val="0"/>
        <w:rPr>
          <w:rFonts w:ascii="Garamond" w:hAnsi="Garamond"/>
          <w:lang w:val="en-AU"/>
        </w:rPr>
      </w:pPr>
      <w:r w:rsidRPr="00527A39">
        <w:rPr>
          <w:rFonts w:ascii="Garamond" w:hAnsi="Garamond"/>
          <w:lang w:val="en-AU"/>
        </w:rPr>
        <w:t>Jia J, Cameron NA, Linder JA</w:t>
      </w:r>
    </w:p>
    <w:p w14:paraId="18E1DC02" w14:textId="07F1E8D7" w:rsidR="00933C81" w:rsidRDefault="00527A39" w:rsidP="00933C81">
      <w:pPr>
        <w:keepLines/>
        <w:autoSpaceDE w:val="0"/>
        <w:autoSpaceDN w:val="0"/>
        <w:adjustRightInd w:val="0"/>
        <w:rPr>
          <w:rFonts w:ascii="Garamond" w:hAnsi="Garamond"/>
          <w:lang w:val="en-AU"/>
        </w:rPr>
      </w:pPr>
      <w:r w:rsidRPr="00527A39">
        <w:rPr>
          <w:rFonts w:ascii="Garamond" w:hAnsi="Garamond"/>
          <w:lang w:val="en-AU"/>
        </w:rPr>
        <w:t>JAMA. 2022;327(23):2294-2295.</w:t>
      </w:r>
    </w:p>
    <w:p w14:paraId="5DC0DCAE" w14:textId="77777777" w:rsidR="00527A39" w:rsidRDefault="00527A39" w:rsidP="00933C81">
      <w:pPr>
        <w:keepLines/>
        <w:autoSpaceDE w:val="0"/>
        <w:autoSpaceDN w:val="0"/>
        <w:adjustRightInd w:val="0"/>
        <w:rPr>
          <w:rFonts w:ascii="Garamond" w:hAnsi="Garamond"/>
          <w:lang w:val="en-AU"/>
        </w:rPr>
      </w:pPr>
    </w:p>
    <w:p w14:paraId="33E59A90" w14:textId="366794AD" w:rsidR="00527A39" w:rsidRPr="00527A39" w:rsidRDefault="00527A39" w:rsidP="00933C81">
      <w:pPr>
        <w:keepLines/>
        <w:autoSpaceDE w:val="0"/>
        <w:autoSpaceDN w:val="0"/>
        <w:adjustRightInd w:val="0"/>
        <w:rPr>
          <w:rFonts w:ascii="Garamond" w:hAnsi="Garamond"/>
          <w:i/>
          <w:iCs/>
          <w:lang w:val="en-AU"/>
        </w:rPr>
      </w:pPr>
      <w:r w:rsidRPr="00527A39">
        <w:rPr>
          <w:rFonts w:ascii="Garamond" w:hAnsi="Garamond"/>
          <w:i/>
          <w:iCs/>
          <w:lang w:val="en-AU"/>
        </w:rPr>
        <w:t>Why Too Many Vitamins Feels Just About Right</w:t>
      </w:r>
    </w:p>
    <w:p w14:paraId="7BD47680" w14:textId="77777777" w:rsidR="00527A39" w:rsidRDefault="00527A39" w:rsidP="00933C81">
      <w:pPr>
        <w:keepLines/>
        <w:autoSpaceDE w:val="0"/>
        <w:autoSpaceDN w:val="0"/>
        <w:adjustRightInd w:val="0"/>
        <w:rPr>
          <w:rFonts w:ascii="Garamond" w:hAnsi="Garamond"/>
          <w:lang w:val="en-AU"/>
        </w:rPr>
      </w:pPr>
      <w:r w:rsidRPr="00527A39">
        <w:rPr>
          <w:rFonts w:ascii="Garamond" w:hAnsi="Garamond"/>
          <w:lang w:val="en-AU"/>
        </w:rPr>
        <w:t>Ubel PA</w:t>
      </w:r>
    </w:p>
    <w:p w14:paraId="71C0DBAE" w14:textId="33C3DBCF" w:rsidR="00527A39" w:rsidRDefault="00527A39" w:rsidP="00933C81">
      <w:pPr>
        <w:keepLines/>
        <w:autoSpaceDE w:val="0"/>
        <w:autoSpaceDN w:val="0"/>
        <w:adjustRightInd w:val="0"/>
        <w:rPr>
          <w:rFonts w:ascii="Garamond" w:hAnsi="Garamond"/>
          <w:lang w:val="en-AU"/>
        </w:rPr>
      </w:pPr>
      <w:r w:rsidRPr="00527A39">
        <w:rPr>
          <w:rFonts w:ascii="Garamond" w:hAnsi="Garamond"/>
          <w:lang w:val="en-AU"/>
        </w:rPr>
        <w:t>JAMA Internal Medicine. 2022.</w:t>
      </w:r>
    </w:p>
    <w:p w14:paraId="789A0759" w14:textId="0EB888A4" w:rsidR="00933C81" w:rsidRPr="00527A39" w:rsidRDefault="00933C81" w:rsidP="00933C81">
      <w:pPr>
        <w:keepLines/>
        <w:autoSpaceDE w:val="0"/>
        <w:autoSpaceDN w:val="0"/>
        <w:adjustRightInd w:val="0"/>
        <w:rPr>
          <w:rFonts w:ascii="Garamond" w:hAnsi="Garamond"/>
          <w:lang w:val="en-AU"/>
        </w:rPr>
      </w:pPr>
      <w:r w:rsidRPr="00933C81">
        <w:rPr>
          <w:rFonts w:ascii="Garamond" w:hAnsi="Garamond"/>
          <w:i/>
          <w:iCs/>
          <w:lang w:val="en-AU"/>
        </w:rPr>
        <w:lastRenderedPageBreak/>
        <w:t>Vitamins and Minerals to Prevent Cardiovascular Disease and Cancer</w:t>
      </w:r>
    </w:p>
    <w:p w14:paraId="79A90A56" w14:textId="77777777" w:rsidR="00527A39" w:rsidRDefault="00527A39" w:rsidP="00933C81">
      <w:pPr>
        <w:keepLines/>
        <w:autoSpaceDE w:val="0"/>
        <w:autoSpaceDN w:val="0"/>
        <w:adjustRightInd w:val="0"/>
        <w:rPr>
          <w:rFonts w:ascii="Garamond" w:hAnsi="Garamond"/>
          <w:lang w:val="en-AU"/>
        </w:rPr>
      </w:pPr>
      <w:r w:rsidRPr="00527A39">
        <w:rPr>
          <w:rFonts w:ascii="Garamond" w:hAnsi="Garamond"/>
          <w:lang w:val="en-AU"/>
        </w:rPr>
        <w:t>Jin J</w:t>
      </w:r>
    </w:p>
    <w:p w14:paraId="5F0C4BA6" w14:textId="23BF36E1" w:rsidR="00933C81" w:rsidRDefault="00527A39" w:rsidP="00933C81">
      <w:pPr>
        <w:keepLines/>
        <w:autoSpaceDE w:val="0"/>
        <w:autoSpaceDN w:val="0"/>
        <w:adjustRightInd w:val="0"/>
        <w:rPr>
          <w:rFonts w:ascii="Garamond" w:hAnsi="Garamond"/>
          <w:lang w:val="en-AU"/>
        </w:rPr>
      </w:pPr>
      <w:r w:rsidRPr="00527A39">
        <w:rPr>
          <w:rFonts w:ascii="Garamond" w:hAnsi="Garamond"/>
          <w:lang w:val="en-AU"/>
        </w:rPr>
        <w:t>JAMA. 2022;327(23):2364-2364.</w:t>
      </w:r>
    </w:p>
    <w:tbl>
      <w:tblPr>
        <w:tblStyle w:val="TableGrid"/>
        <w:tblW w:w="9360" w:type="dxa"/>
        <w:tblInd w:w="288" w:type="dxa"/>
        <w:tblLayout w:type="fixed"/>
        <w:tblLook w:val="01E0" w:firstRow="1" w:lastRow="1" w:firstColumn="1" w:lastColumn="1" w:noHBand="0" w:noVBand="0"/>
      </w:tblPr>
      <w:tblGrid>
        <w:gridCol w:w="1080"/>
        <w:gridCol w:w="8280"/>
      </w:tblGrid>
      <w:tr w:rsidR="001E29E7" w:rsidRPr="00E37911" w14:paraId="36E93089"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54F60602" w14:textId="77777777" w:rsidR="001E29E7" w:rsidRPr="00E37911" w:rsidRDefault="001E29E7" w:rsidP="00A449A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E5C9CCC" w14:textId="5761BC73" w:rsidR="001E29E7" w:rsidRDefault="00933C81" w:rsidP="00A449A0">
            <w:pPr>
              <w:rPr>
                <w:rStyle w:val="Hyperlink"/>
                <w:rFonts w:ascii="Garamond" w:hAnsi="Garamond"/>
                <w:color w:val="auto"/>
                <w:u w:val="none"/>
                <w:lang w:val="en-AU"/>
              </w:rPr>
            </w:pPr>
            <w:r w:rsidRPr="00933C81">
              <w:rPr>
                <w:rStyle w:val="Hyperlink"/>
                <w:rFonts w:ascii="Garamond" w:hAnsi="Garamond"/>
                <w:color w:val="auto"/>
                <w:u w:val="none"/>
                <w:lang w:val="en-AU"/>
              </w:rPr>
              <w:t>US Preventive Services Task Force</w:t>
            </w:r>
            <w:r>
              <w:rPr>
                <w:rStyle w:val="Hyperlink"/>
                <w:rFonts w:ascii="Garamond" w:hAnsi="Garamond"/>
                <w:color w:val="auto"/>
                <w:u w:val="none"/>
                <w:lang w:val="en-AU"/>
              </w:rPr>
              <w:t xml:space="preserve"> </w:t>
            </w:r>
            <w:hyperlink r:id="rId25" w:history="1">
              <w:r w:rsidRPr="00252532">
                <w:rPr>
                  <w:rStyle w:val="Hyperlink"/>
                  <w:rFonts w:ascii="Garamond" w:hAnsi="Garamond"/>
                  <w:lang w:val="en-AU"/>
                </w:rPr>
                <w:t>https://doi.org/10.1001/jama.2022.8970</w:t>
              </w:r>
            </w:hyperlink>
          </w:p>
          <w:p w14:paraId="6CE4ADF4" w14:textId="5E199A0E" w:rsidR="00933C81" w:rsidRPr="00E37911" w:rsidRDefault="00933C81" w:rsidP="00933C81">
            <w:pPr>
              <w:rPr>
                <w:rStyle w:val="Hyperlink"/>
                <w:rFonts w:ascii="Garamond" w:hAnsi="Garamond"/>
                <w:color w:val="auto"/>
                <w:u w:val="none"/>
                <w:lang w:val="en-AU"/>
              </w:rPr>
            </w:pPr>
            <w:r>
              <w:rPr>
                <w:rStyle w:val="Hyperlink"/>
                <w:rFonts w:ascii="Garamond" w:hAnsi="Garamond"/>
                <w:color w:val="auto"/>
                <w:u w:val="none"/>
                <w:lang w:val="en-AU"/>
              </w:rPr>
              <w:t xml:space="preserve">Jia et al </w:t>
            </w:r>
            <w:hyperlink r:id="rId26" w:history="1">
              <w:r w:rsidRPr="00252532">
                <w:rPr>
                  <w:rStyle w:val="Hyperlink"/>
                  <w:rFonts w:ascii="Garamond" w:hAnsi="Garamond"/>
                  <w:lang w:val="en-AU"/>
                </w:rPr>
                <w:t>https://doi.org/10.1001/jama.2022.9167</w:t>
              </w:r>
            </w:hyperlink>
          </w:p>
          <w:p w14:paraId="54AE59D1" w14:textId="46682F54" w:rsidR="00527A39" w:rsidRDefault="00527A39" w:rsidP="00933C81">
            <w:pPr>
              <w:rPr>
                <w:rStyle w:val="Hyperlink"/>
                <w:rFonts w:ascii="Garamond" w:hAnsi="Garamond"/>
                <w:color w:val="auto"/>
                <w:u w:val="none"/>
                <w:lang w:val="en-AU"/>
              </w:rPr>
            </w:pPr>
            <w:r>
              <w:rPr>
                <w:rStyle w:val="Hyperlink"/>
                <w:rFonts w:ascii="Garamond" w:hAnsi="Garamond"/>
                <w:color w:val="auto"/>
                <w:u w:val="none"/>
                <w:lang w:val="en-AU"/>
              </w:rPr>
              <w:t xml:space="preserve">Ubel </w:t>
            </w:r>
            <w:hyperlink r:id="rId27" w:history="1">
              <w:r w:rsidRPr="00252532">
                <w:rPr>
                  <w:rStyle w:val="Hyperlink"/>
                  <w:rFonts w:ascii="Garamond" w:hAnsi="Garamond"/>
                  <w:lang w:val="en-AU"/>
                </w:rPr>
                <w:t>https://10.1001/jamainternmed.2022.0119</w:t>
              </w:r>
            </w:hyperlink>
          </w:p>
          <w:p w14:paraId="7D5166FF" w14:textId="3EBF8717" w:rsidR="00933C81" w:rsidRPr="00E37911" w:rsidRDefault="00933C81" w:rsidP="00933C81">
            <w:pPr>
              <w:rPr>
                <w:rStyle w:val="Hyperlink"/>
                <w:rFonts w:ascii="Garamond" w:hAnsi="Garamond"/>
                <w:color w:val="auto"/>
                <w:u w:val="none"/>
                <w:lang w:val="en-AU"/>
              </w:rPr>
            </w:pPr>
            <w:r>
              <w:rPr>
                <w:rStyle w:val="Hyperlink"/>
                <w:rFonts w:ascii="Garamond" w:hAnsi="Garamond"/>
                <w:color w:val="auto"/>
                <w:u w:val="none"/>
                <w:lang w:val="en-AU"/>
              </w:rPr>
              <w:t xml:space="preserve">Jin </w:t>
            </w:r>
            <w:hyperlink r:id="rId28" w:history="1">
              <w:r w:rsidRPr="00252532">
                <w:rPr>
                  <w:rStyle w:val="Hyperlink"/>
                  <w:rFonts w:ascii="Garamond" w:hAnsi="Garamond"/>
                  <w:lang w:val="en-AU"/>
                </w:rPr>
                <w:t>https://doi.org/10.1001/jama.2022.10009</w:t>
              </w:r>
            </w:hyperlink>
          </w:p>
        </w:tc>
      </w:tr>
      <w:tr w:rsidR="001E29E7" w:rsidRPr="00E37911" w14:paraId="79EFA4D9"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2AF7C0D4" w14:textId="77777777" w:rsidR="001E29E7" w:rsidRPr="00E37911" w:rsidRDefault="001E29E7" w:rsidP="00A449A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5762410" w14:textId="11B63CFE" w:rsidR="001E29E7" w:rsidRDefault="00933C81" w:rsidP="00A449A0">
            <w:pPr>
              <w:rPr>
                <w:rFonts w:ascii="Garamond" w:hAnsi="Garamond"/>
                <w:lang w:val="en-AU"/>
              </w:rPr>
            </w:pPr>
            <w:r>
              <w:rPr>
                <w:rFonts w:ascii="Garamond" w:hAnsi="Garamond"/>
                <w:lang w:val="en-AU"/>
              </w:rPr>
              <w:t xml:space="preserve">The </w:t>
            </w:r>
            <w:r w:rsidRPr="00933C81">
              <w:rPr>
                <w:rStyle w:val="Hyperlink"/>
                <w:rFonts w:ascii="Garamond" w:hAnsi="Garamond"/>
                <w:color w:val="auto"/>
                <w:u w:val="none"/>
                <w:lang w:val="en-AU"/>
              </w:rPr>
              <w:t>U</w:t>
            </w:r>
            <w:r w:rsidR="00527A39">
              <w:rPr>
                <w:rStyle w:val="Hyperlink"/>
                <w:rFonts w:ascii="Garamond" w:hAnsi="Garamond"/>
                <w:color w:val="auto"/>
                <w:u w:val="none"/>
                <w:lang w:val="en-AU"/>
              </w:rPr>
              <w:t>.</w:t>
            </w:r>
            <w:r w:rsidRPr="00933C81">
              <w:rPr>
                <w:rStyle w:val="Hyperlink"/>
                <w:rFonts w:ascii="Garamond" w:hAnsi="Garamond"/>
                <w:color w:val="auto"/>
                <w:u w:val="none"/>
                <w:lang w:val="en-AU"/>
              </w:rPr>
              <w:t>S</w:t>
            </w:r>
            <w:r w:rsidR="00527A39">
              <w:rPr>
                <w:rStyle w:val="Hyperlink"/>
                <w:rFonts w:ascii="Garamond" w:hAnsi="Garamond"/>
                <w:color w:val="auto"/>
                <w:u w:val="none"/>
                <w:lang w:val="en-AU"/>
              </w:rPr>
              <w:t>.</w:t>
            </w:r>
            <w:r w:rsidRPr="00933C81">
              <w:rPr>
                <w:rStyle w:val="Hyperlink"/>
                <w:rFonts w:ascii="Garamond" w:hAnsi="Garamond"/>
                <w:color w:val="auto"/>
                <w:u w:val="none"/>
                <w:lang w:val="en-AU"/>
              </w:rPr>
              <w:t xml:space="preserve"> Preventive Services Task Force</w:t>
            </w:r>
            <w:r>
              <w:rPr>
                <w:rStyle w:val="Hyperlink"/>
                <w:rFonts w:ascii="Garamond" w:hAnsi="Garamond"/>
                <w:color w:val="auto"/>
                <w:u w:val="none"/>
                <w:lang w:val="en-AU"/>
              </w:rPr>
              <w:t xml:space="preserve"> has issue</w:t>
            </w:r>
            <w:r w:rsidR="00AF2B88">
              <w:rPr>
                <w:rStyle w:val="Hyperlink"/>
                <w:rFonts w:ascii="Garamond" w:hAnsi="Garamond"/>
                <w:color w:val="auto"/>
                <w:u w:val="none"/>
                <w:lang w:val="en-AU"/>
              </w:rPr>
              <w:t>d</w:t>
            </w:r>
            <w:r>
              <w:rPr>
                <w:rStyle w:val="Hyperlink"/>
                <w:rFonts w:ascii="Garamond" w:hAnsi="Garamond"/>
                <w:color w:val="auto"/>
                <w:u w:val="none"/>
                <w:lang w:val="en-AU"/>
              </w:rPr>
              <w:t xml:space="preserve"> </w:t>
            </w:r>
            <w:r w:rsidR="00AF2B88">
              <w:rPr>
                <w:rStyle w:val="Hyperlink"/>
                <w:rFonts w:ascii="Garamond" w:hAnsi="Garamond"/>
                <w:color w:val="auto"/>
                <w:u w:val="none"/>
                <w:lang w:val="en-AU"/>
              </w:rPr>
              <w:t>its latest recommendation. This recommendation statement is an update on a 2014 recommendation for which ‘</w:t>
            </w:r>
            <w:r w:rsidR="00AF2B88" w:rsidRPr="00AF2B88">
              <w:rPr>
                <w:rStyle w:val="Hyperlink"/>
                <w:rFonts w:ascii="Garamond" w:hAnsi="Garamond"/>
                <w:color w:val="auto"/>
                <w:u w:val="none"/>
                <w:lang w:val="en-AU"/>
              </w:rPr>
              <w:t>the US Preventive Services Task Force (USPSTF) commissioned a review of the evidence on the efficacy of supplementation with single nutrients, functionally related nutrient pairs, or multivitamins for reducing the risk of cardiovascular disease, cancer, and mortality in the general adult population, as well as the harms of supplementation.</w:t>
            </w:r>
            <w:r w:rsidR="00AF2B88">
              <w:rPr>
                <w:rStyle w:val="Hyperlink"/>
                <w:rFonts w:ascii="Garamond" w:hAnsi="Garamond"/>
                <w:color w:val="auto"/>
                <w:u w:val="none"/>
                <w:lang w:val="en-AU"/>
              </w:rPr>
              <w:t>’</w:t>
            </w:r>
          </w:p>
          <w:p w14:paraId="5EDE0396" w14:textId="2EBCC807" w:rsidR="00933C81" w:rsidRDefault="00527A39" w:rsidP="00A449A0">
            <w:pPr>
              <w:rPr>
                <w:rFonts w:ascii="Garamond" w:hAnsi="Garamond"/>
                <w:lang w:val="en-AU"/>
              </w:rPr>
            </w:pPr>
            <w:r>
              <w:rPr>
                <w:rFonts w:ascii="Garamond" w:hAnsi="Garamond"/>
                <w:lang w:val="en-AU"/>
              </w:rPr>
              <w:t xml:space="preserve">JAMA journals also have </w:t>
            </w:r>
            <w:r w:rsidR="00933C81">
              <w:rPr>
                <w:rFonts w:ascii="Garamond" w:hAnsi="Garamond"/>
                <w:lang w:val="en-AU"/>
              </w:rPr>
              <w:t>related editorial</w:t>
            </w:r>
            <w:r>
              <w:rPr>
                <w:rFonts w:ascii="Garamond" w:hAnsi="Garamond"/>
                <w:lang w:val="en-AU"/>
              </w:rPr>
              <w:t>s</w:t>
            </w:r>
            <w:r w:rsidR="00933C81">
              <w:rPr>
                <w:rFonts w:ascii="Garamond" w:hAnsi="Garamond"/>
                <w:lang w:val="en-AU"/>
              </w:rPr>
              <w:t xml:space="preserve">, </w:t>
            </w:r>
            <w:r>
              <w:rPr>
                <w:rFonts w:ascii="Garamond" w:hAnsi="Garamond"/>
                <w:lang w:val="en-AU"/>
              </w:rPr>
              <w:t xml:space="preserve">including </w:t>
            </w:r>
            <w:r w:rsidR="00933C81">
              <w:rPr>
                <w:rFonts w:ascii="Garamond" w:hAnsi="Garamond"/>
                <w:lang w:val="en-AU"/>
              </w:rPr>
              <w:t xml:space="preserve">Jia et al </w:t>
            </w:r>
            <w:r>
              <w:rPr>
                <w:rFonts w:ascii="Garamond" w:hAnsi="Garamond"/>
                <w:lang w:val="en-AU"/>
              </w:rPr>
              <w:t>and Ubel. U</w:t>
            </w:r>
            <w:r w:rsidR="00B20750">
              <w:rPr>
                <w:rFonts w:ascii="Garamond" w:hAnsi="Garamond"/>
                <w:lang w:val="en-AU"/>
              </w:rPr>
              <w:t>b</w:t>
            </w:r>
            <w:r>
              <w:rPr>
                <w:rFonts w:ascii="Garamond" w:hAnsi="Garamond"/>
                <w:lang w:val="en-AU"/>
              </w:rPr>
              <w:t xml:space="preserve">el </w:t>
            </w:r>
            <w:r w:rsidR="00933C81">
              <w:rPr>
                <w:rFonts w:ascii="Garamond" w:hAnsi="Garamond"/>
                <w:lang w:val="en-AU"/>
              </w:rPr>
              <w:t>observe</w:t>
            </w:r>
            <w:r>
              <w:rPr>
                <w:rFonts w:ascii="Garamond" w:hAnsi="Garamond"/>
                <w:lang w:val="en-AU"/>
              </w:rPr>
              <w:t>s</w:t>
            </w:r>
            <w:r w:rsidR="00933C81">
              <w:rPr>
                <w:rFonts w:ascii="Garamond" w:hAnsi="Garamond"/>
                <w:lang w:val="en-AU"/>
              </w:rPr>
              <w:t xml:space="preserve"> that </w:t>
            </w:r>
            <w:r w:rsidR="00AF2B88">
              <w:rPr>
                <w:rFonts w:ascii="Garamond" w:hAnsi="Garamond"/>
                <w:lang w:val="en-AU"/>
              </w:rPr>
              <w:t>‘</w:t>
            </w:r>
            <w:r w:rsidR="00AF2B88" w:rsidRPr="00AF2B88">
              <w:rPr>
                <w:rFonts w:ascii="Garamond" w:hAnsi="Garamond"/>
                <w:lang w:val="en-AU"/>
              </w:rPr>
              <w:t>US adults spend more than $10 billion per year on vitamins and dietary supplements</w:t>
            </w:r>
            <w:r w:rsidR="00AF2B88">
              <w:rPr>
                <w:rFonts w:ascii="Garamond" w:hAnsi="Garamond"/>
                <w:lang w:val="en-AU"/>
              </w:rPr>
              <w:t>’. While ‘</w:t>
            </w:r>
            <w:r w:rsidR="00AF2B88" w:rsidRPr="00AF2B88">
              <w:rPr>
                <w:rFonts w:ascii="Garamond" w:hAnsi="Garamond"/>
                <w:lang w:val="en-AU"/>
              </w:rPr>
              <w:t>Vitamins are necessary for life</w:t>
            </w:r>
            <w:r w:rsidR="00AF2B88">
              <w:rPr>
                <w:rFonts w:ascii="Garamond" w:hAnsi="Garamond"/>
                <w:lang w:val="en-AU"/>
              </w:rPr>
              <w:t xml:space="preserve">’ … </w:t>
            </w:r>
            <w:r w:rsidR="00AF2B88" w:rsidRPr="00AF2B88">
              <w:rPr>
                <w:rFonts w:ascii="Garamond" w:hAnsi="Garamond"/>
                <w:lang w:val="en-AU"/>
              </w:rPr>
              <w:t>the recent US Preventive Services Task Force (USPSTF) recommendation statement and updated evidence report and systematic review show, there is little evidence that supplemental vitamins and minerals prevent cancer, cardiovascular disease, or mortality.</w:t>
            </w:r>
            <w:r w:rsidR="00AF2B88">
              <w:rPr>
                <w:rFonts w:ascii="Garamond" w:hAnsi="Garamond"/>
                <w:lang w:val="en-AU"/>
              </w:rPr>
              <w:t>’</w:t>
            </w:r>
          </w:p>
          <w:p w14:paraId="43BF7CB9" w14:textId="071B3E61" w:rsidR="00933C81" w:rsidRDefault="00933C81" w:rsidP="00A449A0">
            <w:pPr>
              <w:rPr>
                <w:rFonts w:ascii="Garamond" w:hAnsi="Garamond"/>
                <w:lang w:val="en-AU"/>
              </w:rPr>
            </w:pPr>
            <w:r>
              <w:rPr>
                <w:rFonts w:ascii="Garamond" w:hAnsi="Garamond"/>
                <w:lang w:val="en-AU"/>
              </w:rPr>
              <w:t>JAMA have also published a ‘patient page’ on the recommendation (Jin)</w:t>
            </w:r>
            <w:r w:rsidR="00AF2B88">
              <w:rPr>
                <w:rFonts w:ascii="Garamond" w:hAnsi="Garamond"/>
                <w:lang w:val="en-AU"/>
              </w:rPr>
              <w:t xml:space="preserve"> that summarises the recommendation for patients. This reiterates that the USPSTF:</w:t>
            </w:r>
          </w:p>
          <w:p w14:paraId="3079562F" w14:textId="77777777" w:rsidR="00AF2B88" w:rsidRDefault="00AF2B88" w:rsidP="00AF2B88">
            <w:pPr>
              <w:pStyle w:val="ListParagraph"/>
              <w:numPr>
                <w:ilvl w:val="0"/>
                <w:numId w:val="28"/>
              </w:numPr>
              <w:rPr>
                <w:rFonts w:ascii="Garamond" w:hAnsi="Garamond"/>
                <w:lang w:val="en-AU"/>
              </w:rPr>
            </w:pPr>
            <w:r w:rsidRPr="00AF2B88">
              <w:rPr>
                <w:rFonts w:ascii="Garamond" w:hAnsi="Garamond"/>
                <w:lang w:val="en-AU"/>
              </w:rPr>
              <w:t>recommends against the use of beta carotene or vitamin E supplements for the prevention of cardiovascular disease or cancer. (D recommendation)</w:t>
            </w:r>
          </w:p>
          <w:p w14:paraId="2144A97E" w14:textId="77777777" w:rsidR="00AF2B88" w:rsidRDefault="00AF2B88" w:rsidP="00AF2B88">
            <w:pPr>
              <w:pStyle w:val="ListParagraph"/>
              <w:numPr>
                <w:ilvl w:val="0"/>
                <w:numId w:val="28"/>
              </w:numPr>
              <w:rPr>
                <w:rFonts w:ascii="Garamond" w:hAnsi="Garamond"/>
                <w:lang w:val="en-AU"/>
              </w:rPr>
            </w:pPr>
            <w:r w:rsidRPr="00AF2B88">
              <w:rPr>
                <w:rFonts w:ascii="Garamond" w:hAnsi="Garamond"/>
                <w:lang w:val="en-AU"/>
              </w:rPr>
              <w:t>concludes that the current evidence is insufficient to assess the balance of benefits and harms of the use of multivitamin supplements for the prevention of cardiovascular disease or cancer. (I statement)</w:t>
            </w:r>
          </w:p>
          <w:p w14:paraId="52827BE4" w14:textId="01B7475F" w:rsidR="00AF2B88" w:rsidRPr="00AF2B88" w:rsidRDefault="00AF2B88" w:rsidP="00AF2B88">
            <w:pPr>
              <w:pStyle w:val="ListParagraph"/>
              <w:numPr>
                <w:ilvl w:val="0"/>
                <w:numId w:val="28"/>
              </w:numPr>
              <w:rPr>
                <w:rFonts w:ascii="Garamond" w:hAnsi="Garamond"/>
                <w:lang w:val="en-AU"/>
              </w:rPr>
            </w:pPr>
            <w:r w:rsidRPr="00AF2B88">
              <w:rPr>
                <w:rFonts w:ascii="Garamond" w:hAnsi="Garamond"/>
                <w:lang w:val="en-AU"/>
              </w:rPr>
              <w:t>concludes that the current evidence is insufficient to assess the balance of benefits and harms of the use of single- or paired-nutrient supplements (other than beta carotene and vitamin E) for the prevention of cardiovascular disease or cancer. (I statement)</w:t>
            </w:r>
            <w:r>
              <w:rPr>
                <w:rFonts w:ascii="Garamond" w:hAnsi="Garamond"/>
                <w:lang w:val="en-AU"/>
              </w:rPr>
              <w:t>.</w:t>
            </w:r>
          </w:p>
          <w:p w14:paraId="14E0E5BF" w14:textId="77777777" w:rsidR="00AF2B88" w:rsidRDefault="00AF2B88" w:rsidP="00A449A0">
            <w:pPr>
              <w:rPr>
                <w:rFonts w:ascii="Garamond" w:hAnsi="Garamond"/>
                <w:lang w:val="en-AU"/>
              </w:rPr>
            </w:pPr>
          </w:p>
          <w:p w14:paraId="7DAD3C4F" w14:textId="007E5251" w:rsidR="00AF2B88" w:rsidRPr="005A1055" w:rsidRDefault="00AF2B88" w:rsidP="00A449A0">
            <w:pPr>
              <w:rPr>
                <w:rFonts w:ascii="Garamond" w:hAnsi="Garamond"/>
                <w:lang w:val="en-AU"/>
              </w:rPr>
            </w:pPr>
            <w:r>
              <w:rPr>
                <w:rFonts w:ascii="Garamond" w:hAnsi="Garamond"/>
                <w:noProof/>
                <w:lang w:val="en-AU"/>
              </w:rPr>
              <w:drawing>
                <wp:inline distT="0" distB="0" distL="0" distR="0" wp14:anchorId="65DBD19E" wp14:editId="6C446608">
                  <wp:extent cx="3388659" cy="3453040"/>
                  <wp:effectExtent l="0" t="0" r="2540" b="0"/>
                  <wp:docPr id="4" name="Picture 4" descr="Image summarising recommendation from JAMA's Patient P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ummarising recommendation from JAMA's Patient Pag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18936" cy="3483892"/>
                          </a:xfrm>
                          <a:prstGeom prst="rect">
                            <a:avLst/>
                          </a:prstGeom>
                          <a:noFill/>
                          <a:ln>
                            <a:noFill/>
                          </a:ln>
                        </pic:spPr>
                      </pic:pic>
                    </a:graphicData>
                  </a:graphic>
                </wp:inline>
              </w:drawing>
            </w:r>
          </w:p>
        </w:tc>
      </w:tr>
    </w:tbl>
    <w:p w14:paraId="360EE2EF" w14:textId="77777777" w:rsidR="008B6E6B" w:rsidRPr="00E37911" w:rsidRDefault="008B6E6B" w:rsidP="008B6E6B">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B6E6B" w:rsidRPr="00E37911" w14:paraId="7C1142DF" w14:textId="77777777" w:rsidTr="00F65C2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424B53A" w14:textId="77777777" w:rsidR="008B6E6B" w:rsidRPr="00E37911" w:rsidRDefault="008B6E6B" w:rsidP="00F65C29">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F495A12" w14:textId="77777777" w:rsidR="008B6E6B" w:rsidRPr="00E37911" w:rsidRDefault="008528CD" w:rsidP="00F65C29">
            <w:pPr>
              <w:keepNext/>
              <w:rPr>
                <w:rFonts w:ascii="Garamond" w:hAnsi="Garamond"/>
                <w:lang w:val="en-AU"/>
              </w:rPr>
            </w:pPr>
            <w:hyperlink r:id="rId30" w:history="1">
              <w:r w:rsidR="008B6E6B" w:rsidRPr="00E37911">
                <w:rPr>
                  <w:rStyle w:val="Hyperlink"/>
                  <w:rFonts w:ascii="Garamond" w:hAnsi="Garamond"/>
                  <w:lang w:val="en-AU"/>
                </w:rPr>
                <w:t>https://qualitysafety.bmj.com/content/early/recent</w:t>
              </w:r>
            </w:hyperlink>
          </w:p>
        </w:tc>
      </w:tr>
      <w:tr w:rsidR="008B6E6B" w:rsidRPr="00E37911" w14:paraId="66B78798"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3D3F5927" w14:textId="77777777" w:rsidR="008B6E6B" w:rsidRPr="00E37911" w:rsidRDefault="008B6E6B" w:rsidP="00F65C29">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24BF5A0" w14:textId="77777777" w:rsidR="008B6E6B" w:rsidRPr="00E37911" w:rsidRDefault="008B6E6B" w:rsidP="00F65C29">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42F7210A" w14:textId="1ADCFC44" w:rsidR="00527A39" w:rsidRPr="00527A39" w:rsidRDefault="00527A39" w:rsidP="00AC4F59">
            <w:pPr>
              <w:pStyle w:val="ListParagraph"/>
              <w:numPr>
                <w:ilvl w:val="0"/>
                <w:numId w:val="17"/>
              </w:numPr>
              <w:rPr>
                <w:rFonts w:ascii="Garamond" w:hAnsi="Garamond"/>
                <w:lang w:val="en-AU"/>
              </w:rPr>
            </w:pPr>
            <w:r w:rsidRPr="00527A39">
              <w:rPr>
                <w:rFonts w:ascii="Garamond" w:hAnsi="Garamond"/>
                <w:lang w:val="en-AU"/>
              </w:rPr>
              <w:t xml:space="preserve">Effectiveness of a multifaceted quality improvement intervention to improve </w:t>
            </w:r>
            <w:r w:rsidRPr="00682CC9">
              <w:rPr>
                <w:rFonts w:ascii="Garamond" w:hAnsi="Garamond"/>
                <w:b/>
                <w:bCs/>
                <w:lang w:val="en-AU"/>
              </w:rPr>
              <w:t>patient outcomes after total hip and knee arthroplasty</w:t>
            </w:r>
            <w:r w:rsidRPr="00527A39">
              <w:rPr>
                <w:rFonts w:ascii="Garamond" w:hAnsi="Garamond"/>
                <w:lang w:val="en-AU"/>
              </w:rPr>
              <w:t>: a registry nested cluster randomised controlled trial (Peter van Schie, Leti van Bodegom-Vos, Tristan M Zijdeman, Rob G H H Nelissen, Perla J Marang-van de Mheen</w:t>
            </w:r>
            <w:r>
              <w:rPr>
                <w:rFonts w:ascii="Garamond" w:hAnsi="Garamond"/>
                <w:lang w:val="en-AU"/>
              </w:rPr>
              <w:t>)</w:t>
            </w:r>
          </w:p>
          <w:p w14:paraId="68A03FAC" w14:textId="003CBE96" w:rsidR="007875ED" w:rsidRPr="00E37911" w:rsidRDefault="00527A39" w:rsidP="00527A39">
            <w:pPr>
              <w:pStyle w:val="ListParagraph"/>
              <w:numPr>
                <w:ilvl w:val="0"/>
                <w:numId w:val="17"/>
              </w:numPr>
              <w:rPr>
                <w:rFonts w:ascii="Garamond" w:hAnsi="Garamond"/>
                <w:lang w:val="en-AU"/>
              </w:rPr>
            </w:pPr>
            <w:r w:rsidRPr="00527A39">
              <w:rPr>
                <w:rFonts w:ascii="Garamond" w:hAnsi="Garamond"/>
                <w:lang w:val="en-AU"/>
              </w:rPr>
              <w:t xml:space="preserve">A scoping review of </w:t>
            </w:r>
            <w:r w:rsidRPr="00682CC9">
              <w:rPr>
                <w:rFonts w:ascii="Garamond" w:hAnsi="Garamond"/>
                <w:b/>
                <w:bCs/>
                <w:lang w:val="en-AU"/>
              </w:rPr>
              <w:t>real-time automated clinical deterioration alerts and evidence of impacts</w:t>
            </w:r>
            <w:r w:rsidRPr="00527A39">
              <w:rPr>
                <w:rFonts w:ascii="Garamond" w:hAnsi="Garamond"/>
                <w:lang w:val="en-AU"/>
              </w:rPr>
              <w:t xml:space="preserve"> on hospitalised patient outcomes</w:t>
            </w:r>
            <w:r>
              <w:rPr>
                <w:rFonts w:ascii="Garamond" w:hAnsi="Garamond"/>
                <w:lang w:val="en-AU"/>
              </w:rPr>
              <w:t xml:space="preserve"> (</w:t>
            </w:r>
            <w:r w:rsidRPr="00527A39">
              <w:rPr>
                <w:rFonts w:ascii="Garamond" w:hAnsi="Garamond"/>
                <w:lang w:val="en-AU"/>
              </w:rPr>
              <w:t>Robin Blythe, Rex Parsons, Nicole M White, David Cook, Steven McPhail</w:t>
            </w:r>
            <w:r>
              <w:rPr>
                <w:rFonts w:ascii="Garamond" w:hAnsi="Garamond"/>
                <w:lang w:val="en-AU"/>
              </w:rPr>
              <w:t>)</w:t>
            </w:r>
          </w:p>
        </w:tc>
      </w:tr>
    </w:tbl>
    <w:p w14:paraId="29D9B174" w14:textId="77777777" w:rsidR="008B6E6B" w:rsidRPr="00E37911" w:rsidRDefault="008B6E6B" w:rsidP="008B6E6B">
      <w:pPr>
        <w:rPr>
          <w:rFonts w:ascii="Garamond" w:hAnsi="Garamond"/>
          <w:b/>
          <w:lang w:val="en-AU"/>
        </w:rPr>
      </w:pPr>
    </w:p>
    <w:p w14:paraId="633790D0" w14:textId="77777777" w:rsidR="001E29E7" w:rsidRPr="00E37911" w:rsidRDefault="001E29E7" w:rsidP="001E29E7">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E29E7" w:rsidRPr="00E37911" w14:paraId="2724293B"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65BB571F" w14:textId="77777777" w:rsidR="001E29E7" w:rsidRPr="00E37911" w:rsidRDefault="001E29E7" w:rsidP="00A449A0">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F0A3F1D" w14:textId="77777777" w:rsidR="001E29E7" w:rsidRPr="00E37911" w:rsidRDefault="008528CD" w:rsidP="00A449A0">
            <w:pPr>
              <w:keepNext/>
              <w:rPr>
                <w:rFonts w:ascii="Garamond" w:hAnsi="Garamond"/>
                <w:lang w:val="en-AU"/>
              </w:rPr>
            </w:pPr>
            <w:hyperlink r:id="rId31" w:history="1">
              <w:r w:rsidR="001E29E7" w:rsidRPr="00E37911">
                <w:rPr>
                  <w:rStyle w:val="Hyperlink"/>
                  <w:rFonts w:ascii="Garamond" w:hAnsi="Garamond"/>
                  <w:lang w:val="en-AU"/>
                </w:rPr>
                <w:t>https://academic.oup.com/intqhc/advance-articles</w:t>
              </w:r>
            </w:hyperlink>
          </w:p>
        </w:tc>
      </w:tr>
      <w:tr w:rsidR="001E29E7" w:rsidRPr="00E37911" w14:paraId="51E252DB"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314E9347" w14:textId="77777777" w:rsidR="001E29E7" w:rsidRPr="00E37911" w:rsidRDefault="001E29E7" w:rsidP="00A449A0">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E74D247" w14:textId="77777777" w:rsidR="001E29E7" w:rsidRDefault="001E29E7" w:rsidP="00A449A0">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52B3AC35" w14:textId="0043DC3E" w:rsidR="001E29E7" w:rsidRPr="009C237F" w:rsidRDefault="000542D1" w:rsidP="000542D1">
            <w:pPr>
              <w:pStyle w:val="ListParagraph"/>
              <w:numPr>
                <w:ilvl w:val="0"/>
                <w:numId w:val="14"/>
              </w:numPr>
              <w:rPr>
                <w:rFonts w:ascii="Garamond" w:hAnsi="Garamond"/>
                <w:lang w:val="en-AU"/>
              </w:rPr>
            </w:pPr>
            <w:r w:rsidRPr="000542D1">
              <w:rPr>
                <w:rFonts w:ascii="Garamond" w:hAnsi="Garamond"/>
                <w:lang w:val="en-AU"/>
              </w:rPr>
              <w:t xml:space="preserve">Finding Space for Kindness: </w:t>
            </w:r>
            <w:r w:rsidRPr="000542D1">
              <w:rPr>
                <w:rFonts w:ascii="Garamond" w:hAnsi="Garamond"/>
                <w:b/>
                <w:bCs/>
                <w:lang w:val="en-AU"/>
              </w:rPr>
              <w:t>Public Protection and Health Professional Regulation</w:t>
            </w:r>
            <w:r w:rsidRPr="000542D1">
              <w:rPr>
                <w:rFonts w:ascii="Garamond" w:hAnsi="Garamond"/>
                <w:lang w:val="en-AU"/>
              </w:rPr>
              <w:t xml:space="preserve"> </w:t>
            </w:r>
            <w:r>
              <w:rPr>
                <w:rFonts w:ascii="Garamond" w:hAnsi="Garamond"/>
                <w:lang w:val="en-AU"/>
              </w:rPr>
              <w:t>(</w:t>
            </w:r>
            <w:r w:rsidRPr="000542D1">
              <w:rPr>
                <w:rFonts w:ascii="Garamond" w:hAnsi="Garamond"/>
                <w:lang w:val="en-AU"/>
              </w:rPr>
              <w:t>Susan Biggar, Martin Fletcher, Anna van der Gaag, Zubin Austin</w:t>
            </w:r>
            <w:r>
              <w:rPr>
                <w:rFonts w:ascii="Garamond" w:hAnsi="Garamond"/>
                <w:lang w:val="en-AU"/>
              </w:rPr>
              <w:t>)</w:t>
            </w:r>
          </w:p>
        </w:tc>
      </w:tr>
    </w:tbl>
    <w:p w14:paraId="72918115" w14:textId="77777777" w:rsidR="001E29E7" w:rsidRPr="00E37911" w:rsidRDefault="001E29E7" w:rsidP="001E29E7">
      <w:pPr>
        <w:rPr>
          <w:rFonts w:ascii="Garamond" w:hAnsi="Garamond"/>
          <w:i/>
          <w:lang w:val="en-AU"/>
        </w:rPr>
      </w:pPr>
    </w:p>
    <w:p w14:paraId="4067EEE2" w14:textId="5D14AD22" w:rsidR="00FB02DE" w:rsidRDefault="00FB02DE">
      <w:pPr>
        <w:rPr>
          <w:rFonts w:ascii="Garamond" w:hAnsi="Garamond"/>
          <w:b/>
          <w:lang w:val="en-AU"/>
        </w:rPr>
      </w:pPr>
    </w:p>
    <w:p w14:paraId="36ED087A" w14:textId="6248280B" w:rsidR="007D1A04" w:rsidRDefault="007D1A04">
      <w:pPr>
        <w:rPr>
          <w:rFonts w:ascii="Garamond" w:hAnsi="Garamond"/>
          <w:b/>
          <w:lang w:val="en-AU"/>
        </w:rPr>
      </w:pPr>
    </w:p>
    <w:p w14:paraId="332C5B51" w14:textId="554AF02E"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55F97900" w:rsidR="00193858" w:rsidRDefault="00193858" w:rsidP="008A334C">
      <w:pPr>
        <w:keepNext/>
        <w:keepLines/>
        <w:rPr>
          <w:rFonts w:ascii="Garamond" w:hAnsi="Garamond"/>
          <w:i/>
          <w:lang w:val="en-AU"/>
        </w:rPr>
      </w:pPr>
    </w:p>
    <w:p w14:paraId="716B0E42" w14:textId="77777777"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8528CD" w:rsidP="005A1055">
      <w:pPr>
        <w:keepNext/>
        <w:rPr>
          <w:rFonts w:ascii="Garamond" w:hAnsi="Garamond"/>
          <w:lang w:val="en-AU"/>
        </w:rPr>
      </w:pPr>
      <w:hyperlink r:id="rId32"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6E2A6AD8" w14:textId="5AA14972" w:rsidR="001E29E7" w:rsidRDefault="005A1055" w:rsidP="005A1055">
      <w:pPr>
        <w:pStyle w:val="ListParagraph"/>
        <w:numPr>
          <w:ilvl w:val="0"/>
          <w:numId w:val="14"/>
        </w:numPr>
        <w:rPr>
          <w:rFonts w:ascii="Garamond" w:hAnsi="Garamond"/>
          <w:iCs/>
          <w:lang w:val="en-AU"/>
        </w:rPr>
      </w:pPr>
      <w:r>
        <w:rPr>
          <w:rFonts w:ascii="Garamond" w:hAnsi="Garamond"/>
          <w:iCs/>
          <w:lang w:val="en-AU"/>
        </w:rPr>
        <w:t>NICE Guideline NG</w:t>
      </w:r>
      <w:r w:rsidR="00DC2110">
        <w:rPr>
          <w:rFonts w:ascii="Garamond" w:hAnsi="Garamond"/>
          <w:iCs/>
          <w:lang w:val="en-AU"/>
        </w:rPr>
        <w:t xml:space="preserve">220 </w:t>
      </w:r>
      <w:r w:rsidR="00DC2110" w:rsidRPr="00DC2110">
        <w:rPr>
          <w:rFonts w:ascii="Garamond" w:hAnsi="Garamond"/>
          <w:b/>
          <w:bCs/>
          <w:i/>
          <w:lang w:val="en-AU"/>
        </w:rPr>
        <w:t>Multiple sclerosis</w:t>
      </w:r>
      <w:r w:rsidR="00DC2110" w:rsidRPr="00DC2110">
        <w:rPr>
          <w:rFonts w:ascii="Garamond" w:hAnsi="Garamond"/>
          <w:i/>
          <w:lang w:val="en-AU"/>
        </w:rPr>
        <w:t xml:space="preserve"> in adults: management</w:t>
      </w:r>
      <w:r w:rsidR="00DC2110">
        <w:rPr>
          <w:rFonts w:ascii="Garamond" w:hAnsi="Garamond"/>
          <w:iCs/>
          <w:lang w:val="en-AU"/>
        </w:rPr>
        <w:t xml:space="preserve"> </w:t>
      </w:r>
      <w:hyperlink r:id="rId33" w:history="1">
        <w:r w:rsidR="00DC2110" w:rsidRPr="00252532">
          <w:rPr>
            <w:rStyle w:val="Hyperlink"/>
            <w:rFonts w:ascii="Garamond" w:hAnsi="Garamond"/>
            <w:iCs/>
            <w:lang w:val="en-AU"/>
          </w:rPr>
          <w:t>https://www.nice.org.uk/guidance/ng220</w:t>
        </w:r>
      </w:hyperlink>
    </w:p>
    <w:p w14:paraId="788B73BA" w14:textId="257BAC97" w:rsidR="00DC2110" w:rsidRDefault="00DC2110" w:rsidP="005A1055">
      <w:pPr>
        <w:pStyle w:val="ListParagraph"/>
        <w:numPr>
          <w:ilvl w:val="0"/>
          <w:numId w:val="14"/>
        </w:numPr>
        <w:rPr>
          <w:rFonts w:ascii="Garamond" w:hAnsi="Garamond"/>
          <w:iCs/>
          <w:lang w:val="en-AU"/>
        </w:rPr>
      </w:pPr>
      <w:r>
        <w:rPr>
          <w:rFonts w:ascii="Garamond" w:hAnsi="Garamond"/>
          <w:iCs/>
          <w:lang w:val="en-AU"/>
        </w:rPr>
        <w:t xml:space="preserve">NICE Guideline NG200 </w:t>
      </w:r>
      <w:r w:rsidRPr="00DC2110">
        <w:rPr>
          <w:rFonts w:ascii="Garamond" w:hAnsi="Garamond"/>
          <w:i/>
          <w:lang w:val="en-AU"/>
        </w:rPr>
        <w:t xml:space="preserve">COVID-19 rapid guideline: </w:t>
      </w:r>
      <w:r w:rsidRPr="00DC2110">
        <w:rPr>
          <w:rFonts w:ascii="Garamond" w:hAnsi="Garamond"/>
          <w:b/>
          <w:bCs/>
          <w:i/>
          <w:lang w:val="en-AU"/>
        </w:rPr>
        <w:t>vaccine-induced immune thrombocytopenia and thrombosis</w:t>
      </w:r>
      <w:r w:rsidRPr="00DC2110">
        <w:rPr>
          <w:rFonts w:ascii="Garamond" w:hAnsi="Garamond"/>
          <w:i/>
          <w:lang w:val="en-AU"/>
        </w:rPr>
        <w:t xml:space="preserve"> (VITT)</w:t>
      </w:r>
      <w:r>
        <w:rPr>
          <w:rFonts w:ascii="Garamond" w:hAnsi="Garamond"/>
          <w:iCs/>
          <w:lang w:val="en-AU"/>
        </w:rPr>
        <w:t xml:space="preserve"> </w:t>
      </w:r>
      <w:r>
        <w:rPr>
          <w:rFonts w:ascii="Garamond" w:hAnsi="Garamond"/>
          <w:iCs/>
          <w:lang w:val="en-AU"/>
        </w:rPr>
        <w:br/>
      </w:r>
      <w:hyperlink r:id="rId34" w:history="1">
        <w:r w:rsidRPr="00252532">
          <w:rPr>
            <w:rStyle w:val="Hyperlink"/>
            <w:rFonts w:ascii="Garamond" w:hAnsi="Garamond"/>
            <w:iCs/>
            <w:lang w:val="en-AU"/>
          </w:rPr>
          <w:t>https://www.nice.org.uk/guidance/ng200</w:t>
        </w:r>
      </w:hyperlink>
    </w:p>
    <w:p w14:paraId="295810C1" w14:textId="57407C50" w:rsidR="007D1A04" w:rsidRDefault="007D1A04">
      <w:pPr>
        <w:rPr>
          <w:rFonts w:ascii="Garamond" w:hAnsi="Garamond"/>
          <w:b/>
          <w:lang w:val="en-AU"/>
        </w:rPr>
      </w:pPr>
    </w:p>
    <w:p w14:paraId="5FEDF2B6" w14:textId="7530EA68" w:rsidR="001D6FDA" w:rsidRDefault="008528CD">
      <w:pPr>
        <w:rPr>
          <w:rFonts w:ascii="Garamond" w:hAnsi="Garamond"/>
          <w:b/>
          <w:lang w:val="en-AU"/>
        </w:rPr>
      </w:pPr>
      <w:r>
        <w:rPr>
          <w:rFonts w:ascii="Garamond" w:hAnsi="Garamond"/>
          <w:b/>
          <w:lang w:val="en-AU"/>
        </w:rPr>
        <w:t>w</w:t>
      </w:r>
    </w:p>
    <w:p w14:paraId="7880D339" w14:textId="01342BC5" w:rsidR="00333B54" w:rsidRDefault="00333B54">
      <w:pPr>
        <w:rPr>
          <w:rFonts w:ascii="Garamond" w:hAnsi="Garamond"/>
          <w:b/>
          <w:lang w:val="en-AU"/>
        </w:rPr>
      </w:pPr>
    </w:p>
    <w:p w14:paraId="497FD3FF" w14:textId="47F4B6A7" w:rsidR="00333B54" w:rsidRDefault="00333B54">
      <w:pPr>
        <w:rPr>
          <w:rFonts w:ascii="Garamond" w:hAnsi="Garamond"/>
          <w:b/>
          <w:lang w:val="en-AU"/>
        </w:rPr>
      </w:pPr>
    </w:p>
    <w:p w14:paraId="121001E2" w14:textId="0B24ED15" w:rsidR="00333B54" w:rsidRDefault="00333B54">
      <w:pPr>
        <w:rPr>
          <w:rFonts w:ascii="Garamond" w:hAnsi="Garamond"/>
          <w:b/>
          <w:lang w:val="en-AU"/>
        </w:rPr>
      </w:pPr>
    </w:p>
    <w:p w14:paraId="22A7F807" w14:textId="77777777" w:rsidR="00333B54" w:rsidRDefault="00333B54">
      <w:pPr>
        <w:rPr>
          <w:rFonts w:ascii="Garamond" w:hAnsi="Garamond"/>
          <w:b/>
          <w:lang w:val="en-AU"/>
        </w:rPr>
      </w:pPr>
    </w:p>
    <w:p w14:paraId="12E7A6B9" w14:textId="60DC0EBC"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51100177"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7"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5B3FE087">
            <wp:extent cx="5809130" cy="8268944"/>
            <wp:effectExtent l="0" t="0" r="1270" b="0"/>
            <wp:docPr id="6" name="Picture 6" descr="COVID-19 Poster – Combined contact and droplet precautions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55732" cy="847762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6"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7"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8528CD" w:rsidP="00D574D3">
      <w:pPr>
        <w:keepNext/>
        <w:keepLines/>
        <w:rPr>
          <w:rFonts w:ascii="Garamond" w:hAnsi="Garamond"/>
          <w:lang w:val="en-AU"/>
        </w:rPr>
      </w:pPr>
      <w:hyperlink r:id="rId51"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8528CD" w:rsidP="00D574D3">
      <w:pPr>
        <w:keepNext/>
        <w:keepLines/>
        <w:rPr>
          <w:rFonts w:ascii="Garamond" w:hAnsi="Garamond"/>
          <w:lang w:val="en-AU"/>
        </w:rPr>
      </w:pPr>
      <w:hyperlink r:id="rId5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23D347B9" w14:textId="047032BA" w:rsidR="009B64C0" w:rsidRPr="009B64C0" w:rsidRDefault="009B64C0" w:rsidP="004120DD">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A268F5">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9A2800">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lastRenderedPageBreak/>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8A0F62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3"/>
      <w:footerReference w:type="default" r:id="rId5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AF75" w14:textId="77777777" w:rsidR="005248C8" w:rsidRDefault="005248C8">
      <w:r>
        <w:separator/>
      </w:r>
    </w:p>
  </w:endnote>
  <w:endnote w:type="continuationSeparator" w:id="0">
    <w:p w14:paraId="082EE89C" w14:textId="77777777" w:rsidR="005248C8" w:rsidRDefault="0052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AA2BC9" w:rsidRDefault="00AA2B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697DF0A" w:rsidR="00AA2BC9" w:rsidRPr="001E78F0" w:rsidRDefault="00AA2B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w:t>
    </w:r>
    <w:r w:rsidR="001E29E7">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AA2BC9" w:rsidRPr="001E78F0" w:rsidRDefault="00AA2B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DF237A8" w:rsidR="00AA2BC9" w:rsidRPr="001E78F0" w:rsidRDefault="00AA2BC9"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w:t>
    </w:r>
    <w:r w:rsidR="001E29E7">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5CDF" w14:textId="77777777" w:rsidR="005248C8" w:rsidRDefault="005248C8">
      <w:r>
        <w:separator/>
      </w:r>
    </w:p>
  </w:footnote>
  <w:footnote w:type="continuationSeparator" w:id="0">
    <w:p w14:paraId="7D907736" w14:textId="77777777" w:rsidR="005248C8" w:rsidRDefault="0052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1"/>
  </w:num>
  <w:num w:numId="16">
    <w:abstractNumId w:val="12"/>
  </w:num>
  <w:num w:numId="17">
    <w:abstractNumId w:val="13"/>
  </w:num>
  <w:num w:numId="18">
    <w:abstractNumId w:val="24"/>
  </w:num>
  <w:num w:numId="19">
    <w:abstractNumId w:val="14"/>
  </w:num>
  <w:num w:numId="20">
    <w:abstractNumId w:val="16"/>
  </w:num>
  <w:num w:numId="21">
    <w:abstractNumId w:val="15"/>
  </w:num>
  <w:num w:numId="22">
    <w:abstractNumId w:val="20"/>
  </w:num>
  <w:num w:numId="23">
    <w:abstractNumId w:val="17"/>
  </w:num>
  <w:num w:numId="24">
    <w:abstractNumId w:val="14"/>
  </w:num>
  <w:num w:numId="25">
    <w:abstractNumId w:val="23"/>
  </w:num>
  <w:num w:numId="26">
    <w:abstractNumId w:val="11"/>
  </w:num>
  <w:num w:numId="27">
    <w:abstractNumId w:val="10"/>
  </w:num>
  <w:num w:numId="28">
    <w:abstractNumId w:val="27"/>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3F"/>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8E"/>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sepsis-clinical-care-standard" TargetMode="External"/><Relationship Id="rId26" Type="http://schemas.openxmlformats.org/officeDocument/2006/relationships/hyperlink" Target="https://doi.org/10.1001/jama.2022.9167" TargetMode="External"/><Relationship Id="rId39" Type="http://schemas.openxmlformats.org/officeDocument/2006/relationships/hyperlink" Target="https://www.safetyandquality.gov.au/publications-and-resources/resource-library/poster-combined-airborne-and-contact-precautions" TargetMode="External"/><Relationship Id="rId21" Type="http://schemas.openxmlformats.org/officeDocument/2006/relationships/hyperlink" Target="https://safetyandquality.tv/home/" TargetMode="External"/><Relationship Id="rId34" Type="http://schemas.openxmlformats.org/officeDocument/2006/relationships/hyperlink" Target="https://www.nice.org.uk/guidance/ng200" TargetMode="External"/><Relationship Id="rId42" Type="http://schemas.openxmlformats.org/officeDocument/2006/relationships/hyperlink" Target="https://www.safetyandquality.gov.au/publications-and-resources/resource-library/covid-19-infection-prevention-and-control-risk-management-guidance" TargetMode="External"/><Relationship Id="rId47" Type="http://schemas.openxmlformats.org/officeDocument/2006/relationships/hyperlink" Target="https://www.safetyandquality.gov.au/node/5725" TargetMode="External"/><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doi.org/10.1001/jama.2022.8970" TargetMode="External"/><Relationship Id="rId33" Type="http://schemas.openxmlformats.org/officeDocument/2006/relationships/hyperlink" Target="https://www.nice.org.uk/guidance/ng220" TargetMode="External"/><Relationship Id="rId38" Type="http://schemas.openxmlformats.org/officeDocument/2006/relationships/image" Target="media/image5.png"/><Relationship Id="rId46" Type="http://schemas.openxmlformats.org/officeDocument/2006/relationships/hyperlink" Target="https://www.safetyandquality.gov.au/node/5724" TargetMode="External"/><Relationship Id="rId2" Type="http://schemas.openxmlformats.org/officeDocument/2006/relationships/numbering" Target="numbering.xml"/><Relationship Id="rId16" Type="http://schemas.openxmlformats.org/officeDocument/2006/relationships/hyperlink" Target="https://nhhi.southrock.com" TargetMode="External"/><Relationship Id="rId20" Type="http://schemas.openxmlformats.org/officeDocument/2006/relationships/hyperlink" Target="https://www.safetyandquality.gov.au/standards/clinical-care-standards/sepsis-clinical-care-standard" TargetMode="External"/><Relationship Id="rId29" Type="http://schemas.openxmlformats.org/officeDocument/2006/relationships/image" Target="media/image4.png"/><Relationship Id="rId41" Type="http://schemas.openxmlformats.org/officeDocument/2006/relationships/hyperlink" Target="http://www.safetyandquality.gov.au/environmental-clean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recognising-and-responding-deterioration" TargetMode="External"/><Relationship Id="rId32" Type="http://schemas.openxmlformats.org/officeDocument/2006/relationships/hyperlink" Target="https://www.nice.org.uk/guidance" TargetMode="External"/><Relationship Id="rId37" Type="http://schemas.openxmlformats.org/officeDocument/2006/relationships/hyperlink" Target="https://www.safetyandquality.gov.au/publications-and-resources/resource-library/poster-combined-contact-and-droplet-precautions" TargetMode="External"/><Relationship Id="rId40" Type="http://schemas.openxmlformats.org/officeDocument/2006/relationships/image" Target="media/image6.PNG"/><Relationship Id="rId45" Type="http://schemas.openxmlformats.org/officeDocument/2006/relationships/image" Target="media/image7.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hhi.southrock.com" TargetMode="External"/><Relationship Id="rId23" Type="http://schemas.openxmlformats.org/officeDocument/2006/relationships/hyperlink" Target="https://doi.org/10.1136/bmjqs-2021-013785" TargetMode="External"/><Relationship Id="rId28" Type="http://schemas.openxmlformats.org/officeDocument/2006/relationships/hyperlink" Target="https://doi.org/10.1001/jama.2022.10009"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49" Type="http://schemas.openxmlformats.org/officeDocument/2006/relationships/hyperlink" Target="https://www.safetyandquality.gov.au/sites/default/files/2020-07/covid-19_and_face_masks_-_information_for_consumers.pdf"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3.png"/><Relationship Id="rId31" Type="http://schemas.openxmlformats.org/officeDocument/2006/relationships/hyperlink" Target="https://academic.oup.com/intqhc/advance-articles"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2"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standards/clinical-care-standards/sepsis-clinical-care-standard" TargetMode="External"/><Relationship Id="rId27" Type="http://schemas.openxmlformats.org/officeDocument/2006/relationships/hyperlink" Target="https://10.1001/jamainternmed.2022.0119"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safetyandquality.gov.au/covid-19" TargetMode="External"/><Relationship Id="rId43" Type="http://schemas.openxmlformats.org/officeDocument/2006/relationships/hyperlink" Target="https://www.safetyandquality.gov.au/our-work/cognitive-impairment/cognitive-impairment-and-covid-19" TargetMode="External"/><Relationship Id="rId48" Type="http://schemas.openxmlformats.org/officeDocument/2006/relationships/hyperlink" Target="https://www.safetyandquality.gov.au/publications-and-resources/resource-library/covid-19-and-face-masks-information-consumers"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covid19evidence.net.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2619</Words>
  <Characters>17680</Characters>
  <Application>Microsoft Office Word</Application>
  <DocSecurity>0</DocSecurity>
  <Lines>368</Lines>
  <Paragraphs>169</Paragraphs>
  <ScaleCrop>false</ScaleCrop>
  <HeadingPairs>
    <vt:vector size="2" baseType="variant">
      <vt:variant>
        <vt:lpstr>Title</vt:lpstr>
      </vt:variant>
      <vt:variant>
        <vt:i4>1</vt:i4>
      </vt:variant>
    </vt:vector>
  </HeadingPairs>
  <TitlesOfParts>
    <vt:vector size="1" baseType="lpstr">
      <vt:lpstr>Draft On the Radar Issue 563</vt:lpstr>
    </vt:vector>
  </TitlesOfParts>
  <Company>ACSQHC</Company>
  <LinksUpToDate>false</LinksUpToDate>
  <CharactersWithSpaces>20130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563</dc:title>
  <dc:subject/>
  <dc:creator>Dr Niall Johnson</dc:creator>
  <cp:keywords>On the Radar</cp:keywords>
  <dc:description/>
  <cp:lastModifiedBy>JOHNSON, Niall</cp:lastModifiedBy>
  <cp:revision>14</cp:revision>
  <cp:lastPrinted>2018-03-02T02:34:00Z</cp:lastPrinted>
  <dcterms:created xsi:type="dcterms:W3CDTF">2022-06-19T21:16:00Z</dcterms:created>
  <dcterms:modified xsi:type="dcterms:W3CDTF">2022-06-24T00:27:00Z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