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2546EA0A"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031154">
        <w:rPr>
          <w:rFonts w:ascii="Garamond" w:hAnsi="Garamond"/>
          <w:color w:val="000000" w:themeColor="text1"/>
          <w:lang w:val="en-AU"/>
        </w:rPr>
        <w:t>6</w:t>
      </w:r>
    </w:p>
    <w:p w14:paraId="6D81A6EC" w14:textId="4223EEDC" w:rsidR="00755242" w:rsidRDefault="00072817" w:rsidP="00F738B5">
      <w:pPr>
        <w:rPr>
          <w:rFonts w:ascii="Garamond" w:hAnsi="Garamond"/>
          <w:lang w:val="en-AU"/>
        </w:rPr>
      </w:pPr>
      <w:r>
        <w:rPr>
          <w:rFonts w:ascii="Garamond" w:hAnsi="Garamond"/>
          <w:lang w:val="en-AU"/>
        </w:rPr>
        <w:t>1</w:t>
      </w:r>
      <w:r w:rsidR="00031154">
        <w:rPr>
          <w:rFonts w:ascii="Garamond" w:hAnsi="Garamond"/>
          <w:lang w:val="en-AU"/>
        </w:rPr>
        <w:t>8</w:t>
      </w:r>
      <w:r w:rsidR="003C781C">
        <w:rPr>
          <w:rFonts w:ascii="Garamond" w:hAnsi="Garamond"/>
          <w:lang w:val="en-AU"/>
        </w:rPr>
        <w:t xml:space="preserve"> Ju</w:t>
      </w:r>
      <w:r w:rsidR="00414957">
        <w:rPr>
          <w:rFonts w:ascii="Garamond" w:hAnsi="Garamond"/>
          <w:lang w:val="en-AU"/>
        </w:rPr>
        <w:t>ly</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3828DE42"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F4266">
        <w:rPr>
          <w:rFonts w:ascii="Garamond" w:hAnsi="Garamond"/>
          <w:bCs/>
          <w:lang w:val="en-AU"/>
        </w:rPr>
        <w:t>, Jennifer Caldwell</w:t>
      </w:r>
    </w:p>
    <w:p w14:paraId="23A246C3" w14:textId="73219A0B" w:rsidR="0098646F" w:rsidRDefault="0098646F" w:rsidP="009525CC">
      <w:pPr>
        <w:rPr>
          <w:rFonts w:ascii="Garamond" w:hAnsi="Garamond"/>
          <w:bCs/>
          <w:lang w:val="en-AU"/>
        </w:rPr>
      </w:pPr>
    </w:p>
    <w:p w14:paraId="6B1F816B" w14:textId="77777777" w:rsidR="00820554" w:rsidRDefault="00820554" w:rsidP="009525CC">
      <w:pPr>
        <w:rPr>
          <w:rFonts w:ascii="Garamond" w:hAnsi="Garamond"/>
          <w:bCs/>
          <w:lang w:val="en-AU"/>
        </w:rPr>
      </w:pPr>
    </w:p>
    <w:p w14:paraId="559F22B0" w14:textId="77777777" w:rsidR="004F4266" w:rsidRPr="004F4266" w:rsidRDefault="004F4266" w:rsidP="004F4266">
      <w:pPr>
        <w:rPr>
          <w:rFonts w:ascii="Garamond" w:hAnsi="Garamond"/>
          <w:b/>
          <w:i/>
          <w:iCs/>
          <w:lang w:val="en-AU"/>
        </w:rPr>
      </w:pPr>
      <w:r w:rsidRPr="004F4266">
        <w:rPr>
          <w:rFonts w:ascii="Garamond" w:hAnsi="Garamond"/>
          <w:b/>
          <w:i/>
          <w:iCs/>
          <w:lang w:val="en-AU"/>
        </w:rPr>
        <w:t>Updated Health workforce screening and immunisation for vaccine-preventable diseases eLearning module</w:t>
      </w:r>
    </w:p>
    <w:p w14:paraId="5502A289" w14:textId="77777777" w:rsidR="004F4266" w:rsidRDefault="00562290" w:rsidP="004F4266">
      <w:pPr>
        <w:rPr>
          <w:rFonts w:ascii="Garamond" w:hAnsi="Garamond"/>
          <w:bCs/>
          <w:lang w:val="en-AU"/>
        </w:rPr>
      </w:pPr>
      <w:hyperlink r:id="rId15" w:history="1">
        <w:r w:rsidR="004F4266" w:rsidRPr="006D7860">
          <w:rPr>
            <w:rStyle w:val="Hyperlink"/>
            <w:rFonts w:ascii="Garamond" w:hAnsi="Garamond"/>
            <w:bCs/>
            <w:lang w:val="en-AU"/>
          </w:rPr>
          <w:t>https://nhhi.southrock.com</w:t>
        </w:r>
      </w:hyperlink>
    </w:p>
    <w:p w14:paraId="6122517C" w14:textId="77777777" w:rsidR="004F4266" w:rsidRDefault="004F4266" w:rsidP="004F4266">
      <w:pPr>
        <w:rPr>
          <w:rFonts w:ascii="Garamond" w:hAnsi="Garamond"/>
          <w:bCs/>
          <w:lang w:val="en-AU"/>
        </w:rPr>
      </w:pPr>
    </w:p>
    <w:p w14:paraId="7C9CFB94" w14:textId="77777777" w:rsidR="004F4266" w:rsidRPr="00665634" w:rsidRDefault="004F4266" w:rsidP="004F4266">
      <w:pPr>
        <w:rPr>
          <w:rFonts w:ascii="Garamond" w:hAnsi="Garamond"/>
          <w:bCs/>
          <w:lang w:val="en-AU"/>
        </w:rPr>
      </w:pPr>
      <w:r w:rsidRPr="00665634">
        <w:rPr>
          <w:rFonts w:ascii="Garamond" w:hAnsi="Garamond"/>
          <w:bCs/>
          <w:lang w:val="en-AU"/>
        </w:rPr>
        <w:t xml:space="preserve">The </w:t>
      </w:r>
      <w:r>
        <w:rPr>
          <w:rFonts w:ascii="Garamond" w:hAnsi="Garamond"/>
          <w:bCs/>
          <w:lang w:val="en-AU"/>
        </w:rPr>
        <w:t xml:space="preserve">Australian </w:t>
      </w:r>
      <w:r w:rsidRPr="00665634">
        <w:rPr>
          <w:rFonts w:ascii="Garamond" w:hAnsi="Garamond"/>
          <w:bCs/>
          <w:lang w:val="en-AU"/>
        </w:rPr>
        <w:t xml:space="preserve">Commission </w:t>
      </w:r>
      <w:r>
        <w:rPr>
          <w:rFonts w:ascii="Garamond" w:hAnsi="Garamond"/>
          <w:bCs/>
          <w:lang w:val="en-AU"/>
        </w:rPr>
        <w:t xml:space="preserve">on Safety and Quality in Health Care </w:t>
      </w:r>
      <w:r w:rsidRPr="00665634">
        <w:rPr>
          <w:rFonts w:ascii="Garamond" w:hAnsi="Garamond"/>
          <w:bCs/>
          <w:lang w:val="en-AU"/>
        </w:rPr>
        <w:t>continues to develop and support online learning for infection prevention and control (IPC) and hand hygiene for healthcare workers through its centralised online Learning Management System (LMS).</w:t>
      </w:r>
    </w:p>
    <w:p w14:paraId="2D6C4E6F" w14:textId="77777777" w:rsidR="004F4266" w:rsidRDefault="004F4266" w:rsidP="004F4266">
      <w:pPr>
        <w:rPr>
          <w:rFonts w:ascii="Garamond" w:hAnsi="Garamond"/>
          <w:bCs/>
          <w:lang w:val="en-AU"/>
        </w:rPr>
      </w:pPr>
    </w:p>
    <w:p w14:paraId="2F09C0EE" w14:textId="77777777" w:rsidR="004F4266" w:rsidRPr="002C7AD2" w:rsidRDefault="004F4266" w:rsidP="004F4266">
      <w:pPr>
        <w:rPr>
          <w:rFonts w:ascii="Garamond" w:hAnsi="Garamond"/>
          <w:bCs/>
          <w:lang w:val="en-AU"/>
        </w:rPr>
      </w:pPr>
      <w:r w:rsidRPr="002C7AD2">
        <w:rPr>
          <w:rFonts w:ascii="Garamond" w:hAnsi="Garamond"/>
          <w:bCs/>
          <w:lang w:val="en-AU"/>
        </w:rPr>
        <w:t xml:space="preserve">The Commission is working the ensure that the content of the modules is current and improves the learner experience. Most recently the </w:t>
      </w:r>
      <w:r w:rsidRPr="00B36C95">
        <w:rPr>
          <w:rFonts w:ascii="Garamond" w:hAnsi="Garamond"/>
          <w:bCs/>
          <w:i/>
          <w:iCs/>
          <w:lang w:val="en-AU"/>
        </w:rPr>
        <w:t>Health workforce screening and immunisation for vaccine-preventable diseases</w:t>
      </w:r>
      <w:r w:rsidRPr="00B36C95">
        <w:rPr>
          <w:rFonts w:ascii="Garamond" w:hAnsi="Garamond"/>
          <w:bCs/>
          <w:lang w:val="en-AU"/>
        </w:rPr>
        <w:t xml:space="preserve"> </w:t>
      </w:r>
      <w:r w:rsidRPr="002C7AD2">
        <w:rPr>
          <w:rFonts w:ascii="Garamond" w:hAnsi="Garamond"/>
          <w:bCs/>
          <w:lang w:val="en-AU"/>
        </w:rPr>
        <w:t xml:space="preserve">eLearning module has been updated to ensure consistency with the National Safety and Quality Health Service Standards, specifically the </w:t>
      </w:r>
      <w:r w:rsidRPr="002C7AD2">
        <w:rPr>
          <w:rFonts w:ascii="Garamond" w:hAnsi="Garamond"/>
          <w:bCs/>
          <w:i/>
          <w:iCs/>
          <w:lang w:val="en-AU"/>
        </w:rPr>
        <w:t>Preventing and Controlling Infections Standard</w:t>
      </w:r>
      <w:r w:rsidRPr="002C7AD2">
        <w:rPr>
          <w:rFonts w:ascii="Garamond" w:hAnsi="Garamond"/>
          <w:bCs/>
          <w:lang w:val="en-AU"/>
        </w:rPr>
        <w:t xml:space="preserve">, and the </w:t>
      </w:r>
      <w:r w:rsidRPr="002C7AD2">
        <w:rPr>
          <w:rFonts w:ascii="Garamond" w:hAnsi="Garamond"/>
          <w:bCs/>
          <w:i/>
          <w:iCs/>
          <w:lang w:val="en-AU"/>
        </w:rPr>
        <w:t>Australian Guidelines for the Prevention and Control of Infection in Healthcare</w:t>
      </w:r>
      <w:r w:rsidRPr="002C7AD2">
        <w:rPr>
          <w:rFonts w:ascii="Garamond" w:hAnsi="Garamond"/>
          <w:bCs/>
          <w:lang w:val="en-AU"/>
        </w:rPr>
        <w:t>.</w:t>
      </w:r>
    </w:p>
    <w:p w14:paraId="243B44AD" w14:textId="77777777" w:rsidR="004F4266" w:rsidRDefault="004F4266" w:rsidP="004F4266">
      <w:pPr>
        <w:rPr>
          <w:rFonts w:ascii="Garamond" w:hAnsi="Garamond"/>
          <w:bCs/>
          <w:lang w:val="en-AU"/>
        </w:rPr>
      </w:pPr>
    </w:p>
    <w:p w14:paraId="10C66F00" w14:textId="77777777" w:rsidR="004F4266" w:rsidRPr="00665634" w:rsidRDefault="004F4266" w:rsidP="004F4266">
      <w:pPr>
        <w:rPr>
          <w:rFonts w:ascii="Garamond" w:hAnsi="Garamond"/>
          <w:bCs/>
          <w:lang w:val="en-AU"/>
        </w:rPr>
      </w:pPr>
      <w:r w:rsidRPr="00665634">
        <w:rPr>
          <w:rFonts w:ascii="Garamond" w:hAnsi="Garamond"/>
          <w:bCs/>
          <w:lang w:val="en-AU"/>
        </w:rPr>
        <w:t xml:space="preserve">The module is available in the National Hand Hygiene Initiative (NHHI) LMS at </w:t>
      </w:r>
      <w:hyperlink r:id="rId16" w:history="1">
        <w:r w:rsidRPr="006D7860">
          <w:rPr>
            <w:rStyle w:val="Hyperlink"/>
            <w:rFonts w:ascii="Garamond" w:hAnsi="Garamond"/>
            <w:bCs/>
            <w:lang w:val="en-AU"/>
          </w:rPr>
          <w:t>https://nhhi.southrock.com</w:t>
        </w:r>
      </w:hyperlink>
      <w:r w:rsidRPr="00665634">
        <w:rPr>
          <w:rFonts w:ascii="Garamond" w:hAnsi="Garamond"/>
          <w:bCs/>
          <w:lang w:val="en-AU"/>
        </w:rPr>
        <w:t>. Access to the NHHI LMS is free for all users and modules can be accessed after a learner has registered a profile on the system.</w:t>
      </w:r>
    </w:p>
    <w:p w14:paraId="279D17C9" w14:textId="77777777" w:rsidR="004F4266" w:rsidRDefault="004F4266" w:rsidP="004F4266">
      <w:pPr>
        <w:rPr>
          <w:rFonts w:ascii="Garamond" w:hAnsi="Garamond"/>
          <w:bCs/>
          <w:lang w:val="en-AU"/>
        </w:rPr>
      </w:pPr>
      <w:r>
        <w:rPr>
          <w:rFonts w:ascii="Garamond" w:hAnsi="Garamond"/>
          <w:bCs/>
          <w:noProof/>
          <w:lang w:val="en-AU"/>
        </w:rPr>
        <w:lastRenderedPageBreak/>
        <w:drawing>
          <wp:inline distT="0" distB="0" distL="0" distR="0" wp14:anchorId="50A64A1E" wp14:editId="7815E8FC">
            <wp:extent cx="5990492" cy="2122823"/>
            <wp:effectExtent l="0" t="0" r="0" b="0"/>
            <wp:docPr id="9" name="Picture 9" descr="Image from updated Health workforce screening and immunisation for vaccine-preventable diseases eLearning modu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from updated Health workforce screening and immunisation for vaccine-preventable diseases eLearning module">
                      <a:hlinkClick r:id="rId1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7071" cy="2135785"/>
                    </a:xfrm>
                    <a:prstGeom prst="rect">
                      <a:avLst/>
                    </a:prstGeom>
                    <a:noFill/>
                    <a:ln>
                      <a:noFill/>
                    </a:ln>
                  </pic:spPr>
                </pic:pic>
              </a:graphicData>
            </a:graphic>
          </wp:inline>
        </w:drawing>
      </w:r>
    </w:p>
    <w:p w14:paraId="04249F85" w14:textId="77777777" w:rsidR="004F4266" w:rsidRDefault="004F4266" w:rsidP="004F4266">
      <w:pPr>
        <w:rPr>
          <w:rFonts w:ascii="Garamond" w:hAnsi="Garamond"/>
          <w:bCs/>
          <w:lang w:val="en-AU"/>
        </w:rPr>
      </w:pPr>
    </w:p>
    <w:p w14:paraId="03D64898" w14:textId="3A1673FB" w:rsidR="00703BB9" w:rsidRDefault="00703BB9" w:rsidP="009525CC">
      <w:pPr>
        <w:rPr>
          <w:rFonts w:ascii="Garamond" w:hAnsi="Garamond"/>
          <w:bCs/>
          <w:lang w:val="en-AU"/>
        </w:rPr>
      </w:pPr>
    </w:p>
    <w:p w14:paraId="0A6C2DB1" w14:textId="77777777" w:rsidR="00820554" w:rsidRDefault="00820554" w:rsidP="009525CC">
      <w:pPr>
        <w:rPr>
          <w:rFonts w:ascii="Garamond" w:hAnsi="Garamond"/>
          <w:bCs/>
          <w:lang w:val="en-AU"/>
        </w:rPr>
      </w:pPr>
    </w:p>
    <w:p w14:paraId="432779B9" w14:textId="77777777" w:rsidR="00031154" w:rsidRDefault="00031154" w:rsidP="005E4F59">
      <w:pPr>
        <w:keepNext/>
        <w:keepLines/>
        <w:autoSpaceDE w:val="0"/>
        <w:autoSpaceDN w:val="0"/>
        <w:adjustRightInd w:val="0"/>
        <w:rPr>
          <w:rFonts w:ascii="Garamond" w:hAnsi="Garamond"/>
          <w:b/>
          <w:lang w:val="en-AU"/>
        </w:rPr>
      </w:pPr>
      <w:r>
        <w:rPr>
          <w:rFonts w:ascii="Garamond" w:hAnsi="Garamond"/>
          <w:b/>
          <w:lang w:val="en-AU"/>
        </w:rPr>
        <w:t>Reports</w:t>
      </w:r>
    </w:p>
    <w:p w14:paraId="4D4F0AB8" w14:textId="77777777" w:rsidR="00031154" w:rsidRDefault="00031154" w:rsidP="00031154">
      <w:pPr>
        <w:keepLines/>
        <w:autoSpaceDE w:val="0"/>
        <w:autoSpaceDN w:val="0"/>
        <w:adjustRightInd w:val="0"/>
        <w:rPr>
          <w:rFonts w:ascii="Garamond" w:hAnsi="Garamond"/>
          <w:lang w:val="en-AU"/>
        </w:rPr>
      </w:pPr>
    </w:p>
    <w:p w14:paraId="4132AAD9" w14:textId="77777777" w:rsidR="00B654E4" w:rsidRPr="00B654E4" w:rsidRDefault="00B654E4" w:rsidP="00B654E4">
      <w:pPr>
        <w:keepNext/>
        <w:keepLines/>
        <w:autoSpaceDE w:val="0"/>
        <w:autoSpaceDN w:val="0"/>
        <w:adjustRightInd w:val="0"/>
        <w:rPr>
          <w:rFonts w:ascii="Garamond" w:hAnsi="Garamond"/>
          <w:i/>
          <w:iCs/>
          <w:lang w:val="en-AU"/>
        </w:rPr>
      </w:pPr>
      <w:bookmarkStart w:id="1" w:name="_Hlk108594703"/>
      <w:r w:rsidRPr="00B654E4">
        <w:rPr>
          <w:rFonts w:ascii="Garamond" w:hAnsi="Garamond"/>
          <w:i/>
          <w:iCs/>
          <w:lang w:val="en-AU"/>
        </w:rPr>
        <w:t>Value-based healthcare in psychology private practice: Paving the way for improved client value</w:t>
      </w:r>
    </w:p>
    <w:p w14:paraId="4FD12026" w14:textId="77777777" w:rsidR="00B654E4" w:rsidRDefault="00B654E4" w:rsidP="00B654E4">
      <w:pPr>
        <w:keepNext/>
        <w:keepLines/>
        <w:autoSpaceDE w:val="0"/>
        <w:autoSpaceDN w:val="0"/>
        <w:adjustRightInd w:val="0"/>
        <w:rPr>
          <w:rFonts w:ascii="Garamond" w:hAnsi="Garamond"/>
          <w:lang w:val="en-AU"/>
        </w:rPr>
      </w:pPr>
      <w:r w:rsidRPr="00B654E4">
        <w:rPr>
          <w:rFonts w:ascii="Garamond" w:hAnsi="Garamond"/>
          <w:lang w:val="en-AU"/>
        </w:rPr>
        <w:t>Deeble Institute Perspectives Brief No. 23</w:t>
      </w:r>
    </w:p>
    <w:p w14:paraId="24CB3011" w14:textId="77777777" w:rsidR="00B654E4" w:rsidRDefault="00B654E4" w:rsidP="00B654E4">
      <w:pPr>
        <w:keepNext/>
        <w:keepLines/>
        <w:autoSpaceDE w:val="0"/>
        <w:autoSpaceDN w:val="0"/>
        <w:adjustRightInd w:val="0"/>
        <w:rPr>
          <w:rFonts w:ascii="Garamond" w:hAnsi="Garamond"/>
          <w:lang w:val="en-AU"/>
        </w:rPr>
      </w:pPr>
      <w:r w:rsidRPr="00B654E4">
        <w:rPr>
          <w:rFonts w:ascii="Garamond" w:hAnsi="Garamond"/>
          <w:lang w:val="en-AU"/>
        </w:rPr>
        <w:t>Castle N</w:t>
      </w:r>
    </w:p>
    <w:p w14:paraId="21FFC2FC" w14:textId="77777777" w:rsidR="00B654E4" w:rsidRDefault="00B654E4" w:rsidP="00B654E4">
      <w:pPr>
        <w:keepNext/>
        <w:keepLines/>
        <w:autoSpaceDE w:val="0"/>
        <w:autoSpaceDN w:val="0"/>
        <w:adjustRightInd w:val="0"/>
        <w:rPr>
          <w:rFonts w:ascii="Garamond" w:hAnsi="Garamond"/>
          <w:lang w:val="en-AU"/>
        </w:rPr>
      </w:pPr>
      <w:r w:rsidRPr="00B654E4">
        <w:rPr>
          <w:rFonts w:ascii="Garamond" w:hAnsi="Garamond"/>
          <w:lang w:val="en-AU"/>
        </w:rPr>
        <w:t>Canberra: Australian Healthcare and Hospitals Association; 2022. p. 10.</w:t>
      </w:r>
    </w:p>
    <w:tbl>
      <w:tblPr>
        <w:tblStyle w:val="TableGrid"/>
        <w:tblW w:w="9360" w:type="dxa"/>
        <w:tblInd w:w="288" w:type="dxa"/>
        <w:tblLayout w:type="fixed"/>
        <w:tblLook w:val="01E0" w:firstRow="1" w:lastRow="1" w:firstColumn="1" w:lastColumn="1" w:noHBand="0" w:noVBand="0"/>
      </w:tblPr>
      <w:tblGrid>
        <w:gridCol w:w="1080"/>
        <w:gridCol w:w="8280"/>
      </w:tblGrid>
      <w:tr w:rsidR="00B654E4" w:rsidRPr="00E37911" w14:paraId="2EF3F640" w14:textId="77777777" w:rsidTr="004419CE">
        <w:tc>
          <w:tcPr>
            <w:tcW w:w="1080" w:type="dxa"/>
            <w:tcBorders>
              <w:top w:val="single" w:sz="4" w:space="0" w:color="auto"/>
              <w:left w:val="single" w:sz="4" w:space="0" w:color="auto"/>
              <w:bottom w:val="single" w:sz="4" w:space="0" w:color="auto"/>
              <w:right w:val="single" w:sz="4" w:space="0" w:color="auto"/>
            </w:tcBorders>
            <w:vAlign w:val="center"/>
          </w:tcPr>
          <w:p w14:paraId="6BE809F9" w14:textId="77777777" w:rsidR="00B654E4" w:rsidRPr="00E37911" w:rsidRDefault="00B654E4" w:rsidP="004419C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391041A" w14:textId="3BC977B7" w:rsidR="00DA5299" w:rsidRDefault="00562290" w:rsidP="004419CE">
            <w:hyperlink r:id="rId18" w:history="1">
              <w:r w:rsidR="00DA5299" w:rsidRPr="00927312">
                <w:rPr>
                  <w:rStyle w:val="Hyperlink"/>
                </w:rPr>
                <w:t>https://ahha.asn.au/deeble-institute-perspective-briefs</w:t>
              </w:r>
            </w:hyperlink>
          </w:p>
          <w:p w14:paraId="3FD379C9" w14:textId="13A59ACC" w:rsidR="00B654E4" w:rsidRPr="00E37911" w:rsidRDefault="00562290" w:rsidP="004419CE">
            <w:pPr>
              <w:rPr>
                <w:rStyle w:val="Hyperlink"/>
                <w:rFonts w:ascii="Garamond" w:hAnsi="Garamond"/>
                <w:color w:val="auto"/>
                <w:u w:val="none"/>
                <w:lang w:val="en-AU"/>
              </w:rPr>
            </w:pPr>
            <w:hyperlink r:id="rId19" w:history="1">
              <w:r w:rsidR="00DA5299" w:rsidRPr="00FD1D49">
                <w:rPr>
                  <w:rStyle w:val="Hyperlink"/>
                  <w:rFonts w:ascii="Garamond" w:hAnsi="Garamond"/>
                  <w:lang w:val="en-AU"/>
                </w:rPr>
                <w:t>https://ahha.asn.au/sites/default/files/docs/policy-issue/perspectives_brief_no_23._vbhc_in_private_psychology_practice_1.pdf</w:t>
              </w:r>
            </w:hyperlink>
          </w:p>
        </w:tc>
      </w:tr>
      <w:tr w:rsidR="00B654E4" w:rsidRPr="00E37911" w14:paraId="207BD79C" w14:textId="77777777" w:rsidTr="004419CE">
        <w:tc>
          <w:tcPr>
            <w:tcW w:w="1080" w:type="dxa"/>
            <w:tcBorders>
              <w:top w:val="single" w:sz="4" w:space="0" w:color="auto"/>
              <w:left w:val="single" w:sz="4" w:space="0" w:color="auto"/>
              <w:bottom w:val="single" w:sz="4" w:space="0" w:color="auto"/>
              <w:right w:val="single" w:sz="4" w:space="0" w:color="auto"/>
            </w:tcBorders>
            <w:vAlign w:val="center"/>
          </w:tcPr>
          <w:p w14:paraId="603AD41C" w14:textId="77777777" w:rsidR="00B654E4" w:rsidRPr="00E37911" w:rsidRDefault="00B654E4" w:rsidP="004419CE">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E80E5D" w14:textId="77777777" w:rsidR="00B654E4" w:rsidRPr="00031154" w:rsidRDefault="00B654E4" w:rsidP="004419CE">
            <w:pPr>
              <w:rPr>
                <w:rFonts w:ascii="Garamond" w:hAnsi="Garamond"/>
                <w:lang w:val="en-AU"/>
              </w:rPr>
            </w:pPr>
            <w:r w:rsidRPr="00B654E4">
              <w:rPr>
                <w:rFonts w:ascii="Garamond" w:hAnsi="Garamond"/>
                <w:lang w:val="en-AU"/>
              </w:rPr>
              <w:t>This Perspectives Brief from the Australian Healthcare and Hospitals Association’s Deeble Institute looks</w:t>
            </w:r>
            <w:r>
              <w:rPr>
                <w:rFonts w:ascii="Garamond" w:hAnsi="Garamond"/>
                <w:lang w:val="en-AU"/>
              </w:rPr>
              <w:t xml:space="preserve"> at how taking a value-based approach may change the delivery of psychology. Written by a psychologist reflecting on his own experiences, the brief </w:t>
            </w:r>
            <w:r w:rsidRPr="00B654E4">
              <w:rPr>
                <w:rFonts w:ascii="Garamond" w:hAnsi="Garamond"/>
                <w:lang w:val="en-AU"/>
              </w:rPr>
              <w:t>ex</w:t>
            </w:r>
            <w:r>
              <w:rPr>
                <w:rFonts w:ascii="Garamond" w:hAnsi="Garamond"/>
                <w:lang w:val="en-AU"/>
              </w:rPr>
              <w:t xml:space="preserve">amines </w:t>
            </w:r>
            <w:r w:rsidRPr="00B654E4">
              <w:rPr>
                <w:rFonts w:ascii="Garamond" w:hAnsi="Garamond"/>
                <w:lang w:val="en-AU"/>
              </w:rPr>
              <w:t>methods to enact the principles of value-based healthcare through evaluation of the effectiveness and efficiency of care, and engagement of clients</w:t>
            </w:r>
            <w:r>
              <w:rPr>
                <w:rFonts w:ascii="Garamond" w:hAnsi="Garamond"/>
                <w:lang w:val="en-AU"/>
              </w:rPr>
              <w:t>.</w:t>
            </w:r>
          </w:p>
        </w:tc>
      </w:tr>
    </w:tbl>
    <w:p w14:paraId="4A0B3CA2" w14:textId="77777777" w:rsidR="00B654E4" w:rsidRDefault="00B654E4" w:rsidP="00B654E4">
      <w:pPr>
        <w:keepNext/>
        <w:rPr>
          <w:rFonts w:ascii="Garamond" w:hAnsi="Garamond"/>
          <w:i/>
          <w:lang w:val="en-AU"/>
        </w:rPr>
      </w:pPr>
    </w:p>
    <w:p w14:paraId="31F64ED6" w14:textId="77777777" w:rsidR="00536027" w:rsidRPr="00536027" w:rsidRDefault="00536027" w:rsidP="00536027">
      <w:pPr>
        <w:keepNext/>
        <w:keepLines/>
        <w:autoSpaceDE w:val="0"/>
        <w:autoSpaceDN w:val="0"/>
        <w:adjustRightInd w:val="0"/>
        <w:rPr>
          <w:rFonts w:ascii="Garamond" w:hAnsi="Garamond"/>
          <w:i/>
          <w:iCs/>
          <w:lang w:val="en-AU"/>
        </w:rPr>
      </w:pPr>
      <w:r w:rsidRPr="00536027">
        <w:rPr>
          <w:rFonts w:ascii="Garamond" w:hAnsi="Garamond"/>
          <w:i/>
          <w:iCs/>
          <w:lang w:val="en-AU"/>
        </w:rPr>
        <w:t>Administering high-strength insulin from a pen device in hospital</w:t>
      </w:r>
    </w:p>
    <w:p w14:paraId="513B3F7C" w14:textId="77777777" w:rsidR="00536027" w:rsidRDefault="00536027" w:rsidP="00536027">
      <w:pPr>
        <w:keepNext/>
        <w:keepLines/>
        <w:autoSpaceDE w:val="0"/>
        <w:autoSpaceDN w:val="0"/>
        <w:adjustRightInd w:val="0"/>
        <w:rPr>
          <w:rFonts w:ascii="Garamond" w:hAnsi="Garamond"/>
          <w:lang w:val="en-AU"/>
        </w:rPr>
      </w:pPr>
      <w:r w:rsidRPr="00536027">
        <w:rPr>
          <w:rFonts w:ascii="Garamond" w:hAnsi="Garamond"/>
          <w:lang w:val="en-AU"/>
        </w:rPr>
        <w:t>Independent report by the Healthcare Safety Investigation Branch I2020/007</w:t>
      </w:r>
    </w:p>
    <w:p w14:paraId="5F9211CE" w14:textId="77777777" w:rsidR="00536027" w:rsidRDefault="00536027" w:rsidP="00031154">
      <w:pPr>
        <w:keepNext/>
        <w:keepLines/>
        <w:autoSpaceDE w:val="0"/>
        <w:autoSpaceDN w:val="0"/>
        <w:adjustRightInd w:val="0"/>
        <w:rPr>
          <w:rFonts w:ascii="Garamond" w:hAnsi="Garamond"/>
          <w:lang w:val="en-AU"/>
        </w:rPr>
      </w:pPr>
      <w:r w:rsidRPr="00536027">
        <w:rPr>
          <w:rFonts w:ascii="Garamond" w:hAnsi="Garamond"/>
          <w:lang w:val="en-AU"/>
        </w:rPr>
        <w:t>Healthcare Safety Investigation Branch</w:t>
      </w:r>
    </w:p>
    <w:p w14:paraId="6C5B2083" w14:textId="0F4636B1" w:rsidR="00031154" w:rsidRDefault="00536027" w:rsidP="00031154">
      <w:pPr>
        <w:keepNext/>
        <w:keepLines/>
        <w:autoSpaceDE w:val="0"/>
        <w:autoSpaceDN w:val="0"/>
        <w:adjustRightInd w:val="0"/>
        <w:rPr>
          <w:rFonts w:ascii="Garamond" w:hAnsi="Garamond"/>
          <w:lang w:val="en-AU"/>
        </w:rPr>
      </w:pPr>
      <w:r w:rsidRPr="00536027">
        <w:rPr>
          <w:rFonts w:ascii="Garamond" w:hAnsi="Garamond"/>
          <w:lang w:val="en-AU"/>
        </w:rPr>
        <w:t>Farnborough: HSIB; 2022. p. 48.</w:t>
      </w:r>
    </w:p>
    <w:tbl>
      <w:tblPr>
        <w:tblStyle w:val="TableGrid"/>
        <w:tblW w:w="9360" w:type="dxa"/>
        <w:tblInd w:w="288" w:type="dxa"/>
        <w:tblLayout w:type="fixed"/>
        <w:tblLook w:val="01E0" w:firstRow="1" w:lastRow="1" w:firstColumn="1" w:lastColumn="1" w:noHBand="0" w:noVBand="0"/>
      </w:tblPr>
      <w:tblGrid>
        <w:gridCol w:w="1080"/>
        <w:gridCol w:w="8280"/>
      </w:tblGrid>
      <w:tr w:rsidR="00031154" w:rsidRPr="00E37911" w14:paraId="769CCD59"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7EFB4277" w14:textId="1184E631" w:rsidR="00031154" w:rsidRPr="00E37911" w:rsidRDefault="00536027" w:rsidP="0056630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831B942" w14:textId="0783C541" w:rsidR="00031154" w:rsidRPr="00E37911" w:rsidRDefault="00562290" w:rsidP="00566302">
            <w:pPr>
              <w:rPr>
                <w:rStyle w:val="Hyperlink"/>
                <w:rFonts w:ascii="Garamond" w:hAnsi="Garamond"/>
                <w:color w:val="auto"/>
                <w:u w:val="none"/>
                <w:lang w:val="en-AU"/>
              </w:rPr>
            </w:pPr>
            <w:hyperlink r:id="rId20" w:history="1">
              <w:r w:rsidR="00536027" w:rsidRPr="00FD1D49">
                <w:rPr>
                  <w:rStyle w:val="Hyperlink"/>
                  <w:rFonts w:ascii="Garamond" w:hAnsi="Garamond"/>
                  <w:lang w:val="en-AU"/>
                </w:rPr>
                <w:t>https://www.hsib.org.uk/investigations-and-reports/administering-high-strength-insulin-from-a-pen-device-in-hospital/</w:t>
              </w:r>
            </w:hyperlink>
          </w:p>
        </w:tc>
      </w:tr>
      <w:bookmarkEnd w:id="1"/>
      <w:tr w:rsidR="00031154" w:rsidRPr="00E37911" w14:paraId="422D5C1E"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787ECE42" w14:textId="77777777" w:rsidR="00031154" w:rsidRPr="00E37911" w:rsidRDefault="00031154" w:rsidP="0056630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3BBAECA" w14:textId="10EBB805" w:rsidR="00031154" w:rsidRPr="00031154" w:rsidRDefault="00536027" w:rsidP="00566302">
            <w:pPr>
              <w:rPr>
                <w:rFonts w:ascii="Garamond" w:hAnsi="Garamond"/>
                <w:lang w:val="en-AU"/>
              </w:rPr>
            </w:pPr>
            <w:r w:rsidRPr="00536027">
              <w:rPr>
                <w:rFonts w:ascii="Garamond" w:hAnsi="Garamond"/>
                <w:lang w:val="en-AU"/>
              </w:rPr>
              <w:t>This latest investigation report from the UK’s Healthcare Safety Investigation Branch examined the issue</w:t>
            </w:r>
            <w:r>
              <w:rPr>
                <w:rFonts w:ascii="Garamond" w:hAnsi="Garamond"/>
                <w:lang w:val="en-AU"/>
              </w:rPr>
              <w:t xml:space="preserve"> </w:t>
            </w:r>
            <w:r w:rsidR="00764642">
              <w:rPr>
                <w:rFonts w:ascii="Garamond" w:hAnsi="Garamond"/>
                <w:lang w:val="en-AU"/>
              </w:rPr>
              <w:t>of high-strength insulin pens. Where patients were using such insulin pens were then hospitalised there had been instances of insulin overdose and hypoglycaemia. The report’s ‘</w:t>
            </w:r>
            <w:r w:rsidR="00764642" w:rsidRPr="00764642">
              <w:rPr>
                <w:rFonts w:ascii="Garamond" w:hAnsi="Garamond"/>
                <w:lang w:val="en-AU"/>
              </w:rPr>
              <w:t>findings and safety observations aim to prevent future occurrences of hypoglycaemia as a result of an insulin overdose among hospitalised patients receiving insulin from a pen device.</w:t>
            </w:r>
            <w:r w:rsidR="00764642">
              <w:rPr>
                <w:rFonts w:ascii="Garamond" w:hAnsi="Garamond"/>
                <w:lang w:val="en-AU"/>
              </w:rPr>
              <w:t>’</w:t>
            </w:r>
          </w:p>
        </w:tc>
      </w:tr>
    </w:tbl>
    <w:p w14:paraId="172C9992" w14:textId="77777777" w:rsidR="00031154" w:rsidRDefault="00031154" w:rsidP="00031154">
      <w:pPr>
        <w:keepLines/>
        <w:autoSpaceDE w:val="0"/>
        <w:autoSpaceDN w:val="0"/>
        <w:adjustRightInd w:val="0"/>
        <w:rPr>
          <w:rFonts w:ascii="Garamond" w:hAnsi="Garamond"/>
          <w:lang w:val="en-AU"/>
        </w:rPr>
      </w:pPr>
    </w:p>
    <w:p w14:paraId="5E72D519" w14:textId="77777777" w:rsidR="00820554" w:rsidRDefault="00820554">
      <w:pPr>
        <w:rPr>
          <w:rFonts w:ascii="Garamond" w:hAnsi="Garamond"/>
          <w:b/>
          <w:lang w:val="en-AU"/>
        </w:rPr>
      </w:pPr>
      <w:r>
        <w:rPr>
          <w:rFonts w:ascii="Garamond" w:hAnsi="Garamond"/>
          <w:b/>
          <w:lang w:val="en-AU"/>
        </w:rPr>
        <w:br w:type="page"/>
      </w:r>
    </w:p>
    <w:p w14:paraId="255EF341" w14:textId="32B4D597"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B48E7D1" w14:textId="40C15E37" w:rsidR="00185EA7" w:rsidRDefault="00185EA7" w:rsidP="003C781C">
      <w:pPr>
        <w:keepLines/>
        <w:autoSpaceDE w:val="0"/>
        <w:autoSpaceDN w:val="0"/>
        <w:adjustRightInd w:val="0"/>
        <w:rPr>
          <w:rFonts w:ascii="Garamond" w:hAnsi="Garamond"/>
          <w:lang w:val="en-AU"/>
        </w:rPr>
      </w:pPr>
    </w:p>
    <w:p w14:paraId="4C989411" w14:textId="77777777" w:rsidR="00820554" w:rsidRPr="005363E0" w:rsidRDefault="00820554" w:rsidP="00820554">
      <w:pPr>
        <w:keepNext/>
        <w:keepLines/>
        <w:autoSpaceDE w:val="0"/>
        <w:autoSpaceDN w:val="0"/>
        <w:adjustRightInd w:val="0"/>
        <w:rPr>
          <w:rFonts w:ascii="Garamond" w:hAnsi="Garamond"/>
          <w:i/>
          <w:iCs/>
          <w:lang w:val="en-AU"/>
        </w:rPr>
      </w:pPr>
      <w:r w:rsidRPr="005363E0">
        <w:rPr>
          <w:rFonts w:ascii="Garamond" w:hAnsi="Garamond"/>
          <w:i/>
          <w:iCs/>
          <w:lang w:val="en-AU"/>
        </w:rPr>
        <w:t>Improvements in Hospital Adverse Event Rates: Achieving Statistically Significant and Clinically Meaningful Results</w:t>
      </w:r>
    </w:p>
    <w:p w14:paraId="14753CC0" w14:textId="77777777" w:rsidR="00820554" w:rsidRDefault="00820554" w:rsidP="00820554">
      <w:pPr>
        <w:keepNext/>
        <w:keepLines/>
        <w:autoSpaceDE w:val="0"/>
        <w:autoSpaceDN w:val="0"/>
        <w:adjustRightInd w:val="0"/>
        <w:rPr>
          <w:rFonts w:ascii="Garamond" w:hAnsi="Garamond"/>
          <w:lang w:val="en-AU"/>
        </w:rPr>
      </w:pPr>
      <w:r w:rsidRPr="005363E0">
        <w:rPr>
          <w:rFonts w:ascii="Garamond" w:hAnsi="Garamond"/>
          <w:lang w:val="en-AU"/>
        </w:rPr>
        <w:t>Padula WV, Pronovost PJ</w:t>
      </w:r>
    </w:p>
    <w:p w14:paraId="70A84CCA" w14:textId="77777777" w:rsidR="00820554" w:rsidRDefault="00820554" w:rsidP="00820554">
      <w:pPr>
        <w:keepNext/>
        <w:keepLines/>
        <w:autoSpaceDE w:val="0"/>
        <w:autoSpaceDN w:val="0"/>
        <w:adjustRightInd w:val="0"/>
        <w:rPr>
          <w:rFonts w:ascii="Garamond" w:hAnsi="Garamond"/>
          <w:lang w:val="en-AU"/>
        </w:rPr>
      </w:pPr>
      <w:r w:rsidRPr="005363E0">
        <w:rPr>
          <w:rFonts w:ascii="Garamond" w:hAnsi="Garamond"/>
          <w:lang w:val="en-AU"/>
        </w:rPr>
        <w:t>JAMA. 2022;328(2):148-150.</w:t>
      </w:r>
    </w:p>
    <w:p w14:paraId="0396E6AF" w14:textId="77777777" w:rsidR="00820554" w:rsidRDefault="00820554" w:rsidP="00820554">
      <w:pPr>
        <w:keepNext/>
        <w:keepLines/>
        <w:autoSpaceDE w:val="0"/>
        <w:autoSpaceDN w:val="0"/>
        <w:adjustRightInd w:val="0"/>
        <w:rPr>
          <w:rFonts w:ascii="Garamond" w:hAnsi="Garamond"/>
          <w:lang w:val="en-AU"/>
        </w:rPr>
      </w:pPr>
    </w:p>
    <w:p w14:paraId="4F1C8072" w14:textId="77777777" w:rsidR="00820554" w:rsidRPr="005363E0" w:rsidRDefault="00820554" w:rsidP="00820554">
      <w:pPr>
        <w:keepNext/>
        <w:keepLines/>
        <w:autoSpaceDE w:val="0"/>
        <w:autoSpaceDN w:val="0"/>
        <w:adjustRightInd w:val="0"/>
        <w:rPr>
          <w:rFonts w:ascii="Garamond" w:hAnsi="Garamond"/>
          <w:i/>
          <w:iCs/>
          <w:lang w:val="en-AU"/>
        </w:rPr>
      </w:pPr>
      <w:r w:rsidRPr="005363E0">
        <w:rPr>
          <w:rFonts w:ascii="Garamond" w:hAnsi="Garamond"/>
          <w:i/>
          <w:iCs/>
          <w:lang w:val="en-AU"/>
        </w:rPr>
        <w:t>Trends in Adverse Event Rates in Hospitalized Patients, 2010-2019</w:t>
      </w:r>
    </w:p>
    <w:p w14:paraId="13786A16" w14:textId="77777777" w:rsidR="00820554" w:rsidRDefault="00820554" w:rsidP="00820554">
      <w:pPr>
        <w:keepNext/>
        <w:keepLines/>
        <w:autoSpaceDE w:val="0"/>
        <w:autoSpaceDN w:val="0"/>
        <w:adjustRightInd w:val="0"/>
        <w:rPr>
          <w:rFonts w:ascii="Garamond" w:hAnsi="Garamond"/>
          <w:lang w:val="en-AU"/>
        </w:rPr>
      </w:pPr>
      <w:r w:rsidRPr="005363E0">
        <w:rPr>
          <w:rFonts w:ascii="Garamond" w:hAnsi="Garamond"/>
          <w:lang w:val="en-AU"/>
        </w:rPr>
        <w:t>Eldridge N, Wang Y, Metersky M, Eckenrode S, Mathew J, Sonnenfeld N, et al</w:t>
      </w:r>
    </w:p>
    <w:p w14:paraId="0D8A8B36" w14:textId="77777777" w:rsidR="00820554" w:rsidRDefault="00820554" w:rsidP="00820554">
      <w:pPr>
        <w:keepNext/>
        <w:keepLines/>
        <w:autoSpaceDE w:val="0"/>
        <w:autoSpaceDN w:val="0"/>
        <w:adjustRightInd w:val="0"/>
        <w:rPr>
          <w:rFonts w:ascii="Garamond" w:hAnsi="Garamond"/>
          <w:lang w:val="en-AU"/>
        </w:rPr>
      </w:pPr>
      <w:r w:rsidRPr="005363E0">
        <w:rPr>
          <w:rFonts w:ascii="Garamond" w:hAnsi="Garamond"/>
          <w:lang w:val="en-AU"/>
        </w:rPr>
        <w:t>JAMA. 2022;328(2):173-183.</w:t>
      </w:r>
    </w:p>
    <w:tbl>
      <w:tblPr>
        <w:tblStyle w:val="TableGrid"/>
        <w:tblW w:w="9360" w:type="dxa"/>
        <w:tblInd w:w="288" w:type="dxa"/>
        <w:tblLayout w:type="fixed"/>
        <w:tblLook w:val="01E0" w:firstRow="1" w:lastRow="1" w:firstColumn="1" w:lastColumn="1" w:noHBand="0" w:noVBand="0"/>
      </w:tblPr>
      <w:tblGrid>
        <w:gridCol w:w="1080"/>
        <w:gridCol w:w="8280"/>
      </w:tblGrid>
      <w:tr w:rsidR="00820554" w:rsidRPr="00E37911" w14:paraId="712CA7A2" w14:textId="77777777" w:rsidTr="006545CE">
        <w:tc>
          <w:tcPr>
            <w:tcW w:w="1080" w:type="dxa"/>
            <w:tcBorders>
              <w:top w:val="single" w:sz="4" w:space="0" w:color="auto"/>
              <w:left w:val="single" w:sz="4" w:space="0" w:color="auto"/>
              <w:bottom w:val="single" w:sz="4" w:space="0" w:color="auto"/>
              <w:right w:val="single" w:sz="4" w:space="0" w:color="auto"/>
            </w:tcBorders>
            <w:vAlign w:val="center"/>
          </w:tcPr>
          <w:p w14:paraId="170B5975" w14:textId="77777777" w:rsidR="00820554" w:rsidRPr="00E37911" w:rsidRDefault="00820554" w:rsidP="006545C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97391E1" w14:textId="77777777" w:rsidR="00820554" w:rsidRDefault="00820554" w:rsidP="006545CE">
            <w:pPr>
              <w:rPr>
                <w:rFonts w:ascii="Garamond" w:hAnsi="Garamond"/>
                <w:lang w:val="en-AU"/>
              </w:rPr>
            </w:pPr>
            <w:r>
              <w:rPr>
                <w:rFonts w:ascii="Garamond" w:hAnsi="Garamond"/>
                <w:lang w:val="en-AU"/>
              </w:rPr>
              <w:t xml:space="preserve">Padula and Pronovost </w:t>
            </w:r>
            <w:hyperlink r:id="rId21" w:history="1">
              <w:r w:rsidRPr="00FD1D49">
                <w:rPr>
                  <w:rStyle w:val="Hyperlink"/>
                  <w:rFonts w:ascii="Garamond" w:hAnsi="Garamond"/>
                  <w:lang w:val="en-AU"/>
                </w:rPr>
                <w:t>https://doi.org/10.1001/jama.2022.10281</w:t>
              </w:r>
            </w:hyperlink>
          </w:p>
          <w:p w14:paraId="51B03D4E" w14:textId="77777777" w:rsidR="00820554" w:rsidRPr="00E37911" w:rsidRDefault="00820554" w:rsidP="006545CE">
            <w:pPr>
              <w:rPr>
                <w:rStyle w:val="Hyperlink"/>
                <w:rFonts w:ascii="Garamond" w:hAnsi="Garamond"/>
                <w:color w:val="auto"/>
                <w:u w:val="none"/>
                <w:lang w:val="en-AU"/>
              </w:rPr>
            </w:pPr>
            <w:r>
              <w:rPr>
                <w:rFonts w:ascii="Garamond" w:hAnsi="Garamond"/>
                <w:lang w:val="en-AU"/>
              </w:rPr>
              <w:t xml:space="preserve">Eldridge et al </w:t>
            </w:r>
            <w:hyperlink r:id="rId22" w:history="1">
              <w:r w:rsidRPr="00FD1D49">
                <w:rPr>
                  <w:rStyle w:val="Hyperlink"/>
                  <w:rFonts w:ascii="Garamond" w:hAnsi="Garamond"/>
                  <w:lang w:val="en-AU"/>
                </w:rPr>
                <w:t>https://doi.org/10.1001/jama.2022.9600</w:t>
              </w:r>
            </w:hyperlink>
          </w:p>
        </w:tc>
      </w:tr>
      <w:tr w:rsidR="00820554" w:rsidRPr="00E37911" w14:paraId="4636A441" w14:textId="77777777" w:rsidTr="006545CE">
        <w:tc>
          <w:tcPr>
            <w:tcW w:w="1080" w:type="dxa"/>
            <w:tcBorders>
              <w:top w:val="single" w:sz="4" w:space="0" w:color="auto"/>
              <w:left w:val="single" w:sz="4" w:space="0" w:color="auto"/>
              <w:bottom w:val="single" w:sz="4" w:space="0" w:color="auto"/>
              <w:right w:val="single" w:sz="4" w:space="0" w:color="auto"/>
            </w:tcBorders>
            <w:vAlign w:val="center"/>
          </w:tcPr>
          <w:p w14:paraId="5927EAEF" w14:textId="77777777" w:rsidR="00820554" w:rsidRPr="00E37911" w:rsidRDefault="00820554" w:rsidP="006545CE">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B6CC10B" w14:textId="77777777" w:rsidR="00820554" w:rsidRPr="00031154" w:rsidRDefault="00820554" w:rsidP="006545CE">
            <w:pPr>
              <w:rPr>
                <w:rFonts w:ascii="Garamond" w:hAnsi="Garamond"/>
                <w:lang w:val="en-AU"/>
              </w:rPr>
            </w:pPr>
            <w:r>
              <w:rPr>
                <w:rFonts w:ascii="Garamond" w:hAnsi="Garamond"/>
                <w:lang w:val="en-AU"/>
              </w:rPr>
              <w:t xml:space="preserve">Padula and Pronovost  provide an editorial in the </w:t>
            </w:r>
            <w:r w:rsidRPr="005363E0">
              <w:rPr>
                <w:rFonts w:ascii="Garamond" w:hAnsi="Garamond"/>
                <w:i/>
                <w:iCs/>
                <w:lang w:val="en-AU"/>
              </w:rPr>
              <w:t>Journal of the American Medical Association</w:t>
            </w:r>
            <w:r>
              <w:rPr>
                <w:rFonts w:ascii="Garamond" w:hAnsi="Garamond"/>
                <w:lang w:val="en-AU"/>
              </w:rPr>
              <w:t xml:space="preserve"> (JAMA) responding to an article (Eldridge et al) suggesting that the rate adverse events in hospitalised patients in the USA had fallen across the period 2010–2019. Padula and Pronovost observe that while that paper ‘</w:t>
            </w:r>
            <w:r w:rsidRPr="005363E0">
              <w:rPr>
                <w:rFonts w:ascii="Garamond" w:hAnsi="Garamond"/>
                <w:lang w:val="en-AU"/>
              </w:rPr>
              <w:t>reported statistically significant decreases across adverse events from 2010 through 2019, patients may be less convinced that risk-adjusted annual declines of 6% in the rates of acute myocardial infarction or pneumonia, for instance, imply that hospitals are adequately safer today.</w:t>
            </w:r>
            <w:r>
              <w:rPr>
                <w:rFonts w:ascii="Garamond" w:hAnsi="Garamond"/>
                <w:lang w:val="en-AU"/>
              </w:rPr>
              <w:t xml:space="preserve">’ Citing the </w:t>
            </w:r>
            <w:r w:rsidRPr="005363E0">
              <w:rPr>
                <w:rFonts w:ascii="Garamond" w:hAnsi="Garamond"/>
                <w:lang w:val="en-AU"/>
              </w:rPr>
              <w:t xml:space="preserve">2022 </w:t>
            </w:r>
            <w:r>
              <w:rPr>
                <w:rFonts w:ascii="Garamond" w:hAnsi="Garamond"/>
                <w:lang w:val="en-AU"/>
              </w:rPr>
              <w:t xml:space="preserve">US </w:t>
            </w:r>
            <w:r w:rsidRPr="005363E0">
              <w:rPr>
                <w:rFonts w:ascii="Garamond" w:hAnsi="Garamond"/>
                <w:lang w:val="en-AU"/>
              </w:rPr>
              <w:t xml:space="preserve">Office of Inspector General’s report </w:t>
            </w:r>
            <w:r>
              <w:rPr>
                <w:rFonts w:ascii="Garamond" w:hAnsi="Garamond"/>
                <w:lang w:val="en-AU"/>
              </w:rPr>
              <w:t>(</w:t>
            </w:r>
            <w:hyperlink r:id="rId23" w:history="1">
              <w:r w:rsidRPr="00FD1D49">
                <w:rPr>
                  <w:rStyle w:val="Hyperlink"/>
                  <w:rFonts w:ascii="Garamond" w:hAnsi="Garamond"/>
                  <w:lang w:val="en-AU"/>
                </w:rPr>
                <w:t>https://oig.hhs.gov/oei/reports/OEI-06-18-00400.asp</w:t>
              </w:r>
            </w:hyperlink>
            <w:r>
              <w:rPr>
                <w:rFonts w:ascii="Garamond" w:hAnsi="Garamond"/>
                <w:lang w:val="en-AU"/>
              </w:rPr>
              <w:t xml:space="preserve">) </w:t>
            </w:r>
            <w:r w:rsidRPr="005363E0">
              <w:rPr>
                <w:rFonts w:ascii="Garamond" w:hAnsi="Garamond"/>
                <w:lang w:val="en-AU"/>
              </w:rPr>
              <w:t>that estimated 25% of hospitalized Medicare patients experienced harms in October 2018 alone</w:t>
            </w:r>
            <w:r>
              <w:rPr>
                <w:rFonts w:ascii="Garamond" w:hAnsi="Garamond"/>
                <w:lang w:val="en-AU"/>
              </w:rPr>
              <w:t>, along with other sources that record various forms of harms are persistently prevalent, they call for renewed efforts to address harms. This includes better measures, including measuring outcomes, changes to payment systems, improved communication of guidelines and interventions that work, better management and accountability, innovation, and investigation of adverse events.</w:t>
            </w:r>
          </w:p>
        </w:tc>
      </w:tr>
    </w:tbl>
    <w:p w14:paraId="394822C3" w14:textId="77777777" w:rsidR="00820554" w:rsidRDefault="00820554" w:rsidP="00820554">
      <w:pPr>
        <w:keepNext/>
        <w:rPr>
          <w:rFonts w:ascii="Garamond" w:hAnsi="Garamond"/>
          <w:i/>
          <w:lang w:val="en-AU"/>
        </w:rPr>
      </w:pPr>
    </w:p>
    <w:p w14:paraId="3E1FC570" w14:textId="77777777" w:rsidR="00480F65" w:rsidRPr="00480F65" w:rsidRDefault="00480F65" w:rsidP="00480F65">
      <w:pPr>
        <w:keepNext/>
        <w:keepLines/>
        <w:autoSpaceDE w:val="0"/>
        <w:autoSpaceDN w:val="0"/>
        <w:adjustRightInd w:val="0"/>
        <w:rPr>
          <w:rFonts w:ascii="Garamond" w:hAnsi="Garamond"/>
          <w:i/>
          <w:iCs/>
          <w:lang w:val="en-AU"/>
        </w:rPr>
      </w:pPr>
      <w:r w:rsidRPr="00480F65">
        <w:rPr>
          <w:rFonts w:ascii="Garamond" w:hAnsi="Garamond"/>
          <w:i/>
          <w:iCs/>
          <w:lang w:val="en-AU"/>
        </w:rPr>
        <w:t>Distinguishing High-Performing From Low-Performing Hospitals for Severe Maternal Morbidity: A Focus on Quality and Equity</w:t>
      </w:r>
    </w:p>
    <w:p w14:paraId="0D073618" w14:textId="77777777" w:rsidR="00480F65" w:rsidRDefault="00480F65" w:rsidP="00CE64E3">
      <w:pPr>
        <w:keepNext/>
        <w:keepLines/>
        <w:autoSpaceDE w:val="0"/>
        <w:autoSpaceDN w:val="0"/>
        <w:adjustRightInd w:val="0"/>
        <w:rPr>
          <w:rFonts w:ascii="Garamond" w:hAnsi="Garamond"/>
          <w:lang w:val="en-AU"/>
        </w:rPr>
      </w:pPr>
      <w:r w:rsidRPr="00480F65">
        <w:rPr>
          <w:rFonts w:ascii="Garamond" w:hAnsi="Garamond"/>
          <w:lang w:val="en-AU"/>
        </w:rPr>
        <w:t>Howell EA, Sofaer S, Balbierz A, Kheyfets A, Glazer KB, Zeitlin J</w:t>
      </w:r>
    </w:p>
    <w:p w14:paraId="60D382D1" w14:textId="5387E151" w:rsidR="004566C7" w:rsidRDefault="00480F65" w:rsidP="00CE64E3">
      <w:pPr>
        <w:keepNext/>
        <w:keepLines/>
        <w:autoSpaceDE w:val="0"/>
        <w:autoSpaceDN w:val="0"/>
        <w:adjustRightInd w:val="0"/>
        <w:rPr>
          <w:rFonts w:ascii="Garamond" w:hAnsi="Garamond"/>
          <w:lang w:val="en-AU"/>
        </w:rPr>
      </w:pPr>
      <w:r w:rsidRPr="00480F65">
        <w:rPr>
          <w:rFonts w:ascii="Garamond" w:hAnsi="Garamond"/>
          <w:lang w:val="en-AU"/>
        </w:rPr>
        <w:t>Obstetrics &amp; Gynecology. 2022;139(6):1061-1069.</w:t>
      </w:r>
    </w:p>
    <w:tbl>
      <w:tblPr>
        <w:tblStyle w:val="TableGrid"/>
        <w:tblW w:w="9360" w:type="dxa"/>
        <w:tblInd w:w="288" w:type="dxa"/>
        <w:tblLayout w:type="fixed"/>
        <w:tblLook w:val="01E0" w:firstRow="1" w:lastRow="1" w:firstColumn="1" w:lastColumn="1" w:noHBand="0" w:noVBand="0"/>
      </w:tblPr>
      <w:tblGrid>
        <w:gridCol w:w="1080"/>
        <w:gridCol w:w="8280"/>
      </w:tblGrid>
      <w:tr w:rsidR="00CE64E3" w:rsidRPr="00E37911" w14:paraId="0A6090AC" w14:textId="77777777" w:rsidTr="000115AB">
        <w:tc>
          <w:tcPr>
            <w:tcW w:w="1080" w:type="dxa"/>
            <w:tcBorders>
              <w:top w:val="single" w:sz="4" w:space="0" w:color="auto"/>
              <w:left w:val="single" w:sz="4" w:space="0" w:color="auto"/>
              <w:bottom w:val="single" w:sz="4" w:space="0" w:color="auto"/>
              <w:right w:val="single" w:sz="4" w:space="0" w:color="auto"/>
            </w:tcBorders>
            <w:vAlign w:val="center"/>
          </w:tcPr>
          <w:p w14:paraId="50A016A9" w14:textId="77777777" w:rsidR="00CE64E3" w:rsidRPr="00E37911" w:rsidRDefault="00CE64E3" w:rsidP="000115A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89229F6" w14:textId="4725C10A" w:rsidR="00CE64E3" w:rsidRPr="00E37911" w:rsidRDefault="00562290" w:rsidP="000115AB">
            <w:pPr>
              <w:rPr>
                <w:rStyle w:val="Hyperlink"/>
                <w:rFonts w:ascii="Garamond" w:hAnsi="Garamond"/>
                <w:color w:val="auto"/>
                <w:u w:val="none"/>
                <w:lang w:val="en-AU"/>
              </w:rPr>
            </w:pPr>
            <w:hyperlink r:id="rId24" w:history="1">
              <w:r w:rsidR="001F0041" w:rsidRPr="00DA6477">
                <w:rPr>
                  <w:rStyle w:val="Hyperlink"/>
                  <w:rFonts w:ascii="Garamond" w:hAnsi="Garamond"/>
                  <w:lang w:val="en-AU"/>
                </w:rPr>
                <w:t>https://doi.org/10.1097/AOG.0000000000004806</w:t>
              </w:r>
            </w:hyperlink>
          </w:p>
        </w:tc>
      </w:tr>
      <w:tr w:rsidR="00CE64E3" w:rsidRPr="00E37911" w14:paraId="0A275CC4" w14:textId="77777777" w:rsidTr="000115AB">
        <w:tc>
          <w:tcPr>
            <w:tcW w:w="1080" w:type="dxa"/>
            <w:tcBorders>
              <w:top w:val="single" w:sz="4" w:space="0" w:color="auto"/>
              <w:left w:val="single" w:sz="4" w:space="0" w:color="auto"/>
              <w:bottom w:val="single" w:sz="4" w:space="0" w:color="auto"/>
              <w:right w:val="single" w:sz="4" w:space="0" w:color="auto"/>
            </w:tcBorders>
            <w:vAlign w:val="center"/>
          </w:tcPr>
          <w:p w14:paraId="359AC2D8" w14:textId="77777777" w:rsidR="00CE64E3" w:rsidRPr="00E37911" w:rsidRDefault="00CE64E3" w:rsidP="000115AB">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60AD0B" w14:textId="77777777" w:rsidR="00480F65" w:rsidRDefault="00480F65" w:rsidP="00031154">
            <w:pPr>
              <w:rPr>
                <w:rFonts w:ascii="Garamond" w:hAnsi="Garamond"/>
                <w:lang w:val="en-AU"/>
              </w:rPr>
            </w:pPr>
            <w:r>
              <w:rPr>
                <w:rFonts w:ascii="Garamond" w:hAnsi="Garamond"/>
                <w:lang w:val="en-AU"/>
              </w:rPr>
              <w:t>While maternity care in many countries may be considered to have better outcomes than in the USA, this examination of the ‘</w:t>
            </w:r>
            <w:r w:rsidRPr="00480F65">
              <w:rPr>
                <w:rFonts w:ascii="Garamond" w:hAnsi="Garamond"/>
                <w:lang w:val="en-AU"/>
              </w:rPr>
              <w:t>organizational factors, policies, and practices distinguish hospitals with high compared with low risk-adjusted rates of severe maternal morbidity</w:t>
            </w:r>
            <w:r>
              <w:rPr>
                <w:rFonts w:ascii="Garamond" w:hAnsi="Garamond"/>
                <w:lang w:val="en-AU"/>
              </w:rPr>
              <w:t>’ in New York City may be useful. From analyses of the interviews with health care professionals, the study identified six themes. The authors report that ‘</w:t>
            </w:r>
            <w:r w:rsidRPr="00480F65">
              <w:rPr>
                <w:rFonts w:ascii="Garamond" w:hAnsi="Garamond"/>
                <w:lang w:val="en-AU"/>
              </w:rPr>
              <w:t>High-performing hospitals were more likely to have:</w:t>
            </w:r>
          </w:p>
          <w:p w14:paraId="1EFF3BAE" w14:textId="77777777" w:rsidR="00480F65" w:rsidRDefault="00480F65" w:rsidP="00031154">
            <w:pPr>
              <w:rPr>
                <w:rFonts w:ascii="Garamond" w:hAnsi="Garamond"/>
                <w:lang w:val="en-AU"/>
              </w:rPr>
            </w:pPr>
            <w:r w:rsidRPr="00480F65">
              <w:rPr>
                <w:rFonts w:ascii="Garamond" w:hAnsi="Garamond"/>
                <w:lang w:val="en-AU"/>
              </w:rPr>
              <w:t xml:space="preserve">1) senior leadership involved in day-to-day quality activities and dedicated to quality improvement, </w:t>
            </w:r>
          </w:p>
          <w:p w14:paraId="05C33087" w14:textId="77777777" w:rsidR="00480F65" w:rsidRDefault="00480F65" w:rsidP="00031154">
            <w:pPr>
              <w:rPr>
                <w:rFonts w:ascii="Garamond" w:hAnsi="Garamond"/>
                <w:lang w:val="en-AU"/>
              </w:rPr>
            </w:pPr>
            <w:r w:rsidRPr="00480F65">
              <w:rPr>
                <w:rFonts w:ascii="Garamond" w:hAnsi="Garamond"/>
                <w:lang w:val="en-AU"/>
              </w:rPr>
              <w:t xml:space="preserve">2) a strong focus on standards and standardized care, </w:t>
            </w:r>
          </w:p>
          <w:p w14:paraId="499A8BCF" w14:textId="77777777" w:rsidR="00480F65" w:rsidRDefault="00480F65" w:rsidP="00031154">
            <w:pPr>
              <w:rPr>
                <w:rFonts w:ascii="Garamond" w:hAnsi="Garamond"/>
                <w:lang w:val="en-AU"/>
              </w:rPr>
            </w:pPr>
            <w:r w:rsidRPr="00480F65">
              <w:rPr>
                <w:rFonts w:ascii="Garamond" w:hAnsi="Garamond"/>
                <w:lang w:val="en-AU"/>
              </w:rPr>
              <w:t xml:space="preserve">3) strong nurse–physician communication and teamwork, </w:t>
            </w:r>
          </w:p>
          <w:p w14:paraId="1408E314" w14:textId="77777777" w:rsidR="00480F65" w:rsidRDefault="00480F65" w:rsidP="00031154">
            <w:pPr>
              <w:rPr>
                <w:rFonts w:ascii="Garamond" w:hAnsi="Garamond"/>
                <w:lang w:val="en-AU"/>
              </w:rPr>
            </w:pPr>
            <w:r w:rsidRPr="00480F65">
              <w:rPr>
                <w:rFonts w:ascii="Garamond" w:hAnsi="Garamond"/>
                <w:lang w:val="en-AU"/>
              </w:rPr>
              <w:t xml:space="preserve">4) adequate physician and nurse staffing and supervision, </w:t>
            </w:r>
          </w:p>
          <w:p w14:paraId="6A7E5F57" w14:textId="77777777" w:rsidR="00480F65" w:rsidRDefault="00480F65" w:rsidP="00031154">
            <w:pPr>
              <w:rPr>
                <w:rFonts w:ascii="Garamond" w:hAnsi="Garamond"/>
                <w:lang w:val="en-AU"/>
              </w:rPr>
            </w:pPr>
            <w:r w:rsidRPr="00480F65">
              <w:rPr>
                <w:rFonts w:ascii="Garamond" w:hAnsi="Garamond"/>
                <w:lang w:val="en-AU"/>
              </w:rPr>
              <w:t xml:space="preserve">5) sharing of performance data with nurses and other frontline clinicians, and </w:t>
            </w:r>
          </w:p>
          <w:p w14:paraId="742352AB" w14:textId="33FC20AD" w:rsidR="00CE64E3" w:rsidRPr="00031154" w:rsidRDefault="00480F65" w:rsidP="00031154">
            <w:pPr>
              <w:rPr>
                <w:rFonts w:ascii="Garamond" w:hAnsi="Garamond"/>
                <w:lang w:val="en-AU"/>
              </w:rPr>
            </w:pPr>
            <w:r w:rsidRPr="00480F65">
              <w:rPr>
                <w:rFonts w:ascii="Garamond" w:hAnsi="Garamond"/>
                <w:lang w:val="en-AU"/>
              </w:rPr>
              <w:t>6) explicit awareness that racial and ethnic disparities exist and that racism and bias in the hospital can lead to differential treatment.</w:t>
            </w:r>
            <w:r>
              <w:rPr>
                <w:rFonts w:ascii="Garamond" w:hAnsi="Garamond"/>
                <w:lang w:val="en-AU"/>
              </w:rPr>
              <w:t>’</w:t>
            </w:r>
          </w:p>
        </w:tc>
      </w:tr>
    </w:tbl>
    <w:p w14:paraId="32DEA0AE" w14:textId="77777777" w:rsidR="001D2B34" w:rsidRPr="001D2B34" w:rsidRDefault="001D2B34" w:rsidP="001D2B34">
      <w:pPr>
        <w:keepNext/>
        <w:keepLines/>
        <w:autoSpaceDE w:val="0"/>
        <w:autoSpaceDN w:val="0"/>
        <w:adjustRightInd w:val="0"/>
        <w:rPr>
          <w:rFonts w:ascii="Garamond" w:hAnsi="Garamond"/>
          <w:i/>
          <w:iCs/>
          <w:lang w:val="en-AU"/>
        </w:rPr>
      </w:pPr>
      <w:r w:rsidRPr="001D2B34">
        <w:rPr>
          <w:rFonts w:ascii="Garamond" w:hAnsi="Garamond"/>
          <w:i/>
          <w:iCs/>
          <w:lang w:val="en-AU"/>
        </w:rPr>
        <w:lastRenderedPageBreak/>
        <w:t>Exemplars in Long-Term Care during COVID-19: The Importance of Leadership</w:t>
      </w:r>
    </w:p>
    <w:p w14:paraId="22ACC412" w14:textId="77777777" w:rsidR="001D2B34" w:rsidRDefault="001D2B34" w:rsidP="00031154">
      <w:pPr>
        <w:keepNext/>
        <w:keepLines/>
        <w:autoSpaceDE w:val="0"/>
        <w:autoSpaceDN w:val="0"/>
        <w:adjustRightInd w:val="0"/>
        <w:rPr>
          <w:rFonts w:ascii="Garamond" w:hAnsi="Garamond"/>
          <w:lang w:val="en-AU"/>
        </w:rPr>
      </w:pPr>
      <w:r w:rsidRPr="001D2B34">
        <w:rPr>
          <w:rFonts w:ascii="Garamond" w:hAnsi="Garamond"/>
          <w:lang w:val="en-AU"/>
        </w:rPr>
        <w:t>Baumann A, Crea-Arsenio M, Lavoie-Tremblay M, Meershoek A, Norman P, Deber R</w:t>
      </w:r>
    </w:p>
    <w:p w14:paraId="2B93DD0D" w14:textId="52A47729" w:rsidR="00031154" w:rsidRDefault="001D2B34" w:rsidP="00031154">
      <w:pPr>
        <w:keepNext/>
        <w:keepLines/>
        <w:autoSpaceDE w:val="0"/>
        <w:autoSpaceDN w:val="0"/>
        <w:adjustRightInd w:val="0"/>
        <w:rPr>
          <w:rFonts w:ascii="Garamond" w:hAnsi="Garamond"/>
          <w:lang w:val="en-AU"/>
        </w:rPr>
      </w:pPr>
      <w:r w:rsidRPr="001D2B34">
        <w:rPr>
          <w:rFonts w:ascii="Garamond" w:hAnsi="Garamond"/>
          <w:lang w:val="en-AU"/>
        </w:rPr>
        <w:t>Healthcare Policy. 2022;17(Special Issue):27-39.</w:t>
      </w:r>
    </w:p>
    <w:tbl>
      <w:tblPr>
        <w:tblStyle w:val="TableGrid"/>
        <w:tblW w:w="9360" w:type="dxa"/>
        <w:tblInd w:w="288" w:type="dxa"/>
        <w:tblLayout w:type="fixed"/>
        <w:tblLook w:val="01E0" w:firstRow="1" w:lastRow="1" w:firstColumn="1" w:lastColumn="1" w:noHBand="0" w:noVBand="0"/>
      </w:tblPr>
      <w:tblGrid>
        <w:gridCol w:w="1080"/>
        <w:gridCol w:w="8280"/>
      </w:tblGrid>
      <w:tr w:rsidR="00031154" w:rsidRPr="00E37911" w14:paraId="4FB04B04"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6293FCD5" w14:textId="77777777" w:rsidR="00031154" w:rsidRPr="00E37911" w:rsidRDefault="00031154" w:rsidP="0056630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CC88918" w14:textId="77777777" w:rsidR="001D2B34" w:rsidRDefault="00562290" w:rsidP="001D2B34">
            <w:pPr>
              <w:rPr>
                <w:rStyle w:val="Hyperlink"/>
                <w:rFonts w:ascii="Garamond" w:hAnsi="Garamond"/>
                <w:color w:val="auto"/>
                <w:u w:val="none"/>
                <w:lang w:val="en-AU"/>
              </w:rPr>
            </w:pPr>
            <w:hyperlink r:id="rId25" w:history="1">
              <w:r w:rsidR="001D2B34" w:rsidRPr="006E4C02">
                <w:rPr>
                  <w:rStyle w:val="Hyperlink"/>
                  <w:rFonts w:ascii="Garamond" w:hAnsi="Garamond"/>
                  <w:lang w:val="en-AU"/>
                </w:rPr>
                <w:t>https://doi.org/10.12927/hcpol.2022.26856</w:t>
              </w:r>
            </w:hyperlink>
          </w:p>
          <w:p w14:paraId="625771A9" w14:textId="227968E3" w:rsidR="001D2B34" w:rsidRPr="00E37911" w:rsidRDefault="00562290" w:rsidP="001D2B34">
            <w:pPr>
              <w:rPr>
                <w:rStyle w:val="Hyperlink"/>
                <w:rFonts w:ascii="Garamond" w:hAnsi="Garamond"/>
                <w:color w:val="auto"/>
                <w:u w:val="none"/>
                <w:lang w:val="en-AU"/>
              </w:rPr>
            </w:pPr>
            <w:hyperlink r:id="rId26" w:history="1">
              <w:r w:rsidR="001D2B34" w:rsidRPr="00DA6477">
                <w:rPr>
                  <w:rStyle w:val="Hyperlink"/>
                  <w:rFonts w:ascii="Garamond" w:hAnsi="Garamond"/>
                  <w:lang w:val="en-AU"/>
                </w:rPr>
                <w:t>https://www.longwoods.com/content/26856/healthcare-policy/exemplars-in-long-term-care-during-covid-19-the-importance-of-leadership</w:t>
              </w:r>
            </w:hyperlink>
          </w:p>
        </w:tc>
      </w:tr>
      <w:tr w:rsidR="00031154" w:rsidRPr="00E37911" w14:paraId="44576C31"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393AC480" w14:textId="77777777" w:rsidR="00031154" w:rsidRPr="00E37911" w:rsidRDefault="00031154" w:rsidP="0056630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91397E" w14:textId="2DB7BB0E" w:rsidR="00031154" w:rsidRPr="00031154" w:rsidRDefault="001D2B34" w:rsidP="00566302">
            <w:pPr>
              <w:rPr>
                <w:rFonts w:ascii="Garamond" w:hAnsi="Garamond"/>
                <w:lang w:val="en-AU"/>
              </w:rPr>
            </w:pPr>
            <w:r>
              <w:rPr>
                <w:rFonts w:ascii="Garamond" w:hAnsi="Garamond"/>
                <w:lang w:val="en-AU"/>
              </w:rPr>
              <w:t>This paper comes from a special issue of Healthcare Policy focussing on ‘</w:t>
            </w:r>
            <w:r w:rsidRPr="001D2B34">
              <w:rPr>
                <w:rFonts w:ascii="Garamond" w:hAnsi="Garamond"/>
                <w:lang w:val="en-AU"/>
              </w:rPr>
              <w:t>Long-Term Care during COVID 19</w:t>
            </w:r>
            <w:r>
              <w:rPr>
                <w:rFonts w:ascii="Garamond" w:hAnsi="Garamond"/>
                <w:lang w:val="en-AU"/>
              </w:rPr>
              <w:t xml:space="preserve">’. This piece examined those long term care (LTC) homes that </w:t>
            </w:r>
            <w:r w:rsidRPr="001D2B34">
              <w:rPr>
                <w:rFonts w:ascii="Garamond" w:hAnsi="Garamond"/>
                <w:lang w:val="en-AU"/>
              </w:rPr>
              <w:t xml:space="preserve"> provided exemplary care and remained free of COVID-19 in the first wave of the pandemic</w:t>
            </w:r>
            <w:r>
              <w:rPr>
                <w:rFonts w:ascii="Garamond" w:hAnsi="Garamond"/>
                <w:lang w:val="en-AU"/>
              </w:rPr>
              <w:t xml:space="preserve"> in Ontario, Canada. The authors conclude that ‘</w:t>
            </w:r>
            <w:r w:rsidRPr="001D2B34">
              <w:rPr>
                <w:rFonts w:ascii="Garamond" w:hAnsi="Garamond"/>
                <w:lang w:val="en-AU"/>
              </w:rPr>
              <w:t>Throughout the study, the role and involvement of leadership were evident. The homes that did well focused on empowering, educating and supporting employees and used agile and innovative strategies for staffing. They also prioritized resident-focused care, built on existing partnerships, established new links with both community and health services and enabled staff and families to participate more fully in meeting the needs of a vulnerable population. The decisions and approaches implemented by the exemplar homes in our study provide evidence for what works in practice and, more importantly, in a crisis.</w:t>
            </w:r>
            <w:r>
              <w:rPr>
                <w:rFonts w:ascii="Garamond" w:hAnsi="Garamond"/>
                <w:lang w:val="en-AU"/>
              </w:rPr>
              <w:t>’</w:t>
            </w:r>
          </w:p>
        </w:tc>
      </w:tr>
    </w:tbl>
    <w:p w14:paraId="68DE7056" w14:textId="77777777" w:rsidR="00031154" w:rsidRDefault="00031154" w:rsidP="00031154">
      <w:pPr>
        <w:keepNext/>
        <w:rPr>
          <w:rFonts w:ascii="Garamond" w:hAnsi="Garamond"/>
          <w:i/>
          <w:lang w:val="en-AU"/>
        </w:rPr>
      </w:pPr>
    </w:p>
    <w:p w14:paraId="14E3430F" w14:textId="77777777" w:rsidR="00AF20B6" w:rsidRPr="00AF20B6" w:rsidRDefault="00AF20B6" w:rsidP="00AF20B6">
      <w:pPr>
        <w:keepNext/>
        <w:keepLines/>
        <w:autoSpaceDE w:val="0"/>
        <w:autoSpaceDN w:val="0"/>
        <w:adjustRightInd w:val="0"/>
        <w:rPr>
          <w:rFonts w:ascii="Garamond" w:hAnsi="Garamond"/>
          <w:i/>
          <w:iCs/>
          <w:lang w:val="en-AU"/>
        </w:rPr>
      </w:pPr>
      <w:r w:rsidRPr="00AF20B6">
        <w:rPr>
          <w:rFonts w:ascii="Garamond" w:hAnsi="Garamond"/>
          <w:i/>
          <w:iCs/>
          <w:lang w:val="en-AU"/>
        </w:rPr>
        <w:t>Measuring Performance of the Diagnostic Process</w:t>
      </w:r>
    </w:p>
    <w:p w14:paraId="2215740D" w14:textId="77777777" w:rsidR="00AF20B6" w:rsidRDefault="00AF20B6" w:rsidP="00031154">
      <w:pPr>
        <w:keepNext/>
        <w:keepLines/>
        <w:autoSpaceDE w:val="0"/>
        <w:autoSpaceDN w:val="0"/>
        <w:adjustRightInd w:val="0"/>
        <w:rPr>
          <w:rFonts w:ascii="Garamond" w:hAnsi="Garamond"/>
          <w:lang w:val="en-AU"/>
        </w:rPr>
      </w:pPr>
      <w:r w:rsidRPr="00AF20B6">
        <w:rPr>
          <w:rFonts w:ascii="Garamond" w:hAnsi="Garamond"/>
          <w:lang w:val="en-AU"/>
        </w:rPr>
        <w:t>Burstin H, Cosby K</w:t>
      </w:r>
    </w:p>
    <w:p w14:paraId="73C7FEDE" w14:textId="2D84029F" w:rsidR="00031154" w:rsidRDefault="00AF20B6" w:rsidP="00031154">
      <w:pPr>
        <w:keepNext/>
        <w:keepLines/>
        <w:autoSpaceDE w:val="0"/>
        <w:autoSpaceDN w:val="0"/>
        <w:adjustRightInd w:val="0"/>
        <w:rPr>
          <w:rFonts w:ascii="Garamond" w:hAnsi="Garamond"/>
          <w:lang w:val="en-AU"/>
        </w:rPr>
      </w:pPr>
      <w:r w:rsidRPr="00AF20B6">
        <w:rPr>
          <w:rFonts w:ascii="Garamond" w:hAnsi="Garamond"/>
          <w:lang w:val="en-AU"/>
        </w:rPr>
        <w:t>JAMA. 2022;328(2):143-144.</w:t>
      </w:r>
    </w:p>
    <w:tbl>
      <w:tblPr>
        <w:tblStyle w:val="TableGrid"/>
        <w:tblW w:w="9360" w:type="dxa"/>
        <w:tblInd w:w="288" w:type="dxa"/>
        <w:tblLayout w:type="fixed"/>
        <w:tblLook w:val="01E0" w:firstRow="1" w:lastRow="1" w:firstColumn="1" w:lastColumn="1" w:noHBand="0" w:noVBand="0"/>
      </w:tblPr>
      <w:tblGrid>
        <w:gridCol w:w="1080"/>
        <w:gridCol w:w="8280"/>
      </w:tblGrid>
      <w:tr w:rsidR="00031154" w:rsidRPr="00E37911" w14:paraId="6C2D5605"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5A897379" w14:textId="77777777" w:rsidR="00031154" w:rsidRPr="00E37911" w:rsidRDefault="00031154" w:rsidP="0056630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61FC74A" w14:textId="6BC33142" w:rsidR="00031154" w:rsidRPr="00E37911" w:rsidRDefault="00562290" w:rsidP="00566302">
            <w:pPr>
              <w:rPr>
                <w:rStyle w:val="Hyperlink"/>
                <w:rFonts w:ascii="Garamond" w:hAnsi="Garamond"/>
                <w:color w:val="auto"/>
                <w:u w:val="none"/>
                <w:lang w:val="en-AU"/>
              </w:rPr>
            </w:pPr>
            <w:hyperlink r:id="rId27" w:history="1">
              <w:r w:rsidR="00AF20B6" w:rsidRPr="00FD1D49">
                <w:rPr>
                  <w:rStyle w:val="Hyperlink"/>
                  <w:rFonts w:ascii="Garamond" w:hAnsi="Garamond"/>
                  <w:lang w:val="en-AU"/>
                </w:rPr>
                <w:t>https://doi.org/10.1001/jama.2022.10166</w:t>
              </w:r>
            </w:hyperlink>
          </w:p>
        </w:tc>
      </w:tr>
      <w:tr w:rsidR="00031154" w:rsidRPr="00E37911" w14:paraId="34D7C542"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2249EC7D" w14:textId="77777777" w:rsidR="00031154" w:rsidRPr="00E37911" w:rsidRDefault="00031154" w:rsidP="0056630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C95414" w14:textId="77777777" w:rsidR="00031154" w:rsidRDefault="00AF20B6" w:rsidP="00566302">
            <w:pPr>
              <w:rPr>
                <w:rFonts w:ascii="Garamond" w:hAnsi="Garamond"/>
                <w:lang w:val="en-AU"/>
              </w:rPr>
            </w:pPr>
            <w:r>
              <w:rPr>
                <w:rFonts w:ascii="Garamond" w:hAnsi="Garamond"/>
                <w:lang w:val="en-AU"/>
              </w:rPr>
              <w:t xml:space="preserve">The latest in </w:t>
            </w:r>
            <w:r w:rsidRPr="00AF20B6">
              <w:rPr>
                <w:rFonts w:ascii="Garamond" w:hAnsi="Garamond"/>
                <w:i/>
                <w:iCs/>
                <w:lang w:val="en-AU"/>
              </w:rPr>
              <w:t>JAMA</w:t>
            </w:r>
            <w:r>
              <w:rPr>
                <w:rFonts w:ascii="Garamond" w:hAnsi="Garamond"/>
                <w:lang w:val="en-AU"/>
              </w:rPr>
              <w:t>’s articles on diagnostic excellence focuses on the issue of measurement and the difficulties in measuring diagnostic performance. The key points identified include:</w:t>
            </w:r>
          </w:p>
          <w:p w14:paraId="24399F48" w14:textId="67826A78" w:rsidR="00AF20B6" w:rsidRPr="00AF20B6" w:rsidRDefault="00AF20B6" w:rsidP="00AF20B6">
            <w:pPr>
              <w:pStyle w:val="ListParagraph"/>
              <w:numPr>
                <w:ilvl w:val="0"/>
                <w:numId w:val="33"/>
              </w:numPr>
              <w:rPr>
                <w:rFonts w:ascii="Garamond" w:hAnsi="Garamond"/>
                <w:lang w:val="en-AU"/>
              </w:rPr>
            </w:pPr>
            <w:r>
              <w:rPr>
                <w:rFonts w:ascii="Garamond" w:hAnsi="Garamond"/>
                <w:lang w:val="en-AU"/>
              </w:rPr>
              <w:t>‘</w:t>
            </w:r>
            <w:r w:rsidRPr="00AF20B6">
              <w:rPr>
                <w:rFonts w:ascii="Garamond" w:hAnsi="Garamond"/>
                <w:lang w:val="en-AU"/>
              </w:rPr>
              <w:t>Measurement is necessary to assess diagnostic safety, quality, and equity and can be a valuable guide to identify improvement strategies that work for patients and clinicians.</w:t>
            </w:r>
          </w:p>
          <w:p w14:paraId="0ED34D63" w14:textId="77777777" w:rsidR="00AF20B6" w:rsidRPr="00AF20B6" w:rsidRDefault="00AF20B6" w:rsidP="00AF20B6">
            <w:pPr>
              <w:pStyle w:val="ListParagraph"/>
              <w:numPr>
                <w:ilvl w:val="0"/>
                <w:numId w:val="33"/>
              </w:numPr>
              <w:rPr>
                <w:rFonts w:ascii="Garamond" w:hAnsi="Garamond"/>
                <w:lang w:val="en-AU"/>
              </w:rPr>
            </w:pPr>
            <w:r w:rsidRPr="00AF20B6">
              <w:rPr>
                <w:rFonts w:ascii="Garamond" w:hAnsi="Garamond"/>
                <w:lang w:val="en-AU"/>
              </w:rPr>
              <w:t>Diagnostic measurement has been limited by the lack of shared definitions for diagnostic performance or standards for excellence and inadequate data infrastructure designed for that purpose.</w:t>
            </w:r>
          </w:p>
          <w:p w14:paraId="2376C0BB" w14:textId="77777777" w:rsidR="00AF20B6" w:rsidRPr="00AF20B6" w:rsidRDefault="00AF20B6" w:rsidP="00AF20B6">
            <w:pPr>
              <w:pStyle w:val="ListParagraph"/>
              <w:numPr>
                <w:ilvl w:val="0"/>
                <w:numId w:val="33"/>
              </w:numPr>
              <w:rPr>
                <w:rFonts w:ascii="Garamond" w:hAnsi="Garamond"/>
                <w:lang w:val="en-AU"/>
              </w:rPr>
            </w:pPr>
            <w:r w:rsidRPr="00AF20B6">
              <w:rPr>
                <w:rFonts w:ascii="Garamond" w:hAnsi="Garamond"/>
                <w:lang w:val="en-AU"/>
              </w:rPr>
              <w:t>An evolving model for diagnostic measurement should consider new and novel data sources and measurement approaches.</w:t>
            </w:r>
          </w:p>
          <w:p w14:paraId="090235D4" w14:textId="3C94A71E" w:rsidR="00AF20B6" w:rsidRPr="00AF20B6" w:rsidRDefault="00AF20B6" w:rsidP="00AF20B6">
            <w:pPr>
              <w:pStyle w:val="ListParagraph"/>
              <w:numPr>
                <w:ilvl w:val="0"/>
                <w:numId w:val="33"/>
              </w:numPr>
              <w:rPr>
                <w:rFonts w:ascii="Garamond" w:hAnsi="Garamond"/>
                <w:lang w:val="en-AU"/>
              </w:rPr>
            </w:pPr>
            <w:r w:rsidRPr="00AF20B6">
              <w:rPr>
                <w:rFonts w:ascii="Garamond" w:hAnsi="Garamond"/>
                <w:lang w:val="en-AU"/>
              </w:rPr>
              <w:t>Diagnostic measurement should drive toward real-time monitoring, feedback, and diagnostic support while minimizing measurement burden and avoiding unintended consequences.</w:t>
            </w:r>
            <w:r>
              <w:rPr>
                <w:rFonts w:ascii="Garamond" w:hAnsi="Garamond"/>
                <w:lang w:val="en-AU"/>
              </w:rPr>
              <w:t>’</w:t>
            </w:r>
          </w:p>
        </w:tc>
      </w:tr>
    </w:tbl>
    <w:p w14:paraId="54B73424" w14:textId="77777777" w:rsidR="00031154" w:rsidRDefault="00031154" w:rsidP="00031154">
      <w:pPr>
        <w:keepNext/>
        <w:rPr>
          <w:rFonts w:ascii="Garamond" w:hAnsi="Garamond"/>
          <w:i/>
          <w:lang w:val="en-AU"/>
        </w:rPr>
      </w:pPr>
    </w:p>
    <w:p w14:paraId="218DF76A" w14:textId="77777777" w:rsidR="006E4C02" w:rsidRDefault="006E4C02" w:rsidP="00204D9A">
      <w:pPr>
        <w:keepNext/>
        <w:rPr>
          <w:rFonts w:ascii="Garamond" w:hAnsi="Garamond"/>
          <w:i/>
          <w:lang w:val="en-AU"/>
        </w:rPr>
      </w:pPr>
    </w:p>
    <w:p w14:paraId="30FB7196" w14:textId="47BFBBA1" w:rsidR="00EE17BC" w:rsidRPr="00EE17BC" w:rsidRDefault="00EE17BC" w:rsidP="00204D9A">
      <w:pPr>
        <w:keepNext/>
        <w:rPr>
          <w:rFonts w:ascii="Garamond" w:hAnsi="Garamond"/>
          <w:i/>
          <w:lang w:val="en-AU"/>
        </w:rPr>
      </w:pPr>
      <w:r w:rsidRPr="00EE17BC">
        <w:rPr>
          <w:rFonts w:ascii="Garamond" w:hAnsi="Garamond"/>
          <w:i/>
          <w:lang w:val="en-AU"/>
        </w:rPr>
        <w:t>Healthcare Policy</w:t>
      </w:r>
    </w:p>
    <w:p w14:paraId="7B44D360" w14:textId="32935112" w:rsidR="00AA76B4" w:rsidRPr="008C1C03" w:rsidRDefault="00EE17BC" w:rsidP="00204D9A">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17, Special Issue </w:t>
      </w:r>
      <w:r w:rsidR="00B15E4A">
        <w:rPr>
          <w:rFonts w:ascii="Garamond" w:hAnsi="Garamond"/>
          <w:iCs/>
          <w:lang w:val="en-AU"/>
        </w:rPr>
        <w:t xml:space="preserve">June </w:t>
      </w:r>
      <w:r>
        <w:rPr>
          <w:rFonts w:ascii="Garamond" w:hAnsi="Garamond"/>
          <w:iCs/>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AA76B4" w:rsidRPr="000170DA" w14:paraId="5097EBF1" w14:textId="77777777" w:rsidTr="008F5912">
        <w:tc>
          <w:tcPr>
            <w:tcW w:w="1080" w:type="dxa"/>
            <w:tcBorders>
              <w:top w:val="single" w:sz="4" w:space="0" w:color="auto"/>
              <w:left w:val="single" w:sz="4" w:space="0" w:color="auto"/>
              <w:bottom w:val="single" w:sz="4" w:space="0" w:color="auto"/>
              <w:right w:val="single" w:sz="4" w:space="0" w:color="auto"/>
            </w:tcBorders>
            <w:vAlign w:val="center"/>
          </w:tcPr>
          <w:p w14:paraId="1A6DFE17" w14:textId="77777777" w:rsidR="00AA76B4" w:rsidRPr="000170DA" w:rsidRDefault="00AA76B4" w:rsidP="008F591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8B987B5" w14:textId="2112B227" w:rsidR="00AA76B4" w:rsidRPr="000170DA" w:rsidRDefault="00562290" w:rsidP="008F5912">
            <w:pPr>
              <w:keepNext/>
              <w:rPr>
                <w:rStyle w:val="Hyperlink"/>
                <w:rFonts w:ascii="Garamond" w:hAnsi="Garamond"/>
                <w:color w:val="auto"/>
                <w:u w:val="none"/>
                <w:lang w:val="en-AU"/>
              </w:rPr>
            </w:pPr>
            <w:hyperlink r:id="rId28" w:history="1">
              <w:r w:rsidR="00B15E4A" w:rsidRPr="00DA6477">
                <w:rPr>
                  <w:rStyle w:val="Hyperlink"/>
                  <w:rFonts w:ascii="Garamond" w:hAnsi="Garamond"/>
                  <w:lang w:val="en-AU"/>
                </w:rPr>
                <w:t>https://www.longwoods.com/publications/healthcare-policy/26848/1/vol.-17-special-issue-long-term-care-in-crisis-the-reality-of-covid-19</w:t>
              </w:r>
            </w:hyperlink>
          </w:p>
        </w:tc>
      </w:tr>
      <w:tr w:rsidR="00AA76B4" w:rsidRPr="000170DA" w14:paraId="4E52BC91" w14:textId="77777777" w:rsidTr="008F5912">
        <w:tc>
          <w:tcPr>
            <w:tcW w:w="1080" w:type="dxa"/>
            <w:tcBorders>
              <w:top w:val="single" w:sz="4" w:space="0" w:color="auto"/>
              <w:left w:val="single" w:sz="4" w:space="0" w:color="auto"/>
              <w:bottom w:val="single" w:sz="4" w:space="0" w:color="auto"/>
              <w:right w:val="single" w:sz="4" w:space="0" w:color="auto"/>
            </w:tcBorders>
            <w:vAlign w:val="center"/>
          </w:tcPr>
          <w:p w14:paraId="6F435770" w14:textId="77777777" w:rsidR="00AA76B4" w:rsidRPr="000170DA" w:rsidRDefault="00AA76B4" w:rsidP="008F5912">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57E4A31" w14:textId="6DEED45E" w:rsidR="00AA76B4" w:rsidRPr="007C3778" w:rsidRDefault="00AA76B4" w:rsidP="008F5912">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EE17BC" w:rsidRPr="00EE17BC">
              <w:rPr>
                <w:rFonts w:ascii="Garamond" w:hAnsi="Garamond"/>
                <w:i/>
                <w:lang w:val="en-AU"/>
              </w:rPr>
              <w:t>Healthcare Policy</w:t>
            </w:r>
            <w:r w:rsidR="00EE17BC">
              <w:rPr>
                <w:rFonts w:ascii="Garamond" w:hAnsi="Garamond"/>
                <w:lang w:val="en-AU"/>
              </w:rPr>
              <w:t xml:space="preserve"> </w:t>
            </w:r>
            <w:r w:rsidRPr="00B440ED">
              <w:rPr>
                <w:rFonts w:ascii="Garamond" w:hAnsi="Garamond"/>
                <w:lang w:val="en-AU"/>
              </w:rPr>
              <w:t xml:space="preserve">has been published. </w:t>
            </w:r>
            <w:r w:rsidR="00B15E4A">
              <w:rPr>
                <w:rFonts w:ascii="Garamond" w:hAnsi="Garamond"/>
                <w:lang w:val="en-AU"/>
              </w:rPr>
              <w:t>This is a special issue with a theme of “</w:t>
            </w:r>
            <w:r w:rsidR="00B15E4A" w:rsidRPr="00B15E4A">
              <w:rPr>
                <w:rFonts w:ascii="Garamond" w:hAnsi="Garamond"/>
                <w:b/>
                <w:bCs/>
                <w:lang w:val="en-AU"/>
              </w:rPr>
              <w:t>Long-Term Care in Crisis: The Reality of COVID-19</w:t>
            </w:r>
            <w:r w:rsidR="00B15E4A">
              <w:rPr>
                <w:rFonts w:ascii="Garamond" w:hAnsi="Garamond"/>
                <w:lang w:val="en-AU"/>
              </w:rPr>
              <w:t xml:space="preserve">”. </w:t>
            </w:r>
            <w:r w:rsidRPr="00B440ED">
              <w:rPr>
                <w:rFonts w:ascii="Garamond" w:hAnsi="Garamond"/>
                <w:lang w:val="en-AU"/>
              </w:rPr>
              <w:t xml:space="preserve">Articles in this </w:t>
            </w:r>
            <w:r w:rsidR="00EE17BC">
              <w:rPr>
                <w:rFonts w:ascii="Garamond" w:hAnsi="Garamond"/>
                <w:lang w:val="en-AU"/>
              </w:rPr>
              <w:t xml:space="preserve">special </w:t>
            </w:r>
            <w:r w:rsidRPr="00B440ED">
              <w:rPr>
                <w:rFonts w:ascii="Garamond" w:hAnsi="Garamond"/>
                <w:lang w:val="en-AU"/>
              </w:rPr>
              <w:t xml:space="preserve">issue of </w:t>
            </w:r>
            <w:r w:rsidR="00B15E4A" w:rsidRPr="00EE17BC">
              <w:rPr>
                <w:rFonts w:ascii="Garamond" w:hAnsi="Garamond"/>
                <w:i/>
                <w:lang w:val="en-AU"/>
              </w:rPr>
              <w:t>Healthcare Policy</w:t>
            </w:r>
            <w:r w:rsidR="00B15E4A" w:rsidRPr="00B440ED">
              <w:rPr>
                <w:rFonts w:ascii="Garamond" w:hAnsi="Garamond"/>
                <w:lang w:val="en-AU"/>
              </w:rPr>
              <w:t xml:space="preserve"> </w:t>
            </w:r>
            <w:r w:rsidRPr="00B440ED">
              <w:rPr>
                <w:rFonts w:ascii="Garamond" w:hAnsi="Garamond"/>
                <w:lang w:val="en-AU"/>
              </w:rPr>
              <w:t>include:</w:t>
            </w:r>
          </w:p>
          <w:p w14:paraId="21D91EDA" w14:textId="10D5D4A5" w:rsidR="00B15E4A" w:rsidRPr="00B15E4A" w:rsidRDefault="00B15E4A" w:rsidP="008D068E">
            <w:pPr>
              <w:pStyle w:val="ListParagraph"/>
              <w:numPr>
                <w:ilvl w:val="0"/>
                <w:numId w:val="19"/>
              </w:numPr>
              <w:rPr>
                <w:rFonts w:ascii="Garamond" w:hAnsi="Garamond"/>
                <w:lang w:val="en-AU"/>
              </w:rPr>
            </w:pPr>
            <w:r w:rsidRPr="00B15E4A">
              <w:rPr>
                <w:rFonts w:ascii="Garamond" w:hAnsi="Garamond"/>
                <w:lang w:val="en-AU"/>
              </w:rPr>
              <w:t xml:space="preserve">Editorial: </w:t>
            </w:r>
            <w:r w:rsidRPr="00B15E4A">
              <w:rPr>
                <w:rFonts w:ascii="Garamond" w:hAnsi="Garamond"/>
                <w:b/>
                <w:bCs/>
                <w:lang w:val="en-AU"/>
              </w:rPr>
              <w:t>Long-Term Care during COVID-19</w:t>
            </w:r>
            <w:r w:rsidRPr="00B15E4A">
              <w:rPr>
                <w:rFonts w:ascii="Garamond" w:hAnsi="Garamond"/>
                <w:lang w:val="en-AU"/>
              </w:rPr>
              <w:t>: A Special Look under the Hood (Jason M Sutherland</w:t>
            </w:r>
            <w:r>
              <w:rPr>
                <w:rFonts w:ascii="Garamond" w:hAnsi="Garamond"/>
                <w:lang w:val="en-AU"/>
              </w:rPr>
              <w:t>)</w:t>
            </w:r>
          </w:p>
          <w:p w14:paraId="3E89CB7F" w14:textId="2D7F2FD9" w:rsidR="00B15E4A" w:rsidRPr="00B15E4A" w:rsidRDefault="00B15E4A" w:rsidP="001B0A9B">
            <w:pPr>
              <w:pStyle w:val="ListParagraph"/>
              <w:numPr>
                <w:ilvl w:val="0"/>
                <w:numId w:val="19"/>
              </w:numPr>
              <w:rPr>
                <w:rFonts w:ascii="Garamond" w:hAnsi="Garamond"/>
                <w:lang w:val="en-AU"/>
              </w:rPr>
            </w:pPr>
            <w:r w:rsidRPr="00B15E4A">
              <w:rPr>
                <w:rFonts w:ascii="Garamond" w:hAnsi="Garamond"/>
                <w:lang w:val="en-AU"/>
              </w:rPr>
              <w:t xml:space="preserve">Introduction – </w:t>
            </w:r>
            <w:r w:rsidRPr="00B15E4A">
              <w:rPr>
                <w:rFonts w:ascii="Garamond" w:hAnsi="Garamond"/>
                <w:b/>
                <w:bCs/>
                <w:lang w:val="en-AU"/>
              </w:rPr>
              <w:t>COVID-19 and Long-Term Care</w:t>
            </w:r>
            <w:r w:rsidRPr="00B15E4A">
              <w:rPr>
                <w:rFonts w:ascii="Garamond" w:hAnsi="Garamond"/>
                <w:lang w:val="en-AU"/>
              </w:rPr>
              <w:t>: What Have We Learned? (Raisa Deber, Mary Crea-Arsenio, Mélanie Lavoie-Tremblay and A Baumann</w:t>
            </w:r>
            <w:r>
              <w:rPr>
                <w:rFonts w:ascii="Garamond" w:hAnsi="Garamond"/>
                <w:lang w:val="en-AU"/>
              </w:rPr>
              <w:t>)</w:t>
            </w:r>
          </w:p>
          <w:p w14:paraId="1D260815" w14:textId="20E54B5C" w:rsidR="00B15E4A" w:rsidRPr="00B15E4A" w:rsidRDefault="00B15E4A" w:rsidP="00020C7D">
            <w:pPr>
              <w:pStyle w:val="ListParagraph"/>
              <w:numPr>
                <w:ilvl w:val="0"/>
                <w:numId w:val="19"/>
              </w:numPr>
              <w:rPr>
                <w:rFonts w:ascii="Garamond" w:hAnsi="Garamond"/>
                <w:lang w:val="en-AU"/>
              </w:rPr>
            </w:pPr>
            <w:r w:rsidRPr="00B15E4A">
              <w:rPr>
                <w:rFonts w:ascii="Garamond" w:hAnsi="Garamond"/>
                <w:lang w:val="en-AU"/>
              </w:rPr>
              <w:lastRenderedPageBreak/>
              <w:t xml:space="preserve">Perspectives from the Netherlands: Responses from, </w:t>
            </w:r>
            <w:r w:rsidRPr="00B15E4A">
              <w:rPr>
                <w:rFonts w:ascii="Garamond" w:hAnsi="Garamond"/>
                <w:b/>
                <w:bCs/>
                <w:lang w:val="en-AU"/>
              </w:rPr>
              <w:t>Strategies of and Challenges for Long-Term Care Health Personnel</w:t>
            </w:r>
            <w:r w:rsidRPr="00B15E4A">
              <w:rPr>
                <w:rFonts w:ascii="Garamond" w:hAnsi="Garamond"/>
                <w:lang w:val="en-AU"/>
              </w:rPr>
              <w:t xml:space="preserve"> (Agnes Meershoek, Laura Broek and Mary Crea-Arsenio</w:t>
            </w:r>
            <w:r>
              <w:rPr>
                <w:rFonts w:ascii="Garamond" w:hAnsi="Garamond"/>
                <w:lang w:val="en-AU"/>
              </w:rPr>
              <w:t>)</w:t>
            </w:r>
          </w:p>
          <w:p w14:paraId="25F5BA5D" w14:textId="17AA6C20" w:rsidR="00B15E4A" w:rsidRPr="00B15E4A" w:rsidRDefault="00B15E4A" w:rsidP="005560A5">
            <w:pPr>
              <w:pStyle w:val="ListParagraph"/>
              <w:numPr>
                <w:ilvl w:val="0"/>
                <w:numId w:val="19"/>
              </w:numPr>
              <w:rPr>
                <w:rFonts w:ascii="Garamond" w:hAnsi="Garamond"/>
                <w:lang w:val="en-AU"/>
              </w:rPr>
            </w:pPr>
            <w:r w:rsidRPr="00B15E4A">
              <w:rPr>
                <w:rFonts w:ascii="Garamond" w:hAnsi="Garamond"/>
                <w:b/>
                <w:bCs/>
                <w:lang w:val="en-AU"/>
              </w:rPr>
              <w:t>Exemplars in Long-Term Care</w:t>
            </w:r>
            <w:r w:rsidRPr="00B15E4A">
              <w:rPr>
                <w:rFonts w:ascii="Garamond" w:hAnsi="Garamond"/>
                <w:lang w:val="en-AU"/>
              </w:rPr>
              <w:t xml:space="preserve"> during COVID-19: The Importance of Leadership (Andrea Baumann, Mary Crea-Arsenio, Mélanie Lavoie-Tremblay, Agnes Meershoek, Pat Norman and Raisa D</w:t>
            </w:r>
            <w:r>
              <w:rPr>
                <w:rFonts w:ascii="Garamond" w:hAnsi="Garamond"/>
                <w:lang w:val="en-AU"/>
              </w:rPr>
              <w:t>eber)</w:t>
            </w:r>
          </w:p>
          <w:p w14:paraId="769BC43B" w14:textId="6D5E3244" w:rsidR="00B15E4A" w:rsidRPr="00B15E4A" w:rsidRDefault="00B15E4A" w:rsidP="00F973F4">
            <w:pPr>
              <w:pStyle w:val="ListParagraph"/>
              <w:numPr>
                <w:ilvl w:val="0"/>
                <w:numId w:val="19"/>
              </w:numPr>
              <w:rPr>
                <w:rFonts w:ascii="Garamond" w:hAnsi="Garamond"/>
                <w:lang w:val="en-AU"/>
              </w:rPr>
            </w:pPr>
            <w:r w:rsidRPr="00B15E4A">
              <w:rPr>
                <w:rFonts w:ascii="Garamond" w:hAnsi="Garamond"/>
                <w:b/>
                <w:bCs/>
                <w:lang w:val="en-AU"/>
              </w:rPr>
              <w:t>Lessons from Long-Term Care Facilities</w:t>
            </w:r>
            <w:r w:rsidRPr="00B15E4A">
              <w:rPr>
                <w:rFonts w:ascii="Garamond" w:hAnsi="Garamond"/>
                <w:lang w:val="en-AU"/>
              </w:rPr>
              <w:t xml:space="preserve"> without COVID-19 Outbreaks (Mélanie Lavoie-Tremblay, Guylaine Cyr, Thalia Aubé and Geneviève Lavigne</w:t>
            </w:r>
            <w:r>
              <w:rPr>
                <w:rFonts w:ascii="Garamond" w:hAnsi="Garamond"/>
                <w:lang w:val="en-AU"/>
              </w:rPr>
              <w:t>)</w:t>
            </w:r>
          </w:p>
          <w:p w14:paraId="2255B60E" w14:textId="403B772F" w:rsidR="00B15E4A" w:rsidRPr="00B15E4A" w:rsidRDefault="00B15E4A" w:rsidP="00982411">
            <w:pPr>
              <w:pStyle w:val="ListParagraph"/>
              <w:numPr>
                <w:ilvl w:val="0"/>
                <w:numId w:val="19"/>
              </w:numPr>
              <w:rPr>
                <w:rFonts w:ascii="Garamond" w:hAnsi="Garamond"/>
                <w:lang w:val="en-AU"/>
              </w:rPr>
            </w:pPr>
            <w:r w:rsidRPr="00B15E4A">
              <w:rPr>
                <w:rFonts w:ascii="Garamond" w:hAnsi="Garamond"/>
                <w:b/>
                <w:bCs/>
                <w:lang w:val="en-AU"/>
              </w:rPr>
              <w:t>COVID-19 Issues in Long-Term Care</w:t>
            </w:r>
            <w:r w:rsidRPr="00B15E4A">
              <w:rPr>
                <w:rFonts w:ascii="Garamond" w:hAnsi="Garamond"/>
                <w:lang w:val="en-AU"/>
              </w:rPr>
              <w:t xml:space="preserve"> in Ontario: A Document Analysis (David Oldenburger, A Baumann, M Crea-Arsenio, R Deber and V</w:t>
            </w:r>
            <w:r>
              <w:rPr>
                <w:rFonts w:ascii="Garamond" w:hAnsi="Garamond"/>
                <w:lang w:val="en-AU"/>
              </w:rPr>
              <w:t xml:space="preserve"> </w:t>
            </w:r>
            <w:r w:rsidRPr="00B15E4A">
              <w:rPr>
                <w:rFonts w:ascii="Garamond" w:hAnsi="Garamond"/>
                <w:lang w:val="en-AU"/>
              </w:rPr>
              <w:t>Baba</w:t>
            </w:r>
            <w:r>
              <w:rPr>
                <w:rFonts w:ascii="Garamond" w:hAnsi="Garamond"/>
                <w:lang w:val="en-AU"/>
              </w:rPr>
              <w:t>)</w:t>
            </w:r>
          </w:p>
          <w:p w14:paraId="08B3C78D" w14:textId="35DB1261" w:rsidR="00B15E4A" w:rsidRPr="00B15E4A" w:rsidRDefault="00B15E4A" w:rsidP="006B1DF5">
            <w:pPr>
              <w:pStyle w:val="ListParagraph"/>
              <w:numPr>
                <w:ilvl w:val="0"/>
                <w:numId w:val="19"/>
              </w:numPr>
              <w:rPr>
                <w:rFonts w:ascii="Garamond" w:hAnsi="Garamond"/>
                <w:lang w:val="en-AU"/>
              </w:rPr>
            </w:pPr>
            <w:r w:rsidRPr="00B15E4A">
              <w:rPr>
                <w:rFonts w:ascii="Garamond" w:hAnsi="Garamond"/>
                <w:lang w:val="en-AU"/>
              </w:rPr>
              <w:t xml:space="preserve">What is Old is New Again: </w:t>
            </w:r>
            <w:r w:rsidRPr="00B15E4A">
              <w:rPr>
                <w:rFonts w:ascii="Garamond" w:hAnsi="Garamond"/>
                <w:b/>
                <w:bCs/>
                <w:lang w:val="en-AU"/>
              </w:rPr>
              <w:t>Global Issues Influencing Workers and Their Work in Long-Term Care</w:t>
            </w:r>
            <w:r w:rsidRPr="00B15E4A">
              <w:rPr>
                <w:rFonts w:ascii="Garamond" w:hAnsi="Garamond"/>
                <w:lang w:val="en-AU"/>
              </w:rPr>
              <w:t xml:space="preserve"> (Whitney B. Berta, Cal Stewart and A Baumann</w:t>
            </w:r>
            <w:r>
              <w:rPr>
                <w:rFonts w:ascii="Garamond" w:hAnsi="Garamond"/>
                <w:lang w:val="en-AU"/>
              </w:rPr>
              <w:t>)</w:t>
            </w:r>
          </w:p>
          <w:p w14:paraId="41931940" w14:textId="4C4C1CB8" w:rsidR="00B15E4A" w:rsidRPr="00B15E4A" w:rsidRDefault="00B15E4A" w:rsidP="0031336B">
            <w:pPr>
              <w:pStyle w:val="ListParagraph"/>
              <w:numPr>
                <w:ilvl w:val="0"/>
                <w:numId w:val="19"/>
              </w:numPr>
              <w:rPr>
                <w:rFonts w:ascii="Garamond" w:hAnsi="Garamond"/>
                <w:lang w:val="en-AU"/>
              </w:rPr>
            </w:pPr>
            <w:r w:rsidRPr="00B15E4A">
              <w:rPr>
                <w:rFonts w:ascii="Garamond" w:hAnsi="Garamond"/>
                <w:b/>
                <w:bCs/>
                <w:lang w:val="en-AU"/>
              </w:rPr>
              <w:t>Forecasting Staffing Needs</w:t>
            </w:r>
            <w:r w:rsidRPr="00B15E4A">
              <w:rPr>
                <w:rFonts w:ascii="Garamond" w:hAnsi="Garamond"/>
                <w:lang w:val="en-AU"/>
              </w:rPr>
              <w:t xml:space="preserve"> for Ontario’s Long-Term Care Sector (Adrian Rohit Dass, Raisa Deber and Audrey Laporte</w:t>
            </w:r>
            <w:r>
              <w:rPr>
                <w:rFonts w:ascii="Garamond" w:hAnsi="Garamond"/>
                <w:lang w:val="en-AU"/>
              </w:rPr>
              <w:t>)</w:t>
            </w:r>
          </w:p>
          <w:p w14:paraId="142EDBB6" w14:textId="3185A528" w:rsidR="00B15E4A" w:rsidRPr="00B15E4A" w:rsidRDefault="00B15E4A" w:rsidP="00857AA4">
            <w:pPr>
              <w:pStyle w:val="ListParagraph"/>
              <w:numPr>
                <w:ilvl w:val="0"/>
                <w:numId w:val="19"/>
              </w:numPr>
              <w:rPr>
                <w:rFonts w:ascii="Garamond" w:hAnsi="Garamond"/>
                <w:lang w:val="en-AU"/>
              </w:rPr>
            </w:pPr>
            <w:r w:rsidRPr="00B15E4A">
              <w:rPr>
                <w:rFonts w:ascii="Garamond" w:hAnsi="Garamond"/>
                <w:lang w:val="en-AU"/>
              </w:rPr>
              <w:t xml:space="preserve">Frequency of </w:t>
            </w:r>
            <w:r w:rsidRPr="00B15E4A">
              <w:rPr>
                <w:rFonts w:ascii="Garamond" w:hAnsi="Garamond"/>
                <w:b/>
                <w:bCs/>
                <w:lang w:val="en-AU"/>
              </w:rPr>
              <w:t>Neglect and Its Effect on Mortality in Long-Term Care</w:t>
            </w:r>
            <w:r w:rsidRPr="00B15E4A">
              <w:rPr>
                <w:rFonts w:ascii="Garamond" w:hAnsi="Garamond"/>
                <w:lang w:val="en-AU"/>
              </w:rPr>
              <w:t xml:space="preserve"> before and during the COVID-19 Pandemic (Noori Akhtar-Danesh, Andrea Baumann, Mary Crea-Arsenio and Valentina Antonipillai</w:t>
            </w:r>
            <w:r>
              <w:rPr>
                <w:rFonts w:ascii="Garamond" w:hAnsi="Garamond"/>
                <w:lang w:val="en-AU"/>
              </w:rPr>
              <w:t>)</w:t>
            </w:r>
          </w:p>
          <w:p w14:paraId="241DA69B" w14:textId="4529A14C" w:rsidR="00B15E4A" w:rsidRPr="00B15E4A" w:rsidRDefault="00B15E4A" w:rsidP="00B6584D">
            <w:pPr>
              <w:pStyle w:val="ListParagraph"/>
              <w:numPr>
                <w:ilvl w:val="0"/>
                <w:numId w:val="19"/>
              </w:numPr>
              <w:rPr>
                <w:rFonts w:ascii="Garamond" w:hAnsi="Garamond"/>
                <w:lang w:val="en-AU"/>
              </w:rPr>
            </w:pPr>
            <w:r w:rsidRPr="00B15E4A">
              <w:rPr>
                <w:rFonts w:ascii="Garamond" w:hAnsi="Garamond"/>
                <w:b/>
                <w:bCs/>
                <w:lang w:val="en-AU"/>
              </w:rPr>
              <w:t>Inspection Reports</w:t>
            </w:r>
            <w:r w:rsidRPr="00B15E4A">
              <w:rPr>
                <w:rFonts w:ascii="Garamond" w:hAnsi="Garamond"/>
                <w:lang w:val="en-AU"/>
              </w:rPr>
              <w:t>: The Canary in the Coal Mine (Mary Crea-Arsenio, Andrea Baumann and Victoria Smith)</w:t>
            </w:r>
          </w:p>
          <w:p w14:paraId="6917BA4B" w14:textId="7041F538" w:rsidR="00AA76B4" w:rsidRPr="00292B57" w:rsidRDefault="00B15E4A" w:rsidP="00B15E4A">
            <w:pPr>
              <w:pStyle w:val="ListParagraph"/>
              <w:numPr>
                <w:ilvl w:val="0"/>
                <w:numId w:val="19"/>
              </w:numPr>
              <w:rPr>
                <w:rFonts w:ascii="Garamond" w:hAnsi="Garamond"/>
                <w:lang w:val="en-AU"/>
              </w:rPr>
            </w:pPr>
            <w:r w:rsidRPr="00B15E4A">
              <w:rPr>
                <w:rFonts w:ascii="Garamond" w:hAnsi="Garamond"/>
                <w:lang w:val="en-AU"/>
              </w:rPr>
              <w:t xml:space="preserve">Rights versus Risks: The </w:t>
            </w:r>
            <w:r w:rsidRPr="00B15E4A">
              <w:rPr>
                <w:rFonts w:ascii="Garamond" w:hAnsi="Garamond"/>
                <w:b/>
                <w:bCs/>
                <w:lang w:val="en-AU"/>
              </w:rPr>
              <w:t>Impact of Isolation on Residents and Families in Long-Term Care</w:t>
            </w:r>
            <w:r w:rsidRPr="00B15E4A">
              <w:rPr>
                <w:rFonts w:ascii="Garamond" w:hAnsi="Garamond"/>
                <w:lang w:val="en-AU"/>
              </w:rPr>
              <w:t xml:space="preserve"> </w:t>
            </w:r>
            <w:r>
              <w:rPr>
                <w:rFonts w:ascii="Garamond" w:hAnsi="Garamond"/>
                <w:lang w:val="en-AU"/>
              </w:rPr>
              <w:t>(</w:t>
            </w:r>
            <w:r w:rsidRPr="00B15E4A">
              <w:rPr>
                <w:rFonts w:ascii="Garamond" w:hAnsi="Garamond"/>
                <w:lang w:val="en-AU"/>
              </w:rPr>
              <w:t>Andrea Baumann and Mary Crea-Arsenio</w:t>
            </w:r>
            <w:r>
              <w:rPr>
                <w:rFonts w:ascii="Garamond" w:hAnsi="Garamond"/>
                <w:lang w:val="en-AU"/>
              </w:rPr>
              <w:t>)</w:t>
            </w:r>
          </w:p>
        </w:tc>
      </w:tr>
    </w:tbl>
    <w:p w14:paraId="5718E10A" w14:textId="3C0E6BA9" w:rsidR="00AA76B4" w:rsidRDefault="00AA76B4" w:rsidP="00AA76B4">
      <w:pPr>
        <w:keepNext/>
        <w:rPr>
          <w:rFonts w:ascii="Garamond" w:hAnsi="Garamond"/>
          <w:i/>
          <w:lang w:val="en-AU"/>
        </w:rPr>
      </w:pPr>
    </w:p>
    <w:p w14:paraId="477985A6" w14:textId="77777777" w:rsidR="0091046E" w:rsidRDefault="0091046E" w:rsidP="0091046E">
      <w:pPr>
        <w:keepLines/>
        <w:autoSpaceDE w:val="0"/>
        <w:autoSpaceDN w:val="0"/>
        <w:adjustRightInd w:val="0"/>
        <w:rPr>
          <w:rFonts w:ascii="Garamond" w:hAnsi="Garamond"/>
          <w:i/>
          <w:lang w:val="en-AU"/>
        </w:rPr>
      </w:pPr>
      <w:r w:rsidRPr="0091046E">
        <w:rPr>
          <w:rFonts w:ascii="Garamond" w:hAnsi="Garamond"/>
          <w:i/>
          <w:lang w:val="en-AU"/>
        </w:rPr>
        <w:t>Journal of Health Services Research &amp; Policy</w:t>
      </w:r>
    </w:p>
    <w:p w14:paraId="24C76326" w14:textId="61FEB606" w:rsidR="00031154" w:rsidRPr="008C1C03" w:rsidRDefault="0091046E" w:rsidP="00031154">
      <w:pPr>
        <w:keepLines/>
        <w:autoSpaceDE w:val="0"/>
        <w:autoSpaceDN w:val="0"/>
        <w:adjustRightInd w:val="0"/>
        <w:rPr>
          <w:rFonts w:ascii="Garamond" w:hAnsi="Garamond"/>
          <w:iCs/>
          <w:lang w:val="en-AU"/>
        </w:rPr>
      </w:pPr>
      <w:r w:rsidRPr="0091046E">
        <w:rPr>
          <w:rFonts w:ascii="Garamond" w:hAnsi="Garamond"/>
          <w:iCs/>
          <w:lang w:val="en-AU"/>
        </w:rPr>
        <w:t>Volume 27, Number 3</w:t>
      </w:r>
      <w:r>
        <w:rPr>
          <w:rFonts w:ascii="Garamond" w:hAnsi="Garamond"/>
          <w:iCs/>
          <w:lang w:val="en-AU"/>
        </w:rPr>
        <w:t xml:space="preserve">, </w:t>
      </w:r>
      <w:r w:rsidRPr="0091046E">
        <w:rPr>
          <w:rFonts w:ascii="Garamond" w:hAnsi="Garamond"/>
          <w:iCs/>
          <w:lang w:val="en-AU"/>
        </w:rPr>
        <w:t>July 2022</w:t>
      </w:r>
    </w:p>
    <w:tbl>
      <w:tblPr>
        <w:tblStyle w:val="TableGrid"/>
        <w:tblW w:w="9360" w:type="dxa"/>
        <w:tblInd w:w="288" w:type="dxa"/>
        <w:tblLayout w:type="fixed"/>
        <w:tblLook w:val="01E0" w:firstRow="1" w:lastRow="1" w:firstColumn="1" w:lastColumn="1" w:noHBand="0" w:noVBand="0"/>
      </w:tblPr>
      <w:tblGrid>
        <w:gridCol w:w="1080"/>
        <w:gridCol w:w="8280"/>
      </w:tblGrid>
      <w:tr w:rsidR="00031154" w:rsidRPr="000170DA" w14:paraId="4DC7D7D4"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10338100" w14:textId="77777777" w:rsidR="00031154" w:rsidRPr="000170DA" w:rsidRDefault="00031154" w:rsidP="0056630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2E88876" w14:textId="632917DB" w:rsidR="00031154" w:rsidRPr="000170DA" w:rsidRDefault="00562290" w:rsidP="00566302">
            <w:pPr>
              <w:keepNext/>
              <w:rPr>
                <w:rStyle w:val="Hyperlink"/>
                <w:rFonts w:ascii="Garamond" w:hAnsi="Garamond"/>
                <w:color w:val="auto"/>
                <w:u w:val="none"/>
                <w:lang w:val="en-AU"/>
              </w:rPr>
            </w:pPr>
            <w:hyperlink r:id="rId29" w:history="1">
              <w:r w:rsidR="0091046E" w:rsidRPr="00FD1D49">
                <w:rPr>
                  <w:rStyle w:val="Hyperlink"/>
                  <w:rFonts w:ascii="Garamond" w:hAnsi="Garamond"/>
                  <w:lang w:val="en-AU"/>
                </w:rPr>
                <w:t>https://journals.sagepub.com/toc/hsrb/27/3</w:t>
              </w:r>
            </w:hyperlink>
          </w:p>
        </w:tc>
      </w:tr>
      <w:tr w:rsidR="00031154" w:rsidRPr="000170DA" w14:paraId="62F156F5" w14:textId="77777777" w:rsidTr="00566302">
        <w:tc>
          <w:tcPr>
            <w:tcW w:w="1080" w:type="dxa"/>
            <w:tcBorders>
              <w:top w:val="single" w:sz="4" w:space="0" w:color="auto"/>
              <w:left w:val="single" w:sz="4" w:space="0" w:color="auto"/>
              <w:bottom w:val="single" w:sz="4" w:space="0" w:color="auto"/>
              <w:right w:val="single" w:sz="4" w:space="0" w:color="auto"/>
            </w:tcBorders>
            <w:vAlign w:val="center"/>
          </w:tcPr>
          <w:p w14:paraId="06AFCC5E" w14:textId="77777777" w:rsidR="00031154" w:rsidRPr="000170DA" w:rsidRDefault="00031154" w:rsidP="00566302">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13FD84A" w14:textId="68C8CA70" w:rsidR="00031154" w:rsidRPr="007C3778" w:rsidRDefault="00031154" w:rsidP="00566302">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w:t>
            </w:r>
            <w:r w:rsidRPr="00B440ED">
              <w:rPr>
                <w:rFonts w:ascii="Garamond" w:hAnsi="Garamond"/>
                <w:lang w:val="en-AU"/>
              </w:rPr>
              <w:t xml:space="preserve"> </w:t>
            </w:r>
            <w:r w:rsidR="0091046E" w:rsidRPr="0091046E">
              <w:rPr>
                <w:rFonts w:ascii="Garamond" w:hAnsi="Garamond"/>
                <w:i/>
                <w:lang w:val="en-AU"/>
              </w:rPr>
              <w:t>Journal of Health Services Research &amp; Policy</w:t>
            </w:r>
            <w:r w:rsidR="0091046E" w:rsidRPr="00B440ED">
              <w:rPr>
                <w:rFonts w:ascii="Garamond" w:hAnsi="Garamond"/>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0091046E" w:rsidRPr="0091046E">
              <w:rPr>
                <w:rFonts w:ascii="Garamond" w:hAnsi="Garamond"/>
                <w:i/>
                <w:lang w:val="en-AU"/>
              </w:rPr>
              <w:t>Journal of Health Services Research &amp; Policy</w:t>
            </w:r>
            <w:r w:rsidR="0091046E" w:rsidRPr="00B440ED">
              <w:rPr>
                <w:rFonts w:ascii="Garamond" w:hAnsi="Garamond"/>
                <w:lang w:val="en-AU"/>
              </w:rPr>
              <w:t xml:space="preserve"> </w:t>
            </w:r>
            <w:r w:rsidRPr="00B440ED">
              <w:rPr>
                <w:rFonts w:ascii="Garamond" w:hAnsi="Garamond"/>
                <w:lang w:val="en-AU"/>
              </w:rPr>
              <w:t>include:</w:t>
            </w:r>
          </w:p>
          <w:p w14:paraId="0AD090F2" w14:textId="4F35EE37" w:rsidR="0091046E" w:rsidRPr="0091046E" w:rsidRDefault="0091046E" w:rsidP="001171D9">
            <w:pPr>
              <w:pStyle w:val="ListParagraph"/>
              <w:numPr>
                <w:ilvl w:val="0"/>
                <w:numId w:val="19"/>
              </w:numPr>
              <w:rPr>
                <w:rFonts w:ascii="Garamond" w:hAnsi="Garamond"/>
                <w:lang w:val="en-AU"/>
              </w:rPr>
            </w:pPr>
            <w:r w:rsidRPr="0091046E">
              <w:rPr>
                <w:rFonts w:ascii="Garamond" w:hAnsi="Garamond"/>
                <w:lang w:val="en-AU"/>
              </w:rPr>
              <w:t xml:space="preserve">Examining organization and provider challenges with the adoption of </w:t>
            </w:r>
            <w:r w:rsidRPr="0091046E">
              <w:rPr>
                <w:rFonts w:ascii="Garamond" w:hAnsi="Garamond"/>
                <w:b/>
                <w:bCs/>
                <w:lang w:val="en-AU"/>
              </w:rPr>
              <w:t>virtual domestic violence and sexual assault interventions</w:t>
            </w:r>
            <w:r w:rsidRPr="0091046E">
              <w:rPr>
                <w:rFonts w:ascii="Garamond" w:hAnsi="Garamond"/>
                <w:lang w:val="en-AU"/>
              </w:rPr>
              <w:t xml:space="preserve"> in Alberta, Canada, during the COVID-19 pandemic (Stephanie Montesanti, Winta Ghidei, Peter Silverstone, Lana Wells, Suzanne Squires, Allan Bailey</w:t>
            </w:r>
            <w:r>
              <w:rPr>
                <w:rFonts w:ascii="Garamond" w:hAnsi="Garamond"/>
                <w:lang w:val="en-AU"/>
              </w:rPr>
              <w:t>)</w:t>
            </w:r>
          </w:p>
          <w:p w14:paraId="1F6381DC" w14:textId="5AA53373" w:rsidR="0091046E" w:rsidRPr="0091046E" w:rsidRDefault="0091046E" w:rsidP="004E530A">
            <w:pPr>
              <w:pStyle w:val="ListParagraph"/>
              <w:numPr>
                <w:ilvl w:val="0"/>
                <w:numId w:val="19"/>
              </w:numPr>
              <w:rPr>
                <w:rFonts w:ascii="Garamond" w:hAnsi="Garamond"/>
                <w:lang w:val="en-AU"/>
              </w:rPr>
            </w:pPr>
            <w:r w:rsidRPr="0091046E">
              <w:rPr>
                <w:rFonts w:ascii="Garamond" w:hAnsi="Garamond"/>
                <w:b/>
                <w:bCs/>
                <w:lang w:val="en-AU"/>
              </w:rPr>
              <w:t>Socioeconomic inequalities in health care utilization</w:t>
            </w:r>
            <w:r w:rsidRPr="0091046E">
              <w:rPr>
                <w:rFonts w:ascii="Garamond" w:hAnsi="Garamond"/>
                <w:lang w:val="en-AU"/>
              </w:rPr>
              <w:t xml:space="preserve"> in Paraguay: Description of trends from 1999 to 2018 (Diego A Capurro, Sam Harper</w:t>
            </w:r>
            <w:r>
              <w:rPr>
                <w:rFonts w:ascii="Garamond" w:hAnsi="Garamond"/>
                <w:lang w:val="en-AU"/>
              </w:rPr>
              <w:t>)</w:t>
            </w:r>
          </w:p>
          <w:p w14:paraId="09F99DF8" w14:textId="571D5E53" w:rsidR="0091046E" w:rsidRPr="0091046E" w:rsidRDefault="0091046E" w:rsidP="00123479">
            <w:pPr>
              <w:pStyle w:val="ListParagraph"/>
              <w:numPr>
                <w:ilvl w:val="0"/>
                <w:numId w:val="19"/>
              </w:numPr>
              <w:rPr>
                <w:rFonts w:ascii="Garamond" w:hAnsi="Garamond"/>
                <w:lang w:val="en-AU"/>
              </w:rPr>
            </w:pPr>
            <w:r w:rsidRPr="0091046E">
              <w:rPr>
                <w:rFonts w:ascii="Garamond" w:hAnsi="Garamond"/>
                <w:lang w:val="en-AU"/>
              </w:rPr>
              <w:t xml:space="preserve">Variations in policies for </w:t>
            </w:r>
            <w:r w:rsidRPr="0091046E">
              <w:rPr>
                <w:rFonts w:ascii="Garamond" w:hAnsi="Garamond"/>
                <w:b/>
                <w:bCs/>
                <w:lang w:val="en-AU"/>
              </w:rPr>
              <w:t>accessing elective musculoskeletal procedures</w:t>
            </w:r>
            <w:r w:rsidRPr="0091046E">
              <w:rPr>
                <w:rFonts w:ascii="Garamond" w:hAnsi="Garamond"/>
                <w:lang w:val="en-AU"/>
              </w:rPr>
              <w:t xml:space="preserve"> in the English National Health Service: A documentary analysis (Leila Rooshenas, Sharea Ijaz, Alison Richards, Alba Realpe, Jelena Savovic, Tim Jones, William Hollingworth, Jenny L Donovan</w:t>
            </w:r>
            <w:r>
              <w:rPr>
                <w:rFonts w:ascii="Garamond" w:hAnsi="Garamond"/>
                <w:lang w:val="en-AU"/>
              </w:rPr>
              <w:t>)</w:t>
            </w:r>
          </w:p>
          <w:p w14:paraId="5176B195" w14:textId="77777777" w:rsidR="0091046E" w:rsidRDefault="0091046E" w:rsidP="009E08CF">
            <w:pPr>
              <w:pStyle w:val="ListParagraph"/>
              <w:numPr>
                <w:ilvl w:val="0"/>
                <w:numId w:val="19"/>
              </w:numPr>
              <w:rPr>
                <w:rFonts w:ascii="Garamond" w:hAnsi="Garamond"/>
                <w:lang w:val="en-AU"/>
              </w:rPr>
            </w:pPr>
            <w:r w:rsidRPr="0091046E">
              <w:rPr>
                <w:rFonts w:ascii="Garamond" w:hAnsi="Garamond"/>
                <w:lang w:val="en-AU"/>
              </w:rPr>
              <w:t xml:space="preserve">Perceived impact of </w:t>
            </w:r>
            <w:r w:rsidRPr="0091046E">
              <w:rPr>
                <w:rFonts w:ascii="Garamond" w:hAnsi="Garamond"/>
                <w:b/>
                <w:bCs/>
                <w:lang w:val="en-AU"/>
              </w:rPr>
              <w:t>formulating, implementing and enacting national mental health policies recommendations in practice</w:t>
            </w:r>
            <w:r w:rsidRPr="0091046E">
              <w:rPr>
                <w:rFonts w:ascii="Garamond" w:hAnsi="Garamond"/>
                <w:lang w:val="en-AU"/>
              </w:rPr>
              <w:t>: An exploratory qualitative study within child and adolescent mental health services in Scotland (Madalina Toma, Julie Anderson, Sarah Forster, Paula Shiels, Shirley Windsor, Nicola M Gray</w:t>
            </w:r>
            <w:r>
              <w:rPr>
                <w:rFonts w:ascii="Garamond" w:hAnsi="Garamond"/>
                <w:lang w:val="en-AU"/>
              </w:rPr>
              <w:t>)</w:t>
            </w:r>
          </w:p>
          <w:p w14:paraId="355A9FF0" w14:textId="5DE834F2" w:rsidR="0091046E" w:rsidRPr="0091046E" w:rsidRDefault="0091046E" w:rsidP="00A5706B">
            <w:pPr>
              <w:pStyle w:val="ListParagraph"/>
              <w:numPr>
                <w:ilvl w:val="0"/>
                <w:numId w:val="19"/>
              </w:numPr>
              <w:rPr>
                <w:rFonts w:ascii="Garamond" w:hAnsi="Garamond"/>
                <w:lang w:val="en-AU"/>
              </w:rPr>
            </w:pPr>
            <w:r w:rsidRPr="0091046E">
              <w:rPr>
                <w:rFonts w:ascii="Garamond" w:hAnsi="Garamond"/>
                <w:b/>
                <w:bCs/>
                <w:lang w:val="en-AU"/>
              </w:rPr>
              <w:t>Inter-organisational collaboration enabling care delivery</w:t>
            </w:r>
            <w:r w:rsidRPr="0091046E">
              <w:rPr>
                <w:rFonts w:ascii="Garamond" w:hAnsi="Garamond"/>
                <w:lang w:val="en-AU"/>
              </w:rPr>
              <w:t xml:space="preserve"> in a specialist cancer surgery provider network: A qualitative study (Cecilia Vindrola-Padros, Angus IG Ramsay, Georgia Black, Ravi Barod, John Hines, Muntzer Mughal, David Shackley, Naomi J Fulop</w:t>
            </w:r>
            <w:r>
              <w:rPr>
                <w:rFonts w:ascii="Garamond" w:hAnsi="Garamond"/>
                <w:lang w:val="en-AU"/>
              </w:rPr>
              <w:t>)</w:t>
            </w:r>
          </w:p>
          <w:p w14:paraId="5130CF93" w14:textId="2BEC5B93" w:rsidR="0091046E" w:rsidRPr="0091046E" w:rsidRDefault="0091046E" w:rsidP="000A54F4">
            <w:pPr>
              <w:pStyle w:val="ListParagraph"/>
              <w:numPr>
                <w:ilvl w:val="0"/>
                <w:numId w:val="19"/>
              </w:numPr>
              <w:rPr>
                <w:rFonts w:ascii="Garamond" w:hAnsi="Garamond"/>
                <w:lang w:val="en-AU"/>
              </w:rPr>
            </w:pPr>
            <w:r w:rsidRPr="0091046E">
              <w:rPr>
                <w:rFonts w:ascii="Garamond" w:hAnsi="Garamond"/>
                <w:lang w:val="en-AU"/>
              </w:rPr>
              <w:t xml:space="preserve">Village health worker motivation for </w:t>
            </w:r>
            <w:r w:rsidRPr="0091046E">
              <w:rPr>
                <w:rFonts w:ascii="Garamond" w:hAnsi="Garamond"/>
                <w:b/>
                <w:bCs/>
                <w:lang w:val="en-AU"/>
              </w:rPr>
              <w:t>better performance in a maternal and child health programme</w:t>
            </w:r>
            <w:r w:rsidRPr="0091046E">
              <w:rPr>
                <w:rFonts w:ascii="Garamond" w:hAnsi="Garamond"/>
                <w:lang w:val="en-AU"/>
              </w:rPr>
              <w:t xml:space="preserve"> in Nigeria: A realist evaluation (Chinyere Mbachu, Enyi Etiaba, Bassey Ebenso, Udochukwu Ogu, Obinna Onwujekwe, Benjamin Uzochukwu, Ana Manzano, Tolib Mirzoev</w:t>
            </w:r>
            <w:r>
              <w:rPr>
                <w:rFonts w:ascii="Garamond" w:hAnsi="Garamond"/>
                <w:lang w:val="en-AU"/>
              </w:rPr>
              <w:t>)</w:t>
            </w:r>
          </w:p>
          <w:p w14:paraId="1DDF35DE" w14:textId="348C2596" w:rsidR="0091046E" w:rsidRPr="0091046E" w:rsidRDefault="0091046E" w:rsidP="00483149">
            <w:pPr>
              <w:pStyle w:val="ListParagraph"/>
              <w:numPr>
                <w:ilvl w:val="0"/>
                <w:numId w:val="19"/>
              </w:numPr>
              <w:rPr>
                <w:rFonts w:ascii="Garamond" w:hAnsi="Garamond"/>
                <w:lang w:val="en-AU"/>
              </w:rPr>
            </w:pPr>
            <w:r w:rsidRPr="0091046E">
              <w:rPr>
                <w:rFonts w:ascii="Garamond" w:hAnsi="Garamond"/>
                <w:lang w:val="en-AU"/>
              </w:rPr>
              <w:lastRenderedPageBreak/>
              <w:t xml:space="preserve">Unseen patterns of </w:t>
            </w:r>
            <w:r w:rsidRPr="0091046E">
              <w:rPr>
                <w:rFonts w:ascii="Garamond" w:hAnsi="Garamond"/>
                <w:b/>
                <w:bCs/>
                <w:lang w:val="en-AU"/>
              </w:rPr>
              <w:t>preventable emergency care</w:t>
            </w:r>
            <w:r w:rsidRPr="0091046E">
              <w:rPr>
                <w:rFonts w:ascii="Garamond" w:hAnsi="Garamond"/>
                <w:lang w:val="en-AU"/>
              </w:rPr>
              <w:t>: Emergency department visits for ambulatory care sensitive conditions (Beth Parkinson, Rachel Meacock, Katherine Checkland, Matt Sutton</w:t>
            </w:r>
            <w:r>
              <w:rPr>
                <w:rFonts w:ascii="Garamond" w:hAnsi="Garamond"/>
                <w:lang w:val="en-AU"/>
              </w:rPr>
              <w:t>)</w:t>
            </w:r>
          </w:p>
          <w:p w14:paraId="295953D2" w14:textId="063E2153" w:rsidR="00031154" w:rsidRPr="00292B57" w:rsidRDefault="0091046E" w:rsidP="0091046E">
            <w:pPr>
              <w:pStyle w:val="ListParagraph"/>
              <w:numPr>
                <w:ilvl w:val="0"/>
                <w:numId w:val="19"/>
              </w:numPr>
              <w:rPr>
                <w:rFonts w:ascii="Garamond" w:hAnsi="Garamond"/>
                <w:lang w:val="en-AU"/>
              </w:rPr>
            </w:pPr>
            <w:r w:rsidRPr="0091046E">
              <w:rPr>
                <w:rFonts w:ascii="Garamond" w:hAnsi="Garamond"/>
                <w:lang w:val="en-AU"/>
              </w:rPr>
              <w:t xml:space="preserve">The </w:t>
            </w:r>
            <w:r w:rsidRPr="0091046E">
              <w:rPr>
                <w:rFonts w:ascii="Garamond" w:hAnsi="Garamond"/>
                <w:b/>
                <w:bCs/>
                <w:lang w:val="en-AU"/>
              </w:rPr>
              <w:t>social networks of hospital staff</w:t>
            </w:r>
            <w:r w:rsidRPr="0091046E">
              <w:rPr>
                <w:rFonts w:ascii="Garamond" w:hAnsi="Garamond"/>
                <w:lang w:val="en-AU"/>
              </w:rPr>
              <w:t>: A realist synthesis</w:t>
            </w:r>
            <w:r>
              <w:rPr>
                <w:rFonts w:ascii="Garamond" w:hAnsi="Garamond"/>
                <w:lang w:val="en-AU"/>
              </w:rPr>
              <w:t xml:space="preserve"> (</w:t>
            </w:r>
            <w:r w:rsidRPr="0091046E">
              <w:rPr>
                <w:rFonts w:ascii="Garamond" w:hAnsi="Garamond"/>
                <w:lang w:val="en-AU"/>
              </w:rPr>
              <w:t>Claire Blacklock, Amy Darwin, Mike English, Jacob McKnight, Lisa Hinton, Elinor Harriss, Geoff Wong</w:t>
            </w:r>
            <w:r>
              <w:rPr>
                <w:rFonts w:ascii="Garamond" w:hAnsi="Garamond"/>
                <w:lang w:val="en-AU"/>
              </w:rPr>
              <w:t>)</w:t>
            </w:r>
          </w:p>
        </w:tc>
      </w:tr>
    </w:tbl>
    <w:p w14:paraId="5FA1F3A2" w14:textId="77777777" w:rsidR="00031154" w:rsidRDefault="00031154" w:rsidP="00031154">
      <w:pPr>
        <w:keepNext/>
        <w:rPr>
          <w:rFonts w:ascii="Garamond" w:hAnsi="Garamond"/>
          <w:i/>
          <w:lang w:val="en-AU"/>
        </w:rPr>
      </w:pPr>
    </w:p>
    <w:p w14:paraId="360EE2EF" w14:textId="77777777" w:rsidR="008B6E6B" w:rsidRPr="00E37911" w:rsidRDefault="008B6E6B" w:rsidP="008B6E6B">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B6E6B" w:rsidRPr="00E37911" w14:paraId="7C1142DF" w14:textId="77777777" w:rsidTr="008F591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424B53A" w14:textId="77777777" w:rsidR="008B6E6B" w:rsidRPr="00E37911" w:rsidRDefault="008B6E6B" w:rsidP="008F5912">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F495A12" w14:textId="77777777" w:rsidR="008B6E6B" w:rsidRPr="00E37911" w:rsidRDefault="00562290" w:rsidP="008F5912">
            <w:pPr>
              <w:keepNext/>
              <w:rPr>
                <w:rFonts w:ascii="Garamond" w:hAnsi="Garamond"/>
                <w:lang w:val="en-AU"/>
              </w:rPr>
            </w:pPr>
            <w:hyperlink r:id="rId30" w:history="1">
              <w:r w:rsidR="008B6E6B" w:rsidRPr="00E37911">
                <w:rPr>
                  <w:rStyle w:val="Hyperlink"/>
                  <w:rFonts w:ascii="Garamond" w:hAnsi="Garamond"/>
                  <w:lang w:val="en-AU"/>
                </w:rPr>
                <w:t>https://qualitysafety.bmj.com/content/early/recent</w:t>
              </w:r>
            </w:hyperlink>
          </w:p>
        </w:tc>
      </w:tr>
      <w:tr w:rsidR="008B6E6B" w:rsidRPr="00E37911" w14:paraId="66B78798" w14:textId="77777777" w:rsidTr="008F5912">
        <w:tc>
          <w:tcPr>
            <w:tcW w:w="1080" w:type="dxa"/>
            <w:tcBorders>
              <w:top w:val="single" w:sz="4" w:space="0" w:color="auto"/>
              <w:left w:val="single" w:sz="4" w:space="0" w:color="auto"/>
              <w:bottom w:val="single" w:sz="4" w:space="0" w:color="auto"/>
              <w:right w:val="single" w:sz="4" w:space="0" w:color="auto"/>
            </w:tcBorders>
            <w:vAlign w:val="center"/>
          </w:tcPr>
          <w:p w14:paraId="3D3F5927" w14:textId="77777777" w:rsidR="008B6E6B" w:rsidRPr="00E37911" w:rsidRDefault="008B6E6B" w:rsidP="008F5912">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24BF5A0" w14:textId="77777777" w:rsidR="008B6E6B" w:rsidRPr="00E37911" w:rsidRDefault="008B6E6B" w:rsidP="008F5912">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68A03FAC" w14:textId="36ACB75D" w:rsidR="00DD08E2" w:rsidRPr="00E37911" w:rsidRDefault="00687C82" w:rsidP="006E4C02">
            <w:pPr>
              <w:pStyle w:val="ListParagraph"/>
              <w:numPr>
                <w:ilvl w:val="0"/>
                <w:numId w:val="17"/>
              </w:numPr>
              <w:rPr>
                <w:rFonts w:ascii="Garamond" w:hAnsi="Garamond"/>
                <w:lang w:val="en-AU"/>
              </w:rPr>
            </w:pPr>
            <w:r w:rsidRPr="00687C82">
              <w:rPr>
                <w:rFonts w:ascii="Garamond" w:hAnsi="Garamond"/>
                <w:lang w:val="en-AU"/>
              </w:rPr>
              <w:t xml:space="preserve">Engagement and fidelity of a </w:t>
            </w:r>
            <w:r w:rsidRPr="00687C82">
              <w:rPr>
                <w:rFonts w:ascii="Garamond" w:hAnsi="Garamond"/>
                <w:b/>
                <w:bCs/>
                <w:lang w:val="en-AU"/>
              </w:rPr>
              <w:t>cardiovascular disease prevention-focused digital health intervention</w:t>
            </w:r>
            <w:r w:rsidRPr="00687C82">
              <w:rPr>
                <w:rFonts w:ascii="Garamond" w:hAnsi="Garamond"/>
                <w:lang w:val="en-AU"/>
              </w:rPr>
              <w:t xml:space="preserve"> in cardiology outpatient waiting rooms: a mixed-methods study</w:t>
            </w:r>
            <w:r>
              <w:rPr>
                <w:rFonts w:ascii="Garamond" w:hAnsi="Garamond"/>
                <w:lang w:val="en-AU"/>
              </w:rPr>
              <w:t xml:space="preserve"> (</w:t>
            </w:r>
            <w:r w:rsidRPr="00687C82">
              <w:rPr>
                <w:rFonts w:ascii="Garamond" w:hAnsi="Garamond"/>
                <w:lang w:val="en-AU"/>
              </w:rPr>
              <w:t>Daniel Mcintyre, Jason Chiang, Aravinda Thiagalingam, Allison Tong, Clara Kayei Chow</w:t>
            </w:r>
            <w:r>
              <w:rPr>
                <w:rFonts w:ascii="Garamond" w:hAnsi="Garamond"/>
                <w:lang w:val="en-AU"/>
              </w:rPr>
              <w:t>)</w:t>
            </w:r>
          </w:p>
        </w:tc>
      </w:tr>
    </w:tbl>
    <w:p w14:paraId="34E88E53" w14:textId="77777777" w:rsidR="00031154" w:rsidRPr="00E37911" w:rsidRDefault="00031154" w:rsidP="00031154">
      <w:pPr>
        <w:rPr>
          <w:rFonts w:ascii="Garamond" w:hAnsi="Garamond"/>
          <w:b/>
          <w:lang w:val="en-AU"/>
        </w:rPr>
      </w:pPr>
    </w:p>
    <w:p w14:paraId="01756512" w14:textId="0FB32601" w:rsidR="00031154" w:rsidRDefault="00031154" w:rsidP="00031154">
      <w:pPr>
        <w:rPr>
          <w:rFonts w:ascii="Garamond" w:hAnsi="Garamond"/>
          <w:i/>
          <w:lang w:val="en-AU"/>
        </w:rPr>
      </w:pPr>
    </w:p>
    <w:p w14:paraId="66C5AC42" w14:textId="77777777" w:rsidR="00031154" w:rsidRPr="00E37911" w:rsidRDefault="00031154" w:rsidP="00031154">
      <w:pPr>
        <w:rPr>
          <w:rFonts w:ascii="Garamond" w:hAnsi="Garamond"/>
          <w:i/>
          <w:lang w:val="en-AU"/>
        </w:rPr>
      </w:pPr>
    </w:p>
    <w:p w14:paraId="332C5B51" w14:textId="5B5854C1"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74B2098A" w:rsidR="00193858" w:rsidRDefault="00193858" w:rsidP="008A334C">
      <w:pPr>
        <w:keepNext/>
        <w:keepLines/>
        <w:rPr>
          <w:rFonts w:ascii="Garamond" w:hAnsi="Garamond"/>
          <w:i/>
          <w:lang w:val="en-AU"/>
        </w:rPr>
      </w:pPr>
    </w:p>
    <w:p w14:paraId="3B1418F5" w14:textId="77777777" w:rsidR="00D05FB7" w:rsidRDefault="00D05FB7" w:rsidP="00B30863">
      <w:pPr>
        <w:keepNext/>
        <w:rPr>
          <w:rFonts w:ascii="Garamond" w:hAnsi="Garamond"/>
          <w:b/>
          <w:bCs/>
          <w:i/>
          <w:lang w:val="en-AU"/>
        </w:rPr>
      </w:pPr>
      <w:r w:rsidRPr="0051777D">
        <w:rPr>
          <w:rFonts w:ascii="Garamond" w:hAnsi="Garamond"/>
          <w:b/>
          <w:bCs/>
          <w:i/>
          <w:lang w:val="en-AU"/>
        </w:rPr>
        <w:t>Clinical Communiqué</w:t>
      </w:r>
    </w:p>
    <w:p w14:paraId="0D0E51D6" w14:textId="3FA80A31" w:rsidR="00D05FB7" w:rsidRDefault="00562290" w:rsidP="00B30863">
      <w:pPr>
        <w:keepNext/>
        <w:rPr>
          <w:rFonts w:ascii="Garamond" w:hAnsi="Garamond"/>
          <w:iCs/>
          <w:lang w:val="en-AU"/>
        </w:rPr>
      </w:pPr>
      <w:hyperlink r:id="rId31" w:history="1">
        <w:r w:rsidR="00D05FB7" w:rsidRPr="00DA6477">
          <w:rPr>
            <w:rStyle w:val="Hyperlink"/>
            <w:rFonts w:ascii="Garamond" w:hAnsi="Garamond"/>
            <w:iCs/>
            <w:lang w:val="en-AU"/>
          </w:rPr>
          <w:t>https://www.thecommuniques.com/post/clinical-communiqu%C3%A9-volume-9-issue-2-june-2022</w:t>
        </w:r>
      </w:hyperlink>
    </w:p>
    <w:p w14:paraId="7966489E" w14:textId="7618AE78" w:rsidR="00D05FB7" w:rsidRPr="00F57CAB" w:rsidRDefault="00D05FB7" w:rsidP="00D05FB7">
      <w:pPr>
        <w:keepNext/>
        <w:rPr>
          <w:rFonts w:ascii="Garamond" w:hAnsi="Garamond"/>
          <w:lang w:val="en-AU"/>
        </w:rPr>
      </w:pPr>
      <w:r w:rsidRPr="00F57CAB">
        <w:rPr>
          <w:rFonts w:ascii="Garamond" w:hAnsi="Garamond"/>
          <w:lang w:val="en-AU"/>
        </w:rPr>
        <w:t xml:space="preserve">Volume </w:t>
      </w:r>
      <w:r>
        <w:rPr>
          <w:rFonts w:ascii="Garamond" w:hAnsi="Garamond"/>
          <w:lang w:val="en-AU"/>
        </w:rPr>
        <w:t>9</w:t>
      </w:r>
      <w:r w:rsidRPr="00F57CAB">
        <w:rPr>
          <w:rFonts w:ascii="Garamond" w:hAnsi="Garamond"/>
          <w:lang w:val="en-AU"/>
        </w:rPr>
        <w:t xml:space="preserve"> Issue </w:t>
      </w:r>
      <w:r>
        <w:rPr>
          <w:rFonts w:ascii="Garamond" w:hAnsi="Garamond"/>
          <w:lang w:val="en-AU"/>
        </w:rPr>
        <w:t>2</w:t>
      </w:r>
      <w:r w:rsidRPr="00F57CAB">
        <w:rPr>
          <w:rFonts w:ascii="Garamond" w:hAnsi="Garamond"/>
          <w:lang w:val="en-AU"/>
        </w:rPr>
        <w:t xml:space="preserve">, </w:t>
      </w:r>
      <w:r>
        <w:rPr>
          <w:rFonts w:ascii="Garamond" w:hAnsi="Garamond"/>
          <w:lang w:val="en-AU"/>
        </w:rPr>
        <w:t>June 2022</w:t>
      </w:r>
    </w:p>
    <w:p w14:paraId="2F779109" w14:textId="75DA80A3" w:rsidR="00D05FB7" w:rsidRDefault="00D05FB7" w:rsidP="00D05FB7">
      <w:pPr>
        <w:keepNext/>
        <w:keepLines/>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 xml:space="preserve">includes a number of reflections on the </w:t>
      </w:r>
      <w:r w:rsidRPr="00D05FB7">
        <w:rPr>
          <w:rFonts w:ascii="Garamond" w:hAnsi="Garamond"/>
          <w:lang w:val="en-AU"/>
        </w:rPr>
        <w:t>evolution of quality and patient safety in Australia and overseas</w:t>
      </w:r>
      <w:r w:rsidR="005B1309">
        <w:rPr>
          <w:rFonts w:ascii="Garamond" w:hAnsi="Garamond"/>
          <w:lang w:val="en-AU"/>
        </w:rPr>
        <w:t xml:space="preserve"> to mark 20 years of work on the publication.</w:t>
      </w:r>
    </w:p>
    <w:p w14:paraId="3BB82AD6" w14:textId="77777777" w:rsidR="00D05FB7" w:rsidRDefault="00D05FB7" w:rsidP="00D05FB7">
      <w:pPr>
        <w:keepNext/>
        <w:keepLines/>
        <w:rPr>
          <w:rFonts w:ascii="Garamond" w:hAnsi="Garamond"/>
          <w:i/>
          <w:lang w:val="en-AU"/>
        </w:rPr>
      </w:pPr>
    </w:p>
    <w:p w14:paraId="716B0E42" w14:textId="77777777"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562290" w:rsidP="005A1055">
      <w:pPr>
        <w:keepNext/>
        <w:rPr>
          <w:rFonts w:ascii="Garamond" w:hAnsi="Garamond"/>
          <w:lang w:val="en-AU"/>
        </w:rPr>
      </w:pPr>
      <w:hyperlink r:id="rId32"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16C0D979" w14:textId="056B01A1" w:rsidR="006E4C02" w:rsidRDefault="005A1055" w:rsidP="005A1055">
      <w:pPr>
        <w:pStyle w:val="ListParagraph"/>
        <w:numPr>
          <w:ilvl w:val="0"/>
          <w:numId w:val="14"/>
        </w:numPr>
        <w:rPr>
          <w:rFonts w:ascii="Garamond" w:hAnsi="Garamond"/>
          <w:iCs/>
          <w:lang w:val="en-AU"/>
        </w:rPr>
      </w:pPr>
      <w:r>
        <w:rPr>
          <w:rFonts w:ascii="Garamond" w:hAnsi="Garamond"/>
          <w:iCs/>
          <w:lang w:val="en-AU"/>
        </w:rPr>
        <w:t>NICE Guideline NG</w:t>
      </w:r>
      <w:r w:rsidR="006E4C02">
        <w:rPr>
          <w:rFonts w:ascii="Garamond" w:hAnsi="Garamond"/>
          <w:iCs/>
          <w:lang w:val="en-AU"/>
        </w:rPr>
        <w:t xml:space="preserve">187 </w:t>
      </w:r>
      <w:r w:rsidR="006E4C02" w:rsidRPr="006E4C02">
        <w:rPr>
          <w:rFonts w:ascii="Garamond" w:hAnsi="Garamond"/>
          <w:i/>
          <w:lang w:val="en-AU"/>
        </w:rPr>
        <w:t xml:space="preserve">COVID-19 rapid guideline: </w:t>
      </w:r>
      <w:r w:rsidR="006E4C02" w:rsidRPr="006E4C02">
        <w:rPr>
          <w:rFonts w:ascii="Garamond" w:hAnsi="Garamond"/>
          <w:b/>
          <w:bCs/>
          <w:i/>
          <w:lang w:val="en-AU"/>
        </w:rPr>
        <w:t>vitamin D</w:t>
      </w:r>
      <w:r w:rsidR="006E4C02">
        <w:rPr>
          <w:rFonts w:ascii="Garamond" w:hAnsi="Garamond"/>
          <w:iCs/>
          <w:lang w:val="en-AU"/>
        </w:rPr>
        <w:t xml:space="preserve"> </w:t>
      </w:r>
      <w:hyperlink r:id="rId33" w:history="1">
        <w:r w:rsidR="006E4C02" w:rsidRPr="00046E8D">
          <w:rPr>
            <w:rStyle w:val="Hyperlink"/>
            <w:rFonts w:ascii="Garamond" w:hAnsi="Garamond"/>
            <w:iCs/>
            <w:lang w:val="en-AU"/>
          </w:rPr>
          <w:t>https://www.nice.org.uk/guidance/ng187</w:t>
        </w:r>
      </w:hyperlink>
    </w:p>
    <w:p w14:paraId="4C4BB36B" w14:textId="280872D7" w:rsidR="00031154" w:rsidRDefault="006E4C02" w:rsidP="005A1055">
      <w:pPr>
        <w:pStyle w:val="ListParagraph"/>
        <w:numPr>
          <w:ilvl w:val="0"/>
          <w:numId w:val="14"/>
        </w:numPr>
        <w:rPr>
          <w:rFonts w:ascii="Garamond" w:hAnsi="Garamond"/>
          <w:iCs/>
          <w:lang w:val="en-AU"/>
        </w:rPr>
      </w:pPr>
      <w:r>
        <w:rPr>
          <w:rFonts w:ascii="Garamond" w:hAnsi="Garamond"/>
          <w:iCs/>
          <w:lang w:val="en-AU"/>
        </w:rPr>
        <w:t xml:space="preserve">NICE Guideline NG191 </w:t>
      </w:r>
      <w:r w:rsidRPr="006E4C02">
        <w:rPr>
          <w:rFonts w:ascii="Garamond" w:hAnsi="Garamond"/>
          <w:i/>
          <w:lang w:val="en-AU"/>
        </w:rPr>
        <w:t xml:space="preserve">COVID-19 rapid guideline: </w:t>
      </w:r>
      <w:r w:rsidRPr="006E4C02">
        <w:rPr>
          <w:rFonts w:ascii="Garamond" w:hAnsi="Garamond"/>
          <w:b/>
          <w:bCs/>
          <w:i/>
          <w:lang w:val="en-AU"/>
        </w:rPr>
        <w:t>managing COVID-19</w:t>
      </w:r>
      <w:r>
        <w:rPr>
          <w:rFonts w:ascii="Garamond" w:hAnsi="Garamond"/>
          <w:iCs/>
          <w:lang w:val="en-AU"/>
        </w:rPr>
        <w:t xml:space="preserve"> </w:t>
      </w:r>
      <w:hyperlink r:id="rId34" w:history="1">
        <w:r w:rsidRPr="00046E8D">
          <w:rPr>
            <w:rStyle w:val="Hyperlink"/>
            <w:rFonts w:ascii="Garamond" w:hAnsi="Garamond"/>
            <w:iCs/>
            <w:lang w:val="en-AU"/>
          </w:rPr>
          <w:t>https://www.nice.org.uk/guidance/ng191</w:t>
        </w:r>
      </w:hyperlink>
    </w:p>
    <w:p w14:paraId="5FEDF2B6" w14:textId="0A379CBC" w:rsidR="001D6FDA" w:rsidRDefault="001D6FDA">
      <w:pPr>
        <w:rPr>
          <w:rFonts w:ascii="Garamond" w:hAnsi="Garamond"/>
          <w:b/>
          <w:lang w:val="en-AU"/>
        </w:rPr>
      </w:pPr>
    </w:p>
    <w:p w14:paraId="3A3F4289" w14:textId="2E80C0CA" w:rsidR="00031154" w:rsidRDefault="00D05FB7" w:rsidP="00204D9A">
      <w:pPr>
        <w:keepNext/>
        <w:rPr>
          <w:rFonts w:ascii="Garamond" w:hAnsi="Garamond"/>
          <w:b/>
          <w:lang w:val="en-AU"/>
        </w:rPr>
      </w:pPr>
      <w:r>
        <w:rPr>
          <w:rFonts w:ascii="Garamond" w:hAnsi="Garamond"/>
          <w:b/>
          <w:lang w:val="en-AU"/>
        </w:rPr>
        <w:t xml:space="preserve">[UK] </w:t>
      </w:r>
      <w:r w:rsidRPr="00D05FB7">
        <w:rPr>
          <w:rFonts w:ascii="Garamond" w:hAnsi="Garamond"/>
          <w:b/>
          <w:lang w:val="en-AU"/>
        </w:rPr>
        <w:t>Flooding and public mental health: assessment and management</w:t>
      </w:r>
    </w:p>
    <w:p w14:paraId="1C70E226" w14:textId="084B47BF" w:rsidR="00D05FB7" w:rsidRDefault="00562290" w:rsidP="00204D9A">
      <w:pPr>
        <w:keepNext/>
        <w:rPr>
          <w:rFonts w:ascii="Garamond" w:hAnsi="Garamond"/>
          <w:bCs/>
          <w:lang w:val="en-AU"/>
        </w:rPr>
      </w:pPr>
      <w:hyperlink r:id="rId35" w:history="1">
        <w:r w:rsidR="00D05FB7" w:rsidRPr="00DA6477">
          <w:rPr>
            <w:rStyle w:val="Hyperlink"/>
            <w:rFonts w:ascii="Garamond" w:hAnsi="Garamond"/>
            <w:bCs/>
            <w:lang w:val="en-AU"/>
          </w:rPr>
          <w:t>https://www.gov.uk/government/publications/flooding-and-public-mental-health-assessment-and-management</w:t>
        </w:r>
      </w:hyperlink>
    </w:p>
    <w:p w14:paraId="6791439B" w14:textId="53B047B7" w:rsidR="00D05FB7" w:rsidRPr="00D05FB7" w:rsidRDefault="00D05FB7">
      <w:pPr>
        <w:rPr>
          <w:rFonts w:ascii="Garamond" w:hAnsi="Garamond"/>
          <w:bCs/>
          <w:lang w:val="en-AU"/>
        </w:rPr>
      </w:pPr>
      <w:r>
        <w:rPr>
          <w:rFonts w:ascii="Garamond" w:hAnsi="Garamond"/>
          <w:bCs/>
          <w:lang w:val="en-AU"/>
        </w:rPr>
        <w:t>While this guidance document has been produced by the UK Health Security Agency for public health authorities in the UK, given recent events in parts of Australia it may have relevance elsewhere. This guide ‘</w:t>
      </w:r>
      <w:r w:rsidRPr="00D05FB7">
        <w:rPr>
          <w:rFonts w:ascii="Garamond" w:hAnsi="Garamond"/>
          <w:bCs/>
          <w:lang w:val="en-AU"/>
        </w:rPr>
        <w:t>aims to provide information on the measures needed to prevent major effects on health arising from floods in England.</w:t>
      </w:r>
      <w:r>
        <w:rPr>
          <w:rFonts w:ascii="Garamond" w:hAnsi="Garamond"/>
          <w:bCs/>
          <w:lang w:val="en-AU"/>
        </w:rPr>
        <w:t>’</w:t>
      </w:r>
    </w:p>
    <w:p w14:paraId="14A288CB" w14:textId="4AE948C3" w:rsidR="00031154" w:rsidRDefault="00031154">
      <w:pPr>
        <w:rPr>
          <w:rFonts w:ascii="Garamond" w:hAnsi="Garamond"/>
          <w:b/>
          <w:lang w:val="en-AU"/>
        </w:rPr>
      </w:pPr>
    </w:p>
    <w:p w14:paraId="72994A7C" w14:textId="7DCB7B97" w:rsidR="00407E5A" w:rsidRDefault="00407E5A">
      <w:pPr>
        <w:rPr>
          <w:rFonts w:ascii="Garamond" w:hAnsi="Garamond"/>
          <w:b/>
          <w:lang w:val="en-AU"/>
        </w:rPr>
      </w:pPr>
    </w:p>
    <w:p w14:paraId="02515C80" w14:textId="77777777" w:rsidR="00407E5A" w:rsidRDefault="00407E5A">
      <w:pPr>
        <w:rPr>
          <w:rFonts w:ascii="Garamond" w:hAnsi="Garamond"/>
          <w:b/>
          <w:lang w:val="en-AU"/>
        </w:rPr>
      </w:pPr>
    </w:p>
    <w:p w14:paraId="491AC2A5" w14:textId="77777777" w:rsidR="00FE2263" w:rsidRDefault="00FE2263">
      <w:pPr>
        <w:rPr>
          <w:rFonts w:ascii="Garamond" w:hAnsi="Garamond"/>
          <w:b/>
          <w:lang w:val="en-AU"/>
        </w:rPr>
      </w:pPr>
      <w:r>
        <w:rPr>
          <w:rFonts w:ascii="Garamond" w:hAnsi="Garamond"/>
          <w:b/>
          <w:lang w:val="en-AU"/>
        </w:rPr>
        <w:br w:type="page"/>
      </w:r>
    </w:p>
    <w:p w14:paraId="12E7A6B9" w14:textId="4C3FDD54"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7"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67A76993"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8"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2CEA3612">
            <wp:extent cx="4384430" cy="6240753"/>
            <wp:effectExtent l="0" t="0" r="0" b="8255"/>
            <wp:docPr id="8" name="Picture 8" descr="COVID-19 poster – Combined contact and drople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24693" cy="629806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0C86DC6F">
            <wp:extent cx="4815068" cy="6857824"/>
            <wp:effectExtent l="19050" t="19050" r="24130" b="19685"/>
            <wp:docPr id="1" name="Picture 1" descr="Stop COVID-19. 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7"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8"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5BD3EF38">
            <wp:extent cx="5281165" cy="7778187"/>
            <wp:effectExtent l="19050" t="19050" r="15240" b="13335"/>
            <wp:docPr id="2" name="Picture 2" descr="COVID-19 and face masks information for consumers poster im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562290" w:rsidP="00D574D3">
      <w:pPr>
        <w:keepNext/>
        <w:keepLines/>
        <w:rPr>
          <w:rFonts w:ascii="Garamond" w:hAnsi="Garamond"/>
          <w:lang w:val="en-AU"/>
        </w:rPr>
      </w:pPr>
      <w:hyperlink r:id="rId52"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562290" w:rsidP="00D574D3">
      <w:pPr>
        <w:keepNext/>
        <w:keepLines/>
        <w:rPr>
          <w:rFonts w:ascii="Garamond" w:hAnsi="Garamond"/>
          <w:lang w:val="en-AU"/>
        </w:rPr>
      </w:pPr>
      <w:hyperlink r:id="rId53"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23D347B9" w14:textId="047032BA"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lastRenderedPageBreak/>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53A9A1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CB66F" w14:textId="77777777" w:rsidR="0085622A" w:rsidRDefault="0085622A">
      <w:r>
        <w:separator/>
      </w:r>
    </w:p>
  </w:endnote>
  <w:endnote w:type="continuationSeparator" w:id="0">
    <w:p w14:paraId="0D7D5661" w14:textId="77777777" w:rsidR="0085622A" w:rsidRDefault="0085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8F5912" w:rsidRDefault="008F591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DF5516D" w:rsidR="008F5912" w:rsidRPr="001E78F0" w:rsidRDefault="008F591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w:t>
    </w:r>
    <w:r w:rsidR="00031154">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8F5912" w:rsidRPr="001E78F0" w:rsidRDefault="008F591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3823FA7" w:rsidR="008F5912" w:rsidRPr="001E78F0" w:rsidRDefault="008F5912"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w:t>
    </w:r>
    <w:r w:rsidR="00031154">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58FF5" w14:textId="77777777" w:rsidR="0085622A" w:rsidRDefault="0085622A">
      <w:r>
        <w:separator/>
      </w:r>
    </w:p>
  </w:footnote>
  <w:footnote w:type="continuationSeparator" w:id="0">
    <w:p w14:paraId="396C9550" w14:textId="77777777" w:rsidR="0085622A" w:rsidRDefault="0085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8180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4"/>
  </w:num>
  <w:num w:numId="16">
    <w:abstractNumId w:val="13"/>
  </w:num>
  <w:num w:numId="17">
    <w:abstractNumId w:val="14"/>
  </w:num>
  <w:num w:numId="18">
    <w:abstractNumId w:val="28"/>
  </w:num>
  <w:num w:numId="19">
    <w:abstractNumId w:val="15"/>
  </w:num>
  <w:num w:numId="20">
    <w:abstractNumId w:val="18"/>
  </w:num>
  <w:num w:numId="21">
    <w:abstractNumId w:val="16"/>
  </w:num>
  <w:num w:numId="22">
    <w:abstractNumId w:val="23"/>
  </w:num>
  <w:num w:numId="23">
    <w:abstractNumId w:val="19"/>
  </w:num>
  <w:num w:numId="24">
    <w:abstractNumId w:val="15"/>
  </w:num>
  <w:num w:numId="25">
    <w:abstractNumId w:val="27"/>
  </w:num>
  <w:num w:numId="26">
    <w:abstractNumId w:val="11"/>
  </w:num>
  <w:num w:numId="27">
    <w:abstractNumId w:val="10"/>
  </w:num>
  <w:num w:numId="28">
    <w:abstractNumId w:val="31"/>
  </w:num>
  <w:num w:numId="29">
    <w:abstractNumId w:val="30"/>
  </w:num>
  <w:num w:numId="30">
    <w:abstractNumId w:val="26"/>
  </w:num>
  <w:num w:numId="31">
    <w:abstractNumId w:val="17"/>
  </w:num>
  <w:num w:numId="32">
    <w:abstractNumId w:val="12"/>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290"/>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23"/>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D41"/>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E2E"/>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ahha.asn.au/deeble-institute-perspective-briefs" TargetMode="External"/><Relationship Id="rId26" Type="http://schemas.openxmlformats.org/officeDocument/2006/relationships/hyperlink" Target="https://www.longwoods.com/content/26856/healthcare-policy/exemplars-in-long-term-care-during-covid-19-the-importance-of-leadership" TargetMode="External"/><Relationship Id="rId39" Type="http://schemas.openxmlformats.org/officeDocument/2006/relationships/image" Target="media/image3.png"/><Relationship Id="rId21" Type="http://schemas.openxmlformats.org/officeDocument/2006/relationships/hyperlink" Target="https://doi.org/10.1001/jama.2022.10281" TargetMode="External"/><Relationship Id="rId34" Type="http://schemas.openxmlformats.org/officeDocument/2006/relationships/hyperlink" Target="https://www.nice.org.uk/guidance/ng191"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node/5724" TargetMode="External"/><Relationship Id="rId50" Type="http://schemas.openxmlformats.org/officeDocument/2006/relationships/hyperlink" Target="https://www.safetyandquality.gov.au/sites/default/files/2020-07/covid-19_and_face_masks_-_information_for_consumers.pd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doi.org/10.12927/hcpol.2022.26856" TargetMode="External"/><Relationship Id="rId33" Type="http://schemas.openxmlformats.org/officeDocument/2006/relationships/hyperlink" Target="https://www.nice.org.uk/guidance/ng187" TargetMode="External"/><Relationship Id="rId38" Type="http://schemas.openxmlformats.org/officeDocument/2006/relationships/hyperlink" Target="https://www.safetyandquality.gov.au/publications-and-resources/resource-library/infection-prevention-and-control-poster-combined-contact-and-droplet-precautions"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nhhi.southrock.com" TargetMode="External"/><Relationship Id="rId20" Type="http://schemas.openxmlformats.org/officeDocument/2006/relationships/hyperlink" Target="https://www.hsib.org.uk/investigations-and-reports/administering-high-strength-insulin-from-a-pen-device-in-hospital/" TargetMode="External"/><Relationship Id="rId29" Type="http://schemas.openxmlformats.org/officeDocument/2006/relationships/hyperlink" Target="https://journals.sagepub.com/toc/hsrb/27/3" TargetMode="External"/><Relationship Id="rId41" Type="http://schemas.openxmlformats.org/officeDocument/2006/relationships/image" Target="media/image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7/AOG.0000000000004806" TargetMode="External"/><Relationship Id="rId32" Type="http://schemas.openxmlformats.org/officeDocument/2006/relationships/hyperlink" Target="https://www.nice.org.uk/guidance"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3"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nhhi.southrock.com" TargetMode="External"/><Relationship Id="rId23" Type="http://schemas.openxmlformats.org/officeDocument/2006/relationships/hyperlink" Target="https://oig.hhs.gov/oei/reports/OEI-06-18-00400.asp" TargetMode="External"/><Relationship Id="rId28" Type="http://schemas.openxmlformats.org/officeDocument/2006/relationships/hyperlink" Target="https://www.longwoods.com/publications/healthcare-policy/26848/1/vol.-17-special-issue-long-term-care-in-crisis-the-reality-of-covid-19" TargetMode="External"/><Relationship Id="rId36" Type="http://schemas.openxmlformats.org/officeDocument/2006/relationships/hyperlink" Target="https://www.safetyandquality.gov.au/covid-19" TargetMode="External"/><Relationship Id="rId49" Type="http://schemas.openxmlformats.org/officeDocument/2006/relationships/hyperlink" Target="https://www.safetyandquality.gov.au/publications-and-resources/resource-library/covid-19-and-face-masks-information-consumers" TargetMode="External"/><Relationship Id="rId57"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sites/default/files/docs/policy-issue/perspectives_brief_no_23._vbhc_in_private_psychology_practice_1.pdf" TargetMode="External"/><Relationship Id="rId31" Type="http://schemas.openxmlformats.org/officeDocument/2006/relationships/hyperlink" Target="https://www.thecommuniques.com/post/clinical-communiqu%C3%A9-volume-9-issue-2-june-2022" TargetMode="External"/><Relationship Id="rId44" Type="http://schemas.openxmlformats.org/officeDocument/2006/relationships/hyperlink" Target="https://www.safetyandquality.gov.au/our-work/cognitive-impairment/cognitive-impairment-and-covid-19" TargetMode="External"/><Relationship Id="rId52"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22.9600" TargetMode="External"/><Relationship Id="rId27" Type="http://schemas.openxmlformats.org/officeDocument/2006/relationships/hyperlink" Target="https://doi.org/10.1001/jama.2022.10166"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gov.uk/government/publications/flooding-and-public-mental-health-assessment-and-management"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s://www.safetyandquality.gov.au/node/5725"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6.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12</Pages>
  <Words>3239</Words>
  <Characters>22192</Characters>
  <Application>Microsoft Office Word</Application>
  <DocSecurity>0</DocSecurity>
  <Lines>462</Lines>
  <Paragraphs>219</Paragraphs>
  <ScaleCrop>false</ScaleCrop>
  <HeadingPairs>
    <vt:vector size="2" baseType="variant">
      <vt:variant>
        <vt:lpstr>Title</vt:lpstr>
      </vt:variant>
      <vt:variant>
        <vt:i4>1</vt:i4>
      </vt:variant>
    </vt:vector>
  </HeadingPairs>
  <TitlesOfParts>
    <vt:vector size="1" baseType="lpstr">
      <vt:lpstr>Draft On the Radar Issue 566</vt:lpstr>
    </vt:vector>
  </TitlesOfParts>
  <Company>ACSQHC</Company>
  <LinksUpToDate>false</LinksUpToDate>
  <CharactersWithSpaces>25212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566</dc:title>
  <dc:subject/>
  <dc:creator>Dr Niall Johnson</dc:creator>
  <cp:keywords>On the Radar</cp:keywords>
  <dc:description/>
  <cp:lastModifiedBy>JOHNSON, Niall</cp:lastModifiedBy>
  <cp:revision>22</cp:revision>
  <cp:lastPrinted>2018-03-02T02:34:00Z</cp:lastPrinted>
  <dcterms:created xsi:type="dcterms:W3CDTF">2022-07-10T21:48:00Z</dcterms:created>
  <dcterms:modified xsi:type="dcterms:W3CDTF">2022-07-14T23:08:00Z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