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9385A" w14:textId="143F76D8" w:rsidR="008104D7" w:rsidRDefault="00BD3C3B" w:rsidP="00410834">
      <w:pPr>
        <w:pStyle w:val="FactSheetType"/>
        <w:spacing w:after="120"/>
        <w:rPr>
          <w:lang w:val="en-GB"/>
        </w:rPr>
      </w:pPr>
      <w:bookmarkStart w:id="0" w:name="_Toc476822632"/>
      <w:bookmarkStart w:id="1" w:name="_Toc476822653"/>
      <w:r>
        <w:rPr>
          <w:noProof/>
          <w:color w:val="231F20"/>
        </w:rPr>
        <mc:AlternateContent>
          <mc:Choice Requires="wps">
            <w:drawing>
              <wp:anchor distT="0" distB="0" distL="114300" distR="114300" simplePos="0" relativeHeight="251659264" behindDoc="0" locked="0" layoutInCell="1" allowOverlap="1" wp14:anchorId="28EA8E25" wp14:editId="3B28EDC2">
                <wp:simplePos x="0" y="0"/>
                <wp:positionH relativeFrom="margin">
                  <wp:posOffset>6153150</wp:posOffset>
                </wp:positionH>
                <wp:positionV relativeFrom="paragraph">
                  <wp:posOffset>-38100</wp:posOffset>
                </wp:positionV>
                <wp:extent cx="191608" cy="495300"/>
                <wp:effectExtent l="0" t="0" r="0" b="0"/>
                <wp:wrapNone/>
                <wp:docPr id="44" name="Rectangle 44"/>
                <wp:cNvGraphicFramePr/>
                <a:graphic xmlns:a="http://schemas.openxmlformats.org/drawingml/2006/main">
                  <a:graphicData uri="http://schemas.microsoft.com/office/word/2010/wordprocessingShape">
                    <wps:wsp>
                      <wps:cNvSpPr/>
                      <wps:spPr>
                        <a:xfrm>
                          <a:off x="0" y="0"/>
                          <a:ext cx="191608" cy="495300"/>
                        </a:xfrm>
                        <a:prstGeom prst="rect">
                          <a:avLst/>
                        </a:prstGeom>
                        <a:solidFill>
                          <a:srgbClr val="78B8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FAC16" id="Rectangle 44" o:spid="_x0000_s1026" style="position:absolute;margin-left:484.5pt;margin-top:-3pt;width:15.1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" fillcolor="#78b832" stroked="f" strokeweight="2pt">
                <w10:wrap anchorx="margin"/>
              </v:rect>
            </w:pict>
          </mc:Fallback>
        </mc:AlternateContent>
      </w:r>
      <w:r w:rsidR="00943A18">
        <w:rPr>
          <w:b/>
          <w:bCs w:val="0"/>
        </w:rPr>
        <w:t>FACT SHEET</w:t>
      </w:r>
      <w:r w:rsidR="00716FED" w:rsidRPr="0056304B">
        <w:br/>
      </w:r>
      <w:r w:rsidR="00B93CD5" w:rsidRPr="0056304B">
        <w:t>for</w:t>
      </w:r>
      <w:r w:rsidR="009739AC">
        <w:t xml:space="preserve"> </w:t>
      </w:r>
      <w:r w:rsidR="009739AC" w:rsidRPr="009739AC">
        <w:rPr>
          <w:lang w:val="en-GB"/>
        </w:rPr>
        <w:t>c</w:t>
      </w:r>
      <w:r w:rsidR="00957AD0">
        <w:rPr>
          <w:lang w:val="en-GB"/>
        </w:rPr>
        <w:t>linicians</w:t>
      </w:r>
    </w:p>
    <w:p w14:paraId="3580AC70" w14:textId="4162404C" w:rsidR="008104D7" w:rsidRPr="00943A18" w:rsidRDefault="00623415" w:rsidP="00410834">
      <w:pPr>
        <w:pStyle w:val="Title"/>
        <w:spacing w:after="120"/>
        <w:rPr>
          <w:lang w:val="en-GB"/>
        </w:rPr>
      </w:pPr>
      <w:r>
        <w:rPr>
          <w:lang w:val="en-GB"/>
        </w:rPr>
        <w:t>Clinical Care Standards</w:t>
      </w:r>
      <w:r w:rsidR="00943A18" w:rsidRPr="00943A18">
        <w:rPr>
          <w:lang w:val="en-GB"/>
        </w:rPr>
        <w:t xml:space="preserve"> </w:t>
      </w:r>
    </w:p>
    <w:p w14:paraId="24641649" w14:textId="3C25D070" w:rsidR="008104D7" w:rsidRDefault="00623415" w:rsidP="008104D7">
      <w:pPr>
        <w:pStyle w:val="Subtitle"/>
      </w:pPr>
      <w:r>
        <w:t>Frequently asked questions for clinicians</w:t>
      </w:r>
    </w:p>
    <w:p w14:paraId="1A31EB80" w14:textId="4D9A3D56" w:rsidR="00EA051F" w:rsidRDefault="00623415" w:rsidP="00EA051F">
      <w:pPr>
        <w:rPr>
          <w:b/>
          <w:bCs/>
          <w:color w:val="007978"/>
          <w:sz w:val="24"/>
          <w:szCs w:val="24"/>
        </w:rPr>
      </w:pPr>
      <w:r w:rsidRPr="0059607F">
        <w:rPr>
          <w:b/>
          <w:bCs/>
          <w:color w:val="007978"/>
          <w:sz w:val="24"/>
          <w:szCs w:val="24"/>
        </w:rPr>
        <w:t>Clinical care standards play an important role in delivering appropriate care and reducing unwarranted variation. They identify and define the care patients should be offered for a specific clinical condition in line with current best evidence.</w:t>
      </w:r>
    </w:p>
    <w:p w14:paraId="1AFE8BE3" w14:textId="67AF5A09" w:rsidR="00943A18" w:rsidRPr="0059607F" w:rsidRDefault="00623415" w:rsidP="007804B9">
      <w:pPr>
        <w:pStyle w:val="Heading2"/>
        <w:spacing w:before="480"/>
        <w:rPr>
          <w:lang w:val="en-GB"/>
        </w:rPr>
      </w:pPr>
      <w:r w:rsidRPr="0059607F">
        <w:t>What is a clinical care standard?</w:t>
      </w:r>
    </w:p>
    <w:p w14:paraId="43F8129B" w14:textId="6513ED4A" w:rsidR="00420DBA" w:rsidRPr="00EA051F" w:rsidRDefault="00623415" w:rsidP="00420DBA">
      <w:pPr>
        <w:rPr>
          <w:lang w:val="en-GB" w:bidi="en-US"/>
        </w:rPr>
      </w:pPr>
      <w:r w:rsidRPr="00252AC6">
        <w:rPr>
          <w:rFonts w:cs="Arial"/>
        </w:rPr>
        <w:t>A clinical care standard is a nationally agreed statement on the care patients should be offered by health professionals and health services for a specific clinical condition in line with current best evidence. Each clinical care standard contains a set of up to ten quality statements that describe succinctly the key aspects of care that a patient should be offered for a specific clinical condition or defined part of a clinical pathway</w:t>
      </w:r>
    </w:p>
    <w:p w14:paraId="3F21B210" w14:textId="17C96B41" w:rsidR="00943A18" w:rsidRPr="0059607F" w:rsidRDefault="00623415" w:rsidP="00943A18">
      <w:pPr>
        <w:pStyle w:val="Heading2"/>
        <w:rPr>
          <w:lang w:val="en-GB"/>
        </w:rPr>
      </w:pPr>
      <w:r w:rsidRPr="0059607F">
        <w:t>Why are clinical care standards needed?</w:t>
      </w:r>
    </w:p>
    <w:p w14:paraId="00CD7566" w14:textId="77777777" w:rsidR="00623415" w:rsidRPr="00252AC6" w:rsidRDefault="00623415" w:rsidP="00623415">
      <w:pPr>
        <w:rPr>
          <w:rFonts w:ascii="Arial" w:hAnsi="Arial" w:cs="Arial"/>
        </w:rPr>
      </w:pPr>
      <w:r w:rsidRPr="00252AC6">
        <w:rPr>
          <w:rFonts w:ascii="Arial" w:hAnsi="Arial" w:cs="Arial"/>
        </w:rPr>
        <w:t xml:space="preserve">We know that appropriate variations in care occur due to a person’s particular illness or choices, but unwarranted variation in care can occur when there is: </w:t>
      </w:r>
    </w:p>
    <w:p w14:paraId="651D74E9" w14:textId="77777777" w:rsidR="00623415" w:rsidRPr="00252AC6" w:rsidRDefault="00623415" w:rsidP="00623415">
      <w:pPr>
        <w:numPr>
          <w:ilvl w:val="0"/>
          <w:numId w:val="41"/>
        </w:numPr>
        <w:spacing w:before="0" w:after="0"/>
        <w:rPr>
          <w:rFonts w:ascii="Arial" w:hAnsi="Arial" w:cs="Arial"/>
        </w:rPr>
      </w:pPr>
      <w:r w:rsidRPr="00252AC6">
        <w:rPr>
          <w:rFonts w:ascii="Arial" w:hAnsi="Arial" w:cs="Arial"/>
        </w:rPr>
        <w:t>underuse of care (where the benefits of a treatment or procedure clearly outweigh any potential harm from its use, but it is not used)</w:t>
      </w:r>
    </w:p>
    <w:p w14:paraId="361B0AF4" w14:textId="55E4DB97" w:rsidR="00623415" w:rsidRPr="00252AC6" w:rsidRDefault="00623415" w:rsidP="00623415">
      <w:pPr>
        <w:numPr>
          <w:ilvl w:val="0"/>
          <w:numId w:val="41"/>
        </w:numPr>
        <w:spacing w:before="0" w:after="0"/>
        <w:rPr>
          <w:rFonts w:ascii="Arial" w:hAnsi="Arial" w:cs="Arial"/>
        </w:rPr>
      </w:pPr>
      <w:r w:rsidRPr="00252AC6">
        <w:rPr>
          <w:rFonts w:ascii="Arial" w:hAnsi="Arial" w:cs="Arial"/>
        </w:rPr>
        <w:t xml:space="preserve">overuse of care (when a treatment or procedure is widely used, but the evidence of its benefits </w:t>
      </w:r>
      <w:proofErr w:type="gramStart"/>
      <w:r w:rsidRPr="00252AC6">
        <w:rPr>
          <w:rFonts w:ascii="Arial" w:hAnsi="Arial" w:cs="Arial"/>
        </w:rPr>
        <w:t>are</w:t>
      </w:r>
      <w:proofErr w:type="gramEnd"/>
      <w:r w:rsidRPr="00252AC6">
        <w:rPr>
          <w:rFonts w:ascii="Arial" w:hAnsi="Arial" w:cs="Arial"/>
        </w:rPr>
        <w:t xml:space="preserve"> limited or missing)</w:t>
      </w:r>
    </w:p>
    <w:p w14:paraId="467FFEB1" w14:textId="77777777" w:rsidR="00623415" w:rsidRPr="00252AC6" w:rsidRDefault="00623415" w:rsidP="00623415">
      <w:pPr>
        <w:numPr>
          <w:ilvl w:val="0"/>
          <w:numId w:val="41"/>
        </w:numPr>
        <w:spacing w:before="0" w:after="0"/>
        <w:rPr>
          <w:rFonts w:ascii="Arial" w:hAnsi="Arial" w:cs="Arial"/>
        </w:rPr>
      </w:pPr>
      <w:r w:rsidRPr="00252AC6">
        <w:rPr>
          <w:rFonts w:ascii="Arial" w:hAnsi="Arial" w:cs="Arial"/>
        </w:rPr>
        <w:t>misuse of care (when the care provided to a person is not based on their values and preferences, and the risks and benefits of alternative treatments have not been fully explained to them).</w:t>
      </w:r>
    </w:p>
    <w:p w14:paraId="375AB427" w14:textId="77777777" w:rsidR="00623415" w:rsidRPr="00252AC6" w:rsidRDefault="00623415" w:rsidP="00623415">
      <w:pPr>
        <w:autoSpaceDE w:val="0"/>
        <w:autoSpaceDN w:val="0"/>
        <w:adjustRightInd w:val="0"/>
        <w:rPr>
          <w:rFonts w:ascii="Arial" w:eastAsia="Calibri" w:hAnsi="Arial" w:cs="Arial"/>
          <w:bCs/>
          <w:iCs/>
        </w:rPr>
      </w:pPr>
      <w:r w:rsidRPr="00252AC6">
        <w:rPr>
          <w:rFonts w:ascii="Arial" w:eastAsia="Calibri" w:hAnsi="Arial" w:cs="Arial"/>
          <w:bCs/>
          <w:iCs/>
        </w:rPr>
        <w:t xml:space="preserve">Clinical </w:t>
      </w:r>
      <w:r>
        <w:rPr>
          <w:rFonts w:ascii="Arial" w:eastAsia="Calibri" w:hAnsi="Arial" w:cs="Arial"/>
          <w:bCs/>
          <w:iCs/>
        </w:rPr>
        <w:t>c</w:t>
      </w:r>
      <w:r w:rsidRPr="00252AC6">
        <w:rPr>
          <w:rFonts w:ascii="Arial" w:eastAsia="Calibri" w:hAnsi="Arial" w:cs="Arial"/>
          <w:bCs/>
          <w:iCs/>
        </w:rPr>
        <w:t xml:space="preserve">are </w:t>
      </w:r>
      <w:r>
        <w:rPr>
          <w:rFonts w:ascii="Arial" w:eastAsia="Calibri" w:hAnsi="Arial" w:cs="Arial"/>
          <w:bCs/>
          <w:iCs/>
        </w:rPr>
        <w:t>s</w:t>
      </w:r>
      <w:r w:rsidRPr="00252AC6">
        <w:rPr>
          <w:rFonts w:ascii="Arial" w:eastAsia="Calibri" w:hAnsi="Arial" w:cs="Arial"/>
          <w:bCs/>
          <w:iCs/>
        </w:rPr>
        <w:t>tandards play an important role in guiding the delivery of appropriate care and reducing unwarranted variation, as they identify and define the care people can expect to be offered or receive, regardless of where they are treated in Australia.</w:t>
      </w:r>
    </w:p>
    <w:p w14:paraId="2DBE0C91" w14:textId="77777777" w:rsidR="00623415" w:rsidRPr="00252AC6" w:rsidRDefault="00623415" w:rsidP="00623415">
      <w:pPr>
        <w:rPr>
          <w:rFonts w:ascii="Arial" w:eastAsia="Calibri" w:hAnsi="Arial" w:cs="Arial"/>
          <w:bCs/>
          <w:iCs/>
        </w:rPr>
      </w:pPr>
      <w:r w:rsidRPr="00252AC6">
        <w:rPr>
          <w:rFonts w:ascii="Arial" w:eastAsia="Calibri" w:hAnsi="Arial" w:cs="Arial"/>
          <w:bCs/>
          <w:iCs/>
        </w:rPr>
        <w:t>Each clinical care standard, in conjunction with clinical guidelines on which it is based, should contribute to improvements in care outlined in the National Safety and Quality Health Service (NSQHS) Standards.</w:t>
      </w:r>
    </w:p>
    <w:p w14:paraId="45293038" w14:textId="77777777" w:rsidR="00623415" w:rsidRPr="00252AC6" w:rsidRDefault="00623415" w:rsidP="00623415">
      <w:pPr>
        <w:pStyle w:val="Body"/>
        <w:rPr>
          <w:rFonts w:cs="Arial"/>
          <w:sz w:val="22"/>
          <w:szCs w:val="22"/>
        </w:rPr>
      </w:pPr>
      <w:r w:rsidRPr="00252AC6">
        <w:rPr>
          <w:rFonts w:cs="Arial"/>
          <w:b/>
          <w:i/>
          <w:sz w:val="22"/>
          <w:szCs w:val="22"/>
        </w:rPr>
        <w:t>Quality statements</w:t>
      </w:r>
      <w:r w:rsidRPr="00252AC6">
        <w:rPr>
          <w:rFonts w:cs="Arial"/>
          <w:sz w:val="22"/>
          <w:szCs w:val="22"/>
        </w:rPr>
        <w:t xml:space="preserve"> describe high priority areas for quality improvement. They are identified based on areas of current variation, information about what we know works in terms of treatments, procedures and processes, and what care should be offered to a patient. </w:t>
      </w:r>
    </w:p>
    <w:p w14:paraId="45ABBE38" w14:textId="5E077874" w:rsidR="00420DBA" w:rsidRDefault="00623415" w:rsidP="00623415">
      <w:pPr>
        <w:rPr>
          <w:rFonts w:cs="Arial"/>
        </w:rPr>
      </w:pPr>
      <w:r w:rsidRPr="00252AC6">
        <w:rPr>
          <w:rFonts w:cs="Arial"/>
          <w:b/>
          <w:bCs/>
          <w:i/>
        </w:rPr>
        <w:t>Indicators</w:t>
      </w:r>
      <w:r w:rsidRPr="00252AC6">
        <w:rPr>
          <w:rFonts w:cs="Arial"/>
        </w:rPr>
        <w:t> accompany the quality statements to assist local health services to monitor how well they implement the care described in the clinical care standard. They are NOT a set of targets or mandatory indicators for performance management</w:t>
      </w:r>
      <w:r w:rsidRPr="00252AC6">
        <w:rPr>
          <w:rFonts w:cs="Arial"/>
          <w:color w:val="4A4A4A"/>
        </w:rPr>
        <w:t>.</w:t>
      </w:r>
    </w:p>
    <w:p w14:paraId="5FA4D09B" w14:textId="50E3BBAD" w:rsidR="00D976B1" w:rsidRPr="00D976B1" w:rsidRDefault="00D976B1" w:rsidP="00D976B1">
      <w:pPr>
        <w:rPr>
          <w:lang w:val="en-GB" w:bidi="en-US"/>
        </w:rPr>
      </w:pPr>
    </w:p>
    <w:p w14:paraId="4BA3AEDE" w14:textId="61785E60" w:rsidR="00D976B1" w:rsidRPr="00D976B1" w:rsidRDefault="00D976B1" w:rsidP="00D976B1">
      <w:pPr>
        <w:tabs>
          <w:tab w:val="left" w:pos="2700"/>
        </w:tabs>
        <w:rPr>
          <w:lang w:val="en-GB" w:bidi="en-US"/>
        </w:rPr>
      </w:pPr>
      <w:r>
        <w:rPr>
          <w:lang w:val="en-GB" w:bidi="en-US"/>
        </w:rPr>
        <w:tab/>
      </w:r>
    </w:p>
    <w:p w14:paraId="07895FCB" w14:textId="06AF759B" w:rsidR="00943A18" w:rsidRPr="0059607F" w:rsidRDefault="00623415" w:rsidP="00943A18">
      <w:pPr>
        <w:pStyle w:val="Heading2"/>
        <w:rPr>
          <w:lang w:val="en-GB"/>
        </w:rPr>
      </w:pPr>
      <w:r w:rsidRPr="0059607F">
        <w:lastRenderedPageBreak/>
        <w:t>Are clinical care standards the same as clinical guidelines?</w:t>
      </w:r>
    </w:p>
    <w:p w14:paraId="1181970D" w14:textId="42E4AAD0" w:rsidR="00420DBA" w:rsidRPr="00EA051F" w:rsidRDefault="00623415" w:rsidP="00420DBA">
      <w:pPr>
        <w:rPr>
          <w:lang w:val="en-GB" w:bidi="en-US"/>
        </w:rPr>
      </w:pPr>
      <w:r w:rsidRPr="00252AC6">
        <w:rPr>
          <w:rFonts w:ascii="Arial" w:hAnsi="Arial" w:cs="Arial"/>
        </w:rPr>
        <w:t>No, they are not. The clinical care standards are succinct statements on key areas of clinical practice for a specific condition where there is evidence of variation from best practice. They are based on evidence contained in clinical guidelines. Clinical guidelines detail all aspects of treatment and care for a specific condition. They are broader and extensive.</w:t>
      </w:r>
    </w:p>
    <w:p w14:paraId="4F790E91" w14:textId="24D192C0" w:rsidR="00943A18" w:rsidRPr="0059607F" w:rsidRDefault="00623415" w:rsidP="00943A18">
      <w:pPr>
        <w:pStyle w:val="Heading2"/>
        <w:rPr>
          <w:lang w:val="en-GB"/>
        </w:rPr>
      </w:pPr>
      <w:r w:rsidRPr="0059607F">
        <w:t>How are clinical care standards developed?</w:t>
      </w:r>
    </w:p>
    <w:p w14:paraId="0BE4EB18" w14:textId="77777777" w:rsidR="00623415" w:rsidRPr="00252AC6" w:rsidRDefault="00623415" w:rsidP="00410834">
      <w:pPr>
        <w:pStyle w:val="Commissionbodytext"/>
        <w:spacing w:before="120" w:after="120" w:line="240" w:lineRule="auto"/>
        <w:contextualSpacing/>
        <w:rPr>
          <w:rFonts w:eastAsia="Cambria"/>
        </w:rPr>
      </w:pPr>
      <w:r w:rsidRPr="00252AC6">
        <w:rPr>
          <w:rFonts w:eastAsia="Cambria"/>
        </w:rPr>
        <w:t xml:space="preserve">In developing the clinical care standards, the Commission uses the most up-to-date clinical guidelines and standards, information about gaps between evidence and practice, the professional expertise of clinicians and researchers, and consideration of issues important to consumers. </w:t>
      </w:r>
    </w:p>
    <w:p w14:paraId="681BA93F" w14:textId="77777777" w:rsidR="00623415" w:rsidRPr="00252AC6" w:rsidRDefault="00623415" w:rsidP="00410834">
      <w:pPr>
        <w:pStyle w:val="Body"/>
        <w:spacing w:before="120" w:after="120"/>
        <w:rPr>
          <w:rFonts w:cs="Arial"/>
          <w:sz w:val="22"/>
          <w:szCs w:val="22"/>
        </w:rPr>
      </w:pPr>
      <w:r w:rsidRPr="00252AC6">
        <w:rPr>
          <w:rFonts w:cs="Arial"/>
          <w:sz w:val="22"/>
          <w:szCs w:val="22"/>
        </w:rPr>
        <w:t>Each clinical care standard is developed by a topic working group who consider processes and the most current evidence, have expertise and knowledge of the issues affecting the appropriate delivery of care, and consider issues that are important to consumers.</w:t>
      </w:r>
    </w:p>
    <w:p w14:paraId="02191FFA" w14:textId="77777777" w:rsidR="00623415" w:rsidRPr="00252AC6" w:rsidRDefault="00623415" w:rsidP="00410834">
      <w:pPr>
        <w:pStyle w:val="Body"/>
        <w:spacing w:before="120" w:after="120"/>
        <w:rPr>
          <w:rFonts w:cs="Arial"/>
          <w:sz w:val="22"/>
          <w:szCs w:val="22"/>
        </w:rPr>
      </w:pPr>
      <w:r w:rsidRPr="00252AC6">
        <w:rPr>
          <w:rFonts w:cs="Arial"/>
          <w:sz w:val="22"/>
          <w:szCs w:val="22"/>
        </w:rPr>
        <w:t>A public consultation process is also conducted on the draft Clinical Care Standards and associated documents before finalisation.</w:t>
      </w:r>
    </w:p>
    <w:p w14:paraId="1BC62E93" w14:textId="14B0FE42" w:rsidR="00420DBA" w:rsidRPr="00623415" w:rsidRDefault="00623415" w:rsidP="00410834">
      <w:pPr>
        <w:pStyle w:val="Body"/>
        <w:spacing w:before="120" w:after="120"/>
        <w:rPr>
          <w:rFonts w:cs="Arial"/>
          <w:sz w:val="22"/>
          <w:szCs w:val="22"/>
        </w:rPr>
      </w:pPr>
      <w:r w:rsidRPr="00252AC6">
        <w:rPr>
          <w:rFonts w:cs="Arial"/>
          <w:sz w:val="22"/>
          <w:szCs w:val="22"/>
        </w:rPr>
        <w:t>Further information on the membership for each topic working group can be found on the Commission’s website.</w:t>
      </w:r>
    </w:p>
    <w:p w14:paraId="3F121DE5" w14:textId="315356C4" w:rsidR="00943A18" w:rsidRPr="0059607F" w:rsidRDefault="00623415" w:rsidP="00943A18">
      <w:pPr>
        <w:pStyle w:val="Heading2"/>
        <w:rPr>
          <w:lang w:val="en-GB"/>
        </w:rPr>
      </w:pPr>
      <w:r w:rsidRPr="0059607F">
        <w:t>How are topics selected to become a clinical care standard?</w:t>
      </w:r>
    </w:p>
    <w:p w14:paraId="2F66489C" w14:textId="47C919CE" w:rsidR="00623415" w:rsidRPr="00252AC6" w:rsidRDefault="00623415" w:rsidP="00623415">
      <w:pPr>
        <w:pStyle w:val="Body"/>
        <w:spacing w:before="120" w:after="120"/>
        <w:rPr>
          <w:rFonts w:cs="Arial"/>
        </w:rPr>
      </w:pPr>
      <w:r w:rsidRPr="00252AC6">
        <w:rPr>
          <w:rFonts w:cs="Arial"/>
          <w:sz w:val="22"/>
          <w:szCs w:val="22"/>
        </w:rPr>
        <w:t>When selecting topics for clinical care standard development, the Commission is guided by national data on current clinical practice and areas of unwarranted variation, advice from its advisory committees, and consideration of:</w:t>
      </w:r>
      <w:r w:rsidRPr="00252AC6">
        <w:rPr>
          <w:rFonts w:cs="Arial"/>
        </w:rPr>
        <w:t xml:space="preserve"> </w:t>
      </w:r>
    </w:p>
    <w:p w14:paraId="01FC56D4" w14:textId="77777777" w:rsidR="00623415" w:rsidRPr="00252AC6" w:rsidRDefault="00623415" w:rsidP="00623415">
      <w:pPr>
        <w:numPr>
          <w:ilvl w:val="0"/>
          <w:numId w:val="41"/>
        </w:numPr>
        <w:spacing w:before="0" w:after="0"/>
        <w:rPr>
          <w:rFonts w:ascii="Arial" w:hAnsi="Arial" w:cs="Arial"/>
        </w:rPr>
      </w:pPr>
      <w:r w:rsidRPr="00252AC6">
        <w:rPr>
          <w:rFonts w:ascii="Arial" w:hAnsi="Arial" w:cs="Arial"/>
        </w:rPr>
        <w:t xml:space="preserve">The potential to reduce unwarranted variation in care (whether it is overuse, </w:t>
      </w:r>
      <w:proofErr w:type="gramStart"/>
      <w:r w:rsidRPr="00252AC6">
        <w:rPr>
          <w:rFonts w:ascii="Arial" w:hAnsi="Arial" w:cs="Arial"/>
        </w:rPr>
        <w:t>misuse</w:t>
      </w:r>
      <w:proofErr w:type="gramEnd"/>
      <w:r w:rsidRPr="00252AC6">
        <w:rPr>
          <w:rFonts w:ascii="Arial" w:hAnsi="Arial" w:cs="Arial"/>
        </w:rPr>
        <w:t xml:space="preserve"> or underuse)</w:t>
      </w:r>
    </w:p>
    <w:p w14:paraId="489BA170" w14:textId="77777777" w:rsidR="00623415" w:rsidRPr="00252AC6" w:rsidRDefault="00623415" w:rsidP="00623415">
      <w:pPr>
        <w:numPr>
          <w:ilvl w:val="0"/>
          <w:numId w:val="41"/>
        </w:numPr>
        <w:spacing w:before="0" w:after="0"/>
        <w:rPr>
          <w:rFonts w:ascii="Arial" w:hAnsi="Arial" w:cs="Arial"/>
        </w:rPr>
      </w:pPr>
      <w:r w:rsidRPr="00252AC6">
        <w:rPr>
          <w:rFonts w:ascii="Arial" w:hAnsi="Arial" w:cs="Arial"/>
        </w:rPr>
        <w:t xml:space="preserve">The availability of high quality, current clinical practice guidelines, </w:t>
      </w:r>
      <w:proofErr w:type="gramStart"/>
      <w:r w:rsidRPr="00252AC6">
        <w:rPr>
          <w:rFonts w:ascii="Arial" w:hAnsi="Arial" w:cs="Arial"/>
        </w:rPr>
        <w:t>standards</w:t>
      </w:r>
      <w:proofErr w:type="gramEnd"/>
      <w:r w:rsidRPr="00252AC6">
        <w:rPr>
          <w:rFonts w:ascii="Arial" w:hAnsi="Arial" w:cs="Arial"/>
        </w:rPr>
        <w:t xml:space="preserve"> or evidence available for a clinical practice area</w:t>
      </w:r>
    </w:p>
    <w:p w14:paraId="158D15CB" w14:textId="77777777" w:rsidR="00623415" w:rsidRPr="00252AC6" w:rsidRDefault="00623415" w:rsidP="00623415">
      <w:pPr>
        <w:numPr>
          <w:ilvl w:val="0"/>
          <w:numId w:val="41"/>
        </w:numPr>
        <w:spacing w:before="0" w:after="0"/>
        <w:rPr>
          <w:rFonts w:ascii="Arial" w:hAnsi="Arial" w:cs="Arial"/>
        </w:rPr>
      </w:pPr>
      <w:r w:rsidRPr="00252AC6">
        <w:rPr>
          <w:rFonts w:ascii="Arial" w:hAnsi="Arial" w:cs="Arial"/>
        </w:rPr>
        <w:t>Opportunities to take action to reduce the risk of harm and improve clinical outcomes and experiences for consumers</w:t>
      </w:r>
    </w:p>
    <w:p w14:paraId="6089B787" w14:textId="77777777" w:rsidR="00623415" w:rsidRPr="00252AC6" w:rsidRDefault="00623415" w:rsidP="00623415">
      <w:pPr>
        <w:numPr>
          <w:ilvl w:val="0"/>
          <w:numId w:val="41"/>
        </w:numPr>
        <w:spacing w:before="0" w:after="0"/>
        <w:rPr>
          <w:rFonts w:ascii="Arial" w:hAnsi="Arial" w:cs="Arial"/>
        </w:rPr>
      </w:pPr>
      <w:r w:rsidRPr="00252AC6">
        <w:rPr>
          <w:rFonts w:ascii="Arial" w:hAnsi="Arial" w:cs="Arial"/>
        </w:rPr>
        <w:t>The potential to measure improvements in clinical outcomes</w:t>
      </w:r>
    </w:p>
    <w:p w14:paraId="1E52AB62" w14:textId="77777777" w:rsidR="00623415" w:rsidRPr="00252AC6" w:rsidRDefault="00623415" w:rsidP="00623415">
      <w:pPr>
        <w:numPr>
          <w:ilvl w:val="0"/>
          <w:numId w:val="41"/>
        </w:numPr>
        <w:spacing w:before="0" w:after="0"/>
        <w:rPr>
          <w:rFonts w:ascii="Arial" w:hAnsi="Arial" w:cs="Arial"/>
        </w:rPr>
      </w:pPr>
      <w:r w:rsidRPr="00252AC6">
        <w:rPr>
          <w:rFonts w:ascii="Arial" w:hAnsi="Arial" w:cs="Arial"/>
        </w:rPr>
        <w:t xml:space="preserve">Priorities for the commission and its key stakeholders. </w:t>
      </w:r>
    </w:p>
    <w:p w14:paraId="4E0CB59D" w14:textId="22D356CE" w:rsidR="00943A18" w:rsidRPr="0059607F" w:rsidRDefault="00623415" w:rsidP="00943A18">
      <w:pPr>
        <w:pStyle w:val="Heading2"/>
        <w:rPr>
          <w:lang w:val="en-GB"/>
        </w:rPr>
      </w:pPr>
      <w:r w:rsidRPr="0059607F">
        <w:t>How does the Commission manage conflict of interests?</w:t>
      </w:r>
    </w:p>
    <w:p w14:paraId="5D898F64" w14:textId="77777777" w:rsidR="00623415" w:rsidRPr="00252AC6" w:rsidRDefault="00623415" w:rsidP="00623415">
      <w:pPr>
        <w:pStyle w:val="Body"/>
        <w:rPr>
          <w:rFonts w:cs="Arial"/>
          <w:sz w:val="22"/>
          <w:szCs w:val="22"/>
        </w:rPr>
      </w:pPr>
      <w:r w:rsidRPr="00252AC6">
        <w:rPr>
          <w:rFonts w:cs="Arial"/>
          <w:sz w:val="22"/>
          <w:szCs w:val="22"/>
        </w:rPr>
        <w:t xml:space="preserve">All topic working group members are required to disclose financial, </w:t>
      </w:r>
      <w:proofErr w:type="gramStart"/>
      <w:r w:rsidRPr="00252AC6">
        <w:rPr>
          <w:rFonts w:cs="Arial"/>
          <w:sz w:val="22"/>
          <w:szCs w:val="22"/>
        </w:rPr>
        <w:t>personal</w:t>
      </w:r>
      <w:proofErr w:type="gramEnd"/>
      <w:r w:rsidRPr="00252AC6">
        <w:rPr>
          <w:rFonts w:cs="Arial"/>
          <w:sz w:val="22"/>
          <w:szCs w:val="22"/>
        </w:rPr>
        <w:t xml:space="preserve"> and professional interests that could, or could be perceived to influence a decision made, or advice given to the Commission. Disclosures are required every time the topic working group members meet and the information is managed in line with the Commission's Policy on Disclosure of Interests.</w:t>
      </w:r>
    </w:p>
    <w:p w14:paraId="75720D43" w14:textId="0003925A" w:rsidR="00943A18" w:rsidRPr="0059607F" w:rsidRDefault="00623415" w:rsidP="00943A18">
      <w:pPr>
        <w:pStyle w:val="Heading2"/>
        <w:rPr>
          <w:lang w:val="en-GB"/>
        </w:rPr>
      </w:pPr>
      <w:r w:rsidRPr="0059607F">
        <w:t>Who are the clinical care standards for?</w:t>
      </w:r>
    </w:p>
    <w:p w14:paraId="6CDE729D" w14:textId="77777777" w:rsidR="00623415" w:rsidRDefault="00623415" w:rsidP="00623415">
      <w:pPr>
        <w:rPr>
          <w:rFonts w:ascii="Arial" w:hAnsi="Arial" w:cs="Arial"/>
        </w:rPr>
      </w:pPr>
      <w:r w:rsidRPr="00252AC6">
        <w:rPr>
          <w:rFonts w:ascii="Arial" w:hAnsi="Arial" w:cs="Arial"/>
        </w:rPr>
        <w:t xml:space="preserve">Everyone: </w:t>
      </w:r>
    </w:p>
    <w:p w14:paraId="2CDFD13F" w14:textId="77777777" w:rsidR="00623415" w:rsidRPr="00252AC6" w:rsidRDefault="00623415" w:rsidP="00623415">
      <w:pPr>
        <w:numPr>
          <w:ilvl w:val="0"/>
          <w:numId w:val="41"/>
        </w:numPr>
        <w:spacing w:before="0" w:after="0"/>
        <w:rPr>
          <w:rFonts w:ascii="Arial" w:hAnsi="Arial" w:cs="Arial"/>
        </w:rPr>
      </w:pPr>
      <w:r w:rsidRPr="00252AC6">
        <w:rPr>
          <w:rFonts w:ascii="Arial" w:hAnsi="Arial" w:cs="Arial"/>
        </w:rPr>
        <w:t xml:space="preserve">Patients, their families, </w:t>
      </w:r>
      <w:proofErr w:type="gramStart"/>
      <w:r w:rsidRPr="00252AC6">
        <w:rPr>
          <w:rFonts w:ascii="Arial" w:hAnsi="Arial" w:cs="Arial"/>
        </w:rPr>
        <w:t>carers</w:t>
      </w:r>
      <w:proofErr w:type="gramEnd"/>
      <w:r w:rsidRPr="00252AC6">
        <w:rPr>
          <w:rFonts w:ascii="Arial" w:hAnsi="Arial" w:cs="Arial"/>
        </w:rPr>
        <w:t xml:space="preserve"> and consumers</w:t>
      </w:r>
    </w:p>
    <w:p w14:paraId="216B1A0E" w14:textId="77777777" w:rsidR="00623415" w:rsidRPr="00252AC6" w:rsidRDefault="00623415" w:rsidP="00623415">
      <w:pPr>
        <w:numPr>
          <w:ilvl w:val="0"/>
          <w:numId w:val="41"/>
        </w:numPr>
        <w:spacing w:before="0" w:after="0"/>
        <w:rPr>
          <w:rFonts w:ascii="Arial" w:hAnsi="Arial" w:cs="Arial"/>
        </w:rPr>
      </w:pPr>
      <w:r w:rsidRPr="00252AC6">
        <w:rPr>
          <w:rFonts w:ascii="Arial" w:hAnsi="Arial" w:cs="Arial"/>
        </w:rPr>
        <w:t>Health care professionals</w:t>
      </w:r>
    </w:p>
    <w:p w14:paraId="470FD13A" w14:textId="77777777" w:rsidR="00623415" w:rsidRPr="00623415" w:rsidRDefault="00623415" w:rsidP="007A2A4A">
      <w:pPr>
        <w:numPr>
          <w:ilvl w:val="0"/>
          <w:numId w:val="41"/>
        </w:numPr>
        <w:spacing w:before="0" w:after="0"/>
        <w:rPr>
          <w:lang w:val="en-GB" w:bidi="en-US"/>
        </w:rPr>
      </w:pPr>
      <w:r w:rsidRPr="00623415">
        <w:rPr>
          <w:rFonts w:ascii="Arial" w:hAnsi="Arial" w:cs="Arial"/>
        </w:rPr>
        <w:t>Health service managers</w:t>
      </w:r>
    </w:p>
    <w:p w14:paraId="4C389EC6" w14:textId="623FDD0B" w:rsidR="00420DBA" w:rsidRPr="00623415" w:rsidRDefault="00623415" w:rsidP="007A2A4A">
      <w:pPr>
        <w:numPr>
          <w:ilvl w:val="0"/>
          <w:numId w:val="41"/>
        </w:numPr>
        <w:spacing w:before="0" w:after="0"/>
        <w:rPr>
          <w:lang w:val="en-GB" w:bidi="en-US"/>
        </w:rPr>
      </w:pPr>
      <w:r w:rsidRPr="00623415">
        <w:rPr>
          <w:rFonts w:ascii="Arial" w:hAnsi="Arial" w:cs="Arial"/>
        </w:rPr>
        <w:t>Health care planners.</w:t>
      </w:r>
      <w:r w:rsidR="00420DBA" w:rsidRPr="00623415">
        <w:rPr>
          <w:lang w:val="en-GB" w:bidi="en-US"/>
        </w:rPr>
        <w:t xml:space="preserve"> </w:t>
      </w:r>
    </w:p>
    <w:p w14:paraId="3B2B39D7" w14:textId="7A2398BC" w:rsidR="00943A18" w:rsidRPr="0059607F" w:rsidRDefault="00623415" w:rsidP="00943A18">
      <w:pPr>
        <w:pStyle w:val="Heading2"/>
        <w:rPr>
          <w:lang w:val="en-GB"/>
        </w:rPr>
      </w:pPr>
      <w:r w:rsidRPr="0059607F">
        <w:lastRenderedPageBreak/>
        <w:t>What does a clinical care standard mean for a consumer?</w:t>
      </w:r>
    </w:p>
    <w:p w14:paraId="277DA70A" w14:textId="6A886C09" w:rsidR="00A73CB1" w:rsidRDefault="00623415" w:rsidP="00420DBA">
      <w:pPr>
        <w:rPr>
          <w:lang w:val="en-GB" w:bidi="en-US"/>
        </w:rPr>
      </w:pPr>
      <w:r w:rsidRPr="00252AC6">
        <w:rPr>
          <w:rFonts w:ascii="Arial" w:hAnsi="Arial" w:cs="Arial"/>
        </w:rPr>
        <w:t>The clinical care standards help people to know what care to expect for a particular clinical condition and to help them to make informed decisions about treatment in collaboration with their health professional.</w:t>
      </w:r>
    </w:p>
    <w:p w14:paraId="2A6BB95D" w14:textId="25E51ECA" w:rsidR="00A73CB1" w:rsidRPr="0059607F" w:rsidRDefault="00623415" w:rsidP="00A73CB1">
      <w:pPr>
        <w:pStyle w:val="Heading2"/>
        <w:rPr>
          <w:lang w:val="en-GB"/>
        </w:rPr>
      </w:pPr>
      <w:r w:rsidRPr="0059607F">
        <w:t>What does a clinical care standard mean for a healthcare professional?</w:t>
      </w:r>
    </w:p>
    <w:p w14:paraId="1140B758" w14:textId="4EE19BA6" w:rsidR="00A73CB1" w:rsidRDefault="00623415" w:rsidP="00420DBA">
      <w:pPr>
        <w:rPr>
          <w:lang w:val="en-GB" w:bidi="en-US"/>
        </w:rPr>
      </w:pPr>
      <w:r w:rsidRPr="00252AC6">
        <w:rPr>
          <w:rFonts w:ascii="Arial" w:hAnsi="Arial" w:cs="Arial"/>
        </w:rPr>
        <w:t>The clinical care standards provide guidance to health professionals so they can deliver and have informed discussions about treatment options with their patients.</w:t>
      </w:r>
    </w:p>
    <w:p w14:paraId="66C93ADA" w14:textId="6FFABB2B" w:rsidR="00A73CB1" w:rsidRPr="0059607F" w:rsidRDefault="00623415" w:rsidP="00A73CB1">
      <w:pPr>
        <w:pStyle w:val="Heading2"/>
        <w:rPr>
          <w:lang w:val="en-GB"/>
        </w:rPr>
      </w:pPr>
      <w:r w:rsidRPr="0059607F">
        <w:t>What do clinical care standards mean for health services?</w:t>
      </w:r>
    </w:p>
    <w:p w14:paraId="50E3B228" w14:textId="2C866E2B" w:rsidR="00A73CB1" w:rsidRPr="00EA051F" w:rsidRDefault="00623415" w:rsidP="00A73CB1">
      <w:pPr>
        <w:rPr>
          <w:lang w:val="en-GB" w:bidi="en-US"/>
        </w:rPr>
      </w:pPr>
      <w:r w:rsidRPr="00252AC6">
        <w:rPr>
          <w:rFonts w:ascii="Arial" w:hAnsi="Arial" w:cs="Arial"/>
        </w:rPr>
        <w:t>The clinical care standards set out the components of care that health services can use to support and monitor improvement in their hospitals and other services where the clinical care standard is applicable.</w:t>
      </w:r>
    </w:p>
    <w:p w14:paraId="2168908C" w14:textId="21332021" w:rsidR="00623415" w:rsidRPr="0059607F" w:rsidRDefault="00623415" w:rsidP="00623415">
      <w:pPr>
        <w:pStyle w:val="Heading2"/>
        <w:rPr>
          <w:lang w:val="en-GB"/>
        </w:rPr>
      </w:pPr>
      <w:r w:rsidRPr="0059607F">
        <w:t>What is the difference between clinical care standards and National Safety and Quality Health Service (NSQHS) Standards?</w:t>
      </w:r>
    </w:p>
    <w:p w14:paraId="18BF151E" w14:textId="77777777" w:rsidR="00623415" w:rsidRPr="00252AC6" w:rsidRDefault="00623415" w:rsidP="009F34D6">
      <w:pPr>
        <w:pStyle w:val="Commissionbodytext"/>
        <w:spacing w:before="120" w:after="120" w:line="240" w:lineRule="auto"/>
        <w:rPr>
          <w:rFonts w:eastAsia="Cambria"/>
        </w:rPr>
      </w:pPr>
      <w:r w:rsidRPr="00252AC6">
        <w:rPr>
          <w:rFonts w:eastAsia="Cambria"/>
        </w:rPr>
        <w:t>The clinical care standards provide guidance on appropriate care (</w:t>
      </w:r>
      <w:proofErr w:type="gramStart"/>
      <w:r w:rsidRPr="00252AC6">
        <w:rPr>
          <w:rFonts w:eastAsia="Cambria"/>
        </w:rPr>
        <w:t>e.g.</w:t>
      </w:r>
      <w:proofErr w:type="gramEnd"/>
      <w:r w:rsidRPr="00252AC6">
        <w:rPr>
          <w:rFonts w:eastAsia="Cambria"/>
        </w:rPr>
        <w:t xml:space="preserve"> a treatment, process or procedure) that a patient should receive for a specific clinical condition. </w:t>
      </w:r>
    </w:p>
    <w:p w14:paraId="2A3A90F2" w14:textId="77777777" w:rsidR="00623415" w:rsidRPr="00252AC6" w:rsidRDefault="00623415" w:rsidP="009F34D6">
      <w:pPr>
        <w:pStyle w:val="Commissionbodytext"/>
        <w:spacing w:before="120" w:after="120" w:line="240" w:lineRule="auto"/>
        <w:rPr>
          <w:rFonts w:eastAsia="Cambria"/>
        </w:rPr>
      </w:pPr>
      <w:r w:rsidRPr="00252AC6">
        <w:rPr>
          <w:rFonts w:eastAsia="Cambria"/>
        </w:rPr>
        <w:t>The NSQHS Standards set out the minimum performance expectations, processes and structures that should be in place for a health service (</w:t>
      </w:r>
      <w:proofErr w:type="gramStart"/>
      <w:r w:rsidRPr="00252AC6">
        <w:rPr>
          <w:rFonts w:eastAsia="Cambria"/>
        </w:rPr>
        <w:t>e.g.</w:t>
      </w:r>
      <w:proofErr w:type="gramEnd"/>
      <w:r w:rsidRPr="00252AC6">
        <w:rPr>
          <w:rFonts w:eastAsia="Cambria"/>
        </w:rPr>
        <w:t xml:space="preserve"> hospital, aged-care service, day surgeries, etc.) to provide safe and high quality care. </w:t>
      </w:r>
    </w:p>
    <w:p w14:paraId="15E30D1B" w14:textId="77777777" w:rsidR="00623415" w:rsidRPr="00252AC6" w:rsidRDefault="00623415" w:rsidP="009F34D6">
      <w:pPr>
        <w:pStyle w:val="Commissionbodytext"/>
        <w:spacing w:before="120" w:after="120" w:line="240" w:lineRule="auto"/>
        <w:contextualSpacing/>
        <w:rPr>
          <w:rFonts w:eastAsia="Cambria"/>
        </w:rPr>
      </w:pPr>
      <w:r w:rsidRPr="00252AC6">
        <w:rPr>
          <w:rFonts w:eastAsia="Cambria"/>
        </w:rPr>
        <w:t xml:space="preserve">Relevant NSQHS Standards that relate to the clinical care standard include the: </w:t>
      </w:r>
    </w:p>
    <w:p w14:paraId="427A7C55" w14:textId="77777777" w:rsidR="00623415" w:rsidRPr="00252AC6" w:rsidRDefault="00623415" w:rsidP="009F34D6">
      <w:pPr>
        <w:pStyle w:val="Commissionbodytext"/>
        <w:numPr>
          <w:ilvl w:val="0"/>
          <w:numId w:val="42"/>
        </w:numPr>
        <w:spacing w:before="120" w:after="120" w:line="240" w:lineRule="auto"/>
        <w:contextualSpacing/>
        <w:rPr>
          <w:rFonts w:eastAsia="Cambria"/>
        </w:rPr>
      </w:pPr>
      <w:r w:rsidRPr="00252AC6">
        <w:rPr>
          <w:rFonts w:eastAsia="Cambria"/>
        </w:rPr>
        <w:t xml:space="preserve">Governance for Safety and Quality Standard– </w:t>
      </w:r>
      <w:proofErr w:type="gramStart"/>
      <w:r w:rsidRPr="00252AC6">
        <w:rPr>
          <w:rFonts w:eastAsia="Cambria"/>
        </w:rPr>
        <w:t>in particular Action</w:t>
      </w:r>
      <w:proofErr w:type="gramEnd"/>
      <w:r w:rsidRPr="00252AC6">
        <w:rPr>
          <w:rFonts w:eastAsia="Cambria"/>
        </w:rPr>
        <w:t xml:space="preserve"> 1.27 and 1.28</w:t>
      </w:r>
    </w:p>
    <w:p w14:paraId="611C3949" w14:textId="64A88C8F" w:rsidR="00623415" w:rsidRPr="009F34D6" w:rsidRDefault="00623415" w:rsidP="009F34D6">
      <w:pPr>
        <w:pStyle w:val="Commissionbodytext"/>
        <w:numPr>
          <w:ilvl w:val="0"/>
          <w:numId w:val="42"/>
        </w:numPr>
        <w:spacing w:before="120" w:after="120" w:line="240" w:lineRule="auto"/>
        <w:rPr>
          <w:rFonts w:eastAsia="Cambria"/>
        </w:rPr>
      </w:pPr>
      <w:r w:rsidRPr="00252AC6">
        <w:rPr>
          <w:rFonts w:eastAsia="Cambria"/>
        </w:rPr>
        <w:t xml:space="preserve">Partnering with Consumers Standard. </w:t>
      </w:r>
    </w:p>
    <w:p w14:paraId="6825A5B7" w14:textId="12CE880E" w:rsidR="00280FD6" w:rsidRDefault="00623415" w:rsidP="009F34D6">
      <w:pPr>
        <w:rPr>
          <w:lang w:val="en-GB" w:bidi="en-US"/>
        </w:rPr>
      </w:pPr>
      <w:r w:rsidRPr="00252AC6">
        <w:rPr>
          <w:rFonts w:eastAsia="Cambria"/>
        </w:rPr>
        <w:t>Used together, the clinical care standards and the NSQHS Standards aim to ensure people will receive safe, high quality appropriate care.</w:t>
      </w:r>
    </w:p>
    <w:p w14:paraId="13C96592" w14:textId="35519E0E" w:rsidR="00410834" w:rsidRPr="0059607F" w:rsidRDefault="00410834" w:rsidP="00410834">
      <w:pPr>
        <w:pStyle w:val="Heading2"/>
        <w:rPr>
          <w:b w:val="0"/>
          <w:bCs/>
          <w:sz w:val="32"/>
          <w:szCs w:val="32"/>
          <w:lang w:val="en-GB"/>
        </w:rPr>
      </w:pPr>
      <w:r w:rsidRPr="0059607F">
        <w:rPr>
          <w:rStyle w:val="Style1Char"/>
          <w:b/>
          <w:bCs/>
          <w:color w:val="007978"/>
          <w:sz w:val="32"/>
          <w:szCs w:val="32"/>
        </w:rPr>
        <w:t xml:space="preserve">Is the use of the </w:t>
      </w:r>
      <w:proofErr w:type="gramStart"/>
      <w:r w:rsidRPr="0059607F">
        <w:rPr>
          <w:rStyle w:val="Style1Char"/>
          <w:b/>
          <w:bCs/>
          <w:color w:val="007978"/>
          <w:sz w:val="32"/>
          <w:szCs w:val="32"/>
        </w:rPr>
        <w:t>indicators</w:t>
      </w:r>
      <w:proofErr w:type="gramEnd"/>
      <w:r w:rsidRPr="0059607F">
        <w:rPr>
          <w:rStyle w:val="Style1Char"/>
          <w:b/>
          <w:bCs/>
          <w:color w:val="007978"/>
          <w:sz w:val="32"/>
          <w:szCs w:val="32"/>
        </w:rPr>
        <w:t xml:space="preserve"> compulsory?</w:t>
      </w:r>
    </w:p>
    <w:p w14:paraId="304A4225" w14:textId="104EE094" w:rsidR="00410834" w:rsidRPr="00EA051F" w:rsidRDefault="00410834" w:rsidP="00410834">
      <w:pPr>
        <w:rPr>
          <w:lang w:val="en-GB" w:bidi="en-US"/>
        </w:rPr>
      </w:pPr>
      <w:r w:rsidRPr="00252AC6">
        <w:rPr>
          <w:rFonts w:eastAsia="Cambria"/>
        </w:rPr>
        <w:t>Monitoring quality of care is an effective way of identifying areas that require improvement. Organisations are likely to have mechanisms in place that monitor the care provided. The suggested indicators are not compulsory. However, if additional measures are needed then the suggested indicators can be used.</w:t>
      </w:r>
    </w:p>
    <w:p w14:paraId="5D7EDAC6" w14:textId="5398DBB8" w:rsidR="00410834" w:rsidRPr="00943A18" w:rsidRDefault="00410834" w:rsidP="00410834">
      <w:pPr>
        <w:pStyle w:val="Heading2"/>
        <w:rPr>
          <w:lang w:val="en-GB"/>
        </w:rPr>
      </w:pPr>
      <w:r w:rsidRPr="00252AC6">
        <w:t>How to get involved?</w:t>
      </w:r>
    </w:p>
    <w:p w14:paraId="669BC9F9" w14:textId="4F618E9D" w:rsidR="00410834" w:rsidRDefault="00410834" w:rsidP="00410834">
      <w:pPr>
        <w:rPr>
          <w:rFonts w:ascii="Arial" w:hAnsi="Arial" w:cs="Arial"/>
          <w:color w:val="000000"/>
        </w:rPr>
      </w:pPr>
      <w:r w:rsidRPr="00252AC6">
        <w:rPr>
          <w:rFonts w:ascii="Arial" w:hAnsi="Arial" w:cs="Arial"/>
          <w:color w:val="000000"/>
        </w:rPr>
        <w:t>Each draft clinical care standard goes through a public consultation process and the feedback from this process is used to further improve each clinical care standard.</w:t>
      </w:r>
    </w:p>
    <w:p w14:paraId="0826F995" w14:textId="626517D3" w:rsidR="004A1C9B" w:rsidRPr="004A1C9B" w:rsidRDefault="00410834" w:rsidP="00966B64">
      <w:pPr>
        <w:spacing w:after="360"/>
        <w:rPr>
          <w:lang w:val="en-GB" w:bidi="en-US"/>
        </w:rPr>
      </w:pPr>
      <w:r w:rsidRPr="00252AC6">
        <w:rPr>
          <w:rFonts w:cs="Arial"/>
          <w:color w:val="000000"/>
        </w:rPr>
        <w:t xml:space="preserve">To hear more about the clinical care standards, you can sign up to the Commission Twitter account @ACSQHC or to the Commission’s newsletters. You can also contact the clinical care standards team at </w:t>
      </w:r>
      <w:hyperlink r:id="rId8" w:history="1">
        <w:r w:rsidRPr="00252AC6">
          <w:rPr>
            <w:rStyle w:val="Hyperlink"/>
            <w:rFonts w:cs="Arial"/>
          </w:rPr>
          <w:t>ccs@safetyandquality.gov.au</w:t>
        </w:r>
      </w:hyperlink>
      <w:bookmarkStart w:id="2" w:name="_Hlk112749896"/>
      <w:r w:rsidR="007804B9">
        <w:rPr>
          <w:rStyle w:val="Hyperlink"/>
          <w:rFonts w:cs="Arial"/>
        </w:rPr>
        <w:t>.</w:t>
      </w:r>
    </w:p>
    <w:p w14:paraId="6DC7AFC1" w14:textId="77777777" w:rsidR="004A1C9B" w:rsidRPr="004A1C9B" w:rsidRDefault="004A1C9B" w:rsidP="007804B9">
      <w:pPr>
        <w:pBdr>
          <w:top w:val="single" w:sz="18" w:space="1" w:color="BAC736"/>
          <w:left w:val="single" w:sz="18" w:space="4" w:color="BAC736"/>
          <w:bottom w:val="single" w:sz="18" w:space="1" w:color="BAC736"/>
          <w:right w:val="single" w:sz="18" w:space="4" w:color="BAC736"/>
        </w:pBdr>
        <w:spacing w:before="0" w:after="0"/>
        <w:rPr>
          <w:rFonts w:cs="Arial"/>
          <w:sz w:val="6"/>
          <w:szCs w:val="6"/>
        </w:rPr>
      </w:pPr>
    </w:p>
    <w:p w14:paraId="3B1073ED" w14:textId="20AE6ADD" w:rsidR="004A1C9B" w:rsidRDefault="004A1C9B" w:rsidP="007804B9">
      <w:pPr>
        <w:pBdr>
          <w:top w:val="single" w:sz="18" w:space="1" w:color="BAC736"/>
          <w:left w:val="single" w:sz="18" w:space="4" w:color="BAC736"/>
          <w:bottom w:val="single" w:sz="18" w:space="1" w:color="BAC736"/>
          <w:right w:val="single" w:sz="18" w:space="4" w:color="BAC736"/>
        </w:pBdr>
        <w:spacing w:before="0" w:after="0"/>
        <w:rPr>
          <w:rStyle w:val="Hyperlink"/>
          <w:rFonts w:cs="Arial"/>
          <w:szCs w:val="20"/>
        </w:rPr>
      </w:pPr>
      <w:r w:rsidRPr="00252AC6">
        <w:rPr>
          <w:rFonts w:cs="Arial"/>
        </w:rPr>
        <w:t xml:space="preserve">More information is available at </w:t>
      </w:r>
      <w:hyperlink r:id="rId9" w:history="1">
        <w:r w:rsidRPr="00252AC6">
          <w:rPr>
            <w:rStyle w:val="Hyperlink"/>
            <w:rFonts w:cs="Arial"/>
            <w:szCs w:val="20"/>
          </w:rPr>
          <w:t>www.safetyandquality.gov.au/ccs</w:t>
        </w:r>
      </w:hyperlink>
    </w:p>
    <w:p w14:paraId="5E465B8D" w14:textId="77777777" w:rsidR="004A1C9B" w:rsidRPr="004A1C9B" w:rsidRDefault="004A1C9B" w:rsidP="007804B9">
      <w:pPr>
        <w:pBdr>
          <w:top w:val="single" w:sz="18" w:space="1" w:color="BAC736"/>
          <w:left w:val="single" w:sz="18" w:space="4" w:color="BAC736"/>
          <w:bottom w:val="single" w:sz="18" w:space="1" w:color="BAC736"/>
          <w:right w:val="single" w:sz="18" w:space="4" w:color="BAC736"/>
        </w:pBdr>
        <w:spacing w:before="0" w:after="0"/>
        <w:rPr>
          <w:b/>
          <w:bCs/>
          <w:sz w:val="6"/>
          <w:szCs w:val="6"/>
          <w:lang w:val="en-GB"/>
        </w:rPr>
      </w:pPr>
    </w:p>
    <w:bookmarkEnd w:id="2"/>
    <w:bookmarkEnd w:id="0"/>
    <w:bookmarkEnd w:id="1"/>
    <w:sectPr w:rsidR="004A1C9B" w:rsidRPr="004A1C9B" w:rsidSect="00410834">
      <w:headerReference w:type="even" r:id="rId10"/>
      <w:headerReference w:type="default" r:id="rId11"/>
      <w:footerReference w:type="even" r:id="rId12"/>
      <w:footerReference w:type="default" r:id="rId13"/>
      <w:pgSz w:w="11906" w:h="16838"/>
      <w:pgMar w:top="2126"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3931F" w14:textId="77777777" w:rsidR="00A70F23" w:rsidRDefault="00A70F23" w:rsidP="000B0274">
      <w:r>
        <w:separator/>
      </w:r>
    </w:p>
    <w:p w14:paraId="741FC92D" w14:textId="77777777" w:rsidR="00A70F23" w:rsidRDefault="00A70F23"/>
    <w:p w14:paraId="0275B70B" w14:textId="77777777" w:rsidR="00A70F23" w:rsidRDefault="00A70F23"/>
    <w:p w14:paraId="78FBBF7D" w14:textId="77777777" w:rsidR="00A70F23" w:rsidRDefault="00A70F23"/>
    <w:p w14:paraId="6CEE1BD7" w14:textId="77777777" w:rsidR="00A70F23" w:rsidRDefault="00A70F23"/>
  </w:endnote>
  <w:endnote w:type="continuationSeparator" w:id="0">
    <w:p w14:paraId="24CF896F" w14:textId="77777777" w:rsidR="00A70F23" w:rsidRDefault="00A70F23" w:rsidP="000B0274">
      <w:r>
        <w:continuationSeparator/>
      </w:r>
    </w:p>
    <w:p w14:paraId="48D82B5C" w14:textId="77777777" w:rsidR="00A70F23" w:rsidRDefault="00A70F23"/>
    <w:p w14:paraId="28043F91" w14:textId="77777777" w:rsidR="00A70F23" w:rsidRDefault="00A70F23"/>
    <w:p w14:paraId="46075AAB" w14:textId="77777777" w:rsidR="00A70F23" w:rsidRDefault="00A70F23"/>
    <w:p w14:paraId="232E266B" w14:textId="77777777" w:rsidR="00A70F23" w:rsidRDefault="00A70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Gotham Medium">
    <w:altName w:val="Calibri"/>
    <w:panose1 w:val="00000000000000000000"/>
    <w:charset w:val="00"/>
    <w:family w:val="auto"/>
    <w:notTrueType/>
    <w:pitch w:val="variable"/>
    <w:sig w:usb0="00000003" w:usb1="00000000" w:usb2="00000000" w:usb3="00000000" w:csb0="0000000B" w:csb1="00000000"/>
  </w:font>
  <w:font w:name="Lucida Grande">
    <w:altName w:val="Franklin Gothic Medium Cond"/>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Proxima Nova">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1613B" w14:textId="2470B402" w:rsidR="00D976B1" w:rsidRDefault="00E40FD7" w:rsidP="00D976B1">
    <w:pPr>
      <w:pStyle w:val="Footer"/>
      <w:spacing w:before="0"/>
      <w:jc w:val="center"/>
    </w:pPr>
    <w:r w:rsidRPr="00E40FD7">
      <w:t xml:space="preserve">Clinical </w:t>
    </w:r>
    <w:r w:rsidR="00BE1511">
      <w:t>c</w:t>
    </w:r>
    <w:r w:rsidRPr="00E40FD7">
      <w:t xml:space="preserve">are </w:t>
    </w:r>
    <w:r w:rsidR="00BE1511">
      <w:t>s</w:t>
    </w:r>
    <w:r w:rsidRPr="00E40FD7">
      <w:t>tandard</w:t>
    </w:r>
    <w:r w:rsidR="00410834">
      <w:t>s</w:t>
    </w:r>
    <w:r w:rsidR="00C50FAC">
      <w:t xml:space="preserve"> </w:t>
    </w:r>
    <w:r w:rsidR="00280FD6">
      <w:t xml:space="preserve">– </w:t>
    </w:r>
    <w:r w:rsidR="00D976B1">
      <w:t>FAQs</w:t>
    </w:r>
    <w:r w:rsidR="00410834">
      <w:t xml:space="preserve"> </w:t>
    </w:r>
    <w:r w:rsidR="00280FD6">
      <w:t>for clinicians</w:t>
    </w:r>
    <w:r w:rsidR="00966B64">
      <w:t xml:space="preserve"> </w:t>
    </w:r>
    <w:r w:rsidR="00D976B1">
      <w:t xml:space="preserve">- August 2022 </w:t>
    </w:r>
    <w:r w:rsidR="00D976B1">
      <w:tab/>
    </w:r>
    <w:r w:rsidR="00D976B1" w:rsidRPr="00D84622">
      <w:fldChar w:fldCharType="begin"/>
    </w:r>
    <w:r w:rsidR="00D976B1" w:rsidRPr="00D84622">
      <w:instrText xml:space="preserve"> PAGE   \* MERGEFORMAT </w:instrText>
    </w:r>
    <w:r w:rsidR="00D976B1" w:rsidRPr="00D84622">
      <w:fldChar w:fldCharType="separate"/>
    </w:r>
    <w:r w:rsidR="00D976B1">
      <w:t>1</w:t>
    </w:r>
    <w:r w:rsidR="00D976B1" w:rsidRPr="00D84622">
      <w:fldChar w:fldCharType="end"/>
    </w:r>
  </w:p>
  <w:p w14:paraId="501EA54C" w14:textId="43E519D4" w:rsidR="008B014E" w:rsidRPr="00E40FD7" w:rsidRDefault="00A5694A" w:rsidP="00D976B1">
    <w:pPr>
      <w:pStyle w:val="Footer"/>
      <w:spacing w:before="0"/>
      <w:jc w:val="center"/>
      <w:rPr>
        <w:b/>
      </w:rPr>
    </w:pPr>
    <w:r w:rsidRPr="00D8462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BB0AC" w14:textId="77777777" w:rsidR="00A70F23" w:rsidRDefault="00A70F23" w:rsidP="000B0274">
      <w:r>
        <w:separator/>
      </w:r>
    </w:p>
    <w:p w14:paraId="0F35B6FD" w14:textId="77777777" w:rsidR="00A70F23" w:rsidRDefault="00A70F23"/>
    <w:p w14:paraId="1AB9CF18" w14:textId="77777777" w:rsidR="00A70F23" w:rsidRDefault="00A70F23"/>
    <w:p w14:paraId="654A949F" w14:textId="77777777" w:rsidR="00A70F23" w:rsidRDefault="00A70F23"/>
    <w:p w14:paraId="79348DD8" w14:textId="77777777" w:rsidR="00A70F23" w:rsidRDefault="00A70F23"/>
  </w:footnote>
  <w:footnote w:type="continuationSeparator" w:id="0">
    <w:p w14:paraId="617861A4" w14:textId="77777777" w:rsidR="00A70F23" w:rsidRDefault="00A70F23" w:rsidP="000B0274">
      <w:r>
        <w:continuationSeparator/>
      </w:r>
    </w:p>
    <w:p w14:paraId="6246BFFF" w14:textId="77777777" w:rsidR="00A70F23" w:rsidRDefault="00A70F23"/>
    <w:p w14:paraId="4F40774C" w14:textId="77777777" w:rsidR="00A70F23" w:rsidRDefault="00A70F23"/>
    <w:p w14:paraId="772D7A65" w14:textId="77777777" w:rsidR="00A70F23" w:rsidRDefault="00A70F23"/>
    <w:p w14:paraId="26BD6217" w14:textId="77777777" w:rsidR="00A70F23" w:rsidRDefault="00A70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EBB51" w14:textId="3F8FF3F9" w:rsidR="008B014E" w:rsidRDefault="0036588B" w:rsidP="00526689">
    <w:pPr>
      <w:tabs>
        <w:tab w:val="right" w:pos="9638"/>
      </w:tabs>
      <w:spacing w:before="0" w:after="0"/>
      <w:ind w:left="-142"/>
    </w:pPr>
    <w:r w:rsidRPr="00FB375B">
      <w:rPr>
        <w:rFonts w:eastAsiaTheme="majorEastAsia"/>
        <w:noProof/>
      </w:rPr>
      <w:drawing>
        <wp:inline distT="0" distB="0" distL="0" distR="0" wp14:anchorId="752AEEBE" wp14:editId="5015BC25">
          <wp:extent cx="4307149" cy="543600"/>
          <wp:effectExtent l="0" t="0" r="0" b="2540"/>
          <wp:docPr id="12" name="Picture 12"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526689" w:rsidRPr="00526689">
      <w:rPr>
        <w:noProof/>
      </w:rPr>
      <w:drawing>
        <wp:inline distT="0" distB="0" distL="0" distR="0" wp14:anchorId="108F7AF7" wp14:editId="14228807">
          <wp:extent cx="1569720" cy="441325"/>
          <wp:effectExtent l="0" t="0" r="5080" b="3175"/>
          <wp:docPr id="13" name="Picture 13" descr="Clinical Care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Care Standard logo"/>
                  <pic:cNvPicPr/>
                </pic:nvPicPr>
                <pic:blipFill rotWithShape="1">
                  <a:blip r:embed="rId2"/>
                  <a:srcRect t="8116" r="2365" b="8832"/>
                  <a:stretch/>
                </pic:blipFill>
                <pic:spPr bwMode="auto">
                  <a:xfrm>
                    <a:off x="0" y="0"/>
                    <a:ext cx="1589194" cy="446800"/>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51CB0"/>
    <w:multiLevelType w:val="hybridMultilevel"/>
    <w:tmpl w:val="743A6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6241B5"/>
    <w:multiLevelType w:val="hybridMultilevel"/>
    <w:tmpl w:val="B2F28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40A7DD9"/>
    <w:multiLevelType w:val="hybridMultilevel"/>
    <w:tmpl w:val="725E1B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0EB"/>
    <w:multiLevelType w:val="hybridMultilevel"/>
    <w:tmpl w:val="8AC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67B78CE"/>
    <w:multiLevelType w:val="hybridMultilevel"/>
    <w:tmpl w:val="7FFE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85AAC"/>
    <w:multiLevelType w:val="hybridMultilevel"/>
    <w:tmpl w:val="861C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B45FA"/>
    <w:multiLevelType w:val="hybridMultilevel"/>
    <w:tmpl w:val="AC0A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FD6E94"/>
    <w:multiLevelType w:val="hybridMultilevel"/>
    <w:tmpl w:val="0656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00DCD"/>
    <w:multiLevelType w:val="hybridMultilevel"/>
    <w:tmpl w:val="5C42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D6E5A"/>
    <w:multiLevelType w:val="hybridMultilevel"/>
    <w:tmpl w:val="88EC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672796"/>
    <w:multiLevelType w:val="hybridMultilevel"/>
    <w:tmpl w:val="AA841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28061DB"/>
    <w:multiLevelType w:val="hybridMultilevel"/>
    <w:tmpl w:val="97C6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281A14"/>
    <w:multiLevelType w:val="hybridMultilevel"/>
    <w:tmpl w:val="67CEDC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F721BCE"/>
    <w:multiLevelType w:val="hybridMultilevel"/>
    <w:tmpl w:val="DDEA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196C44"/>
    <w:multiLevelType w:val="hybridMultilevel"/>
    <w:tmpl w:val="56AC8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CDF1D97"/>
    <w:multiLevelType w:val="hybridMultilevel"/>
    <w:tmpl w:val="B57C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64674D"/>
    <w:multiLevelType w:val="hybridMultilevel"/>
    <w:tmpl w:val="9D02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9A81409"/>
    <w:multiLevelType w:val="hybridMultilevel"/>
    <w:tmpl w:val="A22CF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E00FE0"/>
    <w:multiLevelType w:val="hybridMultilevel"/>
    <w:tmpl w:val="72686338"/>
    <w:lvl w:ilvl="0" w:tplc="B7CA5094">
      <w:start w:val="1"/>
      <w:numFmt w:val="decimal"/>
      <w:lvlText w:val="%1."/>
      <w:lvlJc w:val="left"/>
      <w:pPr>
        <w:ind w:left="275" w:hanging="256"/>
      </w:pPr>
      <w:rPr>
        <w:rFonts w:ascii="Arial" w:eastAsia="Arial" w:hAnsi="Arial" w:cs="Arial" w:hint="default"/>
        <w:color w:val="231F20"/>
        <w:w w:val="79"/>
        <w:sz w:val="19"/>
        <w:szCs w:val="19"/>
        <w:lang w:val="en-US" w:eastAsia="en-US" w:bidi="en-US"/>
      </w:rPr>
    </w:lvl>
    <w:lvl w:ilvl="1" w:tplc="B8FE6B76">
      <w:numFmt w:val="bullet"/>
      <w:lvlText w:val="•"/>
      <w:lvlJc w:val="left"/>
      <w:pPr>
        <w:ind w:left="700" w:hanging="256"/>
      </w:pPr>
      <w:rPr>
        <w:rFonts w:hint="default"/>
        <w:lang w:val="en-US" w:eastAsia="en-US" w:bidi="en-US"/>
      </w:rPr>
    </w:lvl>
    <w:lvl w:ilvl="2" w:tplc="EC0633A6">
      <w:numFmt w:val="bullet"/>
      <w:lvlText w:val="•"/>
      <w:lvlJc w:val="left"/>
      <w:pPr>
        <w:ind w:left="1120" w:hanging="256"/>
      </w:pPr>
      <w:rPr>
        <w:rFonts w:hint="default"/>
        <w:lang w:val="en-US" w:eastAsia="en-US" w:bidi="en-US"/>
      </w:rPr>
    </w:lvl>
    <w:lvl w:ilvl="3" w:tplc="BA84E202">
      <w:numFmt w:val="bullet"/>
      <w:lvlText w:val="•"/>
      <w:lvlJc w:val="left"/>
      <w:pPr>
        <w:ind w:left="1541" w:hanging="256"/>
      </w:pPr>
      <w:rPr>
        <w:rFonts w:hint="default"/>
        <w:lang w:val="en-US" w:eastAsia="en-US" w:bidi="en-US"/>
      </w:rPr>
    </w:lvl>
    <w:lvl w:ilvl="4" w:tplc="F9B2EDF4">
      <w:numFmt w:val="bullet"/>
      <w:lvlText w:val="•"/>
      <w:lvlJc w:val="left"/>
      <w:pPr>
        <w:ind w:left="1961" w:hanging="256"/>
      </w:pPr>
      <w:rPr>
        <w:rFonts w:hint="default"/>
        <w:lang w:val="en-US" w:eastAsia="en-US" w:bidi="en-US"/>
      </w:rPr>
    </w:lvl>
    <w:lvl w:ilvl="5" w:tplc="58D0AE7A">
      <w:numFmt w:val="bullet"/>
      <w:lvlText w:val="•"/>
      <w:lvlJc w:val="left"/>
      <w:pPr>
        <w:ind w:left="2382" w:hanging="256"/>
      </w:pPr>
      <w:rPr>
        <w:rFonts w:hint="default"/>
        <w:lang w:val="en-US" w:eastAsia="en-US" w:bidi="en-US"/>
      </w:rPr>
    </w:lvl>
    <w:lvl w:ilvl="6" w:tplc="10ECA71A">
      <w:numFmt w:val="bullet"/>
      <w:lvlText w:val="•"/>
      <w:lvlJc w:val="left"/>
      <w:pPr>
        <w:ind w:left="2802" w:hanging="256"/>
      </w:pPr>
      <w:rPr>
        <w:rFonts w:hint="default"/>
        <w:lang w:val="en-US" w:eastAsia="en-US" w:bidi="en-US"/>
      </w:rPr>
    </w:lvl>
    <w:lvl w:ilvl="7" w:tplc="FB7C4EB6">
      <w:numFmt w:val="bullet"/>
      <w:lvlText w:val="•"/>
      <w:lvlJc w:val="left"/>
      <w:pPr>
        <w:ind w:left="3222" w:hanging="256"/>
      </w:pPr>
      <w:rPr>
        <w:rFonts w:hint="default"/>
        <w:lang w:val="en-US" w:eastAsia="en-US" w:bidi="en-US"/>
      </w:rPr>
    </w:lvl>
    <w:lvl w:ilvl="8" w:tplc="F7E6F5F8">
      <w:numFmt w:val="bullet"/>
      <w:lvlText w:val="•"/>
      <w:lvlJc w:val="left"/>
      <w:pPr>
        <w:ind w:left="3643" w:hanging="256"/>
      </w:pPr>
      <w:rPr>
        <w:rFonts w:hint="default"/>
        <w:lang w:val="en-US" w:eastAsia="en-US" w:bidi="en-US"/>
      </w:rPr>
    </w:lvl>
  </w:abstractNum>
  <w:abstractNum w:abstractNumId="36" w15:restartNumberingAfterBreak="0">
    <w:nsid w:val="6C537AE0"/>
    <w:multiLevelType w:val="hybridMultilevel"/>
    <w:tmpl w:val="5338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63ED2"/>
    <w:multiLevelType w:val="hybridMultilevel"/>
    <w:tmpl w:val="77AEE2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24D4B21"/>
    <w:multiLevelType w:val="hybridMultilevel"/>
    <w:tmpl w:val="E62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5256528"/>
    <w:multiLevelType w:val="hybridMultilevel"/>
    <w:tmpl w:val="1510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13"/>
  </w:num>
  <w:num w:numId="4">
    <w:abstractNumId w:val="26"/>
  </w:num>
  <w:num w:numId="5">
    <w:abstractNumId w:val="24"/>
  </w:num>
  <w:num w:numId="6">
    <w:abstractNumId w:val="5"/>
  </w:num>
  <w:num w:numId="7">
    <w:abstractNumId w:val="7"/>
  </w:num>
  <w:num w:numId="8">
    <w:abstractNumId w:val="3"/>
  </w:num>
  <w:num w:numId="9">
    <w:abstractNumId w:val="39"/>
  </w:num>
  <w:num w:numId="10">
    <w:abstractNumId w:val="12"/>
  </w:num>
  <w:num w:numId="11">
    <w:abstractNumId w:val="10"/>
  </w:num>
  <w:num w:numId="12">
    <w:abstractNumId w:val="33"/>
  </w:num>
  <w:num w:numId="13">
    <w:abstractNumId w:val="11"/>
  </w:num>
  <w:num w:numId="14">
    <w:abstractNumId w:val="22"/>
  </w:num>
  <w:num w:numId="15">
    <w:abstractNumId w:val="41"/>
  </w:num>
  <w:num w:numId="16">
    <w:abstractNumId w:val="17"/>
  </w:num>
  <w:num w:numId="17">
    <w:abstractNumId w:val="9"/>
  </w:num>
  <w:num w:numId="18">
    <w:abstractNumId w:val="28"/>
  </w:num>
  <w:num w:numId="19">
    <w:abstractNumId w:val="31"/>
  </w:num>
  <w:num w:numId="20">
    <w:abstractNumId w:val="16"/>
  </w:num>
  <w:num w:numId="21">
    <w:abstractNumId w:val="34"/>
  </w:num>
  <w:num w:numId="22">
    <w:abstractNumId w:val="6"/>
  </w:num>
  <w:num w:numId="23">
    <w:abstractNumId w:val="8"/>
  </w:num>
  <w:num w:numId="24">
    <w:abstractNumId w:val="15"/>
  </w:num>
  <w:num w:numId="25">
    <w:abstractNumId w:val="40"/>
  </w:num>
  <w:num w:numId="26">
    <w:abstractNumId w:val="38"/>
  </w:num>
  <w:num w:numId="27">
    <w:abstractNumId w:val="20"/>
  </w:num>
  <w:num w:numId="28">
    <w:abstractNumId w:val="21"/>
  </w:num>
  <w:num w:numId="29">
    <w:abstractNumId w:val="25"/>
  </w:num>
  <w:num w:numId="30">
    <w:abstractNumId w:val="36"/>
  </w:num>
  <w:num w:numId="31">
    <w:abstractNumId w:val="19"/>
  </w:num>
  <w:num w:numId="32">
    <w:abstractNumId w:val="18"/>
  </w:num>
  <w:num w:numId="33">
    <w:abstractNumId w:val="29"/>
  </w:num>
  <w:num w:numId="34">
    <w:abstractNumId w:val="30"/>
  </w:num>
  <w:num w:numId="35">
    <w:abstractNumId w:val="32"/>
  </w:num>
  <w:num w:numId="36">
    <w:abstractNumId w:val="23"/>
  </w:num>
  <w:num w:numId="37">
    <w:abstractNumId w:val="14"/>
  </w:num>
  <w:num w:numId="38">
    <w:abstractNumId w:val="27"/>
  </w:num>
  <w:num w:numId="39">
    <w:abstractNumId w:val="35"/>
  </w:num>
  <w:num w:numId="40">
    <w:abstractNumId w:val="37"/>
  </w:num>
  <w:num w:numId="41">
    <w:abstractNumId w:val="0"/>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EE"/>
    <w:rsid w:val="00002668"/>
    <w:rsid w:val="00003743"/>
    <w:rsid w:val="000077FA"/>
    <w:rsid w:val="0001053B"/>
    <w:rsid w:val="00011096"/>
    <w:rsid w:val="00012782"/>
    <w:rsid w:val="00020DBD"/>
    <w:rsid w:val="00025A92"/>
    <w:rsid w:val="0003162D"/>
    <w:rsid w:val="00036F5E"/>
    <w:rsid w:val="000406F8"/>
    <w:rsid w:val="00043671"/>
    <w:rsid w:val="00050775"/>
    <w:rsid w:val="00054B74"/>
    <w:rsid w:val="00067456"/>
    <w:rsid w:val="00067CE9"/>
    <w:rsid w:val="00070812"/>
    <w:rsid w:val="0008065C"/>
    <w:rsid w:val="00090EFF"/>
    <w:rsid w:val="00091FC5"/>
    <w:rsid w:val="00092229"/>
    <w:rsid w:val="00095DA6"/>
    <w:rsid w:val="00095DC5"/>
    <w:rsid w:val="000A3F0D"/>
    <w:rsid w:val="000A4C01"/>
    <w:rsid w:val="000A6B18"/>
    <w:rsid w:val="000B0274"/>
    <w:rsid w:val="000B0BFE"/>
    <w:rsid w:val="000B4610"/>
    <w:rsid w:val="000B79D3"/>
    <w:rsid w:val="000C1722"/>
    <w:rsid w:val="000C1DD4"/>
    <w:rsid w:val="000C5B0F"/>
    <w:rsid w:val="000C7A69"/>
    <w:rsid w:val="000D017D"/>
    <w:rsid w:val="000D6405"/>
    <w:rsid w:val="000E2F2E"/>
    <w:rsid w:val="000F0D77"/>
    <w:rsid w:val="000F29C7"/>
    <w:rsid w:val="0010673D"/>
    <w:rsid w:val="00106CF5"/>
    <w:rsid w:val="00115403"/>
    <w:rsid w:val="00115E61"/>
    <w:rsid w:val="00120FCB"/>
    <w:rsid w:val="00131E52"/>
    <w:rsid w:val="00140002"/>
    <w:rsid w:val="00143A76"/>
    <w:rsid w:val="00145BE3"/>
    <w:rsid w:val="00146A66"/>
    <w:rsid w:val="001507C6"/>
    <w:rsid w:val="00157B31"/>
    <w:rsid w:val="00160453"/>
    <w:rsid w:val="001652A9"/>
    <w:rsid w:val="00174141"/>
    <w:rsid w:val="00174535"/>
    <w:rsid w:val="0017675C"/>
    <w:rsid w:val="00183675"/>
    <w:rsid w:val="00184C86"/>
    <w:rsid w:val="001852DE"/>
    <w:rsid w:val="001859B5"/>
    <w:rsid w:val="001860B2"/>
    <w:rsid w:val="001918F7"/>
    <w:rsid w:val="001921ED"/>
    <w:rsid w:val="00195458"/>
    <w:rsid w:val="001962DE"/>
    <w:rsid w:val="00196AC8"/>
    <w:rsid w:val="001A11A5"/>
    <w:rsid w:val="001A1EBD"/>
    <w:rsid w:val="001A352F"/>
    <w:rsid w:val="001A4A68"/>
    <w:rsid w:val="001B15D1"/>
    <w:rsid w:val="001B3443"/>
    <w:rsid w:val="001B5FA5"/>
    <w:rsid w:val="001B7C8B"/>
    <w:rsid w:val="001D0D87"/>
    <w:rsid w:val="001D709F"/>
    <w:rsid w:val="001E1042"/>
    <w:rsid w:val="001E38B8"/>
    <w:rsid w:val="001E77C4"/>
    <w:rsid w:val="001F6D10"/>
    <w:rsid w:val="002255F7"/>
    <w:rsid w:val="0023112B"/>
    <w:rsid w:val="0023231A"/>
    <w:rsid w:val="00237ADF"/>
    <w:rsid w:val="00245D81"/>
    <w:rsid w:val="00246CC1"/>
    <w:rsid w:val="0024767D"/>
    <w:rsid w:val="002503C3"/>
    <w:rsid w:val="00251167"/>
    <w:rsid w:val="002550A7"/>
    <w:rsid w:val="00255596"/>
    <w:rsid w:val="00255DCB"/>
    <w:rsid w:val="00261F43"/>
    <w:rsid w:val="002625FB"/>
    <w:rsid w:val="00263A63"/>
    <w:rsid w:val="00264387"/>
    <w:rsid w:val="00264A5A"/>
    <w:rsid w:val="00265595"/>
    <w:rsid w:val="002662B4"/>
    <w:rsid w:val="0026675D"/>
    <w:rsid w:val="00267635"/>
    <w:rsid w:val="00277A59"/>
    <w:rsid w:val="00280BD7"/>
    <w:rsid w:val="00280FD6"/>
    <w:rsid w:val="0028150E"/>
    <w:rsid w:val="00281FD4"/>
    <w:rsid w:val="002851F2"/>
    <w:rsid w:val="00291EBD"/>
    <w:rsid w:val="00293CDE"/>
    <w:rsid w:val="002C1CA0"/>
    <w:rsid w:val="002C6AF0"/>
    <w:rsid w:val="002C6E07"/>
    <w:rsid w:val="002D0EB0"/>
    <w:rsid w:val="002D247E"/>
    <w:rsid w:val="002E195D"/>
    <w:rsid w:val="002E2DBA"/>
    <w:rsid w:val="002E3986"/>
    <w:rsid w:val="002E6A48"/>
    <w:rsid w:val="002E7082"/>
    <w:rsid w:val="002F3AE3"/>
    <w:rsid w:val="002F7E6F"/>
    <w:rsid w:val="0030786C"/>
    <w:rsid w:val="00307ECE"/>
    <w:rsid w:val="00312A62"/>
    <w:rsid w:val="00316683"/>
    <w:rsid w:val="00316F58"/>
    <w:rsid w:val="00326390"/>
    <w:rsid w:val="00341A36"/>
    <w:rsid w:val="00341BEE"/>
    <w:rsid w:val="00343286"/>
    <w:rsid w:val="0034680F"/>
    <w:rsid w:val="0035066E"/>
    <w:rsid w:val="00350BE1"/>
    <w:rsid w:val="003657DB"/>
    <w:rsid w:val="0036588B"/>
    <w:rsid w:val="00370326"/>
    <w:rsid w:val="00380792"/>
    <w:rsid w:val="003808E4"/>
    <w:rsid w:val="0038248B"/>
    <w:rsid w:val="00386683"/>
    <w:rsid w:val="003873C6"/>
    <w:rsid w:val="00392002"/>
    <w:rsid w:val="00392A85"/>
    <w:rsid w:val="00396AFB"/>
    <w:rsid w:val="003A0131"/>
    <w:rsid w:val="003A2D7B"/>
    <w:rsid w:val="003A70CE"/>
    <w:rsid w:val="003B35D0"/>
    <w:rsid w:val="003B6F31"/>
    <w:rsid w:val="003C297A"/>
    <w:rsid w:val="003C540E"/>
    <w:rsid w:val="003C5F0C"/>
    <w:rsid w:val="003C7AAA"/>
    <w:rsid w:val="003D17F9"/>
    <w:rsid w:val="003D3806"/>
    <w:rsid w:val="003D437B"/>
    <w:rsid w:val="003D4829"/>
    <w:rsid w:val="003E197F"/>
    <w:rsid w:val="003E6E73"/>
    <w:rsid w:val="003E76C8"/>
    <w:rsid w:val="003F0D94"/>
    <w:rsid w:val="003F3F0B"/>
    <w:rsid w:val="0040152C"/>
    <w:rsid w:val="00402CBA"/>
    <w:rsid w:val="00410834"/>
    <w:rsid w:val="00412E9D"/>
    <w:rsid w:val="00414952"/>
    <w:rsid w:val="00420DBA"/>
    <w:rsid w:val="00423210"/>
    <w:rsid w:val="00425504"/>
    <w:rsid w:val="0042727E"/>
    <w:rsid w:val="0043052C"/>
    <w:rsid w:val="004305D6"/>
    <w:rsid w:val="004377EE"/>
    <w:rsid w:val="00440CC0"/>
    <w:rsid w:val="00440D73"/>
    <w:rsid w:val="004428EA"/>
    <w:rsid w:val="004437F3"/>
    <w:rsid w:val="00447D31"/>
    <w:rsid w:val="00452849"/>
    <w:rsid w:val="00455560"/>
    <w:rsid w:val="00456385"/>
    <w:rsid w:val="0045769C"/>
    <w:rsid w:val="00465AB0"/>
    <w:rsid w:val="00470AB8"/>
    <w:rsid w:val="00477E9B"/>
    <w:rsid w:val="00482ECA"/>
    <w:rsid w:val="004832A0"/>
    <w:rsid w:val="00485776"/>
    <w:rsid w:val="00485794"/>
    <w:rsid w:val="004867E2"/>
    <w:rsid w:val="00486826"/>
    <w:rsid w:val="0048784D"/>
    <w:rsid w:val="00493AA0"/>
    <w:rsid w:val="004A0670"/>
    <w:rsid w:val="004A1C9B"/>
    <w:rsid w:val="004A4851"/>
    <w:rsid w:val="004A5C81"/>
    <w:rsid w:val="004B0417"/>
    <w:rsid w:val="004B2999"/>
    <w:rsid w:val="004C04EB"/>
    <w:rsid w:val="004C3664"/>
    <w:rsid w:val="004C4927"/>
    <w:rsid w:val="004C6833"/>
    <w:rsid w:val="004E067A"/>
    <w:rsid w:val="004E179B"/>
    <w:rsid w:val="004E2389"/>
    <w:rsid w:val="004E50C2"/>
    <w:rsid w:val="004E58C1"/>
    <w:rsid w:val="004F412D"/>
    <w:rsid w:val="005008B6"/>
    <w:rsid w:val="00505824"/>
    <w:rsid w:val="0051563D"/>
    <w:rsid w:val="005179C7"/>
    <w:rsid w:val="0052107C"/>
    <w:rsid w:val="005221B7"/>
    <w:rsid w:val="00526689"/>
    <w:rsid w:val="00530100"/>
    <w:rsid w:val="005334BA"/>
    <w:rsid w:val="00536E0C"/>
    <w:rsid w:val="005408C7"/>
    <w:rsid w:val="005422E7"/>
    <w:rsid w:val="005437FD"/>
    <w:rsid w:val="00544A4E"/>
    <w:rsid w:val="00553E33"/>
    <w:rsid w:val="00555C4C"/>
    <w:rsid w:val="00555D6E"/>
    <w:rsid w:val="00562F72"/>
    <w:rsid w:val="0056304B"/>
    <w:rsid w:val="00563F9E"/>
    <w:rsid w:val="00565356"/>
    <w:rsid w:val="00566B97"/>
    <w:rsid w:val="00570C6C"/>
    <w:rsid w:val="00584334"/>
    <w:rsid w:val="00591A14"/>
    <w:rsid w:val="0059380A"/>
    <w:rsid w:val="0059607F"/>
    <w:rsid w:val="0059724C"/>
    <w:rsid w:val="005A1AA7"/>
    <w:rsid w:val="005A4D0B"/>
    <w:rsid w:val="005A61B4"/>
    <w:rsid w:val="005A65E0"/>
    <w:rsid w:val="005A735B"/>
    <w:rsid w:val="005B04D8"/>
    <w:rsid w:val="005C1496"/>
    <w:rsid w:val="005C5EF4"/>
    <w:rsid w:val="005C6AAE"/>
    <w:rsid w:val="005D1073"/>
    <w:rsid w:val="005D1804"/>
    <w:rsid w:val="005D2770"/>
    <w:rsid w:val="005D35C9"/>
    <w:rsid w:val="005D5D06"/>
    <w:rsid w:val="005D62B5"/>
    <w:rsid w:val="005E2614"/>
    <w:rsid w:val="005E7144"/>
    <w:rsid w:val="005F1E4A"/>
    <w:rsid w:val="00604583"/>
    <w:rsid w:val="00607B0B"/>
    <w:rsid w:val="00611870"/>
    <w:rsid w:val="00614E29"/>
    <w:rsid w:val="0062216A"/>
    <w:rsid w:val="00623415"/>
    <w:rsid w:val="00625634"/>
    <w:rsid w:val="00625EC1"/>
    <w:rsid w:val="00626F7D"/>
    <w:rsid w:val="00630199"/>
    <w:rsid w:val="006317C9"/>
    <w:rsid w:val="00632475"/>
    <w:rsid w:val="00632C35"/>
    <w:rsid w:val="006340B0"/>
    <w:rsid w:val="00635FC3"/>
    <w:rsid w:val="00641773"/>
    <w:rsid w:val="00641CB0"/>
    <w:rsid w:val="0064239F"/>
    <w:rsid w:val="006456F1"/>
    <w:rsid w:val="00656A90"/>
    <w:rsid w:val="00657DD2"/>
    <w:rsid w:val="00664B6D"/>
    <w:rsid w:val="00664F67"/>
    <w:rsid w:val="006655E2"/>
    <w:rsid w:val="00667658"/>
    <w:rsid w:val="00670F54"/>
    <w:rsid w:val="006728F9"/>
    <w:rsid w:val="006746DA"/>
    <w:rsid w:val="006765C3"/>
    <w:rsid w:val="006767BC"/>
    <w:rsid w:val="006803BA"/>
    <w:rsid w:val="00683E87"/>
    <w:rsid w:val="00692026"/>
    <w:rsid w:val="006922F5"/>
    <w:rsid w:val="006947D9"/>
    <w:rsid w:val="006A16DD"/>
    <w:rsid w:val="006A2587"/>
    <w:rsid w:val="006B3CFC"/>
    <w:rsid w:val="006B7785"/>
    <w:rsid w:val="006C0CD8"/>
    <w:rsid w:val="006C5AEE"/>
    <w:rsid w:val="006C679A"/>
    <w:rsid w:val="006D09FE"/>
    <w:rsid w:val="006D0C40"/>
    <w:rsid w:val="006D15C1"/>
    <w:rsid w:val="006D732F"/>
    <w:rsid w:val="006E4597"/>
    <w:rsid w:val="006E688D"/>
    <w:rsid w:val="006F1432"/>
    <w:rsid w:val="006F7964"/>
    <w:rsid w:val="007028EC"/>
    <w:rsid w:val="007035D8"/>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D4D"/>
    <w:rsid w:val="007406E6"/>
    <w:rsid w:val="007441A7"/>
    <w:rsid w:val="00746CCD"/>
    <w:rsid w:val="00747CE1"/>
    <w:rsid w:val="007517A6"/>
    <w:rsid w:val="007545C7"/>
    <w:rsid w:val="007551C0"/>
    <w:rsid w:val="00756EB9"/>
    <w:rsid w:val="0076005C"/>
    <w:rsid w:val="0076111D"/>
    <w:rsid w:val="007635C1"/>
    <w:rsid w:val="00766B42"/>
    <w:rsid w:val="0076731D"/>
    <w:rsid w:val="00767650"/>
    <w:rsid w:val="00767A90"/>
    <w:rsid w:val="00770588"/>
    <w:rsid w:val="00770EDE"/>
    <w:rsid w:val="007804B9"/>
    <w:rsid w:val="0078070C"/>
    <w:rsid w:val="00784541"/>
    <w:rsid w:val="00787790"/>
    <w:rsid w:val="007907DF"/>
    <w:rsid w:val="00794DF2"/>
    <w:rsid w:val="007968CC"/>
    <w:rsid w:val="00796FB7"/>
    <w:rsid w:val="0079708B"/>
    <w:rsid w:val="007B04A9"/>
    <w:rsid w:val="007B16AC"/>
    <w:rsid w:val="007B1D5C"/>
    <w:rsid w:val="007B5D05"/>
    <w:rsid w:val="007B5D1E"/>
    <w:rsid w:val="007C2217"/>
    <w:rsid w:val="007C26F7"/>
    <w:rsid w:val="007C2E29"/>
    <w:rsid w:val="007C471C"/>
    <w:rsid w:val="007C52D3"/>
    <w:rsid w:val="007C7042"/>
    <w:rsid w:val="007D4258"/>
    <w:rsid w:val="007E000D"/>
    <w:rsid w:val="007E175B"/>
    <w:rsid w:val="007E3F8A"/>
    <w:rsid w:val="007F3645"/>
    <w:rsid w:val="007F58DD"/>
    <w:rsid w:val="007F6791"/>
    <w:rsid w:val="00802131"/>
    <w:rsid w:val="00805E44"/>
    <w:rsid w:val="008104D7"/>
    <w:rsid w:val="00811C26"/>
    <w:rsid w:val="00812A44"/>
    <w:rsid w:val="00820059"/>
    <w:rsid w:val="008264EB"/>
    <w:rsid w:val="00827924"/>
    <w:rsid w:val="00830756"/>
    <w:rsid w:val="00837A90"/>
    <w:rsid w:val="00855A49"/>
    <w:rsid w:val="00856DF5"/>
    <w:rsid w:val="00857E76"/>
    <w:rsid w:val="0086059A"/>
    <w:rsid w:val="00865932"/>
    <w:rsid w:val="00872059"/>
    <w:rsid w:val="00873673"/>
    <w:rsid w:val="008803A1"/>
    <w:rsid w:val="0088122A"/>
    <w:rsid w:val="008839CD"/>
    <w:rsid w:val="00892AC8"/>
    <w:rsid w:val="00897E5A"/>
    <w:rsid w:val="008A07AF"/>
    <w:rsid w:val="008A4580"/>
    <w:rsid w:val="008A4AC8"/>
    <w:rsid w:val="008A4E8B"/>
    <w:rsid w:val="008A58F9"/>
    <w:rsid w:val="008B014E"/>
    <w:rsid w:val="008C2348"/>
    <w:rsid w:val="008D09DE"/>
    <w:rsid w:val="008D2FF8"/>
    <w:rsid w:val="008D5AFD"/>
    <w:rsid w:val="008E3658"/>
    <w:rsid w:val="008E59EB"/>
    <w:rsid w:val="008E5D6A"/>
    <w:rsid w:val="008F26C0"/>
    <w:rsid w:val="00901462"/>
    <w:rsid w:val="00901D6C"/>
    <w:rsid w:val="00902A76"/>
    <w:rsid w:val="0090304F"/>
    <w:rsid w:val="00904474"/>
    <w:rsid w:val="0091137C"/>
    <w:rsid w:val="0091384C"/>
    <w:rsid w:val="009213F3"/>
    <w:rsid w:val="0092204C"/>
    <w:rsid w:val="00922DEE"/>
    <w:rsid w:val="009238AA"/>
    <w:rsid w:val="009244B8"/>
    <w:rsid w:val="00925748"/>
    <w:rsid w:val="00932407"/>
    <w:rsid w:val="00933B21"/>
    <w:rsid w:val="00933EC2"/>
    <w:rsid w:val="0094021E"/>
    <w:rsid w:val="00941048"/>
    <w:rsid w:val="009421F2"/>
    <w:rsid w:val="009424A5"/>
    <w:rsid w:val="00943A18"/>
    <w:rsid w:val="00950089"/>
    <w:rsid w:val="0095539D"/>
    <w:rsid w:val="00957AD0"/>
    <w:rsid w:val="00957E88"/>
    <w:rsid w:val="00961B39"/>
    <w:rsid w:val="00961FBE"/>
    <w:rsid w:val="00964277"/>
    <w:rsid w:val="00966B64"/>
    <w:rsid w:val="0097100F"/>
    <w:rsid w:val="009739AC"/>
    <w:rsid w:val="0097582E"/>
    <w:rsid w:val="00977D26"/>
    <w:rsid w:val="00977E26"/>
    <w:rsid w:val="009805EC"/>
    <w:rsid w:val="00984227"/>
    <w:rsid w:val="009904EA"/>
    <w:rsid w:val="00991AF5"/>
    <w:rsid w:val="0099343F"/>
    <w:rsid w:val="0099497F"/>
    <w:rsid w:val="00995094"/>
    <w:rsid w:val="009A007B"/>
    <w:rsid w:val="009A0425"/>
    <w:rsid w:val="009A263C"/>
    <w:rsid w:val="009B053D"/>
    <w:rsid w:val="009B3E5D"/>
    <w:rsid w:val="009B64E3"/>
    <w:rsid w:val="009C5964"/>
    <w:rsid w:val="009C672E"/>
    <w:rsid w:val="009C77A3"/>
    <w:rsid w:val="009D0B90"/>
    <w:rsid w:val="009D3827"/>
    <w:rsid w:val="009D6852"/>
    <w:rsid w:val="009E0725"/>
    <w:rsid w:val="009E0D48"/>
    <w:rsid w:val="009E1F38"/>
    <w:rsid w:val="009E5D18"/>
    <w:rsid w:val="009E6B78"/>
    <w:rsid w:val="009E6D37"/>
    <w:rsid w:val="009F1EC9"/>
    <w:rsid w:val="009F33F8"/>
    <w:rsid w:val="009F34D6"/>
    <w:rsid w:val="009F4ACF"/>
    <w:rsid w:val="009F5557"/>
    <w:rsid w:val="009F7864"/>
    <w:rsid w:val="00A02BFF"/>
    <w:rsid w:val="00A0554C"/>
    <w:rsid w:val="00A06D27"/>
    <w:rsid w:val="00A1015B"/>
    <w:rsid w:val="00A135F1"/>
    <w:rsid w:val="00A139AB"/>
    <w:rsid w:val="00A15082"/>
    <w:rsid w:val="00A16AEE"/>
    <w:rsid w:val="00A16B43"/>
    <w:rsid w:val="00A243E8"/>
    <w:rsid w:val="00A27285"/>
    <w:rsid w:val="00A369E8"/>
    <w:rsid w:val="00A4199A"/>
    <w:rsid w:val="00A4512D"/>
    <w:rsid w:val="00A541E1"/>
    <w:rsid w:val="00A54775"/>
    <w:rsid w:val="00A5502C"/>
    <w:rsid w:val="00A5694A"/>
    <w:rsid w:val="00A65795"/>
    <w:rsid w:val="00A6672E"/>
    <w:rsid w:val="00A705AF"/>
    <w:rsid w:val="00A70F23"/>
    <w:rsid w:val="00A7126D"/>
    <w:rsid w:val="00A73C2F"/>
    <w:rsid w:val="00A73CB1"/>
    <w:rsid w:val="00A75B58"/>
    <w:rsid w:val="00A77349"/>
    <w:rsid w:val="00A81D72"/>
    <w:rsid w:val="00A83572"/>
    <w:rsid w:val="00A931E2"/>
    <w:rsid w:val="00A93A18"/>
    <w:rsid w:val="00A964DB"/>
    <w:rsid w:val="00A96DED"/>
    <w:rsid w:val="00AA0055"/>
    <w:rsid w:val="00AA0A90"/>
    <w:rsid w:val="00AA3A3E"/>
    <w:rsid w:val="00AA603A"/>
    <w:rsid w:val="00AA6DC2"/>
    <w:rsid w:val="00AA7B58"/>
    <w:rsid w:val="00AB0A6E"/>
    <w:rsid w:val="00AB40AB"/>
    <w:rsid w:val="00AB64E5"/>
    <w:rsid w:val="00AB6E76"/>
    <w:rsid w:val="00AB6ED9"/>
    <w:rsid w:val="00AB6F9B"/>
    <w:rsid w:val="00AC5816"/>
    <w:rsid w:val="00AC637F"/>
    <w:rsid w:val="00AC7883"/>
    <w:rsid w:val="00AD01B4"/>
    <w:rsid w:val="00AD055C"/>
    <w:rsid w:val="00AD52A0"/>
    <w:rsid w:val="00AD5717"/>
    <w:rsid w:val="00AE05BB"/>
    <w:rsid w:val="00AE0BA6"/>
    <w:rsid w:val="00AE3267"/>
    <w:rsid w:val="00AF6154"/>
    <w:rsid w:val="00B07615"/>
    <w:rsid w:val="00B11A0A"/>
    <w:rsid w:val="00B11D5A"/>
    <w:rsid w:val="00B163F6"/>
    <w:rsid w:val="00B20701"/>
    <w:rsid w:val="00B213FD"/>
    <w:rsid w:val="00B24DF4"/>
    <w:rsid w:val="00B2665E"/>
    <w:rsid w:val="00B30753"/>
    <w:rsid w:val="00B328AF"/>
    <w:rsid w:val="00B32DD1"/>
    <w:rsid w:val="00B37148"/>
    <w:rsid w:val="00B3720C"/>
    <w:rsid w:val="00B37974"/>
    <w:rsid w:val="00B41409"/>
    <w:rsid w:val="00B42851"/>
    <w:rsid w:val="00B42FC9"/>
    <w:rsid w:val="00B456E0"/>
    <w:rsid w:val="00B459E9"/>
    <w:rsid w:val="00B47076"/>
    <w:rsid w:val="00B5113E"/>
    <w:rsid w:val="00B56B37"/>
    <w:rsid w:val="00B57759"/>
    <w:rsid w:val="00B60D44"/>
    <w:rsid w:val="00B60D86"/>
    <w:rsid w:val="00B732F1"/>
    <w:rsid w:val="00B8702B"/>
    <w:rsid w:val="00B904EC"/>
    <w:rsid w:val="00B91269"/>
    <w:rsid w:val="00B91454"/>
    <w:rsid w:val="00B93CD5"/>
    <w:rsid w:val="00B9432A"/>
    <w:rsid w:val="00B95A67"/>
    <w:rsid w:val="00B96A84"/>
    <w:rsid w:val="00BA0015"/>
    <w:rsid w:val="00BA2A5D"/>
    <w:rsid w:val="00BA2DE8"/>
    <w:rsid w:val="00BA4AEE"/>
    <w:rsid w:val="00BB2D0A"/>
    <w:rsid w:val="00BC07E4"/>
    <w:rsid w:val="00BC4293"/>
    <w:rsid w:val="00BC4D09"/>
    <w:rsid w:val="00BD0B57"/>
    <w:rsid w:val="00BD3C3B"/>
    <w:rsid w:val="00BD5F76"/>
    <w:rsid w:val="00BD649D"/>
    <w:rsid w:val="00BE0DE7"/>
    <w:rsid w:val="00BE1511"/>
    <w:rsid w:val="00BE2B3A"/>
    <w:rsid w:val="00BE6832"/>
    <w:rsid w:val="00BF2561"/>
    <w:rsid w:val="00BF5905"/>
    <w:rsid w:val="00BF6152"/>
    <w:rsid w:val="00C0059F"/>
    <w:rsid w:val="00C025A9"/>
    <w:rsid w:val="00C06314"/>
    <w:rsid w:val="00C075F6"/>
    <w:rsid w:val="00C10135"/>
    <w:rsid w:val="00C123DF"/>
    <w:rsid w:val="00C206EE"/>
    <w:rsid w:val="00C23604"/>
    <w:rsid w:val="00C27BDD"/>
    <w:rsid w:val="00C308FA"/>
    <w:rsid w:val="00C31839"/>
    <w:rsid w:val="00C31A7F"/>
    <w:rsid w:val="00C32280"/>
    <w:rsid w:val="00C33D29"/>
    <w:rsid w:val="00C35287"/>
    <w:rsid w:val="00C35DEC"/>
    <w:rsid w:val="00C35F32"/>
    <w:rsid w:val="00C436EE"/>
    <w:rsid w:val="00C45877"/>
    <w:rsid w:val="00C477AC"/>
    <w:rsid w:val="00C50FAC"/>
    <w:rsid w:val="00C51BE7"/>
    <w:rsid w:val="00C53C65"/>
    <w:rsid w:val="00C565EF"/>
    <w:rsid w:val="00C57614"/>
    <w:rsid w:val="00C57EC0"/>
    <w:rsid w:val="00C618D7"/>
    <w:rsid w:val="00C624CC"/>
    <w:rsid w:val="00C63431"/>
    <w:rsid w:val="00C63C14"/>
    <w:rsid w:val="00C64BBB"/>
    <w:rsid w:val="00C64D00"/>
    <w:rsid w:val="00C74935"/>
    <w:rsid w:val="00C753E9"/>
    <w:rsid w:val="00C7543A"/>
    <w:rsid w:val="00C84B06"/>
    <w:rsid w:val="00C85E91"/>
    <w:rsid w:val="00C911AD"/>
    <w:rsid w:val="00CA04C6"/>
    <w:rsid w:val="00CB0684"/>
    <w:rsid w:val="00CB2190"/>
    <w:rsid w:val="00CB5999"/>
    <w:rsid w:val="00CB5B1A"/>
    <w:rsid w:val="00CB733F"/>
    <w:rsid w:val="00CC36EF"/>
    <w:rsid w:val="00CC4B4F"/>
    <w:rsid w:val="00CC4B8E"/>
    <w:rsid w:val="00CC697B"/>
    <w:rsid w:val="00CC7207"/>
    <w:rsid w:val="00CD3457"/>
    <w:rsid w:val="00CE16CC"/>
    <w:rsid w:val="00CE1712"/>
    <w:rsid w:val="00CE3387"/>
    <w:rsid w:val="00CE3A39"/>
    <w:rsid w:val="00CE7355"/>
    <w:rsid w:val="00CF4118"/>
    <w:rsid w:val="00CF702F"/>
    <w:rsid w:val="00D05CB2"/>
    <w:rsid w:val="00D07C0D"/>
    <w:rsid w:val="00D10D90"/>
    <w:rsid w:val="00D116AD"/>
    <w:rsid w:val="00D13C42"/>
    <w:rsid w:val="00D13C6E"/>
    <w:rsid w:val="00D16B25"/>
    <w:rsid w:val="00D20AD1"/>
    <w:rsid w:val="00D24922"/>
    <w:rsid w:val="00D301EA"/>
    <w:rsid w:val="00D31DC2"/>
    <w:rsid w:val="00D41AE5"/>
    <w:rsid w:val="00D429E0"/>
    <w:rsid w:val="00D42B9A"/>
    <w:rsid w:val="00D446AF"/>
    <w:rsid w:val="00D469E4"/>
    <w:rsid w:val="00D4728F"/>
    <w:rsid w:val="00D50F47"/>
    <w:rsid w:val="00D5354B"/>
    <w:rsid w:val="00D563D0"/>
    <w:rsid w:val="00D72B6D"/>
    <w:rsid w:val="00D738DB"/>
    <w:rsid w:val="00D73FE2"/>
    <w:rsid w:val="00D7465B"/>
    <w:rsid w:val="00D77741"/>
    <w:rsid w:val="00D81026"/>
    <w:rsid w:val="00D812BD"/>
    <w:rsid w:val="00D84622"/>
    <w:rsid w:val="00D87CBD"/>
    <w:rsid w:val="00D9306A"/>
    <w:rsid w:val="00D944BF"/>
    <w:rsid w:val="00D9561F"/>
    <w:rsid w:val="00D96327"/>
    <w:rsid w:val="00D976B1"/>
    <w:rsid w:val="00DB07A4"/>
    <w:rsid w:val="00DB5454"/>
    <w:rsid w:val="00DB5911"/>
    <w:rsid w:val="00DC0477"/>
    <w:rsid w:val="00DC0D24"/>
    <w:rsid w:val="00DD047B"/>
    <w:rsid w:val="00DD5D99"/>
    <w:rsid w:val="00DD6F15"/>
    <w:rsid w:val="00DE3C4E"/>
    <w:rsid w:val="00DE5D9E"/>
    <w:rsid w:val="00DE75D8"/>
    <w:rsid w:val="00DF0B12"/>
    <w:rsid w:val="00DF1D4A"/>
    <w:rsid w:val="00DF3751"/>
    <w:rsid w:val="00DF515C"/>
    <w:rsid w:val="00DF5695"/>
    <w:rsid w:val="00E015E6"/>
    <w:rsid w:val="00E05B44"/>
    <w:rsid w:val="00E066B4"/>
    <w:rsid w:val="00E13C5C"/>
    <w:rsid w:val="00E209BF"/>
    <w:rsid w:val="00E236C6"/>
    <w:rsid w:val="00E3057D"/>
    <w:rsid w:val="00E3115C"/>
    <w:rsid w:val="00E34F33"/>
    <w:rsid w:val="00E35CBB"/>
    <w:rsid w:val="00E35DC5"/>
    <w:rsid w:val="00E40F95"/>
    <w:rsid w:val="00E40FD7"/>
    <w:rsid w:val="00E41CF8"/>
    <w:rsid w:val="00E4269D"/>
    <w:rsid w:val="00E4312B"/>
    <w:rsid w:val="00E57576"/>
    <w:rsid w:val="00E604B3"/>
    <w:rsid w:val="00E60650"/>
    <w:rsid w:val="00E60EE1"/>
    <w:rsid w:val="00E6109E"/>
    <w:rsid w:val="00E708F6"/>
    <w:rsid w:val="00E716B4"/>
    <w:rsid w:val="00E7210E"/>
    <w:rsid w:val="00E86B67"/>
    <w:rsid w:val="00E9314D"/>
    <w:rsid w:val="00E95DFC"/>
    <w:rsid w:val="00EA051F"/>
    <w:rsid w:val="00EA33D5"/>
    <w:rsid w:val="00EA5E02"/>
    <w:rsid w:val="00EA5FD0"/>
    <w:rsid w:val="00EA63B1"/>
    <w:rsid w:val="00EB0020"/>
    <w:rsid w:val="00EC7D3F"/>
    <w:rsid w:val="00ED0468"/>
    <w:rsid w:val="00ED0DD3"/>
    <w:rsid w:val="00ED648B"/>
    <w:rsid w:val="00EE16DD"/>
    <w:rsid w:val="00EE2AE5"/>
    <w:rsid w:val="00EE31B0"/>
    <w:rsid w:val="00EE356F"/>
    <w:rsid w:val="00EE397E"/>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84"/>
    <w:rsid w:val="00F238F2"/>
    <w:rsid w:val="00F332B3"/>
    <w:rsid w:val="00F34D63"/>
    <w:rsid w:val="00F35F7A"/>
    <w:rsid w:val="00F41C35"/>
    <w:rsid w:val="00F4438C"/>
    <w:rsid w:val="00F46ED7"/>
    <w:rsid w:val="00F549D7"/>
    <w:rsid w:val="00F556DB"/>
    <w:rsid w:val="00F560D5"/>
    <w:rsid w:val="00F56325"/>
    <w:rsid w:val="00F73D95"/>
    <w:rsid w:val="00F77044"/>
    <w:rsid w:val="00F8015E"/>
    <w:rsid w:val="00F81DF5"/>
    <w:rsid w:val="00F83598"/>
    <w:rsid w:val="00F85766"/>
    <w:rsid w:val="00F866FA"/>
    <w:rsid w:val="00F91869"/>
    <w:rsid w:val="00F91CCA"/>
    <w:rsid w:val="00F931D3"/>
    <w:rsid w:val="00F95769"/>
    <w:rsid w:val="00FA289A"/>
    <w:rsid w:val="00FA3C5E"/>
    <w:rsid w:val="00FA4197"/>
    <w:rsid w:val="00FB375B"/>
    <w:rsid w:val="00FB6425"/>
    <w:rsid w:val="00FB722E"/>
    <w:rsid w:val="00FC7F5D"/>
    <w:rsid w:val="00FD1BC7"/>
    <w:rsid w:val="00FD1D84"/>
    <w:rsid w:val="00FD4E9C"/>
    <w:rsid w:val="00FD50A4"/>
    <w:rsid w:val="00FD744A"/>
    <w:rsid w:val="00FE58D5"/>
    <w:rsid w:val="00FE5CA3"/>
    <w:rsid w:val="00FF08C3"/>
    <w:rsid w:val="00FF4069"/>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20DBA"/>
    <w:pPr>
      <w:spacing w:before="120" w:after="120"/>
    </w:pPr>
  </w:style>
  <w:style w:type="paragraph" w:styleId="Heading1">
    <w:name w:val="heading 1"/>
    <w:basedOn w:val="Normal"/>
    <w:next w:val="Normal"/>
    <w:qFormat/>
    <w:rsid w:val="00307ECE"/>
    <w:pPr>
      <w:keepNext/>
      <w:keepLines/>
      <w:pageBreakBefore/>
      <w:spacing w:before="480" w:after="240"/>
      <w:outlineLvl w:val="0"/>
    </w:pPr>
    <w:rPr>
      <w:rFonts w:cs="Arial"/>
      <w:b/>
      <w:bCs/>
      <w:color w:val="000000" w:themeColor="text1"/>
      <w:kern w:val="28"/>
      <w:sz w:val="40"/>
      <w:szCs w:val="32"/>
    </w:rPr>
  </w:style>
  <w:style w:type="paragraph" w:styleId="Heading2">
    <w:name w:val="heading 2"/>
    <w:basedOn w:val="Heading1"/>
    <w:next w:val="Normal"/>
    <w:qFormat/>
    <w:rsid w:val="00410834"/>
    <w:pPr>
      <w:pageBreakBefore w:val="0"/>
      <w:spacing w:before="360" w:after="180"/>
      <w:outlineLvl w:val="1"/>
    </w:pPr>
    <w:rPr>
      <w:bCs w:val="0"/>
      <w:iCs/>
      <w:color w:val="007978"/>
      <w:sz w:val="28"/>
      <w:szCs w:val="28"/>
    </w:rPr>
  </w:style>
  <w:style w:type="paragraph" w:styleId="Heading3">
    <w:name w:val="heading 3"/>
    <w:basedOn w:val="Heading2"/>
    <w:next w:val="Normal"/>
    <w:link w:val="Heading3Char"/>
    <w:qFormat/>
    <w:rsid w:val="00307ECE"/>
    <w:pPr>
      <w:spacing w:before="300"/>
      <w:outlineLvl w:val="2"/>
    </w:pPr>
    <w:rPr>
      <w:bCs/>
      <w:color w:val="000000" w:themeColor="text1"/>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7C7042"/>
    <w:pPr>
      <w:numPr>
        <w:ilvl w:val="1"/>
      </w:numPr>
      <w:spacing w:after="480"/>
      <w:ind w:right="397"/>
    </w:pPr>
    <w:rPr>
      <w:rFonts w:asciiTheme="majorHAnsi" w:eastAsiaTheme="majorEastAsia" w:hAnsiTheme="majorHAnsi" w:cs="Times New Roman (Headings CS)"/>
      <w:b/>
      <w:iCs/>
      <w:color w:val="000000" w:themeColor="text1"/>
      <w:sz w:val="40"/>
    </w:rPr>
  </w:style>
  <w:style w:type="character" w:customStyle="1" w:styleId="SubtitleChar">
    <w:name w:val="Subtitle Char"/>
    <w:basedOn w:val="DefaultParagraphFont"/>
    <w:link w:val="Subtitle"/>
    <w:uiPriority w:val="98"/>
    <w:rsid w:val="007C7042"/>
    <w:rPr>
      <w:rFonts w:asciiTheme="majorHAnsi" w:eastAsiaTheme="majorEastAsia" w:hAnsiTheme="majorHAnsi" w:cs="Times New Roman (Headings CS)"/>
      <w:b/>
      <w:iCs/>
      <w:color w:val="000000" w:themeColor="text1"/>
      <w:sz w:val="40"/>
    </w:rPr>
  </w:style>
  <w:style w:type="paragraph" w:styleId="Title">
    <w:name w:val="Title"/>
    <w:basedOn w:val="Normal"/>
    <w:next w:val="Normal"/>
    <w:link w:val="TitleChar"/>
    <w:uiPriority w:val="99"/>
    <w:qFormat/>
    <w:rsid w:val="00FF4069"/>
    <w:pPr>
      <w:spacing w:before="240" w:after="240"/>
      <w:contextualSpacing/>
    </w:pPr>
    <w:rPr>
      <w:rFonts w:asciiTheme="majorHAnsi" w:eastAsiaTheme="majorEastAsia" w:hAnsiTheme="majorHAnsi" w:cs="Times New Roman (Headings CS)"/>
      <w:b/>
      <w:color w:val="006C68"/>
      <w:spacing w:val="-6"/>
      <w:kern w:val="28"/>
      <w:sz w:val="60"/>
      <w:szCs w:val="56"/>
    </w:rPr>
  </w:style>
  <w:style w:type="character" w:customStyle="1" w:styleId="TitleChar">
    <w:name w:val="Title Char"/>
    <w:basedOn w:val="DefaultParagraphFont"/>
    <w:link w:val="Title"/>
    <w:uiPriority w:val="10"/>
    <w:rsid w:val="00FF4069"/>
    <w:rPr>
      <w:rFonts w:asciiTheme="majorHAnsi" w:eastAsiaTheme="majorEastAsia" w:hAnsiTheme="majorHAnsi" w:cs="Times New Roman (Headings CS)"/>
      <w:b/>
      <w:color w:val="006C68"/>
      <w:spacing w:val="-6"/>
      <w:kern w:val="28"/>
      <w:sz w:val="60"/>
      <w:szCs w:val="56"/>
    </w:rPr>
  </w:style>
  <w:style w:type="paragraph" w:customStyle="1" w:styleId="PulloutTextHead">
    <w:name w:val="Pullout Text Head"/>
    <w:basedOn w:val="Heading3"/>
    <w:qFormat/>
    <w:rsid w:val="00FF4069"/>
    <w:pPr>
      <w:pBdr>
        <w:left w:val="single" w:sz="48" w:space="8" w:color="BAC736"/>
      </w:pBdr>
      <w:ind w:left="284"/>
    </w:pPr>
    <w:rPr>
      <w:caps/>
      <w:color w:val="006C68"/>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9F7864"/>
    <w:pPr>
      <w:keepLines/>
      <w:spacing w:before="180" w:after="180"/>
      <w:contextualSpacing/>
    </w:pPr>
    <w:rPr>
      <w:sz w:val="18"/>
      <w:szCs w:val="20"/>
    </w:rPr>
  </w:style>
  <w:style w:type="character" w:customStyle="1" w:styleId="FootnoteTextChar">
    <w:name w:val="Footnote Text Char"/>
    <w:basedOn w:val="DefaultParagraphFont"/>
    <w:link w:val="FootnoteText"/>
    <w:rsid w:val="009F7864"/>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F4069"/>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FFFFFF" w:themeColor="background1"/>
        <w:sz w:val="20"/>
      </w:rPr>
      <w:tblPr/>
      <w:tcPr>
        <w:shd w:val="clear" w:color="auto" w:fill="006C68"/>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9739AC"/>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FFFFFF" w:themeColor="background1"/>
      </w:rPr>
      <w:tblPr/>
      <w:tcPr>
        <w:shd w:val="clear" w:color="auto" w:fill="006C68"/>
      </w:tcPr>
    </w:tblStylePr>
    <w:tblStylePr w:type="band2Horz">
      <w:tblPr/>
      <w:tcPr>
        <w:shd w:val="clear" w:color="auto" w:fill="D5E6E1"/>
      </w:tcPr>
    </w:tblStylePr>
  </w:style>
  <w:style w:type="paragraph" w:customStyle="1" w:styleId="PulloutBoxHeading">
    <w:name w:val="Pullout Box Heading"/>
    <w:basedOn w:val="Heading3"/>
    <w:qFormat/>
    <w:rsid w:val="0043052C"/>
    <w:pPr>
      <w:spacing w:before="60"/>
    </w:pPr>
    <w:rPr>
      <w:color w:val="006C68"/>
    </w:rPr>
  </w:style>
  <w:style w:type="table" w:customStyle="1" w:styleId="PulloutBox">
    <w:name w:val="Pullout Box"/>
    <w:basedOn w:val="TableNormal"/>
    <w:uiPriority w:val="99"/>
    <w:rsid w:val="00E3057D"/>
    <w:pPr>
      <w:spacing w:after="0"/>
    </w:pPr>
    <w:tblPr>
      <w:tblCellMar>
        <w:top w:w="284" w:type="dxa"/>
        <w:left w:w="284" w:type="dxa"/>
        <w:bottom w:w="284" w:type="dxa"/>
        <w:right w:w="284" w:type="dxa"/>
      </w:tblCellMar>
    </w:tblPr>
    <w:trPr>
      <w:cantSplit/>
    </w:trPr>
    <w:tcPr>
      <w:shd w:val="clear" w:color="auto" w:fill="F4F4D8"/>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customStyle="1" w:styleId="UnresolvedMention1">
    <w:name w:val="Unresolved Mention1"/>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F4069"/>
    <w:pPr>
      <w:pBdr>
        <w:left w:val="single" w:sz="48" w:space="8" w:color="BAC736"/>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Intro">
    <w:name w:val="Intro"/>
    <w:basedOn w:val="Normal"/>
    <w:qFormat/>
    <w:rsid w:val="00E3057D"/>
    <w:pPr>
      <w:spacing w:before="360"/>
    </w:pPr>
    <w:rPr>
      <w:b/>
      <w:bCs/>
      <w:color w:val="006C68"/>
      <w:sz w:val="24"/>
    </w:rPr>
  </w:style>
  <w:style w:type="paragraph" w:customStyle="1" w:styleId="NoParagraphStyle">
    <w:name w:val="[No Paragraph Style]"/>
    <w:rsid w:val="008104D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en-GB"/>
    </w:rPr>
  </w:style>
  <w:style w:type="paragraph" w:customStyle="1" w:styleId="BoxTextBoxes">
    <w:name w:val="Box Text (Boxes)"/>
    <w:basedOn w:val="Normal"/>
    <w:uiPriority w:val="99"/>
    <w:rsid w:val="008104D7"/>
    <w:pPr>
      <w:widowControl w:val="0"/>
      <w:shd w:val="clear" w:color="auto" w:fill="C6FF00"/>
      <w:autoSpaceDE w:val="0"/>
      <w:autoSpaceDN w:val="0"/>
      <w:adjustRightInd w:val="0"/>
      <w:spacing w:after="142" w:line="288" w:lineRule="auto"/>
      <w:ind w:left="283" w:right="170"/>
      <w:textAlignment w:val="center"/>
    </w:pPr>
    <w:rPr>
      <w:rFonts w:ascii="Arial" w:eastAsiaTheme="minorEastAsia" w:hAnsi="Arial" w:cs="Arial"/>
      <w:color w:val="000000"/>
      <w:lang w:val="en-US" w:eastAsia="en-GB"/>
    </w:rPr>
  </w:style>
  <w:style w:type="paragraph" w:customStyle="1" w:styleId="BulletBulletandNumberlists">
    <w:name w:val="Bullet (Bullet and Number lists)"/>
    <w:basedOn w:val="Normal"/>
    <w:uiPriority w:val="99"/>
    <w:rsid w:val="008104D7"/>
    <w:pPr>
      <w:widowControl w:val="0"/>
      <w:tabs>
        <w:tab w:val="left" w:pos="283"/>
      </w:tabs>
      <w:autoSpaceDE w:val="0"/>
      <w:autoSpaceDN w:val="0"/>
      <w:adjustRightInd w:val="0"/>
      <w:spacing w:after="57" w:line="288" w:lineRule="auto"/>
      <w:ind w:left="283" w:hanging="283"/>
      <w:textAlignment w:val="center"/>
    </w:pPr>
    <w:rPr>
      <w:rFonts w:ascii="Arial" w:eastAsiaTheme="minorEastAsia" w:hAnsi="Arial" w:cs="Arial"/>
      <w:color w:val="000000"/>
      <w:lang w:val="en-US" w:eastAsia="en-GB"/>
    </w:rPr>
  </w:style>
  <w:style w:type="paragraph" w:customStyle="1" w:styleId="BulletLastBulletandNumberlists">
    <w:name w:val="Bullet Last (Bullet and Number lists)"/>
    <w:basedOn w:val="BulletBulletandNumberlists"/>
    <w:uiPriority w:val="99"/>
    <w:rsid w:val="008104D7"/>
    <w:pPr>
      <w:spacing w:after="170"/>
    </w:pPr>
  </w:style>
  <w:style w:type="paragraph" w:customStyle="1" w:styleId="DisclaimerMisc">
    <w:name w:val="Disclaimer (Misc)"/>
    <w:basedOn w:val="Normal"/>
    <w:uiPriority w:val="99"/>
    <w:rsid w:val="008104D7"/>
    <w:pPr>
      <w:widowControl w:val="0"/>
      <w:suppressAutoHyphens/>
      <w:autoSpaceDE w:val="0"/>
      <w:autoSpaceDN w:val="0"/>
      <w:adjustRightInd w:val="0"/>
      <w:spacing w:before="0" w:after="28" w:line="230" w:lineRule="atLeast"/>
      <w:textAlignment w:val="center"/>
    </w:pPr>
    <w:rPr>
      <w:rFonts w:ascii="Open Sans" w:eastAsiaTheme="minorEastAsia" w:hAnsi="Open Sans" w:cs="Open Sans"/>
      <w:color w:val="000000"/>
      <w:sz w:val="17"/>
      <w:szCs w:val="17"/>
      <w:lang w:val="en-GB" w:eastAsia="en-GB"/>
    </w:rPr>
  </w:style>
  <w:style w:type="character" w:customStyle="1" w:styleId="DropcapnumberH2">
    <w:name w:val="Drop cap number (H2)"/>
    <w:uiPriority w:val="99"/>
    <w:rsid w:val="008104D7"/>
    <w:rPr>
      <w:rFonts w:asciiTheme="minorHAnsi" w:hAnsiTheme="minorHAnsi" w:cs="Proxima Nova"/>
      <w:b/>
      <w:bCs/>
      <w:i w:val="0"/>
      <w:caps w:val="0"/>
      <w:smallCaps w:val="0"/>
      <w:strike w:val="0"/>
      <w:dstrike w:val="0"/>
      <w:vanish w:val="0"/>
      <w:color w:val="009838"/>
      <w:spacing w:val="14"/>
      <w:position w:val="10"/>
      <w:sz w:val="32"/>
      <w:szCs w:val="28"/>
      <w:u w:val="thick" w:color="C6FF00"/>
      <w:vertAlign w:val="baseline"/>
    </w:rPr>
  </w:style>
  <w:style w:type="table" w:customStyle="1" w:styleId="Style1">
    <w:name w:val="Style1"/>
    <w:basedOn w:val="TableNormal"/>
    <w:uiPriority w:val="99"/>
    <w:rsid w:val="008104D7"/>
    <w:pPr>
      <w:spacing w:after="0"/>
    </w:pPr>
    <w:tblPr>
      <w:tblBorders>
        <w:top w:val="single" w:sz="24" w:space="0" w:color="BAC736"/>
        <w:left w:val="single" w:sz="24" w:space="0" w:color="BAC736"/>
        <w:bottom w:val="single" w:sz="24" w:space="0" w:color="BAC736"/>
        <w:right w:val="single" w:sz="24" w:space="0" w:color="BAC736"/>
      </w:tblBorders>
    </w:tblPr>
    <w:tcPr>
      <w:tcMar>
        <w:top w:w="57" w:type="dxa"/>
        <w:left w:w="397" w:type="dxa"/>
        <w:bottom w:w="284" w:type="dxa"/>
        <w:right w:w="397" w:type="dxa"/>
      </w:tcMar>
    </w:tcPr>
  </w:style>
  <w:style w:type="character" w:customStyle="1" w:styleId="Heading3Char">
    <w:name w:val="Heading 3 Char"/>
    <w:basedOn w:val="DefaultParagraphFont"/>
    <w:link w:val="Heading3"/>
    <w:rsid w:val="00307ECE"/>
    <w:rPr>
      <w:rFonts w:cs="Arial"/>
      <w:b/>
      <w:bCs/>
      <w:iCs/>
      <w:color w:val="000000" w:themeColor="text1"/>
      <w:kern w:val="28"/>
      <w:sz w:val="28"/>
      <w:szCs w:val="26"/>
    </w:rPr>
  </w:style>
  <w:style w:type="paragraph" w:styleId="BodyText">
    <w:name w:val="Body Text"/>
    <w:basedOn w:val="Normal"/>
    <w:link w:val="BodyTextChar"/>
    <w:uiPriority w:val="99"/>
    <w:locked/>
    <w:rsid w:val="00957AD0"/>
    <w:pPr>
      <w:widowControl w:val="0"/>
      <w:autoSpaceDE w:val="0"/>
      <w:autoSpaceDN w:val="0"/>
      <w:adjustRightInd w:val="0"/>
      <w:spacing w:line="288" w:lineRule="auto"/>
      <w:textAlignment w:val="center"/>
    </w:pPr>
    <w:rPr>
      <w:rFonts w:ascii="Arial" w:eastAsiaTheme="minorEastAsia" w:hAnsi="Arial" w:cs="Arial"/>
      <w:color w:val="000000"/>
      <w:lang w:val="en-US" w:eastAsia="en-GB"/>
    </w:rPr>
  </w:style>
  <w:style w:type="character" w:customStyle="1" w:styleId="BodyTextChar">
    <w:name w:val="Body Text Char"/>
    <w:basedOn w:val="DefaultParagraphFont"/>
    <w:link w:val="BodyText"/>
    <w:uiPriority w:val="99"/>
    <w:rsid w:val="00957AD0"/>
    <w:rPr>
      <w:rFonts w:ascii="Arial" w:eastAsiaTheme="minorEastAsia" w:hAnsi="Arial" w:cs="Arial"/>
      <w:color w:val="000000"/>
      <w:lang w:val="en-US" w:eastAsia="en-GB"/>
    </w:rPr>
  </w:style>
  <w:style w:type="character" w:customStyle="1" w:styleId="a">
    <w:name w:val="*"/>
    <w:aliases w:val="†,§,#"/>
    <w:uiPriority w:val="99"/>
    <w:rsid w:val="00957AD0"/>
    <w:rPr>
      <w:position w:val="3"/>
      <w:sz w:val="16"/>
      <w:szCs w:val="16"/>
    </w:rPr>
  </w:style>
  <w:style w:type="paragraph" w:customStyle="1" w:styleId="Body">
    <w:name w:val="Body"/>
    <w:basedOn w:val="Normal"/>
    <w:link w:val="BodyChar"/>
    <w:qFormat/>
    <w:rsid w:val="00623415"/>
    <w:pPr>
      <w:spacing w:before="0" w:after="0"/>
    </w:pPr>
    <w:rPr>
      <w:rFonts w:ascii="Arial" w:eastAsia="Cambria" w:hAnsi="Arial"/>
      <w:sz w:val="20"/>
      <w:szCs w:val="24"/>
      <w:lang w:eastAsia="en-US"/>
    </w:rPr>
  </w:style>
  <w:style w:type="character" w:customStyle="1" w:styleId="BodyChar">
    <w:name w:val="Body Char"/>
    <w:basedOn w:val="DefaultParagraphFont"/>
    <w:link w:val="Body"/>
    <w:rsid w:val="00623415"/>
    <w:rPr>
      <w:rFonts w:ascii="Arial" w:eastAsia="Cambria" w:hAnsi="Arial"/>
      <w:sz w:val="20"/>
      <w:szCs w:val="24"/>
      <w:lang w:eastAsia="en-US"/>
    </w:rPr>
  </w:style>
  <w:style w:type="paragraph" w:customStyle="1" w:styleId="Commissionbodytext">
    <w:name w:val="Commission body text"/>
    <w:basedOn w:val="Normal"/>
    <w:link w:val="CommissionbodytextChar"/>
    <w:qFormat/>
    <w:rsid w:val="00623415"/>
    <w:pPr>
      <w:spacing w:before="0" w:after="80" w:line="276" w:lineRule="auto"/>
    </w:pPr>
    <w:rPr>
      <w:rFonts w:ascii="Arial" w:hAnsi="Arial" w:cs="Arial"/>
      <w:lang w:eastAsia="en-US"/>
    </w:rPr>
  </w:style>
  <w:style w:type="character" w:customStyle="1" w:styleId="CommissionbodytextChar">
    <w:name w:val="Commission body text Char"/>
    <w:link w:val="Commissionbodytext"/>
    <w:rsid w:val="00623415"/>
    <w:rPr>
      <w:rFonts w:ascii="Arial" w:hAnsi="Arial" w:cs="Arial"/>
      <w:lang w:eastAsia="en-US"/>
    </w:rPr>
  </w:style>
  <w:style w:type="character" w:customStyle="1" w:styleId="Style1Char">
    <w:name w:val="Style1 Char"/>
    <w:basedOn w:val="BodyChar"/>
    <w:rsid w:val="00410834"/>
    <w:rPr>
      <w:rFonts w:ascii="Arial" w:eastAsia="Cambria" w:hAnsi="Arial"/>
      <w:b/>
      <w:color w:val="005947" w:themeColor="accent5" w:themeShade="8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s@safetyandquality.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fetyandquality.gov.au/cc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56FE-AB14-411E-80DC-5D59E94F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6478</Characters>
  <Application>Microsoft Office Word</Application>
  <DocSecurity>4</DocSecurity>
  <Lines>129</Lines>
  <Paragraphs>97</Paragraphs>
  <ScaleCrop>false</ScaleCrop>
  <HeadingPairs>
    <vt:vector size="2" baseType="variant">
      <vt:variant>
        <vt:lpstr>Title</vt:lpstr>
      </vt:variant>
      <vt:variant>
        <vt:i4>1</vt:i4>
      </vt:variant>
    </vt:vector>
  </HeadingPairs>
  <TitlesOfParts>
    <vt:vector size="1" baseType="lpstr">
      <vt:lpstr>Fact sheet for clinicians: Delirium Clinical Care Standard 2021</vt:lpstr>
    </vt:vector>
  </TitlesOfParts>
  <Manager/>
  <Company>Australian Commission on Safety and Quality in Health Care</Company>
  <LinksUpToDate>false</LinksUpToDate>
  <CharactersWithSpaces>7515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clinicians: Delirium Clinical Care Standard 2021</dc:title>
  <dc:subject/>
  <dc:creator>Australian Commission on Safety and Quality in Health Care</dc:creator>
  <cp:keywords/>
  <dc:description/>
  <cp:lastModifiedBy>FORSYTH, Amy</cp:lastModifiedBy>
  <cp:revision>2</cp:revision>
  <cp:lastPrinted>2020-03-04T03:32:00Z</cp:lastPrinted>
  <dcterms:created xsi:type="dcterms:W3CDTF">2022-08-30T01:55:00Z</dcterms:created>
  <dcterms:modified xsi:type="dcterms:W3CDTF">2022-08-30T01:55:00Z</dcterms:modified>
  <cp:category/>
</cp:coreProperties>
</file>