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3C9" w:rsidRDefault="007473C9" w:rsidP="00FD0195">
      <w:pPr>
        <w:pStyle w:val="NPReportTitle"/>
        <w:rPr>
          <w:rFonts w:ascii="Times New Roman" w:hAnsi="Times New Roman"/>
          <w:sz w:val="24"/>
          <w:szCs w:val="24"/>
        </w:rPr>
      </w:pPr>
      <w:r w:rsidRPr="005B7253">
        <w:rPr>
          <w:rFonts w:ascii="Times New Roman" w:hAnsi="Times New Roman"/>
          <w:sz w:val="24"/>
          <w:szCs w:val="24"/>
        </w:rPr>
        <w:t>NATIONAL PATHOLOGY ACCREDITATION ADVISORY COUNCIL</w:t>
      </w:r>
    </w:p>
    <w:p w:rsidR="007473C9" w:rsidRDefault="00B755EB" w:rsidP="00E31C9D">
      <w:pPr>
        <w:pStyle w:val="Heading1"/>
      </w:pPr>
      <w:r>
        <w:t>REQUIREMENTS</w:t>
      </w:r>
      <w:r w:rsidRPr="0018416B">
        <w:t xml:space="preserve"> FOR CYTOGENETIC</w:t>
      </w:r>
      <w:r w:rsidR="00DE6154">
        <w:t xml:space="preserve"> </w:t>
      </w:r>
      <w:r>
        <w:t>TESTING</w:t>
      </w:r>
    </w:p>
    <w:p w:rsidR="00C865EF" w:rsidRDefault="007473C9" w:rsidP="00E31C9D">
      <w:pPr>
        <w:pStyle w:val="Heading1"/>
      </w:pPr>
      <w:r w:rsidRPr="00CD2BAD">
        <w:t>(</w:t>
      </w:r>
      <w:r w:rsidR="00633B5B" w:rsidRPr="00CD2BAD">
        <w:t xml:space="preserve">Third </w:t>
      </w:r>
      <w:r w:rsidRPr="00CD2BAD">
        <w:t>Edition</w:t>
      </w:r>
      <w:r w:rsidR="00EB21F2" w:rsidRPr="00CD2BAD">
        <w:t xml:space="preserve"> 20</w:t>
      </w:r>
      <w:r w:rsidR="006519FD" w:rsidRPr="00CD2BAD">
        <w:t>13</w:t>
      </w:r>
      <w:r w:rsidRPr="00CD2BAD">
        <w:t>)</w:t>
      </w:r>
    </w:p>
    <w:p w:rsidR="00C13C39" w:rsidRDefault="00EB21F2" w:rsidP="00CD2BAD">
      <w:pPr>
        <w:jc w:val="center"/>
        <w:rPr>
          <w:rFonts w:ascii="Arial" w:hAnsi="Arial" w:cs="Arial"/>
          <w:b/>
        </w:rPr>
      </w:pPr>
      <w:r w:rsidRPr="005B7253">
        <w:rPr>
          <w:rFonts w:ascii="Arial" w:hAnsi="Arial" w:cs="Arial"/>
          <w:b/>
        </w:rPr>
        <w:t>NPAAC Tier 4 Document</w:t>
      </w:r>
    </w:p>
    <w:p w:rsidR="007D19A0" w:rsidRPr="00B82B20" w:rsidRDefault="007D19A0" w:rsidP="00CD2BAD">
      <w:pPr>
        <w:spacing w:after="120"/>
        <w:rPr>
          <w:rFonts w:ascii="Arial" w:hAnsi="Arial" w:cs="Arial"/>
        </w:rPr>
      </w:pPr>
      <w:r>
        <w:t xml:space="preserve">Print </w:t>
      </w:r>
      <w:r w:rsidRPr="00B82B20">
        <w:t>ISBN:</w:t>
      </w:r>
      <w:r>
        <w:t xml:space="preserve"> </w:t>
      </w:r>
      <w:r w:rsidRPr="00732DBE">
        <w:t>978-1-74241-9</w:t>
      </w:r>
      <w:r>
        <w:t>56-5</w:t>
      </w:r>
    </w:p>
    <w:p w:rsidR="007D19A0" w:rsidRDefault="007D19A0" w:rsidP="00CD2BAD">
      <w:pPr>
        <w:spacing w:after="120"/>
      </w:pPr>
      <w:r>
        <w:t>Online</w:t>
      </w:r>
      <w:r w:rsidRPr="00224359">
        <w:t xml:space="preserve"> ISBN</w:t>
      </w:r>
      <w:r>
        <w:t>: 978-1-74241-957-2</w:t>
      </w:r>
    </w:p>
    <w:p w:rsidR="007D19A0" w:rsidRPr="00E54CB5" w:rsidRDefault="007D19A0" w:rsidP="00CD2BAD">
      <w:pPr>
        <w:spacing w:after="120"/>
      </w:pPr>
      <w:r>
        <w:t>Publications approval number: 10207</w:t>
      </w:r>
    </w:p>
    <w:p w:rsidR="007D19A0" w:rsidRPr="002343E8" w:rsidRDefault="007D19A0" w:rsidP="007D19A0">
      <w:pPr>
        <w:rPr>
          <w:b/>
        </w:rPr>
      </w:pPr>
      <w:r>
        <w:rPr>
          <w:b/>
        </w:rPr>
        <w:br/>
      </w:r>
      <w:r w:rsidRPr="002343E8">
        <w:rPr>
          <w:b/>
        </w:rPr>
        <w:t>Paper-based publications</w:t>
      </w:r>
    </w:p>
    <w:p w:rsidR="007D19A0" w:rsidRDefault="007D19A0" w:rsidP="007D19A0">
      <w:r>
        <w:t xml:space="preserve">© Commonwealth of </w:t>
      </w:r>
      <w:r w:rsidRPr="00066E06">
        <w:t>Australia</w:t>
      </w:r>
      <w:r>
        <w:t xml:space="preserve"> 2013</w:t>
      </w:r>
    </w:p>
    <w:p w:rsidR="007D19A0" w:rsidRDefault="007D19A0" w:rsidP="007D19A0">
      <w: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Pr>
          <w:i/>
          <w:iCs/>
        </w:rPr>
        <w:t xml:space="preserve">Copyright Act 1968 </w:t>
      </w:r>
      <w:r>
        <w:t>or allowed by this copyright notice</w:t>
      </w:r>
      <w:r>
        <w:rPr>
          <w:i/>
          <w:iCs/>
        </w:rPr>
        <w:t xml:space="preserve">, </w:t>
      </w:r>
      <w:r>
        <w:t xml:space="preserve">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 Department of Health, GPO Box 9848, Canberra ACT 2601, or via e-mail to </w:t>
      </w:r>
      <w:r w:rsidRPr="001F2FC6">
        <w:rPr>
          <w:u w:val="single"/>
        </w:rPr>
        <w:t>copyright@health.gov.au</w:t>
      </w:r>
      <w:r>
        <w:t xml:space="preserve">. </w:t>
      </w:r>
    </w:p>
    <w:p w:rsidR="007D19A0" w:rsidRPr="002343E8" w:rsidRDefault="007D19A0" w:rsidP="007D19A0">
      <w:pPr>
        <w:rPr>
          <w:b/>
        </w:rPr>
      </w:pPr>
      <w:r w:rsidRPr="002343E8">
        <w:rPr>
          <w:b/>
        </w:rPr>
        <w:t>Internet sites</w:t>
      </w:r>
    </w:p>
    <w:p w:rsidR="007D19A0" w:rsidRDefault="007D19A0" w:rsidP="007D19A0">
      <w:r>
        <w:t>© Commonwealth of Australia 2013</w:t>
      </w:r>
    </w:p>
    <w:p w:rsidR="007D19A0" w:rsidRDefault="007D19A0" w:rsidP="007D19A0">
      <w: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Pr>
          <w:i/>
          <w:iCs/>
        </w:rPr>
        <w:t xml:space="preserve">Copyright Act 1968 </w:t>
      </w:r>
      <w:r>
        <w:t>or allowed by this copyright notice</w:t>
      </w:r>
      <w:r>
        <w:rPr>
          <w:i/>
          <w:iCs/>
        </w:rPr>
        <w:t xml:space="preserve">, </w:t>
      </w:r>
      <w:r>
        <w:t>all other rights are reserved and</w:t>
      </w:r>
      <w:r>
        <w:rPr>
          <w:i/>
          <w:iCs/>
        </w:rPr>
        <w:t xml:space="preserve"> </w:t>
      </w:r>
      <w:r>
        <w:t>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w:t>
      </w:r>
      <w:r w:rsidR="00E623B9">
        <w:t>ns Branch, Department of Health</w:t>
      </w:r>
      <w:r>
        <w:t xml:space="preserve">, GPO Box 9848, Canberra ACT 2601, or via e-mail to </w:t>
      </w:r>
      <w:r w:rsidRPr="001F2FC6">
        <w:rPr>
          <w:u w:val="single"/>
        </w:rPr>
        <w:t>copyright@health.gov.au</w:t>
      </w:r>
      <w:r>
        <w:t xml:space="preserve">. </w:t>
      </w:r>
    </w:p>
    <w:p w:rsidR="00DA414A" w:rsidRDefault="00DA414A" w:rsidP="00DA414A">
      <w:pPr>
        <w:spacing w:after="0"/>
      </w:pPr>
      <w:r>
        <w:t>First published 2001</w:t>
      </w:r>
    </w:p>
    <w:p w:rsidR="00DA414A" w:rsidRDefault="00DA414A" w:rsidP="00DA414A">
      <w:pPr>
        <w:spacing w:after="0"/>
      </w:pPr>
      <w:r>
        <w:t>Second edition 2007</w:t>
      </w:r>
      <w:r>
        <w:tab/>
        <w:t>reprinted with revisions and name change from</w:t>
      </w:r>
    </w:p>
    <w:p w:rsidR="00DA414A" w:rsidRDefault="00DA414A" w:rsidP="00E83C28">
      <w:pPr>
        <w:spacing w:after="0"/>
        <w:ind w:left="1440" w:firstLine="720"/>
      </w:pPr>
      <w:r w:rsidRPr="00DA414A">
        <w:rPr>
          <w:i/>
        </w:rPr>
        <w:t xml:space="preserve">Guidelines for </w:t>
      </w:r>
      <w:proofErr w:type="spellStart"/>
      <w:r w:rsidRPr="00DA414A">
        <w:rPr>
          <w:i/>
        </w:rPr>
        <w:t>Cytogenetics</w:t>
      </w:r>
      <w:proofErr w:type="spellEnd"/>
      <w:r w:rsidRPr="00DA414A">
        <w:rPr>
          <w:i/>
        </w:rPr>
        <w:t xml:space="preserve"> Laboratories</w:t>
      </w:r>
    </w:p>
    <w:p w:rsidR="00FD0195" w:rsidRDefault="00C865EF" w:rsidP="00FD0195">
      <w:pPr>
        <w:ind w:left="2160" w:hanging="2160"/>
        <w:rPr>
          <w:i/>
        </w:rPr>
      </w:pPr>
      <w:r>
        <w:lastRenderedPageBreak/>
        <w:t>Third edition 2013</w:t>
      </w:r>
      <w:r>
        <w:tab/>
        <w:t xml:space="preserve">reprinted and reformatted to be read in conjunction with the </w:t>
      </w:r>
      <w:r w:rsidRPr="005B7253">
        <w:rPr>
          <w:i/>
        </w:rPr>
        <w:t>Requirements for Medical Pathology Services</w:t>
      </w:r>
    </w:p>
    <w:p w:rsidR="00C700FC" w:rsidRPr="00DA414A" w:rsidRDefault="00DA414A" w:rsidP="00DA414A">
      <w:pPr>
        <w:rPr>
          <w:i/>
        </w:rPr>
      </w:pPr>
      <w:r>
        <w:t xml:space="preserve">Australian Government Department of Health </w:t>
      </w:r>
    </w:p>
    <w:p w:rsidR="00C700FC" w:rsidRPr="0068347F" w:rsidRDefault="008255EB" w:rsidP="00E31C9D">
      <w:pPr>
        <w:pStyle w:val="Heading2"/>
      </w:pPr>
      <w:r w:rsidRPr="0068347F">
        <w:t>Contents</w:t>
      </w:r>
    </w:p>
    <w:p w:rsidR="00A05946" w:rsidRPr="000261F3" w:rsidRDefault="008255EB">
      <w:pPr>
        <w:pStyle w:val="TOC1"/>
        <w:rPr>
          <w:rFonts w:ascii="Calibri" w:hAnsi="Calibri"/>
          <w:b w:val="0"/>
          <w:sz w:val="22"/>
          <w:szCs w:val="22"/>
          <w:lang w:eastAsia="en-AU"/>
        </w:rPr>
      </w:pPr>
      <w:r w:rsidRPr="00AC7D9E">
        <w:fldChar w:fldCharType="begin"/>
      </w:r>
      <w:r w:rsidRPr="00AC7D9E">
        <w:instrText xml:space="preserve"> TOC \o "1-3" \h \z \u </w:instrText>
      </w:r>
      <w:r w:rsidRPr="00AC7D9E">
        <w:fldChar w:fldCharType="separate"/>
      </w:r>
      <w:hyperlink w:anchor="_Toc362260277" w:history="1">
        <w:r w:rsidR="00A05946" w:rsidRPr="00C45482">
          <w:rPr>
            <w:rStyle w:val="Hyperlink"/>
          </w:rPr>
          <w:t>Scope</w:t>
        </w:r>
        <w:r w:rsidR="00A05946">
          <w:rPr>
            <w:webHidden/>
          </w:rPr>
          <w:tab/>
        </w:r>
        <w:r w:rsidR="00A05946">
          <w:rPr>
            <w:webHidden/>
          </w:rPr>
          <w:tab/>
        </w:r>
        <w:r w:rsidR="00A05946">
          <w:rPr>
            <w:webHidden/>
          </w:rPr>
          <w:fldChar w:fldCharType="begin"/>
        </w:r>
        <w:r w:rsidR="00A05946">
          <w:rPr>
            <w:webHidden/>
          </w:rPr>
          <w:instrText xml:space="preserve"> PAGEREF _Toc362260277 \h </w:instrText>
        </w:r>
        <w:r w:rsidR="00A05946">
          <w:rPr>
            <w:webHidden/>
          </w:rPr>
        </w:r>
        <w:r w:rsidR="00A05946">
          <w:rPr>
            <w:webHidden/>
          </w:rPr>
          <w:fldChar w:fldCharType="separate"/>
        </w:r>
        <w:r w:rsidR="00957924">
          <w:rPr>
            <w:webHidden/>
          </w:rPr>
          <w:t>vii</w:t>
        </w:r>
        <w:r w:rsidR="00A05946">
          <w:rPr>
            <w:webHidden/>
          </w:rPr>
          <w:fldChar w:fldCharType="end"/>
        </w:r>
      </w:hyperlink>
    </w:p>
    <w:p w:rsidR="00A05946" w:rsidRPr="000261F3" w:rsidRDefault="00E31C9D">
      <w:pPr>
        <w:pStyle w:val="TOC1"/>
        <w:rPr>
          <w:rFonts w:ascii="Calibri" w:hAnsi="Calibri"/>
          <w:b w:val="0"/>
          <w:sz w:val="22"/>
          <w:szCs w:val="22"/>
          <w:lang w:eastAsia="en-AU"/>
        </w:rPr>
      </w:pPr>
      <w:hyperlink w:anchor="_Toc362260278" w:history="1">
        <w:r w:rsidR="00A05946" w:rsidRPr="00C45482">
          <w:rPr>
            <w:rStyle w:val="Hyperlink"/>
          </w:rPr>
          <w:t>Abbreviations</w:t>
        </w:r>
        <w:r w:rsidR="00A05946">
          <w:rPr>
            <w:webHidden/>
          </w:rPr>
          <w:tab/>
        </w:r>
        <w:r w:rsidR="00A05946">
          <w:rPr>
            <w:webHidden/>
          </w:rPr>
          <w:fldChar w:fldCharType="begin"/>
        </w:r>
        <w:r w:rsidR="00A05946">
          <w:rPr>
            <w:webHidden/>
          </w:rPr>
          <w:instrText xml:space="preserve"> PAGEREF _Toc362260278 \h </w:instrText>
        </w:r>
        <w:r w:rsidR="00A05946">
          <w:rPr>
            <w:webHidden/>
          </w:rPr>
        </w:r>
        <w:r w:rsidR="00A05946">
          <w:rPr>
            <w:webHidden/>
          </w:rPr>
          <w:fldChar w:fldCharType="separate"/>
        </w:r>
        <w:r w:rsidR="00957924">
          <w:rPr>
            <w:webHidden/>
          </w:rPr>
          <w:t>viii</w:t>
        </w:r>
        <w:r w:rsidR="00A05946">
          <w:rPr>
            <w:webHidden/>
          </w:rPr>
          <w:fldChar w:fldCharType="end"/>
        </w:r>
      </w:hyperlink>
    </w:p>
    <w:p w:rsidR="00A05946" w:rsidRPr="000261F3" w:rsidRDefault="00E31C9D">
      <w:pPr>
        <w:pStyle w:val="TOC1"/>
        <w:rPr>
          <w:rFonts w:ascii="Calibri" w:hAnsi="Calibri"/>
          <w:b w:val="0"/>
          <w:sz w:val="22"/>
          <w:szCs w:val="22"/>
          <w:lang w:eastAsia="en-AU"/>
        </w:rPr>
      </w:pPr>
      <w:hyperlink w:anchor="_Toc362260279" w:history="1">
        <w:r w:rsidR="00A05946" w:rsidRPr="00C45482">
          <w:rPr>
            <w:rStyle w:val="Hyperlink"/>
          </w:rPr>
          <w:t>Definitions</w:t>
        </w:r>
        <w:r w:rsidR="00A05946">
          <w:rPr>
            <w:webHidden/>
          </w:rPr>
          <w:tab/>
        </w:r>
        <w:r w:rsidR="00A05946">
          <w:rPr>
            <w:webHidden/>
          </w:rPr>
          <w:fldChar w:fldCharType="begin"/>
        </w:r>
        <w:r w:rsidR="00A05946">
          <w:rPr>
            <w:webHidden/>
          </w:rPr>
          <w:instrText xml:space="preserve"> PAGEREF _Toc362260279 \h </w:instrText>
        </w:r>
        <w:r w:rsidR="00A05946">
          <w:rPr>
            <w:webHidden/>
          </w:rPr>
        </w:r>
        <w:r w:rsidR="00A05946">
          <w:rPr>
            <w:webHidden/>
          </w:rPr>
          <w:fldChar w:fldCharType="separate"/>
        </w:r>
        <w:r w:rsidR="00957924">
          <w:rPr>
            <w:webHidden/>
          </w:rPr>
          <w:t>ix</w:t>
        </w:r>
        <w:r w:rsidR="00A05946">
          <w:rPr>
            <w:webHidden/>
          </w:rPr>
          <w:fldChar w:fldCharType="end"/>
        </w:r>
      </w:hyperlink>
    </w:p>
    <w:p w:rsidR="00A05946" w:rsidRPr="000261F3" w:rsidRDefault="00E31C9D">
      <w:pPr>
        <w:pStyle w:val="TOC1"/>
        <w:rPr>
          <w:rFonts w:ascii="Calibri" w:hAnsi="Calibri"/>
          <w:b w:val="0"/>
          <w:sz w:val="22"/>
          <w:szCs w:val="22"/>
          <w:lang w:eastAsia="en-AU"/>
        </w:rPr>
      </w:pPr>
      <w:hyperlink w:anchor="_Toc362260280" w:history="1">
        <w:r w:rsidR="00A05946" w:rsidRPr="00C45482">
          <w:rPr>
            <w:rStyle w:val="Hyperlink"/>
          </w:rPr>
          <w:t>Introduction</w:t>
        </w:r>
        <w:r w:rsidR="00A05946">
          <w:rPr>
            <w:webHidden/>
          </w:rPr>
          <w:tab/>
        </w:r>
        <w:r w:rsidR="00A05946">
          <w:rPr>
            <w:webHidden/>
          </w:rPr>
          <w:fldChar w:fldCharType="begin"/>
        </w:r>
        <w:r w:rsidR="00A05946">
          <w:rPr>
            <w:webHidden/>
          </w:rPr>
          <w:instrText xml:space="preserve"> PAGEREF _Toc362260280 \h </w:instrText>
        </w:r>
        <w:r w:rsidR="00A05946">
          <w:rPr>
            <w:webHidden/>
          </w:rPr>
        </w:r>
        <w:r w:rsidR="00A05946">
          <w:rPr>
            <w:webHidden/>
          </w:rPr>
          <w:fldChar w:fldCharType="separate"/>
        </w:r>
        <w:r w:rsidR="00957924">
          <w:rPr>
            <w:webHidden/>
          </w:rPr>
          <w:t>1</w:t>
        </w:r>
        <w:r w:rsidR="00A05946">
          <w:rPr>
            <w:webHidden/>
          </w:rPr>
          <w:fldChar w:fldCharType="end"/>
        </w:r>
      </w:hyperlink>
    </w:p>
    <w:p w:rsidR="00A05946" w:rsidRPr="000261F3" w:rsidRDefault="00E31C9D">
      <w:pPr>
        <w:pStyle w:val="TOC1"/>
        <w:rPr>
          <w:rFonts w:ascii="Calibri" w:hAnsi="Calibri"/>
          <w:b w:val="0"/>
          <w:sz w:val="22"/>
          <w:szCs w:val="22"/>
          <w:lang w:eastAsia="en-AU"/>
        </w:rPr>
      </w:pPr>
      <w:hyperlink w:anchor="_Toc362260281" w:history="1">
        <w:r w:rsidR="00A05946" w:rsidRPr="00C45482">
          <w:rPr>
            <w:rStyle w:val="Hyperlink"/>
          </w:rPr>
          <w:t>1.</w:t>
        </w:r>
        <w:r w:rsidR="00A05946" w:rsidRPr="000261F3">
          <w:rPr>
            <w:rFonts w:ascii="Calibri" w:hAnsi="Calibri"/>
            <w:b w:val="0"/>
            <w:sz w:val="22"/>
            <w:szCs w:val="22"/>
            <w:lang w:eastAsia="en-AU"/>
          </w:rPr>
          <w:tab/>
        </w:r>
        <w:r w:rsidR="00A05946" w:rsidRPr="00C45482">
          <w:rPr>
            <w:rStyle w:val="Hyperlink"/>
          </w:rPr>
          <w:t>Personnel</w:t>
        </w:r>
        <w:r w:rsidR="00A05946">
          <w:rPr>
            <w:webHidden/>
          </w:rPr>
          <w:tab/>
        </w:r>
        <w:r w:rsidR="00A05946">
          <w:rPr>
            <w:webHidden/>
          </w:rPr>
          <w:fldChar w:fldCharType="begin"/>
        </w:r>
        <w:r w:rsidR="00A05946">
          <w:rPr>
            <w:webHidden/>
          </w:rPr>
          <w:instrText xml:space="preserve"> PAGEREF _Toc362260281 \h </w:instrText>
        </w:r>
        <w:r w:rsidR="00A05946">
          <w:rPr>
            <w:webHidden/>
          </w:rPr>
        </w:r>
        <w:r w:rsidR="00A05946">
          <w:rPr>
            <w:webHidden/>
          </w:rPr>
          <w:fldChar w:fldCharType="separate"/>
        </w:r>
        <w:r w:rsidR="00957924">
          <w:rPr>
            <w:webHidden/>
          </w:rPr>
          <w:t>3</w:t>
        </w:r>
        <w:r w:rsidR="00A05946">
          <w:rPr>
            <w:webHidden/>
          </w:rPr>
          <w:fldChar w:fldCharType="end"/>
        </w:r>
      </w:hyperlink>
    </w:p>
    <w:p w:rsidR="00A05946" w:rsidRPr="000261F3" w:rsidRDefault="00E31C9D">
      <w:pPr>
        <w:pStyle w:val="TOC1"/>
        <w:rPr>
          <w:rFonts w:ascii="Calibri" w:hAnsi="Calibri"/>
          <w:b w:val="0"/>
          <w:sz w:val="22"/>
          <w:szCs w:val="22"/>
          <w:lang w:eastAsia="en-AU"/>
        </w:rPr>
      </w:pPr>
      <w:hyperlink w:anchor="_Toc362260282" w:history="1">
        <w:r w:rsidR="00A05946" w:rsidRPr="00C45482">
          <w:rPr>
            <w:rStyle w:val="Hyperlink"/>
          </w:rPr>
          <w:t>2.</w:t>
        </w:r>
        <w:r w:rsidR="00A05946" w:rsidRPr="000261F3">
          <w:rPr>
            <w:rFonts w:ascii="Calibri" w:hAnsi="Calibri"/>
            <w:b w:val="0"/>
            <w:sz w:val="22"/>
            <w:szCs w:val="22"/>
            <w:lang w:eastAsia="en-AU"/>
          </w:rPr>
          <w:tab/>
        </w:r>
        <w:r w:rsidR="00A05946" w:rsidRPr="00C45482">
          <w:rPr>
            <w:rStyle w:val="Hyperlink"/>
          </w:rPr>
          <w:t>Specimens and referral types</w:t>
        </w:r>
        <w:r w:rsidR="00A05946">
          <w:rPr>
            <w:webHidden/>
          </w:rPr>
          <w:tab/>
        </w:r>
        <w:r w:rsidR="00A05946">
          <w:rPr>
            <w:webHidden/>
          </w:rPr>
          <w:fldChar w:fldCharType="begin"/>
        </w:r>
        <w:r w:rsidR="00A05946">
          <w:rPr>
            <w:webHidden/>
          </w:rPr>
          <w:instrText xml:space="preserve"> PAGEREF _Toc362260282 \h </w:instrText>
        </w:r>
        <w:r w:rsidR="00A05946">
          <w:rPr>
            <w:webHidden/>
          </w:rPr>
        </w:r>
        <w:r w:rsidR="00A05946">
          <w:rPr>
            <w:webHidden/>
          </w:rPr>
          <w:fldChar w:fldCharType="separate"/>
        </w:r>
        <w:r w:rsidR="00957924">
          <w:rPr>
            <w:webHidden/>
          </w:rPr>
          <w:t>4</w:t>
        </w:r>
        <w:r w:rsidR="00A05946">
          <w:rPr>
            <w:webHidden/>
          </w:rPr>
          <w:fldChar w:fldCharType="end"/>
        </w:r>
      </w:hyperlink>
    </w:p>
    <w:p w:rsidR="00A05946" w:rsidRPr="000261F3" w:rsidRDefault="00E31C9D">
      <w:pPr>
        <w:pStyle w:val="TOC2"/>
        <w:rPr>
          <w:rFonts w:ascii="Calibri" w:hAnsi="Calibri"/>
          <w:sz w:val="22"/>
          <w:szCs w:val="22"/>
          <w:lang w:eastAsia="en-AU"/>
        </w:rPr>
      </w:pPr>
      <w:hyperlink w:anchor="_Toc362260283" w:history="1">
        <w:r w:rsidR="00A05946" w:rsidRPr="00C45482">
          <w:rPr>
            <w:rStyle w:val="Hyperlink"/>
          </w:rPr>
          <w:t>Prenatal (general)</w:t>
        </w:r>
        <w:r w:rsidR="00A05946">
          <w:rPr>
            <w:webHidden/>
          </w:rPr>
          <w:tab/>
        </w:r>
        <w:r w:rsidR="00A05946">
          <w:rPr>
            <w:webHidden/>
          </w:rPr>
          <w:fldChar w:fldCharType="begin"/>
        </w:r>
        <w:r w:rsidR="00A05946">
          <w:rPr>
            <w:webHidden/>
          </w:rPr>
          <w:instrText xml:space="preserve"> PAGEREF _Toc362260283 \h </w:instrText>
        </w:r>
        <w:r w:rsidR="00A05946">
          <w:rPr>
            <w:webHidden/>
          </w:rPr>
        </w:r>
        <w:r w:rsidR="00A05946">
          <w:rPr>
            <w:webHidden/>
          </w:rPr>
          <w:fldChar w:fldCharType="separate"/>
        </w:r>
        <w:r w:rsidR="00957924">
          <w:rPr>
            <w:webHidden/>
          </w:rPr>
          <w:t>4</w:t>
        </w:r>
        <w:r w:rsidR="00A05946">
          <w:rPr>
            <w:webHidden/>
          </w:rPr>
          <w:fldChar w:fldCharType="end"/>
        </w:r>
      </w:hyperlink>
    </w:p>
    <w:p w:rsidR="00A05946" w:rsidRPr="000261F3" w:rsidRDefault="00E31C9D">
      <w:pPr>
        <w:pStyle w:val="TOC2"/>
        <w:rPr>
          <w:rFonts w:ascii="Calibri" w:hAnsi="Calibri"/>
          <w:sz w:val="22"/>
          <w:szCs w:val="22"/>
          <w:lang w:eastAsia="en-AU"/>
        </w:rPr>
      </w:pPr>
      <w:hyperlink w:anchor="_Toc362260284" w:history="1">
        <w:r w:rsidR="00A05946" w:rsidRPr="00C45482">
          <w:rPr>
            <w:rStyle w:val="Hyperlink"/>
          </w:rPr>
          <w:t>Chorionic villus</w:t>
        </w:r>
        <w:r w:rsidR="00A05946">
          <w:rPr>
            <w:webHidden/>
          </w:rPr>
          <w:tab/>
        </w:r>
        <w:r w:rsidR="00A05946">
          <w:rPr>
            <w:webHidden/>
          </w:rPr>
          <w:fldChar w:fldCharType="begin"/>
        </w:r>
        <w:r w:rsidR="00A05946">
          <w:rPr>
            <w:webHidden/>
          </w:rPr>
          <w:instrText xml:space="preserve"> PAGEREF _Toc362260284 \h </w:instrText>
        </w:r>
        <w:r w:rsidR="00A05946">
          <w:rPr>
            <w:webHidden/>
          </w:rPr>
        </w:r>
        <w:r w:rsidR="00A05946">
          <w:rPr>
            <w:webHidden/>
          </w:rPr>
          <w:fldChar w:fldCharType="separate"/>
        </w:r>
        <w:r w:rsidR="00957924">
          <w:rPr>
            <w:webHidden/>
          </w:rPr>
          <w:t>4</w:t>
        </w:r>
        <w:r w:rsidR="00A05946">
          <w:rPr>
            <w:webHidden/>
          </w:rPr>
          <w:fldChar w:fldCharType="end"/>
        </w:r>
      </w:hyperlink>
    </w:p>
    <w:p w:rsidR="00A05946" w:rsidRPr="000261F3" w:rsidRDefault="00E31C9D">
      <w:pPr>
        <w:pStyle w:val="TOC2"/>
        <w:rPr>
          <w:rFonts w:ascii="Calibri" w:hAnsi="Calibri"/>
          <w:sz w:val="22"/>
          <w:szCs w:val="22"/>
          <w:lang w:eastAsia="en-AU"/>
        </w:rPr>
      </w:pPr>
      <w:hyperlink w:anchor="_Toc362260285" w:history="1">
        <w:r w:rsidR="00A05946" w:rsidRPr="00C45482">
          <w:rPr>
            <w:rStyle w:val="Hyperlink"/>
          </w:rPr>
          <w:t>Fetal blood</w:t>
        </w:r>
        <w:r w:rsidR="00A05946">
          <w:rPr>
            <w:webHidden/>
          </w:rPr>
          <w:tab/>
        </w:r>
        <w:r w:rsidR="00A05946">
          <w:rPr>
            <w:webHidden/>
          </w:rPr>
          <w:fldChar w:fldCharType="begin"/>
        </w:r>
        <w:r w:rsidR="00A05946">
          <w:rPr>
            <w:webHidden/>
          </w:rPr>
          <w:instrText xml:space="preserve"> PAGEREF _Toc362260285 \h </w:instrText>
        </w:r>
        <w:r w:rsidR="00A05946">
          <w:rPr>
            <w:webHidden/>
          </w:rPr>
        </w:r>
        <w:r w:rsidR="00A05946">
          <w:rPr>
            <w:webHidden/>
          </w:rPr>
          <w:fldChar w:fldCharType="separate"/>
        </w:r>
        <w:r w:rsidR="00957924">
          <w:rPr>
            <w:webHidden/>
          </w:rPr>
          <w:t>4</w:t>
        </w:r>
        <w:r w:rsidR="00A05946">
          <w:rPr>
            <w:webHidden/>
          </w:rPr>
          <w:fldChar w:fldCharType="end"/>
        </w:r>
      </w:hyperlink>
    </w:p>
    <w:p w:rsidR="00A05946" w:rsidRPr="000261F3" w:rsidRDefault="00E31C9D">
      <w:pPr>
        <w:pStyle w:val="TOC2"/>
        <w:rPr>
          <w:rFonts w:ascii="Calibri" w:hAnsi="Calibri"/>
          <w:sz w:val="22"/>
          <w:szCs w:val="22"/>
          <w:lang w:eastAsia="en-AU"/>
        </w:rPr>
      </w:pPr>
      <w:hyperlink w:anchor="_Toc362260286" w:history="1">
        <w:r w:rsidR="00A05946" w:rsidRPr="00C45482">
          <w:rPr>
            <w:rStyle w:val="Hyperlink"/>
          </w:rPr>
          <w:t>Bone marrow and tumour</w:t>
        </w:r>
        <w:r w:rsidR="00A05946">
          <w:rPr>
            <w:webHidden/>
          </w:rPr>
          <w:tab/>
        </w:r>
        <w:r w:rsidR="00A05946">
          <w:rPr>
            <w:webHidden/>
          </w:rPr>
          <w:fldChar w:fldCharType="begin"/>
        </w:r>
        <w:r w:rsidR="00A05946">
          <w:rPr>
            <w:webHidden/>
          </w:rPr>
          <w:instrText xml:space="preserve"> PAGEREF _Toc362260286 \h </w:instrText>
        </w:r>
        <w:r w:rsidR="00A05946">
          <w:rPr>
            <w:webHidden/>
          </w:rPr>
        </w:r>
        <w:r w:rsidR="00A05946">
          <w:rPr>
            <w:webHidden/>
          </w:rPr>
          <w:fldChar w:fldCharType="separate"/>
        </w:r>
        <w:r w:rsidR="00957924">
          <w:rPr>
            <w:webHidden/>
          </w:rPr>
          <w:t>4</w:t>
        </w:r>
        <w:r w:rsidR="00A05946">
          <w:rPr>
            <w:webHidden/>
          </w:rPr>
          <w:fldChar w:fldCharType="end"/>
        </w:r>
      </w:hyperlink>
    </w:p>
    <w:p w:rsidR="00A05946" w:rsidRPr="000261F3" w:rsidRDefault="00E31C9D">
      <w:pPr>
        <w:pStyle w:val="TOC2"/>
        <w:rPr>
          <w:rFonts w:ascii="Calibri" w:hAnsi="Calibri"/>
          <w:sz w:val="22"/>
          <w:szCs w:val="22"/>
          <w:lang w:eastAsia="en-AU"/>
        </w:rPr>
      </w:pPr>
      <w:hyperlink w:anchor="_Toc362260287" w:history="1">
        <w:r w:rsidR="00A05946" w:rsidRPr="00C45482">
          <w:rPr>
            <w:rStyle w:val="Hyperlink"/>
          </w:rPr>
          <w:t>Chromosome instability syndromes</w:t>
        </w:r>
        <w:r w:rsidR="00A05946">
          <w:rPr>
            <w:webHidden/>
          </w:rPr>
          <w:tab/>
        </w:r>
        <w:r w:rsidR="00A05946">
          <w:rPr>
            <w:webHidden/>
          </w:rPr>
          <w:fldChar w:fldCharType="begin"/>
        </w:r>
        <w:r w:rsidR="00A05946">
          <w:rPr>
            <w:webHidden/>
          </w:rPr>
          <w:instrText xml:space="preserve"> PAGEREF _Toc362260287 \h </w:instrText>
        </w:r>
        <w:r w:rsidR="00A05946">
          <w:rPr>
            <w:webHidden/>
          </w:rPr>
        </w:r>
        <w:r w:rsidR="00A05946">
          <w:rPr>
            <w:webHidden/>
          </w:rPr>
          <w:fldChar w:fldCharType="separate"/>
        </w:r>
        <w:r w:rsidR="00957924">
          <w:rPr>
            <w:webHidden/>
          </w:rPr>
          <w:t>5</w:t>
        </w:r>
        <w:r w:rsidR="00A05946">
          <w:rPr>
            <w:webHidden/>
          </w:rPr>
          <w:fldChar w:fldCharType="end"/>
        </w:r>
      </w:hyperlink>
    </w:p>
    <w:p w:rsidR="00A05946" w:rsidRPr="000261F3" w:rsidRDefault="00E31C9D">
      <w:pPr>
        <w:pStyle w:val="TOC2"/>
        <w:rPr>
          <w:rFonts w:ascii="Calibri" w:hAnsi="Calibri"/>
          <w:sz w:val="22"/>
          <w:szCs w:val="22"/>
          <w:lang w:eastAsia="en-AU"/>
        </w:rPr>
      </w:pPr>
      <w:hyperlink w:anchor="_Toc362260288" w:history="1">
        <w:r w:rsidR="00A05946" w:rsidRPr="00C45482">
          <w:rPr>
            <w:rStyle w:val="Hyperlink"/>
          </w:rPr>
          <w:t>Environmental monitoring</w:t>
        </w:r>
        <w:r w:rsidR="00A05946">
          <w:rPr>
            <w:webHidden/>
          </w:rPr>
          <w:tab/>
        </w:r>
        <w:r w:rsidR="00A05946">
          <w:rPr>
            <w:webHidden/>
          </w:rPr>
          <w:fldChar w:fldCharType="begin"/>
        </w:r>
        <w:r w:rsidR="00A05946">
          <w:rPr>
            <w:webHidden/>
          </w:rPr>
          <w:instrText xml:space="preserve"> PAGEREF _Toc362260288 \h </w:instrText>
        </w:r>
        <w:r w:rsidR="00A05946">
          <w:rPr>
            <w:webHidden/>
          </w:rPr>
        </w:r>
        <w:r w:rsidR="00A05946">
          <w:rPr>
            <w:webHidden/>
          </w:rPr>
          <w:fldChar w:fldCharType="separate"/>
        </w:r>
        <w:r w:rsidR="00957924">
          <w:rPr>
            <w:webHidden/>
          </w:rPr>
          <w:t>5</w:t>
        </w:r>
        <w:r w:rsidR="00A05946">
          <w:rPr>
            <w:webHidden/>
          </w:rPr>
          <w:fldChar w:fldCharType="end"/>
        </w:r>
      </w:hyperlink>
    </w:p>
    <w:p w:rsidR="00A05946" w:rsidRPr="000261F3" w:rsidRDefault="00E31C9D">
      <w:pPr>
        <w:pStyle w:val="TOC1"/>
        <w:rPr>
          <w:rFonts w:ascii="Calibri" w:hAnsi="Calibri"/>
          <w:b w:val="0"/>
          <w:sz w:val="22"/>
          <w:szCs w:val="22"/>
          <w:lang w:eastAsia="en-AU"/>
        </w:rPr>
      </w:pPr>
      <w:hyperlink w:anchor="_Toc362260289" w:history="1">
        <w:r w:rsidR="00A05946" w:rsidRPr="00C45482">
          <w:rPr>
            <w:rStyle w:val="Hyperlink"/>
          </w:rPr>
          <w:t>3.</w:t>
        </w:r>
        <w:r w:rsidR="00A05946" w:rsidRPr="000261F3">
          <w:rPr>
            <w:rFonts w:ascii="Calibri" w:hAnsi="Calibri"/>
            <w:b w:val="0"/>
            <w:sz w:val="22"/>
            <w:szCs w:val="22"/>
            <w:lang w:eastAsia="en-AU"/>
          </w:rPr>
          <w:tab/>
        </w:r>
        <w:r w:rsidR="00A05946" w:rsidRPr="00C45482">
          <w:rPr>
            <w:rStyle w:val="Hyperlink"/>
          </w:rPr>
          <w:t>Chromosome analysis</w:t>
        </w:r>
        <w:r w:rsidR="00A05946">
          <w:rPr>
            <w:webHidden/>
          </w:rPr>
          <w:tab/>
        </w:r>
        <w:r w:rsidR="00A05946">
          <w:rPr>
            <w:webHidden/>
          </w:rPr>
          <w:fldChar w:fldCharType="begin"/>
        </w:r>
        <w:r w:rsidR="00A05946">
          <w:rPr>
            <w:webHidden/>
          </w:rPr>
          <w:instrText xml:space="preserve"> PAGEREF _Toc362260289 \h </w:instrText>
        </w:r>
        <w:r w:rsidR="00A05946">
          <w:rPr>
            <w:webHidden/>
          </w:rPr>
        </w:r>
        <w:r w:rsidR="00A05946">
          <w:rPr>
            <w:webHidden/>
          </w:rPr>
          <w:fldChar w:fldCharType="separate"/>
        </w:r>
        <w:r w:rsidR="00957924">
          <w:rPr>
            <w:webHidden/>
          </w:rPr>
          <w:t>6</w:t>
        </w:r>
        <w:r w:rsidR="00A05946">
          <w:rPr>
            <w:webHidden/>
          </w:rPr>
          <w:fldChar w:fldCharType="end"/>
        </w:r>
      </w:hyperlink>
    </w:p>
    <w:p w:rsidR="00A05946" w:rsidRPr="000261F3" w:rsidRDefault="00E31C9D">
      <w:pPr>
        <w:pStyle w:val="TOC2"/>
        <w:rPr>
          <w:rFonts w:ascii="Calibri" w:hAnsi="Calibri"/>
          <w:sz w:val="22"/>
          <w:szCs w:val="22"/>
          <w:lang w:eastAsia="en-AU"/>
        </w:rPr>
      </w:pPr>
      <w:hyperlink w:anchor="_Toc362260290" w:history="1">
        <w:r w:rsidR="00A05946" w:rsidRPr="00C45482">
          <w:rPr>
            <w:rStyle w:val="Hyperlink"/>
          </w:rPr>
          <w:t>General</w:t>
        </w:r>
        <w:r w:rsidR="00A05946">
          <w:rPr>
            <w:webHidden/>
          </w:rPr>
          <w:tab/>
        </w:r>
        <w:r w:rsidR="00A05946">
          <w:rPr>
            <w:webHidden/>
          </w:rPr>
          <w:fldChar w:fldCharType="begin"/>
        </w:r>
        <w:r w:rsidR="00A05946">
          <w:rPr>
            <w:webHidden/>
          </w:rPr>
          <w:instrText xml:space="preserve"> PAGEREF _Toc362260290 \h </w:instrText>
        </w:r>
        <w:r w:rsidR="00A05946">
          <w:rPr>
            <w:webHidden/>
          </w:rPr>
        </w:r>
        <w:r w:rsidR="00A05946">
          <w:rPr>
            <w:webHidden/>
          </w:rPr>
          <w:fldChar w:fldCharType="separate"/>
        </w:r>
        <w:r w:rsidR="00957924">
          <w:rPr>
            <w:webHidden/>
          </w:rPr>
          <w:t>6</w:t>
        </w:r>
        <w:r w:rsidR="00A05946">
          <w:rPr>
            <w:webHidden/>
          </w:rPr>
          <w:fldChar w:fldCharType="end"/>
        </w:r>
      </w:hyperlink>
    </w:p>
    <w:p w:rsidR="00A05946" w:rsidRPr="000261F3" w:rsidRDefault="00E31C9D">
      <w:pPr>
        <w:pStyle w:val="TOC2"/>
        <w:rPr>
          <w:rFonts w:ascii="Calibri" w:hAnsi="Calibri"/>
          <w:sz w:val="22"/>
          <w:szCs w:val="22"/>
          <w:lang w:eastAsia="en-AU"/>
        </w:rPr>
      </w:pPr>
      <w:hyperlink w:anchor="_Toc362260291" w:history="1">
        <w:r w:rsidR="00A05946" w:rsidRPr="00C45482">
          <w:rPr>
            <w:rStyle w:val="Hyperlink"/>
          </w:rPr>
          <w:t>Numbers of cells to be studied</w:t>
        </w:r>
        <w:r w:rsidR="00A05946">
          <w:rPr>
            <w:webHidden/>
          </w:rPr>
          <w:tab/>
        </w:r>
        <w:r w:rsidR="00A05946">
          <w:rPr>
            <w:webHidden/>
          </w:rPr>
          <w:fldChar w:fldCharType="begin"/>
        </w:r>
        <w:r w:rsidR="00A05946">
          <w:rPr>
            <w:webHidden/>
          </w:rPr>
          <w:instrText xml:space="preserve"> PAGEREF _Toc362260291 \h </w:instrText>
        </w:r>
        <w:r w:rsidR="00A05946">
          <w:rPr>
            <w:webHidden/>
          </w:rPr>
        </w:r>
        <w:r w:rsidR="00A05946">
          <w:rPr>
            <w:webHidden/>
          </w:rPr>
          <w:fldChar w:fldCharType="separate"/>
        </w:r>
        <w:r w:rsidR="00957924">
          <w:rPr>
            <w:webHidden/>
          </w:rPr>
          <w:t>6</w:t>
        </w:r>
        <w:r w:rsidR="00A05946">
          <w:rPr>
            <w:webHidden/>
          </w:rPr>
          <w:fldChar w:fldCharType="end"/>
        </w:r>
      </w:hyperlink>
    </w:p>
    <w:p w:rsidR="00A05946" w:rsidRPr="000261F3" w:rsidRDefault="00E31C9D">
      <w:pPr>
        <w:pStyle w:val="TOC2"/>
        <w:rPr>
          <w:rFonts w:ascii="Calibri" w:hAnsi="Calibri"/>
          <w:sz w:val="22"/>
          <w:szCs w:val="22"/>
          <w:lang w:eastAsia="en-AU"/>
        </w:rPr>
      </w:pPr>
      <w:hyperlink w:anchor="_Toc362260292" w:history="1">
        <w:r w:rsidR="00A05946" w:rsidRPr="00C45482">
          <w:rPr>
            <w:rStyle w:val="Hyperlink"/>
          </w:rPr>
          <w:t>Prenatal studies</w:t>
        </w:r>
        <w:r w:rsidR="00A05946">
          <w:rPr>
            <w:webHidden/>
          </w:rPr>
          <w:tab/>
        </w:r>
        <w:r w:rsidR="00A05946">
          <w:rPr>
            <w:webHidden/>
          </w:rPr>
          <w:fldChar w:fldCharType="begin"/>
        </w:r>
        <w:r w:rsidR="00A05946">
          <w:rPr>
            <w:webHidden/>
          </w:rPr>
          <w:instrText xml:space="preserve"> PAGEREF _Toc362260292 \h </w:instrText>
        </w:r>
        <w:r w:rsidR="00A05946">
          <w:rPr>
            <w:webHidden/>
          </w:rPr>
        </w:r>
        <w:r w:rsidR="00A05946">
          <w:rPr>
            <w:webHidden/>
          </w:rPr>
          <w:fldChar w:fldCharType="separate"/>
        </w:r>
        <w:r w:rsidR="00957924">
          <w:rPr>
            <w:webHidden/>
          </w:rPr>
          <w:t>7</w:t>
        </w:r>
        <w:r w:rsidR="00A05946">
          <w:rPr>
            <w:webHidden/>
          </w:rPr>
          <w:fldChar w:fldCharType="end"/>
        </w:r>
      </w:hyperlink>
    </w:p>
    <w:p w:rsidR="00A05946" w:rsidRPr="000261F3" w:rsidRDefault="00E31C9D">
      <w:pPr>
        <w:pStyle w:val="TOC2"/>
        <w:rPr>
          <w:rFonts w:ascii="Calibri" w:hAnsi="Calibri"/>
          <w:sz w:val="22"/>
          <w:szCs w:val="22"/>
          <w:lang w:eastAsia="en-AU"/>
        </w:rPr>
      </w:pPr>
      <w:hyperlink w:anchor="_Toc362260293" w:history="1">
        <w:r w:rsidR="00A05946" w:rsidRPr="00C45482">
          <w:rPr>
            <w:rStyle w:val="Hyperlink"/>
          </w:rPr>
          <w:t>Acquired disorders (bone marrow, malignant tissue)</w:t>
        </w:r>
        <w:r w:rsidR="00A05946">
          <w:rPr>
            <w:webHidden/>
          </w:rPr>
          <w:tab/>
        </w:r>
        <w:r w:rsidR="00A05946">
          <w:rPr>
            <w:webHidden/>
          </w:rPr>
          <w:fldChar w:fldCharType="begin"/>
        </w:r>
        <w:r w:rsidR="00A05946">
          <w:rPr>
            <w:webHidden/>
          </w:rPr>
          <w:instrText xml:space="preserve"> PAGEREF _Toc362260293 \h </w:instrText>
        </w:r>
        <w:r w:rsidR="00A05946">
          <w:rPr>
            <w:webHidden/>
          </w:rPr>
        </w:r>
        <w:r w:rsidR="00A05946">
          <w:rPr>
            <w:webHidden/>
          </w:rPr>
          <w:fldChar w:fldCharType="separate"/>
        </w:r>
        <w:r w:rsidR="00957924">
          <w:rPr>
            <w:webHidden/>
          </w:rPr>
          <w:t>7</w:t>
        </w:r>
        <w:r w:rsidR="00A05946">
          <w:rPr>
            <w:webHidden/>
          </w:rPr>
          <w:fldChar w:fldCharType="end"/>
        </w:r>
      </w:hyperlink>
    </w:p>
    <w:p w:rsidR="00A05946" w:rsidRPr="000261F3" w:rsidRDefault="00E31C9D">
      <w:pPr>
        <w:pStyle w:val="TOC2"/>
        <w:rPr>
          <w:rFonts w:ascii="Calibri" w:hAnsi="Calibri"/>
          <w:sz w:val="22"/>
          <w:szCs w:val="22"/>
          <w:lang w:eastAsia="en-AU"/>
        </w:rPr>
      </w:pPr>
      <w:hyperlink w:anchor="_Toc362260294" w:history="1">
        <w:r w:rsidR="00A05946" w:rsidRPr="00C45482">
          <w:rPr>
            <w:rStyle w:val="Hyperlink"/>
          </w:rPr>
          <w:t>Banding methods</w:t>
        </w:r>
        <w:r w:rsidR="00A05946">
          <w:rPr>
            <w:webHidden/>
          </w:rPr>
          <w:tab/>
        </w:r>
        <w:r w:rsidR="00A05946">
          <w:rPr>
            <w:webHidden/>
          </w:rPr>
          <w:fldChar w:fldCharType="begin"/>
        </w:r>
        <w:r w:rsidR="00A05946">
          <w:rPr>
            <w:webHidden/>
          </w:rPr>
          <w:instrText xml:space="preserve"> PAGEREF _Toc362260294 \h </w:instrText>
        </w:r>
        <w:r w:rsidR="00A05946">
          <w:rPr>
            <w:webHidden/>
          </w:rPr>
        </w:r>
        <w:r w:rsidR="00A05946">
          <w:rPr>
            <w:webHidden/>
          </w:rPr>
          <w:fldChar w:fldCharType="separate"/>
        </w:r>
        <w:r w:rsidR="00957924">
          <w:rPr>
            <w:webHidden/>
          </w:rPr>
          <w:t>7</w:t>
        </w:r>
        <w:r w:rsidR="00A05946">
          <w:rPr>
            <w:webHidden/>
          </w:rPr>
          <w:fldChar w:fldCharType="end"/>
        </w:r>
      </w:hyperlink>
    </w:p>
    <w:p w:rsidR="00A05946" w:rsidRPr="000261F3" w:rsidRDefault="00E31C9D">
      <w:pPr>
        <w:pStyle w:val="TOC2"/>
        <w:rPr>
          <w:rFonts w:ascii="Calibri" w:hAnsi="Calibri"/>
          <w:sz w:val="22"/>
          <w:szCs w:val="22"/>
          <w:lang w:eastAsia="en-AU"/>
        </w:rPr>
      </w:pPr>
      <w:hyperlink w:anchor="_Toc362260295" w:history="1">
        <w:r w:rsidR="00A05946" w:rsidRPr="00C45482">
          <w:rPr>
            <w:rStyle w:val="Hyperlink"/>
          </w:rPr>
          <w:t>Verification of chromosomal analysis</w:t>
        </w:r>
        <w:r w:rsidR="00A05946">
          <w:rPr>
            <w:webHidden/>
          </w:rPr>
          <w:tab/>
        </w:r>
        <w:r w:rsidR="00A05946">
          <w:rPr>
            <w:webHidden/>
          </w:rPr>
          <w:fldChar w:fldCharType="begin"/>
        </w:r>
        <w:r w:rsidR="00A05946">
          <w:rPr>
            <w:webHidden/>
          </w:rPr>
          <w:instrText xml:space="preserve"> PAGEREF _Toc362260295 \h </w:instrText>
        </w:r>
        <w:r w:rsidR="00A05946">
          <w:rPr>
            <w:webHidden/>
          </w:rPr>
        </w:r>
        <w:r w:rsidR="00A05946">
          <w:rPr>
            <w:webHidden/>
          </w:rPr>
          <w:fldChar w:fldCharType="separate"/>
        </w:r>
        <w:r w:rsidR="00957924">
          <w:rPr>
            <w:webHidden/>
          </w:rPr>
          <w:t>8</w:t>
        </w:r>
        <w:r w:rsidR="00A05946">
          <w:rPr>
            <w:webHidden/>
          </w:rPr>
          <w:fldChar w:fldCharType="end"/>
        </w:r>
      </w:hyperlink>
    </w:p>
    <w:p w:rsidR="00A05946" w:rsidRPr="000261F3" w:rsidRDefault="00E31C9D">
      <w:pPr>
        <w:pStyle w:val="TOC2"/>
        <w:rPr>
          <w:rFonts w:ascii="Calibri" w:hAnsi="Calibri"/>
          <w:sz w:val="22"/>
          <w:szCs w:val="22"/>
          <w:lang w:eastAsia="en-AU"/>
        </w:rPr>
      </w:pPr>
      <w:hyperlink w:anchor="_Toc362260296" w:history="1">
        <w:r w:rsidR="00A05946" w:rsidRPr="00C45482">
          <w:rPr>
            <w:rStyle w:val="Hyperlink"/>
          </w:rPr>
          <w:t>Karyotyping</w:t>
        </w:r>
        <w:r w:rsidR="00A05946">
          <w:rPr>
            <w:webHidden/>
          </w:rPr>
          <w:tab/>
        </w:r>
        <w:r w:rsidR="00A05946">
          <w:rPr>
            <w:webHidden/>
          </w:rPr>
          <w:fldChar w:fldCharType="begin"/>
        </w:r>
        <w:r w:rsidR="00A05946">
          <w:rPr>
            <w:webHidden/>
          </w:rPr>
          <w:instrText xml:space="preserve"> PAGEREF _Toc362260296 \h </w:instrText>
        </w:r>
        <w:r w:rsidR="00A05946">
          <w:rPr>
            <w:webHidden/>
          </w:rPr>
        </w:r>
        <w:r w:rsidR="00A05946">
          <w:rPr>
            <w:webHidden/>
          </w:rPr>
          <w:fldChar w:fldCharType="separate"/>
        </w:r>
        <w:r w:rsidR="00957924">
          <w:rPr>
            <w:webHidden/>
          </w:rPr>
          <w:t>8</w:t>
        </w:r>
        <w:r w:rsidR="00A05946">
          <w:rPr>
            <w:webHidden/>
          </w:rPr>
          <w:fldChar w:fldCharType="end"/>
        </w:r>
      </w:hyperlink>
    </w:p>
    <w:p w:rsidR="00A05946" w:rsidRPr="000261F3" w:rsidRDefault="00E31C9D">
      <w:pPr>
        <w:pStyle w:val="TOC2"/>
        <w:rPr>
          <w:rFonts w:ascii="Calibri" w:hAnsi="Calibri"/>
          <w:sz w:val="22"/>
          <w:szCs w:val="22"/>
          <w:lang w:eastAsia="en-AU"/>
        </w:rPr>
      </w:pPr>
      <w:hyperlink w:anchor="_Toc362260297" w:history="1">
        <w:r w:rsidR="00A05946" w:rsidRPr="00C45482">
          <w:rPr>
            <w:rStyle w:val="Hyperlink"/>
          </w:rPr>
          <w:t>Use of molecular techniques</w:t>
        </w:r>
        <w:r w:rsidR="00A05946">
          <w:rPr>
            <w:webHidden/>
          </w:rPr>
          <w:tab/>
        </w:r>
        <w:r w:rsidR="00A05946">
          <w:rPr>
            <w:webHidden/>
          </w:rPr>
          <w:fldChar w:fldCharType="begin"/>
        </w:r>
        <w:r w:rsidR="00A05946">
          <w:rPr>
            <w:webHidden/>
          </w:rPr>
          <w:instrText xml:space="preserve"> PAGEREF _Toc362260297 \h </w:instrText>
        </w:r>
        <w:r w:rsidR="00A05946">
          <w:rPr>
            <w:webHidden/>
          </w:rPr>
        </w:r>
        <w:r w:rsidR="00A05946">
          <w:rPr>
            <w:webHidden/>
          </w:rPr>
          <w:fldChar w:fldCharType="separate"/>
        </w:r>
        <w:r w:rsidR="00957924">
          <w:rPr>
            <w:webHidden/>
          </w:rPr>
          <w:t>8</w:t>
        </w:r>
        <w:r w:rsidR="00A05946">
          <w:rPr>
            <w:webHidden/>
          </w:rPr>
          <w:fldChar w:fldCharType="end"/>
        </w:r>
      </w:hyperlink>
    </w:p>
    <w:p w:rsidR="00A05946" w:rsidRPr="000261F3" w:rsidRDefault="00E31C9D">
      <w:pPr>
        <w:pStyle w:val="TOC1"/>
        <w:rPr>
          <w:rFonts w:ascii="Calibri" w:hAnsi="Calibri"/>
          <w:b w:val="0"/>
          <w:sz w:val="22"/>
          <w:szCs w:val="22"/>
          <w:lang w:eastAsia="en-AU"/>
        </w:rPr>
      </w:pPr>
      <w:hyperlink w:anchor="_Toc362260298" w:history="1">
        <w:r w:rsidR="00A05946" w:rsidRPr="00C45482">
          <w:rPr>
            <w:rStyle w:val="Hyperlink"/>
          </w:rPr>
          <w:t>4.</w:t>
        </w:r>
        <w:r w:rsidR="00A05946" w:rsidRPr="000261F3">
          <w:rPr>
            <w:rFonts w:ascii="Calibri" w:hAnsi="Calibri"/>
            <w:b w:val="0"/>
            <w:sz w:val="22"/>
            <w:szCs w:val="22"/>
            <w:lang w:eastAsia="en-AU"/>
          </w:rPr>
          <w:tab/>
        </w:r>
        <w:r w:rsidR="00A05946" w:rsidRPr="00C45482">
          <w:rPr>
            <w:rStyle w:val="Hyperlink"/>
          </w:rPr>
          <w:t>Fluorescence in situ hybridisation</w:t>
        </w:r>
        <w:r w:rsidR="00A05946">
          <w:rPr>
            <w:webHidden/>
          </w:rPr>
          <w:tab/>
        </w:r>
        <w:r w:rsidR="00A05946">
          <w:rPr>
            <w:webHidden/>
          </w:rPr>
          <w:fldChar w:fldCharType="begin"/>
        </w:r>
        <w:r w:rsidR="00A05946">
          <w:rPr>
            <w:webHidden/>
          </w:rPr>
          <w:instrText xml:space="preserve"> PAGEREF _Toc362260298 \h </w:instrText>
        </w:r>
        <w:r w:rsidR="00A05946">
          <w:rPr>
            <w:webHidden/>
          </w:rPr>
        </w:r>
        <w:r w:rsidR="00A05946">
          <w:rPr>
            <w:webHidden/>
          </w:rPr>
          <w:fldChar w:fldCharType="separate"/>
        </w:r>
        <w:r w:rsidR="00957924">
          <w:rPr>
            <w:webHidden/>
          </w:rPr>
          <w:t>9</w:t>
        </w:r>
        <w:r w:rsidR="00A05946">
          <w:rPr>
            <w:webHidden/>
          </w:rPr>
          <w:fldChar w:fldCharType="end"/>
        </w:r>
      </w:hyperlink>
    </w:p>
    <w:p w:rsidR="00A05946" w:rsidRPr="000261F3" w:rsidRDefault="00E31C9D">
      <w:pPr>
        <w:pStyle w:val="TOC2"/>
        <w:rPr>
          <w:rFonts w:ascii="Calibri" w:hAnsi="Calibri"/>
          <w:sz w:val="22"/>
          <w:szCs w:val="22"/>
          <w:lang w:eastAsia="en-AU"/>
        </w:rPr>
      </w:pPr>
      <w:hyperlink w:anchor="_Toc362260299" w:history="1">
        <w:r w:rsidR="00A05946" w:rsidRPr="00C45482">
          <w:rPr>
            <w:rStyle w:val="Hyperlink"/>
          </w:rPr>
          <w:t>Fluorescence in situ hybridisation (FISH) techniques</w:t>
        </w:r>
        <w:r w:rsidR="00A05946">
          <w:rPr>
            <w:webHidden/>
          </w:rPr>
          <w:tab/>
        </w:r>
        <w:r w:rsidR="00A05946">
          <w:rPr>
            <w:webHidden/>
          </w:rPr>
          <w:fldChar w:fldCharType="begin"/>
        </w:r>
        <w:r w:rsidR="00A05946">
          <w:rPr>
            <w:webHidden/>
          </w:rPr>
          <w:instrText xml:space="preserve"> PAGEREF _Toc362260299 \h </w:instrText>
        </w:r>
        <w:r w:rsidR="00A05946">
          <w:rPr>
            <w:webHidden/>
          </w:rPr>
        </w:r>
        <w:r w:rsidR="00A05946">
          <w:rPr>
            <w:webHidden/>
          </w:rPr>
          <w:fldChar w:fldCharType="separate"/>
        </w:r>
        <w:r w:rsidR="00957924">
          <w:rPr>
            <w:webHidden/>
          </w:rPr>
          <w:t>9</w:t>
        </w:r>
        <w:r w:rsidR="00A05946">
          <w:rPr>
            <w:webHidden/>
          </w:rPr>
          <w:fldChar w:fldCharType="end"/>
        </w:r>
      </w:hyperlink>
    </w:p>
    <w:p w:rsidR="00A05946" w:rsidRPr="000261F3" w:rsidRDefault="00E31C9D">
      <w:pPr>
        <w:pStyle w:val="TOC2"/>
        <w:rPr>
          <w:rFonts w:ascii="Calibri" w:hAnsi="Calibri"/>
          <w:sz w:val="22"/>
          <w:szCs w:val="22"/>
          <w:lang w:eastAsia="en-AU"/>
        </w:rPr>
      </w:pPr>
      <w:hyperlink w:anchor="_Toc362260300" w:history="1">
        <w:r w:rsidR="00A05946" w:rsidRPr="00C45482">
          <w:rPr>
            <w:rStyle w:val="Hyperlink"/>
            <w:rFonts w:eastAsia="MS Mincho"/>
          </w:rPr>
          <w:t>FISH analysis</w:t>
        </w:r>
        <w:r w:rsidR="00A05946">
          <w:rPr>
            <w:webHidden/>
          </w:rPr>
          <w:tab/>
        </w:r>
        <w:r w:rsidR="00A05946">
          <w:rPr>
            <w:webHidden/>
          </w:rPr>
          <w:fldChar w:fldCharType="begin"/>
        </w:r>
        <w:r w:rsidR="00A05946">
          <w:rPr>
            <w:webHidden/>
          </w:rPr>
          <w:instrText xml:space="preserve"> PAGEREF _Toc362260300 \h </w:instrText>
        </w:r>
        <w:r w:rsidR="00A05946">
          <w:rPr>
            <w:webHidden/>
          </w:rPr>
        </w:r>
        <w:r w:rsidR="00A05946">
          <w:rPr>
            <w:webHidden/>
          </w:rPr>
          <w:fldChar w:fldCharType="separate"/>
        </w:r>
        <w:r w:rsidR="00957924">
          <w:rPr>
            <w:webHidden/>
          </w:rPr>
          <w:t>10</w:t>
        </w:r>
        <w:r w:rsidR="00A05946">
          <w:rPr>
            <w:webHidden/>
          </w:rPr>
          <w:fldChar w:fldCharType="end"/>
        </w:r>
      </w:hyperlink>
    </w:p>
    <w:p w:rsidR="00A05946" w:rsidRPr="000261F3" w:rsidRDefault="00E31C9D">
      <w:pPr>
        <w:pStyle w:val="TOC1"/>
        <w:rPr>
          <w:rFonts w:ascii="Calibri" w:hAnsi="Calibri"/>
          <w:b w:val="0"/>
          <w:sz w:val="22"/>
          <w:szCs w:val="22"/>
          <w:lang w:eastAsia="en-AU"/>
        </w:rPr>
      </w:pPr>
      <w:hyperlink w:anchor="_Toc362260301" w:history="1">
        <w:r w:rsidR="00A05946" w:rsidRPr="00C45482">
          <w:rPr>
            <w:rStyle w:val="Hyperlink"/>
          </w:rPr>
          <w:t>5.</w:t>
        </w:r>
        <w:r w:rsidR="00A05946" w:rsidRPr="000261F3">
          <w:rPr>
            <w:rFonts w:ascii="Calibri" w:hAnsi="Calibri"/>
            <w:b w:val="0"/>
            <w:sz w:val="22"/>
            <w:szCs w:val="22"/>
            <w:lang w:eastAsia="en-AU"/>
          </w:rPr>
          <w:tab/>
        </w:r>
        <w:r w:rsidR="00A05946" w:rsidRPr="00C45482">
          <w:rPr>
            <w:rStyle w:val="Hyperlink"/>
          </w:rPr>
          <w:t>Laboratory performance</w:t>
        </w:r>
        <w:r w:rsidR="00A05946">
          <w:rPr>
            <w:webHidden/>
          </w:rPr>
          <w:tab/>
        </w:r>
        <w:r w:rsidR="00A05946">
          <w:rPr>
            <w:webHidden/>
          </w:rPr>
          <w:fldChar w:fldCharType="begin"/>
        </w:r>
        <w:r w:rsidR="00A05946">
          <w:rPr>
            <w:webHidden/>
          </w:rPr>
          <w:instrText xml:space="preserve"> PAGEREF _Toc362260301 \h </w:instrText>
        </w:r>
        <w:r w:rsidR="00A05946">
          <w:rPr>
            <w:webHidden/>
          </w:rPr>
        </w:r>
        <w:r w:rsidR="00A05946">
          <w:rPr>
            <w:webHidden/>
          </w:rPr>
          <w:fldChar w:fldCharType="separate"/>
        </w:r>
        <w:r w:rsidR="00957924">
          <w:rPr>
            <w:webHidden/>
          </w:rPr>
          <w:t>11</w:t>
        </w:r>
        <w:r w:rsidR="00A05946">
          <w:rPr>
            <w:webHidden/>
          </w:rPr>
          <w:fldChar w:fldCharType="end"/>
        </w:r>
      </w:hyperlink>
    </w:p>
    <w:p w:rsidR="00A05946" w:rsidRPr="000261F3" w:rsidRDefault="00E31C9D">
      <w:pPr>
        <w:pStyle w:val="TOC2"/>
        <w:rPr>
          <w:rFonts w:ascii="Calibri" w:hAnsi="Calibri"/>
          <w:sz w:val="22"/>
          <w:szCs w:val="22"/>
          <w:lang w:eastAsia="en-AU"/>
        </w:rPr>
      </w:pPr>
      <w:hyperlink w:anchor="_Toc362260302" w:history="1">
        <w:r w:rsidR="00A05946" w:rsidRPr="00C45482">
          <w:rPr>
            <w:rStyle w:val="Hyperlink"/>
          </w:rPr>
          <w:t>Measures of performance</w:t>
        </w:r>
        <w:r w:rsidR="00A05946">
          <w:rPr>
            <w:webHidden/>
          </w:rPr>
          <w:tab/>
        </w:r>
        <w:r w:rsidR="00A05946">
          <w:rPr>
            <w:webHidden/>
          </w:rPr>
          <w:fldChar w:fldCharType="begin"/>
        </w:r>
        <w:r w:rsidR="00A05946">
          <w:rPr>
            <w:webHidden/>
          </w:rPr>
          <w:instrText xml:space="preserve"> PAGEREF _Toc362260302 \h </w:instrText>
        </w:r>
        <w:r w:rsidR="00A05946">
          <w:rPr>
            <w:webHidden/>
          </w:rPr>
        </w:r>
        <w:r w:rsidR="00A05946">
          <w:rPr>
            <w:webHidden/>
          </w:rPr>
          <w:fldChar w:fldCharType="separate"/>
        </w:r>
        <w:r w:rsidR="00957924">
          <w:rPr>
            <w:webHidden/>
          </w:rPr>
          <w:t>11</w:t>
        </w:r>
        <w:r w:rsidR="00A05946">
          <w:rPr>
            <w:webHidden/>
          </w:rPr>
          <w:fldChar w:fldCharType="end"/>
        </w:r>
      </w:hyperlink>
    </w:p>
    <w:p w:rsidR="00104FC8" w:rsidRDefault="00E31C9D">
      <w:pPr>
        <w:pStyle w:val="TOC1"/>
        <w:rPr>
          <w:rStyle w:val="Hyperlink"/>
        </w:rPr>
      </w:pPr>
      <w:hyperlink w:anchor="_Toc362260304" w:history="1">
        <w:r w:rsidR="00A05946" w:rsidRPr="00C45482">
          <w:rPr>
            <w:rStyle w:val="Hyperlink"/>
          </w:rPr>
          <w:t>6.</w:t>
        </w:r>
        <w:r w:rsidR="00A05946" w:rsidRPr="000261F3">
          <w:rPr>
            <w:rFonts w:ascii="Calibri" w:hAnsi="Calibri"/>
            <w:b w:val="0"/>
            <w:sz w:val="22"/>
            <w:szCs w:val="22"/>
            <w:lang w:eastAsia="en-AU"/>
          </w:rPr>
          <w:tab/>
        </w:r>
        <w:r w:rsidR="00A05946" w:rsidRPr="00C45482">
          <w:rPr>
            <w:rStyle w:val="Hyperlink"/>
          </w:rPr>
          <w:t>Reports</w:t>
        </w:r>
        <w:r w:rsidR="00A05946">
          <w:rPr>
            <w:webHidden/>
          </w:rPr>
          <w:tab/>
        </w:r>
        <w:r w:rsidR="00A05946">
          <w:rPr>
            <w:webHidden/>
          </w:rPr>
          <w:fldChar w:fldCharType="begin"/>
        </w:r>
        <w:r w:rsidR="00A05946">
          <w:rPr>
            <w:webHidden/>
          </w:rPr>
          <w:instrText xml:space="preserve"> PAGEREF _Toc362260304 \h </w:instrText>
        </w:r>
        <w:r w:rsidR="00A05946">
          <w:rPr>
            <w:webHidden/>
          </w:rPr>
        </w:r>
        <w:r w:rsidR="00A05946">
          <w:rPr>
            <w:webHidden/>
          </w:rPr>
          <w:fldChar w:fldCharType="separate"/>
        </w:r>
        <w:r w:rsidR="00957924">
          <w:rPr>
            <w:webHidden/>
          </w:rPr>
          <w:t>12</w:t>
        </w:r>
        <w:r w:rsidR="00A05946">
          <w:rPr>
            <w:webHidden/>
          </w:rPr>
          <w:fldChar w:fldCharType="end"/>
        </w:r>
      </w:hyperlink>
    </w:p>
    <w:p w:rsidR="00104FC8" w:rsidRPr="000261F3" w:rsidRDefault="00E31C9D" w:rsidP="00104FC8">
      <w:pPr>
        <w:pStyle w:val="TOC2"/>
        <w:rPr>
          <w:rFonts w:ascii="Calibri" w:hAnsi="Calibri"/>
          <w:sz w:val="22"/>
          <w:szCs w:val="22"/>
          <w:lang w:eastAsia="en-AU"/>
        </w:rPr>
      </w:pPr>
      <w:hyperlink w:anchor="_Toc362260303" w:history="1">
        <w:r w:rsidR="00104FC8" w:rsidRPr="00C45482">
          <w:rPr>
            <w:rStyle w:val="Hyperlink"/>
          </w:rPr>
          <w:t>Reporting times</w:t>
        </w:r>
        <w:r w:rsidR="00104FC8">
          <w:rPr>
            <w:webHidden/>
          </w:rPr>
          <w:tab/>
          <w:t>12</w:t>
        </w:r>
      </w:hyperlink>
    </w:p>
    <w:p w:rsidR="00A05946" w:rsidRPr="000261F3" w:rsidRDefault="00E31C9D">
      <w:pPr>
        <w:pStyle w:val="TOC1"/>
        <w:rPr>
          <w:rFonts w:ascii="Calibri" w:hAnsi="Calibri"/>
          <w:b w:val="0"/>
          <w:sz w:val="22"/>
          <w:szCs w:val="22"/>
          <w:lang w:eastAsia="en-AU"/>
        </w:rPr>
      </w:pPr>
      <w:hyperlink w:anchor="_Toc362260305" w:history="1">
        <w:r w:rsidR="00A05946" w:rsidRPr="00C45482">
          <w:rPr>
            <w:rStyle w:val="Hyperlink"/>
          </w:rPr>
          <w:t>7.</w:t>
        </w:r>
        <w:r w:rsidR="00A05946" w:rsidRPr="000261F3">
          <w:rPr>
            <w:rFonts w:ascii="Calibri" w:hAnsi="Calibri"/>
            <w:b w:val="0"/>
            <w:sz w:val="22"/>
            <w:szCs w:val="22"/>
            <w:lang w:eastAsia="en-AU"/>
          </w:rPr>
          <w:tab/>
        </w:r>
        <w:r w:rsidR="00A05946" w:rsidRPr="00C45482">
          <w:rPr>
            <w:rStyle w:val="Hyperlink"/>
          </w:rPr>
          <w:t>Records</w:t>
        </w:r>
        <w:r w:rsidR="00A05946">
          <w:rPr>
            <w:webHidden/>
          </w:rPr>
          <w:tab/>
        </w:r>
        <w:r w:rsidR="00A05946">
          <w:rPr>
            <w:webHidden/>
          </w:rPr>
          <w:fldChar w:fldCharType="begin"/>
        </w:r>
        <w:r w:rsidR="00A05946">
          <w:rPr>
            <w:webHidden/>
          </w:rPr>
          <w:instrText xml:space="preserve"> PAGEREF _Toc362260305 \h </w:instrText>
        </w:r>
        <w:r w:rsidR="00A05946">
          <w:rPr>
            <w:webHidden/>
          </w:rPr>
        </w:r>
        <w:r w:rsidR="00A05946">
          <w:rPr>
            <w:webHidden/>
          </w:rPr>
          <w:fldChar w:fldCharType="separate"/>
        </w:r>
        <w:r w:rsidR="00957924">
          <w:rPr>
            <w:webHidden/>
          </w:rPr>
          <w:t>14</w:t>
        </w:r>
        <w:r w:rsidR="00A05946">
          <w:rPr>
            <w:webHidden/>
          </w:rPr>
          <w:fldChar w:fldCharType="end"/>
        </w:r>
      </w:hyperlink>
    </w:p>
    <w:p w:rsidR="00A05946" w:rsidRPr="000261F3" w:rsidRDefault="00E31C9D">
      <w:pPr>
        <w:pStyle w:val="TOC2"/>
        <w:rPr>
          <w:rFonts w:ascii="Calibri" w:hAnsi="Calibri"/>
          <w:sz w:val="22"/>
          <w:szCs w:val="22"/>
          <w:lang w:eastAsia="en-AU"/>
        </w:rPr>
      </w:pPr>
      <w:hyperlink w:anchor="_Toc362260306" w:history="1">
        <w:r w:rsidR="00A05946" w:rsidRPr="00C45482">
          <w:rPr>
            <w:rStyle w:val="Hyperlink"/>
          </w:rPr>
          <w:t>Records of images and worksheets</w:t>
        </w:r>
        <w:r w:rsidR="00A05946">
          <w:rPr>
            <w:webHidden/>
          </w:rPr>
          <w:tab/>
        </w:r>
        <w:r w:rsidR="00A05946">
          <w:rPr>
            <w:webHidden/>
          </w:rPr>
          <w:fldChar w:fldCharType="begin"/>
        </w:r>
        <w:r w:rsidR="00A05946">
          <w:rPr>
            <w:webHidden/>
          </w:rPr>
          <w:instrText xml:space="preserve"> PAGEREF _Toc362260306 \h </w:instrText>
        </w:r>
        <w:r w:rsidR="00A05946">
          <w:rPr>
            <w:webHidden/>
          </w:rPr>
        </w:r>
        <w:r w:rsidR="00A05946">
          <w:rPr>
            <w:webHidden/>
          </w:rPr>
          <w:fldChar w:fldCharType="separate"/>
        </w:r>
        <w:r w:rsidR="00957924">
          <w:rPr>
            <w:webHidden/>
          </w:rPr>
          <w:t>14</w:t>
        </w:r>
        <w:r w:rsidR="00A05946">
          <w:rPr>
            <w:webHidden/>
          </w:rPr>
          <w:fldChar w:fldCharType="end"/>
        </w:r>
      </w:hyperlink>
    </w:p>
    <w:p w:rsidR="00A05946" w:rsidRPr="000261F3" w:rsidRDefault="00E31C9D">
      <w:pPr>
        <w:pStyle w:val="TOC2"/>
        <w:rPr>
          <w:rFonts w:ascii="Calibri" w:hAnsi="Calibri"/>
          <w:sz w:val="22"/>
          <w:szCs w:val="22"/>
          <w:lang w:eastAsia="en-AU"/>
        </w:rPr>
      </w:pPr>
      <w:hyperlink w:anchor="_Toc362260307" w:history="1">
        <w:r w:rsidR="00A05946" w:rsidRPr="00C45482">
          <w:rPr>
            <w:rStyle w:val="Hyperlink"/>
          </w:rPr>
          <w:t>Records of FISH analysis</w:t>
        </w:r>
        <w:r w:rsidR="00A05946">
          <w:rPr>
            <w:webHidden/>
          </w:rPr>
          <w:tab/>
        </w:r>
        <w:r w:rsidR="00A05946">
          <w:rPr>
            <w:webHidden/>
          </w:rPr>
          <w:fldChar w:fldCharType="begin"/>
        </w:r>
        <w:r w:rsidR="00A05946">
          <w:rPr>
            <w:webHidden/>
          </w:rPr>
          <w:instrText xml:space="preserve"> PAGEREF _Toc362260307 \h </w:instrText>
        </w:r>
        <w:r w:rsidR="00A05946">
          <w:rPr>
            <w:webHidden/>
          </w:rPr>
        </w:r>
        <w:r w:rsidR="00A05946">
          <w:rPr>
            <w:webHidden/>
          </w:rPr>
          <w:fldChar w:fldCharType="separate"/>
        </w:r>
        <w:r w:rsidR="00957924">
          <w:rPr>
            <w:webHidden/>
          </w:rPr>
          <w:t>14</w:t>
        </w:r>
        <w:r w:rsidR="00A05946">
          <w:rPr>
            <w:webHidden/>
          </w:rPr>
          <w:fldChar w:fldCharType="end"/>
        </w:r>
      </w:hyperlink>
    </w:p>
    <w:p w:rsidR="00A05946" w:rsidRPr="000261F3" w:rsidRDefault="00E31C9D">
      <w:pPr>
        <w:pStyle w:val="TOC1"/>
        <w:tabs>
          <w:tab w:val="left" w:pos="2160"/>
        </w:tabs>
        <w:rPr>
          <w:rFonts w:ascii="Calibri" w:hAnsi="Calibri"/>
          <w:b w:val="0"/>
          <w:sz w:val="22"/>
          <w:szCs w:val="22"/>
          <w:lang w:eastAsia="en-AU"/>
        </w:rPr>
      </w:pPr>
      <w:hyperlink w:anchor="_Toc362260308" w:history="1">
        <w:r w:rsidR="00A05946" w:rsidRPr="00C45482">
          <w:rPr>
            <w:rStyle w:val="Hyperlink"/>
          </w:rPr>
          <w:t>Appendix A</w:t>
        </w:r>
        <w:r w:rsidR="00FD0195">
          <w:rPr>
            <w:rStyle w:val="Hyperlink"/>
          </w:rPr>
          <w:t xml:space="preserve"> </w:t>
        </w:r>
        <w:r w:rsidR="00E83C28">
          <w:rPr>
            <w:rStyle w:val="Hyperlink"/>
          </w:rPr>
          <w:t>Assessment</w:t>
        </w:r>
        <w:r w:rsidR="00817AB3">
          <w:rPr>
            <w:rStyle w:val="Hyperlink"/>
          </w:rPr>
          <w:t xml:space="preserve"> of banding quality of cytogenetics slide preparations </w:t>
        </w:r>
        <w:r w:rsidR="00E83C28">
          <w:rPr>
            <w:rStyle w:val="Hyperlink"/>
          </w:rPr>
          <w:t>(</w:t>
        </w:r>
        <w:r w:rsidR="00A05946" w:rsidRPr="00C45482">
          <w:rPr>
            <w:rStyle w:val="Hyperlink"/>
          </w:rPr>
          <w:t>Informative)</w:t>
        </w:r>
        <w:r w:rsidR="00817AB3">
          <w:rPr>
            <w:rStyle w:val="Hyperlink"/>
          </w:rPr>
          <w:tab/>
        </w:r>
        <w:r w:rsidR="00A05946">
          <w:rPr>
            <w:webHidden/>
          </w:rPr>
          <w:fldChar w:fldCharType="begin"/>
        </w:r>
        <w:r w:rsidR="00A05946">
          <w:rPr>
            <w:webHidden/>
          </w:rPr>
          <w:instrText xml:space="preserve"> PAGEREF _Toc362260308 \h </w:instrText>
        </w:r>
        <w:r w:rsidR="00A05946">
          <w:rPr>
            <w:webHidden/>
          </w:rPr>
        </w:r>
        <w:r w:rsidR="00A05946">
          <w:rPr>
            <w:webHidden/>
          </w:rPr>
          <w:fldChar w:fldCharType="separate"/>
        </w:r>
        <w:r w:rsidR="00957924">
          <w:rPr>
            <w:webHidden/>
          </w:rPr>
          <w:t>15</w:t>
        </w:r>
        <w:r w:rsidR="00A05946">
          <w:rPr>
            <w:webHidden/>
          </w:rPr>
          <w:fldChar w:fldCharType="end"/>
        </w:r>
      </w:hyperlink>
    </w:p>
    <w:p w:rsidR="00A05946" w:rsidRPr="000261F3" w:rsidRDefault="00E31C9D">
      <w:pPr>
        <w:pStyle w:val="TOC1"/>
        <w:tabs>
          <w:tab w:val="left" w:pos="2160"/>
        </w:tabs>
        <w:rPr>
          <w:rFonts w:ascii="Calibri" w:hAnsi="Calibri"/>
          <w:b w:val="0"/>
          <w:sz w:val="22"/>
          <w:szCs w:val="22"/>
          <w:lang w:eastAsia="en-AU"/>
        </w:rPr>
      </w:pPr>
      <w:hyperlink w:anchor="_Toc362260309" w:history="1">
        <w:r w:rsidR="00A05946" w:rsidRPr="00C45482">
          <w:rPr>
            <w:rStyle w:val="Hyperlink"/>
          </w:rPr>
          <w:t xml:space="preserve">Appendix B </w:t>
        </w:r>
        <w:r w:rsidR="00E83C28">
          <w:rPr>
            <w:rStyle w:val="Hyperlink"/>
          </w:rPr>
          <w:t xml:space="preserve">  Recommended minimum banding quality </w:t>
        </w:r>
        <w:r w:rsidR="00A05946" w:rsidRPr="00C45482">
          <w:rPr>
            <w:rStyle w:val="Hyperlink"/>
          </w:rPr>
          <w:t>(Informative)</w:t>
        </w:r>
        <w:r w:rsidR="00A05946">
          <w:rPr>
            <w:webHidden/>
          </w:rPr>
          <w:tab/>
        </w:r>
        <w:r w:rsidR="00A05946">
          <w:rPr>
            <w:webHidden/>
          </w:rPr>
          <w:fldChar w:fldCharType="begin"/>
        </w:r>
        <w:r w:rsidR="00A05946">
          <w:rPr>
            <w:webHidden/>
          </w:rPr>
          <w:instrText xml:space="preserve"> PAGEREF _Toc362260309 \h </w:instrText>
        </w:r>
        <w:r w:rsidR="00A05946">
          <w:rPr>
            <w:webHidden/>
          </w:rPr>
        </w:r>
        <w:r w:rsidR="00A05946">
          <w:rPr>
            <w:webHidden/>
          </w:rPr>
          <w:fldChar w:fldCharType="separate"/>
        </w:r>
        <w:r w:rsidR="00957924">
          <w:rPr>
            <w:webHidden/>
          </w:rPr>
          <w:t>17</w:t>
        </w:r>
        <w:r w:rsidR="00A05946">
          <w:rPr>
            <w:webHidden/>
          </w:rPr>
          <w:fldChar w:fldCharType="end"/>
        </w:r>
      </w:hyperlink>
    </w:p>
    <w:p w:rsidR="00A05946" w:rsidRPr="000261F3" w:rsidRDefault="00E31C9D">
      <w:pPr>
        <w:pStyle w:val="TOC1"/>
        <w:rPr>
          <w:rFonts w:ascii="Calibri" w:hAnsi="Calibri"/>
          <w:b w:val="0"/>
          <w:sz w:val="22"/>
          <w:szCs w:val="22"/>
          <w:lang w:eastAsia="en-AU"/>
        </w:rPr>
      </w:pPr>
      <w:hyperlink w:anchor="_Toc362260310" w:history="1">
        <w:r w:rsidR="00A05946" w:rsidRPr="00C45482">
          <w:rPr>
            <w:rStyle w:val="Hyperlink"/>
          </w:rPr>
          <w:t>References</w:t>
        </w:r>
        <w:r w:rsidR="00A05946">
          <w:rPr>
            <w:webHidden/>
          </w:rPr>
          <w:tab/>
        </w:r>
        <w:r w:rsidR="00A05946">
          <w:rPr>
            <w:webHidden/>
          </w:rPr>
          <w:fldChar w:fldCharType="begin"/>
        </w:r>
        <w:r w:rsidR="00A05946">
          <w:rPr>
            <w:webHidden/>
          </w:rPr>
          <w:instrText xml:space="preserve"> PAGEREF _Toc362260310 \h </w:instrText>
        </w:r>
        <w:r w:rsidR="00A05946">
          <w:rPr>
            <w:webHidden/>
          </w:rPr>
        </w:r>
        <w:r w:rsidR="00A05946">
          <w:rPr>
            <w:webHidden/>
          </w:rPr>
          <w:fldChar w:fldCharType="separate"/>
        </w:r>
        <w:r w:rsidR="00957924">
          <w:rPr>
            <w:webHidden/>
          </w:rPr>
          <w:t>18</w:t>
        </w:r>
        <w:r w:rsidR="00A05946">
          <w:rPr>
            <w:webHidden/>
          </w:rPr>
          <w:fldChar w:fldCharType="end"/>
        </w:r>
      </w:hyperlink>
    </w:p>
    <w:p w:rsidR="00A05946" w:rsidRPr="000261F3" w:rsidRDefault="00E31C9D">
      <w:pPr>
        <w:pStyle w:val="TOC1"/>
        <w:rPr>
          <w:rFonts w:ascii="Calibri" w:hAnsi="Calibri"/>
          <w:b w:val="0"/>
          <w:sz w:val="22"/>
          <w:szCs w:val="22"/>
          <w:lang w:eastAsia="en-AU"/>
        </w:rPr>
      </w:pPr>
      <w:hyperlink w:anchor="_Toc362260311" w:history="1">
        <w:r w:rsidR="00A05946" w:rsidRPr="00C45482">
          <w:rPr>
            <w:rStyle w:val="Hyperlink"/>
          </w:rPr>
          <w:t>Bibliography</w:t>
        </w:r>
        <w:r w:rsidR="00A05946">
          <w:rPr>
            <w:webHidden/>
          </w:rPr>
          <w:tab/>
        </w:r>
        <w:r w:rsidR="00A05946">
          <w:rPr>
            <w:webHidden/>
          </w:rPr>
          <w:fldChar w:fldCharType="begin"/>
        </w:r>
        <w:r w:rsidR="00A05946">
          <w:rPr>
            <w:webHidden/>
          </w:rPr>
          <w:instrText xml:space="preserve"> PAGEREF _Toc362260311 \h </w:instrText>
        </w:r>
        <w:r w:rsidR="00A05946">
          <w:rPr>
            <w:webHidden/>
          </w:rPr>
        </w:r>
        <w:r w:rsidR="00A05946">
          <w:rPr>
            <w:webHidden/>
          </w:rPr>
          <w:fldChar w:fldCharType="separate"/>
        </w:r>
        <w:r w:rsidR="00957924">
          <w:rPr>
            <w:webHidden/>
          </w:rPr>
          <w:t>19</w:t>
        </w:r>
        <w:r w:rsidR="00A05946">
          <w:rPr>
            <w:webHidden/>
          </w:rPr>
          <w:fldChar w:fldCharType="end"/>
        </w:r>
      </w:hyperlink>
    </w:p>
    <w:p w:rsidR="00A05946" w:rsidRPr="000261F3" w:rsidRDefault="00E31C9D">
      <w:pPr>
        <w:pStyle w:val="TOC1"/>
        <w:rPr>
          <w:rFonts w:ascii="Calibri" w:hAnsi="Calibri"/>
          <w:b w:val="0"/>
          <w:sz w:val="22"/>
          <w:szCs w:val="22"/>
          <w:lang w:eastAsia="en-AU"/>
        </w:rPr>
      </w:pPr>
      <w:hyperlink w:anchor="_Toc362260312" w:history="1">
        <w:r w:rsidR="00A05946" w:rsidRPr="00C45482">
          <w:rPr>
            <w:rStyle w:val="Hyperlink"/>
          </w:rPr>
          <w:t>Further information</w:t>
        </w:r>
        <w:r w:rsidR="00A05946">
          <w:rPr>
            <w:webHidden/>
          </w:rPr>
          <w:tab/>
        </w:r>
        <w:r w:rsidR="00A05946">
          <w:rPr>
            <w:webHidden/>
          </w:rPr>
          <w:fldChar w:fldCharType="begin"/>
        </w:r>
        <w:r w:rsidR="00A05946">
          <w:rPr>
            <w:webHidden/>
          </w:rPr>
          <w:instrText xml:space="preserve"> PAGEREF _Toc362260312 \h </w:instrText>
        </w:r>
        <w:r w:rsidR="00A05946">
          <w:rPr>
            <w:webHidden/>
          </w:rPr>
        </w:r>
        <w:r w:rsidR="00A05946">
          <w:rPr>
            <w:webHidden/>
          </w:rPr>
          <w:fldChar w:fldCharType="separate"/>
        </w:r>
        <w:r w:rsidR="00957924">
          <w:rPr>
            <w:webHidden/>
          </w:rPr>
          <w:t>20</w:t>
        </w:r>
        <w:r w:rsidR="00A05946">
          <w:rPr>
            <w:webHidden/>
          </w:rPr>
          <w:fldChar w:fldCharType="end"/>
        </w:r>
      </w:hyperlink>
    </w:p>
    <w:p w:rsidR="006316B0" w:rsidRDefault="008255EB" w:rsidP="00E31C9D">
      <w:pPr>
        <w:pStyle w:val="TOC1"/>
        <w:rPr>
          <w:szCs w:val="24"/>
        </w:rPr>
      </w:pPr>
      <w:r w:rsidRPr="00AC7D9E">
        <w:fldChar w:fldCharType="end"/>
      </w:r>
      <w:r w:rsidR="007D19A0" w:rsidRPr="00CD2BAD">
        <w:rPr>
          <w:szCs w:val="24"/>
        </w:rPr>
        <w:t xml:space="preserve">The National Pathology Accreditation Advisory Council (NPAAC) was established in 1979 to consider and make recommendations to the Australian, state and territory governments on matters related to the accreditation of pathology laboratories and the introduction and maintenance of uniform standards of practice in pathology laboratories throughout Australia. A function of NPAAC is to formulate </w:t>
      </w:r>
      <w:r w:rsidR="004B7723">
        <w:rPr>
          <w:szCs w:val="24"/>
        </w:rPr>
        <w:t>S</w:t>
      </w:r>
      <w:r w:rsidR="007D19A0" w:rsidRPr="00CD2BAD">
        <w:rPr>
          <w:szCs w:val="24"/>
        </w:rPr>
        <w:t xml:space="preserve">tandards and </w:t>
      </w:r>
      <w:r w:rsidR="001E4A60">
        <w:rPr>
          <w:szCs w:val="24"/>
        </w:rPr>
        <w:t xml:space="preserve">initiate and promote </w:t>
      </w:r>
      <w:r w:rsidR="007D19A0" w:rsidRPr="00CD2BAD">
        <w:rPr>
          <w:szCs w:val="24"/>
        </w:rPr>
        <w:t>education programs about pathology tests.</w:t>
      </w:r>
    </w:p>
    <w:p w:rsidR="006316B0" w:rsidRDefault="008255EB" w:rsidP="00CD2BAD">
      <w:pPr>
        <w:pStyle w:val="NPBoxText"/>
        <w:ind w:left="0" w:right="0"/>
        <w:rPr>
          <w:sz w:val="24"/>
          <w:szCs w:val="24"/>
        </w:rPr>
      </w:pPr>
      <w:r w:rsidRPr="00CD2BAD">
        <w:rPr>
          <w:sz w:val="24"/>
          <w:szCs w:val="24"/>
        </w:rPr>
        <w:t xml:space="preserve">Publications produced by NPAAC are issued as accreditation material to provide guidance to laboratories and accrediting agencies about minimum </w:t>
      </w:r>
      <w:r w:rsidR="004B7723">
        <w:rPr>
          <w:sz w:val="24"/>
          <w:szCs w:val="24"/>
        </w:rPr>
        <w:t>S</w:t>
      </w:r>
      <w:r w:rsidR="004B7723" w:rsidRPr="00CD2BAD">
        <w:rPr>
          <w:sz w:val="24"/>
          <w:szCs w:val="24"/>
        </w:rPr>
        <w:t xml:space="preserve">tandards </w:t>
      </w:r>
      <w:r w:rsidRPr="00CD2BAD">
        <w:rPr>
          <w:sz w:val="24"/>
          <w:szCs w:val="24"/>
        </w:rPr>
        <w:t xml:space="preserve">considered acceptable for good laboratory practice. </w:t>
      </w:r>
    </w:p>
    <w:p w:rsidR="008255EB" w:rsidRPr="00CD2BAD" w:rsidRDefault="008255EB" w:rsidP="00CD2BAD">
      <w:pPr>
        <w:pStyle w:val="NPBoxText"/>
        <w:ind w:left="0" w:right="0"/>
        <w:rPr>
          <w:sz w:val="24"/>
          <w:szCs w:val="24"/>
        </w:rPr>
      </w:pPr>
      <w:r w:rsidRPr="00CD2BAD">
        <w:rPr>
          <w:sz w:val="24"/>
          <w:szCs w:val="24"/>
        </w:rPr>
        <w:t xml:space="preserve">Failure to meet these minimum </w:t>
      </w:r>
      <w:r w:rsidR="004B7723">
        <w:rPr>
          <w:sz w:val="24"/>
          <w:szCs w:val="24"/>
        </w:rPr>
        <w:t>S</w:t>
      </w:r>
      <w:r w:rsidR="004B7723" w:rsidRPr="00CD2BAD">
        <w:rPr>
          <w:sz w:val="24"/>
          <w:szCs w:val="24"/>
        </w:rPr>
        <w:t xml:space="preserve">tandards </w:t>
      </w:r>
      <w:r w:rsidRPr="00CD2BAD">
        <w:rPr>
          <w:sz w:val="24"/>
          <w:szCs w:val="24"/>
        </w:rPr>
        <w:t>may pose a risk to public health and patient safety.</w:t>
      </w:r>
    </w:p>
    <w:p w:rsidR="00172C97" w:rsidRPr="00CD2BAD" w:rsidRDefault="00172C97" w:rsidP="00E31C9D">
      <w:pPr>
        <w:pStyle w:val="Heading2"/>
      </w:pPr>
      <w:bookmarkStart w:id="0" w:name="_Toc362260277"/>
      <w:r w:rsidRPr="00CD2BAD">
        <w:t>Scope</w:t>
      </w:r>
      <w:bookmarkEnd w:id="0"/>
    </w:p>
    <w:p w:rsidR="00172C97" w:rsidRPr="00DF1EB4" w:rsidRDefault="00172C97" w:rsidP="005B7253">
      <w:pPr>
        <w:spacing w:before="100" w:beforeAutospacing="1"/>
        <w:rPr>
          <w:color w:val="FF0000"/>
        </w:rPr>
      </w:pPr>
      <w:r w:rsidRPr="00565269">
        <w:t xml:space="preserve">The </w:t>
      </w:r>
      <w:r>
        <w:rPr>
          <w:i/>
        </w:rPr>
        <w:t xml:space="preserve">Requirements for Cytogenetic Testing </w:t>
      </w:r>
      <w:r w:rsidRPr="00565269">
        <w:t xml:space="preserve">is a Tier </w:t>
      </w:r>
      <w:r>
        <w:t>4</w:t>
      </w:r>
      <w:r w:rsidRPr="00565269">
        <w:t xml:space="preserve"> NPAAC document</w:t>
      </w:r>
      <w:r>
        <w:t xml:space="preserve"> and must be </w:t>
      </w:r>
      <w:r w:rsidR="00080D07">
        <w:t>read</w:t>
      </w:r>
      <w:r>
        <w:t xml:space="preserve"> in conjunction with </w:t>
      </w:r>
      <w:r w:rsidRPr="00106E14">
        <w:t xml:space="preserve">the Tier 2 document </w:t>
      </w:r>
      <w:r w:rsidRPr="00106E14">
        <w:rPr>
          <w:i/>
        </w:rPr>
        <w:t xml:space="preserve">Requirements for Medical Pathology Services.  </w:t>
      </w:r>
      <w:r w:rsidRPr="00106E14">
        <w:t xml:space="preserve">The latter is the overarching document broadly outlining </w:t>
      </w:r>
      <w:r w:rsidR="00AC2703">
        <w:t>S</w:t>
      </w:r>
      <w:r w:rsidR="00AC2703" w:rsidRPr="00106E14">
        <w:t xml:space="preserve">tandards </w:t>
      </w:r>
      <w:r w:rsidRPr="00106E14">
        <w:t xml:space="preserve">for good </w:t>
      </w:r>
      <w:r w:rsidRPr="00CD2BAD">
        <w:t>medical pathology practice</w:t>
      </w:r>
      <w:r w:rsidR="00DF1EB4" w:rsidRPr="00106E14">
        <w:t xml:space="preserve"> </w:t>
      </w:r>
      <w:r w:rsidRPr="00106E14">
        <w:t xml:space="preserve">where the primary consideration is patient welfare, and where the needs and expectations of patients, </w:t>
      </w:r>
      <w:r w:rsidR="00EE1098" w:rsidRPr="00CD2BAD">
        <w:t xml:space="preserve">Laboratory </w:t>
      </w:r>
      <w:r w:rsidRPr="00106E14">
        <w:t>staff and referrers (both for pathology requests and inter-</w:t>
      </w:r>
      <w:r w:rsidR="00EE1098" w:rsidRPr="00CD2BAD">
        <w:t xml:space="preserve">Laboratory </w:t>
      </w:r>
      <w:r w:rsidRPr="00106E14">
        <w:t xml:space="preserve">referrals) are safely and satisfactorily met in a timely manner. </w:t>
      </w:r>
      <w:r w:rsidR="00BD627D" w:rsidRPr="00106E14">
        <w:br/>
      </w:r>
      <w:r w:rsidR="00BD627D" w:rsidRPr="00106E14">
        <w:br/>
      </w:r>
      <w:r w:rsidR="00C128FB" w:rsidRPr="00106E14">
        <w:t>Whilst there must be adherence to all the Requirements in the Tier 2 document, reference to specific Standards in that document are provided for assistance under the headings in this document.</w:t>
      </w:r>
      <w:r w:rsidR="00BD627D" w:rsidRPr="00106E14">
        <w:br/>
      </w:r>
      <w:r w:rsidR="00BD627D" w:rsidRPr="00106E14">
        <w:br/>
      </w:r>
      <w:r w:rsidR="00BD627D" w:rsidRPr="002365DB">
        <w:t>T</w:t>
      </w:r>
      <w:r w:rsidRPr="00576140">
        <w:t xml:space="preserve">his document is for use in </w:t>
      </w:r>
      <w:r w:rsidR="00EE1098" w:rsidRPr="00CD2BAD">
        <w:t xml:space="preserve">Laboratories </w:t>
      </w:r>
      <w:r w:rsidRPr="00106E14">
        <w:t xml:space="preserve">providing cytogenetic </w:t>
      </w:r>
      <w:r w:rsidRPr="00CD2BAD">
        <w:t>services</w:t>
      </w:r>
      <w:r w:rsidRPr="00106E14">
        <w:t>.</w:t>
      </w:r>
    </w:p>
    <w:p w:rsidR="00B75390" w:rsidRPr="00CD2BAD" w:rsidRDefault="00940FBC" w:rsidP="00E31C9D">
      <w:pPr>
        <w:pStyle w:val="Heading2"/>
      </w:pPr>
      <w:bookmarkStart w:id="1" w:name="_Toc362260278"/>
      <w:r w:rsidRPr="00CD2BAD">
        <w:lastRenderedPageBreak/>
        <w:t>A</w:t>
      </w:r>
      <w:r w:rsidR="00B75390" w:rsidRPr="00CD2BAD">
        <w:t>bbreviations</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7708"/>
      </w:tblGrid>
      <w:tr w:rsidR="00B755EB" w:rsidRPr="0018416B" w:rsidTr="00352881">
        <w:tc>
          <w:tcPr>
            <w:tcW w:w="1537" w:type="dxa"/>
            <w:shd w:val="clear" w:color="auto" w:fill="auto"/>
          </w:tcPr>
          <w:p w:rsidR="00B755EB" w:rsidRPr="006C7FE1" w:rsidRDefault="00B755EB" w:rsidP="00252224">
            <w:pPr>
              <w:pStyle w:val="NPTableText"/>
              <w:keepLines/>
              <w:rPr>
                <w:sz w:val="24"/>
                <w:szCs w:val="24"/>
              </w:rPr>
            </w:pPr>
            <w:r w:rsidRPr="006C7FE1">
              <w:rPr>
                <w:sz w:val="24"/>
                <w:szCs w:val="24"/>
              </w:rPr>
              <w:t>Ag</w:t>
            </w:r>
          </w:p>
        </w:tc>
        <w:tc>
          <w:tcPr>
            <w:tcW w:w="7708" w:type="dxa"/>
            <w:shd w:val="clear" w:color="auto" w:fill="auto"/>
          </w:tcPr>
          <w:p w:rsidR="00B755EB" w:rsidRPr="00172C97" w:rsidRDefault="00B755EB" w:rsidP="00252224">
            <w:pPr>
              <w:pStyle w:val="NPTableText"/>
              <w:keepLines/>
              <w:rPr>
                <w:sz w:val="24"/>
                <w:szCs w:val="24"/>
              </w:rPr>
            </w:pPr>
            <w:r w:rsidRPr="00172C97">
              <w:rPr>
                <w:sz w:val="24"/>
                <w:szCs w:val="24"/>
              </w:rPr>
              <w:t>silver</w:t>
            </w:r>
          </w:p>
        </w:tc>
      </w:tr>
      <w:tr w:rsidR="00AC2703" w:rsidRPr="0018416B" w:rsidTr="00352881">
        <w:tc>
          <w:tcPr>
            <w:tcW w:w="1537" w:type="dxa"/>
            <w:shd w:val="clear" w:color="auto" w:fill="auto"/>
          </w:tcPr>
          <w:p w:rsidR="00AC2703" w:rsidRPr="006C7FE1" w:rsidRDefault="00AC2703" w:rsidP="00252224">
            <w:pPr>
              <w:pStyle w:val="NPTableText"/>
              <w:keepLines/>
              <w:rPr>
                <w:sz w:val="24"/>
                <w:szCs w:val="24"/>
              </w:rPr>
            </w:pPr>
            <w:r>
              <w:rPr>
                <w:sz w:val="24"/>
                <w:szCs w:val="24"/>
              </w:rPr>
              <w:t>AS</w:t>
            </w:r>
          </w:p>
        </w:tc>
        <w:tc>
          <w:tcPr>
            <w:tcW w:w="7708" w:type="dxa"/>
            <w:shd w:val="clear" w:color="auto" w:fill="auto"/>
          </w:tcPr>
          <w:p w:rsidR="00AC2703" w:rsidRPr="00172C97" w:rsidRDefault="00AC2703" w:rsidP="00252224">
            <w:pPr>
              <w:pStyle w:val="NPTableText"/>
              <w:keepLines/>
              <w:rPr>
                <w:sz w:val="24"/>
                <w:szCs w:val="24"/>
              </w:rPr>
            </w:pPr>
            <w:r>
              <w:rPr>
                <w:sz w:val="24"/>
                <w:szCs w:val="24"/>
              </w:rPr>
              <w:t>Australian Standard</w:t>
            </w:r>
          </w:p>
        </w:tc>
      </w:tr>
      <w:tr w:rsidR="00B755EB" w:rsidRPr="0018416B" w:rsidTr="00352881">
        <w:tc>
          <w:tcPr>
            <w:tcW w:w="1537" w:type="dxa"/>
            <w:shd w:val="clear" w:color="auto" w:fill="auto"/>
          </w:tcPr>
          <w:p w:rsidR="00B755EB" w:rsidRPr="006C7FE1" w:rsidRDefault="00B755EB" w:rsidP="00252224">
            <w:pPr>
              <w:pStyle w:val="NPTableText"/>
              <w:keepLines/>
              <w:rPr>
                <w:sz w:val="24"/>
                <w:szCs w:val="24"/>
              </w:rPr>
            </w:pPr>
            <w:r w:rsidRPr="006C7FE1">
              <w:rPr>
                <w:sz w:val="24"/>
                <w:szCs w:val="24"/>
              </w:rPr>
              <w:t xml:space="preserve">DAPI </w:t>
            </w:r>
          </w:p>
        </w:tc>
        <w:tc>
          <w:tcPr>
            <w:tcW w:w="7708" w:type="dxa"/>
            <w:shd w:val="clear" w:color="auto" w:fill="auto"/>
          </w:tcPr>
          <w:p w:rsidR="00B755EB" w:rsidRPr="00172C97" w:rsidRDefault="00B755EB" w:rsidP="00252224">
            <w:pPr>
              <w:pStyle w:val="NPTableText"/>
              <w:keepLines/>
              <w:rPr>
                <w:sz w:val="24"/>
                <w:szCs w:val="24"/>
              </w:rPr>
            </w:pPr>
            <w:r w:rsidRPr="00172C97">
              <w:rPr>
                <w:sz w:val="24"/>
                <w:szCs w:val="24"/>
              </w:rPr>
              <w:t>4’, 6’-diamidino-2’-phenylindole</w:t>
            </w:r>
          </w:p>
        </w:tc>
      </w:tr>
      <w:tr w:rsidR="00B755EB" w:rsidRPr="00252224" w:rsidTr="00352881">
        <w:tc>
          <w:tcPr>
            <w:tcW w:w="1537" w:type="dxa"/>
            <w:shd w:val="clear" w:color="auto" w:fill="auto"/>
          </w:tcPr>
          <w:p w:rsidR="00B755EB" w:rsidRPr="006C7FE1" w:rsidRDefault="00B755EB" w:rsidP="00252224">
            <w:pPr>
              <w:pStyle w:val="NPTableText"/>
              <w:keepLines/>
              <w:rPr>
                <w:sz w:val="24"/>
                <w:szCs w:val="24"/>
              </w:rPr>
            </w:pPr>
            <w:r w:rsidRPr="006C7FE1">
              <w:rPr>
                <w:sz w:val="24"/>
                <w:szCs w:val="24"/>
              </w:rPr>
              <w:t>FISH</w:t>
            </w:r>
          </w:p>
        </w:tc>
        <w:tc>
          <w:tcPr>
            <w:tcW w:w="7708" w:type="dxa"/>
            <w:shd w:val="clear" w:color="auto" w:fill="auto"/>
          </w:tcPr>
          <w:p w:rsidR="00B755EB" w:rsidRPr="00172C97" w:rsidRDefault="00B755EB" w:rsidP="00252224">
            <w:pPr>
              <w:pStyle w:val="NPTableText"/>
              <w:keepLines/>
              <w:rPr>
                <w:i/>
                <w:iCs/>
                <w:sz w:val="24"/>
                <w:szCs w:val="24"/>
              </w:rPr>
            </w:pPr>
            <w:r w:rsidRPr="00172C97">
              <w:rPr>
                <w:sz w:val="24"/>
                <w:szCs w:val="24"/>
              </w:rPr>
              <w:t>fluorescence in situ</w:t>
            </w:r>
            <w:r w:rsidRPr="00172C97">
              <w:rPr>
                <w:i/>
                <w:iCs/>
                <w:sz w:val="24"/>
                <w:szCs w:val="24"/>
              </w:rPr>
              <w:t xml:space="preserve"> </w:t>
            </w:r>
            <w:r w:rsidRPr="00172C97">
              <w:rPr>
                <w:sz w:val="24"/>
                <w:szCs w:val="24"/>
              </w:rPr>
              <w:t>hybridisation</w:t>
            </w:r>
          </w:p>
        </w:tc>
      </w:tr>
      <w:tr w:rsidR="00B755EB" w:rsidRPr="0018416B" w:rsidTr="00352881">
        <w:tc>
          <w:tcPr>
            <w:tcW w:w="1537" w:type="dxa"/>
            <w:shd w:val="clear" w:color="auto" w:fill="auto"/>
          </w:tcPr>
          <w:p w:rsidR="00B755EB" w:rsidRPr="006C7FE1" w:rsidRDefault="00B755EB" w:rsidP="00252224">
            <w:pPr>
              <w:pStyle w:val="NPTableText"/>
              <w:keepLines/>
              <w:rPr>
                <w:sz w:val="24"/>
                <w:szCs w:val="24"/>
              </w:rPr>
            </w:pPr>
            <w:r w:rsidRPr="006C7FE1">
              <w:rPr>
                <w:sz w:val="24"/>
                <w:szCs w:val="24"/>
              </w:rPr>
              <w:t>HGSA</w:t>
            </w:r>
          </w:p>
        </w:tc>
        <w:tc>
          <w:tcPr>
            <w:tcW w:w="7708" w:type="dxa"/>
            <w:shd w:val="clear" w:color="auto" w:fill="auto"/>
          </w:tcPr>
          <w:p w:rsidR="00B755EB" w:rsidRPr="00172C97" w:rsidRDefault="00B755EB" w:rsidP="00252224">
            <w:pPr>
              <w:pStyle w:val="NPTableText"/>
              <w:keepLines/>
              <w:rPr>
                <w:sz w:val="24"/>
                <w:szCs w:val="24"/>
              </w:rPr>
            </w:pPr>
            <w:r w:rsidRPr="00172C97">
              <w:rPr>
                <w:sz w:val="24"/>
                <w:szCs w:val="24"/>
              </w:rPr>
              <w:t xml:space="preserve">Human Genetics Society of </w:t>
            </w:r>
            <w:smartTag w:uri="urn:schemas-microsoft-com:office:smarttags" w:element="place">
              <w:smartTag w:uri="urn:schemas-microsoft-com:office:smarttags" w:element="PlaceName">
                <w:r w:rsidRPr="00172C97">
                  <w:rPr>
                    <w:sz w:val="24"/>
                    <w:szCs w:val="24"/>
                  </w:rPr>
                  <w:t>Australasia</w:t>
                </w:r>
              </w:smartTag>
            </w:smartTag>
          </w:p>
        </w:tc>
      </w:tr>
      <w:tr w:rsidR="00B755EB" w:rsidRPr="0018416B" w:rsidTr="00352881">
        <w:tc>
          <w:tcPr>
            <w:tcW w:w="1537" w:type="dxa"/>
            <w:shd w:val="clear" w:color="auto" w:fill="auto"/>
          </w:tcPr>
          <w:p w:rsidR="00B755EB" w:rsidRPr="006C7FE1" w:rsidRDefault="00B755EB" w:rsidP="00252224">
            <w:pPr>
              <w:pStyle w:val="NPTableText"/>
              <w:keepLines/>
              <w:rPr>
                <w:sz w:val="24"/>
                <w:szCs w:val="24"/>
              </w:rPr>
            </w:pPr>
            <w:r w:rsidRPr="006C7FE1">
              <w:rPr>
                <w:sz w:val="24"/>
                <w:szCs w:val="24"/>
              </w:rPr>
              <w:t xml:space="preserve">ISCN </w:t>
            </w:r>
          </w:p>
        </w:tc>
        <w:tc>
          <w:tcPr>
            <w:tcW w:w="7708" w:type="dxa"/>
            <w:shd w:val="clear" w:color="auto" w:fill="auto"/>
          </w:tcPr>
          <w:p w:rsidR="00B755EB" w:rsidRPr="00172C97" w:rsidRDefault="00B755EB" w:rsidP="00252224">
            <w:pPr>
              <w:pStyle w:val="NPTableText"/>
              <w:keepLines/>
              <w:rPr>
                <w:sz w:val="24"/>
                <w:szCs w:val="24"/>
              </w:rPr>
            </w:pPr>
            <w:r w:rsidRPr="00172C97">
              <w:rPr>
                <w:sz w:val="24"/>
                <w:szCs w:val="24"/>
              </w:rPr>
              <w:t>International System for Human Cytogenetic Nomenclature</w:t>
            </w:r>
          </w:p>
        </w:tc>
      </w:tr>
      <w:tr w:rsidR="00940FBC" w:rsidRPr="0018416B">
        <w:tc>
          <w:tcPr>
            <w:tcW w:w="1537" w:type="dxa"/>
            <w:shd w:val="clear" w:color="auto" w:fill="auto"/>
          </w:tcPr>
          <w:p w:rsidR="00940FBC" w:rsidRPr="006C7FE1" w:rsidRDefault="00A9360B" w:rsidP="00252224">
            <w:pPr>
              <w:pStyle w:val="NPTableText"/>
              <w:keepLines/>
              <w:rPr>
                <w:sz w:val="24"/>
                <w:szCs w:val="24"/>
              </w:rPr>
            </w:pPr>
            <w:r>
              <w:rPr>
                <w:sz w:val="24"/>
                <w:szCs w:val="24"/>
              </w:rPr>
              <w:t>ISO</w:t>
            </w:r>
          </w:p>
        </w:tc>
        <w:tc>
          <w:tcPr>
            <w:tcW w:w="7708" w:type="dxa"/>
            <w:shd w:val="clear" w:color="auto" w:fill="auto"/>
          </w:tcPr>
          <w:p w:rsidR="00940FBC" w:rsidRPr="00172C97" w:rsidRDefault="00A9360B" w:rsidP="00252224">
            <w:pPr>
              <w:pStyle w:val="NPTableText"/>
              <w:keepLines/>
              <w:rPr>
                <w:sz w:val="24"/>
                <w:szCs w:val="24"/>
              </w:rPr>
            </w:pPr>
            <w:r w:rsidRPr="00490E1D">
              <w:rPr>
                <w:rStyle w:val="st1"/>
                <w:color w:val="222222"/>
                <w:sz w:val="24"/>
                <w:szCs w:val="24"/>
              </w:rPr>
              <w:t>International Organization for Standardization</w:t>
            </w:r>
            <w:r w:rsidDel="00A9360B">
              <w:rPr>
                <w:sz w:val="24"/>
                <w:szCs w:val="24"/>
              </w:rPr>
              <w:t xml:space="preserve"> </w:t>
            </w:r>
          </w:p>
        </w:tc>
      </w:tr>
      <w:tr w:rsidR="00A9360B" w:rsidRPr="0018416B" w:rsidTr="00352881">
        <w:tc>
          <w:tcPr>
            <w:tcW w:w="1537" w:type="dxa"/>
            <w:shd w:val="clear" w:color="auto" w:fill="auto"/>
          </w:tcPr>
          <w:p w:rsidR="00A9360B" w:rsidRPr="006C7FE1" w:rsidRDefault="00A9360B" w:rsidP="00252224">
            <w:pPr>
              <w:pStyle w:val="NPTableText"/>
              <w:keepLines/>
              <w:rPr>
                <w:sz w:val="24"/>
                <w:szCs w:val="24"/>
              </w:rPr>
            </w:pPr>
            <w:r>
              <w:rPr>
                <w:sz w:val="24"/>
                <w:szCs w:val="24"/>
              </w:rPr>
              <w:t>NPAAC</w:t>
            </w:r>
          </w:p>
        </w:tc>
        <w:tc>
          <w:tcPr>
            <w:tcW w:w="7708" w:type="dxa"/>
            <w:shd w:val="clear" w:color="auto" w:fill="auto"/>
          </w:tcPr>
          <w:p w:rsidR="00A9360B" w:rsidRPr="00172C97" w:rsidRDefault="00A9360B" w:rsidP="00252224">
            <w:pPr>
              <w:pStyle w:val="NPTableText"/>
              <w:keepLines/>
              <w:rPr>
                <w:sz w:val="24"/>
                <w:szCs w:val="24"/>
              </w:rPr>
            </w:pPr>
            <w:r>
              <w:rPr>
                <w:sz w:val="24"/>
                <w:szCs w:val="24"/>
              </w:rPr>
              <w:t>National Pathology Accreditation Advisory Council</w:t>
            </w:r>
          </w:p>
        </w:tc>
      </w:tr>
      <w:tr w:rsidR="00A9360B" w:rsidRPr="0018416B" w:rsidTr="00352881">
        <w:tc>
          <w:tcPr>
            <w:tcW w:w="1537" w:type="dxa"/>
            <w:shd w:val="clear" w:color="auto" w:fill="auto"/>
          </w:tcPr>
          <w:p w:rsidR="00A9360B" w:rsidRPr="006C7FE1" w:rsidRDefault="00A9360B" w:rsidP="00252224">
            <w:pPr>
              <w:pStyle w:val="NPTableText"/>
              <w:keepLines/>
              <w:rPr>
                <w:sz w:val="24"/>
                <w:szCs w:val="24"/>
              </w:rPr>
            </w:pPr>
            <w:r w:rsidRPr="006C7FE1">
              <w:rPr>
                <w:sz w:val="24"/>
                <w:szCs w:val="24"/>
              </w:rPr>
              <w:t>NOR</w:t>
            </w:r>
          </w:p>
        </w:tc>
        <w:tc>
          <w:tcPr>
            <w:tcW w:w="7708" w:type="dxa"/>
            <w:shd w:val="clear" w:color="auto" w:fill="auto"/>
          </w:tcPr>
          <w:p w:rsidR="00A9360B" w:rsidRPr="00172C97" w:rsidRDefault="00A9360B" w:rsidP="00252224">
            <w:pPr>
              <w:pStyle w:val="NPTableText"/>
              <w:keepLines/>
              <w:rPr>
                <w:sz w:val="24"/>
                <w:szCs w:val="24"/>
              </w:rPr>
            </w:pPr>
            <w:proofErr w:type="spellStart"/>
            <w:r w:rsidRPr="00172C97">
              <w:rPr>
                <w:sz w:val="24"/>
                <w:szCs w:val="24"/>
              </w:rPr>
              <w:t>nucleolar</w:t>
            </w:r>
            <w:proofErr w:type="spellEnd"/>
            <w:r w:rsidRPr="00172C97">
              <w:rPr>
                <w:sz w:val="24"/>
                <w:szCs w:val="24"/>
              </w:rPr>
              <w:t xml:space="preserve"> organising region</w:t>
            </w:r>
          </w:p>
        </w:tc>
      </w:tr>
    </w:tbl>
    <w:p w:rsidR="008255EB" w:rsidRPr="00CD2BAD" w:rsidRDefault="008255EB" w:rsidP="00E31C9D">
      <w:pPr>
        <w:pStyle w:val="Heading2"/>
      </w:pPr>
      <w:bookmarkStart w:id="2" w:name="_Toc362260279"/>
      <w:r w:rsidRPr="00CD2BAD">
        <w:t>Definitions</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6915"/>
      </w:tblGrid>
      <w:tr w:rsidR="00E55533" w:rsidRPr="00FB0435" w:rsidTr="00FB0435">
        <w:tc>
          <w:tcPr>
            <w:tcW w:w="2330" w:type="dxa"/>
            <w:shd w:val="clear" w:color="auto" w:fill="auto"/>
          </w:tcPr>
          <w:p w:rsidR="00E55533" w:rsidRPr="006C7FE1" w:rsidRDefault="00E55533" w:rsidP="00252224">
            <w:pPr>
              <w:keepLines/>
              <w:rPr>
                <w:szCs w:val="24"/>
              </w:rPr>
            </w:pPr>
            <w:r w:rsidRPr="006C7FE1">
              <w:rPr>
                <w:szCs w:val="24"/>
              </w:rPr>
              <w:t>Ag-NOR</w:t>
            </w:r>
          </w:p>
        </w:tc>
        <w:tc>
          <w:tcPr>
            <w:tcW w:w="6915" w:type="dxa"/>
            <w:shd w:val="clear" w:color="auto" w:fill="auto"/>
          </w:tcPr>
          <w:p w:rsidR="00E55533" w:rsidRPr="00172C97" w:rsidRDefault="00576140" w:rsidP="00AE0714">
            <w:pPr>
              <w:keepLines/>
              <w:rPr>
                <w:szCs w:val="24"/>
              </w:rPr>
            </w:pPr>
            <w:proofErr w:type="gramStart"/>
            <w:r>
              <w:rPr>
                <w:szCs w:val="24"/>
              </w:rPr>
              <w:t>means</w:t>
            </w:r>
            <w:proofErr w:type="gramEnd"/>
            <w:r>
              <w:rPr>
                <w:szCs w:val="24"/>
              </w:rPr>
              <w:t xml:space="preserve"> a</w:t>
            </w:r>
            <w:r w:rsidR="00E55533" w:rsidRPr="00172C97">
              <w:rPr>
                <w:szCs w:val="24"/>
              </w:rPr>
              <w:t xml:space="preserve"> technique whereby a silver (Ag) salt is used to stain the </w:t>
            </w:r>
            <w:proofErr w:type="spellStart"/>
            <w:r w:rsidR="00E55533" w:rsidRPr="00172C97">
              <w:rPr>
                <w:szCs w:val="24"/>
              </w:rPr>
              <w:t>nucleolar</w:t>
            </w:r>
            <w:proofErr w:type="spellEnd"/>
            <w:r w:rsidR="00E55533" w:rsidRPr="00172C97">
              <w:rPr>
                <w:szCs w:val="24"/>
              </w:rPr>
              <w:t xml:space="preserve"> organising regions (NOR) of the five acrocentric chromosome pairs.</w:t>
            </w:r>
          </w:p>
        </w:tc>
      </w:tr>
      <w:tr w:rsidR="00E55533" w:rsidRPr="00FB0435" w:rsidTr="00FB0435">
        <w:tc>
          <w:tcPr>
            <w:tcW w:w="2330" w:type="dxa"/>
            <w:shd w:val="clear" w:color="auto" w:fill="auto"/>
          </w:tcPr>
          <w:p w:rsidR="00E55533" w:rsidRPr="00FB0435" w:rsidRDefault="00E55533" w:rsidP="00252224">
            <w:pPr>
              <w:keepLines/>
              <w:rPr>
                <w:szCs w:val="24"/>
              </w:rPr>
            </w:pPr>
            <w:r w:rsidRPr="00FB0435">
              <w:rPr>
                <w:szCs w:val="24"/>
              </w:rPr>
              <w:t>Analyse</w:t>
            </w:r>
          </w:p>
        </w:tc>
        <w:tc>
          <w:tcPr>
            <w:tcW w:w="6915" w:type="dxa"/>
            <w:shd w:val="clear" w:color="auto" w:fill="auto"/>
          </w:tcPr>
          <w:p w:rsidR="00E55533" w:rsidRPr="00FB0435" w:rsidRDefault="00576140" w:rsidP="00AE0714">
            <w:pPr>
              <w:keepLines/>
              <w:rPr>
                <w:szCs w:val="24"/>
              </w:rPr>
            </w:pPr>
            <w:proofErr w:type="gramStart"/>
            <w:r>
              <w:rPr>
                <w:szCs w:val="24"/>
              </w:rPr>
              <w:t>means</w:t>
            </w:r>
            <w:proofErr w:type="gramEnd"/>
            <w:r>
              <w:rPr>
                <w:szCs w:val="24"/>
              </w:rPr>
              <w:t xml:space="preserve"> t</w:t>
            </w:r>
            <w:r w:rsidR="00E55533" w:rsidRPr="00FB0435">
              <w:rPr>
                <w:szCs w:val="24"/>
              </w:rPr>
              <w:t xml:space="preserve">o evaluate each chromosome in a cell, either by comparing the homologues band for band through the microscope, on a </w:t>
            </w:r>
            <w:r w:rsidR="004D2CBD">
              <w:rPr>
                <w:szCs w:val="24"/>
              </w:rPr>
              <w:br/>
            </w:r>
            <w:r w:rsidR="00E55533" w:rsidRPr="00FB0435">
              <w:rPr>
                <w:szCs w:val="24"/>
              </w:rPr>
              <w:t>high-resolution digital display, or by using photographs.</w:t>
            </w:r>
          </w:p>
        </w:tc>
      </w:tr>
      <w:tr w:rsidR="00E55533" w:rsidRPr="00FB0435" w:rsidTr="00FB0435">
        <w:tc>
          <w:tcPr>
            <w:tcW w:w="2330" w:type="dxa"/>
            <w:shd w:val="clear" w:color="auto" w:fill="auto"/>
          </w:tcPr>
          <w:p w:rsidR="00E55533" w:rsidRPr="00FB0435" w:rsidRDefault="00E55533" w:rsidP="00252224">
            <w:pPr>
              <w:keepLines/>
              <w:rPr>
                <w:szCs w:val="24"/>
              </w:rPr>
            </w:pPr>
            <w:r w:rsidRPr="00FB0435">
              <w:rPr>
                <w:szCs w:val="24"/>
              </w:rPr>
              <w:t>C-banding</w:t>
            </w:r>
          </w:p>
        </w:tc>
        <w:tc>
          <w:tcPr>
            <w:tcW w:w="6915" w:type="dxa"/>
            <w:shd w:val="clear" w:color="auto" w:fill="auto"/>
          </w:tcPr>
          <w:p w:rsidR="00E55533" w:rsidRPr="00FB0435" w:rsidRDefault="00576140" w:rsidP="00AE0714">
            <w:pPr>
              <w:keepLines/>
              <w:rPr>
                <w:szCs w:val="24"/>
              </w:rPr>
            </w:pPr>
            <w:proofErr w:type="gramStart"/>
            <w:r>
              <w:rPr>
                <w:szCs w:val="24"/>
              </w:rPr>
              <w:t>means</w:t>
            </w:r>
            <w:proofErr w:type="gramEnd"/>
            <w:r>
              <w:rPr>
                <w:szCs w:val="24"/>
              </w:rPr>
              <w:t xml:space="preserve"> a</w:t>
            </w:r>
            <w:r w:rsidR="00E55533" w:rsidRPr="00FB0435">
              <w:rPr>
                <w:szCs w:val="24"/>
              </w:rPr>
              <w:t xml:space="preserve"> technique that produces darkly stained bands specific only to those regions of the karyotype containing constitutive heterochromatin.</w:t>
            </w:r>
          </w:p>
        </w:tc>
      </w:tr>
      <w:tr w:rsidR="00E55533" w:rsidRPr="00FB0435" w:rsidTr="00FB0435">
        <w:tc>
          <w:tcPr>
            <w:tcW w:w="2330" w:type="dxa"/>
            <w:shd w:val="clear" w:color="auto" w:fill="auto"/>
          </w:tcPr>
          <w:p w:rsidR="00E55533" w:rsidRPr="00FB0435" w:rsidRDefault="00E55533" w:rsidP="00252224">
            <w:pPr>
              <w:keepLines/>
              <w:rPr>
                <w:szCs w:val="24"/>
              </w:rPr>
            </w:pPr>
            <w:r w:rsidRPr="00FB0435">
              <w:rPr>
                <w:szCs w:val="24"/>
              </w:rPr>
              <w:t>Count</w:t>
            </w:r>
          </w:p>
        </w:tc>
        <w:tc>
          <w:tcPr>
            <w:tcW w:w="6915" w:type="dxa"/>
            <w:shd w:val="clear" w:color="auto" w:fill="auto"/>
          </w:tcPr>
          <w:p w:rsidR="00E55533" w:rsidRPr="00FB0435" w:rsidRDefault="00576140" w:rsidP="00AE0714">
            <w:pPr>
              <w:keepLines/>
              <w:rPr>
                <w:szCs w:val="24"/>
              </w:rPr>
            </w:pPr>
            <w:proofErr w:type="gramStart"/>
            <w:r>
              <w:rPr>
                <w:szCs w:val="24"/>
              </w:rPr>
              <w:t>means</w:t>
            </w:r>
            <w:proofErr w:type="gramEnd"/>
            <w:r>
              <w:rPr>
                <w:szCs w:val="24"/>
              </w:rPr>
              <w:t xml:space="preserve"> t</w:t>
            </w:r>
            <w:r w:rsidR="00E55533" w:rsidRPr="00FB0435">
              <w:rPr>
                <w:szCs w:val="24"/>
              </w:rPr>
              <w:t>o enumerate the number of chromosomes in a cell. The chromosomes need not be banded. A count should include comment on any obvious structural aberrations.</w:t>
            </w:r>
          </w:p>
        </w:tc>
      </w:tr>
      <w:tr w:rsidR="00E55533" w:rsidRPr="00FB0435" w:rsidTr="00FB0435">
        <w:trPr>
          <w:trHeight w:val="1233"/>
        </w:trPr>
        <w:tc>
          <w:tcPr>
            <w:tcW w:w="2330" w:type="dxa"/>
            <w:shd w:val="clear" w:color="auto" w:fill="auto"/>
          </w:tcPr>
          <w:p w:rsidR="00E55533" w:rsidRPr="00FB0435" w:rsidRDefault="00E55533" w:rsidP="00252224">
            <w:pPr>
              <w:keepLines/>
              <w:rPr>
                <w:szCs w:val="24"/>
              </w:rPr>
            </w:pPr>
            <w:r w:rsidRPr="00FB0435">
              <w:rPr>
                <w:szCs w:val="24"/>
              </w:rPr>
              <w:t xml:space="preserve">Experienced </w:t>
            </w:r>
            <w:proofErr w:type="spellStart"/>
            <w:r w:rsidRPr="00FB0435">
              <w:rPr>
                <w:szCs w:val="24"/>
              </w:rPr>
              <w:t>cytogeneticist</w:t>
            </w:r>
            <w:proofErr w:type="spellEnd"/>
            <w:r w:rsidRPr="00FB0435">
              <w:rPr>
                <w:szCs w:val="24"/>
              </w:rPr>
              <w:t xml:space="preserve"> </w:t>
            </w:r>
          </w:p>
        </w:tc>
        <w:tc>
          <w:tcPr>
            <w:tcW w:w="6915" w:type="dxa"/>
            <w:shd w:val="clear" w:color="auto" w:fill="auto"/>
          </w:tcPr>
          <w:p w:rsidR="00E55533" w:rsidRPr="00FB0435" w:rsidRDefault="00576140" w:rsidP="00AE0714">
            <w:pPr>
              <w:keepLines/>
              <w:rPr>
                <w:szCs w:val="24"/>
              </w:rPr>
            </w:pPr>
            <w:proofErr w:type="gramStart"/>
            <w:r>
              <w:rPr>
                <w:szCs w:val="24"/>
              </w:rPr>
              <w:t>means</w:t>
            </w:r>
            <w:proofErr w:type="gramEnd"/>
            <w:r>
              <w:rPr>
                <w:szCs w:val="24"/>
              </w:rPr>
              <w:t xml:space="preserve"> a</w:t>
            </w:r>
            <w:r w:rsidR="00E55533" w:rsidRPr="00FB0435">
              <w:rPr>
                <w:szCs w:val="24"/>
              </w:rPr>
              <w:t xml:space="preserve"> person who has a minimum of two years of diagnostic human </w:t>
            </w:r>
            <w:proofErr w:type="spellStart"/>
            <w:r w:rsidR="00E55533" w:rsidRPr="00FB0435">
              <w:rPr>
                <w:szCs w:val="24"/>
              </w:rPr>
              <w:t>cytogenetics</w:t>
            </w:r>
            <w:proofErr w:type="spellEnd"/>
            <w:r w:rsidR="00E55533" w:rsidRPr="00FB0435">
              <w:rPr>
                <w:szCs w:val="24"/>
              </w:rPr>
              <w:t xml:space="preserve"> experience and who has </w:t>
            </w:r>
            <w:r w:rsidR="00E55533" w:rsidRPr="00106E14">
              <w:rPr>
                <w:szCs w:val="24"/>
              </w:rPr>
              <w:t xml:space="preserve">been documented to be competent in </w:t>
            </w:r>
            <w:proofErr w:type="spellStart"/>
            <w:r w:rsidR="00E55533" w:rsidRPr="00106E14">
              <w:rPr>
                <w:szCs w:val="24"/>
              </w:rPr>
              <w:t>cytogenetics</w:t>
            </w:r>
            <w:proofErr w:type="spellEnd"/>
            <w:r w:rsidR="00E55533" w:rsidRPr="00106E14">
              <w:rPr>
                <w:szCs w:val="24"/>
              </w:rPr>
              <w:t xml:space="preserve"> according to the </w:t>
            </w:r>
            <w:r w:rsidR="00EE1098" w:rsidRPr="00CD2BAD">
              <w:rPr>
                <w:szCs w:val="24"/>
              </w:rPr>
              <w:t>Laboratory’s</w:t>
            </w:r>
            <w:r w:rsidR="00EE1098" w:rsidRPr="00106E14">
              <w:rPr>
                <w:szCs w:val="24"/>
              </w:rPr>
              <w:t xml:space="preserve"> </w:t>
            </w:r>
            <w:r w:rsidR="00DF1EB4" w:rsidRPr="00CD2BAD">
              <w:rPr>
                <w:szCs w:val="24"/>
              </w:rPr>
              <w:t>Q</w:t>
            </w:r>
            <w:r w:rsidR="00E55533" w:rsidRPr="00106E14">
              <w:rPr>
                <w:szCs w:val="24"/>
              </w:rPr>
              <w:t xml:space="preserve">uality </w:t>
            </w:r>
            <w:r w:rsidR="00DF1EB4" w:rsidRPr="00CD2BAD">
              <w:rPr>
                <w:szCs w:val="24"/>
              </w:rPr>
              <w:t>S</w:t>
            </w:r>
            <w:r w:rsidR="00E55533" w:rsidRPr="00106E14">
              <w:rPr>
                <w:szCs w:val="24"/>
              </w:rPr>
              <w:t>ystem.</w:t>
            </w:r>
            <w:r w:rsidR="00E55533" w:rsidRPr="00FB0435">
              <w:rPr>
                <w:szCs w:val="24"/>
              </w:rPr>
              <w:t xml:space="preserve"> </w:t>
            </w:r>
          </w:p>
        </w:tc>
      </w:tr>
      <w:tr w:rsidR="00E55533" w:rsidRPr="00FB0435" w:rsidTr="00FB0435">
        <w:tc>
          <w:tcPr>
            <w:tcW w:w="2330" w:type="dxa"/>
            <w:shd w:val="clear" w:color="auto" w:fill="auto"/>
          </w:tcPr>
          <w:p w:rsidR="00E55533" w:rsidRPr="00FB0435" w:rsidRDefault="00E55533" w:rsidP="00252224">
            <w:pPr>
              <w:keepLines/>
              <w:rPr>
                <w:szCs w:val="24"/>
              </w:rPr>
            </w:pPr>
            <w:r w:rsidRPr="00FB0435">
              <w:rPr>
                <w:szCs w:val="24"/>
              </w:rPr>
              <w:t>G-banding</w:t>
            </w:r>
          </w:p>
        </w:tc>
        <w:tc>
          <w:tcPr>
            <w:tcW w:w="6915" w:type="dxa"/>
            <w:shd w:val="clear" w:color="auto" w:fill="auto"/>
          </w:tcPr>
          <w:p w:rsidR="00E55533" w:rsidRPr="00FB0435" w:rsidRDefault="00576140" w:rsidP="00AE0714">
            <w:pPr>
              <w:keepLines/>
              <w:rPr>
                <w:szCs w:val="24"/>
              </w:rPr>
            </w:pPr>
            <w:proofErr w:type="gramStart"/>
            <w:r>
              <w:rPr>
                <w:szCs w:val="24"/>
              </w:rPr>
              <w:t>means</w:t>
            </w:r>
            <w:proofErr w:type="gramEnd"/>
            <w:r>
              <w:rPr>
                <w:szCs w:val="24"/>
              </w:rPr>
              <w:t xml:space="preserve"> a</w:t>
            </w:r>
            <w:r w:rsidR="00E55533" w:rsidRPr="00FB0435">
              <w:rPr>
                <w:szCs w:val="24"/>
              </w:rPr>
              <w:t xml:space="preserve"> technique that, following various </w:t>
            </w:r>
            <w:proofErr w:type="spellStart"/>
            <w:r w:rsidR="00E55533" w:rsidRPr="00FB0435">
              <w:rPr>
                <w:szCs w:val="24"/>
              </w:rPr>
              <w:t>pretreatments</w:t>
            </w:r>
            <w:proofErr w:type="spellEnd"/>
            <w:r w:rsidR="00E55533" w:rsidRPr="00FB0435">
              <w:rPr>
                <w:szCs w:val="24"/>
              </w:rPr>
              <w:t xml:space="preserve"> of chromosome preparations and staining with </w:t>
            </w:r>
            <w:proofErr w:type="spellStart"/>
            <w:r w:rsidR="00E55533" w:rsidRPr="00FB0435">
              <w:rPr>
                <w:szCs w:val="24"/>
              </w:rPr>
              <w:t>Giemsa</w:t>
            </w:r>
            <w:proofErr w:type="spellEnd"/>
            <w:r w:rsidR="00E55533" w:rsidRPr="00FB0435">
              <w:rPr>
                <w:szCs w:val="24"/>
              </w:rPr>
              <w:t xml:space="preserve"> (or similar) stain, produces characteristic alternating dark and pale bands along each chromosome. G-banding is the standard technique for chromosome identification in human </w:t>
            </w:r>
            <w:proofErr w:type="spellStart"/>
            <w:r w:rsidR="00E55533" w:rsidRPr="00FB0435">
              <w:rPr>
                <w:szCs w:val="24"/>
              </w:rPr>
              <w:t>cytogenetics</w:t>
            </w:r>
            <w:proofErr w:type="spellEnd"/>
            <w:r w:rsidR="00E55533" w:rsidRPr="00FB0435">
              <w:rPr>
                <w:szCs w:val="24"/>
              </w:rPr>
              <w:t>.</w:t>
            </w:r>
          </w:p>
        </w:tc>
      </w:tr>
      <w:tr w:rsidR="00E55533" w:rsidRPr="00FB0435" w:rsidTr="00FB0435">
        <w:tc>
          <w:tcPr>
            <w:tcW w:w="2330" w:type="dxa"/>
            <w:shd w:val="clear" w:color="auto" w:fill="auto"/>
          </w:tcPr>
          <w:p w:rsidR="00E55533" w:rsidRPr="00FB0435" w:rsidRDefault="00E55533" w:rsidP="00252224">
            <w:pPr>
              <w:keepLines/>
              <w:rPr>
                <w:szCs w:val="24"/>
              </w:rPr>
            </w:pPr>
            <w:r w:rsidRPr="00FB0435">
              <w:rPr>
                <w:szCs w:val="24"/>
              </w:rPr>
              <w:t>Karyotype (noun)</w:t>
            </w:r>
          </w:p>
        </w:tc>
        <w:tc>
          <w:tcPr>
            <w:tcW w:w="6915" w:type="dxa"/>
            <w:shd w:val="clear" w:color="auto" w:fill="auto"/>
          </w:tcPr>
          <w:p w:rsidR="00E55533" w:rsidRPr="00FB0435" w:rsidRDefault="00576140" w:rsidP="00AE0714">
            <w:pPr>
              <w:keepLines/>
              <w:rPr>
                <w:szCs w:val="24"/>
              </w:rPr>
            </w:pPr>
            <w:proofErr w:type="gramStart"/>
            <w:r>
              <w:rPr>
                <w:szCs w:val="24"/>
              </w:rPr>
              <w:t>means</w:t>
            </w:r>
            <w:proofErr w:type="gramEnd"/>
            <w:r>
              <w:rPr>
                <w:szCs w:val="24"/>
              </w:rPr>
              <w:t xml:space="preserve"> t</w:t>
            </w:r>
            <w:r w:rsidR="00E55533" w:rsidRPr="00FB0435">
              <w:rPr>
                <w:szCs w:val="24"/>
              </w:rPr>
              <w:t>he array of a complete set of paired chromosomes displayed in standard arrangement.</w:t>
            </w:r>
          </w:p>
        </w:tc>
      </w:tr>
      <w:tr w:rsidR="00E55533" w:rsidRPr="00FB0435" w:rsidTr="00FB0435">
        <w:tc>
          <w:tcPr>
            <w:tcW w:w="2330" w:type="dxa"/>
            <w:shd w:val="clear" w:color="auto" w:fill="auto"/>
          </w:tcPr>
          <w:p w:rsidR="00E55533" w:rsidRPr="00FB0435" w:rsidRDefault="00E55533" w:rsidP="00252224">
            <w:pPr>
              <w:keepLines/>
              <w:rPr>
                <w:szCs w:val="24"/>
              </w:rPr>
            </w:pPr>
            <w:r w:rsidRPr="00FB0435">
              <w:rPr>
                <w:szCs w:val="24"/>
              </w:rPr>
              <w:t>Karyotype (verb)</w:t>
            </w:r>
          </w:p>
        </w:tc>
        <w:tc>
          <w:tcPr>
            <w:tcW w:w="6915" w:type="dxa"/>
            <w:shd w:val="clear" w:color="auto" w:fill="auto"/>
          </w:tcPr>
          <w:p w:rsidR="00E55533" w:rsidRPr="00FB0435" w:rsidRDefault="00576140" w:rsidP="00AE0714">
            <w:pPr>
              <w:keepLines/>
              <w:rPr>
                <w:szCs w:val="24"/>
              </w:rPr>
            </w:pPr>
            <w:proofErr w:type="gramStart"/>
            <w:r>
              <w:rPr>
                <w:szCs w:val="24"/>
              </w:rPr>
              <w:t>means</w:t>
            </w:r>
            <w:proofErr w:type="gramEnd"/>
            <w:r>
              <w:rPr>
                <w:szCs w:val="24"/>
              </w:rPr>
              <w:t xml:space="preserve"> t</w:t>
            </w:r>
            <w:r w:rsidR="00E55533" w:rsidRPr="00FB0435">
              <w:rPr>
                <w:szCs w:val="24"/>
              </w:rPr>
              <w:t>o arrange the banded chromosomes of a single cell in the standard arrangement (International System for Human Cytogenetic Nomenclature, ISCN). The arrangement may be achieved by physically cutting up a photograph or by using an image analysis system.</w:t>
            </w:r>
          </w:p>
        </w:tc>
      </w:tr>
      <w:tr w:rsidR="00E55533" w:rsidRPr="00FB0435" w:rsidTr="00FB0435">
        <w:tc>
          <w:tcPr>
            <w:tcW w:w="2330" w:type="dxa"/>
            <w:shd w:val="clear" w:color="auto" w:fill="auto"/>
          </w:tcPr>
          <w:p w:rsidR="00E55533" w:rsidRPr="006C7FE1" w:rsidRDefault="00E55533" w:rsidP="00252224">
            <w:pPr>
              <w:keepLines/>
              <w:rPr>
                <w:szCs w:val="24"/>
              </w:rPr>
            </w:pPr>
            <w:r w:rsidRPr="006C7FE1">
              <w:rPr>
                <w:szCs w:val="24"/>
              </w:rPr>
              <w:lastRenderedPageBreak/>
              <w:t>Q-banding</w:t>
            </w:r>
          </w:p>
        </w:tc>
        <w:tc>
          <w:tcPr>
            <w:tcW w:w="6915" w:type="dxa"/>
            <w:shd w:val="clear" w:color="auto" w:fill="auto"/>
          </w:tcPr>
          <w:p w:rsidR="00E55533" w:rsidRPr="001124C8" w:rsidRDefault="00576140" w:rsidP="00AE0714">
            <w:pPr>
              <w:keepLines/>
              <w:rPr>
                <w:szCs w:val="24"/>
              </w:rPr>
            </w:pPr>
            <w:proofErr w:type="gramStart"/>
            <w:r>
              <w:rPr>
                <w:szCs w:val="24"/>
              </w:rPr>
              <w:t>means</w:t>
            </w:r>
            <w:proofErr w:type="gramEnd"/>
            <w:r>
              <w:rPr>
                <w:szCs w:val="24"/>
              </w:rPr>
              <w:t xml:space="preserve"> a</w:t>
            </w:r>
            <w:r w:rsidR="00E55533" w:rsidRPr="00172C97">
              <w:rPr>
                <w:szCs w:val="24"/>
              </w:rPr>
              <w:t xml:space="preserve"> staining technique in which metaphase chromosomes are stained with </w:t>
            </w:r>
            <w:proofErr w:type="spellStart"/>
            <w:r w:rsidR="00E55533" w:rsidRPr="00172C97">
              <w:rPr>
                <w:szCs w:val="24"/>
              </w:rPr>
              <w:t>quinacrine</w:t>
            </w:r>
            <w:proofErr w:type="spellEnd"/>
            <w:r w:rsidR="00E55533" w:rsidRPr="00172C97">
              <w:rPr>
                <w:szCs w:val="24"/>
              </w:rPr>
              <w:t xml:space="preserve"> to produce temporary fluorescence on the chromosomes under ultraviolet illumi</w:t>
            </w:r>
            <w:r w:rsidR="00E55533" w:rsidRPr="001124C8">
              <w:rPr>
                <w:szCs w:val="24"/>
              </w:rPr>
              <w:t xml:space="preserve">nation. Although the Q-bands are similar to G-bands, this method is useful for identifying the Y chromosome and certain DNA polymorphisms. However, </w:t>
            </w:r>
            <w:r w:rsidR="004D2CBD">
              <w:rPr>
                <w:szCs w:val="24"/>
              </w:rPr>
              <w:br/>
            </w:r>
            <w:r w:rsidR="00E55533" w:rsidRPr="001124C8">
              <w:rPr>
                <w:szCs w:val="24"/>
              </w:rPr>
              <w:t>Q-banding has been largely superseded in routine use by fluorescence in situ</w:t>
            </w:r>
            <w:r w:rsidR="00E55533" w:rsidRPr="001124C8">
              <w:rPr>
                <w:i/>
                <w:iCs/>
                <w:szCs w:val="24"/>
              </w:rPr>
              <w:t xml:space="preserve"> </w:t>
            </w:r>
            <w:r w:rsidR="00E55533" w:rsidRPr="001124C8">
              <w:rPr>
                <w:szCs w:val="24"/>
              </w:rPr>
              <w:t>hybridisation (FISH) techniques.</w:t>
            </w:r>
          </w:p>
        </w:tc>
      </w:tr>
      <w:tr w:rsidR="00E55533" w:rsidRPr="00FB0435" w:rsidTr="00FB0435">
        <w:tc>
          <w:tcPr>
            <w:tcW w:w="2330" w:type="dxa"/>
            <w:shd w:val="clear" w:color="auto" w:fill="auto"/>
          </w:tcPr>
          <w:p w:rsidR="00E55533" w:rsidRPr="00FB0435" w:rsidRDefault="00E55533" w:rsidP="00252224">
            <w:pPr>
              <w:keepLines/>
              <w:rPr>
                <w:szCs w:val="24"/>
              </w:rPr>
            </w:pPr>
            <w:r w:rsidRPr="00FB0435">
              <w:rPr>
                <w:szCs w:val="24"/>
              </w:rPr>
              <w:t>R-banding (reverse banding)</w:t>
            </w:r>
          </w:p>
        </w:tc>
        <w:tc>
          <w:tcPr>
            <w:tcW w:w="6915" w:type="dxa"/>
            <w:shd w:val="clear" w:color="auto" w:fill="auto"/>
          </w:tcPr>
          <w:p w:rsidR="00E55533" w:rsidRPr="00FB0435" w:rsidRDefault="00576140" w:rsidP="00AE0714">
            <w:pPr>
              <w:keepLines/>
              <w:rPr>
                <w:szCs w:val="24"/>
              </w:rPr>
            </w:pPr>
            <w:r>
              <w:rPr>
                <w:szCs w:val="24"/>
              </w:rPr>
              <w:t>means a</w:t>
            </w:r>
            <w:r w:rsidR="00E55533" w:rsidRPr="00FB0435">
              <w:rPr>
                <w:szCs w:val="24"/>
              </w:rPr>
              <w:t xml:space="preserve"> chromosome banding technique that produces alternate dark and pale bands on chromosomes that are the reverse of the more commonly used G-banding (i.e. dark G-bands are pale in R-banding). Traditionally, R-banding has been more commonly used in European countries, especially </w:t>
            </w:r>
            <w:smartTag w:uri="urn:schemas-microsoft-com:office:smarttags" w:element="place">
              <w:smartTag w:uri="urn:schemas-microsoft-com:office:smarttags" w:element="country-region">
                <w:smartTag w:uri="urn:schemas-microsoft-com:office:smarttags" w:element="PlaceName">
                  <w:r w:rsidR="00E55533" w:rsidRPr="00FB0435">
                    <w:rPr>
                      <w:szCs w:val="24"/>
                    </w:rPr>
                    <w:t>France</w:t>
                  </w:r>
                </w:smartTag>
              </w:smartTag>
            </w:smartTag>
            <w:r w:rsidR="00E55533" w:rsidRPr="00FB0435">
              <w:rPr>
                <w:szCs w:val="24"/>
              </w:rPr>
              <w:t>.</w:t>
            </w:r>
          </w:p>
        </w:tc>
      </w:tr>
      <w:tr w:rsidR="00B71377" w:rsidRPr="00FB0435">
        <w:tc>
          <w:tcPr>
            <w:tcW w:w="2330" w:type="dxa"/>
            <w:shd w:val="clear" w:color="auto" w:fill="auto"/>
          </w:tcPr>
          <w:p w:rsidR="00B71377" w:rsidRPr="00106E14" w:rsidRDefault="00B71377" w:rsidP="00252224">
            <w:pPr>
              <w:keepLines/>
              <w:rPr>
                <w:szCs w:val="24"/>
              </w:rPr>
            </w:pPr>
            <w:r w:rsidRPr="00CD2BAD">
              <w:rPr>
                <w:szCs w:val="24"/>
              </w:rPr>
              <w:t>Requirements for Medical Pathology Services</w:t>
            </w:r>
            <w:r w:rsidR="00134084" w:rsidRPr="00CD2BAD">
              <w:rPr>
                <w:szCs w:val="24"/>
              </w:rPr>
              <w:t xml:space="preserve"> (RMPS)</w:t>
            </w:r>
          </w:p>
        </w:tc>
        <w:tc>
          <w:tcPr>
            <w:tcW w:w="6915" w:type="dxa"/>
            <w:shd w:val="clear" w:color="auto" w:fill="auto"/>
          </w:tcPr>
          <w:p w:rsidR="00B71377" w:rsidRPr="00106E14" w:rsidRDefault="00B71377" w:rsidP="00B71377">
            <w:pPr>
              <w:spacing w:after="0"/>
            </w:pPr>
            <w:proofErr w:type="gramStart"/>
            <w:r w:rsidRPr="00106E14">
              <w:t>means</w:t>
            </w:r>
            <w:proofErr w:type="gramEnd"/>
            <w:r w:rsidRPr="00106E14">
              <w:t xml:space="preserve"> the overarching document broadly outlining standards for good </w:t>
            </w:r>
            <w:r w:rsidRPr="00CD2BAD">
              <w:t>medical pathology practice</w:t>
            </w:r>
            <w:r w:rsidR="00DF1EB4" w:rsidRPr="00106E14">
              <w:t xml:space="preserve"> </w:t>
            </w:r>
            <w:r w:rsidRPr="00106E14">
              <w:t xml:space="preserve">where the primary consideration is patient welfare, and where the needs and expectations of patients, </w:t>
            </w:r>
            <w:r w:rsidR="004D2CBD" w:rsidRPr="00CD2BAD">
              <w:t xml:space="preserve">Laboratory </w:t>
            </w:r>
            <w:r w:rsidRPr="00106E14">
              <w:t xml:space="preserve">staff and referrers (both for pathology requests and </w:t>
            </w:r>
            <w:r w:rsidR="009A7811">
              <w:br/>
            </w:r>
            <w:r w:rsidRPr="00106E14">
              <w:t>inter-</w:t>
            </w:r>
            <w:r w:rsidR="004D2CBD" w:rsidRPr="00CD2BAD">
              <w:t xml:space="preserve">Laboratory </w:t>
            </w:r>
            <w:r w:rsidRPr="00106E14">
              <w:t>referrals) are safely and satisfactorily met in a timely manner.</w:t>
            </w:r>
          </w:p>
          <w:p w:rsidR="00B71377" w:rsidRPr="00106E14" w:rsidRDefault="00B71377" w:rsidP="00B71377">
            <w:pPr>
              <w:spacing w:before="240" w:after="0"/>
            </w:pPr>
            <w:r w:rsidRPr="00106E14">
              <w:t xml:space="preserve">The standard headings are set out below </w:t>
            </w:r>
            <w:r w:rsidR="004D2CBD" w:rsidRPr="00B03D17">
              <w:rPr>
                <w:szCs w:val="24"/>
              </w:rPr>
              <w:t>–</w:t>
            </w:r>
          </w:p>
          <w:p w:rsidR="00B71377" w:rsidRPr="00106E14" w:rsidRDefault="00B71377" w:rsidP="00B71377">
            <w:pPr>
              <w:pStyle w:val="NPTableText"/>
              <w:rPr>
                <w:sz w:val="24"/>
                <w:szCs w:val="24"/>
              </w:rPr>
            </w:pPr>
            <w:r w:rsidRPr="00106E14">
              <w:rPr>
                <w:sz w:val="24"/>
                <w:szCs w:val="24"/>
              </w:rPr>
              <w:t>Standard 1 – Ethical Practice</w:t>
            </w:r>
          </w:p>
          <w:p w:rsidR="00B71377" w:rsidRPr="00106E14" w:rsidRDefault="00B71377" w:rsidP="00B71377">
            <w:pPr>
              <w:pStyle w:val="NPTableText"/>
              <w:rPr>
                <w:sz w:val="24"/>
                <w:szCs w:val="24"/>
              </w:rPr>
            </w:pPr>
            <w:r w:rsidRPr="00106E14">
              <w:rPr>
                <w:sz w:val="24"/>
                <w:szCs w:val="24"/>
              </w:rPr>
              <w:t>Standard 2 – Governance</w:t>
            </w:r>
          </w:p>
          <w:p w:rsidR="00B71377" w:rsidRPr="00106E14" w:rsidRDefault="00B71377" w:rsidP="00B71377">
            <w:pPr>
              <w:pStyle w:val="NPTableText"/>
              <w:rPr>
                <w:sz w:val="24"/>
                <w:szCs w:val="24"/>
              </w:rPr>
            </w:pPr>
            <w:r w:rsidRPr="00106E14">
              <w:rPr>
                <w:sz w:val="24"/>
                <w:szCs w:val="24"/>
              </w:rPr>
              <w:t>Standard 3 – Quality Management</w:t>
            </w:r>
          </w:p>
          <w:p w:rsidR="00B71377" w:rsidRPr="00106E14" w:rsidRDefault="00B71377" w:rsidP="00B71377">
            <w:pPr>
              <w:pStyle w:val="NPTableText"/>
              <w:rPr>
                <w:sz w:val="24"/>
                <w:szCs w:val="24"/>
              </w:rPr>
            </w:pPr>
            <w:r w:rsidRPr="00106E14">
              <w:rPr>
                <w:sz w:val="24"/>
                <w:szCs w:val="24"/>
              </w:rPr>
              <w:t>Standard 4 – Personnel</w:t>
            </w:r>
          </w:p>
          <w:p w:rsidR="00B71377" w:rsidRPr="002365DB" w:rsidRDefault="00B71377" w:rsidP="00B71377">
            <w:pPr>
              <w:pStyle w:val="NPTableText"/>
              <w:rPr>
                <w:sz w:val="24"/>
                <w:szCs w:val="24"/>
              </w:rPr>
            </w:pPr>
            <w:r w:rsidRPr="002365DB">
              <w:rPr>
                <w:sz w:val="24"/>
                <w:szCs w:val="24"/>
              </w:rPr>
              <w:t>Standard 5 – Facilities and Equipment</w:t>
            </w:r>
          </w:p>
          <w:p w:rsidR="00B71377" w:rsidRPr="00576140" w:rsidRDefault="00B71377" w:rsidP="00B71377">
            <w:pPr>
              <w:pStyle w:val="NPTableText"/>
              <w:tabs>
                <w:tab w:val="left" w:pos="1490"/>
              </w:tabs>
              <w:rPr>
                <w:sz w:val="24"/>
                <w:szCs w:val="24"/>
              </w:rPr>
            </w:pPr>
            <w:r w:rsidRPr="00576140">
              <w:rPr>
                <w:sz w:val="24"/>
                <w:szCs w:val="24"/>
              </w:rPr>
              <w:tab/>
              <w:t>A – Premises</w:t>
            </w:r>
          </w:p>
          <w:p w:rsidR="00B71377" w:rsidRPr="00AE0714" w:rsidRDefault="00B71377" w:rsidP="00B71377">
            <w:pPr>
              <w:pStyle w:val="NPTableText"/>
              <w:tabs>
                <w:tab w:val="left" w:pos="1490"/>
              </w:tabs>
              <w:rPr>
                <w:sz w:val="24"/>
                <w:szCs w:val="24"/>
              </w:rPr>
            </w:pPr>
            <w:r w:rsidRPr="00AE0714">
              <w:rPr>
                <w:sz w:val="24"/>
                <w:szCs w:val="24"/>
              </w:rPr>
              <w:tab/>
              <w:t>B – Equipment</w:t>
            </w:r>
          </w:p>
          <w:p w:rsidR="00B71377" w:rsidRPr="00AE0714" w:rsidRDefault="00B71377" w:rsidP="00B71377">
            <w:pPr>
              <w:pStyle w:val="NPTableText"/>
              <w:rPr>
                <w:sz w:val="24"/>
                <w:szCs w:val="24"/>
              </w:rPr>
            </w:pPr>
            <w:r w:rsidRPr="00AE0714">
              <w:rPr>
                <w:sz w:val="24"/>
                <w:szCs w:val="24"/>
              </w:rPr>
              <w:t>Standard 6 – Request-Test-Report Cycle</w:t>
            </w:r>
          </w:p>
          <w:p w:rsidR="00B71377" w:rsidRPr="00AE0714" w:rsidRDefault="00B71377" w:rsidP="00B71377">
            <w:pPr>
              <w:pStyle w:val="NPTableText"/>
              <w:tabs>
                <w:tab w:val="left" w:pos="1490"/>
              </w:tabs>
              <w:rPr>
                <w:sz w:val="24"/>
                <w:szCs w:val="24"/>
              </w:rPr>
            </w:pPr>
            <w:r w:rsidRPr="00AE0714">
              <w:rPr>
                <w:sz w:val="24"/>
                <w:szCs w:val="24"/>
              </w:rPr>
              <w:tab/>
              <w:t>A – Pre-Analytical</w:t>
            </w:r>
          </w:p>
          <w:p w:rsidR="00B71377" w:rsidRPr="00AE0714" w:rsidRDefault="00B71377" w:rsidP="00B71377">
            <w:pPr>
              <w:pStyle w:val="NPTableText"/>
              <w:tabs>
                <w:tab w:val="left" w:pos="1490"/>
              </w:tabs>
              <w:rPr>
                <w:sz w:val="24"/>
                <w:szCs w:val="24"/>
              </w:rPr>
            </w:pPr>
            <w:r w:rsidRPr="00AE0714">
              <w:rPr>
                <w:sz w:val="24"/>
                <w:szCs w:val="24"/>
              </w:rPr>
              <w:tab/>
              <w:t>B – Analytical</w:t>
            </w:r>
          </w:p>
          <w:p w:rsidR="00B71377" w:rsidRPr="00AE0714" w:rsidRDefault="00B71377" w:rsidP="00B71377">
            <w:pPr>
              <w:pStyle w:val="NPTableText"/>
              <w:tabs>
                <w:tab w:val="left" w:pos="1490"/>
              </w:tabs>
              <w:rPr>
                <w:sz w:val="24"/>
                <w:szCs w:val="24"/>
              </w:rPr>
            </w:pPr>
            <w:r w:rsidRPr="00AE0714">
              <w:rPr>
                <w:sz w:val="24"/>
                <w:szCs w:val="24"/>
              </w:rPr>
              <w:tab/>
              <w:t>C – Post-Analytical</w:t>
            </w:r>
          </w:p>
          <w:p w:rsidR="00B71377" w:rsidRPr="002D6546" w:rsidRDefault="00B71377" w:rsidP="00583E38">
            <w:pPr>
              <w:spacing w:before="240"/>
              <w:rPr>
                <w:szCs w:val="24"/>
              </w:rPr>
            </w:pPr>
            <w:r w:rsidRPr="005F294D">
              <w:rPr>
                <w:szCs w:val="24"/>
              </w:rPr>
              <w:t>Standar</w:t>
            </w:r>
            <w:r w:rsidRPr="001C14C6">
              <w:rPr>
                <w:szCs w:val="24"/>
              </w:rPr>
              <w:t>d</w:t>
            </w:r>
            <w:r w:rsidRPr="004A1D37">
              <w:rPr>
                <w:szCs w:val="24"/>
              </w:rPr>
              <w:t xml:space="preserve"> 7 –</w:t>
            </w:r>
            <w:r w:rsidR="00BD627D" w:rsidRPr="004A1D37">
              <w:rPr>
                <w:szCs w:val="24"/>
              </w:rPr>
              <w:t xml:space="preserve"> </w:t>
            </w:r>
            <w:r w:rsidRPr="004A1D37">
              <w:rPr>
                <w:szCs w:val="24"/>
              </w:rPr>
              <w:t>Quality Assurance</w:t>
            </w:r>
          </w:p>
        </w:tc>
      </w:tr>
      <w:tr w:rsidR="00DC6F37" w:rsidRPr="00FB0435" w:rsidTr="00FB0435">
        <w:tc>
          <w:tcPr>
            <w:tcW w:w="2330" w:type="dxa"/>
            <w:shd w:val="clear" w:color="auto" w:fill="auto"/>
          </w:tcPr>
          <w:p w:rsidR="00DC6F37" w:rsidRPr="006C7FE1" w:rsidRDefault="00DC6F37" w:rsidP="00252224">
            <w:pPr>
              <w:keepLines/>
              <w:rPr>
                <w:szCs w:val="24"/>
              </w:rPr>
            </w:pPr>
            <w:r w:rsidRPr="006C7FE1">
              <w:rPr>
                <w:szCs w:val="24"/>
              </w:rPr>
              <w:t>Score (verb)</w:t>
            </w:r>
          </w:p>
        </w:tc>
        <w:tc>
          <w:tcPr>
            <w:tcW w:w="6915" w:type="dxa"/>
            <w:shd w:val="clear" w:color="auto" w:fill="auto"/>
          </w:tcPr>
          <w:p w:rsidR="00DC6F37" w:rsidRPr="00172C97" w:rsidRDefault="00576140" w:rsidP="00AE0714">
            <w:pPr>
              <w:keepLines/>
              <w:rPr>
                <w:szCs w:val="24"/>
              </w:rPr>
            </w:pPr>
            <w:proofErr w:type="gramStart"/>
            <w:r>
              <w:rPr>
                <w:szCs w:val="24"/>
              </w:rPr>
              <w:t>means</w:t>
            </w:r>
            <w:proofErr w:type="gramEnd"/>
            <w:r>
              <w:rPr>
                <w:szCs w:val="24"/>
              </w:rPr>
              <w:t xml:space="preserve"> t</w:t>
            </w:r>
            <w:r w:rsidR="00DC6F37" w:rsidRPr="00172C97">
              <w:rPr>
                <w:szCs w:val="24"/>
              </w:rPr>
              <w:t>o enumerate the presence or absence of a specific cytogenetic feature.</w:t>
            </w:r>
          </w:p>
        </w:tc>
      </w:tr>
    </w:tbl>
    <w:p w:rsidR="008255EB" w:rsidRPr="00CD2BAD" w:rsidRDefault="008255EB" w:rsidP="00E31C9D">
      <w:pPr>
        <w:pStyle w:val="Heading2"/>
      </w:pPr>
      <w:bookmarkStart w:id="3" w:name="_Toc362260280"/>
      <w:r w:rsidRPr="00CD2BAD">
        <w:t>Introduction</w:t>
      </w:r>
      <w:bookmarkEnd w:id="3"/>
    </w:p>
    <w:p w:rsidR="009E6AE7" w:rsidRPr="00106E14" w:rsidRDefault="00AB5E96" w:rsidP="00FB0435">
      <w:pPr>
        <w:spacing w:after="0"/>
      </w:pPr>
      <w:r w:rsidRPr="0018416B">
        <w:t xml:space="preserve">This </w:t>
      </w:r>
      <w:r w:rsidR="00F92F94">
        <w:t xml:space="preserve">Tier 4 </w:t>
      </w:r>
      <w:r w:rsidR="00522BBE">
        <w:t xml:space="preserve">NPAAC </w:t>
      </w:r>
      <w:r w:rsidR="00F92F94">
        <w:t>document</w:t>
      </w:r>
      <w:r w:rsidR="006C6391">
        <w:t xml:space="preserve">, together with the Tier 2 </w:t>
      </w:r>
      <w:r w:rsidR="006C6391">
        <w:rPr>
          <w:i/>
        </w:rPr>
        <w:t>Requirements for Medical Pathology Services,</w:t>
      </w:r>
      <w:r w:rsidRPr="0018416B">
        <w:t xml:space="preserve"> is intended to be used in </w:t>
      </w:r>
      <w:proofErr w:type="spellStart"/>
      <w:r w:rsidRPr="00106E14">
        <w:t>cytogenetics</w:t>
      </w:r>
      <w:proofErr w:type="spellEnd"/>
      <w:r w:rsidRPr="00106E14">
        <w:t xml:space="preserve"> </w:t>
      </w:r>
      <w:r w:rsidR="004D2CBD" w:rsidRPr="00CD2BAD">
        <w:t xml:space="preserve">Laboratories </w:t>
      </w:r>
      <w:r w:rsidRPr="00106E14">
        <w:t>to provide guidance on good</w:t>
      </w:r>
      <w:r w:rsidR="00DF1EB4" w:rsidRPr="00106E14">
        <w:t xml:space="preserve"> </w:t>
      </w:r>
      <w:r w:rsidRPr="00106E14">
        <w:t xml:space="preserve">practice in relation to </w:t>
      </w:r>
      <w:proofErr w:type="spellStart"/>
      <w:r w:rsidRPr="00106E14">
        <w:t>cytogenetics</w:t>
      </w:r>
      <w:proofErr w:type="spellEnd"/>
      <w:r w:rsidRPr="00106E14">
        <w:t xml:space="preserve"> and by assessors carrying out </w:t>
      </w:r>
      <w:r w:rsidR="004D2CBD" w:rsidRPr="00CD2BAD">
        <w:t xml:space="preserve">Laboratory </w:t>
      </w:r>
      <w:r w:rsidRPr="00106E14">
        <w:t>accreditation assessments.</w:t>
      </w:r>
    </w:p>
    <w:p w:rsidR="00EA4EDA" w:rsidRPr="00106E14" w:rsidRDefault="00EA4EDA" w:rsidP="00561C3D">
      <w:pPr>
        <w:spacing w:after="0"/>
      </w:pPr>
    </w:p>
    <w:p w:rsidR="008D1407" w:rsidRPr="00AE0714" w:rsidRDefault="008D1407" w:rsidP="008D1407">
      <w:r w:rsidRPr="00106E14">
        <w:t xml:space="preserve">These Requirements are intended to serve as minimum </w:t>
      </w:r>
      <w:r w:rsidR="00AC2703">
        <w:t>S</w:t>
      </w:r>
      <w:r w:rsidR="00AC2703" w:rsidRPr="00106E14">
        <w:t xml:space="preserve">tandards </w:t>
      </w:r>
      <w:r w:rsidRPr="00106E14">
        <w:t>in the accreditation process and have been developed with reference to current and proposed Australian regulations and other standards from the International Organi</w:t>
      </w:r>
      <w:r w:rsidR="00BD627D" w:rsidRPr="00106E14">
        <w:t>z</w:t>
      </w:r>
      <w:r w:rsidRPr="002365DB">
        <w:t>ation for Standardization</w:t>
      </w:r>
      <w:r w:rsidRPr="00576140">
        <w:rPr>
          <w:i/>
        </w:rPr>
        <w:t xml:space="preserve"> </w:t>
      </w:r>
      <w:r w:rsidRPr="00AE0714">
        <w:t>including:</w:t>
      </w:r>
    </w:p>
    <w:p w:rsidR="008D1407" w:rsidRPr="00AE0714" w:rsidRDefault="008D1407" w:rsidP="008D1407">
      <w:r w:rsidRPr="00AE0714">
        <w:lastRenderedPageBreak/>
        <w:t>AS ISO 15189</w:t>
      </w:r>
      <w:r w:rsidRPr="00AE0714">
        <w:rPr>
          <w:i/>
        </w:rPr>
        <w:t xml:space="preserve"> Medical laboratories – </w:t>
      </w:r>
      <w:r w:rsidR="00C66E16">
        <w:rPr>
          <w:i/>
        </w:rPr>
        <w:t>R</w:t>
      </w:r>
      <w:r w:rsidRPr="00AE0714">
        <w:rPr>
          <w:i/>
        </w:rPr>
        <w:t>equirements for quality and competence</w:t>
      </w:r>
    </w:p>
    <w:p w:rsidR="000B1F62" w:rsidRPr="005F294D" w:rsidRDefault="002D45DE" w:rsidP="00561C3D">
      <w:pPr>
        <w:spacing w:after="0"/>
      </w:pPr>
      <w:r w:rsidRPr="00AE0714">
        <w:t xml:space="preserve">These Requirements </w:t>
      </w:r>
      <w:r w:rsidR="000B1F62" w:rsidRPr="005F294D">
        <w:t xml:space="preserve">should be read within the national pathology accreditation framework including the current versions of the following NPAAC </w:t>
      </w:r>
      <w:r w:rsidR="00AC2703">
        <w:t>documents</w:t>
      </w:r>
      <w:r w:rsidR="000B1F62" w:rsidRPr="005F294D">
        <w:t>:</w:t>
      </w:r>
    </w:p>
    <w:p w:rsidR="002A2ECB" w:rsidRPr="001C14C6" w:rsidRDefault="002A2ECB" w:rsidP="00561C3D">
      <w:pPr>
        <w:spacing w:after="0"/>
      </w:pPr>
    </w:p>
    <w:p w:rsidR="006F7336" w:rsidRPr="004A1D37" w:rsidRDefault="006F7336" w:rsidP="00561C3D">
      <w:pPr>
        <w:spacing w:after="0"/>
        <w:rPr>
          <w:rFonts w:ascii="Arial" w:hAnsi="Arial" w:cs="Arial"/>
          <w:b/>
          <w:szCs w:val="24"/>
        </w:rPr>
      </w:pPr>
      <w:r w:rsidRPr="004A1D37">
        <w:rPr>
          <w:rFonts w:ascii="Arial" w:hAnsi="Arial" w:cs="Arial"/>
          <w:b/>
          <w:szCs w:val="24"/>
        </w:rPr>
        <w:t>Tier 2 document</w:t>
      </w:r>
    </w:p>
    <w:p w:rsidR="006F7336" w:rsidRPr="004A1D37" w:rsidRDefault="006F7336" w:rsidP="00561C3D">
      <w:pPr>
        <w:numPr>
          <w:ilvl w:val="0"/>
          <w:numId w:val="15"/>
        </w:numPr>
        <w:spacing w:after="0"/>
        <w:rPr>
          <w:szCs w:val="24"/>
        </w:rPr>
      </w:pPr>
      <w:r w:rsidRPr="004A1D37">
        <w:rPr>
          <w:i/>
          <w:szCs w:val="24"/>
        </w:rPr>
        <w:t>Requirements for Medical Pathology Services</w:t>
      </w:r>
    </w:p>
    <w:p w:rsidR="006F7336" w:rsidRPr="002D6546" w:rsidRDefault="006F7336" w:rsidP="00561C3D">
      <w:pPr>
        <w:spacing w:after="0"/>
        <w:rPr>
          <w:szCs w:val="24"/>
        </w:rPr>
      </w:pPr>
    </w:p>
    <w:p w:rsidR="000B1F62" w:rsidRPr="002D6546" w:rsidRDefault="000B1F62" w:rsidP="00561C3D">
      <w:pPr>
        <w:spacing w:after="0"/>
        <w:rPr>
          <w:rFonts w:ascii="Arial" w:hAnsi="Arial" w:cs="Arial"/>
          <w:b/>
          <w:szCs w:val="24"/>
        </w:rPr>
      </w:pPr>
      <w:r w:rsidRPr="002D6546">
        <w:rPr>
          <w:rFonts w:ascii="Arial" w:hAnsi="Arial" w:cs="Arial"/>
          <w:b/>
          <w:szCs w:val="24"/>
        </w:rPr>
        <w:t>All Tier 3 Documents</w:t>
      </w:r>
    </w:p>
    <w:p w:rsidR="00C0323C" w:rsidRPr="002D6546" w:rsidRDefault="00C0323C" w:rsidP="00561C3D">
      <w:pPr>
        <w:spacing w:after="0"/>
        <w:rPr>
          <w:rFonts w:ascii="Arial" w:hAnsi="Arial" w:cs="Arial"/>
          <w:b/>
          <w:szCs w:val="24"/>
        </w:rPr>
      </w:pPr>
    </w:p>
    <w:p w:rsidR="000B1F62" w:rsidRPr="00F61DDD" w:rsidRDefault="00946B3E" w:rsidP="00561C3D">
      <w:pPr>
        <w:spacing w:after="0"/>
        <w:rPr>
          <w:rFonts w:ascii="Arial" w:hAnsi="Arial" w:cs="Arial"/>
          <w:b/>
          <w:szCs w:val="24"/>
        </w:rPr>
      </w:pPr>
      <w:r w:rsidRPr="002D6546">
        <w:rPr>
          <w:rFonts w:ascii="Arial" w:hAnsi="Arial" w:cs="Arial"/>
          <w:b/>
          <w:szCs w:val="24"/>
        </w:rPr>
        <w:t>Tier 4 Document</w:t>
      </w:r>
    </w:p>
    <w:p w:rsidR="000B1F62" w:rsidRPr="00AC7D9E" w:rsidRDefault="000B1F62" w:rsidP="00561C3D">
      <w:pPr>
        <w:numPr>
          <w:ilvl w:val="0"/>
          <w:numId w:val="5"/>
        </w:numPr>
        <w:spacing w:after="0"/>
        <w:rPr>
          <w:i/>
          <w:szCs w:val="24"/>
        </w:rPr>
      </w:pPr>
      <w:r w:rsidRPr="00AC7D9E">
        <w:rPr>
          <w:i/>
          <w:szCs w:val="24"/>
        </w:rPr>
        <w:t>Requirements for Medical Testing of Human Nucleic Acids</w:t>
      </w:r>
    </w:p>
    <w:p w:rsidR="009E6AE7" w:rsidRPr="00916808" w:rsidRDefault="009E6AE7" w:rsidP="00561C3D">
      <w:pPr>
        <w:spacing w:after="0"/>
        <w:rPr>
          <w:szCs w:val="24"/>
        </w:rPr>
      </w:pPr>
    </w:p>
    <w:p w:rsidR="000B1F62" w:rsidRPr="00106E14" w:rsidRDefault="000B1F62" w:rsidP="000B1F62">
      <w:r w:rsidRPr="00916808">
        <w:t xml:space="preserve">In addition to these </w:t>
      </w:r>
      <w:r w:rsidR="00AC2703">
        <w:t>S</w:t>
      </w:r>
      <w:r w:rsidR="00AC2703" w:rsidRPr="00916808">
        <w:t>tandards</w:t>
      </w:r>
      <w:r w:rsidRPr="00916808">
        <w:t xml:space="preserve">, </w:t>
      </w:r>
      <w:r w:rsidR="004D2CBD" w:rsidRPr="00CD2BAD">
        <w:t xml:space="preserve">Laboratories </w:t>
      </w:r>
      <w:r w:rsidRPr="00106E14">
        <w:t xml:space="preserve">must comply with all relevant </w:t>
      </w:r>
      <w:r w:rsidR="00D40D5F">
        <w:t>s</w:t>
      </w:r>
      <w:r w:rsidR="00D40D5F" w:rsidRPr="00106E14">
        <w:t xml:space="preserve">tate </w:t>
      </w:r>
      <w:r w:rsidRPr="00106E14">
        <w:t xml:space="preserve">and </w:t>
      </w:r>
      <w:r w:rsidR="00D40D5F">
        <w:t>t</w:t>
      </w:r>
      <w:r w:rsidR="00D40D5F" w:rsidRPr="00106E14">
        <w:t xml:space="preserve">erritory </w:t>
      </w:r>
      <w:r w:rsidRPr="00106E14">
        <w:t>legislation (including any reporting requirements).</w:t>
      </w:r>
    </w:p>
    <w:p w:rsidR="00AB5E96" w:rsidRPr="00106E14" w:rsidRDefault="00AB5E96" w:rsidP="00AB5E96">
      <w:r w:rsidRPr="00106E14">
        <w:t>In each section of this document, points deemed important for practice are identified as either ‘</w:t>
      </w:r>
      <w:r w:rsidR="00DF1EB4" w:rsidRPr="00CD2BAD">
        <w:t>S</w:t>
      </w:r>
      <w:r w:rsidRPr="00106E14">
        <w:t>tandards’ or ‘</w:t>
      </w:r>
      <w:r w:rsidR="00DF1EB4" w:rsidRPr="00CD2BAD">
        <w:t>C</w:t>
      </w:r>
      <w:r w:rsidR="000B1F62" w:rsidRPr="00106E14">
        <w:t>ommentaries’</w:t>
      </w:r>
      <w:r w:rsidRPr="00106E14">
        <w:t>, as follows:</w:t>
      </w:r>
      <w:r w:rsidR="00DF1EB4" w:rsidRPr="00106E14">
        <w:t xml:space="preserve"> </w:t>
      </w:r>
    </w:p>
    <w:p w:rsidR="00725A65" w:rsidRPr="00CB2B2A" w:rsidRDefault="00725A65" w:rsidP="00F92F94">
      <w:pPr>
        <w:pStyle w:val="NPBullet6"/>
        <w:numPr>
          <w:ilvl w:val="0"/>
          <w:numId w:val="6"/>
        </w:numPr>
        <w:tabs>
          <w:tab w:val="num" w:pos="851"/>
        </w:tabs>
        <w:spacing w:after="240"/>
        <w:ind w:left="851" w:hanging="567"/>
      </w:pPr>
      <w:r w:rsidRPr="00106E14">
        <w:t xml:space="preserve">A Standard is the minimum requirement for a procedure, method, staffing resource or facility that is required before a </w:t>
      </w:r>
      <w:r w:rsidR="009A7811">
        <w:t>L</w:t>
      </w:r>
      <w:r w:rsidR="009A7811" w:rsidRPr="00CD2BAD">
        <w:t xml:space="preserve">aboratory </w:t>
      </w:r>
      <w:r w:rsidRPr="00106E14">
        <w:t xml:space="preserve">can attain accreditation – Standards are printed in </w:t>
      </w:r>
      <w:r w:rsidRPr="00106E14">
        <w:rPr>
          <w:bCs/>
        </w:rPr>
        <w:t>bold type</w:t>
      </w:r>
      <w:r w:rsidRPr="00106E14">
        <w:t xml:space="preserve"> and prefaced with an</w:t>
      </w:r>
      <w:r w:rsidRPr="00CB2B2A">
        <w:t xml:space="preserve"> ‘S’ (e</w:t>
      </w:r>
      <w:r>
        <w:t>.</w:t>
      </w:r>
      <w:r w:rsidRPr="00CB2B2A">
        <w:t xml:space="preserve">g. </w:t>
      </w:r>
      <w:r w:rsidRPr="00CB2B2A">
        <w:rPr>
          <w:b/>
          <w:bCs/>
        </w:rPr>
        <w:t>S2.2)</w:t>
      </w:r>
      <w:r w:rsidRPr="00CB2B2A">
        <w:t xml:space="preserve">. The use of the </w:t>
      </w:r>
      <w:r>
        <w:t>word</w:t>
      </w:r>
      <w:r w:rsidRPr="00CB2B2A">
        <w:t xml:space="preserve"> </w:t>
      </w:r>
      <w:r w:rsidRPr="00522BBE">
        <w:t>‘</w:t>
      </w:r>
      <w:r w:rsidRPr="00C30FEB">
        <w:rPr>
          <w:b/>
          <w:bCs/>
        </w:rPr>
        <w:t>must</w:t>
      </w:r>
      <w:r w:rsidRPr="00522BBE">
        <w:t>’</w:t>
      </w:r>
      <w:r>
        <w:t xml:space="preserve"> in each S</w:t>
      </w:r>
      <w:r w:rsidRPr="00CB2B2A">
        <w:t>tandard within this document indicates a mandatory requirement for pathology practice.</w:t>
      </w:r>
    </w:p>
    <w:p w:rsidR="00B71377" w:rsidRDefault="00B71377" w:rsidP="00F92F94">
      <w:pPr>
        <w:numPr>
          <w:ilvl w:val="0"/>
          <w:numId w:val="6"/>
        </w:numPr>
        <w:tabs>
          <w:tab w:val="num" w:pos="851"/>
        </w:tabs>
        <w:ind w:left="851" w:hanging="567"/>
        <w:rPr>
          <w:szCs w:val="24"/>
        </w:rPr>
      </w:pPr>
      <w:r>
        <w:rPr>
          <w:szCs w:val="24"/>
        </w:rPr>
        <w:t xml:space="preserve">A Commentary is provided to give clarification to the Standards as well as to provide examples and guidance on interpretation.  Commentaries are prefaced with a ‘C’ (e.g. C1.2) and are placed where they add the most value. Commentaries may be normative or informative depending on both the content and the context of whether they are associated with a Standard or not. Note that when </w:t>
      </w:r>
      <w:r w:rsidR="00BD627D">
        <w:rPr>
          <w:szCs w:val="24"/>
        </w:rPr>
        <w:t>c</w:t>
      </w:r>
      <w:r>
        <w:rPr>
          <w:szCs w:val="24"/>
        </w:rPr>
        <w:t>omments are expanding on a Standard or referring to other legislation, they assume the same status and importance as the Standards to which they are attached.  Where a Commentary contains the word ‘</w:t>
      </w:r>
      <w:r w:rsidRPr="004D4A80">
        <w:rPr>
          <w:b/>
          <w:szCs w:val="24"/>
        </w:rPr>
        <w:t>must</w:t>
      </w:r>
      <w:r>
        <w:rPr>
          <w:szCs w:val="24"/>
        </w:rPr>
        <w:t xml:space="preserve">’ then that commentary is considered to be </w:t>
      </w:r>
      <w:r w:rsidRPr="00EF3469">
        <w:rPr>
          <w:b/>
          <w:szCs w:val="24"/>
        </w:rPr>
        <w:t>normative</w:t>
      </w:r>
      <w:r>
        <w:rPr>
          <w:szCs w:val="24"/>
        </w:rPr>
        <w:t xml:space="preserve">.  </w:t>
      </w:r>
    </w:p>
    <w:p w:rsidR="00B71377" w:rsidRDefault="00B71377" w:rsidP="00B71377">
      <w:pPr>
        <w:rPr>
          <w:szCs w:val="24"/>
        </w:rPr>
      </w:pPr>
      <w:r w:rsidRPr="0064193B">
        <w:rPr>
          <w:szCs w:val="24"/>
        </w:rPr>
        <w:t>Please note that</w:t>
      </w:r>
      <w:r w:rsidRPr="00E1581F">
        <w:rPr>
          <w:szCs w:val="24"/>
        </w:rPr>
        <w:t xml:space="preserve"> </w:t>
      </w:r>
      <w:r w:rsidR="002E5F73" w:rsidRPr="00E1581F">
        <w:rPr>
          <w:szCs w:val="24"/>
        </w:rPr>
        <w:t>the</w:t>
      </w:r>
      <w:r w:rsidR="002E5F73" w:rsidRPr="002E5F73">
        <w:rPr>
          <w:color w:val="FF0000"/>
          <w:szCs w:val="24"/>
        </w:rPr>
        <w:t xml:space="preserve"> </w:t>
      </w:r>
      <w:r w:rsidR="00CA4751">
        <w:rPr>
          <w:szCs w:val="24"/>
        </w:rPr>
        <w:t>A</w:t>
      </w:r>
      <w:r w:rsidR="00CA4751" w:rsidRPr="0064193B">
        <w:rPr>
          <w:szCs w:val="24"/>
        </w:rPr>
        <w:t xml:space="preserve">ppendices </w:t>
      </w:r>
      <w:r w:rsidRPr="0064193B">
        <w:rPr>
          <w:szCs w:val="24"/>
        </w:rPr>
        <w:t>attached to this document</w:t>
      </w:r>
      <w:r w:rsidRPr="00E1581F">
        <w:rPr>
          <w:szCs w:val="24"/>
        </w:rPr>
        <w:t xml:space="preserve"> </w:t>
      </w:r>
      <w:r w:rsidR="002E5F73" w:rsidRPr="00E1581F">
        <w:rPr>
          <w:szCs w:val="24"/>
        </w:rPr>
        <w:t>are</w:t>
      </w:r>
      <w:r w:rsidR="002E5F73">
        <w:rPr>
          <w:szCs w:val="24"/>
        </w:rPr>
        <w:t xml:space="preserve"> </w:t>
      </w:r>
      <w:r w:rsidRPr="0064193B">
        <w:rPr>
          <w:b/>
          <w:szCs w:val="24"/>
        </w:rPr>
        <w:t>informative</w:t>
      </w:r>
      <w:r w:rsidRPr="0064193B">
        <w:rPr>
          <w:szCs w:val="24"/>
        </w:rPr>
        <w:t xml:space="preserve"> and should be considered to be an integral part of this document.</w:t>
      </w:r>
    </w:p>
    <w:p w:rsidR="00B71377" w:rsidRDefault="00B71377" w:rsidP="00561C3D">
      <w:pPr>
        <w:autoSpaceDE w:val="0"/>
        <w:autoSpaceDN w:val="0"/>
        <w:adjustRightInd w:val="0"/>
        <w:spacing w:after="0"/>
      </w:pPr>
      <w:r w:rsidRPr="00B71377">
        <w:t xml:space="preserve">Please note that all NPAAC documents can be accessed at </w:t>
      </w:r>
      <w:hyperlink r:id="rId9" w:history="1">
        <w:proofErr w:type="spellStart"/>
        <w:proofErr w:type="gramStart"/>
        <w:r w:rsidR="00FD0195">
          <w:rPr>
            <w:rStyle w:val="Hyperlink"/>
          </w:rPr>
          <w:t>DoHA</w:t>
        </w:r>
        <w:proofErr w:type="spellEnd"/>
        <w:proofErr w:type="gramEnd"/>
        <w:r w:rsidR="00FD0195">
          <w:rPr>
            <w:rStyle w:val="Hyperlink"/>
          </w:rPr>
          <w:t xml:space="preserve"> Website</w:t>
        </w:r>
      </w:hyperlink>
    </w:p>
    <w:p w:rsidR="00B71377" w:rsidRDefault="00B71377" w:rsidP="00B71377">
      <w:pPr>
        <w:autoSpaceDE w:val="0"/>
        <w:autoSpaceDN w:val="0"/>
        <w:adjustRightInd w:val="0"/>
        <w:spacing w:after="0"/>
      </w:pPr>
    </w:p>
    <w:p w:rsidR="00AB5E96" w:rsidRDefault="00172C97" w:rsidP="0018601A">
      <w:pPr>
        <w:autoSpaceDE w:val="0"/>
        <w:autoSpaceDN w:val="0"/>
        <w:adjustRightInd w:val="0"/>
        <w:spacing w:after="0"/>
        <w:rPr>
          <w:color w:val="000000"/>
          <w:lang w:val="en-US"/>
        </w:rPr>
      </w:pPr>
      <w:r>
        <w:t xml:space="preserve">While this document is for use in the accreditation process, comments </w:t>
      </w:r>
      <w:r w:rsidR="00AB5E96">
        <w:rPr>
          <w:color w:val="000000"/>
          <w:lang w:val="en-US"/>
        </w:rPr>
        <w:t>from users would be appreciated and can be directed to:</w:t>
      </w:r>
    </w:p>
    <w:p w:rsidR="00CE061C" w:rsidRDefault="00CE061C" w:rsidP="0018601A">
      <w:pPr>
        <w:autoSpaceDE w:val="0"/>
        <w:autoSpaceDN w:val="0"/>
        <w:adjustRightInd w:val="0"/>
        <w:spacing w:after="0"/>
        <w:rPr>
          <w:color w:val="000000"/>
          <w:lang w:val="en-US"/>
        </w:rPr>
      </w:pPr>
    </w:p>
    <w:p w:rsidR="00BD627D" w:rsidRDefault="00BD627D" w:rsidP="00BD627D">
      <w:pPr>
        <w:autoSpaceDE w:val="0"/>
        <w:autoSpaceDN w:val="0"/>
        <w:adjustRightInd w:val="0"/>
        <w:spacing w:after="0"/>
      </w:pPr>
      <w:r>
        <w:t>The Secretary</w:t>
      </w:r>
      <w:r w:rsidRPr="00CB2B2A">
        <w:br/>
        <w:t>NPAAC</w:t>
      </w:r>
      <w:r>
        <w:t xml:space="preserve"> Secretariat</w:t>
      </w:r>
      <w:r w:rsidRPr="00CB2B2A">
        <w:br/>
        <w:t>Depa</w:t>
      </w:r>
      <w:r>
        <w:t xml:space="preserve">rtment of Health </w:t>
      </w:r>
      <w:r w:rsidR="00FD0195">
        <w:br/>
      </w:r>
      <w:r w:rsidRPr="00CB2B2A">
        <w:t>GPO Box 9848</w:t>
      </w:r>
      <w:r>
        <w:t xml:space="preserve"> (MDP 951)</w:t>
      </w:r>
      <w:r w:rsidR="00FD0195">
        <w:br/>
      </w:r>
      <w:r w:rsidR="00FD0195" w:rsidRPr="00CB2B2A">
        <w:t xml:space="preserve"> </w:t>
      </w:r>
      <w:r w:rsidRPr="00CB2B2A">
        <w:t>CANBERRA ACT 2601</w:t>
      </w:r>
    </w:p>
    <w:p w:rsidR="00FD0195" w:rsidRDefault="00FD0195" w:rsidP="00BD627D">
      <w:pPr>
        <w:autoSpaceDE w:val="0"/>
        <w:autoSpaceDN w:val="0"/>
        <w:adjustRightInd w:val="0"/>
        <w:spacing w:after="0"/>
      </w:pPr>
    </w:p>
    <w:p w:rsidR="00FD0195" w:rsidRDefault="00FD0195" w:rsidP="00BD627D">
      <w:pPr>
        <w:autoSpaceDE w:val="0"/>
        <w:autoSpaceDN w:val="0"/>
        <w:adjustRightInd w:val="0"/>
        <w:spacing w:after="0"/>
      </w:pPr>
      <w:r w:rsidRPr="00CB2B2A">
        <w:t xml:space="preserve">Phone: </w:t>
      </w:r>
      <w:r>
        <w:tab/>
      </w:r>
      <w:r w:rsidRPr="00CB2B2A">
        <w:t>+61 2 6289 4017</w:t>
      </w:r>
    </w:p>
    <w:p w:rsidR="00FD0195" w:rsidRDefault="00FD0195" w:rsidP="00BD627D">
      <w:pPr>
        <w:autoSpaceDE w:val="0"/>
        <w:autoSpaceDN w:val="0"/>
        <w:adjustRightInd w:val="0"/>
        <w:spacing w:after="0"/>
      </w:pPr>
      <w:r w:rsidRPr="00CB2B2A">
        <w:t>Fax:</w:t>
      </w:r>
      <w:r w:rsidRPr="00CB2B2A">
        <w:tab/>
      </w:r>
      <w:r>
        <w:tab/>
      </w:r>
      <w:r w:rsidRPr="00CB2B2A">
        <w:t xml:space="preserve">+61 2 6289 </w:t>
      </w:r>
      <w:r>
        <w:t>4028</w:t>
      </w:r>
    </w:p>
    <w:p w:rsidR="00FD0195" w:rsidRDefault="00FD0195" w:rsidP="00BD627D">
      <w:pPr>
        <w:autoSpaceDE w:val="0"/>
        <w:autoSpaceDN w:val="0"/>
        <w:adjustRightInd w:val="0"/>
        <w:spacing w:after="0"/>
      </w:pPr>
      <w:r w:rsidRPr="00CB2B2A">
        <w:t xml:space="preserve">Email: </w:t>
      </w:r>
      <w:r>
        <w:tab/>
      </w:r>
      <w:r>
        <w:tab/>
      </w:r>
      <w:hyperlink r:id="rId10" w:history="1">
        <w:r>
          <w:rPr>
            <w:rStyle w:val="Hyperlink"/>
          </w:rPr>
          <w:t>NPAAC Email Address</w:t>
        </w:r>
      </w:hyperlink>
    </w:p>
    <w:p w:rsidR="00FD0195" w:rsidRDefault="00FD0195" w:rsidP="00BD627D">
      <w:pPr>
        <w:autoSpaceDE w:val="0"/>
        <w:autoSpaceDN w:val="0"/>
        <w:adjustRightInd w:val="0"/>
        <w:spacing w:after="0"/>
        <w:rPr>
          <w:color w:val="000000"/>
          <w:szCs w:val="24"/>
        </w:rPr>
      </w:pPr>
      <w:r>
        <w:t>Website:</w:t>
      </w:r>
      <w:r>
        <w:tab/>
      </w:r>
      <w:hyperlink r:id="rId11" w:history="1">
        <w:proofErr w:type="spellStart"/>
        <w:proofErr w:type="gramStart"/>
        <w:r>
          <w:rPr>
            <w:rStyle w:val="Hyperlink"/>
          </w:rPr>
          <w:t>DoHA</w:t>
        </w:r>
        <w:proofErr w:type="spellEnd"/>
        <w:proofErr w:type="gramEnd"/>
        <w:r>
          <w:rPr>
            <w:rStyle w:val="Hyperlink"/>
          </w:rPr>
          <w:t xml:space="preserve"> Website</w:t>
        </w:r>
      </w:hyperlink>
    </w:p>
    <w:p w:rsidR="00602301" w:rsidRPr="00CD2BAD" w:rsidRDefault="00602301" w:rsidP="00E31C9D">
      <w:pPr>
        <w:pStyle w:val="Heading2"/>
      </w:pPr>
      <w:bookmarkStart w:id="4" w:name="_Toc362260281"/>
      <w:r w:rsidRPr="00CD2BAD">
        <w:lastRenderedPageBreak/>
        <w:t>1</w:t>
      </w:r>
      <w:r w:rsidR="00304215" w:rsidRPr="00CD2BAD">
        <w:t>.</w:t>
      </w:r>
      <w:r w:rsidRPr="00CD2BAD">
        <w:tab/>
      </w:r>
      <w:r w:rsidR="005417DB" w:rsidRPr="00CD2BAD">
        <w:t>P</w:t>
      </w:r>
      <w:r w:rsidR="00AB5E96" w:rsidRPr="00CD2BAD">
        <w:t>ersonnel</w:t>
      </w:r>
      <w:bookmarkEnd w:id="4"/>
    </w:p>
    <w:p w:rsidR="005417DB" w:rsidRPr="006B0213" w:rsidRDefault="00CB5CD6" w:rsidP="0018601A">
      <w:pPr>
        <w:rPr>
          <w:rFonts w:ascii="Arial" w:hAnsi="Arial" w:cs="Arial"/>
          <w:b/>
          <w:szCs w:val="24"/>
        </w:rPr>
      </w:pPr>
      <w:r w:rsidRPr="0018601A">
        <w:rPr>
          <w:rFonts w:ascii="Arial" w:hAnsi="Arial" w:cs="Arial"/>
          <w:b/>
          <w:szCs w:val="24"/>
        </w:rPr>
        <w:t xml:space="preserve">(Refer to </w:t>
      </w:r>
      <w:r w:rsidR="00B71377" w:rsidRPr="00991230">
        <w:rPr>
          <w:rFonts w:ascii="Arial" w:hAnsi="Arial" w:cs="Arial"/>
          <w:b/>
          <w:szCs w:val="24"/>
        </w:rPr>
        <w:t>Standard 4</w:t>
      </w:r>
      <w:r w:rsidRPr="0018601A">
        <w:rPr>
          <w:rFonts w:ascii="Arial" w:hAnsi="Arial" w:cs="Arial"/>
          <w:b/>
          <w:szCs w:val="24"/>
        </w:rPr>
        <w:t xml:space="preserve"> </w:t>
      </w:r>
      <w:r w:rsidRPr="004348DD">
        <w:rPr>
          <w:rFonts w:ascii="Arial" w:hAnsi="Arial" w:cs="Arial"/>
          <w:b/>
          <w:szCs w:val="24"/>
        </w:rPr>
        <w:t xml:space="preserve">in </w:t>
      </w:r>
      <w:r w:rsidR="00CD152A" w:rsidRPr="006F5F0A">
        <w:rPr>
          <w:rFonts w:ascii="Arial" w:hAnsi="Arial" w:cs="Arial"/>
          <w:b/>
          <w:i/>
          <w:szCs w:val="24"/>
        </w:rPr>
        <w:t>Requirements for Medical Pathology Services</w:t>
      </w:r>
      <w:r w:rsidRPr="00C66E16">
        <w:rPr>
          <w:rFonts w:ascii="Arial" w:hAnsi="Arial" w:cs="Arial"/>
          <w:b/>
          <w:szCs w:val="24"/>
        </w:rPr>
        <w:t>)</w:t>
      </w:r>
    </w:p>
    <w:p w:rsidR="00491AF7" w:rsidRPr="006F5F0A" w:rsidRDefault="00491AF7" w:rsidP="00991230">
      <w:pPr>
        <w:pStyle w:val="NPCommentary"/>
        <w:ind w:left="0" w:firstLine="0"/>
      </w:pPr>
      <w:r w:rsidRPr="006B0213">
        <w:t xml:space="preserve">The number of </w:t>
      </w:r>
      <w:r w:rsidR="005F294D" w:rsidRPr="004B7723">
        <w:t xml:space="preserve">Specimens </w:t>
      </w:r>
      <w:r w:rsidRPr="001E4A60">
        <w:t xml:space="preserve">processed by a person will depend on the experience of that </w:t>
      </w:r>
      <w:r w:rsidR="00487B85" w:rsidRPr="00D40D5F">
        <w:t xml:space="preserve">person, their other duties, </w:t>
      </w:r>
      <w:proofErr w:type="gramStart"/>
      <w:r w:rsidR="00487B85" w:rsidRPr="00D40D5F">
        <w:t>the</w:t>
      </w:r>
      <w:proofErr w:type="gramEnd"/>
      <w:r w:rsidR="00487B85" w:rsidRPr="00D40D5F">
        <w:t xml:space="preserve"> </w:t>
      </w:r>
      <w:r w:rsidRPr="00D40D5F">
        <w:t xml:space="preserve">degree of </w:t>
      </w:r>
      <w:r w:rsidR="005F7610" w:rsidRPr="00CD2BAD">
        <w:t>equipme</w:t>
      </w:r>
      <w:r w:rsidR="005F7610" w:rsidRPr="004348DD">
        <w:t>nt</w:t>
      </w:r>
      <w:r w:rsidRPr="006F5F0A">
        <w:t xml:space="preserve"> automation and the complexity of the analyses. </w:t>
      </w:r>
    </w:p>
    <w:p w:rsidR="00491AF7" w:rsidRPr="006B0213" w:rsidRDefault="00491AF7" w:rsidP="00991230">
      <w:pPr>
        <w:pStyle w:val="NPCommentary"/>
        <w:ind w:left="0" w:firstLine="0"/>
      </w:pPr>
      <w:r w:rsidRPr="00C66E16">
        <w:t>The following ranges can be considered as a basis for calculating annual workloads</w:t>
      </w:r>
      <w:proofErr w:type="gramStart"/>
      <w:r w:rsidRPr="00C66E16">
        <w:t>:</w:t>
      </w:r>
      <w:r w:rsidR="00D0072D" w:rsidRPr="00D0072D">
        <w:rPr>
          <w:vertAlign w:val="superscript"/>
        </w:rPr>
        <w:t>1</w:t>
      </w:r>
      <w:proofErr w:type="gramEnd"/>
      <w:r w:rsidRPr="006B0213">
        <w:t xml:space="preserve"> </w:t>
      </w:r>
    </w:p>
    <w:p w:rsidR="00491AF7" w:rsidRPr="004B7723" w:rsidRDefault="00491AF7" w:rsidP="00383AB2">
      <w:pPr>
        <w:pStyle w:val="NPCommentaryIndent"/>
        <w:ind w:left="567" w:hanging="567"/>
      </w:pPr>
      <w:r w:rsidRPr="006B0213">
        <w:t>a)</w:t>
      </w:r>
      <w:r w:rsidRPr="006B0213">
        <w:tab/>
        <w:t>250–</w:t>
      </w:r>
      <w:r w:rsidRPr="004B7723">
        <w:t>350 lymphocyte cultures, or</w:t>
      </w:r>
    </w:p>
    <w:p w:rsidR="00491AF7" w:rsidRPr="001E4A60" w:rsidRDefault="00491AF7" w:rsidP="00383AB2">
      <w:pPr>
        <w:pStyle w:val="NPCommentaryIndent"/>
        <w:ind w:left="567" w:hanging="567"/>
      </w:pPr>
      <w:r w:rsidRPr="001E4A60">
        <w:t>b)</w:t>
      </w:r>
      <w:r w:rsidRPr="001E4A60">
        <w:tab/>
        <w:t>250–350 prenatal cultures, or</w:t>
      </w:r>
    </w:p>
    <w:p w:rsidR="00491AF7" w:rsidRPr="00D40D5F" w:rsidRDefault="00491AF7" w:rsidP="00383AB2">
      <w:pPr>
        <w:pStyle w:val="NPCommentaryIndent"/>
        <w:ind w:left="567" w:hanging="567"/>
      </w:pPr>
      <w:r w:rsidRPr="00D40D5F">
        <w:t>c)</w:t>
      </w:r>
      <w:r w:rsidRPr="00D40D5F">
        <w:tab/>
        <w:t>250–350 solid tissues, or</w:t>
      </w:r>
    </w:p>
    <w:p w:rsidR="00491AF7" w:rsidRPr="00D40D5F" w:rsidRDefault="00491AF7" w:rsidP="00383AB2">
      <w:pPr>
        <w:pStyle w:val="NPCommentaryIndent"/>
        <w:ind w:left="567" w:hanging="567"/>
      </w:pPr>
      <w:r w:rsidRPr="00D40D5F">
        <w:t>d)</w:t>
      </w:r>
      <w:r w:rsidRPr="00D40D5F">
        <w:tab/>
        <w:t>150–250 haematological malignancy cultures, or</w:t>
      </w:r>
    </w:p>
    <w:p w:rsidR="00491AF7" w:rsidRPr="009E397E" w:rsidRDefault="00491AF7" w:rsidP="00383AB2">
      <w:pPr>
        <w:pStyle w:val="NPCommentaryIndent"/>
        <w:ind w:left="567" w:hanging="567"/>
      </w:pPr>
      <w:r w:rsidRPr="009E397E">
        <w:t>e)</w:t>
      </w:r>
      <w:r w:rsidRPr="009E397E">
        <w:tab/>
        <w:t>100–200 solid tumour cultures, or</w:t>
      </w:r>
    </w:p>
    <w:p w:rsidR="00491AF7" w:rsidRPr="009E397E" w:rsidRDefault="00491AF7" w:rsidP="00383AB2">
      <w:pPr>
        <w:pStyle w:val="NPCommentaryIndent"/>
        <w:ind w:left="567" w:hanging="567"/>
      </w:pPr>
      <w:r w:rsidRPr="009E397E">
        <w:t>f)</w:t>
      </w:r>
      <w:r w:rsidRPr="009E397E">
        <w:tab/>
        <w:t>400–500 metaphase/interphase fluorescence in situ hybridisation (FISH) tests, or</w:t>
      </w:r>
    </w:p>
    <w:p w:rsidR="00491AF7" w:rsidRPr="009E397E" w:rsidRDefault="00491AF7" w:rsidP="00383AB2">
      <w:pPr>
        <w:pStyle w:val="NPCommentaryIndent"/>
        <w:ind w:left="567" w:hanging="567"/>
      </w:pPr>
      <w:r w:rsidRPr="009E397E">
        <w:t>g)</w:t>
      </w:r>
      <w:r w:rsidRPr="009E397E">
        <w:tab/>
        <w:t xml:space="preserve">150–220 specialised FISH tests (e.g. multiple </w:t>
      </w:r>
      <w:proofErr w:type="spellStart"/>
      <w:r w:rsidRPr="009E397E">
        <w:t>subtelomere</w:t>
      </w:r>
      <w:proofErr w:type="spellEnd"/>
      <w:r w:rsidRPr="009E397E">
        <w:t xml:space="preserve">). </w:t>
      </w:r>
    </w:p>
    <w:p w:rsidR="00602301" w:rsidRPr="00CD2BAD" w:rsidRDefault="006F7336" w:rsidP="00E31C9D">
      <w:pPr>
        <w:pStyle w:val="Heading2"/>
      </w:pPr>
      <w:bookmarkStart w:id="5" w:name="_Toc362260282"/>
      <w:r w:rsidRPr="00CD2BAD">
        <w:t>2</w:t>
      </w:r>
      <w:r w:rsidR="00304215" w:rsidRPr="00CD2BAD">
        <w:t>.</w:t>
      </w:r>
      <w:r w:rsidR="00602301" w:rsidRPr="00CD2BAD">
        <w:tab/>
      </w:r>
      <w:r w:rsidR="007227D6" w:rsidRPr="00CD2BAD">
        <w:t>Specimens and referral types</w:t>
      </w:r>
      <w:bookmarkEnd w:id="5"/>
    </w:p>
    <w:p w:rsidR="00CB5CD6" w:rsidRPr="00FD04B1" w:rsidRDefault="00CB5CD6" w:rsidP="0018601A">
      <w:pPr>
        <w:rPr>
          <w:rFonts w:ascii="Arial" w:hAnsi="Arial" w:cs="Arial"/>
          <w:b/>
          <w:szCs w:val="24"/>
        </w:rPr>
      </w:pPr>
      <w:r w:rsidRPr="00CA4751">
        <w:rPr>
          <w:rFonts w:ascii="Arial" w:hAnsi="Arial" w:cs="Arial"/>
          <w:b/>
          <w:szCs w:val="24"/>
        </w:rPr>
        <w:t xml:space="preserve">(Refer to </w:t>
      </w:r>
      <w:r w:rsidR="00CD152A" w:rsidRPr="006316B0">
        <w:rPr>
          <w:rFonts w:ascii="Arial" w:hAnsi="Arial" w:cs="Arial"/>
          <w:b/>
          <w:szCs w:val="24"/>
        </w:rPr>
        <w:t>Standard 6</w:t>
      </w:r>
      <w:r w:rsidRPr="006B1EC2">
        <w:rPr>
          <w:rFonts w:ascii="Arial" w:hAnsi="Arial" w:cs="Arial"/>
          <w:b/>
          <w:szCs w:val="24"/>
        </w:rPr>
        <w:t xml:space="preserve"> in </w:t>
      </w:r>
      <w:r w:rsidR="00CD152A" w:rsidRPr="00FD04B1">
        <w:rPr>
          <w:rFonts w:ascii="Arial" w:hAnsi="Arial" w:cs="Arial"/>
          <w:b/>
          <w:i/>
          <w:szCs w:val="24"/>
        </w:rPr>
        <w:t>Requirements for Medical Pathology Services</w:t>
      </w:r>
      <w:r w:rsidRPr="00FD04B1">
        <w:rPr>
          <w:rFonts w:ascii="Arial" w:hAnsi="Arial" w:cs="Arial"/>
          <w:b/>
          <w:szCs w:val="24"/>
        </w:rPr>
        <w:t>)</w:t>
      </w:r>
    </w:p>
    <w:p w:rsidR="007227D6" w:rsidRPr="00FD04B1" w:rsidRDefault="007227D6" w:rsidP="007227D6">
      <w:pPr>
        <w:pStyle w:val="Heading2"/>
      </w:pPr>
      <w:bookmarkStart w:id="6" w:name="_Toc158446246"/>
      <w:bookmarkStart w:id="7" w:name="_Toc362260283"/>
      <w:r w:rsidRPr="00FD04B1">
        <w:t>Prenatal (general)</w:t>
      </w:r>
      <w:bookmarkEnd w:id="6"/>
      <w:bookmarkEnd w:id="7"/>
    </w:p>
    <w:p w:rsidR="007227D6" w:rsidRPr="00C24E84" w:rsidRDefault="007227D6" w:rsidP="007227D6">
      <w:pPr>
        <w:pStyle w:val="NPStandard"/>
      </w:pPr>
      <w:r w:rsidRPr="00FD04B1">
        <w:rPr>
          <w:rFonts w:ascii="Times New (W1)" w:hAnsi="Times New (W1)" w:cs="Times New (W1)"/>
        </w:rPr>
        <w:t>S</w:t>
      </w:r>
      <w:r w:rsidR="009E6AE7" w:rsidRPr="00FD04B1">
        <w:rPr>
          <w:rFonts w:ascii="Times New (W1)" w:hAnsi="Times New (W1)" w:cs="Times New (W1)"/>
        </w:rPr>
        <w:t>2</w:t>
      </w:r>
      <w:r w:rsidRPr="00F34BDD">
        <w:rPr>
          <w:rFonts w:ascii="Times New (W1)" w:hAnsi="Times New (W1)" w:cs="Times New (W1)"/>
        </w:rPr>
        <w:t>.1</w:t>
      </w:r>
      <w:r w:rsidRPr="00C24E84">
        <w:tab/>
        <w:t xml:space="preserve">All unprocessed cultures must be kept for at least two days after a final result is </w:t>
      </w:r>
      <w:proofErr w:type="gramStart"/>
      <w:r w:rsidRPr="00C24E84">
        <w:t>issued/validated</w:t>
      </w:r>
      <w:proofErr w:type="gramEnd"/>
      <w:r w:rsidRPr="00C24E84">
        <w:t>.</w:t>
      </w:r>
    </w:p>
    <w:p w:rsidR="007227D6" w:rsidRPr="00CD2BAD" w:rsidRDefault="006335C6" w:rsidP="00385757">
      <w:pPr>
        <w:pStyle w:val="NPCommentary"/>
        <w:ind w:left="1701" w:hanging="981"/>
      </w:pPr>
      <w:r w:rsidRPr="00CD2BAD">
        <w:t>C</w:t>
      </w:r>
      <w:r w:rsidR="009E6AE7" w:rsidRPr="00CD2BAD">
        <w:t>2</w:t>
      </w:r>
      <w:r w:rsidRPr="00CD2BAD">
        <w:t>.1</w:t>
      </w:r>
      <w:r w:rsidR="00C026FC" w:rsidRPr="00CD2BAD">
        <w:t>(</w:t>
      </w:r>
      <w:r w:rsidR="00991230" w:rsidRPr="00CD2BAD">
        <w:t>i</w:t>
      </w:r>
      <w:r w:rsidR="00C026FC" w:rsidRPr="00CD2BAD">
        <w:t>)</w:t>
      </w:r>
      <w:r w:rsidRPr="00CD2BAD">
        <w:tab/>
      </w:r>
      <w:r w:rsidR="007227D6" w:rsidRPr="00CD2BAD">
        <w:t>The requirement that cultures are maintained for at least two days after the report is issued is to enable follow-up studies, if indicated, as well</w:t>
      </w:r>
      <w:r w:rsidR="0049338B" w:rsidRPr="00CD2BAD">
        <w:t xml:space="preserve"> as</w:t>
      </w:r>
      <w:r w:rsidR="007227D6" w:rsidRPr="00CD2BAD">
        <w:t xml:space="preserve"> the verification of </w:t>
      </w:r>
      <w:r w:rsidR="005F294D" w:rsidRPr="00CD2BAD">
        <w:t xml:space="preserve">Specimen </w:t>
      </w:r>
      <w:r w:rsidR="007227D6" w:rsidRPr="00CD2BAD">
        <w:t>identity.</w:t>
      </w:r>
    </w:p>
    <w:p w:rsidR="007227D6" w:rsidRPr="006F5F0A" w:rsidRDefault="007227D6" w:rsidP="00385757">
      <w:pPr>
        <w:pStyle w:val="NPCommentary"/>
        <w:ind w:left="1701" w:firstLine="0"/>
      </w:pPr>
      <w:r w:rsidRPr="00CD2BAD">
        <w:t xml:space="preserve">If molecular genetic testing is also being performed on the prenatal </w:t>
      </w:r>
      <w:r w:rsidR="005F294D" w:rsidRPr="00CD2BAD">
        <w:t>Specimen</w:t>
      </w:r>
      <w:r w:rsidRPr="00CD2BAD">
        <w:t xml:space="preserve">, cultures may be required to be kept as a backup source for DNA extraction if insufficient DNA is extracted from the initial </w:t>
      </w:r>
      <w:r w:rsidR="005F294D" w:rsidRPr="00CD2BAD">
        <w:t>Specimen</w:t>
      </w:r>
      <w:r w:rsidRPr="006F5F0A">
        <w:t xml:space="preserve">. The molecular genetics </w:t>
      </w:r>
      <w:r w:rsidR="004D2CBD" w:rsidRPr="00CD2BAD">
        <w:t xml:space="preserve">Laboratory </w:t>
      </w:r>
      <w:r w:rsidRPr="004348DD">
        <w:t xml:space="preserve">performing the test should be consulted before culture </w:t>
      </w:r>
      <w:r w:rsidRPr="006F5F0A">
        <w:t>disposal.</w:t>
      </w:r>
    </w:p>
    <w:p w:rsidR="00C026FC" w:rsidRPr="00D40D5F" w:rsidRDefault="00C026FC" w:rsidP="00385757">
      <w:pPr>
        <w:pStyle w:val="NPGuideline"/>
        <w:ind w:left="1701" w:hanging="981"/>
      </w:pPr>
      <w:proofErr w:type="gramStart"/>
      <w:r w:rsidRPr="00C66E16">
        <w:t>C</w:t>
      </w:r>
      <w:r w:rsidR="009E6AE7" w:rsidRPr="006B0213">
        <w:t>2</w:t>
      </w:r>
      <w:r w:rsidRPr="006B0213">
        <w:t>.1(</w:t>
      </w:r>
      <w:proofErr w:type="gramEnd"/>
      <w:r w:rsidR="00991230" w:rsidRPr="006B0213">
        <w:t>ii</w:t>
      </w:r>
      <w:r w:rsidRPr="004B7723">
        <w:t>)</w:t>
      </w:r>
      <w:r w:rsidRPr="004B7723">
        <w:tab/>
        <w:t xml:space="preserve">The possibility of maternal cell contamination, </w:t>
      </w:r>
      <w:proofErr w:type="spellStart"/>
      <w:r w:rsidRPr="004B7723">
        <w:t>pseudomosaicism</w:t>
      </w:r>
      <w:proofErr w:type="spellEnd"/>
      <w:r w:rsidRPr="004B7723">
        <w:t xml:space="preserve">, true </w:t>
      </w:r>
      <w:proofErr w:type="spellStart"/>
      <w:r w:rsidRPr="004B7723">
        <w:t>mosaicism</w:t>
      </w:r>
      <w:proofErr w:type="spellEnd"/>
      <w:r w:rsidRPr="004B7723">
        <w:t xml:space="preserve"> and in vitro aberrations should be recogni</w:t>
      </w:r>
      <w:r w:rsidRPr="001E4A60">
        <w:t>sed, and the sys</w:t>
      </w:r>
      <w:r w:rsidRPr="00D40D5F">
        <w:t>tems of culture and analysis used should be designed to detect and differentiate these.</w:t>
      </w:r>
    </w:p>
    <w:p w:rsidR="00C026FC" w:rsidRPr="006F5F0A" w:rsidRDefault="00C026FC" w:rsidP="00385757">
      <w:pPr>
        <w:pStyle w:val="NPGuideline"/>
        <w:ind w:left="1701" w:hanging="981"/>
      </w:pPr>
      <w:proofErr w:type="gramStart"/>
      <w:r w:rsidRPr="00D40D5F">
        <w:t>C</w:t>
      </w:r>
      <w:r w:rsidR="009E6AE7" w:rsidRPr="009E397E">
        <w:t>2</w:t>
      </w:r>
      <w:r w:rsidRPr="009E397E">
        <w:t>.1(</w:t>
      </w:r>
      <w:proofErr w:type="gramEnd"/>
      <w:r w:rsidR="00991230" w:rsidRPr="009E397E">
        <w:t>iii</w:t>
      </w:r>
      <w:r w:rsidRPr="009E397E">
        <w:t>)</w:t>
      </w:r>
      <w:r w:rsidRPr="009E397E">
        <w:tab/>
        <w:t xml:space="preserve">Where adequate </w:t>
      </w:r>
      <w:r w:rsidR="005F294D" w:rsidRPr="00CD2BAD">
        <w:t xml:space="preserve">Specimen </w:t>
      </w:r>
      <w:r w:rsidRPr="006F5F0A">
        <w:t xml:space="preserve">is available, duplicate or independently established cultures are recommended for all </w:t>
      </w:r>
      <w:r w:rsidR="005F294D" w:rsidRPr="00CD2BAD">
        <w:t xml:space="preserve">Specimen </w:t>
      </w:r>
      <w:r w:rsidRPr="006F5F0A">
        <w:t>types.</w:t>
      </w:r>
    </w:p>
    <w:p w:rsidR="007227D6" w:rsidRPr="00C66E16" w:rsidRDefault="007227D6" w:rsidP="007227D6">
      <w:pPr>
        <w:pStyle w:val="NPStandard"/>
      </w:pPr>
      <w:r w:rsidRPr="00C66E16">
        <w:t>S</w:t>
      </w:r>
      <w:r w:rsidR="009E6AE7" w:rsidRPr="006B0213">
        <w:t>2</w:t>
      </w:r>
      <w:r w:rsidRPr="006B0213">
        <w:t>.2</w:t>
      </w:r>
      <w:r w:rsidRPr="006B0213">
        <w:tab/>
        <w:t xml:space="preserve">Each prenatal </w:t>
      </w:r>
      <w:r w:rsidR="005F294D" w:rsidRPr="00CD2BAD">
        <w:t xml:space="preserve">Specimen </w:t>
      </w:r>
      <w:r w:rsidRPr="006F5F0A">
        <w:t>must be divided and cultured in two separate incubators, running on differen</w:t>
      </w:r>
      <w:r w:rsidRPr="00C66E16">
        <w:t>t electrical circuits if possible, and maintained with independent cell culture media and other reagents.</w:t>
      </w:r>
    </w:p>
    <w:p w:rsidR="007227D6" w:rsidRPr="006B0213" w:rsidRDefault="007227D6" w:rsidP="00385757">
      <w:pPr>
        <w:pStyle w:val="Heading2"/>
        <w:spacing w:before="120"/>
      </w:pPr>
      <w:bookmarkStart w:id="8" w:name="_Toc158446247"/>
      <w:bookmarkStart w:id="9" w:name="_Toc362260284"/>
      <w:r w:rsidRPr="006B0213">
        <w:lastRenderedPageBreak/>
        <w:t>Chorionic villus</w:t>
      </w:r>
      <w:bookmarkEnd w:id="8"/>
      <w:bookmarkEnd w:id="9"/>
    </w:p>
    <w:p w:rsidR="007227D6" w:rsidRPr="0018601A" w:rsidRDefault="007227D6" w:rsidP="0018601A">
      <w:pPr>
        <w:ind w:left="720" w:hanging="720"/>
        <w:rPr>
          <w:b/>
        </w:rPr>
      </w:pPr>
      <w:r w:rsidRPr="006B0213">
        <w:rPr>
          <w:b/>
        </w:rPr>
        <w:t>S</w:t>
      </w:r>
      <w:r w:rsidR="009E6AE7" w:rsidRPr="006B0213">
        <w:rPr>
          <w:b/>
        </w:rPr>
        <w:t>2</w:t>
      </w:r>
      <w:r w:rsidRPr="004B7723">
        <w:rPr>
          <w:b/>
        </w:rPr>
        <w:t>.3</w:t>
      </w:r>
      <w:r w:rsidRPr="004B7723">
        <w:rPr>
          <w:b/>
        </w:rPr>
        <w:tab/>
        <w:t>Chorionic vil</w:t>
      </w:r>
      <w:r w:rsidRPr="001E4A60">
        <w:rPr>
          <w:b/>
        </w:rPr>
        <w:t xml:space="preserve">lus </w:t>
      </w:r>
      <w:r w:rsidR="005F294D" w:rsidRPr="00CD2BAD">
        <w:rPr>
          <w:b/>
        </w:rPr>
        <w:t xml:space="preserve">Specimens </w:t>
      </w:r>
      <w:r w:rsidRPr="006B0213">
        <w:rPr>
          <w:b/>
        </w:rPr>
        <w:t>must be dissected free from decidua to reduce the chance of maternal cell contamination</w:t>
      </w:r>
      <w:r w:rsidRPr="0018601A">
        <w:rPr>
          <w:b/>
        </w:rPr>
        <w:t>.</w:t>
      </w:r>
    </w:p>
    <w:p w:rsidR="007227D6" w:rsidRPr="0018416B" w:rsidRDefault="009E6AE7" w:rsidP="007227D6">
      <w:pPr>
        <w:pStyle w:val="NPStandard"/>
      </w:pPr>
      <w:r w:rsidRPr="0018416B">
        <w:t>S</w:t>
      </w:r>
      <w:r>
        <w:t>2</w:t>
      </w:r>
      <w:r w:rsidR="007227D6" w:rsidRPr="0018416B">
        <w:t>.</w:t>
      </w:r>
      <w:r w:rsidR="007227D6">
        <w:t>4</w:t>
      </w:r>
      <w:r w:rsidR="007227D6" w:rsidRPr="0018416B">
        <w:tab/>
        <w:t xml:space="preserve">All </w:t>
      </w:r>
      <w:r w:rsidR="007227D6">
        <w:t xml:space="preserve">chorionic villus </w:t>
      </w:r>
      <w:r w:rsidR="007227D6" w:rsidRPr="0018416B">
        <w:t>studies must include analysis of long-term cultures.</w:t>
      </w:r>
    </w:p>
    <w:p w:rsidR="007227D6" w:rsidRPr="007227D6" w:rsidRDefault="007227D6" w:rsidP="007227D6">
      <w:pPr>
        <w:pStyle w:val="Heading2"/>
      </w:pPr>
      <w:bookmarkStart w:id="10" w:name="_Toc158446248"/>
      <w:bookmarkStart w:id="11" w:name="_Toc362260285"/>
      <w:proofErr w:type="spellStart"/>
      <w:r w:rsidRPr="007227D6">
        <w:t>Fetal</w:t>
      </w:r>
      <w:proofErr w:type="spellEnd"/>
      <w:r w:rsidRPr="007227D6">
        <w:t xml:space="preserve"> blood</w:t>
      </w:r>
      <w:bookmarkEnd w:id="10"/>
      <w:bookmarkEnd w:id="11"/>
    </w:p>
    <w:p w:rsidR="007227D6" w:rsidRPr="0018416B" w:rsidRDefault="007227D6" w:rsidP="00385757">
      <w:pPr>
        <w:pStyle w:val="NPStandard"/>
        <w:spacing w:after="120"/>
      </w:pPr>
      <w:r w:rsidRPr="00106E14">
        <w:t>S</w:t>
      </w:r>
      <w:r w:rsidR="009E6AE7" w:rsidRPr="00106E14">
        <w:t>2</w:t>
      </w:r>
      <w:r w:rsidRPr="00106E14">
        <w:t>.5</w:t>
      </w:r>
      <w:r w:rsidRPr="00106E14">
        <w:tab/>
        <w:t xml:space="preserve">The </w:t>
      </w:r>
      <w:r w:rsidR="004D2CBD" w:rsidRPr="00CD2BAD">
        <w:t xml:space="preserve">Laboratory </w:t>
      </w:r>
      <w:r w:rsidRPr="00106E14">
        <w:t xml:space="preserve">must ensure that </w:t>
      </w:r>
      <w:proofErr w:type="spellStart"/>
      <w:r w:rsidRPr="00106E14">
        <w:t>fetal</w:t>
      </w:r>
      <w:proofErr w:type="spellEnd"/>
      <w:r w:rsidRPr="00106E14">
        <w:t xml:space="preserve"> blood is tested to identify maternal blood contamination.</w:t>
      </w:r>
    </w:p>
    <w:p w:rsidR="007227D6" w:rsidRPr="0018416B" w:rsidRDefault="007227D6" w:rsidP="007227D6">
      <w:pPr>
        <w:pStyle w:val="Heading2"/>
      </w:pPr>
      <w:bookmarkStart w:id="12" w:name="_Toc158446249"/>
      <w:bookmarkStart w:id="13" w:name="_Toc362260286"/>
      <w:r w:rsidRPr="0018416B">
        <w:t>Bone marrow and tumour</w:t>
      </w:r>
      <w:bookmarkEnd w:id="12"/>
      <w:bookmarkEnd w:id="13"/>
    </w:p>
    <w:p w:rsidR="007227D6" w:rsidRPr="0018416B" w:rsidRDefault="007227D6" w:rsidP="00982D86">
      <w:pPr>
        <w:tabs>
          <w:tab w:val="left" w:pos="709"/>
          <w:tab w:val="left" w:pos="1701"/>
        </w:tabs>
        <w:spacing w:after="120"/>
      </w:pPr>
      <w:r w:rsidRPr="0018416B">
        <w:t>In haematological and malignancy cultures, the likelihood of obtaining high</w:t>
      </w:r>
      <w:r>
        <w:t>-</w:t>
      </w:r>
      <w:r w:rsidRPr="0018416B">
        <w:t>quality results should be optimised by using direct, short-term and synchronised cultures where practical.</w:t>
      </w:r>
      <w:r w:rsidR="00C13C39">
        <w:br/>
      </w:r>
      <w:r w:rsidR="00385757">
        <w:br/>
      </w:r>
      <w:r w:rsidRPr="0018416B">
        <w:t xml:space="preserve">When a B- or T-cell </w:t>
      </w:r>
      <w:proofErr w:type="spellStart"/>
      <w:r w:rsidRPr="0018416B">
        <w:t>lymphoproliferative</w:t>
      </w:r>
      <w:proofErr w:type="spellEnd"/>
      <w:r w:rsidRPr="0018416B">
        <w:t xml:space="preserve"> disorder is suspected, suitable mitogens should be</w:t>
      </w:r>
      <w:r w:rsidR="00944C4F">
        <w:t xml:space="preserve"> </w:t>
      </w:r>
      <w:r>
        <w:t>used</w:t>
      </w:r>
      <w:r w:rsidRPr="0018416B">
        <w:t xml:space="preserve"> in additional cultures. Solid tumour cultures may require multiple and longer</w:t>
      </w:r>
      <w:r>
        <w:t xml:space="preserve"> </w:t>
      </w:r>
      <w:r w:rsidRPr="0018416B">
        <w:t>term cultures.</w:t>
      </w:r>
    </w:p>
    <w:p w:rsidR="007227D6" w:rsidRPr="007227D6" w:rsidRDefault="007227D6" w:rsidP="007227D6">
      <w:pPr>
        <w:pStyle w:val="Heading2"/>
      </w:pPr>
      <w:bookmarkStart w:id="14" w:name="_Toc158446250"/>
      <w:bookmarkStart w:id="15" w:name="_Toc362260287"/>
      <w:r w:rsidRPr="007227D6">
        <w:t>Chromosome instability syndromes</w:t>
      </w:r>
      <w:bookmarkEnd w:id="14"/>
      <w:bookmarkEnd w:id="15"/>
    </w:p>
    <w:p w:rsidR="007227D6" w:rsidRPr="004348DD" w:rsidRDefault="007227D6" w:rsidP="00944C4F">
      <w:pPr>
        <w:pStyle w:val="NPGuideline"/>
        <w:ind w:left="0" w:firstLine="0"/>
      </w:pPr>
      <w:r w:rsidRPr="0018416B">
        <w:t xml:space="preserve">The rarity </w:t>
      </w:r>
      <w:r w:rsidRPr="00106E14">
        <w:t xml:space="preserve">of chromosome instability syndromes requires that inexperienced </w:t>
      </w:r>
      <w:r w:rsidR="004D2CBD" w:rsidRPr="00CD2BAD">
        <w:t xml:space="preserve">Laboratories </w:t>
      </w:r>
      <w:r w:rsidRPr="00106E14">
        <w:t xml:space="preserve">should refer </w:t>
      </w:r>
      <w:r w:rsidRPr="004348DD">
        <w:t xml:space="preserve">cases to </w:t>
      </w:r>
      <w:r w:rsidR="004D2CBD" w:rsidRPr="00CD2BAD">
        <w:t xml:space="preserve">Laboratories </w:t>
      </w:r>
      <w:r w:rsidRPr="004348DD">
        <w:t>with experience in diagnosing such disorders.</w:t>
      </w:r>
    </w:p>
    <w:p w:rsidR="007227D6" w:rsidRPr="006B0213" w:rsidRDefault="007227D6" w:rsidP="00383AB2">
      <w:pPr>
        <w:pStyle w:val="NPGuidelineIndent"/>
        <w:ind w:left="567" w:hanging="567"/>
      </w:pPr>
      <w:r w:rsidRPr="006F5F0A">
        <w:t>a)</w:t>
      </w:r>
      <w:r w:rsidRPr="006F5F0A">
        <w:tab/>
      </w:r>
      <w:proofErr w:type="spellStart"/>
      <w:r w:rsidRPr="006F5F0A">
        <w:t>Clastogen</w:t>
      </w:r>
      <w:proofErr w:type="spellEnd"/>
      <w:r w:rsidRPr="006F5F0A">
        <w:t xml:space="preserve"> studies should only be undertaken using appropriate negative control </w:t>
      </w:r>
      <w:r w:rsidR="005F294D" w:rsidRPr="006B0213">
        <w:t xml:space="preserve">Specimens </w:t>
      </w:r>
      <w:r w:rsidRPr="006B0213">
        <w:t>(and positive control material if available).</w:t>
      </w:r>
    </w:p>
    <w:p w:rsidR="007227D6" w:rsidRPr="00D40D5F" w:rsidRDefault="007227D6" w:rsidP="00383AB2">
      <w:pPr>
        <w:pStyle w:val="NPGuidelineIndent"/>
        <w:ind w:left="567" w:hanging="567"/>
      </w:pPr>
      <w:r w:rsidRPr="004B7723">
        <w:t>b)</w:t>
      </w:r>
      <w:r w:rsidRPr="004B7723">
        <w:tab/>
        <w:t xml:space="preserve">Control and test </w:t>
      </w:r>
      <w:r w:rsidR="005F294D" w:rsidRPr="00D40D5F">
        <w:t xml:space="preserve">Specimens </w:t>
      </w:r>
      <w:r w:rsidRPr="00D40D5F">
        <w:t>should be collected, processed, cultured and harvested in parallel.</w:t>
      </w:r>
    </w:p>
    <w:p w:rsidR="007227D6" w:rsidRPr="009E397E" w:rsidRDefault="007227D6" w:rsidP="00383AB2">
      <w:pPr>
        <w:pStyle w:val="NPGuidelineIndent"/>
        <w:ind w:left="567" w:hanging="567"/>
      </w:pPr>
      <w:r w:rsidRPr="009E397E">
        <w:t>c)</w:t>
      </w:r>
      <w:r w:rsidRPr="009E397E">
        <w:tab/>
        <w:t xml:space="preserve">Where possible, controls should be appropriately matched and take into account sex, age, cigarette smoking and </w:t>
      </w:r>
      <w:proofErr w:type="spellStart"/>
      <w:r w:rsidRPr="009E397E">
        <w:t>intercurrent</w:t>
      </w:r>
      <w:proofErr w:type="spellEnd"/>
      <w:r w:rsidRPr="009E397E">
        <w:t xml:space="preserve"> illness.</w:t>
      </w:r>
    </w:p>
    <w:p w:rsidR="007227D6" w:rsidRPr="0018416B" w:rsidRDefault="007227D6" w:rsidP="00383AB2">
      <w:pPr>
        <w:pStyle w:val="NPGuidelineIndent"/>
        <w:ind w:left="567" w:hanging="567"/>
      </w:pPr>
      <w:r w:rsidRPr="009E397E">
        <w:t>d)</w:t>
      </w:r>
      <w:r w:rsidRPr="009E397E">
        <w:tab/>
        <w:t xml:space="preserve">The </w:t>
      </w:r>
      <w:r w:rsidR="005F294D" w:rsidRPr="009E397E">
        <w:t xml:space="preserve">Specimens </w:t>
      </w:r>
      <w:r w:rsidRPr="0018416B">
        <w:t>should be analysed in a blinded fashion.</w:t>
      </w:r>
    </w:p>
    <w:p w:rsidR="007227D6" w:rsidRPr="0018416B" w:rsidRDefault="007227D6" w:rsidP="00383AB2">
      <w:pPr>
        <w:pStyle w:val="NPGuidelineIndent"/>
        <w:ind w:left="567" w:hanging="567"/>
      </w:pPr>
      <w:r w:rsidRPr="0018416B">
        <w:t>e)</w:t>
      </w:r>
      <w:r>
        <w:tab/>
      </w:r>
      <w:r w:rsidRPr="0018416B">
        <w:t xml:space="preserve">Sufficient numbers of metaphases should be examined to </w:t>
      </w:r>
      <w:r>
        <w:t>verify the significance of detected chromosomal damage</w:t>
      </w:r>
      <w:r w:rsidRPr="0018416B">
        <w:t>.</w:t>
      </w:r>
    </w:p>
    <w:p w:rsidR="007227D6" w:rsidRPr="007227D6" w:rsidRDefault="007227D6" w:rsidP="007227D6">
      <w:pPr>
        <w:pStyle w:val="Heading2"/>
      </w:pPr>
      <w:bookmarkStart w:id="16" w:name="_Toc158446251"/>
      <w:bookmarkStart w:id="17" w:name="_Toc362260288"/>
      <w:r w:rsidRPr="007227D6">
        <w:t>Environmental monitoring</w:t>
      </w:r>
      <w:bookmarkEnd w:id="16"/>
      <w:bookmarkEnd w:id="17"/>
    </w:p>
    <w:p w:rsidR="007227D6" w:rsidRDefault="007227D6" w:rsidP="0018601A">
      <w:pPr>
        <w:pStyle w:val="NPCommentary"/>
        <w:ind w:left="0" w:firstLine="0"/>
      </w:pPr>
      <w:proofErr w:type="spellStart"/>
      <w:r w:rsidRPr="0018416B">
        <w:t>Cytogenetics</w:t>
      </w:r>
      <w:proofErr w:type="spellEnd"/>
      <w:r w:rsidRPr="0018416B">
        <w:t xml:space="preserve"> has been used as an adjunct to environmental monitoring by detecting chromosomal damage. This may be seen as increases in breakage, stable rearrangements or sister chromatid exchanges. Such testing is controversial and there is little scientific literature to justify its clinical use.</w:t>
      </w:r>
    </w:p>
    <w:p w:rsidR="00602301" w:rsidRPr="00CD2BAD" w:rsidRDefault="00D46995" w:rsidP="00E31C9D">
      <w:pPr>
        <w:pStyle w:val="Heading2"/>
      </w:pPr>
      <w:bookmarkStart w:id="18" w:name="_Toc362260289"/>
      <w:r w:rsidRPr="00CD2BAD">
        <w:t>3</w:t>
      </w:r>
      <w:r w:rsidR="00304215" w:rsidRPr="00CD2BAD">
        <w:t>.</w:t>
      </w:r>
      <w:r w:rsidR="00602301" w:rsidRPr="00CD2BAD">
        <w:tab/>
      </w:r>
      <w:r w:rsidR="007227D6" w:rsidRPr="00CD2BAD">
        <w:t>Chromosome analysis</w:t>
      </w:r>
      <w:bookmarkEnd w:id="18"/>
    </w:p>
    <w:p w:rsidR="00A51FDB" w:rsidRPr="0018601A" w:rsidRDefault="00A51FDB" w:rsidP="0018601A">
      <w:pPr>
        <w:rPr>
          <w:rFonts w:ascii="Arial" w:hAnsi="Arial" w:cs="Arial"/>
          <w:b/>
          <w:szCs w:val="24"/>
        </w:rPr>
      </w:pPr>
      <w:r w:rsidRPr="0018601A">
        <w:rPr>
          <w:rFonts w:ascii="Arial" w:hAnsi="Arial" w:cs="Arial"/>
          <w:b/>
          <w:szCs w:val="24"/>
        </w:rPr>
        <w:t xml:space="preserve">(Refer to </w:t>
      </w:r>
      <w:r w:rsidR="00CD152A" w:rsidRPr="00991230">
        <w:rPr>
          <w:rFonts w:ascii="Arial" w:hAnsi="Arial" w:cs="Arial"/>
          <w:b/>
          <w:szCs w:val="24"/>
        </w:rPr>
        <w:t>Standard 6</w:t>
      </w:r>
      <w:r w:rsidRPr="0018601A">
        <w:rPr>
          <w:rFonts w:ascii="Arial" w:hAnsi="Arial" w:cs="Arial"/>
          <w:b/>
          <w:szCs w:val="24"/>
        </w:rPr>
        <w:t xml:space="preserve"> in </w:t>
      </w:r>
      <w:r w:rsidR="00CD152A" w:rsidRPr="00991230">
        <w:rPr>
          <w:rFonts w:ascii="Arial" w:hAnsi="Arial" w:cs="Arial"/>
          <w:b/>
          <w:i/>
          <w:szCs w:val="24"/>
        </w:rPr>
        <w:t>Requirements for Medical Pathology Services</w:t>
      </w:r>
      <w:r w:rsidRPr="0018601A">
        <w:rPr>
          <w:rFonts w:ascii="Arial" w:hAnsi="Arial" w:cs="Arial"/>
          <w:b/>
          <w:szCs w:val="24"/>
        </w:rPr>
        <w:t>)</w:t>
      </w:r>
    </w:p>
    <w:p w:rsidR="007227D6" w:rsidRPr="0018416B" w:rsidRDefault="007227D6" w:rsidP="007227D6">
      <w:pPr>
        <w:pStyle w:val="Heading2"/>
      </w:pPr>
      <w:bookmarkStart w:id="19" w:name="_Toc158446253"/>
      <w:bookmarkStart w:id="20" w:name="_Toc362260290"/>
      <w:r w:rsidRPr="0018416B">
        <w:lastRenderedPageBreak/>
        <w:t>General</w:t>
      </w:r>
      <w:bookmarkEnd w:id="19"/>
      <w:bookmarkEnd w:id="20"/>
    </w:p>
    <w:p w:rsidR="007227D6" w:rsidRDefault="007227D6" w:rsidP="00CB5CD6">
      <w:pPr>
        <w:pStyle w:val="NPGuideline"/>
        <w:numPr>
          <w:ilvl w:val="0"/>
          <w:numId w:val="7"/>
        </w:numPr>
      </w:pPr>
      <w:r>
        <w:t>H</w:t>
      </w:r>
      <w:r w:rsidRPr="0018416B">
        <w:t>yper-</w:t>
      </w:r>
      <w:r>
        <w:t xml:space="preserve">, </w:t>
      </w:r>
      <w:r w:rsidRPr="0018416B">
        <w:t>hypo</w:t>
      </w:r>
      <w:r>
        <w:t xml:space="preserve">- and </w:t>
      </w:r>
      <w:proofErr w:type="spellStart"/>
      <w:r>
        <w:t>pseudo</w:t>
      </w:r>
      <w:r w:rsidRPr="0018416B">
        <w:t>diploid</w:t>
      </w:r>
      <w:proofErr w:type="spellEnd"/>
      <w:r w:rsidRPr="0018416B">
        <w:t xml:space="preserve"> cells should be fully analysed</w:t>
      </w:r>
      <w:r>
        <w:t xml:space="preserve"> unless </w:t>
      </w:r>
      <w:proofErr w:type="spellStart"/>
      <w:r>
        <w:t>mosaicism</w:t>
      </w:r>
      <w:proofErr w:type="spellEnd"/>
      <w:r>
        <w:t>/</w:t>
      </w:r>
      <w:proofErr w:type="spellStart"/>
      <w:r>
        <w:t>clonality</w:t>
      </w:r>
      <w:proofErr w:type="spellEnd"/>
      <w:r>
        <w:t xml:space="preserve"> is</w:t>
      </w:r>
      <w:r w:rsidR="00CB5CD6">
        <w:t xml:space="preserve"> </w:t>
      </w:r>
      <w:r>
        <w:t>established.</w:t>
      </w:r>
    </w:p>
    <w:p w:rsidR="007227D6" w:rsidRDefault="007227D6" w:rsidP="005F422A">
      <w:pPr>
        <w:pStyle w:val="NPCommentary"/>
      </w:pPr>
      <w:r w:rsidRPr="0018416B">
        <w:t xml:space="preserve">The total number of metaphases can be reduced to </w:t>
      </w:r>
      <w:r>
        <w:t>five</w:t>
      </w:r>
      <w:r w:rsidRPr="0018416B">
        <w:t xml:space="preserve"> in cases where a specific </w:t>
      </w:r>
      <w:proofErr w:type="spellStart"/>
      <w:r w:rsidRPr="0018416B">
        <w:t>nonmosaic</w:t>
      </w:r>
      <w:proofErr w:type="spellEnd"/>
      <w:r w:rsidRPr="0018416B">
        <w:t xml:space="preserve"> abnormality is being excluded or confirmed</w:t>
      </w:r>
      <w:r>
        <w:t xml:space="preserve"> (</w:t>
      </w:r>
      <w:r w:rsidRPr="0018416B">
        <w:t>e</w:t>
      </w:r>
      <w:r>
        <w:t>.</w:t>
      </w:r>
      <w:r w:rsidRPr="0018416B">
        <w:t>g</w:t>
      </w:r>
      <w:r>
        <w:t>.</w:t>
      </w:r>
      <w:r w:rsidRPr="0018416B">
        <w:t xml:space="preserve"> a known familial translocation</w:t>
      </w:r>
      <w:r>
        <w:t>)</w:t>
      </w:r>
      <w:r w:rsidRPr="0018416B">
        <w:t xml:space="preserve"> or </w:t>
      </w:r>
      <w:r>
        <w:t xml:space="preserve">when </w:t>
      </w:r>
      <w:r w:rsidRPr="0018416B">
        <w:t>confirming a previously detected trisomy. All these metaphases should be fully analysed.</w:t>
      </w:r>
    </w:p>
    <w:p w:rsidR="00CB5CD6" w:rsidRPr="0018416B" w:rsidRDefault="007227D6" w:rsidP="0018601A">
      <w:pPr>
        <w:pStyle w:val="NPGuideline"/>
        <w:numPr>
          <w:ilvl w:val="0"/>
          <w:numId w:val="8"/>
        </w:numPr>
      </w:pPr>
      <w:r w:rsidRPr="00B563EA">
        <w:t>Coordinates of counted and analysed cells should be recorded to enable review of these cells as required.</w:t>
      </w:r>
      <w:r>
        <w:t xml:space="preserve"> </w:t>
      </w:r>
    </w:p>
    <w:p w:rsidR="007227D6" w:rsidRPr="0018416B" w:rsidRDefault="007227D6" w:rsidP="0018601A">
      <w:pPr>
        <w:pStyle w:val="NPGuideline"/>
        <w:numPr>
          <w:ilvl w:val="0"/>
          <w:numId w:val="8"/>
        </w:numPr>
      </w:pPr>
      <w:r w:rsidRPr="0018416B">
        <w:t>The quality of a chromosomal analysis depends on:</w:t>
      </w:r>
    </w:p>
    <w:p w:rsidR="007227D6" w:rsidRPr="0018416B" w:rsidRDefault="007227D6" w:rsidP="00383AB2">
      <w:pPr>
        <w:pStyle w:val="NPCommentaryIndent"/>
        <w:ind w:left="1843" w:hanging="766"/>
      </w:pPr>
      <w:r w:rsidRPr="0018416B">
        <w:t>(a)</w:t>
      </w:r>
      <w:r>
        <w:tab/>
      </w:r>
      <w:proofErr w:type="gramStart"/>
      <w:r>
        <w:t>t</w:t>
      </w:r>
      <w:r w:rsidRPr="0018416B">
        <w:t>he</w:t>
      </w:r>
      <w:proofErr w:type="gramEnd"/>
      <w:r w:rsidRPr="0018416B">
        <w:t xml:space="preserve"> analysis of sufficient cells to adequately establish the true chromosome constitution</w:t>
      </w:r>
    </w:p>
    <w:p w:rsidR="007227D6" w:rsidRPr="0018416B" w:rsidRDefault="007227D6" w:rsidP="00383AB2">
      <w:pPr>
        <w:pStyle w:val="NPCommentaryIndent"/>
        <w:ind w:left="1843" w:hanging="766"/>
      </w:pPr>
      <w:r w:rsidRPr="0018416B">
        <w:t>(b)</w:t>
      </w:r>
      <w:r>
        <w:tab/>
      </w:r>
      <w:proofErr w:type="gramStart"/>
      <w:r>
        <w:t>t</w:t>
      </w:r>
      <w:r w:rsidRPr="0018416B">
        <w:t>he</w:t>
      </w:r>
      <w:proofErr w:type="gramEnd"/>
      <w:r w:rsidRPr="0018416B">
        <w:t xml:space="preserve"> use of appropriate techniques to characterise an abnormality</w:t>
      </w:r>
    </w:p>
    <w:p w:rsidR="007227D6" w:rsidRPr="0018416B" w:rsidRDefault="007227D6" w:rsidP="00383AB2">
      <w:pPr>
        <w:pStyle w:val="NPCommentaryIndent"/>
        <w:ind w:left="1843" w:hanging="766"/>
      </w:pPr>
      <w:r w:rsidRPr="0018416B">
        <w:t>(c)</w:t>
      </w:r>
      <w:r>
        <w:tab/>
      </w:r>
      <w:proofErr w:type="gramStart"/>
      <w:r>
        <w:t>t</w:t>
      </w:r>
      <w:r w:rsidRPr="0018416B">
        <w:t>he</w:t>
      </w:r>
      <w:proofErr w:type="gramEnd"/>
      <w:r w:rsidRPr="0018416B">
        <w:t xml:space="preserve"> production of cells with high</w:t>
      </w:r>
      <w:r>
        <w:t>-</w:t>
      </w:r>
      <w:r w:rsidRPr="0018416B">
        <w:t>quality banding to allow resolution of bands appropriate to the likely type of abnormality</w:t>
      </w:r>
    </w:p>
    <w:p w:rsidR="007227D6" w:rsidRPr="0018416B" w:rsidRDefault="007227D6" w:rsidP="00383AB2">
      <w:pPr>
        <w:pStyle w:val="NPCommentaryIndent"/>
        <w:ind w:left="1843" w:hanging="766"/>
      </w:pPr>
      <w:r w:rsidRPr="0018416B">
        <w:t>(d)</w:t>
      </w:r>
      <w:r>
        <w:tab/>
      </w:r>
      <w:proofErr w:type="gramStart"/>
      <w:r>
        <w:t>t</w:t>
      </w:r>
      <w:r w:rsidRPr="0018416B">
        <w:t>he</w:t>
      </w:r>
      <w:proofErr w:type="gramEnd"/>
      <w:r w:rsidRPr="0018416B">
        <w:t xml:space="preserve"> observational skill of the analyst.</w:t>
      </w:r>
    </w:p>
    <w:p w:rsidR="007227D6" w:rsidRPr="0018416B" w:rsidRDefault="007227D6" w:rsidP="007227D6">
      <w:pPr>
        <w:pStyle w:val="Heading2"/>
      </w:pPr>
      <w:bookmarkStart w:id="21" w:name="_Toc158446254"/>
      <w:bookmarkStart w:id="22" w:name="_Toc362260291"/>
      <w:r w:rsidRPr="0018416B">
        <w:t>Numbers of cells to be studied</w:t>
      </w:r>
      <w:bookmarkEnd w:id="21"/>
      <w:bookmarkEnd w:id="22"/>
    </w:p>
    <w:p w:rsidR="007227D6" w:rsidRPr="0018416B" w:rsidRDefault="007227D6" w:rsidP="00A51FDB">
      <w:pPr>
        <w:pStyle w:val="NPGuideline"/>
        <w:numPr>
          <w:ilvl w:val="0"/>
          <w:numId w:val="9"/>
        </w:numPr>
      </w:pPr>
      <w:r w:rsidRPr="0018416B">
        <w:t>In general</w:t>
      </w:r>
      <w:r>
        <w:t>,</w:t>
      </w:r>
      <w:r w:rsidRPr="0018416B">
        <w:t xml:space="preserve"> routine cytogenetic analysis should consist of a minimum of:</w:t>
      </w:r>
    </w:p>
    <w:p w:rsidR="007227D6" w:rsidRPr="0018416B" w:rsidRDefault="007227D6" w:rsidP="00383AB2">
      <w:pPr>
        <w:pStyle w:val="NPGuidelineIndent"/>
        <w:ind w:left="1843" w:hanging="766"/>
      </w:pPr>
      <w:r w:rsidRPr="0018416B">
        <w:t xml:space="preserve">(a) </w:t>
      </w:r>
      <w:r w:rsidR="00383AB2">
        <w:tab/>
      </w:r>
      <w:r w:rsidRPr="0018416B">
        <w:t>5 banded cells analysed</w:t>
      </w:r>
    </w:p>
    <w:p w:rsidR="007227D6" w:rsidRPr="0018416B" w:rsidRDefault="007227D6" w:rsidP="00383AB2">
      <w:pPr>
        <w:pStyle w:val="NPGuidelineIndent"/>
        <w:ind w:left="1843" w:hanging="766"/>
      </w:pPr>
      <w:r w:rsidRPr="0018416B">
        <w:t xml:space="preserve">(b) </w:t>
      </w:r>
      <w:r w:rsidR="00383AB2">
        <w:tab/>
      </w:r>
      <w:r w:rsidRPr="0018416B">
        <w:t>10 cells counted [in addition to (a)]</w:t>
      </w:r>
      <w:r w:rsidR="00AA47E9">
        <w:t>.</w:t>
      </w:r>
    </w:p>
    <w:p w:rsidR="007227D6" w:rsidRPr="00C36EC2" w:rsidRDefault="007227D6" w:rsidP="005F422A">
      <w:pPr>
        <w:pStyle w:val="NPGuideline"/>
      </w:pPr>
      <w:r w:rsidRPr="0018416B">
        <w:t>Two of the fully analysed metaphases from (a) should be archived</w:t>
      </w:r>
      <w:r>
        <w:t xml:space="preserve"> as images</w:t>
      </w:r>
      <w:r w:rsidRPr="0018416B">
        <w:t>.</w:t>
      </w:r>
    </w:p>
    <w:p w:rsidR="007227D6" w:rsidRDefault="007227D6" w:rsidP="0018601A">
      <w:pPr>
        <w:pStyle w:val="NPCommentary"/>
        <w:ind w:left="0" w:firstLine="0"/>
      </w:pPr>
      <w:r w:rsidRPr="0018416B">
        <w:t xml:space="preserve">In cases where </w:t>
      </w:r>
      <w:r>
        <w:t xml:space="preserve">clinically relevant </w:t>
      </w:r>
      <w:proofErr w:type="spellStart"/>
      <w:r>
        <w:t>mosaicism</w:t>
      </w:r>
      <w:proofErr w:type="spellEnd"/>
      <w:r>
        <w:t xml:space="preserve"> is suspected, </w:t>
      </w:r>
      <w:r w:rsidRPr="0018416B">
        <w:t>counting, analysis</w:t>
      </w:r>
      <w:r>
        <w:t xml:space="preserve"> or </w:t>
      </w:r>
      <w:r w:rsidRPr="0018416B">
        <w:t xml:space="preserve">scoring </w:t>
      </w:r>
      <w:r>
        <w:t xml:space="preserve">of at least 30 cells is recommended to exclude </w:t>
      </w:r>
      <w:proofErr w:type="spellStart"/>
      <w:r>
        <w:t>mosaicism</w:t>
      </w:r>
      <w:proofErr w:type="spellEnd"/>
      <w:r>
        <w:t xml:space="preserve"> of 10% at the 0.95 confidence level.</w:t>
      </w:r>
      <w:r w:rsidR="00D0072D" w:rsidRPr="00D0072D">
        <w:rPr>
          <w:vertAlign w:val="superscript"/>
        </w:rPr>
        <w:t>2</w:t>
      </w:r>
    </w:p>
    <w:p w:rsidR="007227D6" w:rsidRDefault="007227D6" w:rsidP="0018601A">
      <w:pPr>
        <w:pStyle w:val="NPCommentary"/>
        <w:ind w:left="0" w:firstLine="0"/>
      </w:pPr>
      <w:r>
        <w:t xml:space="preserve">For cancer </w:t>
      </w:r>
      <w:proofErr w:type="spellStart"/>
      <w:r>
        <w:t>cytogenetics</w:t>
      </w:r>
      <w:proofErr w:type="spellEnd"/>
      <w:r>
        <w:t>, if no chromosomal abnormality is found in the first five cells analysed, then a further five cells are to be fully analysed and an additional 10 cells are to be counted.</w:t>
      </w:r>
    </w:p>
    <w:p w:rsidR="0020058B" w:rsidRDefault="007227D6" w:rsidP="0018601A">
      <w:pPr>
        <w:pStyle w:val="NPCommentary"/>
        <w:ind w:left="0" w:firstLine="0"/>
      </w:pPr>
      <w:r>
        <w:t xml:space="preserve">FISH analysis may be the most appropriate method of confirming </w:t>
      </w:r>
      <w:proofErr w:type="spellStart"/>
      <w:r>
        <w:t>mosaicism</w:t>
      </w:r>
      <w:proofErr w:type="spellEnd"/>
      <w:r>
        <w:t xml:space="preserve"> or </w:t>
      </w:r>
      <w:proofErr w:type="spellStart"/>
      <w:r>
        <w:t>clonality</w:t>
      </w:r>
      <w:proofErr w:type="spellEnd"/>
      <w:r>
        <w:t xml:space="preserve"> if a suitable probe is available. </w:t>
      </w:r>
    </w:p>
    <w:p w:rsidR="007227D6" w:rsidRDefault="007227D6" w:rsidP="00CD2BAD">
      <w:pPr>
        <w:pStyle w:val="Heading2"/>
        <w:ind w:left="0" w:firstLine="0"/>
      </w:pPr>
      <w:bookmarkStart w:id="23" w:name="_Toc362260292"/>
      <w:r w:rsidRPr="0018416B">
        <w:t>Prenatal studies</w:t>
      </w:r>
      <w:bookmarkEnd w:id="23"/>
    </w:p>
    <w:p w:rsidR="007227D6" w:rsidRPr="0018416B" w:rsidRDefault="00D46995" w:rsidP="005F422A">
      <w:pPr>
        <w:pStyle w:val="NPStandard"/>
      </w:pPr>
      <w:r w:rsidRPr="0018416B">
        <w:t>S</w:t>
      </w:r>
      <w:r>
        <w:t>3</w:t>
      </w:r>
      <w:r w:rsidR="007227D6" w:rsidRPr="0018416B">
        <w:t>.1</w:t>
      </w:r>
      <w:r w:rsidR="007227D6" w:rsidRPr="0018416B">
        <w:rPr>
          <w:bCs/>
        </w:rPr>
        <w:tab/>
      </w:r>
      <w:r w:rsidR="007227D6" w:rsidRPr="0018416B">
        <w:t xml:space="preserve">Where analysis is performed on subcultured cells or suspension harvests, the analysis of prenatal cultures </w:t>
      </w:r>
      <w:r w:rsidR="007227D6">
        <w:t>must</w:t>
      </w:r>
      <w:r w:rsidR="007227D6" w:rsidRPr="0018416B">
        <w:t xml:space="preserve"> be derived</w:t>
      </w:r>
      <w:r w:rsidR="007227D6">
        <w:t>,</w:t>
      </w:r>
      <w:r w:rsidR="007227D6" w:rsidRPr="0018416B">
        <w:t xml:space="preserve"> where possible</w:t>
      </w:r>
      <w:r w:rsidR="007227D6">
        <w:t>,</w:t>
      </w:r>
      <w:r w:rsidR="007227D6" w:rsidRPr="0018416B">
        <w:t xml:space="preserve"> from at least two independent cultures. As a minimum, </w:t>
      </w:r>
      <w:r w:rsidR="007227D6">
        <w:t xml:space="preserve">five </w:t>
      </w:r>
      <w:r w:rsidR="007227D6" w:rsidRPr="0018416B">
        <w:t xml:space="preserve">banded cells </w:t>
      </w:r>
      <w:r w:rsidR="007227D6">
        <w:t>must</w:t>
      </w:r>
      <w:r w:rsidR="007227D6" w:rsidRPr="0018416B">
        <w:t xml:space="preserve"> be analysed.</w:t>
      </w:r>
    </w:p>
    <w:p w:rsidR="007227D6" w:rsidRDefault="00D46995" w:rsidP="005F422A">
      <w:pPr>
        <w:pStyle w:val="NPStandard"/>
      </w:pPr>
      <w:r w:rsidRPr="0018416B">
        <w:t>S</w:t>
      </w:r>
      <w:r>
        <w:t>3</w:t>
      </w:r>
      <w:r w:rsidR="007227D6" w:rsidRPr="0018416B">
        <w:t>.2</w:t>
      </w:r>
      <w:r w:rsidR="007227D6" w:rsidRPr="0018416B">
        <w:rPr>
          <w:bCs/>
        </w:rPr>
        <w:tab/>
      </w:r>
      <w:r w:rsidR="007227D6" w:rsidRPr="0018416B">
        <w:t xml:space="preserve">Where analysis is performed on primary colonies and sufficient colonies are available, no more than </w:t>
      </w:r>
      <w:r w:rsidR="007227D6">
        <w:t>two</w:t>
      </w:r>
      <w:r w:rsidR="007227D6" w:rsidRPr="0018416B">
        <w:t xml:space="preserve"> cells </w:t>
      </w:r>
      <w:r w:rsidR="007227D6">
        <w:t>must</w:t>
      </w:r>
      <w:r w:rsidR="007227D6" w:rsidRPr="0018416B">
        <w:t xml:space="preserve"> be counted and</w:t>
      </w:r>
      <w:r w:rsidR="007227D6">
        <w:t>/or</w:t>
      </w:r>
      <w:r w:rsidR="007227D6" w:rsidRPr="0018416B">
        <w:t xml:space="preserve"> analysed from a single </w:t>
      </w:r>
      <w:r w:rsidR="007227D6" w:rsidRPr="0018416B">
        <w:lastRenderedPageBreak/>
        <w:t>colony</w:t>
      </w:r>
      <w:r w:rsidR="007227D6">
        <w:t xml:space="preserve">. If discrepant analysis is detected between two cells in a single colony, then further analysis of that colony is required. </w:t>
      </w:r>
    </w:p>
    <w:p w:rsidR="007227D6" w:rsidRPr="0018416B" w:rsidRDefault="00A51FDB" w:rsidP="0018601A">
      <w:pPr>
        <w:pStyle w:val="NPGuideline"/>
        <w:ind w:left="1701" w:hanging="981"/>
      </w:pPr>
      <w:proofErr w:type="gramStart"/>
      <w:r>
        <w:t>C</w:t>
      </w:r>
      <w:r w:rsidR="009E6AE7">
        <w:t>3</w:t>
      </w:r>
      <w:r w:rsidR="007227D6">
        <w:t>.</w:t>
      </w:r>
      <w:r>
        <w:t>2(</w:t>
      </w:r>
      <w:proofErr w:type="gramEnd"/>
      <w:r w:rsidR="00991230">
        <w:t>i</w:t>
      </w:r>
      <w:r>
        <w:t>)</w:t>
      </w:r>
      <w:r>
        <w:tab/>
      </w:r>
      <w:r w:rsidR="007227D6" w:rsidRPr="0018416B">
        <w:t xml:space="preserve">For </w:t>
      </w:r>
      <w:r w:rsidR="007227D6" w:rsidRPr="006D04FD">
        <w:t>in situ</w:t>
      </w:r>
      <w:r w:rsidR="007227D6" w:rsidRPr="0018416B">
        <w:rPr>
          <w:i/>
          <w:iCs/>
        </w:rPr>
        <w:t xml:space="preserve"> </w:t>
      </w:r>
      <w:r w:rsidR="007227D6" w:rsidRPr="0018416B">
        <w:t>preparations, cells chosen should be selected from as many different colonies as are available, ideally representing at least two independent cultures.</w:t>
      </w:r>
    </w:p>
    <w:p w:rsidR="007227D6" w:rsidRDefault="00A51FDB" w:rsidP="0018601A">
      <w:pPr>
        <w:pStyle w:val="NPGuideline"/>
        <w:ind w:left="1701" w:hanging="981"/>
      </w:pPr>
      <w:proofErr w:type="gramStart"/>
      <w:r>
        <w:t>C</w:t>
      </w:r>
      <w:r w:rsidR="009E6AE7">
        <w:t>3</w:t>
      </w:r>
      <w:r w:rsidR="007227D6" w:rsidRPr="0018416B">
        <w:t>.</w:t>
      </w:r>
      <w:r>
        <w:t>2(</w:t>
      </w:r>
      <w:proofErr w:type="gramEnd"/>
      <w:r w:rsidR="00991230">
        <w:t>ii</w:t>
      </w:r>
      <w:r>
        <w:t>)</w:t>
      </w:r>
      <w:r w:rsidR="007227D6" w:rsidRPr="0018416B">
        <w:tab/>
      </w:r>
      <w:r w:rsidR="007227D6" w:rsidRPr="00173591">
        <w:rPr>
          <w:bCs/>
        </w:rPr>
        <w:t>If there are insufficient colonies or if only one culture is an</w:t>
      </w:r>
      <w:r w:rsidR="007227D6">
        <w:rPr>
          <w:bCs/>
        </w:rPr>
        <w:t>a</w:t>
      </w:r>
      <w:r w:rsidR="007227D6" w:rsidRPr="00173591">
        <w:rPr>
          <w:bCs/>
        </w:rPr>
        <w:t>lysed</w:t>
      </w:r>
      <w:r w:rsidR="007227D6">
        <w:rPr>
          <w:bCs/>
        </w:rPr>
        <w:t xml:space="preserve">, </w:t>
      </w:r>
      <w:r w:rsidR="007227D6" w:rsidRPr="00173591">
        <w:t>then</w:t>
      </w:r>
      <w:r w:rsidR="007227D6" w:rsidRPr="0018416B">
        <w:t xml:space="preserve"> a comment to this effect should be made in the report.</w:t>
      </w:r>
      <w:r w:rsidR="007227D6">
        <w:rPr>
          <w:rStyle w:val="FootnoteReference"/>
        </w:rPr>
        <w:footnoteReference w:id="1"/>
      </w:r>
    </w:p>
    <w:p w:rsidR="007227D6" w:rsidRPr="00106E14" w:rsidRDefault="00A51FDB" w:rsidP="0018601A">
      <w:pPr>
        <w:pStyle w:val="NPGuideline"/>
        <w:ind w:left="1701" w:hanging="981"/>
      </w:pPr>
      <w:r>
        <w:t>C</w:t>
      </w:r>
      <w:r w:rsidR="009E6AE7">
        <w:t>3</w:t>
      </w:r>
      <w:r w:rsidR="007227D6" w:rsidRPr="0018416B">
        <w:t>.</w:t>
      </w:r>
      <w:r>
        <w:t>2(</w:t>
      </w:r>
      <w:r w:rsidR="00991230">
        <w:t>iii</w:t>
      </w:r>
      <w:r>
        <w:t>)</w:t>
      </w:r>
      <w:r>
        <w:tab/>
      </w:r>
      <w:r w:rsidR="007227D6" w:rsidRPr="0018416B">
        <w:t xml:space="preserve">A written procedure for delineating different types of </w:t>
      </w:r>
      <w:proofErr w:type="spellStart"/>
      <w:r w:rsidR="007227D6" w:rsidRPr="0018416B">
        <w:t>mosaicism</w:t>
      </w:r>
      <w:proofErr w:type="spellEnd"/>
      <w:r w:rsidR="007227D6" w:rsidRPr="0018416B">
        <w:t xml:space="preserve"> should be available </w:t>
      </w:r>
      <w:r w:rsidR="007227D6" w:rsidRPr="00106E14">
        <w:t xml:space="preserve">within the </w:t>
      </w:r>
      <w:r w:rsidR="00C13C39" w:rsidRPr="00CD2BAD">
        <w:t>Laboratory</w:t>
      </w:r>
      <w:r w:rsidR="007227D6" w:rsidRPr="00106E14">
        <w:t>, noting that individual cases require careful assessment and discussion, and that the numbers of cells counted and analysed may need to be greater than the minimum guidelines.</w:t>
      </w:r>
    </w:p>
    <w:p w:rsidR="007227D6" w:rsidRPr="00AE0714" w:rsidRDefault="00A51FDB" w:rsidP="0018601A">
      <w:pPr>
        <w:pStyle w:val="NPCommentary"/>
        <w:ind w:left="1701" w:hanging="981"/>
      </w:pPr>
      <w:proofErr w:type="gramStart"/>
      <w:r w:rsidRPr="00106E14">
        <w:t>C</w:t>
      </w:r>
      <w:r w:rsidR="009E6AE7" w:rsidRPr="002365DB">
        <w:t>3</w:t>
      </w:r>
      <w:r w:rsidRPr="00576140">
        <w:t>.2(</w:t>
      </w:r>
      <w:proofErr w:type="gramEnd"/>
      <w:r w:rsidR="00991230" w:rsidRPr="00AE0714">
        <w:t>iv</w:t>
      </w:r>
      <w:r w:rsidRPr="00AE0714">
        <w:t>)</w:t>
      </w:r>
      <w:r w:rsidRPr="00AE0714">
        <w:tab/>
      </w:r>
      <w:r w:rsidR="007227D6" w:rsidRPr="00AE0714">
        <w:t xml:space="preserve">The in situ colony method is recommended to facilitate the elucidation of </w:t>
      </w:r>
      <w:proofErr w:type="spellStart"/>
      <w:r w:rsidR="007227D6" w:rsidRPr="00AE0714">
        <w:t>mosaicism</w:t>
      </w:r>
      <w:proofErr w:type="spellEnd"/>
      <w:r w:rsidR="007227D6" w:rsidRPr="00AE0714">
        <w:t xml:space="preserve"> and in vitro abnormalities.</w:t>
      </w:r>
    </w:p>
    <w:p w:rsidR="00BD0EB3" w:rsidRPr="001C14C6" w:rsidRDefault="007227D6" w:rsidP="007227D6">
      <w:pPr>
        <w:pStyle w:val="Heading2"/>
      </w:pPr>
      <w:bookmarkStart w:id="24" w:name="_Toc362260293"/>
      <w:r w:rsidRPr="00AE0714">
        <w:t>Acquired disorders (bo</w:t>
      </w:r>
      <w:r w:rsidRPr="005F294D">
        <w:t>ne marrow, malignant tissue)</w:t>
      </w:r>
      <w:bookmarkEnd w:id="24"/>
    </w:p>
    <w:p w:rsidR="007227D6" w:rsidRPr="004A1D37" w:rsidRDefault="007227D6" w:rsidP="0018601A">
      <w:pPr>
        <w:pStyle w:val="NPCommentary"/>
        <w:ind w:left="0" w:firstLine="0"/>
      </w:pPr>
      <w:r w:rsidRPr="004A1D37">
        <w:t>Where there is evidence of clonal evolution, sufficient cells should be examined to elucidate this. Since abnormal cells are often of poorer morphology than normal cells, this should be taken into account when selecting cells for analysis.</w:t>
      </w:r>
    </w:p>
    <w:p w:rsidR="007227D6" w:rsidRPr="004A1D37" w:rsidRDefault="007227D6" w:rsidP="007227D6">
      <w:pPr>
        <w:pStyle w:val="Heading2"/>
      </w:pPr>
      <w:bookmarkStart w:id="25" w:name="_Toc158446256"/>
      <w:bookmarkStart w:id="26" w:name="_Toc362260294"/>
      <w:r w:rsidRPr="004A1D37">
        <w:t>Banding methods</w:t>
      </w:r>
      <w:bookmarkEnd w:id="25"/>
      <w:bookmarkEnd w:id="26"/>
    </w:p>
    <w:p w:rsidR="007227D6" w:rsidRPr="00AC7D9E" w:rsidRDefault="007227D6" w:rsidP="00CD40BD">
      <w:pPr>
        <w:pStyle w:val="NPStandard"/>
      </w:pPr>
      <w:r w:rsidRPr="002D6546">
        <w:t>S</w:t>
      </w:r>
      <w:r w:rsidR="009E6AE7" w:rsidRPr="002D6546">
        <w:t>3</w:t>
      </w:r>
      <w:r w:rsidRPr="002D6546">
        <w:t>.3</w:t>
      </w:r>
      <w:r w:rsidRPr="002D6546">
        <w:rPr>
          <w:bCs/>
        </w:rPr>
        <w:tab/>
      </w:r>
      <w:r w:rsidRPr="00F61DDD">
        <w:t>Banding studies using G-bands mus</w:t>
      </w:r>
      <w:r w:rsidRPr="00AC7D9E">
        <w:t>t be routine in all karyotyping.</w:t>
      </w:r>
    </w:p>
    <w:p w:rsidR="007227D6" w:rsidRPr="00106E14" w:rsidRDefault="009E6AE7" w:rsidP="00CD40BD">
      <w:pPr>
        <w:pStyle w:val="NPStandard"/>
      </w:pPr>
      <w:r w:rsidRPr="00916808">
        <w:t>S3</w:t>
      </w:r>
      <w:r w:rsidR="007227D6" w:rsidRPr="004348DD">
        <w:t>.4</w:t>
      </w:r>
      <w:r w:rsidR="007227D6" w:rsidRPr="006F5F0A">
        <w:rPr>
          <w:bCs/>
        </w:rPr>
        <w:tab/>
      </w:r>
      <w:r w:rsidR="007227D6" w:rsidRPr="00C66E16">
        <w:t xml:space="preserve">Copies of the most recent International System for Human Cytogenetic Nomenclature (ISCN) must be readily available in the </w:t>
      </w:r>
      <w:r w:rsidR="00C13C39" w:rsidRPr="00CD2BAD">
        <w:t>Laboratory</w:t>
      </w:r>
      <w:r w:rsidR="007227D6" w:rsidRPr="00106E14">
        <w:t>.</w:t>
      </w:r>
    </w:p>
    <w:p w:rsidR="00A71C49" w:rsidRPr="0018416B" w:rsidRDefault="00A26619" w:rsidP="00383AB2">
      <w:pPr>
        <w:ind w:left="1701" w:hanging="970"/>
      </w:pPr>
      <w:proofErr w:type="gramStart"/>
      <w:r w:rsidRPr="00106E14">
        <w:t>C</w:t>
      </w:r>
      <w:r w:rsidR="009E6AE7" w:rsidRPr="00106E14">
        <w:t>3</w:t>
      </w:r>
      <w:r w:rsidRPr="00106E14">
        <w:t>.4(</w:t>
      </w:r>
      <w:proofErr w:type="gramEnd"/>
      <w:r w:rsidR="00991230" w:rsidRPr="00106E14">
        <w:t>i</w:t>
      </w:r>
      <w:r w:rsidRPr="002365DB">
        <w:t>)</w:t>
      </w:r>
      <w:r w:rsidRPr="00576140">
        <w:tab/>
      </w:r>
      <w:r w:rsidR="007227D6" w:rsidRPr="00AE0714">
        <w:t>The ISCN defines levels of banding. These can be used as a guide for establishing the degree of resolution achieved in producing</w:t>
      </w:r>
      <w:r w:rsidR="007227D6" w:rsidRPr="0018416B">
        <w:t xml:space="preserve"> a result.</w:t>
      </w:r>
      <w:r w:rsidR="00A71C49">
        <w:t xml:space="preserve"> </w:t>
      </w:r>
    </w:p>
    <w:p w:rsidR="007227D6" w:rsidRPr="005B7253" w:rsidRDefault="00A71C49" w:rsidP="00383AB2">
      <w:pPr>
        <w:ind w:left="1701" w:hanging="970"/>
      </w:pPr>
      <w:proofErr w:type="gramStart"/>
      <w:r>
        <w:t>C</w:t>
      </w:r>
      <w:r w:rsidR="009E6AE7">
        <w:t>3</w:t>
      </w:r>
      <w:r>
        <w:t>.4(</w:t>
      </w:r>
      <w:proofErr w:type="gramEnd"/>
      <w:r w:rsidR="00991230">
        <w:t>ii</w:t>
      </w:r>
      <w:r>
        <w:t>)</w:t>
      </w:r>
      <w:r>
        <w:tab/>
      </w:r>
      <w:r w:rsidR="007227D6" w:rsidRPr="000A5623">
        <w:t xml:space="preserve">The ISCN level may be identified in the patient’s report. An acceptable </w:t>
      </w:r>
      <w:r w:rsidR="007227D6" w:rsidRPr="00955E25">
        <w:t>degree of resolution will vary with the abnormality expected</w:t>
      </w:r>
      <w:r w:rsidR="00634753" w:rsidRPr="005B7253">
        <w:t>.</w:t>
      </w:r>
    </w:p>
    <w:p w:rsidR="007227D6" w:rsidRPr="0018416B" w:rsidRDefault="00A26619" w:rsidP="00383AB2">
      <w:pPr>
        <w:pStyle w:val="NPGuideline"/>
        <w:ind w:left="1701" w:hanging="966"/>
      </w:pPr>
      <w:proofErr w:type="gramStart"/>
      <w:r w:rsidRPr="005B7253">
        <w:t>C</w:t>
      </w:r>
      <w:r w:rsidR="009E6AE7" w:rsidRPr="005B7253">
        <w:t>3</w:t>
      </w:r>
      <w:r w:rsidRPr="005B7253">
        <w:t>.4</w:t>
      </w:r>
      <w:r w:rsidR="00371E49" w:rsidRPr="005B7253">
        <w:t>(</w:t>
      </w:r>
      <w:proofErr w:type="gramEnd"/>
      <w:r w:rsidR="00371E49" w:rsidRPr="005B7253">
        <w:t>iii)</w:t>
      </w:r>
      <w:r w:rsidR="007227D6" w:rsidRPr="00E06E8D">
        <w:tab/>
        <w:t xml:space="preserve">Additional banding/chromosome identification methods, such as R, Q, C, Ag-NOR, </w:t>
      </w:r>
      <w:proofErr w:type="spellStart"/>
      <w:r w:rsidR="002F5C49">
        <w:t>d</w:t>
      </w:r>
      <w:r w:rsidR="007227D6" w:rsidRPr="00E06E8D">
        <w:t>istamycin</w:t>
      </w:r>
      <w:proofErr w:type="spellEnd"/>
      <w:r w:rsidR="007227D6" w:rsidRPr="00E06E8D">
        <w:t xml:space="preserve"> A and DAPI (4’, 6’-diamidino-2’-phenylindole), should be</w:t>
      </w:r>
      <w:r w:rsidR="007227D6" w:rsidRPr="0018416B">
        <w:t xml:space="preserve"> available for appropriate cases.</w:t>
      </w:r>
    </w:p>
    <w:p w:rsidR="007227D6" w:rsidRPr="0018416B" w:rsidRDefault="007227D6" w:rsidP="007227D6">
      <w:pPr>
        <w:pStyle w:val="Heading2"/>
      </w:pPr>
      <w:bookmarkStart w:id="27" w:name="_Toc158446257"/>
      <w:bookmarkStart w:id="28" w:name="_Toc362260295"/>
      <w:r w:rsidRPr="0018416B">
        <w:t>Verification of chromosomal analysis</w:t>
      </w:r>
      <w:bookmarkEnd w:id="27"/>
      <w:bookmarkEnd w:id="28"/>
    </w:p>
    <w:p w:rsidR="007227D6" w:rsidRPr="0018416B" w:rsidRDefault="007227D6" w:rsidP="00AA7179">
      <w:pPr>
        <w:pStyle w:val="NPStandard"/>
        <w:rPr>
          <w:bCs/>
        </w:rPr>
      </w:pPr>
      <w:r w:rsidRPr="0018416B">
        <w:t>S</w:t>
      </w:r>
      <w:r w:rsidR="009E6AE7">
        <w:t>3</w:t>
      </w:r>
      <w:r w:rsidRPr="0018416B">
        <w:t>.5</w:t>
      </w:r>
      <w:r>
        <w:tab/>
      </w:r>
      <w:r>
        <w:rPr>
          <w:bCs/>
        </w:rPr>
        <w:t>A</w:t>
      </w:r>
      <w:r w:rsidRPr="0018416B">
        <w:t xml:space="preserve"> second </w:t>
      </w:r>
      <w:r>
        <w:t xml:space="preserve">experienced </w:t>
      </w:r>
      <w:proofErr w:type="spellStart"/>
      <w:r>
        <w:t>cytogeneticist</w:t>
      </w:r>
      <w:proofErr w:type="spellEnd"/>
      <w:r>
        <w:t xml:space="preserve"> must c</w:t>
      </w:r>
      <w:r w:rsidRPr="0018416B">
        <w:t>heck all cases</w:t>
      </w:r>
      <w:r>
        <w:t>.</w:t>
      </w:r>
    </w:p>
    <w:p w:rsidR="007227D6" w:rsidRPr="0018416B" w:rsidRDefault="00A26619" w:rsidP="00383AB2">
      <w:pPr>
        <w:pStyle w:val="NPGuideline"/>
        <w:ind w:left="1701" w:hanging="981"/>
      </w:pPr>
      <w:r>
        <w:t>C</w:t>
      </w:r>
      <w:r w:rsidR="009E6AE7">
        <w:t>3</w:t>
      </w:r>
      <w:r>
        <w:t>.5</w:t>
      </w:r>
      <w:r>
        <w:tab/>
      </w:r>
      <w:r w:rsidR="007227D6" w:rsidRPr="0018416B">
        <w:t>A</w:t>
      </w:r>
      <w:r w:rsidR="007227D6">
        <w:t xml:space="preserve"> second experienced </w:t>
      </w:r>
      <w:proofErr w:type="spellStart"/>
      <w:r w:rsidR="007227D6">
        <w:t>cytogeneticist</w:t>
      </w:r>
      <w:proofErr w:type="spellEnd"/>
      <w:r w:rsidR="007227D6">
        <w:t xml:space="preserve"> </w:t>
      </w:r>
      <w:r w:rsidR="007227D6" w:rsidRPr="0018416B">
        <w:t xml:space="preserve">should check all cases by analysing every chromosome, band by band, in at least </w:t>
      </w:r>
      <w:r w:rsidR="007227D6">
        <w:t>two</w:t>
      </w:r>
      <w:r w:rsidR="007227D6" w:rsidRPr="0018416B">
        <w:t xml:space="preserve"> complete cells, either by direct microscopy</w:t>
      </w:r>
      <w:r w:rsidR="007227D6">
        <w:t>,</w:t>
      </w:r>
      <w:r w:rsidR="007227D6" w:rsidRPr="0018416B">
        <w:t xml:space="preserve"> photographs</w:t>
      </w:r>
      <w:r w:rsidR="007227D6">
        <w:t xml:space="preserve"> </w:t>
      </w:r>
      <w:r w:rsidR="007227D6" w:rsidRPr="0018416B">
        <w:t>or digital image</w:t>
      </w:r>
      <w:r w:rsidR="007227D6">
        <w:t>s</w:t>
      </w:r>
      <w:r w:rsidR="007227D6" w:rsidRPr="0018416B">
        <w:t>.</w:t>
      </w:r>
    </w:p>
    <w:p w:rsidR="007227D6" w:rsidRPr="0018416B" w:rsidRDefault="007227D6" w:rsidP="007227D6">
      <w:pPr>
        <w:pStyle w:val="Heading2"/>
      </w:pPr>
      <w:bookmarkStart w:id="29" w:name="_Toc158446258"/>
      <w:bookmarkStart w:id="30" w:name="_Toc362260296"/>
      <w:r w:rsidRPr="0018416B">
        <w:lastRenderedPageBreak/>
        <w:t>Karyotyping</w:t>
      </w:r>
      <w:bookmarkEnd w:id="29"/>
      <w:bookmarkEnd w:id="30"/>
    </w:p>
    <w:p w:rsidR="007227D6" w:rsidRPr="0018416B" w:rsidRDefault="007227D6" w:rsidP="00AA7179">
      <w:pPr>
        <w:pStyle w:val="NPStandard"/>
      </w:pPr>
      <w:r w:rsidRPr="0018416B">
        <w:t>S</w:t>
      </w:r>
      <w:r w:rsidR="009E6AE7">
        <w:t>3</w:t>
      </w:r>
      <w:r w:rsidRPr="0018416B">
        <w:t>.6</w:t>
      </w:r>
      <w:r w:rsidRPr="0018416B">
        <w:rPr>
          <w:bCs/>
        </w:rPr>
        <w:tab/>
      </w:r>
      <w:r w:rsidRPr="0018416B">
        <w:t xml:space="preserve">All cases </w:t>
      </w:r>
      <w:r>
        <w:t>must</w:t>
      </w:r>
      <w:r w:rsidRPr="0018416B">
        <w:t xml:space="preserve"> have at least </w:t>
      </w:r>
      <w:r>
        <w:t>two</w:t>
      </w:r>
      <w:r w:rsidRPr="0018416B">
        <w:t xml:space="preserve"> karyotype</w:t>
      </w:r>
      <w:r>
        <w:t>s/</w:t>
      </w:r>
      <w:r w:rsidRPr="0018416B">
        <w:t xml:space="preserve">images prepared and </w:t>
      </w:r>
      <w:r>
        <w:t xml:space="preserve">archived as part of </w:t>
      </w:r>
      <w:r w:rsidRPr="0018416B">
        <w:t>the</w:t>
      </w:r>
      <w:r>
        <w:t xml:space="preserve"> </w:t>
      </w:r>
      <w:r w:rsidRPr="00106E14">
        <w:t xml:space="preserve">patient’s </w:t>
      </w:r>
      <w:r w:rsidR="00C13C39" w:rsidRPr="00CD2BAD">
        <w:t>Laboratory</w:t>
      </w:r>
      <w:r w:rsidR="00C13C39" w:rsidRPr="00106E14">
        <w:t xml:space="preserve"> </w:t>
      </w:r>
      <w:r w:rsidRPr="00106E14">
        <w:t>record</w:t>
      </w:r>
      <w:r>
        <w:t xml:space="preserve"> to </w:t>
      </w:r>
      <w:r w:rsidRPr="0018416B">
        <w:t>allow retrieval of sufficient information to confirm the result</w:t>
      </w:r>
      <w:r>
        <w:t>.</w:t>
      </w:r>
    </w:p>
    <w:p w:rsidR="007227D6" w:rsidRPr="0018416B" w:rsidRDefault="007227D6" w:rsidP="007227D6">
      <w:pPr>
        <w:pStyle w:val="Heading2"/>
      </w:pPr>
      <w:bookmarkStart w:id="31" w:name="_Toc158446259"/>
      <w:bookmarkStart w:id="32" w:name="_Toc362260297"/>
      <w:r w:rsidRPr="0018416B">
        <w:t>Use of molecular techniques</w:t>
      </w:r>
      <w:bookmarkEnd w:id="31"/>
      <w:bookmarkEnd w:id="32"/>
    </w:p>
    <w:p w:rsidR="007227D6" w:rsidRPr="0018416B" w:rsidRDefault="007227D6" w:rsidP="00AA7179">
      <w:pPr>
        <w:pStyle w:val="NPStandard"/>
      </w:pPr>
      <w:r w:rsidRPr="0018416B">
        <w:t>S</w:t>
      </w:r>
      <w:r w:rsidR="009E6AE7">
        <w:t>3</w:t>
      </w:r>
      <w:r w:rsidRPr="0018416B">
        <w:t>.7</w:t>
      </w:r>
      <w:r w:rsidRPr="0018416B">
        <w:rPr>
          <w:bCs/>
        </w:rPr>
        <w:tab/>
      </w:r>
      <w:r w:rsidRPr="0018416B">
        <w:t xml:space="preserve">Validated molecular techniques </w:t>
      </w:r>
      <w:r>
        <w:t xml:space="preserve">must </w:t>
      </w:r>
      <w:r w:rsidRPr="0018416B">
        <w:t xml:space="preserve">be used where there is proven benefit compared </w:t>
      </w:r>
      <w:r>
        <w:t>with</w:t>
      </w:r>
      <w:r w:rsidRPr="0018416B">
        <w:t xml:space="preserve"> conventional </w:t>
      </w:r>
      <w:proofErr w:type="spellStart"/>
      <w:r w:rsidRPr="0018416B">
        <w:t>cytogenetics</w:t>
      </w:r>
      <w:proofErr w:type="spellEnd"/>
      <w:r w:rsidRPr="0018416B">
        <w:t xml:space="preserve"> techniques</w:t>
      </w:r>
      <w:r>
        <w:t>.</w:t>
      </w:r>
    </w:p>
    <w:p w:rsidR="00602301" w:rsidRDefault="009E6AE7" w:rsidP="00DE1EB3">
      <w:pPr>
        <w:pStyle w:val="NPStandard"/>
      </w:pPr>
      <w:r w:rsidRPr="0018416B">
        <w:t>S</w:t>
      </w:r>
      <w:r>
        <w:t>3</w:t>
      </w:r>
      <w:r w:rsidR="007227D6" w:rsidRPr="0018416B">
        <w:t>.</w:t>
      </w:r>
      <w:r w:rsidR="007227D6">
        <w:t>8</w:t>
      </w:r>
      <w:r w:rsidR="007227D6" w:rsidRPr="0018416B">
        <w:tab/>
        <w:t xml:space="preserve">Fragile X testing </w:t>
      </w:r>
      <w:r w:rsidR="007227D6">
        <w:t>must</w:t>
      </w:r>
      <w:r w:rsidR="007227D6" w:rsidRPr="0018416B">
        <w:t xml:space="preserve"> be carried out by molecular methods rather than cytogenetic methods.</w:t>
      </w:r>
    </w:p>
    <w:p w:rsidR="00602301" w:rsidRPr="00CD2BAD" w:rsidRDefault="009E6AE7" w:rsidP="00E31C9D">
      <w:pPr>
        <w:pStyle w:val="Heading2"/>
      </w:pPr>
      <w:bookmarkStart w:id="33" w:name="_Toc362260298"/>
      <w:r w:rsidRPr="00CD2BAD">
        <w:t>4</w:t>
      </w:r>
      <w:r w:rsidR="00304215" w:rsidRPr="00CD2BAD">
        <w:t>.</w:t>
      </w:r>
      <w:r w:rsidR="00602301" w:rsidRPr="00CD2BAD">
        <w:tab/>
      </w:r>
      <w:r w:rsidR="00AA7179" w:rsidRPr="00CD2BAD">
        <w:t>Fluorescence in situ hybridisation</w:t>
      </w:r>
      <w:bookmarkEnd w:id="33"/>
    </w:p>
    <w:p w:rsidR="00A26619" w:rsidRPr="0018601A" w:rsidRDefault="00A26619" w:rsidP="0018601A">
      <w:pPr>
        <w:rPr>
          <w:rFonts w:ascii="Arial" w:hAnsi="Arial" w:cs="Arial"/>
          <w:b/>
          <w:szCs w:val="24"/>
        </w:rPr>
      </w:pPr>
      <w:r w:rsidRPr="0018601A">
        <w:rPr>
          <w:rFonts w:ascii="Arial" w:hAnsi="Arial" w:cs="Arial"/>
          <w:b/>
          <w:szCs w:val="24"/>
        </w:rPr>
        <w:t xml:space="preserve">(Refer to </w:t>
      </w:r>
      <w:r w:rsidR="00CD152A" w:rsidRPr="00991230">
        <w:rPr>
          <w:rFonts w:ascii="Arial" w:hAnsi="Arial" w:cs="Arial"/>
          <w:b/>
          <w:szCs w:val="24"/>
        </w:rPr>
        <w:t>Standard 4, Standard 5</w:t>
      </w:r>
      <w:r w:rsidR="00A71C49" w:rsidRPr="0018601A">
        <w:rPr>
          <w:rFonts w:ascii="Arial" w:hAnsi="Arial" w:cs="Arial"/>
          <w:b/>
          <w:szCs w:val="24"/>
        </w:rPr>
        <w:t xml:space="preserve"> and </w:t>
      </w:r>
      <w:r w:rsidR="00CD152A" w:rsidRPr="00991230">
        <w:rPr>
          <w:rFonts w:ascii="Arial" w:hAnsi="Arial" w:cs="Arial"/>
          <w:b/>
          <w:szCs w:val="24"/>
        </w:rPr>
        <w:t>Standard 6</w:t>
      </w:r>
      <w:r w:rsidRPr="0018601A">
        <w:rPr>
          <w:rFonts w:ascii="Arial" w:hAnsi="Arial" w:cs="Arial"/>
          <w:b/>
          <w:szCs w:val="24"/>
        </w:rPr>
        <w:t xml:space="preserve"> in </w:t>
      </w:r>
      <w:r w:rsidR="00CD152A" w:rsidRPr="00991230">
        <w:rPr>
          <w:rFonts w:ascii="Arial" w:hAnsi="Arial" w:cs="Arial"/>
          <w:b/>
          <w:i/>
          <w:szCs w:val="24"/>
        </w:rPr>
        <w:t>Requirements for Medical Pathology Services</w:t>
      </w:r>
      <w:r w:rsidRPr="0018601A">
        <w:rPr>
          <w:rFonts w:ascii="Arial" w:hAnsi="Arial" w:cs="Arial"/>
          <w:b/>
          <w:szCs w:val="24"/>
        </w:rPr>
        <w:t>)</w:t>
      </w:r>
    </w:p>
    <w:p w:rsidR="00AA7179" w:rsidRPr="0018416B" w:rsidRDefault="002F5C49" w:rsidP="00AA7179">
      <w:pPr>
        <w:pStyle w:val="Heading2"/>
      </w:pPr>
      <w:bookmarkStart w:id="34" w:name="_Toc158446261"/>
      <w:bookmarkStart w:id="35" w:name="_Toc362260299"/>
      <w:r>
        <w:t>Fluorescence in situ hybridisation (</w:t>
      </w:r>
      <w:r w:rsidR="00AA7179" w:rsidRPr="0018416B">
        <w:t>FISH</w:t>
      </w:r>
      <w:r>
        <w:t>)</w:t>
      </w:r>
      <w:r w:rsidR="00AA7179" w:rsidRPr="0018416B">
        <w:t xml:space="preserve"> techniques</w:t>
      </w:r>
      <w:bookmarkEnd w:id="34"/>
      <w:bookmarkEnd w:id="35"/>
    </w:p>
    <w:p w:rsidR="00AA7179" w:rsidRPr="006B0213" w:rsidRDefault="00AA7179" w:rsidP="00AA7179">
      <w:pPr>
        <w:pStyle w:val="NPStandard"/>
        <w:rPr>
          <w:rFonts w:eastAsia="MS Mincho"/>
        </w:rPr>
      </w:pPr>
      <w:r w:rsidRPr="0018416B">
        <w:rPr>
          <w:rFonts w:eastAsia="MS Mincho"/>
        </w:rPr>
        <w:t>S</w:t>
      </w:r>
      <w:r w:rsidR="009E6AE7">
        <w:rPr>
          <w:rFonts w:eastAsia="MS Mincho"/>
        </w:rPr>
        <w:t>4</w:t>
      </w:r>
      <w:r w:rsidRPr="0018416B">
        <w:rPr>
          <w:rFonts w:eastAsia="MS Mincho"/>
        </w:rPr>
        <w:t>.1</w:t>
      </w:r>
      <w:r w:rsidRPr="0018416B">
        <w:rPr>
          <w:rFonts w:eastAsia="MS Mincho"/>
        </w:rPr>
        <w:tab/>
        <w:t xml:space="preserve">Most </w:t>
      </w:r>
      <w:r w:rsidRPr="00106E14">
        <w:rPr>
          <w:rFonts w:eastAsia="MS Mincho"/>
        </w:rPr>
        <w:t xml:space="preserve">established FISH methods would usually be within the routine repertoire of the </w:t>
      </w:r>
      <w:r w:rsidRPr="004348DD">
        <w:rPr>
          <w:rFonts w:eastAsia="MS Mincho"/>
        </w:rPr>
        <w:t xml:space="preserve">diagnostic </w:t>
      </w:r>
      <w:r w:rsidR="00C13C39" w:rsidRPr="00CD2BAD">
        <w:rPr>
          <w:rFonts w:eastAsia="MS Mincho"/>
        </w:rPr>
        <w:t>Laboratory</w:t>
      </w:r>
      <w:r w:rsidRPr="004348DD">
        <w:rPr>
          <w:rFonts w:eastAsia="MS Mincho"/>
        </w:rPr>
        <w:t xml:space="preserve">, using commercially available probes. If not, then the </w:t>
      </w:r>
      <w:r w:rsidR="00C13C39" w:rsidRPr="00CD2BAD">
        <w:rPr>
          <w:rFonts w:eastAsia="MS Mincho"/>
        </w:rPr>
        <w:t xml:space="preserve">Laboratory </w:t>
      </w:r>
      <w:r w:rsidRPr="004348DD">
        <w:rPr>
          <w:rFonts w:eastAsia="MS Mincho"/>
        </w:rPr>
        <w:t>must have documented policies</w:t>
      </w:r>
      <w:r w:rsidRPr="006F5F0A">
        <w:rPr>
          <w:rFonts w:eastAsia="MS Mincho"/>
        </w:rPr>
        <w:t xml:space="preserve"> and procedures for referral of </w:t>
      </w:r>
      <w:r w:rsidR="005F294D" w:rsidRPr="00C66E16">
        <w:t xml:space="preserve">Specimens </w:t>
      </w:r>
      <w:r w:rsidRPr="006B0213">
        <w:rPr>
          <w:rFonts w:eastAsia="MS Mincho"/>
        </w:rPr>
        <w:t>for FISH analysis.</w:t>
      </w:r>
    </w:p>
    <w:p w:rsidR="00A26619" w:rsidRPr="00D40D5F" w:rsidRDefault="00A26619" w:rsidP="00991230">
      <w:pPr>
        <w:pStyle w:val="NPCommentary"/>
        <w:tabs>
          <w:tab w:val="left" w:pos="1701"/>
        </w:tabs>
        <w:spacing w:after="120"/>
        <w:ind w:left="1701" w:hanging="981"/>
      </w:pPr>
      <w:proofErr w:type="gramStart"/>
      <w:r w:rsidRPr="006B0213">
        <w:t>C</w:t>
      </w:r>
      <w:r w:rsidR="009E6AE7" w:rsidRPr="004B7723">
        <w:t>4</w:t>
      </w:r>
      <w:r w:rsidRPr="001E4A60">
        <w:t>.1(</w:t>
      </w:r>
      <w:proofErr w:type="gramEnd"/>
      <w:r w:rsidR="00991230" w:rsidRPr="00D40D5F">
        <w:t>i</w:t>
      </w:r>
      <w:r w:rsidRPr="00D40D5F">
        <w:t>)</w:t>
      </w:r>
      <w:r w:rsidRPr="00D40D5F">
        <w:tab/>
        <w:t xml:space="preserve">Routine FISH </w:t>
      </w:r>
      <w:proofErr w:type="spellStart"/>
      <w:r w:rsidRPr="00D40D5F">
        <w:t>cytogenetics</w:t>
      </w:r>
      <w:proofErr w:type="spellEnd"/>
      <w:r w:rsidRPr="00D40D5F">
        <w:t xml:space="preserve"> techniques include:</w:t>
      </w:r>
    </w:p>
    <w:p w:rsidR="00A26619" w:rsidRPr="009E397E" w:rsidRDefault="00A26619" w:rsidP="0018601A">
      <w:pPr>
        <w:pStyle w:val="NPCommentaryIndent"/>
        <w:numPr>
          <w:ilvl w:val="0"/>
          <w:numId w:val="11"/>
        </w:numPr>
        <w:tabs>
          <w:tab w:val="left" w:pos="2127"/>
        </w:tabs>
        <w:spacing w:after="120"/>
        <w:ind w:left="2127" w:hanging="426"/>
        <w:rPr>
          <w:rFonts w:eastAsia="MS Mincho"/>
        </w:rPr>
      </w:pPr>
      <w:r w:rsidRPr="009E397E">
        <w:rPr>
          <w:rFonts w:eastAsia="MS Mincho"/>
        </w:rPr>
        <w:t>chromosome painting</w:t>
      </w:r>
    </w:p>
    <w:p w:rsidR="00A26619" w:rsidRPr="009E397E" w:rsidRDefault="00A26619" w:rsidP="0018601A">
      <w:pPr>
        <w:pStyle w:val="NPCommentaryIndent"/>
        <w:numPr>
          <w:ilvl w:val="0"/>
          <w:numId w:val="11"/>
        </w:numPr>
        <w:tabs>
          <w:tab w:val="left" w:pos="2127"/>
        </w:tabs>
        <w:spacing w:after="120"/>
        <w:ind w:left="2127" w:hanging="426"/>
        <w:rPr>
          <w:rFonts w:eastAsia="MS Mincho"/>
        </w:rPr>
      </w:pPr>
      <w:r w:rsidRPr="009E397E">
        <w:rPr>
          <w:rFonts w:eastAsia="MS Mincho"/>
        </w:rPr>
        <w:t xml:space="preserve">identification of </w:t>
      </w:r>
      <w:proofErr w:type="spellStart"/>
      <w:r w:rsidRPr="009E397E">
        <w:rPr>
          <w:rFonts w:eastAsia="MS Mincho"/>
        </w:rPr>
        <w:t>telomeric</w:t>
      </w:r>
      <w:proofErr w:type="spellEnd"/>
      <w:r w:rsidRPr="009E397E">
        <w:rPr>
          <w:rFonts w:eastAsia="MS Mincho"/>
        </w:rPr>
        <w:t xml:space="preserve">, </w:t>
      </w:r>
      <w:proofErr w:type="spellStart"/>
      <w:r w:rsidRPr="009E397E">
        <w:rPr>
          <w:rFonts w:eastAsia="MS Mincho"/>
        </w:rPr>
        <w:t>subtelomeric</w:t>
      </w:r>
      <w:proofErr w:type="spellEnd"/>
      <w:r w:rsidRPr="009E397E">
        <w:rPr>
          <w:rFonts w:eastAsia="MS Mincho"/>
        </w:rPr>
        <w:t xml:space="preserve"> and </w:t>
      </w:r>
      <w:proofErr w:type="spellStart"/>
      <w:r w:rsidRPr="009E397E">
        <w:rPr>
          <w:rFonts w:eastAsia="MS Mincho"/>
        </w:rPr>
        <w:t>centromeric</w:t>
      </w:r>
      <w:proofErr w:type="spellEnd"/>
      <w:r w:rsidRPr="009E397E">
        <w:rPr>
          <w:rFonts w:eastAsia="MS Mincho"/>
        </w:rPr>
        <w:t xml:space="preserve"> regions</w:t>
      </w:r>
    </w:p>
    <w:p w:rsidR="00A26619" w:rsidRPr="009E397E" w:rsidRDefault="00A26619" w:rsidP="0018601A">
      <w:pPr>
        <w:pStyle w:val="NPCommentaryIndent"/>
        <w:numPr>
          <w:ilvl w:val="0"/>
          <w:numId w:val="11"/>
        </w:numPr>
        <w:tabs>
          <w:tab w:val="left" w:pos="2127"/>
        </w:tabs>
        <w:spacing w:after="120"/>
        <w:ind w:left="2127" w:hanging="426"/>
        <w:rPr>
          <w:rFonts w:eastAsia="MS Mincho"/>
        </w:rPr>
      </w:pPr>
      <w:r w:rsidRPr="009E397E">
        <w:rPr>
          <w:rFonts w:eastAsia="MS Mincho"/>
        </w:rPr>
        <w:t>interphase analysis for aneuploidy</w:t>
      </w:r>
    </w:p>
    <w:p w:rsidR="00A26619" w:rsidRPr="004F29F8" w:rsidRDefault="00A26619" w:rsidP="0018601A">
      <w:pPr>
        <w:pStyle w:val="NPCommentaryIndent"/>
        <w:numPr>
          <w:ilvl w:val="0"/>
          <w:numId w:val="11"/>
        </w:numPr>
        <w:tabs>
          <w:tab w:val="left" w:pos="2127"/>
        </w:tabs>
        <w:spacing w:after="120"/>
        <w:ind w:left="2127" w:hanging="426"/>
        <w:rPr>
          <w:rFonts w:eastAsia="MS Mincho"/>
        </w:rPr>
      </w:pPr>
      <w:r w:rsidRPr="004F29F8">
        <w:rPr>
          <w:rFonts w:eastAsia="MS Mincho"/>
        </w:rPr>
        <w:t xml:space="preserve">locus-specific identification for </w:t>
      </w:r>
      <w:proofErr w:type="spellStart"/>
      <w:r w:rsidRPr="004F29F8">
        <w:rPr>
          <w:rFonts w:eastAsia="MS Mincho"/>
        </w:rPr>
        <w:t>microdeletion</w:t>
      </w:r>
      <w:proofErr w:type="spellEnd"/>
      <w:r w:rsidRPr="004F29F8">
        <w:rPr>
          <w:rFonts w:eastAsia="MS Mincho"/>
        </w:rPr>
        <w:t xml:space="preserve"> and other syndromes</w:t>
      </w:r>
    </w:p>
    <w:p w:rsidR="00A26619" w:rsidRPr="00280F3D" w:rsidRDefault="00A26619" w:rsidP="0018601A">
      <w:pPr>
        <w:pStyle w:val="NPCommentaryIndent"/>
        <w:numPr>
          <w:ilvl w:val="0"/>
          <w:numId w:val="11"/>
        </w:numPr>
        <w:tabs>
          <w:tab w:val="left" w:pos="2127"/>
        </w:tabs>
        <w:spacing w:after="120"/>
        <w:ind w:left="2127" w:hanging="426"/>
        <w:rPr>
          <w:rFonts w:eastAsia="MS Mincho"/>
        </w:rPr>
      </w:pPr>
      <w:proofErr w:type="gramStart"/>
      <w:r w:rsidRPr="009D5ECC">
        <w:rPr>
          <w:rFonts w:eastAsia="MS Mincho"/>
        </w:rPr>
        <w:t>locus-specific</w:t>
      </w:r>
      <w:proofErr w:type="gramEnd"/>
      <w:r w:rsidRPr="009D5ECC">
        <w:rPr>
          <w:rFonts w:eastAsia="MS Mincho"/>
        </w:rPr>
        <w:t xml:space="preserve"> hybridisation to demonstrate chromosomal rearrange</w:t>
      </w:r>
      <w:r w:rsidRPr="00280F3D">
        <w:rPr>
          <w:rFonts w:eastAsia="MS Mincho"/>
        </w:rPr>
        <w:t>ments.</w:t>
      </w:r>
    </w:p>
    <w:p w:rsidR="00A26619" w:rsidRPr="004348DD" w:rsidRDefault="00A26619" w:rsidP="0018601A">
      <w:pPr>
        <w:pStyle w:val="NPCommentary"/>
        <w:tabs>
          <w:tab w:val="left" w:pos="1701"/>
        </w:tabs>
        <w:spacing w:after="120"/>
        <w:ind w:left="1701" w:hanging="981"/>
      </w:pPr>
      <w:proofErr w:type="gramStart"/>
      <w:r w:rsidRPr="00FB7E86">
        <w:t>C</w:t>
      </w:r>
      <w:r w:rsidR="009E6AE7" w:rsidRPr="00CA4751">
        <w:t>4</w:t>
      </w:r>
      <w:r w:rsidRPr="006316B0">
        <w:t>.1(</w:t>
      </w:r>
      <w:proofErr w:type="gramEnd"/>
      <w:r w:rsidR="00991230" w:rsidRPr="006B1EC2">
        <w:t>ii</w:t>
      </w:r>
      <w:r w:rsidRPr="00FD04B1">
        <w:t>)</w:t>
      </w:r>
      <w:r w:rsidRPr="00FD04B1">
        <w:tab/>
      </w:r>
      <w:r w:rsidR="00C13C39" w:rsidRPr="00FD04B1">
        <w:t xml:space="preserve">The </w:t>
      </w:r>
      <w:r w:rsidRPr="00CD2BAD">
        <w:t>Laborator</w:t>
      </w:r>
      <w:r w:rsidR="00C13C39" w:rsidRPr="00CD2BAD">
        <w:t>y</w:t>
      </w:r>
      <w:r w:rsidRPr="00CD2BAD">
        <w:t xml:space="preserve"> </w:t>
      </w:r>
      <w:r w:rsidRPr="004348DD">
        <w:t>dealing with haematological referrals should be able to undertake:</w:t>
      </w:r>
    </w:p>
    <w:p w:rsidR="00A26619" w:rsidRPr="00C66E16" w:rsidRDefault="00A26619" w:rsidP="0018601A">
      <w:pPr>
        <w:pStyle w:val="NPCommentaryIndent"/>
        <w:numPr>
          <w:ilvl w:val="0"/>
          <w:numId w:val="12"/>
        </w:numPr>
        <w:tabs>
          <w:tab w:val="left" w:pos="2127"/>
        </w:tabs>
        <w:spacing w:after="120"/>
        <w:ind w:left="2127" w:hanging="426"/>
        <w:rPr>
          <w:rFonts w:eastAsia="MS Mincho"/>
        </w:rPr>
      </w:pPr>
      <w:r w:rsidRPr="006F5F0A">
        <w:rPr>
          <w:rFonts w:eastAsia="MS Mincho"/>
        </w:rPr>
        <w:t>rearrangement analysis, using locu</w:t>
      </w:r>
      <w:r w:rsidRPr="00C66E16">
        <w:rPr>
          <w:rFonts w:eastAsia="MS Mincho"/>
        </w:rPr>
        <w:t>s-specific probe combinations, and</w:t>
      </w:r>
    </w:p>
    <w:p w:rsidR="00A26619" w:rsidRPr="006B0213" w:rsidRDefault="00A26619" w:rsidP="0018601A">
      <w:pPr>
        <w:pStyle w:val="NPCommentaryIndent"/>
        <w:numPr>
          <w:ilvl w:val="0"/>
          <w:numId w:val="12"/>
        </w:numPr>
        <w:tabs>
          <w:tab w:val="left" w:pos="2127"/>
        </w:tabs>
        <w:spacing w:after="120"/>
        <w:ind w:left="2127" w:hanging="426"/>
        <w:rPr>
          <w:rFonts w:eastAsia="MS Mincho"/>
        </w:rPr>
      </w:pPr>
      <w:proofErr w:type="gramStart"/>
      <w:r w:rsidRPr="006B0213">
        <w:rPr>
          <w:rFonts w:eastAsia="MS Mincho"/>
        </w:rPr>
        <w:t>interphase</w:t>
      </w:r>
      <w:proofErr w:type="gramEnd"/>
      <w:r w:rsidRPr="006B0213">
        <w:rPr>
          <w:rFonts w:eastAsia="MS Mincho"/>
        </w:rPr>
        <w:t xml:space="preserve"> analysis for the detection of low-level clones and graft/host </w:t>
      </w:r>
      <w:proofErr w:type="spellStart"/>
      <w:r w:rsidRPr="006B0213">
        <w:rPr>
          <w:rFonts w:eastAsia="MS Mincho"/>
        </w:rPr>
        <w:t>chimaerism</w:t>
      </w:r>
      <w:proofErr w:type="spellEnd"/>
      <w:r w:rsidRPr="006B0213">
        <w:rPr>
          <w:rFonts w:eastAsia="MS Mincho"/>
        </w:rPr>
        <w:t>.</w:t>
      </w:r>
    </w:p>
    <w:p w:rsidR="00A26619" w:rsidRPr="009E397E" w:rsidRDefault="00A26619" w:rsidP="0018601A">
      <w:pPr>
        <w:pStyle w:val="NPCommentary"/>
        <w:tabs>
          <w:tab w:val="left" w:pos="1701"/>
        </w:tabs>
        <w:ind w:left="1701" w:hanging="981"/>
        <w:rPr>
          <w:rFonts w:eastAsia="MS Mincho"/>
        </w:rPr>
      </w:pPr>
      <w:proofErr w:type="gramStart"/>
      <w:r w:rsidRPr="006B0213">
        <w:rPr>
          <w:rFonts w:eastAsia="MS Mincho"/>
        </w:rPr>
        <w:t>C</w:t>
      </w:r>
      <w:r w:rsidR="00095F2D" w:rsidRPr="006B0213">
        <w:rPr>
          <w:rFonts w:eastAsia="MS Mincho"/>
        </w:rPr>
        <w:t>4</w:t>
      </w:r>
      <w:r w:rsidRPr="004B7723">
        <w:rPr>
          <w:rFonts w:eastAsia="MS Mincho"/>
        </w:rPr>
        <w:t>.1(</w:t>
      </w:r>
      <w:proofErr w:type="gramEnd"/>
      <w:r w:rsidR="00991230" w:rsidRPr="001E4A60">
        <w:rPr>
          <w:rFonts w:eastAsia="MS Mincho"/>
        </w:rPr>
        <w:t>iii</w:t>
      </w:r>
      <w:r w:rsidRPr="00D40D5F">
        <w:rPr>
          <w:rFonts w:eastAsia="MS Mincho"/>
        </w:rPr>
        <w:t>)</w:t>
      </w:r>
      <w:r w:rsidRPr="00D40D5F">
        <w:rPr>
          <w:rFonts w:eastAsia="MS Mincho"/>
        </w:rPr>
        <w:tab/>
        <w:t>It is helpful to use hybridisation systems that include a control probe to tag the chromosome of interest. Such probes also afford a limited level of quality control by providing an internal control for the efficiency of the FISH procedure. For the detection of tr</w:t>
      </w:r>
      <w:r w:rsidRPr="009E397E">
        <w:rPr>
          <w:rFonts w:eastAsia="MS Mincho"/>
        </w:rPr>
        <w:t>anslocations in interphase nuclei, a probe set that gives an extra signal or double signals should be used, whenever possible.</w:t>
      </w:r>
    </w:p>
    <w:p w:rsidR="00AA7179" w:rsidRPr="006F5F0A" w:rsidRDefault="00AA7179" w:rsidP="00AA7179">
      <w:pPr>
        <w:pStyle w:val="NPStandard"/>
        <w:rPr>
          <w:rFonts w:eastAsia="MS Mincho"/>
        </w:rPr>
      </w:pPr>
      <w:r w:rsidRPr="009E397E">
        <w:rPr>
          <w:rFonts w:eastAsia="MS Mincho"/>
        </w:rPr>
        <w:t>S</w:t>
      </w:r>
      <w:r w:rsidR="00095F2D" w:rsidRPr="009E397E">
        <w:rPr>
          <w:rFonts w:eastAsia="MS Mincho"/>
        </w:rPr>
        <w:t>4</w:t>
      </w:r>
      <w:r w:rsidRPr="009E397E">
        <w:rPr>
          <w:rFonts w:eastAsia="MS Mincho"/>
        </w:rPr>
        <w:t>.2</w:t>
      </w:r>
      <w:r w:rsidRPr="009E397E">
        <w:rPr>
          <w:rFonts w:eastAsia="MS Mincho"/>
        </w:rPr>
        <w:tab/>
        <w:t xml:space="preserve">Where FISH is performed on any </w:t>
      </w:r>
      <w:r w:rsidR="005F294D" w:rsidRPr="00CD2BAD">
        <w:rPr>
          <w:rFonts w:eastAsia="MS Mincho"/>
        </w:rPr>
        <w:t>S</w:t>
      </w:r>
      <w:r w:rsidR="005F294D" w:rsidRPr="004348DD">
        <w:rPr>
          <w:rFonts w:eastAsia="MS Mincho"/>
        </w:rPr>
        <w:t xml:space="preserve">pecimen </w:t>
      </w:r>
      <w:r w:rsidRPr="006F5F0A">
        <w:rPr>
          <w:rFonts w:eastAsia="MS Mincho"/>
        </w:rPr>
        <w:t xml:space="preserve">other than a standard cytogenetic </w:t>
      </w:r>
      <w:r w:rsidR="005F294D" w:rsidRPr="00CD2BAD">
        <w:rPr>
          <w:rFonts w:eastAsia="MS Mincho"/>
        </w:rPr>
        <w:t>S</w:t>
      </w:r>
      <w:r w:rsidR="005F294D" w:rsidRPr="004348DD">
        <w:rPr>
          <w:rFonts w:eastAsia="MS Mincho"/>
        </w:rPr>
        <w:t xml:space="preserve">pecimen </w:t>
      </w:r>
      <w:r w:rsidRPr="006F5F0A">
        <w:rPr>
          <w:rFonts w:eastAsia="MS Mincho"/>
        </w:rPr>
        <w:t xml:space="preserve">(e.g. paraffin-embedded tissues, blastocyst/embryo biopsies), the </w:t>
      </w:r>
      <w:r w:rsidR="00C13C39" w:rsidRPr="00CD2BAD">
        <w:rPr>
          <w:rFonts w:eastAsia="MS Mincho"/>
        </w:rPr>
        <w:lastRenderedPageBreak/>
        <w:t xml:space="preserve">Laboratory </w:t>
      </w:r>
      <w:r w:rsidRPr="004348DD">
        <w:rPr>
          <w:rFonts w:eastAsia="MS Mincho"/>
        </w:rPr>
        <w:t>must ensure that it has the skills, expertise and col</w:t>
      </w:r>
      <w:r w:rsidRPr="006F5F0A">
        <w:rPr>
          <w:rFonts w:eastAsia="MS Mincho"/>
        </w:rPr>
        <w:t>laborative and supervisory arrangements to perform and fully interpret the findings.</w:t>
      </w:r>
    </w:p>
    <w:p w:rsidR="00AA7179" w:rsidRPr="00C66E16" w:rsidRDefault="00AA7179" w:rsidP="0018601A">
      <w:pPr>
        <w:pStyle w:val="Heading2"/>
        <w:rPr>
          <w:rFonts w:eastAsia="MS Mincho"/>
        </w:rPr>
      </w:pPr>
      <w:bookmarkStart w:id="36" w:name="_Toc158446264"/>
      <w:bookmarkStart w:id="37" w:name="_Toc362260300"/>
      <w:r w:rsidRPr="00C66E16">
        <w:rPr>
          <w:rFonts w:eastAsia="MS Mincho"/>
        </w:rPr>
        <w:t>FISH analysis</w:t>
      </w:r>
      <w:bookmarkEnd w:id="36"/>
      <w:bookmarkEnd w:id="37"/>
    </w:p>
    <w:p w:rsidR="00AA7179" w:rsidRPr="00D40D5F" w:rsidRDefault="00AA7179" w:rsidP="00AA7179">
      <w:pPr>
        <w:pStyle w:val="NPStandard"/>
        <w:rPr>
          <w:rFonts w:eastAsia="MS Mincho"/>
        </w:rPr>
      </w:pPr>
      <w:r w:rsidRPr="006B0213">
        <w:rPr>
          <w:rFonts w:eastAsia="MS Mincho"/>
        </w:rPr>
        <w:t>S</w:t>
      </w:r>
      <w:r w:rsidR="00095F2D" w:rsidRPr="006B0213">
        <w:rPr>
          <w:rFonts w:eastAsia="MS Mincho"/>
        </w:rPr>
        <w:t>4</w:t>
      </w:r>
      <w:r w:rsidRPr="006B0213">
        <w:rPr>
          <w:rFonts w:eastAsia="MS Mincho"/>
        </w:rPr>
        <w:t>.</w:t>
      </w:r>
      <w:r w:rsidR="00A26619" w:rsidRPr="004B7723">
        <w:rPr>
          <w:rFonts w:eastAsia="MS Mincho"/>
        </w:rPr>
        <w:t>3</w:t>
      </w:r>
      <w:r w:rsidRPr="001E4A60">
        <w:rPr>
          <w:rFonts w:eastAsia="MS Mincho"/>
        </w:rPr>
        <w:tab/>
        <w:t>Sufficient numbers of metaphases, interphases or nucl</w:t>
      </w:r>
      <w:r w:rsidRPr="00D40D5F">
        <w:rPr>
          <w:rFonts w:eastAsia="MS Mincho"/>
        </w:rPr>
        <w:t>ei from cultured or uncultured cells must be analysed to ensure the statistical validity of the result. Signals must be scored by two independent analysts.</w:t>
      </w:r>
    </w:p>
    <w:p w:rsidR="00AA7179" w:rsidRPr="00280F3D" w:rsidRDefault="00A26619" w:rsidP="00383AB2">
      <w:pPr>
        <w:pStyle w:val="NPGuideline"/>
        <w:spacing w:after="120"/>
        <w:ind w:left="1701" w:hanging="981"/>
        <w:rPr>
          <w:rFonts w:eastAsia="MS Mincho"/>
        </w:rPr>
      </w:pPr>
      <w:proofErr w:type="gramStart"/>
      <w:r w:rsidRPr="00D40D5F">
        <w:rPr>
          <w:rFonts w:eastAsia="MS Mincho"/>
        </w:rPr>
        <w:t>C</w:t>
      </w:r>
      <w:r w:rsidR="00095F2D" w:rsidRPr="009E397E">
        <w:rPr>
          <w:rFonts w:eastAsia="MS Mincho"/>
        </w:rPr>
        <w:t>4</w:t>
      </w:r>
      <w:r w:rsidR="00AA7179" w:rsidRPr="009E397E">
        <w:rPr>
          <w:rFonts w:eastAsia="MS Mincho"/>
        </w:rPr>
        <w:t>.</w:t>
      </w:r>
      <w:r w:rsidRPr="009E397E">
        <w:rPr>
          <w:rFonts w:eastAsia="MS Mincho"/>
        </w:rPr>
        <w:t>3(</w:t>
      </w:r>
      <w:proofErr w:type="gramEnd"/>
      <w:r w:rsidR="00991230" w:rsidRPr="009E397E">
        <w:rPr>
          <w:rFonts w:eastAsia="MS Mincho"/>
        </w:rPr>
        <w:t>i</w:t>
      </w:r>
      <w:r w:rsidRPr="004F29F8">
        <w:rPr>
          <w:rFonts w:eastAsia="MS Mincho"/>
        </w:rPr>
        <w:t>)</w:t>
      </w:r>
      <w:r w:rsidR="00AA7179" w:rsidRPr="009D5ECC">
        <w:rPr>
          <w:rFonts w:eastAsia="MS Mincho"/>
        </w:rPr>
        <w:tab/>
        <w:t xml:space="preserve">When used as the first line of analysis, the following </w:t>
      </w:r>
      <w:r w:rsidR="00AA7179" w:rsidRPr="00280F3D">
        <w:rPr>
          <w:rFonts w:eastAsia="MS Mincho"/>
        </w:rPr>
        <w:t>minimum levels apply:</w:t>
      </w:r>
    </w:p>
    <w:p w:rsidR="00AA7179" w:rsidRPr="00CA4751" w:rsidRDefault="00AA7179" w:rsidP="0018601A">
      <w:pPr>
        <w:pStyle w:val="NPGuidelineIndent"/>
        <w:numPr>
          <w:ilvl w:val="0"/>
          <w:numId w:val="10"/>
        </w:numPr>
        <w:tabs>
          <w:tab w:val="clear" w:pos="2874"/>
          <w:tab w:val="num" w:pos="2268"/>
        </w:tabs>
        <w:spacing w:after="120"/>
        <w:ind w:left="2268" w:hanging="425"/>
        <w:rPr>
          <w:rFonts w:eastAsia="MS Mincho"/>
        </w:rPr>
      </w:pPr>
      <w:r w:rsidRPr="00FB7E86">
        <w:rPr>
          <w:rFonts w:eastAsia="MS Mincho"/>
        </w:rPr>
        <w:t>For locus-specific prob</w:t>
      </w:r>
      <w:r w:rsidRPr="00CA4751">
        <w:rPr>
          <w:rFonts w:eastAsia="MS Mincho"/>
        </w:rPr>
        <w:t>es, 10 cells should be scored to confirm or exclude an abnormality.</w:t>
      </w:r>
    </w:p>
    <w:p w:rsidR="00AA7179" w:rsidRPr="006316B0" w:rsidRDefault="00AA7179" w:rsidP="0018601A">
      <w:pPr>
        <w:pStyle w:val="NPGuidelineIndent"/>
        <w:numPr>
          <w:ilvl w:val="0"/>
          <w:numId w:val="10"/>
        </w:numPr>
        <w:tabs>
          <w:tab w:val="clear" w:pos="2874"/>
          <w:tab w:val="num" w:pos="2268"/>
        </w:tabs>
        <w:spacing w:after="120"/>
        <w:ind w:left="2268" w:hanging="425"/>
        <w:rPr>
          <w:rFonts w:eastAsia="MS Mincho"/>
        </w:rPr>
      </w:pPr>
      <w:r w:rsidRPr="006316B0">
        <w:rPr>
          <w:rFonts w:eastAsia="MS Mincho"/>
        </w:rPr>
        <w:t>For prenatal interphase screening for aneuploidy, signals should be counted in a minimum of 50 cells for each probe.</w:t>
      </w:r>
    </w:p>
    <w:p w:rsidR="00AA7179" w:rsidRPr="00FD04B1" w:rsidRDefault="00AA7179" w:rsidP="0018601A">
      <w:pPr>
        <w:pStyle w:val="NPGuidelineIndent"/>
        <w:numPr>
          <w:ilvl w:val="0"/>
          <w:numId w:val="10"/>
        </w:numPr>
        <w:tabs>
          <w:tab w:val="clear" w:pos="2874"/>
          <w:tab w:val="num" w:pos="2268"/>
        </w:tabs>
        <w:spacing w:after="120"/>
        <w:ind w:left="2268" w:hanging="425"/>
        <w:rPr>
          <w:rFonts w:eastAsia="MS Mincho"/>
        </w:rPr>
      </w:pPr>
      <w:r w:rsidRPr="006B1EC2">
        <w:rPr>
          <w:rFonts w:eastAsia="MS Mincho"/>
        </w:rPr>
        <w:t xml:space="preserve">For interphase screening for </w:t>
      </w:r>
      <w:proofErr w:type="spellStart"/>
      <w:r w:rsidRPr="006B1EC2">
        <w:rPr>
          <w:rFonts w:eastAsia="MS Mincho"/>
        </w:rPr>
        <w:t>mosaicism</w:t>
      </w:r>
      <w:proofErr w:type="spellEnd"/>
      <w:r w:rsidRPr="006B1EC2">
        <w:rPr>
          <w:rFonts w:eastAsia="MS Mincho"/>
        </w:rPr>
        <w:t xml:space="preserve"> or malignant clones, </w:t>
      </w:r>
      <w:r w:rsidRPr="00FD04B1">
        <w:rPr>
          <w:rFonts w:eastAsia="MS Mincho"/>
        </w:rPr>
        <w:t>a minimum of 200 cells should be scored.</w:t>
      </w:r>
    </w:p>
    <w:p w:rsidR="00AA7179" w:rsidRPr="00CD2BAD" w:rsidRDefault="00A26619" w:rsidP="00383AB2">
      <w:pPr>
        <w:pStyle w:val="NPCommentary"/>
        <w:tabs>
          <w:tab w:val="left" w:pos="2160"/>
        </w:tabs>
        <w:ind w:left="1701" w:hanging="981"/>
      </w:pPr>
      <w:proofErr w:type="gramStart"/>
      <w:r w:rsidRPr="00FD04B1">
        <w:rPr>
          <w:rFonts w:eastAsia="MS Mincho"/>
        </w:rPr>
        <w:t>C</w:t>
      </w:r>
      <w:r w:rsidR="00095F2D" w:rsidRPr="00FD04B1">
        <w:rPr>
          <w:rFonts w:eastAsia="MS Mincho"/>
        </w:rPr>
        <w:t>4</w:t>
      </w:r>
      <w:r w:rsidRPr="00FD04B1">
        <w:rPr>
          <w:rFonts w:eastAsia="MS Mincho"/>
        </w:rPr>
        <w:t>.3(</w:t>
      </w:r>
      <w:proofErr w:type="gramEnd"/>
      <w:r w:rsidR="00991230" w:rsidRPr="00FD04B1">
        <w:rPr>
          <w:rFonts w:eastAsia="MS Mincho"/>
        </w:rPr>
        <w:t>ii</w:t>
      </w:r>
      <w:r w:rsidRPr="00F34BDD">
        <w:rPr>
          <w:rFonts w:eastAsia="MS Mincho"/>
        </w:rPr>
        <w:t>)</w:t>
      </w:r>
      <w:r w:rsidRPr="00F34BDD">
        <w:rPr>
          <w:rFonts w:eastAsia="MS Mincho"/>
        </w:rPr>
        <w:tab/>
      </w:r>
      <w:r w:rsidR="00AA7179" w:rsidRPr="00CD2BAD">
        <w:t>While robust checking systems are still evolving, it is essential that all FISH analysis be independently checked. When used to confirm or extend the interpretation of abnormalities previously identified by other methods, it is necessary to score only three cells to confirm the abnormality and to have the interpretation checked.</w:t>
      </w:r>
    </w:p>
    <w:p w:rsidR="00AA7179" w:rsidRPr="00C545F1" w:rsidRDefault="00A26619" w:rsidP="00383AB2">
      <w:pPr>
        <w:pStyle w:val="NPCommentary"/>
        <w:ind w:left="1701" w:hanging="981"/>
      </w:pPr>
      <w:proofErr w:type="gramStart"/>
      <w:r w:rsidRPr="00CD2BAD">
        <w:t>C</w:t>
      </w:r>
      <w:r w:rsidR="00095F2D" w:rsidRPr="00CD2BAD">
        <w:t>4</w:t>
      </w:r>
      <w:r w:rsidRPr="00CD2BAD">
        <w:t>.3(</w:t>
      </w:r>
      <w:proofErr w:type="gramEnd"/>
      <w:r w:rsidR="00991230" w:rsidRPr="00CD2BAD">
        <w:t>iii</w:t>
      </w:r>
      <w:r w:rsidRPr="00CD2BAD">
        <w:t>)</w:t>
      </w:r>
      <w:r w:rsidRPr="00CD2BAD">
        <w:tab/>
      </w:r>
      <w:r w:rsidR="00AA7179" w:rsidRPr="00CD2BAD">
        <w:t xml:space="preserve">The number of nuclei examined will depend on the analytical sensitivity of the probe used and the confidence level required. It will also depend on the nature of the </w:t>
      </w:r>
      <w:r w:rsidR="005F294D" w:rsidRPr="00CD2BAD">
        <w:t xml:space="preserve">Specimen </w:t>
      </w:r>
      <w:r w:rsidR="00AA7179" w:rsidRPr="00CD2BAD">
        <w:t>examined</w:t>
      </w:r>
      <w:r w:rsidR="00AA7179" w:rsidRPr="0018416B">
        <w:t xml:space="preserve"> (i</w:t>
      </w:r>
      <w:r w:rsidR="00AA7179">
        <w:t>.</w:t>
      </w:r>
      <w:r w:rsidR="00AA7179" w:rsidRPr="0018416B">
        <w:t>e</w:t>
      </w:r>
      <w:r w:rsidR="00AA7179">
        <w:t>.</w:t>
      </w:r>
      <w:r w:rsidR="00AA7179" w:rsidRPr="0018416B">
        <w:t xml:space="preserve"> constitutional or oncology). When determining </w:t>
      </w:r>
      <w:proofErr w:type="spellStart"/>
      <w:r w:rsidR="00AA7179" w:rsidRPr="00E06E8D">
        <w:t>cutoff</w:t>
      </w:r>
      <w:proofErr w:type="spellEnd"/>
      <w:r w:rsidR="00AA7179" w:rsidRPr="00E06E8D">
        <w:t xml:space="preserve"> values, reference can be made to </w:t>
      </w:r>
      <w:proofErr w:type="spellStart"/>
      <w:r w:rsidR="00AA7179" w:rsidRPr="00E06E8D">
        <w:t>Dewald</w:t>
      </w:r>
      <w:proofErr w:type="spellEnd"/>
      <w:r w:rsidR="00AA7179" w:rsidRPr="00E06E8D">
        <w:t xml:space="preserve"> et al (1998) and</w:t>
      </w:r>
      <w:r w:rsidR="00AA7179">
        <w:t xml:space="preserve"> </w:t>
      </w:r>
      <w:r w:rsidR="00AA7179" w:rsidRPr="00786231">
        <w:t>relevant documents relating to measurement of uncertainty</w:t>
      </w:r>
      <w:r w:rsidR="00AA7179">
        <w:t>.</w:t>
      </w:r>
    </w:p>
    <w:p w:rsidR="00AA7179" w:rsidRPr="00C545F1" w:rsidRDefault="002B5A49" w:rsidP="00383AB2">
      <w:pPr>
        <w:pStyle w:val="NPCommentary"/>
        <w:ind w:left="1701" w:hanging="981"/>
      </w:pPr>
      <w:r>
        <w:t>C</w:t>
      </w:r>
      <w:r w:rsidR="00095F2D">
        <w:t>4</w:t>
      </w:r>
      <w:r>
        <w:t>.3(</w:t>
      </w:r>
      <w:r w:rsidR="00991230">
        <w:t>iv</w:t>
      </w:r>
      <w:r>
        <w:t>)</w:t>
      </w:r>
      <w:r>
        <w:tab/>
      </w:r>
      <w:r w:rsidR="00AA7179" w:rsidRPr="00C545F1">
        <w:t>Scoring large numbers of metaphase or interphase cells for specific rearrangements increases the accuracy with which low-level clones can be identified and may permit the identification of cells that cannot be induced to divide in culture.</w:t>
      </w:r>
    </w:p>
    <w:p w:rsidR="00AA7179" w:rsidRPr="00C545F1" w:rsidRDefault="002B5A49" w:rsidP="00383AB2">
      <w:pPr>
        <w:ind w:left="1701" w:hanging="992"/>
      </w:pPr>
      <w:proofErr w:type="gramStart"/>
      <w:r>
        <w:t>C</w:t>
      </w:r>
      <w:r w:rsidR="00095F2D">
        <w:t>4</w:t>
      </w:r>
      <w:r>
        <w:t>.3(</w:t>
      </w:r>
      <w:proofErr w:type="gramEnd"/>
      <w:r w:rsidR="00991230">
        <w:t>v</w:t>
      </w:r>
      <w:r>
        <w:t>)</w:t>
      </w:r>
      <w:r>
        <w:tab/>
      </w:r>
      <w:r w:rsidR="00AA7179" w:rsidRPr="00C545F1">
        <w:t>In the majority of malignancy investigations, in situ hybridisation will be undertaken in conjunction with karyotype analysis.</w:t>
      </w:r>
      <w:r w:rsidR="00AA7179">
        <w:t xml:space="preserve"> T</w:t>
      </w:r>
      <w:r w:rsidR="00AA7179" w:rsidRPr="00C545F1">
        <w:t xml:space="preserve">he circumstances of each case and the results of any previous analysis </w:t>
      </w:r>
      <w:r w:rsidR="00AA7179">
        <w:t xml:space="preserve">must be taken into account when </w:t>
      </w:r>
      <w:r w:rsidR="00AA7179" w:rsidRPr="00C545F1">
        <w:t>determining the appropriate techniques to be applied.</w:t>
      </w:r>
    </w:p>
    <w:p w:rsidR="00AA7179" w:rsidRPr="00383AB2" w:rsidRDefault="00095F2D" w:rsidP="00E31C9D">
      <w:pPr>
        <w:pStyle w:val="Heading2"/>
      </w:pPr>
      <w:bookmarkStart w:id="38" w:name="_Toc362260301"/>
      <w:r w:rsidRPr="00383AB2">
        <w:t>5</w:t>
      </w:r>
      <w:r w:rsidR="00304215" w:rsidRPr="00383AB2">
        <w:t>.</w:t>
      </w:r>
      <w:r w:rsidR="00AA7179" w:rsidRPr="00383AB2">
        <w:tab/>
        <w:t>Laboratory performance</w:t>
      </w:r>
      <w:bookmarkEnd w:id="38"/>
    </w:p>
    <w:p w:rsidR="002B5A49" w:rsidRPr="0018601A" w:rsidRDefault="00F16A39" w:rsidP="0018601A">
      <w:pPr>
        <w:rPr>
          <w:rFonts w:ascii="Arial" w:hAnsi="Arial" w:cs="Arial"/>
          <w:b/>
          <w:szCs w:val="24"/>
        </w:rPr>
      </w:pPr>
      <w:r w:rsidRPr="0018601A">
        <w:rPr>
          <w:rFonts w:ascii="Arial" w:hAnsi="Arial" w:cs="Arial"/>
          <w:b/>
          <w:szCs w:val="24"/>
        </w:rPr>
        <w:t>(</w:t>
      </w:r>
      <w:r w:rsidR="002B5A49" w:rsidRPr="0018601A">
        <w:rPr>
          <w:rFonts w:ascii="Arial" w:hAnsi="Arial" w:cs="Arial"/>
          <w:b/>
          <w:szCs w:val="24"/>
        </w:rPr>
        <w:t>Refer to</w:t>
      </w:r>
      <w:r w:rsidR="005C471F" w:rsidRPr="00991230">
        <w:rPr>
          <w:rFonts w:ascii="Arial" w:hAnsi="Arial" w:cs="Arial"/>
          <w:b/>
          <w:szCs w:val="24"/>
        </w:rPr>
        <w:t xml:space="preserve"> Standard 2 and Standard 7 </w:t>
      </w:r>
      <w:r w:rsidRPr="0018601A">
        <w:rPr>
          <w:rFonts w:ascii="Arial" w:hAnsi="Arial" w:cs="Arial"/>
          <w:b/>
          <w:szCs w:val="24"/>
        </w:rPr>
        <w:t xml:space="preserve">in </w:t>
      </w:r>
      <w:r w:rsidR="005C471F" w:rsidRPr="00991230">
        <w:rPr>
          <w:rFonts w:ascii="Arial" w:hAnsi="Arial" w:cs="Arial"/>
          <w:b/>
          <w:i/>
          <w:szCs w:val="24"/>
        </w:rPr>
        <w:t>Requirements for Medical Pathology Services</w:t>
      </w:r>
      <w:r w:rsidRPr="0018601A">
        <w:rPr>
          <w:rFonts w:ascii="Arial" w:hAnsi="Arial" w:cs="Arial"/>
          <w:b/>
          <w:szCs w:val="24"/>
        </w:rPr>
        <w:t>)</w:t>
      </w:r>
    </w:p>
    <w:p w:rsidR="00F16A39" w:rsidRPr="00F16A39" w:rsidRDefault="00F16A39" w:rsidP="00583E38">
      <w:pPr>
        <w:pStyle w:val="Heading2"/>
        <w:spacing w:before="120"/>
      </w:pPr>
      <w:bookmarkStart w:id="39" w:name="_Toc158446267"/>
      <w:bookmarkStart w:id="40" w:name="_Toc362260302"/>
      <w:r w:rsidRPr="00F16A39">
        <w:t>Measures of performance</w:t>
      </w:r>
      <w:bookmarkEnd w:id="39"/>
      <w:bookmarkEnd w:id="40"/>
    </w:p>
    <w:p w:rsidR="001402BE" w:rsidRPr="0018416B" w:rsidRDefault="001402BE" w:rsidP="0018601A">
      <w:pPr>
        <w:pStyle w:val="NPCommentary"/>
        <w:ind w:left="0" w:firstLine="0"/>
      </w:pPr>
      <w:r w:rsidRPr="0018416B">
        <w:t>Based on success rates calculated from data submitted to the HGSA/</w:t>
      </w:r>
      <w:r w:rsidRPr="006D551D">
        <w:t xml:space="preserve">Australasian Society of </w:t>
      </w:r>
      <w:proofErr w:type="spellStart"/>
      <w:r w:rsidRPr="006D551D">
        <w:t>Cytogeneticists</w:t>
      </w:r>
      <w:proofErr w:type="spellEnd"/>
      <w:r w:rsidRPr="006D551D">
        <w:t xml:space="preserve"> </w:t>
      </w:r>
      <w:r w:rsidRPr="0018416B">
        <w:t>quality assessment scheme, the following figures provide a reasonable basis for estimating acceptable performance (expressed as the percentage of times when an answer is obtained):</w:t>
      </w:r>
    </w:p>
    <w:p w:rsidR="001402BE" w:rsidRPr="00970A57" w:rsidRDefault="001402BE" w:rsidP="00DD41E0">
      <w:pPr>
        <w:pStyle w:val="NPCommentaryIndent"/>
        <w:tabs>
          <w:tab w:val="left" w:pos="567"/>
        </w:tabs>
        <w:ind w:left="567" w:hanging="567"/>
      </w:pPr>
      <w:r w:rsidRPr="00970A57">
        <w:lastRenderedPageBreak/>
        <w:t xml:space="preserve">a) </w:t>
      </w:r>
      <w:r w:rsidR="00DD41E0" w:rsidRPr="00970A57">
        <w:tab/>
      </w:r>
      <w:proofErr w:type="gramStart"/>
      <w:r w:rsidRPr="00970A57">
        <w:t>amniotic</w:t>
      </w:r>
      <w:proofErr w:type="gramEnd"/>
      <w:r w:rsidRPr="00970A57">
        <w:t xml:space="preserve"> fluid </w:t>
      </w:r>
      <w:r w:rsidR="005F294D" w:rsidRPr="00970A57">
        <w:t>Specimens</w:t>
      </w:r>
      <w:r w:rsidRPr="00970A57">
        <w:tab/>
      </w:r>
      <w:r w:rsidRPr="00970A57">
        <w:tab/>
        <w:t>99%</w:t>
      </w:r>
    </w:p>
    <w:p w:rsidR="001402BE" w:rsidRPr="00970A57" w:rsidRDefault="001402BE" w:rsidP="00DD41E0">
      <w:pPr>
        <w:pStyle w:val="NPCommentaryIndent"/>
        <w:tabs>
          <w:tab w:val="left" w:pos="567"/>
        </w:tabs>
        <w:ind w:left="567" w:hanging="567"/>
      </w:pPr>
      <w:r w:rsidRPr="00970A57">
        <w:t xml:space="preserve">b) </w:t>
      </w:r>
      <w:r w:rsidR="00DD41E0" w:rsidRPr="00970A57">
        <w:tab/>
      </w:r>
      <w:proofErr w:type="gramStart"/>
      <w:r w:rsidRPr="00970A57">
        <w:t>chorionic</w:t>
      </w:r>
      <w:proofErr w:type="gramEnd"/>
      <w:r w:rsidRPr="00970A57">
        <w:t xml:space="preserve"> villi </w:t>
      </w:r>
      <w:r w:rsidR="005F294D" w:rsidRPr="00970A57">
        <w:t>Specimens</w:t>
      </w:r>
      <w:r w:rsidRPr="00970A57">
        <w:tab/>
      </w:r>
      <w:r w:rsidRPr="00970A57">
        <w:tab/>
        <w:t>98%</w:t>
      </w:r>
    </w:p>
    <w:p w:rsidR="001402BE" w:rsidRPr="00970A57" w:rsidRDefault="001402BE" w:rsidP="00DD41E0">
      <w:pPr>
        <w:pStyle w:val="NPCommentaryIndent"/>
        <w:tabs>
          <w:tab w:val="left" w:pos="567"/>
        </w:tabs>
        <w:ind w:left="567" w:hanging="567"/>
      </w:pPr>
      <w:r w:rsidRPr="00970A57">
        <w:t xml:space="preserve">c) </w:t>
      </w:r>
      <w:r w:rsidR="00DD41E0" w:rsidRPr="00970A57">
        <w:tab/>
      </w:r>
      <w:proofErr w:type="gramStart"/>
      <w:r w:rsidRPr="00970A57">
        <w:t>peripheral</w:t>
      </w:r>
      <w:proofErr w:type="gramEnd"/>
      <w:r w:rsidRPr="00970A57">
        <w:t xml:space="preserve"> blood </w:t>
      </w:r>
      <w:r w:rsidR="005F294D" w:rsidRPr="00970A57">
        <w:t>Specimens</w:t>
      </w:r>
      <w:r w:rsidRPr="00970A57">
        <w:tab/>
      </w:r>
      <w:r w:rsidR="00AC2703" w:rsidRPr="00970A57">
        <w:tab/>
      </w:r>
      <w:r w:rsidRPr="00970A57">
        <w:t>98%</w:t>
      </w:r>
    </w:p>
    <w:p w:rsidR="001402BE" w:rsidRPr="00970A57" w:rsidRDefault="001402BE" w:rsidP="00DD41E0">
      <w:pPr>
        <w:pStyle w:val="NPCommentaryIndent"/>
        <w:tabs>
          <w:tab w:val="left" w:pos="567"/>
        </w:tabs>
        <w:ind w:left="567" w:hanging="567"/>
      </w:pPr>
      <w:r w:rsidRPr="00970A57">
        <w:t xml:space="preserve">d) </w:t>
      </w:r>
      <w:r w:rsidR="00DD41E0" w:rsidRPr="00970A57">
        <w:tab/>
      </w:r>
      <w:proofErr w:type="gramStart"/>
      <w:r w:rsidRPr="00970A57">
        <w:t>bone</w:t>
      </w:r>
      <w:proofErr w:type="gramEnd"/>
      <w:r w:rsidRPr="00970A57">
        <w:t xml:space="preserve"> marrow </w:t>
      </w:r>
      <w:r w:rsidR="005F294D" w:rsidRPr="00970A57">
        <w:t>Specimens</w:t>
      </w:r>
      <w:r w:rsidRPr="00970A57">
        <w:tab/>
      </w:r>
      <w:r w:rsidRPr="00970A57">
        <w:tab/>
        <w:t>85%</w:t>
      </w:r>
    </w:p>
    <w:p w:rsidR="001402BE" w:rsidRPr="00CD2BAD" w:rsidRDefault="00095F2D" w:rsidP="00E31C9D">
      <w:pPr>
        <w:pStyle w:val="Heading2"/>
      </w:pPr>
      <w:bookmarkStart w:id="41" w:name="_Toc158446270"/>
      <w:bookmarkStart w:id="42" w:name="_Toc362260304"/>
      <w:r w:rsidRPr="00CD2BAD">
        <w:t>6</w:t>
      </w:r>
      <w:r w:rsidR="00304215" w:rsidRPr="00CD2BAD">
        <w:t>.</w:t>
      </w:r>
      <w:r w:rsidR="001402BE" w:rsidRPr="00CD2BAD">
        <w:tab/>
        <w:t>Reports</w:t>
      </w:r>
      <w:bookmarkEnd w:id="41"/>
      <w:bookmarkEnd w:id="42"/>
    </w:p>
    <w:p w:rsidR="00FD05B8" w:rsidRPr="001E4A60" w:rsidRDefault="00FD05B8" w:rsidP="0018601A">
      <w:pPr>
        <w:rPr>
          <w:rFonts w:ascii="Arial" w:hAnsi="Arial" w:cs="Arial"/>
          <w:b/>
          <w:szCs w:val="24"/>
        </w:rPr>
      </w:pPr>
      <w:r w:rsidRPr="00C66E16">
        <w:rPr>
          <w:rFonts w:ascii="Arial" w:hAnsi="Arial" w:cs="Arial"/>
          <w:b/>
          <w:szCs w:val="24"/>
        </w:rPr>
        <w:t xml:space="preserve">(Refer to </w:t>
      </w:r>
      <w:r w:rsidR="005C471F" w:rsidRPr="006B0213">
        <w:rPr>
          <w:rFonts w:ascii="Arial" w:hAnsi="Arial" w:cs="Arial"/>
          <w:b/>
          <w:szCs w:val="24"/>
        </w:rPr>
        <w:t>Standard 6</w:t>
      </w:r>
      <w:r w:rsidR="00612AC6" w:rsidRPr="006B0213">
        <w:rPr>
          <w:rFonts w:ascii="Arial" w:hAnsi="Arial" w:cs="Arial"/>
          <w:b/>
          <w:szCs w:val="24"/>
        </w:rPr>
        <w:t>C</w:t>
      </w:r>
      <w:r w:rsidRPr="006B0213">
        <w:rPr>
          <w:rFonts w:ascii="Arial" w:hAnsi="Arial" w:cs="Arial"/>
          <w:b/>
          <w:szCs w:val="24"/>
        </w:rPr>
        <w:t xml:space="preserve"> in </w:t>
      </w:r>
      <w:r w:rsidR="005C471F" w:rsidRPr="004B7723">
        <w:rPr>
          <w:rFonts w:ascii="Arial" w:hAnsi="Arial" w:cs="Arial"/>
          <w:b/>
          <w:i/>
          <w:szCs w:val="24"/>
        </w:rPr>
        <w:t>Requirements for Medical Pathology Services</w:t>
      </w:r>
      <w:r w:rsidRPr="001E4A60">
        <w:rPr>
          <w:rFonts w:ascii="Arial" w:hAnsi="Arial" w:cs="Arial"/>
          <w:b/>
          <w:szCs w:val="24"/>
        </w:rPr>
        <w:t>)</w:t>
      </w:r>
    </w:p>
    <w:p w:rsidR="006C17FB" w:rsidRPr="006F5F0A" w:rsidRDefault="006C17FB" w:rsidP="00583E38">
      <w:pPr>
        <w:pStyle w:val="Heading2"/>
        <w:spacing w:before="120"/>
        <w:rPr>
          <w:i/>
          <w:iCs/>
        </w:rPr>
      </w:pPr>
      <w:r w:rsidRPr="004348DD">
        <w:t>Reporting times</w:t>
      </w:r>
    </w:p>
    <w:p w:rsidR="006C17FB" w:rsidRPr="00CD2BAD" w:rsidRDefault="006C17FB" w:rsidP="006C17FB">
      <w:pPr>
        <w:pStyle w:val="NPGuideline"/>
        <w:ind w:left="0" w:firstLine="0"/>
        <w:rPr>
          <w:b/>
        </w:rPr>
      </w:pPr>
      <w:r w:rsidRPr="00CD2BAD">
        <w:rPr>
          <w:b/>
        </w:rPr>
        <w:t>The decision to request recollection of a prenatal Specimen should be made in no more than 10 days.</w:t>
      </w:r>
    </w:p>
    <w:p w:rsidR="006C17FB" w:rsidRPr="00CD2BAD" w:rsidRDefault="006C17FB" w:rsidP="006C17FB">
      <w:pPr>
        <w:pStyle w:val="NPCommentary"/>
        <w:ind w:left="0" w:firstLine="0"/>
        <w:rPr>
          <w:b/>
        </w:rPr>
      </w:pPr>
      <w:r w:rsidRPr="00CD2BAD">
        <w:rPr>
          <w:b/>
        </w:rPr>
        <w:t>A component of high-quality service involves producing results within a reasonable time. Adequately staffed Laboratories produce 90% of results within the times indicated:</w:t>
      </w:r>
    </w:p>
    <w:tbl>
      <w:tblPr>
        <w:tblW w:w="0" w:type="auto"/>
        <w:tblLook w:val="01E0" w:firstRow="1" w:lastRow="1" w:firstColumn="1" w:lastColumn="1" w:noHBand="0" w:noVBand="0"/>
      </w:tblPr>
      <w:tblGrid>
        <w:gridCol w:w="6934"/>
        <w:gridCol w:w="2311"/>
      </w:tblGrid>
      <w:tr w:rsidR="006C17FB" w:rsidRPr="00CD2BAD" w:rsidTr="00D201A8">
        <w:tc>
          <w:tcPr>
            <w:tcW w:w="6934" w:type="dxa"/>
            <w:shd w:val="clear" w:color="auto" w:fill="auto"/>
          </w:tcPr>
          <w:p w:rsidR="006C17FB" w:rsidRPr="00383AB2" w:rsidRDefault="006C17FB" w:rsidP="00D201A8">
            <w:pPr>
              <w:pStyle w:val="NPCommentaryIndent"/>
              <w:keepLines/>
              <w:ind w:left="1134" w:hanging="725"/>
              <w:rPr>
                <w:b/>
                <w:szCs w:val="24"/>
              </w:rPr>
            </w:pPr>
            <w:r w:rsidRPr="00383AB2">
              <w:rPr>
                <w:b/>
                <w:szCs w:val="24"/>
              </w:rPr>
              <w:t>Lymphocyte cultures</w:t>
            </w:r>
          </w:p>
        </w:tc>
        <w:tc>
          <w:tcPr>
            <w:tcW w:w="2311" w:type="dxa"/>
            <w:shd w:val="clear" w:color="auto" w:fill="auto"/>
          </w:tcPr>
          <w:p w:rsidR="006C17FB" w:rsidRPr="00383AB2" w:rsidRDefault="006C17FB" w:rsidP="00D201A8">
            <w:pPr>
              <w:pStyle w:val="NPCommentaryIndent"/>
              <w:keepLines/>
              <w:ind w:left="1134" w:hanging="725"/>
              <w:rPr>
                <w:b/>
                <w:szCs w:val="24"/>
              </w:rPr>
            </w:pPr>
            <w:r w:rsidRPr="00383AB2">
              <w:rPr>
                <w:b/>
                <w:szCs w:val="24"/>
              </w:rPr>
              <w:t>18 days</w:t>
            </w:r>
          </w:p>
        </w:tc>
      </w:tr>
      <w:tr w:rsidR="006C17FB" w:rsidRPr="00CD2BAD" w:rsidTr="00D201A8">
        <w:tc>
          <w:tcPr>
            <w:tcW w:w="6934" w:type="dxa"/>
            <w:shd w:val="clear" w:color="auto" w:fill="auto"/>
          </w:tcPr>
          <w:p w:rsidR="006C17FB" w:rsidRPr="00383AB2" w:rsidRDefault="006C17FB" w:rsidP="00D201A8">
            <w:pPr>
              <w:pStyle w:val="NPCommentaryIndent"/>
              <w:keepLines/>
              <w:ind w:left="1134" w:hanging="725"/>
              <w:rPr>
                <w:b/>
                <w:szCs w:val="24"/>
              </w:rPr>
            </w:pPr>
            <w:r w:rsidRPr="00383AB2">
              <w:rPr>
                <w:b/>
                <w:szCs w:val="24"/>
              </w:rPr>
              <w:t>Bone marrow and tumour cultures</w:t>
            </w:r>
          </w:p>
        </w:tc>
        <w:tc>
          <w:tcPr>
            <w:tcW w:w="2311" w:type="dxa"/>
            <w:shd w:val="clear" w:color="auto" w:fill="auto"/>
          </w:tcPr>
          <w:p w:rsidR="006C17FB" w:rsidRPr="00383AB2" w:rsidRDefault="006C17FB" w:rsidP="00D201A8">
            <w:pPr>
              <w:pStyle w:val="NPCommentaryIndent"/>
              <w:keepLines/>
              <w:ind w:left="1134" w:hanging="725"/>
              <w:rPr>
                <w:b/>
                <w:szCs w:val="24"/>
              </w:rPr>
            </w:pPr>
            <w:r w:rsidRPr="00383AB2">
              <w:rPr>
                <w:b/>
                <w:szCs w:val="24"/>
              </w:rPr>
              <w:t>18 days</w:t>
            </w:r>
          </w:p>
        </w:tc>
      </w:tr>
      <w:tr w:rsidR="006C17FB" w:rsidRPr="00CD2BAD" w:rsidTr="00D201A8">
        <w:tc>
          <w:tcPr>
            <w:tcW w:w="6934" w:type="dxa"/>
            <w:shd w:val="clear" w:color="auto" w:fill="auto"/>
          </w:tcPr>
          <w:p w:rsidR="006C17FB" w:rsidRPr="00383AB2" w:rsidRDefault="006C17FB" w:rsidP="00D201A8">
            <w:pPr>
              <w:pStyle w:val="NPCommentaryIndent"/>
              <w:keepLines/>
              <w:ind w:left="1134" w:hanging="725"/>
              <w:rPr>
                <w:b/>
                <w:szCs w:val="24"/>
              </w:rPr>
            </w:pPr>
            <w:r w:rsidRPr="00383AB2">
              <w:rPr>
                <w:b/>
                <w:szCs w:val="24"/>
              </w:rPr>
              <w:t>Amniotic fluid cultures</w:t>
            </w:r>
          </w:p>
        </w:tc>
        <w:tc>
          <w:tcPr>
            <w:tcW w:w="2311" w:type="dxa"/>
            <w:shd w:val="clear" w:color="auto" w:fill="auto"/>
          </w:tcPr>
          <w:p w:rsidR="006C17FB" w:rsidRPr="00383AB2" w:rsidRDefault="006C17FB" w:rsidP="00D201A8">
            <w:pPr>
              <w:pStyle w:val="NPCommentaryIndent"/>
              <w:keepLines/>
              <w:ind w:left="1134" w:hanging="725"/>
              <w:rPr>
                <w:b/>
                <w:szCs w:val="24"/>
              </w:rPr>
            </w:pPr>
            <w:r w:rsidRPr="00383AB2">
              <w:rPr>
                <w:b/>
                <w:szCs w:val="24"/>
              </w:rPr>
              <w:t>15 days</w:t>
            </w:r>
          </w:p>
        </w:tc>
      </w:tr>
      <w:tr w:rsidR="006C17FB" w:rsidRPr="00CD2BAD" w:rsidTr="00D201A8">
        <w:tc>
          <w:tcPr>
            <w:tcW w:w="6934" w:type="dxa"/>
            <w:shd w:val="clear" w:color="auto" w:fill="auto"/>
          </w:tcPr>
          <w:p w:rsidR="006C17FB" w:rsidRPr="00383AB2" w:rsidRDefault="006C17FB" w:rsidP="00D201A8">
            <w:pPr>
              <w:pStyle w:val="NPCommentaryIndent"/>
              <w:keepLines/>
              <w:ind w:left="1134" w:hanging="725"/>
              <w:rPr>
                <w:b/>
                <w:szCs w:val="24"/>
              </w:rPr>
            </w:pPr>
            <w:proofErr w:type="spellStart"/>
            <w:r w:rsidRPr="00383AB2">
              <w:rPr>
                <w:b/>
                <w:szCs w:val="24"/>
              </w:rPr>
              <w:t>Chorion</w:t>
            </w:r>
            <w:proofErr w:type="spellEnd"/>
            <w:r w:rsidRPr="00383AB2">
              <w:rPr>
                <w:b/>
                <w:szCs w:val="24"/>
              </w:rPr>
              <w:t xml:space="preserve"> biopsies</w:t>
            </w:r>
          </w:p>
        </w:tc>
        <w:tc>
          <w:tcPr>
            <w:tcW w:w="2311" w:type="dxa"/>
            <w:shd w:val="clear" w:color="auto" w:fill="auto"/>
          </w:tcPr>
          <w:p w:rsidR="006C17FB" w:rsidRPr="00383AB2" w:rsidRDefault="006C17FB" w:rsidP="00D201A8">
            <w:pPr>
              <w:pStyle w:val="NPCommentaryIndent"/>
              <w:keepLines/>
              <w:ind w:left="1134" w:hanging="725"/>
              <w:rPr>
                <w:b/>
                <w:szCs w:val="24"/>
              </w:rPr>
            </w:pPr>
            <w:r w:rsidRPr="00383AB2">
              <w:rPr>
                <w:b/>
                <w:szCs w:val="24"/>
              </w:rPr>
              <w:t>15 days</w:t>
            </w:r>
          </w:p>
        </w:tc>
      </w:tr>
      <w:tr w:rsidR="006C17FB" w:rsidRPr="00CD2BAD" w:rsidTr="00D201A8">
        <w:tc>
          <w:tcPr>
            <w:tcW w:w="6934" w:type="dxa"/>
            <w:shd w:val="clear" w:color="auto" w:fill="auto"/>
          </w:tcPr>
          <w:p w:rsidR="006C17FB" w:rsidRPr="00383AB2" w:rsidRDefault="006C17FB" w:rsidP="00D201A8">
            <w:pPr>
              <w:pStyle w:val="NPCommentaryIndent"/>
              <w:keepLines/>
              <w:ind w:left="1134" w:hanging="725"/>
              <w:rPr>
                <w:b/>
                <w:szCs w:val="24"/>
              </w:rPr>
            </w:pPr>
            <w:r w:rsidRPr="00383AB2">
              <w:rPr>
                <w:b/>
                <w:szCs w:val="24"/>
              </w:rPr>
              <w:t>Tissue cultures</w:t>
            </w:r>
          </w:p>
        </w:tc>
        <w:tc>
          <w:tcPr>
            <w:tcW w:w="2311" w:type="dxa"/>
            <w:shd w:val="clear" w:color="auto" w:fill="auto"/>
          </w:tcPr>
          <w:p w:rsidR="006C17FB" w:rsidRPr="00383AB2" w:rsidRDefault="006C17FB" w:rsidP="00D201A8">
            <w:pPr>
              <w:pStyle w:val="NPCommentaryIndent"/>
              <w:keepLines/>
              <w:ind w:left="1134" w:hanging="725"/>
              <w:rPr>
                <w:b/>
                <w:szCs w:val="24"/>
              </w:rPr>
            </w:pPr>
            <w:r w:rsidRPr="00383AB2">
              <w:rPr>
                <w:b/>
                <w:szCs w:val="24"/>
              </w:rPr>
              <w:t>28 days</w:t>
            </w:r>
          </w:p>
        </w:tc>
      </w:tr>
      <w:tr w:rsidR="006C17FB" w:rsidRPr="00CD2BAD" w:rsidTr="00583E38">
        <w:trPr>
          <w:trHeight w:val="319"/>
        </w:trPr>
        <w:tc>
          <w:tcPr>
            <w:tcW w:w="6934" w:type="dxa"/>
            <w:shd w:val="clear" w:color="auto" w:fill="auto"/>
          </w:tcPr>
          <w:p w:rsidR="006C17FB" w:rsidRPr="00383AB2" w:rsidRDefault="006C17FB" w:rsidP="00D201A8">
            <w:pPr>
              <w:pStyle w:val="NPCommentaryIndent"/>
              <w:keepLines/>
              <w:ind w:left="1134" w:hanging="725"/>
              <w:rPr>
                <w:b/>
                <w:szCs w:val="24"/>
              </w:rPr>
            </w:pPr>
            <w:r w:rsidRPr="00383AB2">
              <w:rPr>
                <w:b/>
                <w:szCs w:val="24"/>
              </w:rPr>
              <w:t>Urgent lymphocyte, bone marrow or cord blood cultures</w:t>
            </w:r>
          </w:p>
        </w:tc>
        <w:tc>
          <w:tcPr>
            <w:tcW w:w="2311" w:type="dxa"/>
            <w:shd w:val="clear" w:color="auto" w:fill="auto"/>
          </w:tcPr>
          <w:p w:rsidR="006C17FB" w:rsidRPr="00383AB2" w:rsidRDefault="006C17FB" w:rsidP="00D201A8">
            <w:pPr>
              <w:pStyle w:val="NPCommentaryIndent"/>
              <w:keepLines/>
              <w:ind w:left="1134" w:hanging="725"/>
              <w:rPr>
                <w:b/>
                <w:szCs w:val="24"/>
              </w:rPr>
            </w:pPr>
            <w:r w:rsidRPr="00383AB2">
              <w:rPr>
                <w:b/>
                <w:szCs w:val="24"/>
              </w:rPr>
              <w:t>5 days</w:t>
            </w:r>
          </w:p>
        </w:tc>
      </w:tr>
    </w:tbl>
    <w:p w:rsidR="00D201A8" w:rsidRDefault="00D201A8" w:rsidP="00583E38">
      <w:pPr>
        <w:pStyle w:val="NPStandard"/>
        <w:spacing w:after="0"/>
      </w:pPr>
    </w:p>
    <w:p w:rsidR="001402BE" w:rsidRPr="009E397E" w:rsidRDefault="001402BE" w:rsidP="00047BF1">
      <w:pPr>
        <w:pStyle w:val="NPStandard"/>
      </w:pPr>
      <w:r w:rsidRPr="00D40D5F">
        <w:t>S</w:t>
      </w:r>
      <w:r w:rsidR="00095F2D" w:rsidRPr="00D40D5F">
        <w:t>6</w:t>
      </w:r>
      <w:r w:rsidRPr="009E397E">
        <w:t>.1</w:t>
      </w:r>
      <w:r w:rsidRPr="009E397E">
        <w:tab/>
        <w:t>Reports must include the following items:</w:t>
      </w:r>
    </w:p>
    <w:p w:rsidR="001402BE" w:rsidRPr="009E397E" w:rsidRDefault="00063975" w:rsidP="00AD39F7">
      <w:pPr>
        <w:pStyle w:val="NPStandardIndent"/>
        <w:ind w:hanging="714"/>
      </w:pPr>
      <w:r w:rsidRPr="009E397E">
        <w:t>(a</w:t>
      </w:r>
      <w:r w:rsidR="001402BE" w:rsidRPr="009E397E">
        <w:t>)</w:t>
      </w:r>
      <w:r w:rsidR="001402BE" w:rsidRPr="009E397E">
        <w:tab/>
      </w:r>
      <w:proofErr w:type="gramStart"/>
      <w:r w:rsidR="001402BE" w:rsidRPr="009E397E">
        <w:t>the</w:t>
      </w:r>
      <w:proofErr w:type="gramEnd"/>
      <w:r w:rsidR="001402BE" w:rsidRPr="009E397E">
        <w:t xml:space="preserve"> number of cells counted and metaphases analysed</w:t>
      </w:r>
    </w:p>
    <w:p w:rsidR="001402BE" w:rsidRPr="0018416B" w:rsidRDefault="00063975" w:rsidP="00AD39F7">
      <w:pPr>
        <w:pStyle w:val="NPStandardIndent"/>
        <w:ind w:hanging="714"/>
      </w:pPr>
      <w:r w:rsidRPr="004F29F8">
        <w:t>(b</w:t>
      </w:r>
      <w:r w:rsidR="001402BE" w:rsidRPr="009D5ECC">
        <w:t>)</w:t>
      </w:r>
      <w:r w:rsidR="001402BE" w:rsidRPr="009D5ECC">
        <w:tab/>
      </w:r>
      <w:proofErr w:type="gramStart"/>
      <w:r w:rsidR="001402BE" w:rsidRPr="009D5ECC">
        <w:t>the</w:t>
      </w:r>
      <w:proofErr w:type="gramEnd"/>
      <w:r w:rsidR="001402BE" w:rsidRPr="009D5ECC">
        <w:t xml:space="preserve"> banding techniques applied (if the banding resolution is less than adequate for the referral and </w:t>
      </w:r>
      <w:r w:rsidR="005F294D" w:rsidRPr="00FB7E86">
        <w:t>Specimen</w:t>
      </w:r>
      <w:r w:rsidR="005F294D" w:rsidRPr="00CA4751">
        <w:t xml:space="preserve"> </w:t>
      </w:r>
      <w:r w:rsidR="001402BE" w:rsidRPr="006316B0">
        <w:t>type</w:t>
      </w:r>
      <w:r w:rsidR="001402BE" w:rsidRPr="0018416B">
        <w:t xml:space="preserve">, this </w:t>
      </w:r>
      <w:r w:rsidR="001402BE">
        <w:t xml:space="preserve">must </w:t>
      </w:r>
      <w:r w:rsidR="001402BE" w:rsidRPr="0018416B">
        <w:t>be stated</w:t>
      </w:r>
      <w:r w:rsidR="001402BE">
        <w:t xml:space="preserve">; </w:t>
      </w:r>
      <w:r w:rsidR="001402BE" w:rsidRPr="0018416B">
        <w:t>see Appendi</w:t>
      </w:r>
      <w:r w:rsidR="00C5530F">
        <w:t>c</w:t>
      </w:r>
      <w:r w:rsidR="0049338B">
        <w:t>es A and</w:t>
      </w:r>
      <w:r w:rsidR="001402BE">
        <w:t> </w:t>
      </w:r>
      <w:r w:rsidR="00FB6D37">
        <w:t>B</w:t>
      </w:r>
      <w:r w:rsidR="001402BE" w:rsidRPr="0018416B">
        <w:t>)</w:t>
      </w:r>
    </w:p>
    <w:p w:rsidR="001402BE" w:rsidRPr="0018416B" w:rsidRDefault="00063975" w:rsidP="00AD39F7">
      <w:pPr>
        <w:pStyle w:val="NPStandardIndent"/>
        <w:ind w:hanging="714"/>
      </w:pPr>
      <w:r>
        <w:t>(c</w:t>
      </w:r>
      <w:r w:rsidR="001402BE" w:rsidRPr="0018416B">
        <w:t>)</w:t>
      </w:r>
      <w:r w:rsidR="001402BE">
        <w:tab/>
      </w:r>
      <w:proofErr w:type="gramStart"/>
      <w:r w:rsidR="001402BE" w:rsidRPr="0018416B">
        <w:t>whether</w:t>
      </w:r>
      <w:proofErr w:type="gramEnd"/>
      <w:r w:rsidR="001402BE" w:rsidRPr="0018416B">
        <w:t xml:space="preserve"> specific studies were undertaken </w:t>
      </w:r>
      <w:r w:rsidR="001402BE">
        <w:t>(</w:t>
      </w:r>
      <w:r w:rsidR="001402BE" w:rsidRPr="0018416B">
        <w:t>e</w:t>
      </w:r>
      <w:r w:rsidR="001402BE">
        <w:t>.</w:t>
      </w:r>
      <w:r w:rsidR="001402BE" w:rsidRPr="0018416B">
        <w:t>g</w:t>
      </w:r>
      <w:r w:rsidR="001402BE">
        <w:t>.</w:t>
      </w:r>
      <w:r w:rsidR="001402BE" w:rsidRPr="0018416B">
        <w:t xml:space="preserve"> FISH studies</w:t>
      </w:r>
      <w:r w:rsidR="001402BE">
        <w:t>)</w:t>
      </w:r>
    </w:p>
    <w:p w:rsidR="001402BE" w:rsidRPr="0018416B" w:rsidRDefault="00063975" w:rsidP="00AD39F7">
      <w:pPr>
        <w:pStyle w:val="NPStandardIndent"/>
        <w:ind w:hanging="714"/>
      </w:pPr>
      <w:r>
        <w:t>(d</w:t>
      </w:r>
      <w:r w:rsidR="001402BE" w:rsidRPr="0018416B">
        <w:t>)</w:t>
      </w:r>
      <w:r w:rsidR="001402BE">
        <w:tab/>
      </w:r>
      <w:proofErr w:type="gramStart"/>
      <w:r w:rsidR="001402BE" w:rsidRPr="0018416B">
        <w:t>the</w:t>
      </w:r>
      <w:proofErr w:type="gramEnd"/>
      <w:r w:rsidR="001402BE" w:rsidRPr="0018416B">
        <w:t xml:space="preserve"> chromosome constitution using the most recent ISCN nomenclature</w:t>
      </w:r>
      <w:r w:rsidR="00383AB2">
        <w:t>.</w:t>
      </w:r>
    </w:p>
    <w:p w:rsidR="001402BE" w:rsidRPr="0018416B" w:rsidRDefault="004405A5" w:rsidP="0018601A">
      <w:pPr>
        <w:pStyle w:val="NPGuideline"/>
        <w:ind w:left="1843" w:hanging="1123"/>
      </w:pPr>
      <w:proofErr w:type="gramStart"/>
      <w:r>
        <w:t>C</w:t>
      </w:r>
      <w:r w:rsidR="00095F2D">
        <w:t>6</w:t>
      </w:r>
      <w:r>
        <w:t>.1(</w:t>
      </w:r>
      <w:proofErr w:type="gramEnd"/>
      <w:r w:rsidR="00063975">
        <w:t>i</w:t>
      </w:r>
      <w:r>
        <w:t>)</w:t>
      </w:r>
      <w:r>
        <w:tab/>
      </w:r>
      <w:r w:rsidR="001402BE" w:rsidRPr="0018416B">
        <w:t>In general, reports of non</w:t>
      </w:r>
      <w:r w:rsidR="00FB6D37">
        <w:t>-</w:t>
      </w:r>
      <w:r w:rsidR="001402BE" w:rsidRPr="0018416B">
        <w:t xml:space="preserve">malignant tissues should only include true </w:t>
      </w:r>
      <w:proofErr w:type="spellStart"/>
      <w:r w:rsidR="001402BE" w:rsidRPr="0018416B">
        <w:t>mosaicism</w:t>
      </w:r>
      <w:proofErr w:type="spellEnd"/>
      <w:r w:rsidR="001402BE" w:rsidRPr="0018416B">
        <w:t>.</w:t>
      </w:r>
    </w:p>
    <w:p w:rsidR="001402BE" w:rsidRPr="0018416B" w:rsidRDefault="004405A5" w:rsidP="0018601A">
      <w:pPr>
        <w:pStyle w:val="NPGuideline"/>
        <w:ind w:left="1843" w:hanging="1123"/>
      </w:pPr>
      <w:proofErr w:type="gramStart"/>
      <w:r>
        <w:t>C</w:t>
      </w:r>
      <w:r w:rsidR="00095F2D">
        <w:t>6</w:t>
      </w:r>
      <w:r w:rsidR="001402BE" w:rsidRPr="0018416B">
        <w:t>.</w:t>
      </w:r>
      <w:r>
        <w:t>1</w:t>
      </w:r>
      <w:r w:rsidR="00063975">
        <w:t>(</w:t>
      </w:r>
      <w:proofErr w:type="gramEnd"/>
      <w:r w:rsidR="00063975">
        <w:t>ii</w:t>
      </w:r>
      <w:r>
        <w:t>)</w:t>
      </w:r>
      <w:r w:rsidR="001402BE" w:rsidRPr="0018416B">
        <w:tab/>
        <w:t xml:space="preserve">A comment should be made if maternal cell contamination is </w:t>
      </w:r>
      <w:r w:rsidR="001402BE">
        <w:t xml:space="preserve">detected </w:t>
      </w:r>
      <w:r w:rsidR="001402BE" w:rsidRPr="0018416B">
        <w:t>in a prenatal culture.</w:t>
      </w:r>
    </w:p>
    <w:p w:rsidR="00FD0195" w:rsidRDefault="004405A5" w:rsidP="0018601A">
      <w:pPr>
        <w:pStyle w:val="NPCommentary"/>
        <w:ind w:left="1843" w:hanging="1123"/>
      </w:pPr>
      <w:proofErr w:type="gramStart"/>
      <w:r>
        <w:t>C</w:t>
      </w:r>
      <w:r w:rsidR="00095F2D">
        <w:t>6</w:t>
      </w:r>
      <w:r>
        <w:t>.1(</w:t>
      </w:r>
      <w:proofErr w:type="gramEnd"/>
      <w:r w:rsidR="00063975">
        <w:t>iii</w:t>
      </w:r>
      <w:r>
        <w:t>)</w:t>
      </w:r>
      <w:r>
        <w:tab/>
      </w:r>
      <w:r w:rsidR="001402BE" w:rsidRPr="0018416B">
        <w:t>Deciding what constitutes a non</w:t>
      </w:r>
      <w:r w:rsidR="00FB6D37">
        <w:t>-</w:t>
      </w:r>
      <w:r w:rsidR="001402BE" w:rsidRPr="0018416B">
        <w:t>clonal aberration is not straightforward</w:t>
      </w:r>
      <w:r w:rsidR="00607E2F">
        <w:t xml:space="preserve"> (f</w:t>
      </w:r>
      <w:r w:rsidR="001402BE" w:rsidRPr="0018416B">
        <w:t>or guidance, see</w:t>
      </w:r>
      <w:r w:rsidR="001402BE">
        <w:t xml:space="preserve"> the</w:t>
      </w:r>
      <w:r w:rsidR="001402BE" w:rsidRPr="0018416B">
        <w:t xml:space="preserve"> current edition of ISCN, especially regarding determination of </w:t>
      </w:r>
      <w:proofErr w:type="spellStart"/>
      <w:r w:rsidR="001402BE" w:rsidRPr="0018416B">
        <w:t>clonality</w:t>
      </w:r>
      <w:proofErr w:type="spellEnd"/>
      <w:r w:rsidR="001402BE" w:rsidRPr="0018416B">
        <w:t xml:space="preserve"> in the </w:t>
      </w:r>
      <w:proofErr w:type="spellStart"/>
      <w:r w:rsidR="001402BE" w:rsidRPr="0018416B">
        <w:t>cytogenetics</w:t>
      </w:r>
      <w:proofErr w:type="spellEnd"/>
      <w:r w:rsidR="001402BE" w:rsidRPr="0018416B">
        <w:t xml:space="preserve"> of </w:t>
      </w:r>
      <w:proofErr w:type="spellStart"/>
      <w:r w:rsidR="001402BE" w:rsidRPr="0018416B">
        <w:t>neoplasia</w:t>
      </w:r>
      <w:proofErr w:type="spellEnd"/>
      <w:r w:rsidR="001402BE">
        <w:t>.</w:t>
      </w:r>
      <w:r w:rsidR="001402BE" w:rsidRPr="0018416B">
        <w:t xml:space="preserve">) </w:t>
      </w:r>
      <w:r w:rsidR="001402BE">
        <w:t xml:space="preserve">To reach </w:t>
      </w:r>
      <w:r w:rsidR="001402BE" w:rsidRPr="0018416B">
        <w:t xml:space="preserve">a </w:t>
      </w:r>
      <w:r w:rsidR="001402BE" w:rsidRPr="0018416B">
        <w:lastRenderedPageBreak/>
        <w:t>decision on such matters, the application of general rules needs to be balanced by consideration of the specific clinical context.</w:t>
      </w:r>
    </w:p>
    <w:p w:rsidR="001402BE" w:rsidRPr="0018416B" w:rsidRDefault="00FD0195" w:rsidP="0018601A">
      <w:pPr>
        <w:pStyle w:val="NPCommentary"/>
        <w:ind w:left="1843" w:hanging="1123"/>
      </w:pPr>
      <w:r>
        <w:t xml:space="preserve"> </w:t>
      </w:r>
      <w:proofErr w:type="gramStart"/>
      <w:r w:rsidR="004405A5">
        <w:t>C</w:t>
      </w:r>
      <w:r w:rsidR="00095F2D">
        <w:t>6</w:t>
      </w:r>
      <w:r w:rsidR="004405A5">
        <w:t>.1(</w:t>
      </w:r>
      <w:proofErr w:type="gramEnd"/>
      <w:r w:rsidR="00063975">
        <w:t>iv</w:t>
      </w:r>
      <w:r w:rsidR="004405A5">
        <w:t>)</w:t>
      </w:r>
      <w:r w:rsidR="004405A5">
        <w:tab/>
      </w:r>
      <w:r w:rsidR="001402BE" w:rsidRPr="0018416B">
        <w:t xml:space="preserve">Similarly, in the reporting of prenatal studies, </w:t>
      </w:r>
      <w:proofErr w:type="spellStart"/>
      <w:r w:rsidR="001402BE" w:rsidRPr="0018416B">
        <w:t>mosaicism</w:t>
      </w:r>
      <w:proofErr w:type="spellEnd"/>
      <w:r w:rsidR="001402BE" w:rsidRPr="0018416B">
        <w:t xml:space="preserve"> </w:t>
      </w:r>
      <w:r w:rsidR="001402BE">
        <w:t xml:space="preserve">is not relevant </w:t>
      </w:r>
      <w:r w:rsidR="001402BE" w:rsidRPr="0018416B">
        <w:t xml:space="preserve">if the abnormal cells are regarded as having arisen during </w:t>
      </w:r>
      <w:r w:rsidR="001402BE" w:rsidRPr="00EB63AE">
        <w:t>in vitro</w:t>
      </w:r>
      <w:r w:rsidR="001402BE" w:rsidRPr="00D154A6">
        <w:t xml:space="preserve"> </w:t>
      </w:r>
      <w:r w:rsidR="001402BE" w:rsidRPr="0018416B">
        <w:t xml:space="preserve">culture. Such origins indicate </w:t>
      </w:r>
      <w:proofErr w:type="spellStart"/>
      <w:r w:rsidR="001402BE" w:rsidRPr="0018416B">
        <w:t>pseudomosaicism</w:t>
      </w:r>
      <w:proofErr w:type="spellEnd"/>
      <w:r w:rsidR="001402BE" w:rsidRPr="0018416B">
        <w:t xml:space="preserve"> only. The alternative </w:t>
      </w:r>
      <w:r w:rsidR="001402BE" w:rsidRPr="00EB63AE">
        <w:t>in vivo</w:t>
      </w:r>
      <w:r w:rsidR="001402BE" w:rsidRPr="00D154A6">
        <w:t xml:space="preserve"> </w:t>
      </w:r>
      <w:r w:rsidR="001402BE" w:rsidRPr="0018416B">
        <w:t xml:space="preserve">origin indicates a true </w:t>
      </w:r>
      <w:proofErr w:type="spellStart"/>
      <w:r w:rsidR="001402BE" w:rsidRPr="0018416B">
        <w:t>mosaicism</w:t>
      </w:r>
      <w:proofErr w:type="spellEnd"/>
      <w:r w:rsidR="001402BE" w:rsidRPr="0018416B">
        <w:t>, which may involve either the f</w:t>
      </w:r>
      <w:r w:rsidR="001402BE">
        <w:t>o</w:t>
      </w:r>
      <w:r w:rsidR="001402BE" w:rsidRPr="0018416B">
        <w:t xml:space="preserve">etus itself or the extra-embryonic membranes (or both). The distinction between such </w:t>
      </w:r>
      <w:r w:rsidR="001402BE" w:rsidRPr="00EB63AE">
        <w:t>in vitro</w:t>
      </w:r>
      <w:r w:rsidR="001402BE" w:rsidRPr="0018416B">
        <w:rPr>
          <w:i/>
          <w:iCs/>
        </w:rPr>
        <w:t xml:space="preserve"> </w:t>
      </w:r>
      <w:r w:rsidR="001402BE" w:rsidRPr="0018416B">
        <w:t xml:space="preserve">and </w:t>
      </w:r>
      <w:r w:rsidR="001402BE" w:rsidRPr="00EB63AE">
        <w:t xml:space="preserve">in </w:t>
      </w:r>
      <w:r w:rsidR="001402BE" w:rsidRPr="00D154A6">
        <w:t>vivo</w:t>
      </w:r>
      <w:r w:rsidR="001402BE" w:rsidRPr="00D154A6">
        <w:rPr>
          <w:iCs/>
        </w:rPr>
        <w:t xml:space="preserve"> </w:t>
      </w:r>
      <w:r w:rsidR="001402BE" w:rsidRPr="0018416B">
        <w:t>origins of abnormality is problematic and requires very careful consideration of the cytogenetic data, the clinical context and the cell culture strategy used</w:t>
      </w:r>
      <w:r w:rsidR="00634753">
        <w:t>.</w:t>
      </w:r>
    </w:p>
    <w:p w:rsidR="001402BE" w:rsidRPr="0018416B" w:rsidRDefault="004405A5" w:rsidP="0018601A">
      <w:pPr>
        <w:pStyle w:val="NPGuideline"/>
        <w:ind w:left="1843" w:hanging="1123"/>
      </w:pPr>
      <w:proofErr w:type="gramStart"/>
      <w:r>
        <w:t>C</w:t>
      </w:r>
      <w:r w:rsidR="00095F2D">
        <w:t>6</w:t>
      </w:r>
      <w:r>
        <w:t>.</w:t>
      </w:r>
      <w:r w:rsidR="00AD39F7">
        <w:t>1</w:t>
      </w:r>
      <w:r>
        <w:t>(</w:t>
      </w:r>
      <w:proofErr w:type="gramEnd"/>
      <w:r w:rsidR="00063975">
        <w:t>v</w:t>
      </w:r>
      <w:r>
        <w:t>)</w:t>
      </w:r>
      <w:r>
        <w:tab/>
      </w:r>
      <w:r w:rsidR="001402BE">
        <w:t>Normal chromosomal</w:t>
      </w:r>
      <w:r w:rsidR="001402BE" w:rsidRPr="0018416B">
        <w:t xml:space="preserve"> variants should not be reported as part of the ISCN description of the karyotype, but should be noted in the patient’s </w:t>
      </w:r>
      <w:r w:rsidR="00C13C39" w:rsidRPr="00CD2BAD">
        <w:t>Laboratory</w:t>
      </w:r>
      <w:r w:rsidR="00C13C39" w:rsidRPr="0018416B">
        <w:t xml:space="preserve"> </w:t>
      </w:r>
      <w:r w:rsidR="001402BE" w:rsidRPr="0018416B">
        <w:t>record</w:t>
      </w:r>
      <w:r w:rsidR="001402BE">
        <w:t>.</w:t>
      </w:r>
    </w:p>
    <w:p w:rsidR="00694AC3" w:rsidRDefault="004405A5" w:rsidP="0018601A">
      <w:pPr>
        <w:pStyle w:val="NPCommentary"/>
        <w:ind w:left="1843" w:hanging="1123"/>
      </w:pPr>
      <w:proofErr w:type="gramStart"/>
      <w:r>
        <w:t>C</w:t>
      </w:r>
      <w:r w:rsidR="00095F2D">
        <w:t>6</w:t>
      </w:r>
      <w:r>
        <w:t>.</w:t>
      </w:r>
      <w:r w:rsidR="00AD39F7">
        <w:t>1</w:t>
      </w:r>
      <w:r>
        <w:t>(</w:t>
      </w:r>
      <w:proofErr w:type="gramEnd"/>
      <w:r w:rsidR="00063975">
        <w:t>vi</w:t>
      </w:r>
      <w:r>
        <w:t>)</w:t>
      </w:r>
      <w:r>
        <w:tab/>
      </w:r>
      <w:r w:rsidR="001402BE" w:rsidRPr="0018416B">
        <w:t xml:space="preserve">Normal </w:t>
      </w:r>
      <w:r w:rsidR="001402BE" w:rsidRPr="007D6516">
        <w:t>variants</w:t>
      </w:r>
      <w:r w:rsidR="001402BE" w:rsidRPr="0018416B">
        <w:t xml:space="preserve"> </w:t>
      </w:r>
      <w:r w:rsidR="001402BE">
        <w:t>that</w:t>
      </w:r>
      <w:r w:rsidR="001402BE" w:rsidRPr="0018416B">
        <w:t xml:space="preserve"> do not involve breakage and reunion of chromosomes are continuously variable</w:t>
      </w:r>
      <w:r w:rsidR="001402BE">
        <w:t xml:space="preserve"> (</w:t>
      </w:r>
      <w:r w:rsidR="001402BE" w:rsidRPr="0018416B">
        <w:t>e</w:t>
      </w:r>
      <w:r w:rsidR="001402BE">
        <w:t>.</w:t>
      </w:r>
      <w:r w:rsidR="001402BE" w:rsidRPr="0018416B">
        <w:t>g</w:t>
      </w:r>
      <w:r w:rsidR="001402BE">
        <w:t>.</w:t>
      </w:r>
      <w:r w:rsidR="001402BE" w:rsidRPr="0018416B">
        <w:t xml:space="preserve"> heterochromatin size, satellite size and fluorescent intensity</w:t>
      </w:r>
      <w:r w:rsidR="001402BE">
        <w:t>)</w:t>
      </w:r>
      <w:r w:rsidR="001402BE" w:rsidRPr="0018416B">
        <w:t>, so assessment is, to a certain extent, subjective. ‘</w:t>
      </w:r>
      <w:proofErr w:type="spellStart"/>
      <w:r w:rsidR="001402BE" w:rsidRPr="0018416B">
        <w:t>Pericentric</w:t>
      </w:r>
      <w:proofErr w:type="spellEnd"/>
      <w:r w:rsidR="001402BE" w:rsidRPr="0018416B">
        <w:t xml:space="preserve"> inversions’ of heterochromatin are also variable.</w:t>
      </w:r>
      <w:bookmarkStart w:id="43" w:name="_Toc158446273"/>
    </w:p>
    <w:p w:rsidR="001402BE" w:rsidRPr="00CD2BAD" w:rsidRDefault="00095F2D" w:rsidP="00E31C9D">
      <w:pPr>
        <w:pStyle w:val="Heading2"/>
      </w:pPr>
      <w:bookmarkStart w:id="44" w:name="_Toc362260305"/>
      <w:r w:rsidRPr="00CD2BAD">
        <w:t>7</w:t>
      </w:r>
      <w:r w:rsidR="00304215" w:rsidRPr="00CD2BAD">
        <w:t>.</w:t>
      </w:r>
      <w:r w:rsidR="001402BE" w:rsidRPr="00CD2BAD">
        <w:tab/>
        <w:t>Records</w:t>
      </w:r>
      <w:bookmarkEnd w:id="43"/>
      <w:bookmarkEnd w:id="44"/>
    </w:p>
    <w:p w:rsidR="00BC4337" w:rsidRPr="005B7253" w:rsidRDefault="00BC4337" w:rsidP="0018601A">
      <w:pPr>
        <w:rPr>
          <w:rFonts w:ascii="Arial" w:hAnsi="Arial" w:cs="Arial"/>
          <w:b/>
          <w:szCs w:val="24"/>
        </w:rPr>
      </w:pPr>
      <w:r w:rsidRPr="0018601A">
        <w:rPr>
          <w:rFonts w:ascii="Arial" w:hAnsi="Arial" w:cs="Arial"/>
          <w:b/>
          <w:szCs w:val="24"/>
        </w:rPr>
        <w:t xml:space="preserve">(Refer to </w:t>
      </w:r>
      <w:r w:rsidR="005C471F" w:rsidRPr="00955E25">
        <w:rPr>
          <w:rFonts w:ascii="Arial" w:hAnsi="Arial" w:cs="Arial"/>
          <w:b/>
          <w:szCs w:val="24"/>
        </w:rPr>
        <w:t>Standard 6C</w:t>
      </w:r>
      <w:r w:rsidRPr="005B7253">
        <w:rPr>
          <w:rFonts w:ascii="Arial" w:hAnsi="Arial" w:cs="Arial"/>
          <w:b/>
          <w:szCs w:val="24"/>
        </w:rPr>
        <w:t xml:space="preserve"> in</w:t>
      </w:r>
      <w:r w:rsidR="005C471F" w:rsidRPr="005B7253">
        <w:rPr>
          <w:rFonts w:ascii="Arial" w:hAnsi="Arial" w:cs="Arial"/>
          <w:szCs w:val="24"/>
        </w:rPr>
        <w:t xml:space="preserve"> </w:t>
      </w:r>
      <w:r w:rsidR="005C471F" w:rsidRPr="005B7253">
        <w:rPr>
          <w:rFonts w:ascii="Arial" w:hAnsi="Arial" w:cs="Arial"/>
          <w:b/>
          <w:i/>
          <w:szCs w:val="24"/>
        </w:rPr>
        <w:t>R</w:t>
      </w:r>
      <w:r w:rsidR="005C471F" w:rsidRPr="00955E25">
        <w:rPr>
          <w:rFonts w:ascii="Arial" w:hAnsi="Arial" w:cs="Arial"/>
          <w:b/>
          <w:i/>
          <w:szCs w:val="24"/>
        </w:rPr>
        <w:t>equirements for Medical Pathology Services</w:t>
      </w:r>
      <w:r w:rsidRPr="005B7253">
        <w:rPr>
          <w:rFonts w:ascii="Arial" w:hAnsi="Arial" w:cs="Arial"/>
          <w:b/>
          <w:szCs w:val="24"/>
        </w:rPr>
        <w:t>)</w:t>
      </w:r>
    </w:p>
    <w:p w:rsidR="001402BE" w:rsidRPr="005B7253" w:rsidRDefault="001402BE" w:rsidP="001402BE">
      <w:pPr>
        <w:pStyle w:val="Heading2"/>
      </w:pPr>
      <w:bookmarkStart w:id="45" w:name="_Toc158446274"/>
      <w:bookmarkStart w:id="46" w:name="_Toc362260306"/>
      <w:r w:rsidRPr="005B7253">
        <w:t>Records of images</w:t>
      </w:r>
      <w:bookmarkEnd w:id="45"/>
      <w:r w:rsidR="0077263A" w:rsidRPr="005B7253">
        <w:t xml:space="preserve"> and worksheets</w:t>
      </w:r>
      <w:bookmarkEnd w:id="46"/>
    </w:p>
    <w:p w:rsidR="00BC4337" w:rsidRPr="005B7253" w:rsidRDefault="00BC4337" w:rsidP="00BC4337">
      <w:pPr>
        <w:pStyle w:val="NPStandard"/>
      </w:pPr>
      <w:r w:rsidRPr="005B7253">
        <w:t>S</w:t>
      </w:r>
      <w:r w:rsidR="00095F2D" w:rsidRPr="005B7253">
        <w:t>7</w:t>
      </w:r>
      <w:r w:rsidRPr="005B7253">
        <w:t>.1</w:t>
      </w:r>
      <w:r w:rsidRPr="005B7253">
        <w:tab/>
      </w:r>
      <w:r w:rsidRPr="005B7253">
        <w:rPr>
          <w:rFonts w:eastAsia="MS Mincho"/>
        </w:rPr>
        <w:t>Images</w:t>
      </w:r>
      <w:r w:rsidRPr="005B7253">
        <w:t xml:space="preserve"> must be duplicated and spatially separated for storage.</w:t>
      </w:r>
    </w:p>
    <w:p w:rsidR="001402BE" w:rsidRPr="0018601A" w:rsidRDefault="00BC4337" w:rsidP="0018601A">
      <w:pPr>
        <w:pStyle w:val="NPStandard"/>
        <w:ind w:left="1440"/>
        <w:rPr>
          <w:rFonts w:eastAsia="MS Mincho"/>
          <w:b w:val="0"/>
        </w:rPr>
      </w:pPr>
      <w:r w:rsidRPr="005B7253">
        <w:rPr>
          <w:b w:val="0"/>
        </w:rPr>
        <w:t>C</w:t>
      </w:r>
      <w:r w:rsidR="00095F2D" w:rsidRPr="005B7253">
        <w:rPr>
          <w:b w:val="0"/>
        </w:rPr>
        <w:t>7</w:t>
      </w:r>
      <w:r w:rsidRPr="005B7253">
        <w:rPr>
          <w:rFonts w:eastAsia="MS Mincho"/>
          <w:b w:val="0"/>
        </w:rPr>
        <w:t>.1</w:t>
      </w:r>
      <w:r w:rsidRPr="005B7253">
        <w:rPr>
          <w:rFonts w:eastAsia="MS Mincho"/>
        </w:rPr>
        <w:tab/>
      </w:r>
      <w:r w:rsidR="001402BE" w:rsidRPr="005B7253">
        <w:rPr>
          <w:rFonts w:eastAsia="MS Mincho"/>
          <w:b w:val="0"/>
        </w:rPr>
        <w:t xml:space="preserve">As a minimum, two banded metaphases </w:t>
      </w:r>
      <w:r w:rsidR="001402BE" w:rsidRPr="005B7253">
        <w:rPr>
          <w:rFonts w:eastAsia="MS Mincho"/>
        </w:rPr>
        <w:t>must</w:t>
      </w:r>
      <w:r w:rsidR="001402BE" w:rsidRPr="00955E25">
        <w:rPr>
          <w:rFonts w:eastAsia="MS Mincho"/>
          <w:b w:val="0"/>
        </w:rPr>
        <w:t xml:space="preserve"> be kept, either as slides, as photographic negatives or as stored digital images where it can be demonstrated that the material will not degrade</w:t>
      </w:r>
      <w:r w:rsidR="001402BE" w:rsidRPr="0018601A">
        <w:rPr>
          <w:rFonts w:eastAsia="MS Mincho"/>
          <w:b w:val="0"/>
        </w:rPr>
        <w:t xml:space="preserve"> over the required period.</w:t>
      </w:r>
    </w:p>
    <w:p w:rsidR="0077263A" w:rsidRPr="0018416B" w:rsidRDefault="0077263A" w:rsidP="0077263A">
      <w:pPr>
        <w:pStyle w:val="Heading2"/>
      </w:pPr>
      <w:bookmarkStart w:id="47" w:name="_Toc362260307"/>
      <w:r w:rsidRPr="0018416B">
        <w:t xml:space="preserve">Records </w:t>
      </w:r>
      <w:r>
        <w:t>of FISH analysis</w:t>
      </w:r>
      <w:bookmarkEnd w:id="47"/>
      <w:r>
        <w:t xml:space="preserve"> </w:t>
      </w:r>
    </w:p>
    <w:p w:rsidR="001402BE" w:rsidRPr="0018416B" w:rsidRDefault="001402BE" w:rsidP="00EA4EDA">
      <w:pPr>
        <w:pStyle w:val="NPGuideline"/>
        <w:ind w:left="0" w:firstLine="0"/>
      </w:pPr>
      <w:r w:rsidRPr="0018416B">
        <w:rPr>
          <w:rFonts w:eastAsia="MS Mincho"/>
        </w:rPr>
        <w:t xml:space="preserve">Records </w:t>
      </w:r>
      <w:r>
        <w:rPr>
          <w:rFonts w:eastAsia="MS Mincho"/>
        </w:rPr>
        <w:t xml:space="preserve">should </w:t>
      </w:r>
      <w:r w:rsidRPr="0018416B">
        <w:rPr>
          <w:rFonts w:eastAsia="MS Mincho"/>
        </w:rPr>
        <w:t>identify the source and identification of the probe or primer, the number of cells scored and detailed hybridisation results.</w:t>
      </w:r>
    </w:p>
    <w:p w:rsidR="00404916" w:rsidRPr="00A05946" w:rsidRDefault="008556A1" w:rsidP="00E31C9D">
      <w:pPr>
        <w:pStyle w:val="Heading2"/>
      </w:pPr>
      <w:r w:rsidRPr="00CD2BAD">
        <w:lastRenderedPageBreak/>
        <w:t xml:space="preserve"> </w:t>
      </w:r>
      <w:bookmarkStart w:id="48" w:name="_Toc362260308"/>
      <w:r w:rsidR="00404916" w:rsidRPr="00A05946">
        <w:t>Appendix A</w:t>
      </w:r>
      <w:r w:rsidR="00537607" w:rsidRPr="00A05946">
        <w:tab/>
      </w:r>
      <w:r w:rsidR="003359CE" w:rsidRPr="00A05946">
        <w:t xml:space="preserve">Assessment of banding quality </w:t>
      </w:r>
      <w:proofErr w:type="gramStart"/>
      <w:r w:rsidR="003359CE" w:rsidRPr="00A05946">
        <w:t xml:space="preserve">of </w:t>
      </w:r>
      <w:r w:rsidR="00537607" w:rsidRPr="00A05946">
        <w:t xml:space="preserve"> </w:t>
      </w:r>
      <w:proofErr w:type="gramEnd"/>
      <w:r w:rsidR="00537607" w:rsidRPr="00A05946">
        <w:br/>
      </w:r>
      <w:proofErr w:type="spellStart"/>
      <w:r w:rsidR="003359CE" w:rsidRPr="00A05946">
        <w:t>cytogenetics</w:t>
      </w:r>
      <w:proofErr w:type="spellEnd"/>
      <w:r w:rsidR="003359CE" w:rsidRPr="00A05946">
        <w:t xml:space="preserve"> slide preparations</w:t>
      </w:r>
      <w:r w:rsidR="00FD0195" w:rsidRPr="00A05946">
        <w:t xml:space="preserve"> </w:t>
      </w:r>
      <w:r w:rsidR="00725A65" w:rsidRPr="00A05946">
        <w:t>(Informative)</w:t>
      </w:r>
      <w:bookmarkEnd w:id="48"/>
    </w:p>
    <w:tbl>
      <w:tblPr>
        <w:tblW w:w="0" w:type="auto"/>
        <w:tblLook w:val="01E0" w:firstRow="1" w:lastRow="1" w:firstColumn="1" w:lastColumn="1" w:noHBand="0" w:noVBand="0"/>
      </w:tblPr>
      <w:tblGrid>
        <w:gridCol w:w="1642"/>
        <w:gridCol w:w="2075"/>
        <w:gridCol w:w="5528"/>
      </w:tblGrid>
      <w:tr w:rsidR="003359CE" w:rsidRPr="0018416B">
        <w:tc>
          <w:tcPr>
            <w:tcW w:w="1642"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Heading"/>
              <w:keepLines/>
              <w:rPr>
                <w:sz w:val="22"/>
                <w:szCs w:val="22"/>
              </w:rPr>
            </w:pPr>
            <w:r w:rsidRPr="00583E38">
              <w:rPr>
                <w:sz w:val="22"/>
                <w:szCs w:val="22"/>
              </w:rPr>
              <w:t xml:space="preserve">Banding points </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Heading"/>
              <w:keepLines/>
              <w:rPr>
                <w:sz w:val="22"/>
                <w:szCs w:val="22"/>
              </w:rPr>
            </w:pPr>
            <w:r w:rsidRPr="00583E38">
              <w:rPr>
                <w:sz w:val="22"/>
                <w:szCs w:val="22"/>
              </w:rPr>
              <w:t>ISCN bands per haploid set</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Heading"/>
              <w:keepLines/>
              <w:rPr>
                <w:sz w:val="22"/>
                <w:szCs w:val="22"/>
              </w:rPr>
            </w:pPr>
            <w:r w:rsidRPr="00583E38">
              <w:rPr>
                <w:sz w:val="22"/>
                <w:szCs w:val="22"/>
              </w:rPr>
              <w:t>Examples</w:t>
            </w:r>
          </w:p>
        </w:tc>
      </w:tr>
      <w:tr w:rsidR="003359CE" w:rsidRPr="00252224">
        <w:tc>
          <w:tcPr>
            <w:tcW w:w="1642"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r w:rsidRPr="00583E38">
              <w:rPr>
                <w:sz w:val="22"/>
                <w:szCs w:val="22"/>
              </w:rPr>
              <w:t>0</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r w:rsidRPr="00583E38">
              <w:rPr>
                <w:sz w:val="22"/>
                <w:szCs w:val="22"/>
              </w:rPr>
              <w:t>Unequivocal chromosome pairing is not possible</w:t>
            </w:r>
          </w:p>
        </w:tc>
      </w:tr>
      <w:tr w:rsidR="003359CE" w:rsidRPr="00252224">
        <w:tc>
          <w:tcPr>
            <w:tcW w:w="1642"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r w:rsidRPr="00583E38">
              <w:rPr>
                <w:sz w:val="22"/>
                <w:szCs w:val="22"/>
              </w:rPr>
              <w:t>2</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r w:rsidRPr="00583E38">
              <w:rPr>
                <w:sz w:val="22"/>
                <w:szCs w:val="22"/>
              </w:rPr>
              <w:t>150</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r w:rsidRPr="00583E38">
              <w:rPr>
                <w:sz w:val="22"/>
                <w:szCs w:val="22"/>
              </w:rPr>
              <w:t>Can distinguish 8s from 9s</w:t>
            </w:r>
          </w:p>
          <w:p w:rsidR="003359CE" w:rsidRPr="00583E38" w:rsidRDefault="003359CE" w:rsidP="00252224">
            <w:pPr>
              <w:pStyle w:val="NPTableText"/>
              <w:keepLines/>
              <w:rPr>
                <w:sz w:val="22"/>
                <w:szCs w:val="22"/>
              </w:rPr>
            </w:pPr>
            <w:r w:rsidRPr="00583E38">
              <w:rPr>
                <w:sz w:val="22"/>
                <w:szCs w:val="22"/>
              </w:rPr>
              <w:t>Can distinguish 4s from 5s</w:t>
            </w:r>
          </w:p>
        </w:tc>
      </w:tr>
      <w:tr w:rsidR="003359CE" w:rsidRPr="00252224">
        <w:tc>
          <w:tcPr>
            <w:tcW w:w="1642"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r w:rsidRPr="00583E38">
              <w:rPr>
                <w:sz w:val="22"/>
                <w:szCs w:val="22"/>
              </w:rPr>
              <w:t>4</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r w:rsidRPr="00583E38">
              <w:rPr>
                <w:sz w:val="22"/>
                <w:szCs w:val="22"/>
              </w:rPr>
              <w:t>400</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r w:rsidRPr="00583E38">
              <w:rPr>
                <w:sz w:val="22"/>
                <w:szCs w:val="22"/>
              </w:rPr>
              <w:t>Two distinct dark bands in 8p</w:t>
            </w:r>
          </w:p>
          <w:p w:rsidR="003359CE" w:rsidRPr="00583E38" w:rsidRDefault="003359CE" w:rsidP="00252224">
            <w:pPr>
              <w:pStyle w:val="NPTableText"/>
              <w:keepLines/>
              <w:rPr>
                <w:sz w:val="22"/>
                <w:szCs w:val="22"/>
              </w:rPr>
            </w:pPr>
            <w:r w:rsidRPr="00583E38">
              <w:rPr>
                <w:sz w:val="22"/>
                <w:szCs w:val="22"/>
              </w:rPr>
              <w:t>Two distinct dark bands in 9p</w:t>
            </w:r>
          </w:p>
          <w:p w:rsidR="003359CE" w:rsidRPr="00583E38" w:rsidRDefault="003359CE" w:rsidP="00252224">
            <w:pPr>
              <w:pStyle w:val="NPTableText"/>
              <w:keepLines/>
              <w:rPr>
                <w:sz w:val="22"/>
                <w:szCs w:val="22"/>
              </w:rPr>
            </w:pPr>
            <w:r w:rsidRPr="00583E38">
              <w:rPr>
                <w:sz w:val="22"/>
                <w:szCs w:val="22"/>
              </w:rPr>
              <w:t>Three distinct dark bands in 5q (5q14, 5q21, 5q23)</w:t>
            </w:r>
          </w:p>
        </w:tc>
      </w:tr>
      <w:tr w:rsidR="003359CE" w:rsidRPr="00252224">
        <w:tc>
          <w:tcPr>
            <w:tcW w:w="1642"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r w:rsidRPr="00583E38">
              <w:rPr>
                <w:sz w:val="22"/>
                <w:szCs w:val="22"/>
              </w:rPr>
              <w:t>6</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r w:rsidRPr="00583E38">
              <w:rPr>
                <w:sz w:val="22"/>
                <w:szCs w:val="22"/>
              </w:rPr>
              <w:t>550</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r w:rsidRPr="00583E38">
              <w:rPr>
                <w:sz w:val="22"/>
                <w:szCs w:val="22"/>
              </w:rPr>
              <w:t>Four distinct dark bands in 18q</w:t>
            </w:r>
          </w:p>
          <w:p w:rsidR="003359CE" w:rsidRPr="00583E38" w:rsidRDefault="003359CE" w:rsidP="00252224">
            <w:pPr>
              <w:pStyle w:val="NPTableText"/>
              <w:keepLines/>
              <w:rPr>
                <w:sz w:val="22"/>
                <w:szCs w:val="22"/>
              </w:rPr>
            </w:pPr>
            <w:r w:rsidRPr="00583E38">
              <w:rPr>
                <w:sz w:val="22"/>
                <w:szCs w:val="22"/>
              </w:rPr>
              <w:t>10q21, 10q23, 10q25 split</w:t>
            </w:r>
          </w:p>
          <w:p w:rsidR="003359CE" w:rsidRPr="00583E38" w:rsidRDefault="003359CE" w:rsidP="00252224">
            <w:pPr>
              <w:pStyle w:val="NPTableText"/>
              <w:keepLines/>
              <w:rPr>
                <w:sz w:val="22"/>
                <w:szCs w:val="22"/>
              </w:rPr>
            </w:pPr>
            <w:r w:rsidRPr="00583E38">
              <w:rPr>
                <w:sz w:val="22"/>
                <w:szCs w:val="22"/>
              </w:rPr>
              <w:t>7q33 and 7q35 are clearly distinct</w:t>
            </w:r>
          </w:p>
          <w:p w:rsidR="003359CE" w:rsidRPr="00583E38" w:rsidRDefault="003359CE" w:rsidP="00252224">
            <w:pPr>
              <w:pStyle w:val="NPTableText"/>
              <w:keepLines/>
              <w:rPr>
                <w:sz w:val="22"/>
                <w:szCs w:val="22"/>
              </w:rPr>
            </w:pPr>
            <w:r w:rsidRPr="00583E38">
              <w:rPr>
                <w:sz w:val="22"/>
                <w:szCs w:val="22"/>
              </w:rPr>
              <w:t>22q13.2 is visible</w:t>
            </w:r>
          </w:p>
        </w:tc>
      </w:tr>
      <w:tr w:rsidR="003359CE" w:rsidRPr="00252224">
        <w:tc>
          <w:tcPr>
            <w:tcW w:w="1642"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r w:rsidRPr="00583E38">
              <w:rPr>
                <w:sz w:val="22"/>
                <w:szCs w:val="22"/>
              </w:rPr>
              <w:t>8</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r w:rsidRPr="00583E38">
              <w:rPr>
                <w:sz w:val="22"/>
                <w:szCs w:val="22"/>
              </w:rPr>
              <w:t>850</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r w:rsidRPr="00583E38">
              <w:rPr>
                <w:sz w:val="22"/>
                <w:szCs w:val="22"/>
              </w:rPr>
              <w:t>4p15.3 splits</w:t>
            </w:r>
          </w:p>
          <w:p w:rsidR="003359CE" w:rsidRPr="00583E38" w:rsidRDefault="003359CE" w:rsidP="00252224">
            <w:pPr>
              <w:pStyle w:val="NPTableText"/>
              <w:keepLines/>
              <w:rPr>
                <w:sz w:val="22"/>
                <w:szCs w:val="22"/>
              </w:rPr>
            </w:pPr>
            <w:r w:rsidRPr="00583E38">
              <w:rPr>
                <w:sz w:val="22"/>
                <w:szCs w:val="22"/>
              </w:rPr>
              <w:t>5p15.32 is clearly visible</w:t>
            </w:r>
          </w:p>
          <w:p w:rsidR="003359CE" w:rsidRPr="00583E38" w:rsidRDefault="003359CE" w:rsidP="00252224">
            <w:pPr>
              <w:pStyle w:val="NPTableText"/>
              <w:keepLines/>
              <w:rPr>
                <w:sz w:val="22"/>
                <w:szCs w:val="22"/>
              </w:rPr>
            </w:pPr>
            <w:r w:rsidRPr="00583E38">
              <w:rPr>
                <w:sz w:val="22"/>
                <w:szCs w:val="22"/>
              </w:rPr>
              <w:t>10q11.22 is clearly visible</w:t>
            </w:r>
          </w:p>
          <w:p w:rsidR="003359CE" w:rsidRPr="00583E38" w:rsidRDefault="003359CE" w:rsidP="00252224">
            <w:pPr>
              <w:pStyle w:val="NPTableText"/>
              <w:keepLines/>
              <w:rPr>
                <w:sz w:val="22"/>
                <w:szCs w:val="22"/>
              </w:rPr>
            </w:pPr>
            <w:r w:rsidRPr="00583E38">
              <w:rPr>
                <w:sz w:val="22"/>
                <w:szCs w:val="22"/>
              </w:rPr>
              <w:t>11p14.1 should resolve from 11p14.3</w:t>
            </w:r>
          </w:p>
          <w:p w:rsidR="003359CE" w:rsidRPr="00583E38" w:rsidRDefault="003359CE" w:rsidP="00252224">
            <w:pPr>
              <w:pStyle w:val="NPTableText"/>
              <w:keepLines/>
              <w:rPr>
                <w:sz w:val="22"/>
                <w:szCs w:val="22"/>
              </w:rPr>
            </w:pPr>
            <w:r w:rsidRPr="00583E38">
              <w:rPr>
                <w:sz w:val="22"/>
                <w:szCs w:val="22"/>
              </w:rPr>
              <w:t>20p12.1 and 20p12.3 are clearly visible</w:t>
            </w:r>
          </w:p>
        </w:tc>
      </w:tr>
    </w:tbl>
    <w:p w:rsidR="003359CE" w:rsidRPr="00583E38" w:rsidRDefault="003359CE" w:rsidP="003359CE">
      <w:pPr>
        <w:pStyle w:val="NPTableNotes18"/>
        <w:rPr>
          <w:sz w:val="20"/>
        </w:rPr>
      </w:pPr>
      <w:r w:rsidRPr="00583E38">
        <w:rPr>
          <w:sz w:val="20"/>
        </w:rPr>
        <w:t>ISCN = International System for Human Cytogenetic Nomenclature</w:t>
      </w:r>
    </w:p>
    <w:p w:rsidR="00D201A8" w:rsidRDefault="003359CE" w:rsidP="003359CE">
      <w:pPr>
        <w:autoSpaceDE w:val="0"/>
        <w:autoSpaceDN w:val="0"/>
        <w:adjustRightInd w:val="0"/>
      </w:pPr>
      <w:r w:rsidRPr="0018416B">
        <w:t>In practice</w:t>
      </w:r>
      <w:r>
        <w:t>,</w:t>
      </w:r>
      <w:r w:rsidRPr="0018416B">
        <w:t xml:space="preserve"> not all examples will appear simultaneously</w:t>
      </w:r>
      <w:r>
        <w:t>,</w:t>
      </w:r>
      <w:r w:rsidRPr="0018416B">
        <w:t xml:space="preserve"> and intermediate banding scores of </w:t>
      </w:r>
      <w:r w:rsidR="00252E19">
        <w:br/>
      </w:r>
      <w:r w:rsidRPr="0018416B">
        <w:t xml:space="preserve">1, 3, 5 and 7 can be used to describe metaphases </w:t>
      </w:r>
      <w:r>
        <w:t>that</w:t>
      </w:r>
      <w:r w:rsidRPr="0018416B">
        <w:t xml:space="preserve"> do not fulfil all the criteria for even scores. This will be especially relevant for assessing metaphases between 550 and 850 bands.</w:t>
      </w:r>
    </w:p>
    <w:p w:rsidR="003359CE" w:rsidRPr="00CD2BAD" w:rsidRDefault="003359CE" w:rsidP="00E31C9D">
      <w:pPr>
        <w:pStyle w:val="Heading2"/>
      </w:pPr>
      <w:bookmarkStart w:id="49" w:name="_Toc158446278"/>
      <w:bookmarkStart w:id="50" w:name="_Toc362259377"/>
      <w:bookmarkStart w:id="51" w:name="_Toc362260309"/>
      <w:r w:rsidRPr="00CD2BAD">
        <w:t xml:space="preserve">Appendix </w:t>
      </w:r>
      <w:r w:rsidR="007A6DEE" w:rsidRPr="00CD2BAD">
        <w:t>B</w:t>
      </w:r>
      <w:r w:rsidRPr="00CD2BAD">
        <w:tab/>
        <w:t xml:space="preserve">Recommended minimum banding </w:t>
      </w:r>
      <w:proofErr w:type="gramStart"/>
      <w:r w:rsidRPr="00CD2BAD">
        <w:t>quality</w:t>
      </w:r>
      <w:bookmarkEnd w:id="49"/>
      <w:r w:rsidR="00725A65" w:rsidRPr="00CD2BAD">
        <w:t xml:space="preserve">  (</w:t>
      </w:r>
      <w:proofErr w:type="gramEnd"/>
      <w:r w:rsidR="00725A65" w:rsidRPr="00CD2BAD">
        <w:t>Informative)</w:t>
      </w:r>
      <w:bookmarkEnd w:id="50"/>
      <w:bookmarkEnd w:id="51"/>
    </w:p>
    <w:p w:rsidR="003359CE" w:rsidRPr="0018416B" w:rsidRDefault="003359CE" w:rsidP="003359CE">
      <w:pPr>
        <w:autoSpaceDE w:val="0"/>
        <w:autoSpaceDN w:val="0"/>
        <w:adjustRightInd w:val="0"/>
      </w:pPr>
      <w:r w:rsidRPr="0018416B">
        <w:t>The recommended scores given below are defined as the lowest standard acceptable for a given reason for referral without issuing a qualified report.</w:t>
      </w:r>
    </w:p>
    <w:tbl>
      <w:tblPr>
        <w:tblW w:w="0" w:type="auto"/>
        <w:tblLook w:val="01E0" w:firstRow="1" w:lastRow="1" w:firstColumn="1" w:lastColumn="1" w:noHBand="0" w:noVBand="0"/>
      </w:tblPr>
      <w:tblGrid>
        <w:gridCol w:w="7561"/>
        <w:gridCol w:w="1884"/>
      </w:tblGrid>
      <w:tr w:rsidR="003359CE" w:rsidRPr="0018416B">
        <w:tc>
          <w:tcPr>
            <w:tcW w:w="7621"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Heading"/>
              <w:keepLines/>
              <w:rPr>
                <w:sz w:val="22"/>
                <w:szCs w:val="22"/>
              </w:rPr>
            </w:pPr>
            <w:r w:rsidRPr="00583E38">
              <w:rPr>
                <w:sz w:val="22"/>
                <w:szCs w:val="22"/>
              </w:rPr>
              <w:t>Reason for referral</w:t>
            </w:r>
          </w:p>
        </w:tc>
        <w:tc>
          <w:tcPr>
            <w:tcW w:w="1893"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Heading"/>
              <w:keepLines/>
              <w:rPr>
                <w:sz w:val="22"/>
                <w:szCs w:val="22"/>
              </w:rPr>
            </w:pPr>
            <w:r w:rsidRPr="00583E38">
              <w:rPr>
                <w:sz w:val="22"/>
                <w:szCs w:val="22"/>
              </w:rPr>
              <w:t xml:space="preserve">Banding points </w:t>
            </w:r>
          </w:p>
        </w:tc>
      </w:tr>
      <w:tr w:rsidR="003359CE" w:rsidRPr="0018416B">
        <w:tc>
          <w:tcPr>
            <w:tcW w:w="7621"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r w:rsidRPr="00583E38">
              <w:rPr>
                <w:sz w:val="22"/>
                <w:szCs w:val="22"/>
              </w:rPr>
              <w:t>Routine prenatal diagnosis (e.g. for age or biochemical pre-screens)</w:t>
            </w:r>
          </w:p>
        </w:tc>
        <w:tc>
          <w:tcPr>
            <w:tcW w:w="1893"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r w:rsidRPr="00583E38">
              <w:rPr>
                <w:sz w:val="22"/>
                <w:szCs w:val="22"/>
              </w:rPr>
              <w:t>4</w:t>
            </w:r>
          </w:p>
        </w:tc>
      </w:tr>
      <w:tr w:rsidR="003359CE" w:rsidRPr="0018416B">
        <w:tc>
          <w:tcPr>
            <w:tcW w:w="7621"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r w:rsidRPr="00583E38">
              <w:rPr>
                <w:sz w:val="22"/>
                <w:szCs w:val="22"/>
              </w:rPr>
              <w:t>Aneuploidies and known large structural rearrangements</w:t>
            </w:r>
          </w:p>
        </w:tc>
        <w:tc>
          <w:tcPr>
            <w:tcW w:w="1893"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r w:rsidRPr="00583E38">
              <w:rPr>
                <w:sz w:val="22"/>
                <w:szCs w:val="22"/>
              </w:rPr>
              <w:t>4</w:t>
            </w:r>
          </w:p>
        </w:tc>
      </w:tr>
      <w:tr w:rsidR="003359CE" w:rsidRPr="0018416B">
        <w:tc>
          <w:tcPr>
            <w:tcW w:w="7621"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r w:rsidRPr="00583E38">
              <w:rPr>
                <w:sz w:val="22"/>
                <w:szCs w:val="22"/>
              </w:rPr>
              <w:t>Expected small structural rearrangements, including their prenatal diagnosis</w:t>
            </w:r>
          </w:p>
        </w:tc>
        <w:tc>
          <w:tcPr>
            <w:tcW w:w="1893"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r w:rsidRPr="00583E38">
              <w:rPr>
                <w:sz w:val="22"/>
                <w:szCs w:val="22"/>
              </w:rPr>
              <w:t>4</w:t>
            </w:r>
          </w:p>
        </w:tc>
      </w:tr>
      <w:tr w:rsidR="003359CE" w:rsidRPr="0018416B">
        <w:tc>
          <w:tcPr>
            <w:tcW w:w="7621"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r w:rsidRPr="00583E38">
              <w:rPr>
                <w:sz w:val="22"/>
                <w:szCs w:val="22"/>
              </w:rPr>
              <w:t xml:space="preserve">Possible small unknown structural anomalies (e.g. recurrent abortion, </w:t>
            </w:r>
            <w:proofErr w:type="spellStart"/>
            <w:r w:rsidRPr="00583E38">
              <w:rPr>
                <w:sz w:val="22"/>
                <w:szCs w:val="22"/>
              </w:rPr>
              <w:t>dysmorphic</w:t>
            </w:r>
            <w:proofErr w:type="spellEnd"/>
            <w:r w:rsidRPr="00583E38">
              <w:rPr>
                <w:sz w:val="22"/>
                <w:szCs w:val="22"/>
              </w:rPr>
              <w:t xml:space="preserve"> features, delayed development)</w:t>
            </w:r>
          </w:p>
        </w:tc>
        <w:tc>
          <w:tcPr>
            <w:tcW w:w="1893"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r w:rsidRPr="00583E38">
              <w:rPr>
                <w:sz w:val="22"/>
                <w:szCs w:val="22"/>
              </w:rPr>
              <w:t>6</w:t>
            </w:r>
          </w:p>
        </w:tc>
      </w:tr>
      <w:tr w:rsidR="003359CE" w:rsidRPr="0018416B">
        <w:tc>
          <w:tcPr>
            <w:tcW w:w="7621"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proofErr w:type="spellStart"/>
            <w:r w:rsidRPr="00583E38">
              <w:rPr>
                <w:sz w:val="22"/>
                <w:szCs w:val="22"/>
              </w:rPr>
              <w:t>Microdeletion</w:t>
            </w:r>
            <w:proofErr w:type="spellEnd"/>
            <w:r w:rsidRPr="00583E38">
              <w:rPr>
                <w:sz w:val="22"/>
                <w:szCs w:val="22"/>
              </w:rPr>
              <w:t xml:space="preserve"> syndromes (FISH is the preferred method of analysis where available)</w:t>
            </w:r>
          </w:p>
        </w:tc>
        <w:tc>
          <w:tcPr>
            <w:tcW w:w="1893" w:type="dxa"/>
            <w:tcBorders>
              <w:top w:val="single" w:sz="4" w:space="0" w:color="auto"/>
              <w:left w:val="single" w:sz="4" w:space="0" w:color="auto"/>
              <w:bottom w:val="single" w:sz="4" w:space="0" w:color="auto"/>
              <w:right w:val="single" w:sz="4" w:space="0" w:color="auto"/>
            </w:tcBorders>
            <w:shd w:val="clear" w:color="auto" w:fill="auto"/>
          </w:tcPr>
          <w:p w:rsidR="003359CE" w:rsidRPr="00583E38" w:rsidRDefault="003359CE" w:rsidP="00252224">
            <w:pPr>
              <w:pStyle w:val="NPTableText"/>
              <w:keepLines/>
              <w:rPr>
                <w:sz w:val="22"/>
                <w:szCs w:val="22"/>
              </w:rPr>
            </w:pPr>
            <w:r w:rsidRPr="00583E38">
              <w:rPr>
                <w:sz w:val="22"/>
                <w:szCs w:val="22"/>
              </w:rPr>
              <w:t>7</w:t>
            </w:r>
          </w:p>
        </w:tc>
      </w:tr>
    </w:tbl>
    <w:p w:rsidR="008556A1" w:rsidRPr="00583E38" w:rsidRDefault="009D5FDD" w:rsidP="009D5FDD">
      <w:pPr>
        <w:pStyle w:val="NPTableNotes18"/>
        <w:rPr>
          <w:sz w:val="20"/>
        </w:rPr>
      </w:pPr>
      <w:r w:rsidRPr="00583E38">
        <w:rPr>
          <w:sz w:val="20"/>
        </w:rPr>
        <w:t>FISH = fluorescence in situ hybridisation</w:t>
      </w:r>
    </w:p>
    <w:p w:rsidR="008556A1" w:rsidRPr="00D0072D" w:rsidRDefault="008556A1" w:rsidP="00E31C9D">
      <w:pPr>
        <w:pStyle w:val="Heading2"/>
        <w:ind w:left="0" w:firstLine="0"/>
      </w:pPr>
      <w:bookmarkStart w:id="52" w:name="_Toc362260310"/>
      <w:r w:rsidRPr="00D0072D">
        <w:t>References</w:t>
      </w:r>
      <w:bookmarkEnd w:id="52"/>
    </w:p>
    <w:p w:rsidR="008556A1" w:rsidRDefault="008556A1" w:rsidP="00CD2BAD">
      <w:pPr>
        <w:numPr>
          <w:ilvl w:val="0"/>
          <w:numId w:val="18"/>
        </w:numPr>
        <w:tabs>
          <w:tab w:val="clear" w:pos="720"/>
          <w:tab w:val="num" w:pos="1134"/>
        </w:tabs>
        <w:ind w:left="1134" w:hanging="567"/>
      </w:pPr>
      <w:proofErr w:type="spellStart"/>
      <w:r w:rsidRPr="006564C4">
        <w:t>Bricarelli</w:t>
      </w:r>
      <w:proofErr w:type="spellEnd"/>
      <w:r w:rsidRPr="006564C4">
        <w:t xml:space="preserve"> FD, Hastings RJ, Kristofferson U and </w:t>
      </w:r>
      <w:proofErr w:type="spellStart"/>
      <w:r w:rsidRPr="006564C4">
        <w:t>Cavani</w:t>
      </w:r>
      <w:proofErr w:type="spellEnd"/>
      <w:r w:rsidRPr="006564C4">
        <w:t xml:space="preserve"> S (</w:t>
      </w:r>
      <w:proofErr w:type="spellStart"/>
      <w:proofErr w:type="gramStart"/>
      <w:r w:rsidRPr="006564C4">
        <w:t>eds</w:t>
      </w:r>
      <w:proofErr w:type="spellEnd"/>
      <w:proofErr w:type="gramEnd"/>
      <w:r w:rsidRPr="006564C4">
        <w:t xml:space="preserve">) (2006). Cytogenetic guidelines and quality assurance: A common European framework for quality assessment for constitutional and acquired cytogenetic investigations. </w:t>
      </w:r>
      <w:r w:rsidRPr="006564C4">
        <w:rPr>
          <w:i/>
        </w:rPr>
        <w:t xml:space="preserve">European </w:t>
      </w:r>
      <w:proofErr w:type="spellStart"/>
      <w:r w:rsidRPr="006564C4">
        <w:rPr>
          <w:i/>
        </w:rPr>
        <w:t>Cytogeneticists</w:t>
      </w:r>
      <w:proofErr w:type="spellEnd"/>
      <w:r w:rsidRPr="006564C4">
        <w:rPr>
          <w:i/>
        </w:rPr>
        <w:t xml:space="preserve"> Association</w:t>
      </w:r>
      <w:r w:rsidRPr="006564C4">
        <w:t xml:space="preserve"> </w:t>
      </w:r>
      <w:r w:rsidRPr="009D5FDD">
        <w:rPr>
          <w:i/>
        </w:rPr>
        <w:t>Newsletter</w:t>
      </w:r>
      <w:r w:rsidRPr="006564C4">
        <w:t xml:space="preserve"> 17(January):13–32.</w:t>
      </w:r>
    </w:p>
    <w:p w:rsidR="008556A1" w:rsidRPr="006564C4" w:rsidRDefault="008556A1" w:rsidP="00CD2BAD">
      <w:pPr>
        <w:numPr>
          <w:ilvl w:val="0"/>
          <w:numId w:val="18"/>
        </w:numPr>
        <w:tabs>
          <w:tab w:val="clear" w:pos="720"/>
          <w:tab w:val="num" w:pos="1134"/>
        </w:tabs>
        <w:ind w:left="1134" w:hanging="567"/>
      </w:pPr>
      <w:r>
        <w:lastRenderedPageBreak/>
        <w:t xml:space="preserve">Gardner RJ and Sutherland GR (2004). </w:t>
      </w:r>
      <w:r w:rsidRPr="006564C4">
        <w:rPr>
          <w:i/>
        </w:rPr>
        <w:t>Chromosome Abnormalities and Genetic Counselling</w:t>
      </w:r>
      <w:r>
        <w:t>, 3rd edition, Oxford University Press.</w:t>
      </w:r>
    </w:p>
    <w:p w:rsidR="008556A1" w:rsidRDefault="008556A1" w:rsidP="00CD2BAD">
      <w:pPr>
        <w:numPr>
          <w:ilvl w:val="0"/>
          <w:numId w:val="18"/>
        </w:numPr>
        <w:tabs>
          <w:tab w:val="clear" w:pos="720"/>
          <w:tab w:val="num" w:pos="1134"/>
        </w:tabs>
        <w:ind w:left="1134" w:hanging="567"/>
      </w:pPr>
      <w:r>
        <w:t xml:space="preserve">Hook EB (1977). Exclusion of chromosomal </w:t>
      </w:r>
      <w:proofErr w:type="spellStart"/>
      <w:r>
        <w:t>mosaicism</w:t>
      </w:r>
      <w:proofErr w:type="spellEnd"/>
      <w:r>
        <w:t xml:space="preserve">: tables of 90%, 95% and 99% confidence limits and comments on use. </w:t>
      </w:r>
      <w:r w:rsidRPr="006564C4">
        <w:rPr>
          <w:i/>
        </w:rPr>
        <w:t>American Journal of Human Genetics</w:t>
      </w:r>
      <w:r>
        <w:t xml:space="preserve"> (29):94–97.</w:t>
      </w:r>
    </w:p>
    <w:p w:rsidR="008556A1" w:rsidRPr="00D0072D" w:rsidRDefault="008556A1" w:rsidP="00E31C9D">
      <w:pPr>
        <w:pStyle w:val="Heading2"/>
      </w:pPr>
      <w:bookmarkStart w:id="53" w:name="_Toc362260311"/>
      <w:bookmarkStart w:id="54" w:name="_Toc357764462"/>
      <w:r w:rsidRPr="00D0072D">
        <w:t>Bibliography</w:t>
      </w:r>
      <w:bookmarkEnd w:id="53"/>
    </w:p>
    <w:p w:rsidR="008556A1" w:rsidRDefault="008556A1" w:rsidP="00CD2BAD">
      <w:pPr>
        <w:ind w:left="567"/>
      </w:pPr>
      <w:proofErr w:type="spellStart"/>
      <w:r w:rsidRPr="00634753">
        <w:t>Dewald</w:t>
      </w:r>
      <w:proofErr w:type="spellEnd"/>
      <w:r w:rsidRPr="00634753">
        <w:t xml:space="preserve"> G, </w:t>
      </w:r>
      <w:proofErr w:type="spellStart"/>
      <w:r w:rsidRPr="00634753">
        <w:t>Stallard</w:t>
      </w:r>
      <w:proofErr w:type="spellEnd"/>
      <w:r w:rsidRPr="00634753">
        <w:t xml:space="preserve"> R, Al </w:t>
      </w:r>
      <w:proofErr w:type="spellStart"/>
      <w:r w:rsidRPr="00634753">
        <w:t>Saadi</w:t>
      </w:r>
      <w:proofErr w:type="spellEnd"/>
      <w:r w:rsidRPr="00634753">
        <w:t xml:space="preserve"> A, Arnold S, Bader PI, </w:t>
      </w:r>
      <w:proofErr w:type="spellStart"/>
      <w:r w:rsidRPr="00634753">
        <w:t>Blough</w:t>
      </w:r>
      <w:proofErr w:type="spellEnd"/>
      <w:r w:rsidRPr="00634753">
        <w:t xml:space="preserve"> R, Chen K, </w:t>
      </w:r>
      <w:proofErr w:type="spellStart"/>
      <w:r w:rsidRPr="00634753">
        <w:t>Elejalde</w:t>
      </w:r>
      <w:proofErr w:type="spellEnd"/>
      <w:r w:rsidRPr="00634753">
        <w:t xml:space="preserve"> BR, Harris CJ, Higgins RR, </w:t>
      </w:r>
      <w:proofErr w:type="spellStart"/>
      <w:r w:rsidRPr="00634753">
        <w:t>Hoeltge</w:t>
      </w:r>
      <w:proofErr w:type="spellEnd"/>
      <w:r w:rsidRPr="00634753">
        <w:t xml:space="preserve"> GA, Hsu WT, </w:t>
      </w:r>
      <w:proofErr w:type="spellStart"/>
      <w:r w:rsidRPr="00634753">
        <w:t>Kubic</w:t>
      </w:r>
      <w:proofErr w:type="spellEnd"/>
      <w:r w:rsidRPr="00634753">
        <w:t xml:space="preserve"> V, </w:t>
      </w:r>
      <w:proofErr w:type="spellStart"/>
      <w:r w:rsidRPr="00634753">
        <w:t>McCorquodale</w:t>
      </w:r>
      <w:proofErr w:type="spellEnd"/>
      <w:r w:rsidRPr="00634753">
        <w:t xml:space="preserve"> DJ, </w:t>
      </w:r>
      <w:proofErr w:type="spellStart"/>
      <w:r w:rsidRPr="00634753">
        <w:t>Micale</w:t>
      </w:r>
      <w:proofErr w:type="spellEnd"/>
      <w:r w:rsidRPr="00634753">
        <w:t xml:space="preserve"> MA, Moore JW, Phillips RM, </w:t>
      </w:r>
      <w:proofErr w:type="spellStart"/>
      <w:r w:rsidRPr="00634753">
        <w:t>Scheib-Wixted</w:t>
      </w:r>
      <w:proofErr w:type="spellEnd"/>
      <w:r w:rsidRPr="00634753">
        <w:t xml:space="preserve"> S, Schwartz S, </w:t>
      </w:r>
      <w:proofErr w:type="spellStart"/>
      <w:r w:rsidRPr="00634753">
        <w:t>Siembieda</w:t>
      </w:r>
      <w:proofErr w:type="spellEnd"/>
      <w:r w:rsidRPr="00634753">
        <w:t xml:space="preserve"> S, </w:t>
      </w:r>
      <w:proofErr w:type="spellStart"/>
      <w:r w:rsidRPr="00634753">
        <w:t>Strole</w:t>
      </w:r>
      <w:proofErr w:type="spellEnd"/>
      <w:r w:rsidRPr="00634753">
        <w:t xml:space="preserve"> K, </w:t>
      </w:r>
      <w:proofErr w:type="spellStart"/>
      <w:r w:rsidRPr="00634753">
        <w:t>VanTuinen</w:t>
      </w:r>
      <w:proofErr w:type="spellEnd"/>
      <w:r w:rsidRPr="00634753">
        <w:t xml:space="preserve"> P, Vance GH, </w:t>
      </w:r>
      <w:proofErr w:type="spellStart"/>
      <w:r w:rsidRPr="00634753">
        <w:t>Wiktor</w:t>
      </w:r>
      <w:proofErr w:type="spellEnd"/>
      <w:r w:rsidRPr="00634753">
        <w:t xml:space="preserve"> A, </w:t>
      </w:r>
      <w:proofErr w:type="spellStart"/>
      <w:r w:rsidRPr="00634753">
        <w:t>Zinsmeister</w:t>
      </w:r>
      <w:proofErr w:type="spellEnd"/>
      <w:r w:rsidRPr="00634753">
        <w:t xml:space="preserve"> A </w:t>
      </w:r>
      <w:r w:rsidRPr="00CD1200">
        <w:t xml:space="preserve">(1998). A </w:t>
      </w:r>
      <w:proofErr w:type="spellStart"/>
      <w:r w:rsidRPr="00CD1200">
        <w:t>multicenter</w:t>
      </w:r>
      <w:proofErr w:type="spellEnd"/>
      <w:r w:rsidRPr="00CD1200">
        <w:t xml:space="preserve"> investigation with interphase fluorescence in situ hybridization using X- and Y-chromosome probes. </w:t>
      </w:r>
      <w:r w:rsidRPr="00CD1200">
        <w:rPr>
          <w:i/>
        </w:rPr>
        <w:t>American Journal of Medical Genetics</w:t>
      </w:r>
      <w:r w:rsidRPr="00CD1200">
        <w:t xml:space="preserve"> 76(4):318–326.</w:t>
      </w:r>
    </w:p>
    <w:p w:rsidR="00BD627D" w:rsidRPr="00CD2BAD" w:rsidRDefault="00BD627D" w:rsidP="00E31C9D">
      <w:pPr>
        <w:pStyle w:val="Heading2"/>
      </w:pPr>
      <w:bookmarkStart w:id="55" w:name="_Toc362260312"/>
      <w:r w:rsidRPr="00CD2BAD">
        <w:t>Further information</w:t>
      </w:r>
      <w:bookmarkEnd w:id="54"/>
      <w:bookmarkEnd w:id="55"/>
    </w:p>
    <w:p w:rsidR="00BD627D" w:rsidRPr="009844A7" w:rsidRDefault="00BD627D" w:rsidP="00BD627D">
      <w:pPr>
        <w:spacing w:after="0"/>
      </w:pPr>
      <w:r w:rsidRPr="009844A7">
        <w:t>Other NPAAC documents are available from:</w:t>
      </w:r>
    </w:p>
    <w:p w:rsidR="00E31C9D" w:rsidRPr="009844A7" w:rsidRDefault="00E31C9D" w:rsidP="00812627">
      <w:pPr>
        <w:tabs>
          <w:tab w:val="left" w:pos="4510"/>
        </w:tabs>
        <w:spacing w:after="0"/>
      </w:pPr>
      <w:r w:rsidRPr="009844A7">
        <w:tab/>
      </w:r>
    </w:p>
    <w:p w:rsidR="00E31C9D" w:rsidRDefault="00E31C9D" w:rsidP="00FD0195">
      <w:pPr>
        <w:autoSpaceDE w:val="0"/>
        <w:autoSpaceDN w:val="0"/>
        <w:adjustRightInd w:val="0"/>
        <w:spacing w:after="0"/>
      </w:pPr>
      <w:r>
        <w:t>The Secretary</w:t>
      </w:r>
      <w:r w:rsidRPr="00CB2B2A">
        <w:br/>
        <w:t>NPAAC</w:t>
      </w:r>
      <w:r>
        <w:t xml:space="preserve"> Secretariat</w:t>
      </w:r>
      <w:r w:rsidRPr="00CB2B2A">
        <w:br/>
        <w:t>Depa</w:t>
      </w:r>
      <w:r>
        <w:t xml:space="preserve">rtment of Health </w:t>
      </w:r>
      <w:r>
        <w:br/>
      </w:r>
      <w:r w:rsidRPr="00CB2B2A">
        <w:t>GPO Box 9848</w:t>
      </w:r>
      <w:r>
        <w:t xml:space="preserve"> (MDP 951</w:t>
      </w:r>
      <w:proofErr w:type="gramStart"/>
      <w:r>
        <w:t>)</w:t>
      </w:r>
      <w:proofErr w:type="gramEnd"/>
      <w:r>
        <w:br/>
      </w:r>
      <w:r w:rsidRPr="00CB2B2A">
        <w:t>CANBERRA ACT 2601</w:t>
      </w:r>
    </w:p>
    <w:p w:rsidR="00E31C9D" w:rsidRDefault="00E31C9D" w:rsidP="00FD0195">
      <w:pPr>
        <w:autoSpaceDE w:val="0"/>
        <w:autoSpaceDN w:val="0"/>
        <w:adjustRightInd w:val="0"/>
        <w:spacing w:after="0"/>
      </w:pPr>
    </w:p>
    <w:p w:rsidR="00E31C9D" w:rsidRDefault="00E31C9D" w:rsidP="00FD0195">
      <w:pPr>
        <w:autoSpaceDE w:val="0"/>
        <w:autoSpaceDN w:val="0"/>
        <w:adjustRightInd w:val="0"/>
        <w:spacing w:after="0"/>
      </w:pPr>
      <w:r w:rsidRPr="00CB2B2A">
        <w:t xml:space="preserve">Phone: </w:t>
      </w:r>
      <w:r>
        <w:tab/>
      </w:r>
      <w:r w:rsidRPr="00CB2B2A">
        <w:t>+61 2 6289 4017</w:t>
      </w:r>
    </w:p>
    <w:p w:rsidR="00E31C9D" w:rsidRDefault="00E31C9D" w:rsidP="00FD0195">
      <w:pPr>
        <w:autoSpaceDE w:val="0"/>
        <w:autoSpaceDN w:val="0"/>
        <w:adjustRightInd w:val="0"/>
        <w:spacing w:after="0"/>
      </w:pPr>
      <w:r w:rsidRPr="00CB2B2A">
        <w:t>Fax:</w:t>
      </w:r>
      <w:r w:rsidRPr="00CB2B2A">
        <w:tab/>
      </w:r>
      <w:r>
        <w:tab/>
      </w:r>
      <w:r w:rsidRPr="00CB2B2A">
        <w:t xml:space="preserve">+61 2 6289 </w:t>
      </w:r>
      <w:r>
        <w:t>4028</w:t>
      </w:r>
    </w:p>
    <w:p w:rsidR="00E31C9D" w:rsidRDefault="00E31C9D" w:rsidP="00FD0195">
      <w:pPr>
        <w:autoSpaceDE w:val="0"/>
        <w:autoSpaceDN w:val="0"/>
        <w:adjustRightInd w:val="0"/>
        <w:spacing w:after="0"/>
      </w:pPr>
      <w:r w:rsidRPr="00CB2B2A">
        <w:t xml:space="preserve">Email: </w:t>
      </w:r>
      <w:r>
        <w:tab/>
      </w:r>
      <w:r>
        <w:tab/>
      </w:r>
      <w:hyperlink r:id="rId12" w:history="1">
        <w:r>
          <w:rPr>
            <w:rStyle w:val="Hyperlink"/>
          </w:rPr>
          <w:t>NPAAC Email Address</w:t>
        </w:r>
      </w:hyperlink>
    </w:p>
    <w:p w:rsidR="00E31C9D" w:rsidRDefault="00E31C9D" w:rsidP="00FD0195">
      <w:pPr>
        <w:autoSpaceDE w:val="0"/>
        <w:autoSpaceDN w:val="0"/>
        <w:adjustRightInd w:val="0"/>
        <w:spacing w:after="0"/>
        <w:rPr>
          <w:color w:val="000000"/>
          <w:szCs w:val="24"/>
        </w:rPr>
      </w:pPr>
      <w:r>
        <w:t>Website:</w:t>
      </w:r>
      <w:r>
        <w:tab/>
      </w:r>
      <w:hyperlink r:id="rId13" w:history="1">
        <w:proofErr w:type="spellStart"/>
        <w:r>
          <w:rPr>
            <w:rStyle w:val="Hyperlink"/>
          </w:rPr>
          <w:t>DoHA</w:t>
        </w:r>
        <w:proofErr w:type="spellEnd"/>
        <w:r>
          <w:rPr>
            <w:rStyle w:val="Hyperlink"/>
          </w:rPr>
          <w:t xml:space="preserve"> Website</w:t>
        </w:r>
      </w:hyperlink>
      <w:bookmarkStart w:id="56" w:name="_GoBack"/>
      <w:bookmarkEnd w:id="56"/>
    </w:p>
    <w:sectPr w:rsidR="00E31C9D" w:rsidSect="002365DB">
      <w:headerReference w:type="even" r:id="rId14"/>
      <w:headerReference w:type="default" r:id="rId15"/>
      <w:headerReference w:type="first" r:id="rId16"/>
      <w:footerReference w:type="first" r:id="rId17"/>
      <w:footnotePr>
        <w:numStart w:val="3"/>
      </w:footnotePr>
      <w:type w:val="oddPage"/>
      <w:pgSz w:w="11909" w:h="16834" w:code="9"/>
      <w:pgMar w:top="1220" w:right="1340" w:bottom="-1276" w:left="1340" w:header="578" w:footer="57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22D" w:rsidRDefault="00CA322D">
      <w:r>
        <w:separator/>
      </w:r>
    </w:p>
  </w:endnote>
  <w:endnote w:type="continuationSeparator" w:id="0">
    <w:p w:rsidR="00CA322D" w:rsidRDefault="00CA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W1)">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1A8" w:rsidRPr="00F158E7" w:rsidRDefault="00D201A8" w:rsidP="00E15A0F">
    <w:pPr>
      <w:pStyle w:val="Footer"/>
      <w:tabs>
        <w:tab w:val="clear" w:pos="9000"/>
        <w:tab w:val="right" w:pos="8505"/>
        <w:tab w:val="right" w:pos="9072"/>
      </w:tabs>
      <w:rPr>
        <w:b/>
      </w:rPr>
    </w:pPr>
    <w:r w:rsidRPr="00F158E7">
      <w:rPr>
        <w:rStyle w:val="PageNumber"/>
        <w:b w:val="0"/>
      </w:rPr>
      <w:tab/>
    </w:r>
  </w:p>
  <w:tbl>
    <w:tblPr>
      <w:tblW w:w="0" w:type="auto"/>
      <w:tblInd w:w="108" w:type="dxa"/>
      <w:tblLook w:val="01E0" w:firstRow="1" w:lastRow="1" w:firstColumn="1" w:lastColumn="1" w:noHBand="0" w:noVBand="0"/>
    </w:tblPr>
    <w:tblGrid>
      <w:gridCol w:w="8505"/>
      <w:gridCol w:w="567"/>
    </w:tblGrid>
    <w:tr w:rsidR="00D201A8" w:rsidRPr="005A17B7">
      <w:tc>
        <w:tcPr>
          <w:tcW w:w="8505" w:type="dxa"/>
          <w:tcBorders>
            <w:top w:val="single" w:sz="4" w:space="0" w:color="auto"/>
          </w:tcBorders>
          <w:shd w:val="clear" w:color="auto" w:fill="auto"/>
        </w:tcPr>
        <w:p w:rsidR="00D201A8" w:rsidRPr="00252224" w:rsidRDefault="00D201A8" w:rsidP="00CD24FE">
          <w:pPr>
            <w:tabs>
              <w:tab w:val="left" w:pos="567"/>
            </w:tabs>
            <w:spacing w:after="0"/>
            <w:rPr>
              <w:i/>
            </w:rPr>
          </w:pPr>
          <w:r w:rsidRPr="00252224">
            <w:rPr>
              <w:rStyle w:val="PageNumber"/>
              <w:b w:val="0"/>
              <w:i/>
            </w:rPr>
            <w:t>Requirements for Cytogenetic Testing</w:t>
          </w:r>
        </w:p>
      </w:tc>
      <w:tc>
        <w:tcPr>
          <w:tcW w:w="567" w:type="dxa"/>
          <w:shd w:val="clear" w:color="auto" w:fill="auto"/>
        </w:tcPr>
        <w:p w:rsidR="00D201A8" w:rsidRPr="00252224" w:rsidRDefault="00D201A8" w:rsidP="00252224">
          <w:pPr>
            <w:tabs>
              <w:tab w:val="left" w:pos="567"/>
            </w:tabs>
            <w:spacing w:after="0"/>
            <w:rPr>
              <w:i/>
              <w:sz w:val="28"/>
              <w:szCs w:val="28"/>
            </w:rPr>
          </w:pPr>
          <w:r w:rsidRPr="00252224">
            <w:rPr>
              <w:rStyle w:val="PageNumber"/>
              <w:i/>
              <w:sz w:val="28"/>
              <w:szCs w:val="28"/>
            </w:rPr>
            <w:fldChar w:fldCharType="begin"/>
          </w:r>
          <w:r w:rsidRPr="00252224">
            <w:rPr>
              <w:rStyle w:val="PageNumber"/>
              <w:i/>
              <w:sz w:val="28"/>
              <w:szCs w:val="28"/>
            </w:rPr>
            <w:instrText xml:space="preserve"> PAGE </w:instrText>
          </w:r>
          <w:r w:rsidRPr="00252224">
            <w:rPr>
              <w:rStyle w:val="PageNumber"/>
              <w:i/>
              <w:sz w:val="28"/>
              <w:szCs w:val="28"/>
            </w:rPr>
            <w:fldChar w:fldCharType="separate"/>
          </w:r>
          <w:r w:rsidR="00E31C9D">
            <w:rPr>
              <w:rStyle w:val="PageNumber"/>
              <w:i/>
              <w:noProof/>
              <w:sz w:val="28"/>
              <w:szCs w:val="28"/>
            </w:rPr>
            <w:t>1</w:t>
          </w:r>
          <w:r w:rsidRPr="00252224">
            <w:rPr>
              <w:rStyle w:val="PageNumber"/>
              <w:i/>
              <w:sz w:val="28"/>
              <w:szCs w:val="28"/>
            </w:rPr>
            <w:fldChar w:fldCharType="end"/>
          </w:r>
        </w:p>
      </w:tc>
    </w:tr>
  </w:tbl>
  <w:p w:rsidR="00D201A8" w:rsidRPr="00F158E7" w:rsidRDefault="00D201A8" w:rsidP="00632ED8">
    <w:pPr>
      <w:pStyle w:val="Footer"/>
      <w:tabs>
        <w:tab w:val="clear" w:pos="9000"/>
        <w:tab w:val="right" w:pos="8505"/>
        <w:tab w:val="right" w:pos="9072"/>
      </w:tabs>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22D" w:rsidRDefault="00CA322D">
      <w:pPr>
        <w:spacing w:after="0"/>
      </w:pPr>
      <w:r>
        <w:separator/>
      </w:r>
    </w:p>
    <w:p w:rsidR="00CA322D" w:rsidRDefault="00CA322D"/>
  </w:footnote>
  <w:footnote w:type="continuationSeparator" w:id="0">
    <w:p w:rsidR="00CA322D" w:rsidRDefault="00CA322D">
      <w:pPr>
        <w:spacing w:after="0"/>
      </w:pPr>
      <w:r>
        <w:continuationSeparator/>
      </w:r>
    </w:p>
    <w:p w:rsidR="00CA322D" w:rsidRDefault="00CA322D"/>
  </w:footnote>
  <w:footnote w:id="1">
    <w:p w:rsidR="00D201A8" w:rsidRDefault="00D201A8" w:rsidP="007227D6">
      <w:pPr>
        <w:pStyle w:val="FootnoteText"/>
      </w:pPr>
      <w:r>
        <w:rPr>
          <w:rStyle w:val="FootnoteReference"/>
        </w:rPr>
        <w:footnoteRef/>
      </w:r>
      <w:r>
        <w:t xml:space="preserve"> See Gardner and Sutherland (2004). Mosaicism in prenatal diagnosis is dealt with extensively in Chapter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1A8" w:rsidRDefault="00D20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1A8" w:rsidRDefault="00D201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1A8" w:rsidRDefault="00D201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64A31"/>
    <w:multiLevelType w:val="hybridMultilevel"/>
    <w:tmpl w:val="FEA25954"/>
    <w:lvl w:ilvl="0" w:tplc="04090001">
      <w:start w:val="1"/>
      <w:numFmt w:val="bullet"/>
      <w:lvlText w:val=""/>
      <w:lvlJc w:val="left"/>
      <w:pPr>
        <w:tabs>
          <w:tab w:val="num" w:pos="2874"/>
        </w:tabs>
        <w:ind w:left="2874" w:hanging="360"/>
      </w:pPr>
      <w:rPr>
        <w:rFonts w:ascii="Symbol" w:hAnsi="Symbol" w:hint="default"/>
      </w:rPr>
    </w:lvl>
    <w:lvl w:ilvl="1" w:tplc="04090003" w:tentative="1">
      <w:start w:val="1"/>
      <w:numFmt w:val="bullet"/>
      <w:lvlText w:val="o"/>
      <w:lvlJc w:val="left"/>
      <w:pPr>
        <w:tabs>
          <w:tab w:val="num" w:pos="3594"/>
        </w:tabs>
        <w:ind w:left="3594" w:hanging="360"/>
      </w:pPr>
      <w:rPr>
        <w:rFonts w:ascii="Courier New" w:hAnsi="Courier New" w:cs="Courier New" w:hint="default"/>
      </w:rPr>
    </w:lvl>
    <w:lvl w:ilvl="2" w:tplc="04090005" w:tentative="1">
      <w:start w:val="1"/>
      <w:numFmt w:val="bullet"/>
      <w:lvlText w:val=""/>
      <w:lvlJc w:val="left"/>
      <w:pPr>
        <w:tabs>
          <w:tab w:val="num" w:pos="4314"/>
        </w:tabs>
        <w:ind w:left="4314" w:hanging="360"/>
      </w:pPr>
      <w:rPr>
        <w:rFonts w:ascii="Wingdings" w:hAnsi="Wingdings" w:hint="default"/>
      </w:rPr>
    </w:lvl>
    <w:lvl w:ilvl="3" w:tplc="04090001" w:tentative="1">
      <w:start w:val="1"/>
      <w:numFmt w:val="bullet"/>
      <w:lvlText w:val=""/>
      <w:lvlJc w:val="left"/>
      <w:pPr>
        <w:tabs>
          <w:tab w:val="num" w:pos="5034"/>
        </w:tabs>
        <w:ind w:left="5034" w:hanging="360"/>
      </w:pPr>
      <w:rPr>
        <w:rFonts w:ascii="Symbol" w:hAnsi="Symbol" w:hint="default"/>
      </w:rPr>
    </w:lvl>
    <w:lvl w:ilvl="4" w:tplc="04090003" w:tentative="1">
      <w:start w:val="1"/>
      <w:numFmt w:val="bullet"/>
      <w:lvlText w:val="o"/>
      <w:lvlJc w:val="left"/>
      <w:pPr>
        <w:tabs>
          <w:tab w:val="num" w:pos="5754"/>
        </w:tabs>
        <w:ind w:left="5754" w:hanging="360"/>
      </w:pPr>
      <w:rPr>
        <w:rFonts w:ascii="Courier New" w:hAnsi="Courier New" w:cs="Courier New" w:hint="default"/>
      </w:rPr>
    </w:lvl>
    <w:lvl w:ilvl="5" w:tplc="04090005" w:tentative="1">
      <w:start w:val="1"/>
      <w:numFmt w:val="bullet"/>
      <w:lvlText w:val=""/>
      <w:lvlJc w:val="left"/>
      <w:pPr>
        <w:tabs>
          <w:tab w:val="num" w:pos="6474"/>
        </w:tabs>
        <w:ind w:left="6474" w:hanging="360"/>
      </w:pPr>
      <w:rPr>
        <w:rFonts w:ascii="Wingdings" w:hAnsi="Wingdings" w:hint="default"/>
      </w:rPr>
    </w:lvl>
    <w:lvl w:ilvl="6" w:tplc="04090001" w:tentative="1">
      <w:start w:val="1"/>
      <w:numFmt w:val="bullet"/>
      <w:lvlText w:val=""/>
      <w:lvlJc w:val="left"/>
      <w:pPr>
        <w:tabs>
          <w:tab w:val="num" w:pos="7194"/>
        </w:tabs>
        <w:ind w:left="7194" w:hanging="360"/>
      </w:pPr>
      <w:rPr>
        <w:rFonts w:ascii="Symbol" w:hAnsi="Symbol" w:hint="default"/>
      </w:rPr>
    </w:lvl>
    <w:lvl w:ilvl="7" w:tplc="04090003" w:tentative="1">
      <w:start w:val="1"/>
      <w:numFmt w:val="bullet"/>
      <w:lvlText w:val="o"/>
      <w:lvlJc w:val="left"/>
      <w:pPr>
        <w:tabs>
          <w:tab w:val="num" w:pos="7914"/>
        </w:tabs>
        <w:ind w:left="7914" w:hanging="360"/>
      </w:pPr>
      <w:rPr>
        <w:rFonts w:ascii="Courier New" w:hAnsi="Courier New" w:cs="Courier New" w:hint="default"/>
      </w:rPr>
    </w:lvl>
    <w:lvl w:ilvl="8" w:tplc="04090005" w:tentative="1">
      <w:start w:val="1"/>
      <w:numFmt w:val="bullet"/>
      <w:lvlText w:val=""/>
      <w:lvlJc w:val="left"/>
      <w:pPr>
        <w:tabs>
          <w:tab w:val="num" w:pos="8634"/>
        </w:tabs>
        <w:ind w:left="8634" w:hanging="360"/>
      </w:pPr>
      <w:rPr>
        <w:rFonts w:ascii="Wingdings" w:hAnsi="Wingdings" w:hint="default"/>
      </w:rPr>
    </w:lvl>
  </w:abstractNum>
  <w:abstractNum w:abstractNumId="1">
    <w:nsid w:val="1BB404A8"/>
    <w:multiLevelType w:val="hybridMultilevel"/>
    <w:tmpl w:val="7FBE3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E97ADD"/>
    <w:multiLevelType w:val="hybridMultilevel"/>
    <w:tmpl w:val="71B24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A40690"/>
    <w:multiLevelType w:val="singleLevel"/>
    <w:tmpl w:val="E5988BCE"/>
    <w:lvl w:ilvl="0">
      <w:start w:val="1"/>
      <w:numFmt w:val="bullet"/>
      <w:lvlText w:val=""/>
      <w:lvlJc w:val="left"/>
      <w:pPr>
        <w:tabs>
          <w:tab w:val="num" w:pos="360"/>
        </w:tabs>
        <w:ind w:left="216" w:hanging="216"/>
      </w:pPr>
      <w:rPr>
        <w:rFonts w:ascii="Symbol" w:hAnsi="Symbol" w:hint="default"/>
        <w:sz w:val="16"/>
      </w:rPr>
    </w:lvl>
  </w:abstractNum>
  <w:abstractNum w:abstractNumId="4">
    <w:nsid w:val="280210EF"/>
    <w:multiLevelType w:val="hybridMultilevel"/>
    <w:tmpl w:val="CDF48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A4624D"/>
    <w:multiLevelType w:val="hybridMultilevel"/>
    <w:tmpl w:val="FAB22DB2"/>
    <w:lvl w:ilvl="0" w:tplc="0C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957DE6"/>
    <w:multiLevelType w:val="hybridMultilevel"/>
    <w:tmpl w:val="54664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7D73A9"/>
    <w:multiLevelType w:val="hybridMultilevel"/>
    <w:tmpl w:val="EB329270"/>
    <w:lvl w:ilvl="0" w:tplc="9DAC5788">
      <w:start w:val="1"/>
      <w:numFmt w:val="bullet"/>
      <w:lvlText w:val=""/>
      <w:lvlJc w:val="left"/>
      <w:pPr>
        <w:tabs>
          <w:tab w:val="num" w:pos="357"/>
        </w:tabs>
        <w:ind w:left="357" w:firstLine="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433E686F"/>
    <w:multiLevelType w:val="hybridMultilevel"/>
    <w:tmpl w:val="83F8578A"/>
    <w:lvl w:ilvl="0" w:tplc="34C26D52">
      <w:start w:val="1"/>
      <w:numFmt w:val="bullet"/>
      <w:lvlText w:val=""/>
      <w:lvlJc w:val="left"/>
      <w:pPr>
        <w:tabs>
          <w:tab w:val="num" w:pos="357"/>
        </w:tabs>
        <w:ind w:left="357" w:firstLine="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AC23895"/>
    <w:multiLevelType w:val="singleLevel"/>
    <w:tmpl w:val="2ABE0A84"/>
    <w:lvl w:ilvl="0">
      <w:start w:val="1"/>
      <w:numFmt w:val="bullet"/>
      <w:lvlText w:val="–"/>
      <w:lvlJc w:val="left"/>
      <w:pPr>
        <w:tabs>
          <w:tab w:val="num" w:pos="576"/>
        </w:tabs>
        <w:ind w:left="432" w:hanging="216"/>
      </w:pPr>
      <w:rPr>
        <w:rFonts w:ascii="Times New Roman" w:hAnsi="Times New Roman" w:cs="Times New Roman" w:hint="default"/>
        <w:sz w:val="20"/>
      </w:rPr>
    </w:lvl>
  </w:abstractNum>
  <w:abstractNum w:abstractNumId="10">
    <w:nsid w:val="4D521262"/>
    <w:multiLevelType w:val="hybridMultilevel"/>
    <w:tmpl w:val="E354CF32"/>
    <w:lvl w:ilvl="0" w:tplc="0C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6617CF"/>
    <w:multiLevelType w:val="hybridMultilevel"/>
    <w:tmpl w:val="0EF88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A40509"/>
    <w:multiLevelType w:val="hybridMultilevel"/>
    <w:tmpl w:val="B2782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C02C09"/>
    <w:multiLevelType w:val="hybridMultilevel"/>
    <w:tmpl w:val="16FC2D94"/>
    <w:lvl w:ilvl="0" w:tplc="04090001">
      <w:start w:val="1"/>
      <w:numFmt w:val="bullet"/>
      <w:lvlText w:val=""/>
      <w:lvlJc w:val="left"/>
      <w:pPr>
        <w:tabs>
          <w:tab w:val="num" w:pos="2874"/>
        </w:tabs>
        <w:ind w:left="2874" w:hanging="360"/>
      </w:pPr>
      <w:rPr>
        <w:rFonts w:ascii="Symbol" w:hAnsi="Symbol" w:hint="default"/>
      </w:rPr>
    </w:lvl>
    <w:lvl w:ilvl="1" w:tplc="04090003" w:tentative="1">
      <w:start w:val="1"/>
      <w:numFmt w:val="bullet"/>
      <w:lvlText w:val="o"/>
      <w:lvlJc w:val="left"/>
      <w:pPr>
        <w:tabs>
          <w:tab w:val="num" w:pos="3594"/>
        </w:tabs>
        <w:ind w:left="3594" w:hanging="360"/>
      </w:pPr>
      <w:rPr>
        <w:rFonts w:ascii="Courier New" w:hAnsi="Courier New" w:cs="Courier New" w:hint="default"/>
      </w:rPr>
    </w:lvl>
    <w:lvl w:ilvl="2" w:tplc="04090005" w:tentative="1">
      <w:start w:val="1"/>
      <w:numFmt w:val="bullet"/>
      <w:lvlText w:val=""/>
      <w:lvlJc w:val="left"/>
      <w:pPr>
        <w:tabs>
          <w:tab w:val="num" w:pos="4314"/>
        </w:tabs>
        <w:ind w:left="4314" w:hanging="360"/>
      </w:pPr>
      <w:rPr>
        <w:rFonts w:ascii="Wingdings" w:hAnsi="Wingdings" w:hint="default"/>
      </w:rPr>
    </w:lvl>
    <w:lvl w:ilvl="3" w:tplc="04090001" w:tentative="1">
      <w:start w:val="1"/>
      <w:numFmt w:val="bullet"/>
      <w:lvlText w:val=""/>
      <w:lvlJc w:val="left"/>
      <w:pPr>
        <w:tabs>
          <w:tab w:val="num" w:pos="5034"/>
        </w:tabs>
        <w:ind w:left="5034" w:hanging="360"/>
      </w:pPr>
      <w:rPr>
        <w:rFonts w:ascii="Symbol" w:hAnsi="Symbol" w:hint="default"/>
      </w:rPr>
    </w:lvl>
    <w:lvl w:ilvl="4" w:tplc="04090003" w:tentative="1">
      <w:start w:val="1"/>
      <w:numFmt w:val="bullet"/>
      <w:lvlText w:val="o"/>
      <w:lvlJc w:val="left"/>
      <w:pPr>
        <w:tabs>
          <w:tab w:val="num" w:pos="5754"/>
        </w:tabs>
        <w:ind w:left="5754" w:hanging="360"/>
      </w:pPr>
      <w:rPr>
        <w:rFonts w:ascii="Courier New" w:hAnsi="Courier New" w:cs="Courier New" w:hint="default"/>
      </w:rPr>
    </w:lvl>
    <w:lvl w:ilvl="5" w:tplc="04090005" w:tentative="1">
      <w:start w:val="1"/>
      <w:numFmt w:val="bullet"/>
      <w:lvlText w:val=""/>
      <w:lvlJc w:val="left"/>
      <w:pPr>
        <w:tabs>
          <w:tab w:val="num" w:pos="6474"/>
        </w:tabs>
        <w:ind w:left="6474" w:hanging="360"/>
      </w:pPr>
      <w:rPr>
        <w:rFonts w:ascii="Wingdings" w:hAnsi="Wingdings" w:hint="default"/>
      </w:rPr>
    </w:lvl>
    <w:lvl w:ilvl="6" w:tplc="04090001" w:tentative="1">
      <w:start w:val="1"/>
      <w:numFmt w:val="bullet"/>
      <w:lvlText w:val=""/>
      <w:lvlJc w:val="left"/>
      <w:pPr>
        <w:tabs>
          <w:tab w:val="num" w:pos="7194"/>
        </w:tabs>
        <w:ind w:left="7194" w:hanging="360"/>
      </w:pPr>
      <w:rPr>
        <w:rFonts w:ascii="Symbol" w:hAnsi="Symbol" w:hint="default"/>
      </w:rPr>
    </w:lvl>
    <w:lvl w:ilvl="7" w:tplc="04090003" w:tentative="1">
      <w:start w:val="1"/>
      <w:numFmt w:val="bullet"/>
      <w:lvlText w:val="o"/>
      <w:lvlJc w:val="left"/>
      <w:pPr>
        <w:tabs>
          <w:tab w:val="num" w:pos="7914"/>
        </w:tabs>
        <w:ind w:left="7914" w:hanging="360"/>
      </w:pPr>
      <w:rPr>
        <w:rFonts w:ascii="Courier New" w:hAnsi="Courier New" w:cs="Courier New" w:hint="default"/>
      </w:rPr>
    </w:lvl>
    <w:lvl w:ilvl="8" w:tplc="04090005" w:tentative="1">
      <w:start w:val="1"/>
      <w:numFmt w:val="bullet"/>
      <w:lvlText w:val=""/>
      <w:lvlJc w:val="left"/>
      <w:pPr>
        <w:tabs>
          <w:tab w:val="num" w:pos="8634"/>
        </w:tabs>
        <w:ind w:left="8634" w:hanging="360"/>
      </w:pPr>
      <w:rPr>
        <w:rFonts w:ascii="Wingdings" w:hAnsi="Wingdings" w:hint="default"/>
      </w:rPr>
    </w:lvl>
  </w:abstractNum>
  <w:abstractNum w:abstractNumId="14">
    <w:nsid w:val="60660747"/>
    <w:multiLevelType w:val="hybridMultilevel"/>
    <w:tmpl w:val="2698F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D261CA6"/>
    <w:multiLevelType w:val="hybridMultilevel"/>
    <w:tmpl w:val="8190D23A"/>
    <w:lvl w:ilvl="0" w:tplc="04090001">
      <w:start w:val="1"/>
      <w:numFmt w:val="bullet"/>
      <w:lvlText w:val=""/>
      <w:lvlJc w:val="left"/>
      <w:pPr>
        <w:tabs>
          <w:tab w:val="num" w:pos="2874"/>
        </w:tabs>
        <w:ind w:left="2874" w:hanging="360"/>
      </w:pPr>
      <w:rPr>
        <w:rFonts w:ascii="Symbol" w:hAnsi="Symbol" w:hint="default"/>
      </w:rPr>
    </w:lvl>
    <w:lvl w:ilvl="1" w:tplc="04090003" w:tentative="1">
      <w:start w:val="1"/>
      <w:numFmt w:val="bullet"/>
      <w:lvlText w:val="o"/>
      <w:lvlJc w:val="left"/>
      <w:pPr>
        <w:tabs>
          <w:tab w:val="num" w:pos="3594"/>
        </w:tabs>
        <w:ind w:left="3594" w:hanging="360"/>
      </w:pPr>
      <w:rPr>
        <w:rFonts w:ascii="Courier New" w:hAnsi="Courier New" w:cs="Courier New" w:hint="default"/>
      </w:rPr>
    </w:lvl>
    <w:lvl w:ilvl="2" w:tplc="04090005" w:tentative="1">
      <w:start w:val="1"/>
      <w:numFmt w:val="bullet"/>
      <w:lvlText w:val=""/>
      <w:lvlJc w:val="left"/>
      <w:pPr>
        <w:tabs>
          <w:tab w:val="num" w:pos="4314"/>
        </w:tabs>
        <w:ind w:left="4314" w:hanging="360"/>
      </w:pPr>
      <w:rPr>
        <w:rFonts w:ascii="Wingdings" w:hAnsi="Wingdings" w:hint="default"/>
      </w:rPr>
    </w:lvl>
    <w:lvl w:ilvl="3" w:tplc="04090001" w:tentative="1">
      <w:start w:val="1"/>
      <w:numFmt w:val="bullet"/>
      <w:lvlText w:val=""/>
      <w:lvlJc w:val="left"/>
      <w:pPr>
        <w:tabs>
          <w:tab w:val="num" w:pos="5034"/>
        </w:tabs>
        <w:ind w:left="5034" w:hanging="360"/>
      </w:pPr>
      <w:rPr>
        <w:rFonts w:ascii="Symbol" w:hAnsi="Symbol" w:hint="default"/>
      </w:rPr>
    </w:lvl>
    <w:lvl w:ilvl="4" w:tplc="04090003" w:tentative="1">
      <w:start w:val="1"/>
      <w:numFmt w:val="bullet"/>
      <w:lvlText w:val="o"/>
      <w:lvlJc w:val="left"/>
      <w:pPr>
        <w:tabs>
          <w:tab w:val="num" w:pos="5754"/>
        </w:tabs>
        <w:ind w:left="5754" w:hanging="360"/>
      </w:pPr>
      <w:rPr>
        <w:rFonts w:ascii="Courier New" w:hAnsi="Courier New" w:cs="Courier New" w:hint="default"/>
      </w:rPr>
    </w:lvl>
    <w:lvl w:ilvl="5" w:tplc="04090005" w:tentative="1">
      <w:start w:val="1"/>
      <w:numFmt w:val="bullet"/>
      <w:lvlText w:val=""/>
      <w:lvlJc w:val="left"/>
      <w:pPr>
        <w:tabs>
          <w:tab w:val="num" w:pos="6474"/>
        </w:tabs>
        <w:ind w:left="6474" w:hanging="360"/>
      </w:pPr>
      <w:rPr>
        <w:rFonts w:ascii="Wingdings" w:hAnsi="Wingdings" w:hint="default"/>
      </w:rPr>
    </w:lvl>
    <w:lvl w:ilvl="6" w:tplc="04090001" w:tentative="1">
      <w:start w:val="1"/>
      <w:numFmt w:val="bullet"/>
      <w:lvlText w:val=""/>
      <w:lvlJc w:val="left"/>
      <w:pPr>
        <w:tabs>
          <w:tab w:val="num" w:pos="7194"/>
        </w:tabs>
        <w:ind w:left="7194" w:hanging="360"/>
      </w:pPr>
      <w:rPr>
        <w:rFonts w:ascii="Symbol" w:hAnsi="Symbol" w:hint="default"/>
      </w:rPr>
    </w:lvl>
    <w:lvl w:ilvl="7" w:tplc="04090003" w:tentative="1">
      <w:start w:val="1"/>
      <w:numFmt w:val="bullet"/>
      <w:lvlText w:val="o"/>
      <w:lvlJc w:val="left"/>
      <w:pPr>
        <w:tabs>
          <w:tab w:val="num" w:pos="7914"/>
        </w:tabs>
        <w:ind w:left="7914" w:hanging="360"/>
      </w:pPr>
      <w:rPr>
        <w:rFonts w:ascii="Courier New" w:hAnsi="Courier New" w:cs="Courier New" w:hint="default"/>
      </w:rPr>
    </w:lvl>
    <w:lvl w:ilvl="8" w:tplc="04090005" w:tentative="1">
      <w:start w:val="1"/>
      <w:numFmt w:val="bullet"/>
      <w:lvlText w:val=""/>
      <w:lvlJc w:val="left"/>
      <w:pPr>
        <w:tabs>
          <w:tab w:val="num" w:pos="8634"/>
        </w:tabs>
        <w:ind w:left="8634" w:hanging="360"/>
      </w:pPr>
      <w:rPr>
        <w:rFonts w:ascii="Wingdings" w:hAnsi="Wingdings" w:hint="default"/>
      </w:rPr>
    </w:lvl>
  </w:abstractNum>
  <w:abstractNum w:abstractNumId="16">
    <w:nsid w:val="6F851B40"/>
    <w:multiLevelType w:val="hybridMultilevel"/>
    <w:tmpl w:val="3B4E99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DC002F4"/>
    <w:multiLevelType w:val="hybridMultilevel"/>
    <w:tmpl w:val="E760F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3"/>
  </w:num>
  <w:num w:numId="5">
    <w:abstractNumId w:val="12"/>
  </w:num>
  <w:num w:numId="6">
    <w:abstractNumId w:val="5"/>
  </w:num>
  <w:num w:numId="7">
    <w:abstractNumId w:val="4"/>
  </w:num>
  <w:num w:numId="8">
    <w:abstractNumId w:val="1"/>
  </w:num>
  <w:num w:numId="9">
    <w:abstractNumId w:val="2"/>
  </w:num>
  <w:num w:numId="10">
    <w:abstractNumId w:val="13"/>
  </w:num>
  <w:num w:numId="11">
    <w:abstractNumId w:val="0"/>
  </w:num>
  <w:num w:numId="12">
    <w:abstractNumId w:val="15"/>
  </w:num>
  <w:num w:numId="13">
    <w:abstractNumId w:val="11"/>
  </w:num>
  <w:num w:numId="14">
    <w:abstractNumId w:val="16"/>
  </w:num>
  <w:num w:numId="15">
    <w:abstractNumId w:val="17"/>
  </w:num>
  <w:num w:numId="16">
    <w:abstractNumId w:val="14"/>
  </w:num>
  <w:num w:numId="17">
    <w:abstractNumId w:val="6"/>
  </w:num>
  <w:num w:numId="1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7169"/>
  </w:hdrShapeDefault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1A2"/>
    <w:rsid w:val="00000B2A"/>
    <w:rsid w:val="00004A29"/>
    <w:rsid w:val="00021F0E"/>
    <w:rsid w:val="000239E0"/>
    <w:rsid w:val="00024C26"/>
    <w:rsid w:val="000261F3"/>
    <w:rsid w:val="0002658B"/>
    <w:rsid w:val="00044DCE"/>
    <w:rsid w:val="00047BF1"/>
    <w:rsid w:val="00060765"/>
    <w:rsid w:val="00061689"/>
    <w:rsid w:val="000631A4"/>
    <w:rsid w:val="00063975"/>
    <w:rsid w:val="000639D5"/>
    <w:rsid w:val="00070B53"/>
    <w:rsid w:val="00070E0B"/>
    <w:rsid w:val="0007430D"/>
    <w:rsid w:val="00080D07"/>
    <w:rsid w:val="00087FAD"/>
    <w:rsid w:val="00095195"/>
    <w:rsid w:val="00095F2D"/>
    <w:rsid w:val="00097511"/>
    <w:rsid w:val="00097692"/>
    <w:rsid w:val="000A38C3"/>
    <w:rsid w:val="000A6A01"/>
    <w:rsid w:val="000A7401"/>
    <w:rsid w:val="000A7BCD"/>
    <w:rsid w:val="000B1F62"/>
    <w:rsid w:val="000B795B"/>
    <w:rsid w:val="000C632E"/>
    <w:rsid w:val="000D3C72"/>
    <w:rsid w:val="000F275D"/>
    <w:rsid w:val="000F42E5"/>
    <w:rsid w:val="000F4438"/>
    <w:rsid w:val="000F71FA"/>
    <w:rsid w:val="00104FC8"/>
    <w:rsid w:val="0010649F"/>
    <w:rsid w:val="00106705"/>
    <w:rsid w:val="00106AFD"/>
    <w:rsid w:val="00106E14"/>
    <w:rsid w:val="001124C8"/>
    <w:rsid w:val="00115A9E"/>
    <w:rsid w:val="00124CFC"/>
    <w:rsid w:val="001279DB"/>
    <w:rsid w:val="001323C6"/>
    <w:rsid w:val="00134084"/>
    <w:rsid w:val="001345BB"/>
    <w:rsid w:val="00134EB0"/>
    <w:rsid w:val="001402BE"/>
    <w:rsid w:val="00144F37"/>
    <w:rsid w:val="00146803"/>
    <w:rsid w:val="001721A2"/>
    <w:rsid w:val="00172C97"/>
    <w:rsid w:val="00174449"/>
    <w:rsid w:val="0018327E"/>
    <w:rsid w:val="0018601A"/>
    <w:rsid w:val="00192AD5"/>
    <w:rsid w:val="00193B84"/>
    <w:rsid w:val="001A5C4B"/>
    <w:rsid w:val="001B0271"/>
    <w:rsid w:val="001B131D"/>
    <w:rsid w:val="001B2546"/>
    <w:rsid w:val="001C14C6"/>
    <w:rsid w:val="001D0311"/>
    <w:rsid w:val="001D291A"/>
    <w:rsid w:val="001E132B"/>
    <w:rsid w:val="001E4A60"/>
    <w:rsid w:val="001F2D67"/>
    <w:rsid w:val="001F2FC6"/>
    <w:rsid w:val="001F441F"/>
    <w:rsid w:val="001F791D"/>
    <w:rsid w:val="0020058B"/>
    <w:rsid w:val="002012C2"/>
    <w:rsid w:val="00202AE9"/>
    <w:rsid w:val="00205860"/>
    <w:rsid w:val="00207823"/>
    <w:rsid w:val="00215248"/>
    <w:rsid w:val="002154DE"/>
    <w:rsid w:val="002260B0"/>
    <w:rsid w:val="00227CA1"/>
    <w:rsid w:val="002318AD"/>
    <w:rsid w:val="00233EC8"/>
    <w:rsid w:val="002365DB"/>
    <w:rsid w:val="0024283A"/>
    <w:rsid w:val="002437BF"/>
    <w:rsid w:val="00244038"/>
    <w:rsid w:val="00247901"/>
    <w:rsid w:val="0025052E"/>
    <w:rsid w:val="0025088C"/>
    <w:rsid w:val="00252224"/>
    <w:rsid w:val="00252E19"/>
    <w:rsid w:val="00254E75"/>
    <w:rsid w:val="00255A05"/>
    <w:rsid w:val="002567C6"/>
    <w:rsid w:val="00263EF1"/>
    <w:rsid w:val="00264542"/>
    <w:rsid w:val="00264C88"/>
    <w:rsid w:val="0027519B"/>
    <w:rsid w:val="00276AB7"/>
    <w:rsid w:val="00280F3D"/>
    <w:rsid w:val="002825D0"/>
    <w:rsid w:val="002876E6"/>
    <w:rsid w:val="00295BE8"/>
    <w:rsid w:val="00297B72"/>
    <w:rsid w:val="002A2ECB"/>
    <w:rsid w:val="002B3418"/>
    <w:rsid w:val="002B5A49"/>
    <w:rsid w:val="002C0240"/>
    <w:rsid w:val="002C12A3"/>
    <w:rsid w:val="002C2387"/>
    <w:rsid w:val="002C75D9"/>
    <w:rsid w:val="002D185B"/>
    <w:rsid w:val="002D45DE"/>
    <w:rsid w:val="002D5444"/>
    <w:rsid w:val="002D6546"/>
    <w:rsid w:val="002E22EC"/>
    <w:rsid w:val="002E5F73"/>
    <w:rsid w:val="002F5197"/>
    <w:rsid w:val="002F5C49"/>
    <w:rsid w:val="00300FAF"/>
    <w:rsid w:val="00301738"/>
    <w:rsid w:val="003021E7"/>
    <w:rsid w:val="00304215"/>
    <w:rsid w:val="00305D98"/>
    <w:rsid w:val="00316CF5"/>
    <w:rsid w:val="00323FB7"/>
    <w:rsid w:val="00330E57"/>
    <w:rsid w:val="00333CCE"/>
    <w:rsid w:val="003359CE"/>
    <w:rsid w:val="00340967"/>
    <w:rsid w:val="00350234"/>
    <w:rsid w:val="00352641"/>
    <w:rsid w:val="00352881"/>
    <w:rsid w:val="00353D33"/>
    <w:rsid w:val="003555EF"/>
    <w:rsid w:val="0035619B"/>
    <w:rsid w:val="0036616D"/>
    <w:rsid w:val="00371E1C"/>
    <w:rsid w:val="00371E49"/>
    <w:rsid w:val="0037211D"/>
    <w:rsid w:val="0038238B"/>
    <w:rsid w:val="00383AB2"/>
    <w:rsid w:val="00383B31"/>
    <w:rsid w:val="00384DA6"/>
    <w:rsid w:val="00385757"/>
    <w:rsid w:val="00386216"/>
    <w:rsid w:val="00386F3A"/>
    <w:rsid w:val="00393728"/>
    <w:rsid w:val="00397C5D"/>
    <w:rsid w:val="003D17E9"/>
    <w:rsid w:val="003F7277"/>
    <w:rsid w:val="004032DB"/>
    <w:rsid w:val="00404916"/>
    <w:rsid w:val="004171F0"/>
    <w:rsid w:val="00426116"/>
    <w:rsid w:val="0042775A"/>
    <w:rsid w:val="00431314"/>
    <w:rsid w:val="004348DD"/>
    <w:rsid w:val="004405A5"/>
    <w:rsid w:val="004432F7"/>
    <w:rsid w:val="004460E6"/>
    <w:rsid w:val="00447D5F"/>
    <w:rsid w:val="00457241"/>
    <w:rsid w:val="00460C74"/>
    <w:rsid w:val="004742F9"/>
    <w:rsid w:val="00487B85"/>
    <w:rsid w:val="00491AF7"/>
    <w:rsid w:val="004930AD"/>
    <w:rsid w:val="0049338B"/>
    <w:rsid w:val="004A1743"/>
    <w:rsid w:val="004A1D37"/>
    <w:rsid w:val="004A37AD"/>
    <w:rsid w:val="004A4281"/>
    <w:rsid w:val="004B0363"/>
    <w:rsid w:val="004B68F1"/>
    <w:rsid w:val="004B7723"/>
    <w:rsid w:val="004C428C"/>
    <w:rsid w:val="004C5E7C"/>
    <w:rsid w:val="004D2CBD"/>
    <w:rsid w:val="004D3090"/>
    <w:rsid w:val="004D5FCE"/>
    <w:rsid w:val="004E6763"/>
    <w:rsid w:val="004F18E2"/>
    <w:rsid w:val="004F29F8"/>
    <w:rsid w:val="004F3283"/>
    <w:rsid w:val="00503E17"/>
    <w:rsid w:val="00513014"/>
    <w:rsid w:val="00522BBE"/>
    <w:rsid w:val="0052328C"/>
    <w:rsid w:val="005232B9"/>
    <w:rsid w:val="00525773"/>
    <w:rsid w:val="00526E09"/>
    <w:rsid w:val="00531082"/>
    <w:rsid w:val="005340F8"/>
    <w:rsid w:val="00534A8A"/>
    <w:rsid w:val="00537607"/>
    <w:rsid w:val="005417DB"/>
    <w:rsid w:val="00542F8C"/>
    <w:rsid w:val="00544E19"/>
    <w:rsid w:val="00561C3D"/>
    <w:rsid w:val="005633EF"/>
    <w:rsid w:val="005737F7"/>
    <w:rsid w:val="00575018"/>
    <w:rsid w:val="00576140"/>
    <w:rsid w:val="00583E38"/>
    <w:rsid w:val="005B20D8"/>
    <w:rsid w:val="005B6606"/>
    <w:rsid w:val="005B7253"/>
    <w:rsid w:val="005B752A"/>
    <w:rsid w:val="005B79BA"/>
    <w:rsid w:val="005C471F"/>
    <w:rsid w:val="005C7C94"/>
    <w:rsid w:val="005D1F3A"/>
    <w:rsid w:val="005D6B0F"/>
    <w:rsid w:val="005E60B6"/>
    <w:rsid w:val="005F294D"/>
    <w:rsid w:val="005F422A"/>
    <w:rsid w:val="005F6511"/>
    <w:rsid w:val="005F7610"/>
    <w:rsid w:val="006013E4"/>
    <w:rsid w:val="00602301"/>
    <w:rsid w:val="0060259A"/>
    <w:rsid w:val="00607E2F"/>
    <w:rsid w:val="00612AC6"/>
    <w:rsid w:val="0062160F"/>
    <w:rsid w:val="0063106C"/>
    <w:rsid w:val="006316B0"/>
    <w:rsid w:val="00632ED8"/>
    <w:rsid w:val="006335C6"/>
    <w:rsid w:val="00633B5B"/>
    <w:rsid w:val="00634753"/>
    <w:rsid w:val="00641EC1"/>
    <w:rsid w:val="00651335"/>
    <w:rsid w:val="006519FD"/>
    <w:rsid w:val="00654597"/>
    <w:rsid w:val="006564C4"/>
    <w:rsid w:val="006716C0"/>
    <w:rsid w:val="00674A8B"/>
    <w:rsid w:val="00674F8C"/>
    <w:rsid w:val="00683239"/>
    <w:rsid w:val="0068347F"/>
    <w:rsid w:val="00694AC3"/>
    <w:rsid w:val="006967B1"/>
    <w:rsid w:val="006B0213"/>
    <w:rsid w:val="006B1EC2"/>
    <w:rsid w:val="006B2E97"/>
    <w:rsid w:val="006C1029"/>
    <w:rsid w:val="006C17FB"/>
    <w:rsid w:val="006C37A1"/>
    <w:rsid w:val="006C6391"/>
    <w:rsid w:val="006C7FE1"/>
    <w:rsid w:val="006D3EA5"/>
    <w:rsid w:val="006E1216"/>
    <w:rsid w:val="006E21F6"/>
    <w:rsid w:val="006E3C0F"/>
    <w:rsid w:val="006F5F0A"/>
    <w:rsid w:val="006F7336"/>
    <w:rsid w:val="00712D0F"/>
    <w:rsid w:val="00721E83"/>
    <w:rsid w:val="007227D6"/>
    <w:rsid w:val="007232F3"/>
    <w:rsid w:val="00725A65"/>
    <w:rsid w:val="00725B72"/>
    <w:rsid w:val="00726DED"/>
    <w:rsid w:val="00734353"/>
    <w:rsid w:val="007473C9"/>
    <w:rsid w:val="00752E71"/>
    <w:rsid w:val="00755503"/>
    <w:rsid w:val="00762FD7"/>
    <w:rsid w:val="00770740"/>
    <w:rsid w:val="0077263A"/>
    <w:rsid w:val="00782F6E"/>
    <w:rsid w:val="0079310A"/>
    <w:rsid w:val="007978B5"/>
    <w:rsid w:val="007A4412"/>
    <w:rsid w:val="007A6DEE"/>
    <w:rsid w:val="007A7D7E"/>
    <w:rsid w:val="007B3534"/>
    <w:rsid w:val="007B7B66"/>
    <w:rsid w:val="007C055A"/>
    <w:rsid w:val="007C0781"/>
    <w:rsid w:val="007C2A77"/>
    <w:rsid w:val="007D19A0"/>
    <w:rsid w:val="007D249F"/>
    <w:rsid w:val="007D2B70"/>
    <w:rsid w:val="007E3664"/>
    <w:rsid w:val="007E727A"/>
    <w:rsid w:val="007F1F13"/>
    <w:rsid w:val="007F218F"/>
    <w:rsid w:val="007F3380"/>
    <w:rsid w:val="007F6F0C"/>
    <w:rsid w:val="007F7F81"/>
    <w:rsid w:val="00803754"/>
    <w:rsid w:val="0080710D"/>
    <w:rsid w:val="00807C9F"/>
    <w:rsid w:val="00812627"/>
    <w:rsid w:val="00814B80"/>
    <w:rsid w:val="008169E8"/>
    <w:rsid w:val="008172C3"/>
    <w:rsid w:val="00817AB3"/>
    <w:rsid w:val="00821C74"/>
    <w:rsid w:val="00822906"/>
    <w:rsid w:val="008236B1"/>
    <w:rsid w:val="008255EB"/>
    <w:rsid w:val="008302A9"/>
    <w:rsid w:val="008351BA"/>
    <w:rsid w:val="00845BA4"/>
    <w:rsid w:val="00853D40"/>
    <w:rsid w:val="008556A1"/>
    <w:rsid w:val="00855AA4"/>
    <w:rsid w:val="008628BB"/>
    <w:rsid w:val="00862BD4"/>
    <w:rsid w:val="00866112"/>
    <w:rsid w:val="00871ED6"/>
    <w:rsid w:val="00883588"/>
    <w:rsid w:val="00884FF5"/>
    <w:rsid w:val="008905A2"/>
    <w:rsid w:val="008931FB"/>
    <w:rsid w:val="00893CA9"/>
    <w:rsid w:val="008A1C0E"/>
    <w:rsid w:val="008B403F"/>
    <w:rsid w:val="008B533C"/>
    <w:rsid w:val="008C162A"/>
    <w:rsid w:val="008C6E00"/>
    <w:rsid w:val="008D1407"/>
    <w:rsid w:val="008E4886"/>
    <w:rsid w:val="00910308"/>
    <w:rsid w:val="00913738"/>
    <w:rsid w:val="00916808"/>
    <w:rsid w:val="00940FBC"/>
    <w:rsid w:val="00944C4F"/>
    <w:rsid w:val="00946B3E"/>
    <w:rsid w:val="00955E25"/>
    <w:rsid w:val="00957924"/>
    <w:rsid w:val="00960524"/>
    <w:rsid w:val="00964707"/>
    <w:rsid w:val="00970A57"/>
    <w:rsid w:val="00982D86"/>
    <w:rsid w:val="00987AD3"/>
    <w:rsid w:val="00991230"/>
    <w:rsid w:val="009A04A0"/>
    <w:rsid w:val="009A0CF6"/>
    <w:rsid w:val="009A2F46"/>
    <w:rsid w:val="009A3C28"/>
    <w:rsid w:val="009A7811"/>
    <w:rsid w:val="009B59F5"/>
    <w:rsid w:val="009B6DAC"/>
    <w:rsid w:val="009C2183"/>
    <w:rsid w:val="009D5ECC"/>
    <w:rsid w:val="009D5FDD"/>
    <w:rsid w:val="009D6744"/>
    <w:rsid w:val="009D794B"/>
    <w:rsid w:val="009E2652"/>
    <w:rsid w:val="009E397E"/>
    <w:rsid w:val="009E566A"/>
    <w:rsid w:val="009E6AE7"/>
    <w:rsid w:val="009F00CC"/>
    <w:rsid w:val="009F377B"/>
    <w:rsid w:val="009F5FBB"/>
    <w:rsid w:val="00A006DB"/>
    <w:rsid w:val="00A0336B"/>
    <w:rsid w:val="00A05946"/>
    <w:rsid w:val="00A059F1"/>
    <w:rsid w:val="00A117B6"/>
    <w:rsid w:val="00A120EC"/>
    <w:rsid w:val="00A13382"/>
    <w:rsid w:val="00A16924"/>
    <w:rsid w:val="00A238FC"/>
    <w:rsid w:val="00A26619"/>
    <w:rsid w:val="00A2776D"/>
    <w:rsid w:val="00A4177F"/>
    <w:rsid w:val="00A41814"/>
    <w:rsid w:val="00A41819"/>
    <w:rsid w:val="00A44676"/>
    <w:rsid w:val="00A470FB"/>
    <w:rsid w:val="00A474C9"/>
    <w:rsid w:val="00A51FDB"/>
    <w:rsid w:val="00A54957"/>
    <w:rsid w:val="00A71C49"/>
    <w:rsid w:val="00A75535"/>
    <w:rsid w:val="00A77E3A"/>
    <w:rsid w:val="00A9360B"/>
    <w:rsid w:val="00A97300"/>
    <w:rsid w:val="00AA47E9"/>
    <w:rsid w:val="00AA7179"/>
    <w:rsid w:val="00AB3051"/>
    <w:rsid w:val="00AB51FD"/>
    <w:rsid w:val="00AB5E96"/>
    <w:rsid w:val="00AB7494"/>
    <w:rsid w:val="00AC2703"/>
    <w:rsid w:val="00AC2997"/>
    <w:rsid w:val="00AC54DD"/>
    <w:rsid w:val="00AC7D9E"/>
    <w:rsid w:val="00AD1097"/>
    <w:rsid w:val="00AD10CA"/>
    <w:rsid w:val="00AD3658"/>
    <w:rsid w:val="00AD39F7"/>
    <w:rsid w:val="00AD3AE9"/>
    <w:rsid w:val="00AD4939"/>
    <w:rsid w:val="00AD5234"/>
    <w:rsid w:val="00AE0714"/>
    <w:rsid w:val="00AE27DE"/>
    <w:rsid w:val="00AE3371"/>
    <w:rsid w:val="00AE60FE"/>
    <w:rsid w:val="00AE612D"/>
    <w:rsid w:val="00AE7490"/>
    <w:rsid w:val="00AF552F"/>
    <w:rsid w:val="00B00AD2"/>
    <w:rsid w:val="00B03A82"/>
    <w:rsid w:val="00B06B4E"/>
    <w:rsid w:val="00B11CB4"/>
    <w:rsid w:val="00B13456"/>
    <w:rsid w:val="00B138BF"/>
    <w:rsid w:val="00B2444D"/>
    <w:rsid w:val="00B35289"/>
    <w:rsid w:val="00B373FA"/>
    <w:rsid w:val="00B4119B"/>
    <w:rsid w:val="00B47EBB"/>
    <w:rsid w:val="00B6059A"/>
    <w:rsid w:val="00B6161F"/>
    <w:rsid w:val="00B632B3"/>
    <w:rsid w:val="00B664AF"/>
    <w:rsid w:val="00B71086"/>
    <w:rsid w:val="00B71377"/>
    <w:rsid w:val="00B74602"/>
    <w:rsid w:val="00B74869"/>
    <w:rsid w:val="00B75390"/>
    <w:rsid w:val="00B755EB"/>
    <w:rsid w:val="00B76C61"/>
    <w:rsid w:val="00B771B2"/>
    <w:rsid w:val="00B7791D"/>
    <w:rsid w:val="00B869CA"/>
    <w:rsid w:val="00B9129C"/>
    <w:rsid w:val="00B92066"/>
    <w:rsid w:val="00B93430"/>
    <w:rsid w:val="00B94D0A"/>
    <w:rsid w:val="00B96E39"/>
    <w:rsid w:val="00BB4764"/>
    <w:rsid w:val="00BC4337"/>
    <w:rsid w:val="00BD0EB3"/>
    <w:rsid w:val="00BD627D"/>
    <w:rsid w:val="00BE3726"/>
    <w:rsid w:val="00BE54D7"/>
    <w:rsid w:val="00C0116B"/>
    <w:rsid w:val="00C026FC"/>
    <w:rsid w:val="00C0323C"/>
    <w:rsid w:val="00C03D5E"/>
    <w:rsid w:val="00C07503"/>
    <w:rsid w:val="00C128FB"/>
    <w:rsid w:val="00C13C39"/>
    <w:rsid w:val="00C24E84"/>
    <w:rsid w:val="00C32159"/>
    <w:rsid w:val="00C35291"/>
    <w:rsid w:val="00C40DCC"/>
    <w:rsid w:val="00C4147A"/>
    <w:rsid w:val="00C4655C"/>
    <w:rsid w:val="00C5475E"/>
    <w:rsid w:val="00C5530F"/>
    <w:rsid w:val="00C57E28"/>
    <w:rsid w:val="00C624B0"/>
    <w:rsid w:val="00C628DD"/>
    <w:rsid w:val="00C65C19"/>
    <w:rsid w:val="00C66E16"/>
    <w:rsid w:val="00C700FC"/>
    <w:rsid w:val="00C7349C"/>
    <w:rsid w:val="00C73A53"/>
    <w:rsid w:val="00C77C96"/>
    <w:rsid w:val="00C8056D"/>
    <w:rsid w:val="00C865EF"/>
    <w:rsid w:val="00C86D76"/>
    <w:rsid w:val="00C97DFE"/>
    <w:rsid w:val="00CA322D"/>
    <w:rsid w:val="00CA4751"/>
    <w:rsid w:val="00CA4928"/>
    <w:rsid w:val="00CB26FB"/>
    <w:rsid w:val="00CB5CD6"/>
    <w:rsid w:val="00CC1398"/>
    <w:rsid w:val="00CC2B82"/>
    <w:rsid w:val="00CC3E57"/>
    <w:rsid w:val="00CC41F0"/>
    <w:rsid w:val="00CD1200"/>
    <w:rsid w:val="00CD152A"/>
    <w:rsid w:val="00CD24FE"/>
    <w:rsid w:val="00CD2BAD"/>
    <w:rsid w:val="00CD40B9"/>
    <w:rsid w:val="00CD40BD"/>
    <w:rsid w:val="00CE061C"/>
    <w:rsid w:val="00CE1FA3"/>
    <w:rsid w:val="00CE41E4"/>
    <w:rsid w:val="00CF479B"/>
    <w:rsid w:val="00D0072D"/>
    <w:rsid w:val="00D0459F"/>
    <w:rsid w:val="00D115E3"/>
    <w:rsid w:val="00D201A8"/>
    <w:rsid w:val="00D22C0C"/>
    <w:rsid w:val="00D23F6A"/>
    <w:rsid w:val="00D40D5F"/>
    <w:rsid w:val="00D4472B"/>
    <w:rsid w:val="00D46995"/>
    <w:rsid w:val="00D649AA"/>
    <w:rsid w:val="00D659FE"/>
    <w:rsid w:val="00D75EB6"/>
    <w:rsid w:val="00D956AC"/>
    <w:rsid w:val="00D97F79"/>
    <w:rsid w:val="00DA0989"/>
    <w:rsid w:val="00DA414A"/>
    <w:rsid w:val="00DC6F37"/>
    <w:rsid w:val="00DD41E0"/>
    <w:rsid w:val="00DE1EB3"/>
    <w:rsid w:val="00DE6154"/>
    <w:rsid w:val="00DF1092"/>
    <w:rsid w:val="00DF1EB4"/>
    <w:rsid w:val="00DF5743"/>
    <w:rsid w:val="00E01F3E"/>
    <w:rsid w:val="00E0219B"/>
    <w:rsid w:val="00E045B2"/>
    <w:rsid w:val="00E1310E"/>
    <w:rsid w:val="00E1581F"/>
    <w:rsid w:val="00E15A0F"/>
    <w:rsid w:val="00E15E29"/>
    <w:rsid w:val="00E26244"/>
    <w:rsid w:val="00E3114A"/>
    <w:rsid w:val="00E31C9D"/>
    <w:rsid w:val="00E32F94"/>
    <w:rsid w:val="00E33CD5"/>
    <w:rsid w:val="00E3698F"/>
    <w:rsid w:val="00E409F5"/>
    <w:rsid w:val="00E40CA0"/>
    <w:rsid w:val="00E51AB6"/>
    <w:rsid w:val="00E53D0A"/>
    <w:rsid w:val="00E55533"/>
    <w:rsid w:val="00E5700B"/>
    <w:rsid w:val="00E623B9"/>
    <w:rsid w:val="00E62DAF"/>
    <w:rsid w:val="00E75013"/>
    <w:rsid w:val="00E774DE"/>
    <w:rsid w:val="00E80DA3"/>
    <w:rsid w:val="00E82427"/>
    <w:rsid w:val="00E83C28"/>
    <w:rsid w:val="00E95764"/>
    <w:rsid w:val="00EA4EDA"/>
    <w:rsid w:val="00EB0E7C"/>
    <w:rsid w:val="00EB21F2"/>
    <w:rsid w:val="00EB5E07"/>
    <w:rsid w:val="00EC19C4"/>
    <w:rsid w:val="00EC1A57"/>
    <w:rsid w:val="00EC4F8E"/>
    <w:rsid w:val="00ED1AD1"/>
    <w:rsid w:val="00ED25C8"/>
    <w:rsid w:val="00ED3CE7"/>
    <w:rsid w:val="00EE1098"/>
    <w:rsid w:val="00EE721A"/>
    <w:rsid w:val="00F015D0"/>
    <w:rsid w:val="00F105B8"/>
    <w:rsid w:val="00F10977"/>
    <w:rsid w:val="00F14EF3"/>
    <w:rsid w:val="00F158E7"/>
    <w:rsid w:val="00F16A39"/>
    <w:rsid w:val="00F2219D"/>
    <w:rsid w:val="00F23139"/>
    <w:rsid w:val="00F24A61"/>
    <w:rsid w:val="00F25B92"/>
    <w:rsid w:val="00F26C98"/>
    <w:rsid w:val="00F275D7"/>
    <w:rsid w:val="00F31055"/>
    <w:rsid w:val="00F34BDD"/>
    <w:rsid w:val="00F36598"/>
    <w:rsid w:val="00F366A2"/>
    <w:rsid w:val="00F47D05"/>
    <w:rsid w:val="00F52EF7"/>
    <w:rsid w:val="00F54827"/>
    <w:rsid w:val="00F61DDD"/>
    <w:rsid w:val="00F63A7F"/>
    <w:rsid w:val="00F63DC2"/>
    <w:rsid w:val="00F72CD8"/>
    <w:rsid w:val="00F75645"/>
    <w:rsid w:val="00F77367"/>
    <w:rsid w:val="00F81DF5"/>
    <w:rsid w:val="00F92F94"/>
    <w:rsid w:val="00F9577A"/>
    <w:rsid w:val="00F95876"/>
    <w:rsid w:val="00FB0435"/>
    <w:rsid w:val="00FB6D37"/>
    <w:rsid w:val="00FB7E86"/>
    <w:rsid w:val="00FC097D"/>
    <w:rsid w:val="00FC32F2"/>
    <w:rsid w:val="00FD0195"/>
    <w:rsid w:val="00FD04B1"/>
    <w:rsid w:val="00FD05B8"/>
    <w:rsid w:val="00FD06F7"/>
    <w:rsid w:val="00FD45DB"/>
    <w:rsid w:val="00FE2749"/>
    <w:rsid w:val="00FE7896"/>
    <w:rsid w:val="00FF19D4"/>
    <w:rsid w:val="00FF22A1"/>
    <w:rsid w:val="00FF78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A0F"/>
    <w:pPr>
      <w:spacing w:after="240"/>
    </w:pPr>
    <w:rPr>
      <w:sz w:val="24"/>
      <w:lang w:eastAsia="en-US"/>
    </w:rPr>
  </w:style>
  <w:style w:type="paragraph" w:styleId="Heading1">
    <w:name w:val="heading 1"/>
    <w:basedOn w:val="Normal"/>
    <w:next w:val="Normal"/>
    <w:qFormat/>
    <w:rsid w:val="00F36598"/>
    <w:pPr>
      <w:keepNext/>
      <w:spacing w:after="480"/>
      <w:outlineLvl w:val="0"/>
    </w:pPr>
    <w:rPr>
      <w:rFonts w:ascii="Arial" w:hAnsi="Arial"/>
      <w:b/>
      <w:sz w:val="40"/>
    </w:rPr>
  </w:style>
  <w:style w:type="paragraph" w:styleId="Heading2">
    <w:name w:val="heading 2"/>
    <w:basedOn w:val="Normal"/>
    <w:next w:val="Normal"/>
    <w:link w:val="Heading2Char"/>
    <w:qFormat/>
    <w:rsid w:val="00F36598"/>
    <w:pPr>
      <w:keepNext/>
      <w:spacing w:before="240"/>
      <w:ind w:left="720" w:hanging="720"/>
      <w:outlineLvl w:val="1"/>
    </w:pPr>
    <w:rPr>
      <w:rFonts w:ascii="Arial" w:hAnsi="Arial"/>
      <w:b/>
      <w:sz w:val="28"/>
    </w:rPr>
  </w:style>
  <w:style w:type="paragraph" w:styleId="Heading3">
    <w:name w:val="heading 3"/>
    <w:basedOn w:val="Normal"/>
    <w:next w:val="Normal"/>
    <w:qFormat/>
    <w:rsid w:val="00F36598"/>
    <w:pPr>
      <w:keepNext/>
      <w:spacing w:before="240"/>
      <w:ind w:left="720" w:hanging="720"/>
      <w:outlineLvl w:val="2"/>
    </w:pPr>
    <w:rPr>
      <w:rFonts w:ascii="Arial" w:hAnsi="Arial"/>
      <w:b/>
    </w:rPr>
  </w:style>
  <w:style w:type="paragraph" w:styleId="Heading4">
    <w:name w:val="heading 4"/>
    <w:basedOn w:val="Normal"/>
    <w:next w:val="Normal"/>
    <w:qFormat/>
    <w:pPr>
      <w:keepNext/>
      <w:spacing w:before="120" w:after="120"/>
      <w:outlineLvl w:val="3"/>
    </w:pPr>
    <w:rPr>
      <w:b/>
      <w:i/>
      <w:sz w:val="22"/>
    </w:rPr>
  </w:style>
  <w:style w:type="paragraph" w:styleId="Heading5">
    <w:name w:val="heading 5"/>
    <w:basedOn w:val="Normal"/>
    <w:next w:val="Normal"/>
    <w:qFormat/>
    <w:pPr>
      <w:keepNext/>
      <w:spacing w:before="60" w:after="6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A7179"/>
    <w:rPr>
      <w:rFonts w:ascii="Arial" w:hAnsi="Arial"/>
      <w:b/>
      <w:sz w:val="28"/>
      <w:lang w:val="en-AU" w:eastAsia="en-US" w:bidi="ar-SA"/>
    </w:rPr>
  </w:style>
  <w:style w:type="paragraph" w:styleId="Header">
    <w:name w:val="header"/>
    <w:basedOn w:val="Normal"/>
    <w:pPr>
      <w:tabs>
        <w:tab w:val="right" w:pos="9000"/>
      </w:tabs>
    </w:pPr>
    <w:rPr>
      <w:sz w:val="18"/>
    </w:rPr>
  </w:style>
  <w:style w:type="paragraph" w:styleId="Footer">
    <w:name w:val="footer"/>
    <w:basedOn w:val="Normal"/>
    <w:pPr>
      <w:tabs>
        <w:tab w:val="right" w:pos="9000"/>
      </w:tabs>
      <w:spacing w:after="0"/>
    </w:pPr>
    <w:rPr>
      <w:i/>
      <w:sz w:val="20"/>
    </w:rPr>
  </w:style>
  <w:style w:type="character" w:styleId="PageNumber">
    <w:name w:val="page number"/>
    <w:rsid w:val="007E727A"/>
    <w:rPr>
      <w:rFonts w:ascii="Times New Roman" w:hAnsi="Times New Roman"/>
      <w:b/>
      <w:sz w:val="20"/>
      <w:szCs w:val="20"/>
    </w:rPr>
  </w:style>
  <w:style w:type="paragraph" w:customStyle="1" w:styleId="Heading1a">
    <w:name w:val="Heading 1a"/>
    <w:basedOn w:val="Heading1"/>
    <w:next w:val="Normal"/>
    <w:pPr>
      <w:outlineLvl w:val="9"/>
    </w:pPr>
  </w:style>
  <w:style w:type="paragraph" w:customStyle="1" w:styleId="Heading2a">
    <w:name w:val="Heading 2a"/>
    <w:basedOn w:val="Heading2"/>
    <w:next w:val="Normal"/>
    <w:rsid w:val="0060259A"/>
    <w:pPr>
      <w:outlineLvl w:val="9"/>
    </w:pPr>
  </w:style>
  <w:style w:type="paragraph" w:customStyle="1" w:styleId="Heading3a">
    <w:name w:val="Heading 3a"/>
    <w:basedOn w:val="Heading3"/>
    <w:pPr>
      <w:outlineLvl w:val="9"/>
    </w:pPr>
  </w:style>
  <w:style w:type="paragraph" w:customStyle="1" w:styleId="NPFigureName">
    <w:name w:val="NPFigureName"/>
    <w:basedOn w:val="Normal"/>
    <w:next w:val="Normal"/>
    <w:rsid w:val="004E6763"/>
    <w:pPr>
      <w:keepLines/>
      <w:spacing w:before="120" w:after="360"/>
      <w:ind w:left="1440" w:hanging="1440"/>
    </w:pPr>
    <w:rPr>
      <w:b/>
    </w:rPr>
  </w:style>
  <w:style w:type="paragraph" w:customStyle="1" w:styleId="NPReportTitle">
    <w:name w:val="NPReportTitle"/>
    <w:basedOn w:val="Normal"/>
    <w:next w:val="Normal"/>
    <w:rsid w:val="002C75D9"/>
    <w:pPr>
      <w:spacing w:before="240" w:after="60"/>
      <w:jc w:val="center"/>
    </w:pPr>
    <w:rPr>
      <w:rFonts w:ascii="Times New Roman Bold" w:hAnsi="Times New Roman Bold"/>
      <w:b/>
      <w:kern w:val="28"/>
      <w:sz w:val="48"/>
      <w:szCs w:val="48"/>
    </w:rPr>
  </w:style>
  <w:style w:type="paragraph" w:customStyle="1" w:styleId="NPTableBullet">
    <w:name w:val="NPTableBullet"/>
    <w:basedOn w:val="Normal"/>
    <w:rsid w:val="00B771B2"/>
    <w:pPr>
      <w:keepNext/>
      <w:tabs>
        <w:tab w:val="left" w:pos="216"/>
        <w:tab w:val="num" w:pos="360"/>
      </w:tabs>
      <w:spacing w:before="20" w:after="20"/>
      <w:ind w:left="216" w:hanging="216"/>
    </w:pPr>
    <w:rPr>
      <w:sz w:val="20"/>
    </w:rPr>
  </w:style>
  <w:style w:type="paragraph" w:customStyle="1" w:styleId="NPTableDash">
    <w:name w:val="NPTableDash"/>
    <w:basedOn w:val="NPTableText"/>
    <w:rsid w:val="007F3380"/>
    <w:pPr>
      <w:ind w:left="430" w:hanging="215"/>
    </w:pPr>
  </w:style>
  <w:style w:type="paragraph" w:customStyle="1" w:styleId="NPTableText">
    <w:name w:val="NPTableText"/>
    <w:basedOn w:val="Normal"/>
    <w:rsid w:val="00EC19C4"/>
    <w:pPr>
      <w:keepNext/>
      <w:spacing w:before="20" w:after="20"/>
    </w:pPr>
    <w:rPr>
      <w:sz w:val="20"/>
    </w:rPr>
  </w:style>
  <w:style w:type="paragraph" w:customStyle="1" w:styleId="NPTableHeading">
    <w:name w:val="NPTableHeading"/>
    <w:basedOn w:val="NPTableText"/>
    <w:rPr>
      <w:b/>
    </w:rPr>
  </w:style>
  <w:style w:type="paragraph" w:customStyle="1" w:styleId="NPTableName">
    <w:name w:val="NPTableName"/>
    <w:basedOn w:val="Normal"/>
    <w:pPr>
      <w:keepNext/>
      <w:spacing w:before="120" w:after="120"/>
      <w:ind w:left="1080" w:hanging="1080"/>
    </w:pPr>
    <w:rPr>
      <w:b/>
    </w:rPr>
  </w:style>
  <w:style w:type="paragraph" w:customStyle="1" w:styleId="NPTableNotes18">
    <w:name w:val="NPTableNotes+18"/>
    <w:basedOn w:val="NPTableText"/>
    <w:next w:val="Normal"/>
    <w:pPr>
      <w:keepNext w:val="0"/>
      <w:keepLines/>
      <w:spacing w:before="0" w:after="360"/>
    </w:pPr>
    <w:rPr>
      <w:sz w:val="18"/>
    </w:rPr>
  </w:style>
  <w:style w:type="paragraph" w:styleId="TOC1">
    <w:name w:val="toc 1"/>
    <w:basedOn w:val="Normal"/>
    <w:next w:val="Normal"/>
    <w:uiPriority w:val="39"/>
    <w:rsid w:val="00F34BDD"/>
    <w:pPr>
      <w:keepNext/>
      <w:tabs>
        <w:tab w:val="left" w:pos="720"/>
        <w:tab w:val="right" w:leader="dot" w:pos="9000"/>
      </w:tabs>
      <w:spacing w:before="360" w:after="60"/>
      <w:ind w:left="720" w:right="720" w:hanging="720"/>
    </w:pPr>
    <w:rPr>
      <w:b/>
      <w:noProof/>
    </w:rPr>
  </w:style>
  <w:style w:type="paragraph" w:styleId="TOC2">
    <w:name w:val="toc 2"/>
    <w:basedOn w:val="Normal"/>
    <w:next w:val="Normal"/>
    <w:uiPriority w:val="39"/>
    <w:rsid w:val="00513014"/>
    <w:pPr>
      <w:tabs>
        <w:tab w:val="left" w:pos="1440"/>
        <w:tab w:val="right" w:leader="dot" w:pos="9000"/>
      </w:tabs>
      <w:spacing w:before="120" w:after="60"/>
      <w:ind w:left="1440" w:right="720" w:hanging="720"/>
    </w:pPr>
    <w:rPr>
      <w:noProof/>
    </w:rPr>
  </w:style>
  <w:style w:type="paragraph" w:styleId="TOC3">
    <w:name w:val="toc 3"/>
    <w:basedOn w:val="Normal"/>
    <w:next w:val="Normal"/>
    <w:autoRedefine/>
    <w:semiHidden/>
    <w:pPr>
      <w:tabs>
        <w:tab w:val="left" w:pos="2160"/>
        <w:tab w:val="right" w:leader="dot" w:pos="9000"/>
      </w:tabs>
      <w:spacing w:after="20"/>
      <w:ind w:left="2160" w:right="720" w:hanging="720"/>
    </w:pPr>
    <w:rPr>
      <w:noProof/>
    </w:rPr>
  </w:style>
  <w:style w:type="character" w:styleId="Hyperlink">
    <w:name w:val="Hyperlink"/>
    <w:uiPriority w:val="99"/>
    <w:rPr>
      <w:color w:val="0000FF"/>
      <w:u w:val="single"/>
    </w:rPr>
  </w:style>
  <w:style w:type="paragraph" w:styleId="TableofFigures">
    <w:name w:val="table of figures"/>
    <w:basedOn w:val="Normal"/>
    <w:next w:val="Normal"/>
    <w:semiHidden/>
    <w:pPr>
      <w:tabs>
        <w:tab w:val="left" w:pos="1080"/>
        <w:tab w:val="right" w:leader="dot" w:pos="8998"/>
      </w:tabs>
      <w:spacing w:after="120"/>
      <w:ind w:left="1080" w:right="720" w:hanging="1080"/>
    </w:pPr>
  </w:style>
  <w:style w:type="paragraph" w:styleId="FootnoteText">
    <w:name w:val="footnote text"/>
    <w:basedOn w:val="Normal"/>
    <w:link w:val="FootnoteTextChar"/>
    <w:semiHidden/>
    <w:pPr>
      <w:spacing w:after="0"/>
    </w:pPr>
    <w:rPr>
      <w:sz w:val="20"/>
    </w:rPr>
  </w:style>
  <w:style w:type="character" w:customStyle="1" w:styleId="FootnoteTextChar">
    <w:name w:val="Footnote Text Char"/>
    <w:link w:val="FootnoteText"/>
    <w:rsid w:val="00AB5E96"/>
    <w:rPr>
      <w:lang w:val="en-AU" w:eastAsia="en-US" w:bidi="ar-SA"/>
    </w:rPr>
  </w:style>
  <w:style w:type="character" w:styleId="FootnoteReference">
    <w:name w:val="footnote reference"/>
    <w:semiHidden/>
    <w:rPr>
      <w:vertAlign w:val="superscript"/>
    </w:rPr>
  </w:style>
  <w:style w:type="paragraph" w:styleId="TOC4">
    <w:name w:val="toc 4"/>
    <w:basedOn w:val="TOC3"/>
    <w:semiHidden/>
    <w:rsid w:val="00C628DD"/>
    <w:pPr>
      <w:tabs>
        <w:tab w:val="clear" w:pos="2160"/>
        <w:tab w:val="clear" w:pos="9000"/>
        <w:tab w:val="right" w:leader="dot" w:pos="9019"/>
      </w:tabs>
      <w:spacing w:after="0"/>
      <w:ind w:left="2988"/>
    </w:pPr>
    <w:rPr>
      <w:szCs w:val="24"/>
    </w:rPr>
  </w:style>
  <w:style w:type="paragraph" w:customStyle="1" w:styleId="NPTableNotes0">
    <w:name w:val="NPTableNotes+0"/>
    <w:basedOn w:val="NPTableNotes18"/>
    <w:pPr>
      <w:keepNext/>
      <w:spacing w:after="0"/>
    </w:pPr>
  </w:style>
  <w:style w:type="paragraph" w:styleId="Index2">
    <w:name w:val="index 2"/>
    <w:basedOn w:val="Normal"/>
    <w:next w:val="Normal"/>
    <w:autoRedefine/>
    <w:semiHidden/>
    <w:pPr>
      <w:spacing w:after="0"/>
      <w:ind w:left="432" w:hanging="216"/>
    </w:pPr>
    <w:rPr>
      <w:noProof/>
      <w:sz w:val="22"/>
    </w:rPr>
  </w:style>
  <w:style w:type="paragraph" w:styleId="Index1">
    <w:name w:val="index 1"/>
    <w:basedOn w:val="Normal"/>
    <w:next w:val="Normal"/>
    <w:autoRedefine/>
    <w:semiHidden/>
    <w:pPr>
      <w:spacing w:after="0"/>
      <w:ind w:left="216" w:hanging="216"/>
    </w:pPr>
    <w:rPr>
      <w:noProof/>
      <w:sz w:val="22"/>
    </w:rPr>
  </w:style>
  <w:style w:type="paragraph" w:customStyle="1" w:styleId="NPSub-Title">
    <w:name w:val="NPSub-Title"/>
    <w:basedOn w:val="Normal"/>
    <w:next w:val="Normal"/>
    <w:rsid w:val="00255A05"/>
    <w:pPr>
      <w:pBdr>
        <w:top w:val="single" w:sz="4" w:space="1" w:color="auto"/>
        <w:bottom w:val="single" w:sz="4" w:space="1" w:color="auto"/>
      </w:pBdr>
      <w:jc w:val="center"/>
    </w:pPr>
    <w:rPr>
      <w:sz w:val="40"/>
    </w:rPr>
  </w:style>
  <w:style w:type="paragraph" w:customStyle="1" w:styleId="NPBullet6">
    <w:name w:val="NPBullet+6"/>
    <w:basedOn w:val="Normal"/>
    <w:rsid w:val="00EC19C4"/>
    <w:pPr>
      <w:tabs>
        <w:tab w:val="num" w:pos="357"/>
      </w:tabs>
      <w:spacing w:after="120"/>
      <w:ind w:left="357" w:hanging="357"/>
    </w:pPr>
  </w:style>
  <w:style w:type="paragraph" w:customStyle="1" w:styleId="NPStandard">
    <w:name w:val="NPStandard"/>
    <w:basedOn w:val="Normal"/>
    <w:next w:val="Normal"/>
    <w:rsid w:val="00F36598"/>
    <w:pPr>
      <w:ind w:left="720" w:hanging="720"/>
    </w:pPr>
    <w:rPr>
      <w:b/>
      <w:szCs w:val="24"/>
    </w:rPr>
  </w:style>
  <w:style w:type="paragraph" w:customStyle="1" w:styleId="NPGuideline">
    <w:name w:val="NPGuideline"/>
    <w:basedOn w:val="Normal"/>
    <w:rsid w:val="00ED25C8"/>
    <w:pPr>
      <w:ind w:left="720" w:hanging="720"/>
    </w:pPr>
  </w:style>
  <w:style w:type="paragraph" w:customStyle="1" w:styleId="NPStandardIndent">
    <w:name w:val="NPStandardIndent"/>
    <w:basedOn w:val="Normal"/>
    <w:rsid w:val="00ED25C8"/>
    <w:pPr>
      <w:ind w:left="1434" w:hanging="357"/>
    </w:pPr>
    <w:rPr>
      <w:b/>
    </w:rPr>
  </w:style>
  <w:style w:type="paragraph" w:customStyle="1" w:styleId="NPBullet12">
    <w:name w:val="NPBullet+12"/>
    <w:basedOn w:val="Normal"/>
    <w:next w:val="Normal"/>
    <w:rsid w:val="00EC19C4"/>
    <w:pPr>
      <w:tabs>
        <w:tab w:val="num" w:pos="357"/>
      </w:tabs>
      <w:ind w:left="357" w:hanging="357"/>
    </w:pPr>
  </w:style>
  <w:style w:type="paragraph" w:customStyle="1" w:styleId="NPGuidelineIndent">
    <w:name w:val="NPGuidelineIndent"/>
    <w:basedOn w:val="Normal"/>
    <w:rsid w:val="00ED25C8"/>
    <w:pPr>
      <w:ind w:left="1434" w:hanging="357"/>
    </w:pPr>
  </w:style>
  <w:style w:type="paragraph" w:customStyle="1" w:styleId="NPCommentary">
    <w:name w:val="NPCommentary"/>
    <w:basedOn w:val="Normal"/>
    <w:rsid w:val="007227D6"/>
    <w:pPr>
      <w:ind w:left="709" w:firstLine="11"/>
    </w:pPr>
  </w:style>
  <w:style w:type="paragraph" w:customStyle="1" w:styleId="NPCommentaryIndent">
    <w:name w:val="NPCommentaryIndent"/>
    <w:basedOn w:val="Normal"/>
    <w:rsid w:val="008351BA"/>
    <w:pPr>
      <w:ind w:left="1434" w:hanging="357"/>
    </w:pPr>
  </w:style>
  <w:style w:type="paragraph" w:customStyle="1" w:styleId="NPFigurePara">
    <w:name w:val="NPFigurePara"/>
    <w:basedOn w:val="Normal"/>
    <w:next w:val="Normal"/>
    <w:rsid w:val="004E6763"/>
    <w:pPr>
      <w:spacing w:after="0"/>
    </w:pPr>
  </w:style>
  <w:style w:type="paragraph" w:customStyle="1" w:styleId="NPInstuctions">
    <w:name w:val="NPInstuctions"/>
    <w:basedOn w:val="Normal"/>
    <w:rsid w:val="00297B72"/>
    <w:pPr>
      <w:ind w:left="567"/>
    </w:pPr>
    <w:rPr>
      <w:vanish/>
      <w:color w:val="339966"/>
      <w:szCs w:val="24"/>
    </w:rPr>
  </w:style>
  <w:style w:type="paragraph" w:customStyle="1" w:styleId="NPBoxText">
    <w:name w:val="NPBoxText"/>
    <w:basedOn w:val="Normal"/>
    <w:rsid w:val="008255EB"/>
    <w:pPr>
      <w:pBdr>
        <w:top w:val="single" w:sz="4" w:space="4" w:color="auto"/>
        <w:left w:val="single" w:sz="4" w:space="4" w:color="auto"/>
        <w:bottom w:val="single" w:sz="4" w:space="4" w:color="auto"/>
        <w:right w:val="single" w:sz="4" w:space="4" w:color="auto"/>
      </w:pBdr>
      <w:spacing w:after="120"/>
      <w:ind w:left="86" w:right="58"/>
    </w:pPr>
    <w:rPr>
      <w:sz w:val="22"/>
      <w:szCs w:val="22"/>
    </w:rPr>
  </w:style>
  <w:style w:type="paragraph" w:customStyle="1" w:styleId="TableNotes18">
    <w:name w:val="TableNotes+18"/>
    <w:basedOn w:val="Normal"/>
    <w:rsid w:val="003359CE"/>
    <w:pPr>
      <w:keepLines/>
      <w:spacing w:after="360"/>
    </w:pPr>
    <w:rPr>
      <w:sz w:val="18"/>
      <w:szCs w:val="18"/>
    </w:rPr>
  </w:style>
  <w:style w:type="table" w:styleId="TableGrid">
    <w:name w:val="Table Grid"/>
    <w:basedOn w:val="TableNormal"/>
    <w:rsid w:val="00B75390"/>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E774DE"/>
    <w:rPr>
      <w:color w:val="800080"/>
      <w:u w:val="single"/>
    </w:rPr>
  </w:style>
  <w:style w:type="paragraph" w:styleId="BalloonText">
    <w:name w:val="Balloon Text"/>
    <w:basedOn w:val="Normal"/>
    <w:semiHidden/>
    <w:rsid w:val="007227D6"/>
    <w:rPr>
      <w:rFonts w:ascii="Tahoma" w:hAnsi="Tahoma" w:cs="Tahoma"/>
      <w:sz w:val="16"/>
      <w:szCs w:val="16"/>
    </w:rPr>
  </w:style>
  <w:style w:type="character" w:styleId="CommentReference">
    <w:name w:val="annotation reference"/>
    <w:semiHidden/>
    <w:rsid w:val="00F81DF5"/>
    <w:rPr>
      <w:sz w:val="16"/>
      <w:szCs w:val="16"/>
    </w:rPr>
  </w:style>
  <w:style w:type="paragraph" w:styleId="CommentText">
    <w:name w:val="annotation text"/>
    <w:basedOn w:val="Normal"/>
    <w:semiHidden/>
    <w:rsid w:val="00F81DF5"/>
    <w:rPr>
      <w:sz w:val="20"/>
    </w:rPr>
  </w:style>
  <w:style w:type="paragraph" w:styleId="CommentSubject">
    <w:name w:val="annotation subject"/>
    <w:basedOn w:val="CommentText"/>
    <w:next w:val="CommentText"/>
    <w:semiHidden/>
    <w:rsid w:val="00F81DF5"/>
    <w:rPr>
      <w:b/>
      <w:bCs/>
    </w:rPr>
  </w:style>
  <w:style w:type="paragraph" w:customStyle="1" w:styleId="a">
    <w:basedOn w:val="Normal"/>
    <w:rsid w:val="008D1407"/>
    <w:pPr>
      <w:spacing w:after="0"/>
    </w:pPr>
    <w:rPr>
      <w:rFonts w:ascii="Arial" w:hAnsi="Arial" w:cs="Arial"/>
      <w:sz w:val="22"/>
      <w:szCs w:val="22"/>
    </w:rPr>
  </w:style>
  <w:style w:type="character" w:customStyle="1" w:styleId="st1">
    <w:name w:val="st1"/>
    <w:rsid w:val="00A9360B"/>
  </w:style>
  <w:style w:type="paragraph" w:customStyle="1" w:styleId="CharChar6">
    <w:name w:val="Char Char6"/>
    <w:basedOn w:val="Normal"/>
    <w:rsid w:val="00B664AF"/>
    <w:pPr>
      <w:spacing w:after="0"/>
    </w:pPr>
    <w:rPr>
      <w:rFonts w:ascii="Arial" w:hAnsi="Arial" w:cs="Arial"/>
      <w:sz w:val="22"/>
      <w:szCs w:val="22"/>
    </w:rPr>
  </w:style>
  <w:style w:type="paragraph" w:customStyle="1" w:styleId="CharCharCharCharCharChar">
    <w:name w:val="Char Char Char Char Char Char"/>
    <w:basedOn w:val="Normal"/>
    <w:rsid w:val="00C128FB"/>
    <w:pPr>
      <w:spacing w:after="0"/>
    </w:pPr>
    <w:rPr>
      <w:rFonts w:ascii="Arial" w:hAnsi="Arial" w:cs="Arial"/>
      <w:sz w:val="22"/>
      <w:szCs w:val="22"/>
    </w:rPr>
  </w:style>
  <w:style w:type="paragraph" w:styleId="Revision">
    <w:name w:val="Revision"/>
    <w:hidden/>
    <w:uiPriority w:val="99"/>
    <w:semiHidden/>
    <w:rsid w:val="00FB0435"/>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A0F"/>
    <w:pPr>
      <w:spacing w:after="240"/>
    </w:pPr>
    <w:rPr>
      <w:sz w:val="24"/>
      <w:lang w:eastAsia="en-US"/>
    </w:rPr>
  </w:style>
  <w:style w:type="paragraph" w:styleId="Heading1">
    <w:name w:val="heading 1"/>
    <w:basedOn w:val="Normal"/>
    <w:next w:val="Normal"/>
    <w:qFormat/>
    <w:rsid w:val="00F36598"/>
    <w:pPr>
      <w:keepNext/>
      <w:spacing w:after="480"/>
      <w:outlineLvl w:val="0"/>
    </w:pPr>
    <w:rPr>
      <w:rFonts w:ascii="Arial" w:hAnsi="Arial"/>
      <w:b/>
      <w:sz w:val="40"/>
    </w:rPr>
  </w:style>
  <w:style w:type="paragraph" w:styleId="Heading2">
    <w:name w:val="heading 2"/>
    <w:basedOn w:val="Normal"/>
    <w:next w:val="Normal"/>
    <w:link w:val="Heading2Char"/>
    <w:qFormat/>
    <w:rsid w:val="00F36598"/>
    <w:pPr>
      <w:keepNext/>
      <w:spacing w:before="240"/>
      <w:ind w:left="720" w:hanging="720"/>
      <w:outlineLvl w:val="1"/>
    </w:pPr>
    <w:rPr>
      <w:rFonts w:ascii="Arial" w:hAnsi="Arial"/>
      <w:b/>
      <w:sz w:val="28"/>
    </w:rPr>
  </w:style>
  <w:style w:type="paragraph" w:styleId="Heading3">
    <w:name w:val="heading 3"/>
    <w:basedOn w:val="Normal"/>
    <w:next w:val="Normal"/>
    <w:qFormat/>
    <w:rsid w:val="00F36598"/>
    <w:pPr>
      <w:keepNext/>
      <w:spacing w:before="240"/>
      <w:ind w:left="720" w:hanging="720"/>
      <w:outlineLvl w:val="2"/>
    </w:pPr>
    <w:rPr>
      <w:rFonts w:ascii="Arial" w:hAnsi="Arial"/>
      <w:b/>
    </w:rPr>
  </w:style>
  <w:style w:type="paragraph" w:styleId="Heading4">
    <w:name w:val="heading 4"/>
    <w:basedOn w:val="Normal"/>
    <w:next w:val="Normal"/>
    <w:qFormat/>
    <w:pPr>
      <w:keepNext/>
      <w:spacing w:before="120" w:after="120"/>
      <w:outlineLvl w:val="3"/>
    </w:pPr>
    <w:rPr>
      <w:b/>
      <w:i/>
      <w:sz w:val="22"/>
    </w:rPr>
  </w:style>
  <w:style w:type="paragraph" w:styleId="Heading5">
    <w:name w:val="heading 5"/>
    <w:basedOn w:val="Normal"/>
    <w:next w:val="Normal"/>
    <w:qFormat/>
    <w:pPr>
      <w:keepNext/>
      <w:spacing w:before="60" w:after="6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A7179"/>
    <w:rPr>
      <w:rFonts w:ascii="Arial" w:hAnsi="Arial"/>
      <w:b/>
      <w:sz w:val="28"/>
      <w:lang w:val="en-AU" w:eastAsia="en-US" w:bidi="ar-SA"/>
    </w:rPr>
  </w:style>
  <w:style w:type="paragraph" w:styleId="Header">
    <w:name w:val="header"/>
    <w:basedOn w:val="Normal"/>
    <w:pPr>
      <w:tabs>
        <w:tab w:val="right" w:pos="9000"/>
      </w:tabs>
    </w:pPr>
    <w:rPr>
      <w:sz w:val="18"/>
    </w:rPr>
  </w:style>
  <w:style w:type="paragraph" w:styleId="Footer">
    <w:name w:val="footer"/>
    <w:basedOn w:val="Normal"/>
    <w:pPr>
      <w:tabs>
        <w:tab w:val="right" w:pos="9000"/>
      </w:tabs>
      <w:spacing w:after="0"/>
    </w:pPr>
    <w:rPr>
      <w:i/>
      <w:sz w:val="20"/>
    </w:rPr>
  </w:style>
  <w:style w:type="character" w:styleId="PageNumber">
    <w:name w:val="page number"/>
    <w:rsid w:val="007E727A"/>
    <w:rPr>
      <w:rFonts w:ascii="Times New Roman" w:hAnsi="Times New Roman"/>
      <w:b/>
      <w:sz w:val="20"/>
      <w:szCs w:val="20"/>
    </w:rPr>
  </w:style>
  <w:style w:type="paragraph" w:customStyle="1" w:styleId="Heading1a">
    <w:name w:val="Heading 1a"/>
    <w:basedOn w:val="Heading1"/>
    <w:next w:val="Normal"/>
    <w:pPr>
      <w:outlineLvl w:val="9"/>
    </w:pPr>
  </w:style>
  <w:style w:type="paragraph" w:customStyle="1" w:styleId="Heading2a">
    <w:name w:val="Heading 2a"/>
    <w:basedOn w:val="Heading2"/>
    <w:next w:val="Normal"/>
    <w:rsid w:val="0060259A"/>
    <w:pPr>
      <w:outlineLvl w:val="9"/>
    </w:pPr>
  </w:style>
  <w:style w:type="paragraph" w:customStyle="1" w:styleId="Heading3a">
    <w:name w:val="Heading 3a"/>
    <w:basedOn w:val="Heading3"/>
    <w:pPr>
      <w:outlineLvl w:val="9"/>
    </w:pPr>
  </w:style>
  <w:style w:type="paragraph" w:customStyle="1" w:styleId="NPFigureName">
    <w:name w:val="NPFigureName"/>
    <w:basedOn w:val="Normal"/>
    <w:next w:val="Normal"/>
    <w:rsid w:val="004E6763"/>
    <w:pPr>
      <w:keepLines/>
      <w:spacing w:before="120" w:after="360"/>
      <w:ind w:left="1440" w:hanging="1440"/>
    </w:pPr>
    <w:rPr>
      <w:b/>
    </w:rPr>
  </w:style>
  <w:style w:type="paragraph" w:customStyle="1" w:styleId="NPReportTitle">
    <w:name w:val="NPReportTitle"/>
    <w:basedOn w:val="Normal"/>
    <w:next w:val="Normal"/>
    <w:rsid w:val="002C75D9"/>
    <w:pPr>
      <w:spacing w:before="240" w:after="60"/>
      <w:jc w:val="center"/>
    </w:pPr>
    <w:rPr>
      <w:rFonts w:ascii="Times New Roman Bold" w:hAnsi="Times New Roman Bold"/>
      <w:b/>
      <w:kern w:val="28"/>
      <w:sz w:val="48"/>
      <w:szCs w:val="48"/>
    </w:rPr>
  </w:style>
  <w:style w:type="paragraph" w:customStyle="1" w:styleId="NPTableBullet">
    <w:name w:val="NPTableBullet"/>
    <w:basedOn w:val="Normal"/>
    <w:rsid w:val="00B771B2"/>
    <w:pPr>
      <w:keepNext/>
      <w:tabs>
        <w:tab w:val="left" w:pos="216"/>
        <w:tab w:val="num" w:pos="360"/>
      </w:tabs>
      <w:spacing w:before="20" w:after="20"/>
      <w:ind w:left="216" w:hanging="216"/>
    </w:pPr>
    <w:rPr>
      <w:sz w:val="20"/>
    </w:rPr>
  </w:style>
  <w:style w:type="paragraph" w:customStyle="1" w:styleId="NPTableDash">
    <w:name w:val="NPTableDash"/>
    <w:basedOn w:val="NPTableText"/>
    <w:rsid w:val="007F3380"/>
    <w:pPr>
      <w:ind w:left="430" w:hanging="215"/>
    </w:pPr>
  </w:style>
  <w:style w:type="paragraph" w:customStyle="1" w:styleId="NPTableText">
    <w:name w:val="NPTableText"/>
    <w:basedOn w:val="Normal"/>
    <w:rsid w:val="00EC19C4"/>
    <w:pPr>
      <w:keepNext/>
      <w:spacing w:before="20" w:after="20"/>
    </w:pPr>
    <w:rPr>
      <w:sz w:val="20"/>
    </w:rPr>
  </w:style>
  <w:style w:type="paragraph" w:customStyle="1" w:styleId="NPTableHeading">
    <w:name w:val="NPTableHeading"/>
    <w:basedOn w:val="NPTableText"/>
    <w:rPr>
      <w:b/>
    </w:rPr>
  </w:style>
  <w:style w:type="paragraph" w:customStyle="1" w:styleId="NPTableName">
    <w:name w:val="NPTableName"/>
    <w:basedOn w:val="Normal"/>
    <w:pPr>
      <w:keepNext/>
      <w:spacing w:before="120" w:after="120"/>
      <w:ind w:left="1080" w:hanging="1080"/>
    </w:pPr>
    <w:rPr>
      <w:b/>
    </w:rPr>
  </w:style>
  <w:style w:type="paragraph" w:customStyle="1" w:styleId="NPTableNotes18">
    <w:name w:val="NPTableNotes+18"/>
    <w:basedOn w:val="NPTableText"/>
    <w:next w:val="Normal"/>
    <w:pPr>
      <w:keepNext w:val="0"/>
      <w:keepLines/>
      <w:spacing w:before="0" w:after="360"/>
    </w:pPr>
    <w:rPr>
      <w:sz w:val="18"/>
    </w:rPr>
  </w:style>
  <w:style w:type="paragraph" w:styleId="TOC1">
    <w:name w:val="toc 1"/>
    <w:basedOn w:val="Normal"/>
    <w:next w:val="Normal"/>
    <w:uiPriority w:val="39"/>
    <w:rsid w:val="00F34BDD"/>
    <w:pPr>
      <w:keepNext/>
      <w:tabs>
        <w:tab w:val="left" w:pos="720"/>
        <w:tab w:val="right" w:leader="dot" w:pos="9000"/>
      </w:tabs>
      <w:spacing w:before="360" w:after="60"/>
      <w:ind w:left="720" w:right="720" w:hanging="720"/>
    </w:pPr>
    <w:rPr>
      <w:b/>
      <w:noProof/>
    </w:rPr>
  </w:style>
  <w:style w:type="paragraph" w:styleId="TOC2">
    <w:name w:val="toc 2"/>
    <w:basedOn w:val="Normal"/>
    <w:next w:val="Normal"/>
    <w:uiPriority w:val="39"/>
    <w:rsid w:val="00513014"/>
    <w:pPr>
      <w:tabs>
        <w:tab w:val="left" w:pos="1440"/>
        <w:tab w:val="right" w:leader="dot" w:pos="9000"/>
      </w:tabs>
      <w:spacing w:before="120" w:after="60"/>
      <w:ind w:left="1440" w:right="720" w:hanging="720"/>
    </w:pPr>
    <w:rPr>
      <w:noProof/>
    </w:rPr>
  </w:style>
  <w:style w:type="paragraph" w:styleId="TOC3">
    <w:name w:val="toc 3"/>
    <w:basedOn w:val="Normal"/>
    <w:next w:val="Normal"/>
    <w:autoRedefine/>
    <w:semiHidden/>
    <w:pPr>
      <w:tabs>
        <w:tab w:val="left" w:pos="2160"/>
        <w:tab w:val="right" w:leader="dot" w:pos="9000"/>
      </w:tabs>
      <w:spacing w:after="20"/>
      <w:ind w:left="2160" w:right="720" w:hanging="720"/>
    </w:pPr>
    <w:rPr>
      <w:noProof/>
    </w:rPr>
  </w:style>
  <w:style w:type="character" w:styleId="Hyperlink">
    <w:name w:val="Hyperlink"/>
    <w:uiPriority w:val="99"/>
    <w:rPr>
      <w:color w:val="0000FF"/>
      <w:u w:val="single"/>
    </w:rPr>
  </w:style>
  <w:style w:type="paragraph" w:styleId="TableofFigures">
    <w:name w:val="table of figures"/>
    <w:basedOn w:val="Normal"/>
    <w:next w:val="Normal"/>
    <w:semiHidden/>
    <w:pPr>
      <w:tabs>
        <w:tab w:val="left" w:pos="1080"/>
        <w:tab w:val="right" w:leader="dot" w:pos="8998"/>
      </w:tabs>
      <w:spacing w:after="120"/>
      <w:ind w:left="1080" w:right="720" w:hanging="1080"/>
    </w:pPr>
  </w:style>
  <w:style w:type="paragraph" w:styleId="FootnoteText">
    <w:name w:val="footnote text"/>
    <w:basedOn w:val="Normal"/>
    <w:link w:val="FootnoteTextChar"/>
    <w:semiHidden/>
    <w:pPr>
      <w:spacing w:after="0"/>
    </w:pPr>
    <w:rPr>
      <w:sz w:val="20"/>
    </w:rPr>
  </w:style>
  <w:style w:type="character" w:customStyle="1" w:styleId="FootnoteTextChar">
    <w:name w:val="Footnote Text Char"/>
    <w:link w:val="FootnoteText"/>
    <w:rsid w:val="00AB5E96"/>
    <w:rPr>
      <w:lang w:val="en-AU" w:eastAsia="en-US" w:bidi="ar-SA"/>
    </w:rPr>
  </w:style>
  <w:style w:type="character" w:styleId="FootnoteReference">
    <w:name w:val="footnote reference"/>
    <w:semiHidden/>
    <w:rPr>
      <w:vertAlign w:val="superscript"/>
    </w:rPr>
  </w:style>
  <w:style w:type="paragraph" w:styleId="TOC4">
    <w:name w:val="toc 4"/>
    <w:basedOn w:val="TOC3"/>
    <w:semiHidden/>
    <w:rsid w:val="00C628DD"/>
    <w:pPr>
      <w:tabs>
        <w:tab w:val="clear" w:pos="2160"/>
        <w:tab w:val="clear" w:pos="9000"/>
        <w:tab w:val="right" w:leader="dot" w:pos="9019"/>
      </w:tabs>
      <w:spacing w:after="0"/>
      <w:ind w:left="2988"/>
    </w:pPr>
    <w:rPr>
      <w:szCs w:val="24"/>
    </w:rPr>
  </w:style>
  <w:style w:type="paragraph" w:customStyle="1" w:styleId="NPTableNotes0">
    <w:name w:val="NPTableNotes+0"/>
    <w:basedOn w:val="NPTableNotes18"/>
    <w:pPr>
      <w:keepNext/>
      <w:spacing w:after="0"/>
    </w:pPr>
  </w:style>
  <w:style w:type="paragraph" w:styleId="Index2">
    <w:name w:val="index 2"/>
    <w:basedOn w:val="Normal"/>
    <w:next w:val="Normal"/>
    <w:autoRedefine/>
    <w:semiHidden/>
    <w:pPr>
      <w:spacing w:after="0"/>
      <w:ind w:left="432" w:hanging="216"/>
    </w:pPr>
    <w:rPr>
      <w:noProof/>
      <w:sz w:val="22"/>
    </w:rPr>
  </w:style>
  <w:style w:type="paragraph" w:styleId="Index1">
    <w:name w:val="index 1"/>
    <w:basedOn w:val="Normal"/>
    <w:next w:val="Normal"/>
    <w:autoRedefine/>
    <w:semiHidden/>
    <w:pPr>
      <w:spacing w:after="0"/>
      <w:ind w:left="216" w:hanging="216"/>
    </w:pPr>
    <w:rPr>
      <w:noProof/>
      <w:sz w:val="22"/>
    </w:rPr>
  </w:style>
  <w:style w:type="paragraph" w:customStyle="1" w:styleId="NPSub-Title">
    <w:name w:val="NPSub-Title"/>
    <w:basedOn w:val="Normal"/>
    <w:next w:val="Normal"/>
    <w:rsid w:val="00255A05"/>
    <w:pPr>
      <w:pBdr>
        <w:top w:val="single" w:sz="4" w:space="1" w:color="auto"/>
        <w:bottom w:val="single" w:sz="4" w:space="1" w:color="auto"/>
      </w:pBdr>
      <w:jc w:val="center"/>
    </w:pPr>
    <w:rPr>
      <w:sz w:val="40"/>
    </w:rPr>
  </w:style>
  <w:style w:type="paragraph" w:customStyle="1" w:styleId="NPBullet6">
    <w:name w:val="NPBullet+6"/>
    <w:basedOn w:val="Normal"/>
    <w:rsid w:val="00EC19C4"/>
    <w:pPr>
      <w:tabs>
        <w:tab w:val="num" w:pos="357"/>
      </w:tabs>
      <w:spacing w:after="120"/>
      <w:ind w:left="357" w:hanging="357"/>
    </w:pPr>
  </w:style>
  <w:style w:type="paragraph" w:customStyle="1" w:styleId="NPStandard">
    <w:name w:val="NPStandard"/>
    <w:basedOn w:val="Normal"/>
    <w:next w:val="Normal"/>
    <w:rsid w:val="00F36598"/>
    <w:pPr>
      <w:ind w:left="720" w:hanging="720"/>
    </w:pPr>
    <w:rPr>
      <w:b/>
      <w:szCs w:val="24"/>
    </w:rPr>
  </w:style>
  <w:style w:type="paragraph" w:customStyle="1" w:styleId="NPGuideline">
    <w:name w:val="NPGuideline"/>
    <w:basedOn w:val="Normal"/>
    <w:rsid w:val="00ED25C8"/>
    <w:pPr>
      <w:ind w:left="720" w:hanging="720"/>
    </w:pPr>
  </w:style>
  <w:style w:type="paragraph" w:customStyle="1" w:styleId="NPStandardIndent">
    <w:name w:val="NPStandardIndent"/>
    <w:basedOn w:val="Normal"/>
    <w:rsid w:val="00ED25C8"/>
    <w:pPr>
      <w:ind w:left="1434" w:hanging="357"/>
    </w:pPr>
    <w:rPr>
      <w:b/>
    </w:rPr>
  </w:style>
  <w:style w:type="paragraph" w:customStyle="1" w:styleId="NPBullet12">
    <w:name w:val="NPBullet+12"/>
    <w:basedOn w:val="Normal"/>
    <w:next w:val="Normal"/>
    <w:rsid w:val="00EC19C4"/>
    <w:pPr>
      <w:tabs>
        <w:tab w:val="num" w:pos="357"/>
      </w:tabs>
      <w:ind w:left="357" w:hanging="357"/>
    </w:pPr>
  </w:style>
  <w:style w:type="paragraph" w:customStyle="1" w:styleId="NPGuidelineIndent">
    <w:name w:val="NPGuidelineIndent"/>
    <w:basedOn w:val="Normal"/>
    <w:rsid w:val="00ED25C8"/>
    <w:pPr>
      <w:ind w:left="1434" w:hanging="357"/>
    </w:pPr>
  </w:style>
  <w:style w:type="paragraph" w:customStyle="1" w:styleId="NPCommentary">
    <w:name w:val="NPCommentary"/>
    <w:basedOn w:val="Normal"/>
    <w:rsid w:val="007227D6"/>
    <w:pPr>
      <w:ind w:left="709" w:firstLine="11"/>
    </w:pPr>
  </w:style>
  <w:style w:type="paragraph" w:customStyle="1" w:styleId="NPCommentaryIndent">
    <w:name w:val="NPCommentaryIndent"/>
    <w:basedOn w:val="Normal"/>
    <w:rsid w:val="008351BA"/>
    <w:pPr>
      <w:ind w:left="1434" w:hanging="357"/>
    </w:pPr>
  </w:style>
  <w:style w:type="paragraph" w:customStyle="1" w:styleId="NPFigurePara">
    <w:name w:val="NPFigurePara"/>
    <w:basedOn w:val="Normal"/>
    <w:next w:val="Normal"/>
    <w:rsid w:val="004E6763"/>
    <w:pPr>
      <w:spacing w:after="0"/>
    </w:pPr>
  </w:style>
  <w:style w:type="paragraph" w:customStyle="1" w:styleId="NPInstuctions">
    <w:name w:val="NPInstuctions"/>
    <w:basedOn w:val="Normal"/>
    <w:rsid w:val="00297B72"/>
    <w:pPr>
      <w:ind w:left="567"/>
    </w:pPr>
    <w:rPr>
      <w:vanish/>
      <w:color w:val="339966"/>
      <w:szCs w:val="24"/>
    </w:rPr>
  </w:style>
  <w:style w:type="paragraph" w:customStyle="1" w:styleId="NPBoxText">
    <w:name w:val="NPBoxText"/>
    <w:basedOn w:val="Normal"/>
    <w:rsid w:val="008255EB"/>
    <w:pPr>
      <w:pBdr>
        <w:top w:val="single" w:sz="4" w:space="4" w:color="auto"/>
        <w:left w:val="single" w:sz="4" w:space="4" w:color="auto"/>
        <w:bottom w:val="single" w:sz="4" w:space="4" w:color="auto"/>
        <w:right w:val="single" w:sz="4" w:space="4" w:color="auto"/>
      </w:pBdr>
      <w:spacing w:after="120"/>
      <w:ind w:left="86" w:right="58"/>
    </w:pPr>
    <w:rPr>
      <w:sz w:val="22"/>
      <w:szCs w:val="22"/>
    </w:rPr>
  </w:style>
  <w:style w:type="paragraph" w:customStyle="1" w:styleId="TableNotes18">
    <w:name w:val="TableNotes+18"/>
    <w:basedOn w:val="Normal"/>
    <w:rsid w:val="003359CE"/>
    <w:pPr>
      <w:keepLines/>
      <w:spacing w:after="360"/>
    </w:pPr>
    <w:rPr>
      <w:sz w:val="18"/>
      <w:szCs w:val="18"/>
    </w:rPr>
  </w:style>
  <w:style w:type="table" w:styleId="TableGrid">
    <w:name w:val="Table Grid"/>
    <w:basedOn w:val="TableNormal"/>
    <w:rsid w:val="00B75390"/>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E774DE"/>
    <w:rPr>
      <w:color w:val="800080"/>
      <w:u w:val="single"/>
    </w:rPr>
  </w:style>
  <w:style w:type="paragraph" w:styleId="BalloonText">
    <w:name w:val="Balloon Text"/>
    <w:basedOn w:val="Normal"/>
    <w:semiHidden/>
    <w:rsid w:val="007227D6"/>
    <w:rPr>
      <w:rFonts w:ascii="Tahoma" w:hAnsi="Tahoma" w:cs="Tahoma"/>
      <w:sz w:val="16"/>
      <w:szCs w:val="16"/>
    </w:rPr>
  </w:style>
  <w:style w:type="character" w:styleId="CommentReference">
    <w:name w:val="annotation reference"/>
    <w:semiHidden/>
    <w:rsid w:val="00F81DF5"/>
    <w:rPr>
      <w:sz w:val="16"/>
      <w:szCs w:val="16"/>
    </w:rPr>
  </w:style>
  <w:style w:type="paragraph" w:styleId="CommentText">
    <w:name w:val="annotation text"/>
    <w:basedOn w:val="Normal"/>
    <w:semiHidden/>
    <w:rsid w:val="00F81DF5"/>
    <w:rPr>
      <w:sz w:val="20"/>
    </w:rPr>
  </w:style>
  <w:style w:type="paragraph" w:styleId="CommentSubject">
    <w:name w:val="annotation subject"/>
    <w:basedOn w:val="CommentText"/>
    <w:next w:val="CommentText"/>
    <w:semiHidden/>
    <w:rsid w:val="00F81DF5"/>
    <w:rPr>
      <w:b/>
      <w:bCs/>
    </w:rPr>
  </w:style>
  <w:style w:type="paragraph" w:customStyle="1" w:styleId="a">
    <w:basedOn w:val="Normal"/>
    <w:rsid w:val="008D1407"/>
    <w:pPr>
      <w:spacing w:after="0"/>
    </w:pPr>
    <w:rPr>
      <w:rFonts w:ascii="Arial" w:hAnsi="Arial" w:cs="Arial"/>
      <w:sz w:val="22"/>
      <w:szCs w:val="22"/>
    </w:rPr>
  </w:style>
  <w:style w:type="character" w:customStyle="1" w:styleId="st1">
    <w:name w:val="st1"/>
    <w:rsid w:val="00A9360B"/>
  </w:style>
  <w:style w:type="paragraph" w:customStyle="1" w:styleId="CharChar6">
    <w:name w:val="Char Char6"/>
    <w:basedOn w:val="Normal"/>
    <w:rsid w:val="00B664AF"/>
    <w:pPr>
      <w:spacing w:after="0"/>
    </w:pPr>
    <w:rPr>
      <w:rFonts w:ascii="Arial" w:hAnsi="Arial" w:cs="Arial"/>
      <w:sz w:val="22"/>
      <w:szCs w:val="22"/>
    </w:rPr>
  </w:style>
  <w:style w:type="paragraph" w:customStyle="1" w:styleId="CharCharCharCharCharChar">
    <w:name w:val="Char Char Char Char Char Char"/>
    <w:basedOn w:val="Normal"/>
    <w:rsid w:val="00C128FB"/>
    <w:pPr>
      <w:spacing w:after="0"/>
    </w:pPr>
    <w:rPr>
      <w:rFonts w:ascii="Arial" w:hAnsi="Arial" w:cs="Arial"/>
      <w:sz w:val="22"/>
      <w:szCs w:val="22"/>
    </w:rPr>
  </w:style>
  <w:style w:type="paragraph" w:styleId="Revision">
    <w:name w:val="Revision"/>
    <w:hidden/>
    <w:uiPriority w:val="99"/>
    <w:semiHidden/>
    <w:rsid w:val="00FB043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gov.au/npaa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paac@health.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au/npaac"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paac@health.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ealth.gov.au/internet/main/publishing.nsf/Content/health-npaac-publication.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01-Admin\01-Office%20admin\Templates%20(incl%20forms)\Templates\Specific%20client%20templates\NPAA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E7C9F-F4AF-4F2E-9869-44640BD6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NPAAC template.dot</Template>
  <TotalTime>4</TotalTime>
  <Pages>16</Pages>
  <Words>4453</Words>
  <Characters>28346</Characters>
  <Application>Microsoft Office Word</Application>
  <DocSecurity>0</DocSecurity>
  <Lines>236</Lines>
  <Paragraphs>65</Paragraphs>
  <ScaleCrop>false</ScaleCrop>
  <HeadingPairs>
    <vt:vector size="2" baseType="variant">
      <vt:variant>
        <vt:lpstr>Title</vt:lpstr>
      </vt:variant>
      <vt:variant>
        <vt:i4>1</vt:i4>
      </vt:variant>
    </vt:vector>
  </HeadingPairs>
  <TitlesOfParts>
    <vt:vector size="1" baseType="lpstr">
      <vt:lpstr>NPAAC template</vt:lpstr>
    </vt:vector>
  </TitlesOfParts>
  <Company>Dept Health And Ageing</Company>
  <LinksUpToDate>false</LinksUpToDate>
  <CharactersWithSpaces>32734</CharactersWithSpaces>
  <SharedDoc>false</SharedDoc>
  <HLinks>
    <vt:vector size="246" baseType="variant">
      <vt:variant>
        <vt:i4>2097279</vt:i4>
      </vt:variant>
      <vt:variant>
        <vt:i4>228</vt:i4>
      </vt:variant>
      <vt:variant>
        <vt:i4>0</vt:i4>
      </vt:variant>
      <vt:variant>
        <vt:i4>5</vt:i4>
      </vt:variant>
      <vt:variant>
        <vt:lpwstr>http://www.health.gov.au/npaac</vt:lpwstr>
      </vt:variant>
      <vt:variant>
        <vt:lpwstr/>
      </vt:variant>
      <vt:variant>
        <vt:i4>6881290</vt:i4>
      </vt:variant>
      <vt:variant>
        <vt:i4>225</vt:i4>
      </vt:variant>
      <vt:variant>
        <vt:i4>0</vt:i4>
      </vt:variant>
      <vt:variant>
        <vt:i4>5</vt:i4>
      </vt:variant>
      <vt:variant>
        <vt:lpwstr>mailto:npaac@health.gov.au</vt:lpwstr>
      </vt:variant>
      <vt:variant>
        <vt:lpwstr/>
      </vt:variant>
      <vt:variant>
        <vt:i4>2097279</vt:i4>
      </vt:variant>
      <vt:variant>
        <vt:i4>222</vt:i4>
      </vt:variant>
      <vt:variant>
        <vt:i4>0</vt:i4>
      </vt:variant>
      <vt:variant>
        <vt:i4>5</vt:i4>
      </vt:variant>
      <vt:variant>
        <vt:lpwstr>http://www.health.gov.au/npaac</vt:lpwstr>
      </vt:variant>
      <vt:variant>
        <vt:lpwstr/>
      </vt:variant>
      <vt:variant>
        <vt:i4>6881290</vt:i4>
      </vt:variant>
      <vt:variant>
        <vt:i4>219</vt:i4>
      </vt:variant>
      <vt:variant>
        <vt:i4>0</vt:i4>
      </vt:variant>
      <vt:variant>
        <vt:i4>5</vt:i4>
      </vt:variant>
      <vt:variant>
        <vt:lpwstr>mailto:npaac@health.gov.au</vt:lpwstr>
      </vt:variant>
      <vt:variant>
        <vt:lpwstr/>
      </vt:variant>
      <vt:variant>
        <vt:i4>2490483</vt:i4>
      </vt:variant>
      <vt:variant>
        <vt:i4>216</vt:i4>
      </vt:variant>
      <vt:variant>
        <vt:i4>0</vt:i4>
      </vt:variant>
      <vt:variant>
        <vt:i4>5</vt:i4>
      </vt:variant>
      <vt:variant>
        <vt:lpwstr>http://www.health.gov.au/internet/main/publishing.nsf/Content/health-npaac-publication.htm</vt:lpwstr>
      </vt:variant>
      <vt:variant>
        <vt:lpwstr/>
      </vt:variant>
      <vt:variant>
        <vt:i4>1179700</vt:i4>
      </vt:variant>
      <vt:variant>
        <vt:i4>209</vt:i4>
      </vt:variant>
      <vt:variant>
        <vt:i4>0</vt:i4>
      </vt:variant>
      <vt:variant>
        <vt:i4>5</vt:i4>
      </vt:variant>
      <vt:variant>
        <vt:lpwstr/>
      </vt:variant>
      <vt:variant>
        <vt:lpwstr>_Toc362260312</vt:lpwstr>
      </vt:variant>
      <vt:variant>
        <vt:i4>1179700</vt:i4>
      </vt:variant>
      <vt:variant>
        <vt:i4>203</vt:i4>
      </vt:variant>
      <vt:variant>
        <vt:i4>0</vt:i4>
      </vt:variant>
      <vt:variant>
        <vt:i4>5</vt:i4>
      </vt:variant>
      <vt:variant>
        <vt:lpwstr/>
      </vt:variant>
      <vt:variant>
        <vt:lpwstr>_Toc362260311</vt:lpwstr>
      </vt:variant>
      <vt:variant>
        <vt:i4>1179700</vt:i4>
      </vt:variant>
      <vt:variant>
        <vt:i4>197</vt:i4>
      </vt:variant>
      <vt:variant>
        <vt:i4>0</vt:i4>
      </vt:variant>
      <vt:variant>
        <vt:i4>5</vt:i4>
      </vt:variant>
      <vt:variant>
        <vt:lpwstr/>
      </vt:variant>
      <vt:variant>
        <vt:lpwstr>_Toc362260310</vt:lpwstr>
      </vt:variant>
      <vt:variant>
        <vt:i4>1245236</vt:i4>
      </vt:variant>
      <vt:variant>
        <vt:i4>191</vt:i4>
      </vt:variant>
      <vt:variant>
        <vt:i4>0</vt:i4>
      </vt:variant>
      <vt:variant>
        <vt:i4>5</vt:i4>
      </vt:variant>
      <vt:variant>
        <vt:lpwstr/>
      </vt:variant>
      <vt:variant>
        <vt:lpwstr>_Toc362260309</vt:lpwstr>
      </vt:variant>
      <vt:variant>
        <vt:i4>1245236</vt:i4>
      </vt:variant>
      <vt:variant>
        <vt:i4>185</vt:i4>
      </vt:variant>
      <vt:variant>
        <vt:i4>0</vt:i4>
      </vt:variant>
      <vt:variant>
        <vt:i4>5</vt:i4>
      </vt:variant>
      <vt:variant>
        <vt:lpwstr/>
      </vt:variant>
      <vt:variant>
        <vt:lpwstr>_Toc362260308</vt:lpwstr>
      </vt:variant>
      <vt:variant>
        <vt:i4>1245236</vt:i4>
      </vt:variant>
      <vt:variant>
        <vt:i4>179</vt:i4>
      </vt:variant>
      <vt:variant>
        <vt:i4>0</vt:i4>
      </vt:variant>
      <vt:variant>
        <vt:i4>5</vt:i4>
      </vt:variant>
      <vt:variant>
        <vt:lpwstr/>
      </vt:variant>
      <vt:variant>
        <vt:lpwstr>_Toc362260307</vt:lpwstr>
      </vt:variant>
      <vt:variant>
        <vt:i4>1245236</vt:i4>
      </vt:variant>
      <vt:variant>
        <vt:i4>173</vt:i4>
      </vt:variant>
      <vt:variant>
        <vt:i4>0</vt:i4>
      </vt:variant>
      <vt:variant>
        <vt:i4>5</vt:i4>
      </vt:variant>
      <vt:variant>
        <vt:lpwstr/>
      </vt:variant>
      <vt:variant>
        <vt:lpwstr>_Toc362260306</vt:lpwstr>
      </vt:variant>
      <vt:variant>
        <vt:i4>1245236</vt:i4>
      </vt:variant>
      <vt:variant>
        <vt:i4>167</vt:i4>
      </vt:variant>
      <vt:variant>
        <vt:i4>0</vt:i4>
      </vt:variant>
      <vt:variant>
        <vt:i4>5</vt:i4>
      </vt:variant>
      <vt:variant>
        <vt:lpwstr/>
      </vt:variant>
      <vt:variant>
        <vt:lpwstr>_Toc362260305</vt:lpwstr>
      </vt:variant>
      <vt:variant>
        <vt:i4>1245236</vt:i4>
      </vt:variant>
      <vt:variant>
        <vt:i4>164</vt:i4>
      </vt:variant>
      <vt:variant>
        <vt:i4>0</vt:i4>
      </vt:variant>
      <vt:variant>
        <vt:i4>5</vt:i4>
      </vt:variant>
      <vt:variant>
        <vt:lpwstr/>
      </vt:variant>
      <vt:variant>
        <vt:lpwstr>_Toc362260303</vt:lpwstr>
      </vt:variant>
      <vt:variant>
        <vt:i4>1245236</vt:i4>
      </vt:variant>
      <vt:variant>
        <vt:i4>158</vt:i4>
      </vt:variant>
      <vt:variant>
        <vt:i4>0</vt:i4>
      </vt:variant>
      <vt:variant>
        <vt:i4>5</vt:i4>
      </vt:variant>
      <vt:variant>
        <vt:lpwstr/>
      </vt:variant>
      <vt:variant>
        <vt:lpwstr>_Toc362260304</vt:lpwstr>
      </vt:variant>
      <vt:variant>
        <vt:i4>1245236</vt:i4>
      </vt:variant>
      <vt:variant>
        <vt:i4>152</vt:i4>
      </vt:variant>
      <vt:variant>
        <vt:i4>0</vt:i4>
      </vt:variant>
      <vt:variant>
        <vt:i4>5</vt:i4>
      </vt:variant>
      <vt:variant>
        <vt:lpwstr/>
      </vt:variant>
      <vt:variant>
        <vt:lpwstr>_Toc362260302</vt:lpwstr>
      </vt:variant>
      <vt:variant>
        <vt:i4>1245236</vt:i4>
      </vt:variant>
      <vt:variant>
        <vt:i4>146</vt:i4>
      </vt:variant>
      <vt:variant>
        <vt:i4>0</vt:i4>
      </vt:variant>
      <vt:variant>
        <vt:i4>5</vt:i4>
      </vt:variant>
      <vt:variant>
        <vt:lpwstr/>
      </vt:variant>
      <vt:variant>
        <vt:lpwstr>_Toc362260301</vt:lpwstr>
      </vt:variant>
      <vt:variant>
        <vt:i4>1245236</vt:i4>
      </vt:variant>
      <vt:variant>
        <vt:i4>140</vt:i4>
      </vt:variant>
      <vt:variant>
        <vt:i4>0</vt:i4>
      </vt:variant>
      <vt:variant>
        <vt:i4>5</vt:i4>
      </vt:variant>
      <vt:variant>
        <vt:lpwstr/>
      </vt:variant>
      <vt:variant>
        <vt:lpwstr>_Toc362260300</vt:lpwstr>
      </vt:variant>
      <vt:variant>
        <vt:i4>1703989</vt:i4>
      </vt:variant>
      <vt:variant>
        <vt:i4>134</vt:i4>
      </vt:variant>
      <vt:variant>
        <vt:i4>0</vt:i4>
      </vt:variant>
      <vt:variant>
        <vt:i4>5</vt:i4>
      </vt:variant>
      <vt:variant>
        <vt:lpwstr/>
      </vt:variant>
      <vt:variant>
        <vt:lpwstr>_Toc362260299</vt:lpwstr>
      </vt:variant>
      <vt:variant>
        <vt:i4>1703989</vt:i4>
      </vt:variant>
      <vt:variant>
        <vt:i4>128</vt:i4>
      </vt:variant>
      <vt:variant>
        <vt:i4>0</vt:i4>
      </vt:variant>
      <vt:variant>
        <vt:i4>5</vt:i4>
      </vt:variant>
      <vt:variant>
        <vt:lpwstr/>
      </vt:variant>
      <vt:variant>
        <vt:lpwstr>_Toc362260298</vt:lpwstr>
      </vt:variant>
      <vt:variant>
        <vt:i4>1703989</vt:i4>
      </vt:variant>
      <vt:variant>
        <vt:i4>122</vt:i4>
      </vt:variant>
      <vt:variant>
        <vt:i4>0</vt:i4>
      </vt:variant>
      <vt:variant>
        <vt:i4>5</vt:i4>
      </vt:variant>
      <vt:variant>
        <vt:lpwstr/>
      </vt:variant>
      <vt:variant>
        <vt:lpwstr>_Toc362260297</vt:lpwstr>
      </vt:variant>
      <vt:variant>
        <vt:i4>1703989</vt:i4>
      </vt:variant>
      <vt:variant>
        <vt:i4>116</vt:i4>
      </vt:variant>
      <vt:variant>
        <vt:i4>0</vt:i4>
      </vt:variant>
      <vt:variant>
        <vt:i4>5</vt:i4>
      </vt:variant>
      <vt:variant>
        <vt:lpwstr/>
      </vt:variant>
      <vt:variant>
        <vt:lpwstr>_Toc362260296</vt:lpwstr>
      </vt:variant>
      <vt:variant>
        <vt:i4>1703989</vt:i4>
      </vt:variant>
      <vt:variant>
        <vt:i4>110</vt:i4>
      </vt:variant>
      <vt:variant>
        <vt:i4>0</vt:i4>
      </vt:variant>
      <vt:variant>
        <vt:i4>5</vt:i4>
      </vt:variant>
      <vt:variant>
        <vt:lpwstr/>
      </vt:variant>
      <vt:variant>
        <vt:lpwstr>_Toc362260295</vt:lpwstr>
      </vt:variant>
      <vt:variant>
        <vt:i4>1703989</vt:i4>
      </vt:variant>
      <vt:variant>
        <vt:i4>104</vt:i4>
      </vt:variant>
      <vt:variant>
        <vt:i4>0</vt:i4>
      </vt:variant>
      <vt:variant>
        <vt:i4>5</vt:i4>
      </vt:variant>
      <vt:variant>
        <vt:lpwstr/>
      </vt:variant>
      <vt:variant>
        <vt:lpwstr>_Toc362260294</vt:lpwstr>
      </vt:variant>
      <vt:variant>
        <vt:i4>1703989</vt:i4>
      </vt:variant>
      <vt:variant>
        <vt:i4>98</vt:i4>
      </vt:variant>
      <vt:variant>
        <vt:i4>0</vt:i4>
      </vt:variant>
      <vt:variant>
        <vt:i4>5</vt:i4>
      </vt:variant>
      <vt:variant>
        <vt:lpwstr/>
      </vt:variant>
      <vt:variant>
        <vt:lpwstr>_Toc362260293</vt:lpwstr>
      </vt:variant>
      <vt:variant>
        <vt:i4>1703989</vt:i4>
      </vt:variant>
      <vt:variant>
        <vt:i4>92</vt:i4>
      </vt:variant>
      <vt:variant>
        <vt:i4>0</vt:i4>
      </vt:variant>
      <vt:variant>
        <vt:i4>5</vt:i4>
      </vt:variant>
      <vt:variant>
        <vt:lpwstr/>
      </vt:variant>
      <vt:variant>
        <vt:lpwstr>_Toc362260292</vt:lpwstr>
      </vt:variant>
      <vt:variant>
        <vt:i4>1703989</vt:i4>
      </vt:variant>
      <vt:variant>
        <vt:i4>86</vt:i4>
      </vt:variant>
      <vt:variant>
        <vt:i4>0</vt:i4>
      </vt:variant>
      <vt:variant>
        <vt:i4>5</vt:i4>
      </vt:variant>
      <vt:variant>
        <vt:lpwstr/>
      </vt:variant>
      <vt:variant>
        <vt:lpwstr>_Toc362260291</vt:lpwstr>
      </vt:variant>
      <vt:variant>
        <vt:i4>1703989</vt:i4>
      </vt:variant>
      <vt:variant>
        <vt:i4>80</vt:i4>
      </vt:variant>
      <vt:variant>
        <vt:i4>0</vt:i4>
      </vt:variant>
      <vt:variant>
        <vt:i4>5</vt:i4>
      </vt:variant>
      <vt:variant>
        <vt:lpwstr/>
      </vt:variant>
      <vt:variant>
        <vt:lpwstr>_Toc362260290</vt:lpwstr>
      </vt:variant>
      <vt:variant>
        <vt:i4>1769525</vt:i4>
      </vt:variant>
      <vt:variant>
        <vt:i4>74</vt:i4>
      </vt:variant>
      <vt:variant>
        <vt:i4>0</vt:i4>
      </vt:variant>
      <vt:variant>
        <vt:i4>5</vt:i4>
      </vt:variant>
      <vt:variant>
        <vt:lpwstr/>
      </vt:variant>
      <vt:variant>
        <vt:lpwstr>_Toc362260289</vt:lpwstr>
      </vt:variant>
      <vt:variant>
        <vt:i4>1769525</vt:i4>
      </vt:variant>
      <vt:variant>
        <vt:i4>68</vt:i4>
      </vt:variant>
      <vt:variant>
        <vt:i4>0</vt:i4>
      </vt:variant>
      <vt:variant>
        <vt:i4>5</vt:i4>
      </vt:variant>
      <vt:variant>
        <vt:lpwstr/>
      </vt:variant>
      <vt:variant>
        <vt:lpwstr>_Toc362260288</vt:lpwstr>
      </vt:variant>
      <vt:variant>
        <vt:i4>1769525</vt:i4>
      </vt:variant>
      <vt:variant>
        <vt:i4>62</vt:i4>
      </vt:variant>
      <vt:variant>
        <vt:i4>0</vt:i4>
      </vt:variant>
      <vt:variant>
        <vt:i4>5</vt:i4>
      </vt:variant>
      <vt:variant>
        <vt:lpwstr/>
      </vt:variant>
      <vt:variant>
        <vt:lpwstr>_Toc362260287</vt:lpwstr>
      </vt:variant>
      <vt:variant>
        <vt:i4>1769525</vt:i4>
      </vt:variant>
      <vt:variant>
        <vt:i4>56</vt:i4>
      </vt:variant>
      <vt:variant>
        <vt:i4>0</vt:i4>
      </vt:variant>
      <vt:variant>
        <vt:i4>5</vt:i4>
      </vt:variant>
      <vt:variant>
        <vt:lpwstr/>
      </vt:variant>
      <vt:variant>
        <vt:lpwstr>_Toc362260286</vt:lpwstr>
      </vt:variant>
      <vt:variant>
        <vt:i4>1769525</vt:i4>
      </vt:variant>
      <vt:variant>
        <vt:i4>50</vt:i4>
      </vt:variant>
      <vt:variant>
        <vt:i4>0</vt:i4>
      </vt:variant>
      <vt:variant>
        <vt:i4>5</vt:i4>
      </vt:variant>
      <vt:variant>
        <vt:lpwstr/>
      </vt:variant>
      <vt:variant>
        <vt:lpwstr>_Toc362260285</vt:lpwstr>
      </vt:variant>
      <vt:variant>
        <vt:i4>1769525</vt:i4>
      </vt:variant>
      <vt:variant>
        <vt:i4>44</vt:i4>
      </vt:variant>
      <vt:variant>
        <vt:i4>0</vt:i4>
      </vt:variant>
      <vt:variant>
        <vt:i4>5</vt:i4>
      </vt:variant>
      <vt:variant>
        <vt:lpwstr/>
      </vt:variant>
      <vt:variant>
        <vt:lpwstr>_Toc362260284</vt:lpwstr>
      </vt:variant>
      <vt:variant>
        <vt:i4>1769525</vt:i4>
      </vt:variant>
      <vt:variant>
        <vt:i4>38</vt:i4>
      </vt:variant>
      <vt:variant>
        <vt:i4>0</vt:i4>
      </vt:variant>
      <vt:variant>
        <vt:i4>5</vt:i4>
      </vt:variant>
      <vt:variant>
        <vt:lpwstr/>
      </vt:variant>
      <vt:variant>
        <vt:lpwstr>_Toc362260283</vt:lpwstr>
      </vt:variant>
      <vt:variant>
        <vt:i4>1769525</vt:i4>
      </vt:variant>
      <vt:variant>
        <vt:i4>32</vt:i4>
      </vt:variant>
      <vt:variant>
        <vt:i4>0</vt:i4>
      </vt:variant>
      <vt:variant>
        <vt:i4>5</vt:i4>
      </vt:variant>
      <vt:variant>
        <vt:lpwstr/>
      </vt:variant>
      <vt:variant>
        <vt:lpwstr>_Toc362260282</vt:lpwstr>
      </vt:variant>
      <vt:variant>
        <vt:i4>1769525</vt:i4>
      </vt:variant>
      <vt:variant>
        <vt:i4>26</vt:i4>
      </vt:variant>
      <vt:variant>
        <vt:i4>0</vt:i4>
      </vt:variant>
      <vt:variant>
        <vt:i4>5</vt:i4>
      </vt:variant>
      <vt:variant>
        <vt:lpwstr/>
      </vt:variant>
      <vt:variant>
        <vt:lpwstr>_Toc362260281</vt:lpwstr>
      </vt:variant>
      <vt:variant>
        <vt:i4>1769525</vt:i4>
      </vt:variant>
      <vt:variant>
        <vt:i4>20</vt:i4>
      </vt:variant>
      <vt:variant>
        <vt:i4>0</vt:i4>
      </vt:variant>
      <vt:variant>
        <vt:i4>5</vt:i4>
      </vt:variant>
      <vt:variant>
        <vt:lpwstr/>
      </vt:variant>
      <vt:variant>
        <vt:lpwstr>_Toc362260280</vt:lpwstr>
      </vt:variant>
      <vt:variant>
        <vt:i4>1310773</vt:i4>
      </vt:variant>
      <vt:variant>
        <vt:i4>14</vt:i4>
      </vt:variant>
      <vt:variant>
        <vt:i4>0</vt:i4>
      </vt:variant>
      <vt:variant>
        <vt:i4>5</vt:i4>
      </vt:variant>
      <vt:variant>
        <vt:lpwstr/>
      </vt:variant>
      <vt:variant>
        <vt:lpwstr>_Toc362260279</vt:lpwstr>
      </vt:variant>
      <vt:variant>
        <vt:i4>1310773</vt:i4>
      </vt:variant>
      <vt:variant>
        <vt:i4>8</vt:i4>
      </vt:variant>
      <vt:variant>
        <vt:i4>0</vt:i4>
      </vt:variant>
      <vt:variant>
        <vt:i4>5</vt:i4>
      </vt:variant>
      <vt:variant>
        <vt:lpwstr/>
      </vt:variant>
      <vt:variant>
        <vt:lpwstr>_Toc362260278</vt:lpwstr>
      </vt:variant>
      <vt:variant>
        <vt:i4>1310773</vt:i4>
      </vt:variant>
      <vt:variant>
        <vt:i4>2</vt:i4>
      </vt:variant>
      <vt:variant>
        <vt:i4>0</vt:i4>
      </vt:variant>
      <vt:variant>
        <vt:i4>5</vt:i4>
      </vt:variant>
      <vt:variant>
        <vt:lpwstr/>
      </vt:variant>
      <vt:variant>
        <vt:lpwstr>_Toc362260277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NPAAC template</dc:title>
  <dc:creator>Biotext</dc:creator>
  <cp:lastModifiedBy>Johns Madeleine</cp:lastModifiedBy>
  <cp:revision>4</cp:revision>
  <cp:lastPrinted>2013-07-29T06:26:00Z</cp:lastPrinted>
  <dcterms:created xsi:type="dcterms:W3CDTF">2013-09-05T23:44:00Z</dcterms:created>
  <dcterms:modified xsi:type="dcterms:W3CDTF">2013-11-22T03:58:00Z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