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4F248" w14:textId="7FF11A13" w:rsidR="00B160EF" w:rsidRPr="00DD7416" w:rsidRDefault="00824B99" w:rsidP="00DA5299">
      <w:pPr>
        <w:pStyle w:val="Heading1"/>
        <w:ind w:left="720" w:hanging="72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49B0F022">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380D868F"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0B2EB2">
        <w:rPr>
          <w:rFonts w:ascii="Garamond" w:hAnsi="Garamond"/>
          <w:color w:val="000000" w:themeColor="text1"/>
          <w:lang w:val="en-AU"/>
        </w:rPr>
        <w:t>57</w:t>
      </w:r>
      <w:r w:rsidR="00FD32CF">
        <w:rPr>
          <w:rFonts w:ascii="Garamond" w:hAnsi="Garamond"/>
          <w:color w:val="000000" w:themeColor="text1"/>
          <w:lang w:val="en-AU"/>
        </w:rPr>
        <w:t>5</w:t>
      </w:r>
    </w:p>
    <w:p w14:paraId="6D81A6EC" w14:textId="064A9155" w:rsidR="00755242" w:rsidRDefault="00884F6A" w:rsidP="00F738B5">
      <w:pPr>
        <w:rPr>
          <w:rFonts w:ascii="Garamond" w:hAnsi="Garamond"/>
          <w:lang w:val="en-AU"/>
        </w:rPr>
      </w:pPr>
      <w:r>
        <w:rPr>
          <w:rFonts w:ascii="Garamond" w:hAnsi="Garamond"/>
          <w:lang w:val="en-AU"/>
        </w:rPr>
        <w:t>1</w:t>
      </w:r>
      <w:r w:rsidR="00FD32CF">
        <w:rPr>
          <w:rFonts w:ascii="Garamond" w:hAnsi="Garamond"/>
          <w:lang w:val="en-AU"/>
        </w:rPr>
        <w:t>9</w:t>
      </w:r>
      <w:r w:rsidR="00E02472">
        <w:rPr>
          <w:rFonts w:ascii="Garamond" w:hAnsi="Garamond"/>
          <w:lang w:val="en-AU"/>
        </w:rPr>
        <w:t xml:space="preserve"> September</w:t>
      </w:r>
      <w:r w:rsidR="00BD267D">
        <w:rPr>
          <w:rFonts w:ascii="Garamond" w:hAnsi="Garamond"/>
          <w:lang w:val="en-AU"/>
        </w:rPr>
        <w:t xml:space="preserve">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002B3B" w14:textId="004206F8" w:rsidR="00B201BD"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14:paraId="00E913F8" w14:textId="6F1D5554" w:rsidR="00E82EAA" w:rsidRDefault="00E82EAA" w:rsidP="009525CC">
      <w:pPr>
        <w:rPr>
          <w:rFonts w:ascii="Garamond" w:hAnsi="Garamond"/>
          <w:bCs/>
          <w:lang w:val="en-AU"/>
        </w:rPr>
      </w:pPr>
    </w:p>
    <w:p w14:paraId="535F747F" w14:textId="10050514" w:rsidR="00DC0AB9" w:rsidRDefault="00DC0AB9" w:rsidP="009525CC">
      <w:pPr>
        <w:rPr>
          <w:rFonts w:ascii="Garamond" w:hAnsi="Garamond"/>
          <w:bCs/>
          <w:lang w:val="en-AU"/>
        </w:rPr>
      </w:pPr>
    </w:p>
    <w:p w14:paraId="387F14E9" w14:textId="01E1D3A5" w:rsidR="00FD32CF" w:rsidRDefault="00787495" w:rsidP="00E02472">
      <w:pPr>
        <w:keepNext/>
        <w:keepLines/>
        <w:autoSpaceDE w:val="0"/>
        <w:autoSpaceDN w:val="0"/>
        <w:adjustRightInd w:val="0"/>
        <w:rPr>
          <w:rFonts w:ascii="Garamond" w:hAnsi="Garamond"/>
          <w:b/>
          <w:lang w:val="en-AU"/>
        </w:rPr>
      </w:pPr>
      <w:r>
        <w:rPr>
          <w:rFonts w:ascii="Garamond" w:hAnsi="Garamond"/>
          <w:b/>
          <w:lang w:val="en-AU"/>
        </w:rPr>
        <w:t>R</w:t>
      </w:r>
      <w:r w:rsidR="00FD32CF">
        <w:rPr>
          <w:rFonts w:ascii="Garamond" w:hAnsi="Garamond"/>
          <w:b/>
          <w:lang w:val="en-AU"/>
        </w:rPr>
        <w:t>eports</w:t>
      </w:r>
    </w:p>
    <w:p w14:paraId="34480E2B" w14:textId="3DD56077" w:rsidR="00FD32CF" w:rsidRDefault="00FD32CF" w:rsidP="00FD32CF">
      <w:pPr>
        <w:keepNext/>
        <w:keepLines/>
        <w:autoSpaceDE w:val="0"/>
        <w:autoSpaceDN w:val="0"/>
        <w:adjustRightInd w:val="0"/>
        <w:rPr>
          <w:rFonts w:ascii="Garamond" w:hAnsi="Garamond"/>
          <w:lang w:val="en-AU"/>
        </w:rPr>
      </w:pPr>
    </w:p>
    <w:p w14:paraId="63D68C2C" w14:textId="77777777" w:rsidR="00845E5D" w:rsidRPr="00845E5D" w:rsidRDefault="00845E5D" w:rsidP="00845E5D">
      <w:pPr>
        <w:keepNext/>
        <w:keepLines/>
        <w:autoSpaceDE w:val="0"/>
        <w:autoSpaceDN w:val="0"/>
        <w:adjustRightInd w:val="0"/>
        <w:rPr>
          <w:rFonts w:ascii="Garamond" w:hAnsi="Garamond"/>
          <w:i/>
          <w:iCs/>
          <w:lang w:val="en-AU"/>
        </w:rPr>
      </w:pPr>
      <w:r w:rsidRPr="00845E5D">
        <w:rPr>
          <w:rFonts w:ascii="Garamond" w:hAnsi="Garamond"/>
          <w:i/>
          <w:iCs/>
          <w:lang w:val="en-AU"/>
        </w:rPr>
        <w:t>Nurse and midwife staffing models</w:t>
      </w:r>
    </w:p>
    <w:p w14:paraId="568294A9" w14:textId="136D4B53" w:rsidR="00845E5D" w:rsidRDefault="00845E5D" w:rsidP="00845E5D">
      <w:pPr>
        <w:keepNext/>
        <w:keepLines/>
        <w:autoSpaceDE w:val="0"/>
        <w:autoSpaceDN w:val="0"/>
        <w:adjustRightInd w:val="0"/>
        <w:rPr>
          <w:rFonts w:ascii="Garamond" w:hAnsi="Garamond"/>
          <w:lang w:val="en-AU"/>
        </w:rPr>
      </w:pPr>
      <w:r w:rsidRPr="00845E5D">
        <w:rPr>
          <w:rFonts w:ascii="Garamond" w:hAnsi="Garamond"/>
          <w:lang w:val="en-AU"/>
        </w:rPr>
        <w:t>e-brief Issue 2/2022</w:t>
      </w:r>
    </w:p>
    <w:p w14:paraId="773632E7" w14:textId="77777777" w:rsidR="00845E5D" w:rsidRDefault="00845E5D" w:rsidP="00FD32CF">
      <w:pPr>
        <w:keepNext/>
        <w:keepLines/>
        <w:autoSpaceDE w:val="0"/>
        <w:autoSpaceDN w:val="0"/>
        <w:adjustRightInd w:val="0"/>
        <w:rPr>
          <w:rFonts w:ascii="Garamond" w:hAnsi="Garamond"/>
          <w:lang w:val="en-AU"/>
        </w:rPr>
      </w:pPr>
      <w:r w:rsidRPr="00845E5D">
        <w:rPr>
          <w:rFonts w:ascii="Garamond" w:hAnsi="Garamond"/>
          <w:lang w:val="en-AU"/>
        </w:rPr>
        <w:t>Gotsis T</w:t>
      </w:r>
    </w:p>
    <w:p w14:paraId="3DE290B8" w14:textId="1AFDBDE8" w:rsidR="00FD32CF" w:rsidRDefault="00845E5D" w:rsidP="00FD32CF">
      <w:pPr>
        <w:keepNext/>
        <w:keepLines/>
        <w:autoSpaceDE w:val="0"/>
        <w:autoSpaceDN w:val="0"/>
        <w:adjustRightInd w:val="0"/>
        <w:rPr>
          <w:rFonts w:ascii="Garamond" w:hAnsi="Garamond"/>
          <w:lang w:val="en-AU"/>
        </w:rPr>
      </w:pPr>
      <w:r w:rsidRPr="00845E5D">
        <w:rPr>
          <w:rFonts w:ascii="Garamond" w:hAnsi="Garamond"/>
          <w:lang w:val="en-AU"/>
        </w:rPr>
        <w:t>Sydney: NSW Parliamentary Research Service; 2022. p. 30.</w:t>
      </w:r>
    </w:p>
    <w:tbl>
      <w:tblPr>
        <w:tblStyle w:val="TableGrid"/>
        <w:tblW w:w="9360" w:type="dxa"/>
        <w:tblInd w:w="288" w:type="dxa"/>
        <w:tblLayout w:type="fixed"/>
        <w:tblLook w:val="01E0" w:firstRow="1" w:lastRow="1" w:firstColumn="1" w:lastColumn="1" w:noHBand="0" w:noVBand="0"/>
      </w:tblPr>
      <w:tblGrid>
        <w:gridCol w:w="1080"/>
        <w:gridCol w:w="8280"/>
      </w:tblGrid>
      <w:tr w:rsidR="00FD32CF" w:rsidRPr="00E37911" w14:paraId="55D3DF0E" w14:textId="77777777" w:rsidTr="00C87A7F">
        <w:tc>
          <w:tcPr>
            <w:tcW w:w="1080" w:type="dxa"/>
            <w:tcBorders>
              <w:top w:val="single" w:sz="4" w:space="0" w:color="auto"/>
              <w:left w:val="single" w:sz="4" w:space="0" w:color="auto"/>
              <w:bottom w:val="single" w:sz="4" w:space="0" w:color="auto"/>
              <w:right w:val="single" w:sz="4" w:space="0" w:color="auto"/>
            </w:tcBorders>
            <w:vAlign w:val="center"/>
          </w:tcPr>
          <w:p w14:paraId="4B546535" w14:textId="5C6D8506" w:rsidR="00FD32CF" w:rsidRPr="00E37911" w:rsidRDefault="001B5298" w:rsidP="00C87A7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FBB7712" w14:textId="20BDF106" w:rsidR="00FD32CF" w:rsidRPr="00E37911" w:rsidRDefault="00E86570" w:rsidP="00C87A7F">
            <w:pPr>
              <w:rPr>
                <w:rStyle w:val="Hyperlink"/>
                <w:rFonts w:ascii="Garamond" w:hAnsi="Garamond"/>
                <w:color w:val="auto"/>
                <w:u w:val="none"/>
                <w:lang w:val="en-AU"/>
              </w:rPr>
            </w:pPr>
            <w:hyperlink r:id="rId15" w:history="1">
              <w:r w:rsidR="00845E5D" w:rsidRPr="00BC35C4">
                <w:rPr>
                  <w:rStyle w:val="Hyperlink"/>
                  <w:rFonts w:ascii="Garamond" w:hAnsi="Garamond"/>
                  <w:lang w:val="en-AU"/>
                </w:rPr>
                <w:t>https://www.parliament.nsw.gov.au/researchpapers/Pages/Nurse-and-midwife-staffing-models.aspx</w:t>
              </w:r>
            </w:hyperlink>
          </w:p>
        </w:tc>
      </w:tr>
      <w:tr w:rsidR="00FD32CF" w:rsidRPr="00E37911" w14:paraId="58805275" w14:textId="77777777" w:rsidTr="00C87A7F">
        <w:tc>
          <w:tcPr>
            <w:tcW w:w="1080" w:type="dxa"/>
            <w:tcBorders>
              <w:top w:val="single" w:sz="4" w:space="0" w:color="auto"/>
              <w:left w:val="single" w:sz="4" w:space="0" w:color="auto"/>
              <w:bottom w:val="single" w:sz="4" w:space="0" w:color="auto"/>
              <w:right w:val="single" w:sz="4" w:space="0" w:color="auto"/>
            </w:tcBorders>
            <w:vAlign w:val="center"/>
          </w:tcPr>
          <w:p w14:paraId="3C20FD1E" w14:textId="77777777" w:rsidR="00FD32CF" w:rsidRPr="00E37911" w:rsidRDefault="00FD32CF" w:rsidP="00C87A7F">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89B4A5A" w14:textId="08D8A98D" w:rsidR="00FD32CF" w:rsidRPr="00031154" w:rsidRDefault="00845E5D" w:rsidP="00845E5D">
            <w:pPr>
              <w:rPr>
                <w:rFonts w:ascii="Garamond" w:hAnsi="Garamond"/>
                <w:lang w:val="en-AU"/>
              </w:rPr>
            </w:pPr>
            <w:r>
              <w:rPr>
                <w:rFonts w:ascii="Garamond" w:hAnsi="Garamond"/>
                <w:lang w:val="en-AU"/>
              </w:rPr>
              <w:t xml:space="preserve">Research paper from the NSW </w:t>
            </w:r>
            <w:r w:rsidRPr="00845E5D">
              <w:rPr>
                <w:rFonts w:ascii="Garamond" w:hAnsi="Garamond"/>
                <w:lang w:val="en-AU"/>
              </w:rPr>
              <w:t>Parliamentary Research Service</w:t>
            </w:r>
            <w:r>
              <w:rPr>
                <w:rFonts w:ascii="Garamond" w:hAnsi="Garamond"/>
                <w:lang w:val="en-AU"/>
              </w:rPr>
              <w:t xml:space="preserve"> summarising the issue of n</w:t>
            </w:r>
            <w:r w:rsidRPr="00845E5D">
              <w:rPr>
                <w:rFonts w:ascii="Garamond" w:hAnsi="Garamond"/>
                <w:lang w:val="en-AU"/>
              </w:rPr>
              <w:t>urse and midwife staffing models</w:t>
            </w:r>
            <w:r>
              <w:rPr>
                <w:rFonts w:ascii="Garamond" w:hAnsi="Garamond"/>
                <w:lang w:val="en-AU"/>
              </w:rPr>
              <w:t xml:space="preserve"> in Australia. </w:t>
            </w:r>
            <w:r w:rsidRPr="00845E5D">
              <w:rPr>
                <w:rFonts w:ascii="Garamond" w:hAnsi="Garamond"/>
                <w:lang w:val="en-AU"/>
              </w:rPr>
              <w:t xml:space="preserve">This e-brief sets out the main features of legislated ratios and Nursing Hours Per Patient Day </w:t>
            </w:r>
            <w:r>
              <w:rPr>
                <w:rFonts w:ascii="Garamond" w:hAnsi="Garamond"/>
                <w:lang w:val="en-AU"/>
              </w:rPr>
              <w:t>(</w:t>
            </w:r>
            <w:r w:rsidRPr="00845E5D">
              <w:rPr>
                <w:rFonts w:ascii="Garamond" w:hAnsi="Garamond"/>
                <w:lang w:val="en-AU"/>
              </w:rPr>
              <w:t>NHPPDs</w:t>
            </w:r>
            <w:r>
              <w:rPr>
                <w:rFonts w:ascii="Garamond" w:hAnsi="Garamond"/>
                <w:lang w:val="en-AU"/>
              </w:rPr>
              <w:t>)</w:t>
            </w:r>
            <w:r w:rsidRPr="00845E5D">
              <w:rPr>
                <w:rFonts w:ascii="Garamond" w:hAnsi="Garamond"/>
                <w:lang w:val="en-AU"/>
              </w:rPr>
              <w:t xml:space="preserve">, and the </w:t>
            </w:r>
            <w:proofErr w:type="gramStart"/>
            <w:r w:rsidRPr="00845E5D">
              <w:rPr>
                <w:rFonts w:ascii="Garamond" w:hAnsi="Garamond"/>
                <w:lang w:val="en-AU"/>
              </w:rPr>
              <w:t>manner in which</w:t>
            </w:r>
            <w:proofErr w:type="gramEnd"/>
            <w:r w:rsidRPr="00845E5D">
              <w:rPr>
                <w:rFonts w:ascii="Garamond" w:hAnsi="Garamond"/>
                <w:lang w:val="en-AU"/>
              </w:rPr>
              <w:t xml:space="preserve"> they are applied. It shows where in Australia each model is used and notes that in many States and Territories the NHPPD model is being actively reviewed.</w:t>
            </w:r>
            <w:r>
              <w:rPr>
                <w:rFonts w:ascii="Garamond" w:hAnsi="Garamond"/>
                <w:lang w:val="en-AU"/>
              </w:rPr>
              <w:t xml:space="preserve"> The brief observes that ‘</w:t>
            </w:r>
            <w:r w:rsidRPr="00845E5D">
              <w:rPr>
                <w:rFonts w:ascii="Garamond" w:hAnsi="Garamond"/>
                <w:lang w:val="en-AU"/>
              </w:rPr>
              <w:t>There is a substantial and growing body of research about the association between nurse/midwife staffing levels and patient outcomes. Overall, this</w:t>
            </w:r>
            <w:r>
              <w:rPr>
                <w:rFonts w:ascii="Garamond" w:hAnsi="Garamond"/>
                <w:lang w:val="en-AU"/>
              </w:rPr>
              <w:t xml:space="preserve"> </w:t>
            </w:r>
            <w:r w:rsidRPr="00845E5D">
              <w:rPr>
                <w:rFonts w:ascii="Garamond" w:hAnsi="Garamond"/>
                <w:lang w:val="en-AU"/>
              </w:rPr>
              <w:t xml:space="preserve">research indicates that low nurse/midwife staffing levels are associated with poor patient outcomes and adverse hospital </w:t>
            </w:r>
            <w:proofErr w:type="gramStart"/>
            <w:r w:rsidRPr="00845E5D">
              <w:rPr>
                <w:rFonts w:ascii="Garamond" w:hAnsi="Garamond"/>
                <w:lang w:val="en-AU"/>
              </w:rPr>
              <w:t>events</w:t>
            </w:r>
            <w:r>
              <w:rPr>
                <w:rFonts w:ascii="Garamond" w:hAnsi="Garamond"/>
                <w:lang w:val="en-AU"/>
              </w:rPr>
              <w:t>’</w:t>
            </w:r>
            <w:proofErr w:type="gramEnd"/>
            <w:r>
              <w:rPr>
                <w:rFonts w:ascii="Garamond" w:hAnsi="Garamond"/>
                <w:lang w:val="en-AU"/>
              </w:rPr>
              <w:t>.</w:t>
            </w:r>
          </w:p>
        </w:tc>
      </w:tr>
    </w:tbl>
    <w:p w14:paraId="604EB9F1" w14:textId="07E35D4D" w:rsidR="00E02472" w:rsidRDefault="00E02472" w:rsidP="00E02472">
      <w:pPr>
        <w:keepNext/>
        <w:keepLines/>
        <w:autoSpaceDE w:val="0"/>
        <w:autoSpaceDN w:val="0"/>
        <w:adjustRightInd w:val="0"/>
        <w:rPr>
          <w:rFonts w:ascii="Garamond" w:hAnsi="Garamond"/>
          <w:b/>
          <w:lang w:val="en-AU"/>
        </w:rPr>
      </w:pPr>
      <w:r>
        <w:rPr>
          <w:rFonts w:ascii="Garamond" w:hAnsi="Garamond"/>
          <w:b/>
          <w:lang w:val="en-AU"/>
        </w:rPr>
        <w:lastRenderedPageBreak/>
        <w:t>Journal articles</w:t>
      </w:r>
    </w:p>
    <w:p w14:paraId="47402EF0" w14:textId="77777777" w:rsidR="00E02472" w:rsidRDefault="00E02472" w:rsidP="00E02472">
      <w:pPr>
        <w:keepLines/>
        <w:autoSpaceDE w:val="0"/>
        <w:autoSpaceDN w:val="0"/>
        <w:adjustRightInd w:val="0"/>
        <w:rPr>
          <w:rFonts w:ascii="Garamond" w:hAnsi="Garamond"/>
          <w:lang w:val="en-AU"/>
        </w:rPr>
      </w:pPr>
    </w:p>
    <w:p w14:paraId="5E1B6158" w14:textId="43A5EFEF" w:rsidR="009F0D6C" w:rsidRPr="00E9040B" w:rsidRDefault="00E9040B" w:rsidP="00E02472">
      <w:pPr>
        <w:keepNext/>
        <w:keepLines/>
        <w:autoSpaceDE w:val="0"/>
        <w:autoSpaceDN w:val="0"/>
        <w:adjustRightInd w:val="0"/>
        <w:rPr>
          <w:rFonts w:ascii="Garamond" w:hAnsi="Garamond"/>
          <w:i/>
          <w:iCs/>
          <w:lang w:val="en-AU"/>
        </w:rPr>
      </w:pPr>
      <w:r w:rsidRPr="00E9040B">
        <w:rPr>
          <w:rFonts w:ascii="Garamond" w:hAnsi="Garamond"/>
          <w:i/>
          <w:iCs/>
          <w:lang w:val="en-AU"/>
        </w:rPr>
        <w:t>Embedding pharmacists in residential aged care: Why it's important to integrate resident- and system-level services</w:t>
      </w:r>
    </w:p>
    <w:p w14:paraId="300FEDD2" w14:textId="77777777" w:rsidR="00E9040B" w:rsidRDefault="00E9040B" w:rsidP="00E02472">
      <w:pPr>
        <w:keepNext/>
        <w:keepLines/>
        <w:autoSpaceDE w:val="0"/>
        <w:autoSpaceDN w:val="0"/>
        <w:adjustRightInd w:val="0"/>
        <w:rPr>
          <w:rFonts w:ascii="Garamond" w:hAnsi="Garamond"/>
          <w:lang w:val="en-AU"/>
        </w:rPr>
      </w:pPr>
      <w:r w:rsidRPr="00E9040B">
        <w:rPr>
          <w:rFonts w:ascii="Garamond" w:hAnsi="Garamond"/>
          <w:lang w:val="en-AU"/>
        </w:rPr>
        <w:t>Cross AJ, La Caze A, Steeper M, Bell JS</w:t>
      </w:r>
    </w:p>
    <w:p w14:paraId="4FF277AB" w14:textId="2CAAD090" w:rsidR="00E9040B" w:rsidRDefault="00E9040B" w:rsidP="00E02472">
      <w:pPr>
        <w:keepNext/>
        <w:keepLines/>
        <w:autoSpaceDE w:val="0"/>
        <w:autoSpaceDN w:val="0"/>
        <w:adjustRightInd w:val="0"/>
        <w:rPr>
          <w:rFonts w:ascii="Garamond" w:hAnsi="Garamond"/>
          <w:lang w:val="en-AU"/>
        </w:rPr>
      </w:pPr>
      <w:r w:rsidRPr="00E9040B">
        <w:rPr>
          <w:rFonts w:ascii="Garamond" w:hAnsi="Garamond"/>
          <w:lang w:val="en-AU"/>
        </w:rPr>
        <w:t>Journal of Pharmacy Practice and Research. 2022;52(4):263-265.</w:t>
      </w:r>
    </w:p>
    <w:tbl>
      <w:tblPr>
        <w:tblStyle w:val="TableGrid"/>
        <w:tblW w:w="9360" w:type="dxa"/>
        <w:tblInd w:w="288" w:type="dxa"/>
        <w:tblLayout w:type="fixed"/>
        <w:tblLook w:val="01E0" w:firstRow="1" w:lastRow="1" w:firstColumn="1" w:lastColumn="1" w:noHBand="0" w:noVBand="0"/>
      </w:tblPr>
      <w:tblGrid>
        <w:gridCol w:w="1080"/>
        <w:gridCol w:w="8280"/>
      </w:tblGrid>
      <w:tr w:rsidR="00E02472" w:rsidRPr="00E37911" w14:paraId="1D7162E3"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5FF34BAC" w14:textId="77777777" w:rsidR="00E02472" w:rsidRPr="00E37911" w:rsidRDefault="00E02472" w:rsidP="00CF0FC6">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3AAE073" w14:textId="5EB649E3" w:rsidR="009F0D6C" w:rsidRPr="00E37911" w:rsidRDefault="00E86570" w:rsidP="00CF0FC6">
            <w:pPr>
              <w:rPr>
                <w:rStyle w:val="Hyperlink"/>
                <w:rFonts w:ascii="Garamond" w:hAnsi="Garamond"/>
                <w:color w:val="auto"/>
                <w:u w:val="none"/>
                <w:lang w:val="en-AU"/>
              </w:rPr>
            </w:pPr>
            <w:hyperlink r:id="rId16" w:history="1">
              <w:r w:rsidR="00E9040B" w:rsidRPr="008D2508">
                <w:rPr>
                  <w:rStyle w:val="Hyperlink"/>
                  <w:rFonts w:ascii="Garamond" w:hAnsi="Garamond"/>
                  <w:lang w:val="en-AU"/>
                </w:rPr>
                <w:t>https://doi.org/10.1002/jppr.1821</w:t>
              </w:r>
            </w:hyperlink>
          </w:p>
        </w:tc>
      </w:tr>
      <w:tr w:rsidR="00E02472" w:rsidRPr="00E37911" w14:paraId="2DFBA4FF"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21EB6067" w14:textId="77777777" w:rsidR="00E02472" w:rsidRPr="00E37911" w:rsidRDefault="00E02472" w:rsidP="00CF0FC6">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DE2343" w14:textId="4B7D4C3B" w:rsidR="004C6D85" w:rsidRPr="00031154" w:rsidRDefault="00E9040B" w:rsidP="00897B75">
            <w:pPr>
              <w:rPr>
                <w:rFonts w:ascii="Garamond" w:hAnsi="Garamond"/>
                <w:lang w:val="en-AU"/>
              </w:rPr>
            </w:pPr>
            <w:r>
              <w:rPr>
                <w:rFonts w:ascii="Garamond" w:hAnsi="Garamond"/>
                <w:lang w:val="en-AU"/>
              </w:rPr>
              <w:t xml:space="preserve">This editorial reflects on the </w:t>
            </w:r>
            <w:r w:rsidR="00C76DD9" w:rsidRPr="00C76DD9">
              <w:rPr>
                <w:rFonts w:ascii="Garamond" w:hAnsi="Garamond"/>
                <w:lang w:val="en-AU"/>
              </w:rPr>
              <w:t>Royal Commission into Aged Care Quality and Safety</w:t>
            </w:r>
            <w:r w:rsidR="00C76DD9">
              <w:rPr>
                <w:rFonts w:ascii="Garamond" w:hAnsi="Garamond"/>
                <w:lang w:val="en-AU"/>
              </w:rPr>
              <w:t xml:space="preserve"> and the many issues around medication usage in residential care. The authors ‘</w:t>
            </w:r>
            <w:r w:rsidR="00C76DD9" w:rsidRPr="00C76DD9">
              <w:rPr>
                <w:rFonts w:ascii="Garamond" w:hAnsi="Garamond"/>
                <w:lang w:val="en-AU"/>
              </w:rPr>
              <w:t>advocate for integrated resident- and system-level pharmacy services</w:t>
            </w:r>
            <w:r w:rsidR="00C76DD9">
              <w:rPr>
                <w:rFonts w:ascii="Garamond" w:hAnsi="Garamond"/>
                <w:lang w:val="en-AU"/>
              </w:rPr>
              <w:t>’ and see embedded pharmacists having a number of roles and functions, including ‘</w:t>
            </w:r>
            <w:r w:rsidR="00C76DD9" w:rsidRPr="00C76DD9">
              <w:rPr>
                <w:rFonts w:ascii="Garamond" w:hAnsi="Garamond"/>
                <w:lang w:val="en-AU"/>
              </w:rPr>
              <w:t>providing medication information and follow-up to residents and carers, medical practitioners, nurses, and care staff</w:t>
            </w:r>
            <w:r w:rsidR="00C76DD9">
              <w:rPr>
                <w:rFonts w:ascii="Garamond" w:hAnsi="Garamond"/>
                <w:lang w:val="en-AU"/>
              </w:rPr>
              <w:t>’, ‘’</w:t>
            </w:r>
            <w:r w:rsidR="00C76DD9" w:rsidRPr="00C76DD9">
              <w:rPr>
                <w:rFonts w:ascii="Garamond" w:hAnsi="Garamond"/>
                <w:lang w:val="en-AU"/>
              </w:rPr>
              <w:t>as knowledge brokers</w:t>
            </w:r>
            <w:r w:rsidR="00C76DD9">
              <w:rPr>
                <w:rFonts w:ascii="Garamond" w:hAnsi="Garamond"/>
                <w:lang w:val="en-AU"/>
              </w:rPr>
              <w:t>’ with roles “k</w:t>
            </w:r>
            <w:r w:rsidR="00C76DD9" w:rsidRPr="00C76DD9">
              <w:rPr>
                <w:rFonts w:ascii="Garamond" w:hAnsi="Garamond"/>
                <w:lang w:val="en-AU"/>
              </w:rPr>
              <w:t>nowledge manager</w:t>
            </w:r>
            <w:r w:rsidR="00C76DD9">
              <w:rPr>
                <w:rFonts w:ascii="Garamond" w:hAnsi="Garamond"/>
                <w:lang w:val="en-AU"/>
              </w:rPr>
              <w:t>”</w:t>
            </w:r>
            <w:r w:rsidR="00C76DD9" w:rsidRPr="00C76DD9">
              <w:rPr>
                <w:rFonts w:ascii="Garamond" w:hAnsi="Garamond"/>
                <w:lang w:val="en-AU"/>
              </w:rPr>
              <w:t xml:space="preserve"> (e.g. translate evidence-based guideline recommendations to local RACF policies and procedures), </w:t>
            </w:r>
            <w:r w:rsidR="00C76DD9">
              <w:rPr>
                <w:rFonts w:ascii="Garamond" w:hAnsi="Garamond"/>
                <w:lang w:val="en-AU"/>
              </w:rPr>
              <w:t>“</w:t>
            </w:r>
            <w:r w:rsidR="00C76DD9" w:rsidRPr="00C76DD9">
              <w:rPr>
                <w:rFonts w:ascii="Garamond" w:hAnsi="Garamond"/>
                <w:lang w:val="en-AU"/>
              </w:rPr>
              <w:t>linking agent</w:t>
            </w:r>
            <w:r w:rsidR="00C76DD9">
              <w:rPr>
                <w:rFonts w:ascii="Garamond" w:hAnsi="Garamond"/>
                <w:lang w:val="en-AU"/>
              </w:rPr>
              <w:t>”</w:t>
            </w:r>
            <w:r w:rsidR="00C76DD9" w:rsidRPr="00C76DD9">
              <w:rPr>
                <w:rFonts w:ascii="Garamond" w:hAnsi="Garamond"/>
                <w:lang w:val="en-AU"/>
              </w:rPr>
              <w:t xml:space="preserve"> (e.g. facilitate collaboration between all stakeholders in medication management), and </w:t>
            </w:r>
            <w:r w:rsidR="00C76DD9">
              <w:rPr>
                <w:rFonts w:ascii="Garamond" w:hAnsi="Garamond"/>
                <w:lang w:val="en-AU"/>
              </w:rPr>
              <w:t>“</w:t>
            </w:r>
            <w:r w:rsidR="00C76DD9" w:rsidRPr="00C76DD9">
              <w:rPr>
                <w:rFonts w:ascii="Garamond" w:hAnsi="Garamond"/>
                <w:lang w:val="en-AU"/>
              </w:rPr>
              <w:t>capacity builder</w:t>
            </w:r>
            <w:r w:rsidR="00C76DD9">
              <w:rPr>
                <w:rFonts w:ascii="Garamond" w:hAnsi="Garamond"/>
                <w:lang w:val="en-AU"/>
              </w:rPr>
              <w:t>”</w:t>
            </w:r>
            <w:r w:rsidR="00C76DD9" w:rsidRPr="00C76DD9">
              <w:rPr>
                <w:rFonts w:ascii="Garamond" w:hAnsi="Garamond"/>
                <w:lang w:val="en-AU"/>
              </w:rPr>
              <w:t xml:space="preserve"> (e.g. develop competencies related to quality use of medicines [QUM]</w:t>
            </w:r>
            <w:r w:rsidR="00C76DD9">
              <w:rPr>
                <w:rFonts w:ascii="Garamond" w:hAnsi="Garamond"/>
                <w:lang w:val="en-AU"/>
              </w:rPr>
              <w:t>’. They argue that there is ‘</w:t>
            </w:r>
            <w:r w:rsidR="00C76DD9" w:rsidRPr="00C76DD9">
              <w:rPr>
                <w:rFonts w:ascii="Garamond" w:hAnsi="Garamond"/>
                <w:lang w:val="en-AU"/>
              </w:rPr>
              <w:t>a responsibility to use this opportunity to elicit the real system-level changes needed to optimise medication management to the benefit of residents and carers.</w:t>
            </w:r>
            <w:r w:rsidR="00C76DD9">
              <w:rPr>
                <w:rFonts w:ascii="Garamond" w:hAnsi="Garamond"/>
                <w:lang w:val="en-AU"/>
              </w:rPr>
              <w:t>’</w:t>
            </w:r>
          </w:p>
        </w:tc>
      </w:tr>
    </w:tbl>
    <w:p w14:paraId="29F59471" w14:textId="5A6A98D1" w:rsidR="00E02472" w:rsidRDefault="00E02472" w:rsidP="00E02472">
      <w:pPr>
        <w:keepLines/>
        <w:autoSpaceDE w:val="0"/>
        <w:autoSpaceDN w:val="0"/>
        <w:adjustRightInd w:val="0"/>
        <w:rPr>
          <w:rFonts w:ascii="Garamond" w:hAnsi="Garamond"/>
          <w:lang w:val="en-AU"/>
        </w:rPr>
      </w:pPr>
    </w:p>
    <w:p w14:paraId="46755E25" w14:textId="6BD0F608" w:rsidR="00E9040B" w:rsidRDefault="00E9040B" w:rsidP="00E02472">
      <w:pPr>
        <w:keepLines/>
        <w:autoSpaceDE w:val="0"/>
        <w:autoSpaceDN w:val="0"/>
        <w:adjustRightInd w:val="0"/>
        <w:rPr>
          <w:rFonts w:ascii="Garamond" w:hAnsi="Garamond"/>
          <w:lang w:val="en-AU"/>
        </w:rPr>
      </w:pPr>
      <w:r w:rsidRPr="00CE64E3">
        <w:rPr>
          <w:rFonts w:ascii="Garamond" w:hAnsi="Garamond"/>
          <w:iCs/>
          <w:lang w:val="en-AU"/>
        </w:rPr>
        <w:t xml:space="preserve">For </w:t>
      </w:r>
      <w:r>
        <w:rPr>
          <w:rFonts w:ascii="Garamond" w:hAnsi="Garamond"/>
          <w:iCs/>
          <w:lang w:val="en-AU"/>
        </w:rPr>
        <w:t xml:space="preserve">information on the Commission’s work on </w:t>
      </w:r>
      <w:r w:rsidRPr="00E9040B">
        <w:rPr>
          <w:rFonts w:ascii="Garamond" w:hAnsi="Garamond"/>
          <w:lang w:val="en-AU"/>
        </w:rPr>
        <w:t>Aged Care Quality Standards – Clinical Care</w:t>
      </w:r>
      <w:r>
        <w:rPr>
          <w:rFonts w:ascii="Garamond" w:hAnsi="Garamond"/>
          <w:lang w:val="en-AU"/>
        </w:rPr>
        <w:t xml:space="preserve">, see </w:t>
      </w:r>
      <w:hyperlink r:id="rId17" w:history="1">
        <w:r w:rsidRPr="008D2508">
          <w:rPr>
            <w:rStyle w:val="Hyperlink"/>
            <w:rFonts w:ascii="Garamond" w:hAnsi="Garamond"/>
            <w:lang w:val="en-AU"/>
          </w:rPr>
          <w:t>https://www.safetyandquality.gov.au/standards/aged-care-quality-standards-clinical-care</w:t>
        </w:r>
      </w:hyperlink>
    </w:p>
    <w:p w14:paraId="3487C17E" w14:textId="77777777" w:rsidR="00E9040B" w:rsidRDefault="00E9040B" w:rsidP="00E02472">
      <w:pPr>
        <w:keepLines/>
        <w:autoSpaceDE w:val="0"/>
        <w:autoSpaceDN w:val="0"/>
        <w:adjustRightInd w:val="0"/>
        <w:rPr>
          <w:rFonts w:ascii="Garamond" w:hAnsi="Garamond"/>
          <w:lang w:val="en-AU"/>
        </w:rPr>
      </w:pPr>
    </w:p>
    <w:p w14:paraId="1DDB9C8F" w14:textId="7F30F503" w:rsidR="00E9040B" w:rsidRDefault="00E9040B" w:rsidP="00E02472">
      <w:pPr>
        <w:keepLines/>
        <w:autoSpaceDE w:val="0"/>
        <w:autoSpaceDN w:val="0"/>
        <w:adjustRightInd w:val="0"/>
        <w:rPr>
          <w:rFonts w:ascii="Garamond" w:hAnsi="Garamond"/>
          <w:lang w:val="en-AU"/>
        </w:rPr>
      </w:pPr>
      <w:r w:rsidRPr="00CE64E3">
        <w:rPr>
          <w:rFonts w:ascii="Garamond" w:hAnsi="Garamond"/>
          <w:iCs/>
          <w:lang w:val="en-AU"/>
        </w:rPr>
        <w:t xml:space="preserve">For </w:t>
      </w:r>
      <w:r>
        <w:rPr>
          <w:rFonts w:ascii="Garamond" w:hAnsi="Garamond"/>
          <w:iCs/>
          <w:lang w:val="en-AU"/>
        </w:rPr>
        <w:t xml:space="preserve">information on the Commission’s work on </w:t>
      </w:r>
      <w:r>
        <w:rPr>
          <w:rFonts w:ascii="Garamond" w:hAnsi="Garamond"/>
          <w:lang w:val="en-AU"/>
        </w:rPr>
        <w:t xml:space="preserve">medication safety, see </w:t>
      </w:r>
      <w:hyperlink r:id="rId18" w:history="1">
        <w:r w:rsidRPr="008D2508">
          <w:rPr>
            <w:rStyle w:val="Hyperlink"/>
            <w:rFonts w:ascii="Garamond" w:hAnsi="Garamond"/>
            <w:lang w:val="en-AU"/>
          </w:rPr>
          <w:t>https://www.safetyandquality.gov.au/our-work/medication-safety</w:t>
        </w:r>
      </w:hyperlink>
    </w:p>
    <w:p w14:paraId="7EC642FB" w14:textId="77777777" w:rsidR="00E9040B" w:rsidRDefault="00E9040B" w:rsidP="00E02472">
      <w:pPr>
        <w:keepLines/>
        <w:autoSpaceDE w:val="0"/>
        <w:autoSpaceDN w:val="0"/>
        <w:adjustRightInd w:val="0"/>
        <w:rPr>
          <w:rFonts w:ascii="Garamond" w:hAnsi="Garamond"/>
          <w:lang w:val="en-AU"/>
        </w:rPr>
      </w:pPr>
    </w:p>
    <w:p w14:paraId="1231609D" w14:textId="7D40BAA6" w:rsidR="00FD32CF" w:rsidRPr="00E9040B" w:rsidRDefault="00E9040B" w:rsidP="00FD32CF">
      <w:pPr>
        <w:keepNext/>
        <w:keepLines/>
        <w:autoSpaceDE w:val="0"/>
        <w:autoSpaceDN w:val="0"/>
        <w:adjustRightInd w:val="0"/>
        <w:rPr>
          <w:rFonts w:ascii="Garamond" w:hAnsi="Garamond"/>
          <w:i/>
          <w:iCs/>
          <w:lang w:val="en-AU"/>
        </w:rPr>
      </w:pPr>
      <w:r w:rsidRPr="00E9040B">
        <w:rPr>
          <w:rFonts w:ascii="Garamond" w:hAnsi="Garamond"/>
          <w:i/>
          <w:iCs/>
          <w:lang w:val="en-AU"/>
        </w:rPr>
        <w:t>A framework for digital health equity</w:t>
      </w:r>
    </w:p>
    <w:p w14:paraId="13B19E17" w14:textId="77777777" w:rsidR="00E9040B" w:rsidRDefault="00E9040B" w:rsidP="00FD32CF">
      <w:pPr>
        <w:keepNext/>
        <w:keepLines/>
        <w:autoSpaceDE w:val="0"/>
        <w:autoSpaceDN w:val="0"/>
        <w:adjustRightInd w:val="0"/>
        <w:rPr>
          <w:rFonts w:ascii="Garamond" w:hAnsi="Garamond"/>
          <w:lang w:val="en-AU"/>
        </w:rPr>
      </w:pPr>
      <w:r w:rsidRPr="00E9040B">
        <w:rPr>
          <w:rFonts w:ascii="Garamond" w:hAnsi="Garamond"/>
          <w:lang w:val="en-AU"/>
        </w:rPr>
        <w:t>Richardson S, Lawrence K, Schoenthaler AM, Mann D</w:t>
      </w:r>
    </w:p>
    <w:p w14:paraId="37456339" w14:textId="35DDA938" w:rsidR="00E9040B" w:rsidRDefault="00E9040B" w:rsidP="00FD32CF">
      <w:pPr>
        <w:keepNext/>
        <w:keepLines/>
        <w:autoSpaceDE w:val="0"/>
        <w:autoSpaceDN w:val="0"/>
        <w:adjustRightInd w:val="0"/>
        <w:rPr>
          <w:rFonts w:ascii="Garamond" w:hAnsi="Garamond"/>
          <w:lang w:val="en-AU"/>
        </w:rPr>
      </w:pPr>
      <w:r w:rsidRPr="00E9040B">
        <w:rPr>
          <w:rFonts w:ascii="Garamond" w:hAnsi="Garamond"/>
          <w:lang w:val="en-AU"/>
        </w:rPr>
        <w:t>npj Digital Medicine. 2022;5(1):119.</w:t>
      </w:r>
    </w:p>
    <w:tbl>
      <w:tblPr>
        <w:tblStyle w:val="TableGrid"/>
        <w:tblW w:w="9360" w:type="dxa"/>
        <w:tblInd w:w="288" w:type="dxa"/>
        <w:tblLayout w:type="fixed"/>
        <w:tblLook w:val="01E0" w:firstRow="1" w:lastRow="1" w:firstColumn="1" w:lastColumn="1" w:noHBand="0" w:noVBand="0"/>
      </w:tblPr>
      <w:tblGrid>
        <w:gridCol w:w="1080"/>
        <w:gridCol w:w="8280"/>
      </w:tblGrid>
      <w:tr w:rsidR="00FD32CF" w:rsidRPr="00E37911" w14:paraId="057BAE4D" w14:textId="77777777" w:rsidTr="00C87A7F">
        <w:tc>
          <w:tcPr>
            <w:tcW w:w="1080" w:type="dxa"/>
            <w:tcBorders>
              <w:top w:val="single" w:sz="4" w:space="0" w:color="auto"/>
              <w:left w:val="single" w:sz="4" w:space="0" w:color="auto"/>
              <w:bottom w:val="single" w:sz="4" w:space="0" w:color="auto"/>
              <w:right w:val="single" w:sz="4" w:space="0" w:color="auto"/>
            </w:tcBorders>
            <w:vAlign w:val="center"/>
          </w:tcPr>
          <w:p w14:paraId="0B542468" w14:textId="77777777" w:rsidR="00FD32CF" w:rsidRPr="00E37911" w:rsidRDefault="00FD32CF" w:rsidP="00C87A7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6055431" w14:textId="2922C57B" w:rsidR="00FD32CF" w:rsidRPr="00E37911" w:rsidRDefault="00E86570" w:rsidP="00C87A7F">
            <w:pPr>
              <w:rPr>
                <w:rStyle w:val="Hyperlink"/>
                <w:rFonts w:ascii="Garamond" w:hAnsi="Garamond"/>
                <w:color w:val="auto"/>
                <w:u w:val="none"/>
                <w:lang w:val="en-AU"/>
              </w:rPr>
            </w:pPr>
            <w:hyperlink r:id="rId19" w:history="1">
              <w:r w:rsidR="00E9040B" w:rsidRPr="008D2508">
                <w:rPr>
                  <w:rStyle w:val="Hyperlink"/>
                  <w:rFonts w:ascii="Garamond" w:hAnsi="Garamond"/>
                  <w:lang w:val="en-AU"/>
                </w:rPr>
                <w:t>https://doi.org/10.1038/s41746-022-00663-0</w:t>
              </w:r>
            </w:hyperlink>
          </w:p>
        </w:tc>
      </w:tr>
      <w:tr w:rsidR="00FD32CF" w:rsidRPr="00E37911" w14:paraId="3A753402" w14:textId="77777777" w:rsidTr="00C87A7F">
        <w:tc>
          <w:tcPr>
            <w:tcW w:w="1080" w:type="dxa"/>
            <w:tcBorders>
              <w:top w:val="single" w:sz="4" w:space="0" w:color="auto"/>
              <w:left w:val="single" w:sz="4" w:space="0" w:color="auto"/>
              <w:bottom w:val="single" w:sz="4" w:space="0" w:color="auto"/>
              <w:right w:val="single" w:sz="4" w:space="0" w:color="auto"/>
            </w:tcBorders>
            <w:vAlign w:val="center"/>
          </w:tcPr>
          <w:p w14:paraId="74DA72EC" w14:textId="77777777" w:rsidR="00FD32CF" w:rsidRPr="00E37911" w:rsidRDefault="00FD32CF" w:rsidP="00C87A7F">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0CEDBEC" w14:textId="35E124C7" w:rsidR="00FD32CF" w:rsidRDefault="008100AE" w:rsidP="00C87A7F">
            <w:pPr>
              <w:rPr>
                <w:rFonts w:ascii="Garamond" w:hAnsi="Garamond"/>
                <w:lang w:val="en-AU"/>
              </w:rPr>
            </w:pPr>
            <w:r>
              <w:rPr>
                <w:rFonts w:ascii="Garamond" w:hAnsi="Garamond"/>
                <w:lang w:val="en-AU"/>
              </w:rPr>
              <w:t xml:space="preserve">This piece offers a possible framework for digital health equity. It identifies ‘digital determinants of health’, including those at </w:t>
            </w:r>
            <w:r w:rsidRPr="008100AE">
              <w:rPr>
                <w:rFonts w:ascii="Garamond" w:hAnsi="Garamond"/>
                <w:lang w:val="en-AU"/>
              </w:rPr>
              <w:t>e individual, interpersonal, community, and societal levels</w:t>
            </w:r>
            <w:r>
              <w:rPr>
                <w:rFonts w:ascii="Garamond" w:hAnsi="Garamond"/>
                <w:lang w:val="en-AU"/>
              </w:rPr>
              <w:t>. The authors suggest that ‘</w:t>
            </w:r>
            <w:r w:rsidRPr="008100AE">
              <w:rPr>
                <w:rFonts w:ascii="Garamond" w:hAnsi="Garamond"/>
                <w:lang w:val="en-AU"/>
              </w:rPr>
              <w:t>The digital transformation of health requires leaders and developers to understand how digital determinants impact health equity</w:t>
            </w:r>
            <w:r>
              <w:rPr>
                <w:rFonts w:ascii="Garamond" w:hAnsi="Garamond"/>
                <w:lang w:val="en-AU"/>
              </w:rPr>
              <w:t>’.</w:t>
            </w:r>
          </w:p>
          <w:p w14:paraId="4809B17F" w14:textId="24BF2352" w:rsidR="008100AE" w:rsidRDefault="008100AE" w:rsidP="008100AE">
            <w:pPr>
              <w:rPr>
                <w:rFonts w:ascii="Garamond" w:hAnsi="Garamond"/>
                <w:lang w:val="en-AU"/>
              </w:rPr>
            </w:pPr>
            <w:r w:rsidRPr="008100AE">
              <w:rPr>
                <w:rFonts w:ascii="Garamond" w:hAnsi="Garamond"/>
                <w:lang w:val="en-AU"/>
              </w:rPr>
              <w:t>Digital determinants of health</w:t>
            </w:r>
            <w:r>
              <w:rPr>
                <w:rFonts w:ascii="Garamond" w:hAnsi="Garamond"/>
                <w:lang w:val="en-AU"/>
              </w:rPr>
              <w:t xml:space="preserve"> (</w:t>
            </w:r>
            <w:proofErr w:type="spellStart"/>
            <w:r w:rsidRPr="008100AE">
              <w:rPr>
                <w:rFonts w:ascii="Garamond" w:hAnsi="Garamond"/>
                <w:lang w:val="en-AU"/>
              </w:rPr>
              <w:t>DDoH</w:t>
            </w:r>
            <w:proofErr w:type="spellEnd"/>
            <w:r>
              <w:rPr>
                <w:rFonts w:ascii="Garamond" w:hAnsi="Garamond"/>
                <w:lang w:val="en-AU"/>
              </w:rPr>
              <w:t>) are defined as ‘</w:t>
            </w:r>
            <w:r w:rsidRPr="008100AE">
              <w:rPr>
                <w:rFonts w:ascii="Garamond" w:hAnsi="Garamond"/>
                <w:lang w:val="en-AU"/>
              </w:rPr>
              <w:t>conditions in the digital environment that affect a wide range of health, functioning, and quality of life outcomes and risks. The DDoH includes access to technological tools, digital literacy, and community infrastructure like broadband internet and operates at the individual, interpersonal, community, and societal levels. They impact digital health equity, which is equitable access to digital healthcare, equitable outcomes from and experience with digital healthcare, and equity in the design of digital health solutions</w:t>
            </w:r>
            <w:r>
              <w:rPr>
                <w:rFonts w:ascii="Garamond" w:hAnsi="Garamond"/>
                <w:lang w:val="en-AU"/>
              </w:rPr>
              <w:t>’.</w:t>
            </w:r>
          </w:p>
          <w:p w14:paraId="24B4208D" w14:textId="77777777" w:rsidR="008100AE" w:rsidRDefault="008100AE" w:rsidP="008100AE">
            <w:pPr>
              <w:rPr>
                <w:rFonts w:ascii="Garamond" w:hAnsi="Garamond"/>
                <w:lang w:val="en-AU"/>
              </w:rPr>
            </w:pPr>
          </w:p>
          <w:p w14:paraId="7B77B55A" w14:textId="3A99C7B1" w:rsidR="008100AE" w:rsidRPr="00031154" w:rsidRDefault="008100AE" w:rsidP="008100AE">
            <w:pPr>
              <w:rPr>
                <w:rFonts w:ascii="Garamond" w:hAnsi="Garamond"/>
                <w:lang w:val="en-AU"/>
              </w:rPr>
            </w:pPr>
            <w:r>
              <w:rPr>
                <w:noProof/>
              </w:rPr>
              <w:lastRenderedPageBreak/>
              <w:drawing>
                <wp:inline distT="0" distB="0" distL="0" distR="0" wp14:anchorId="388EB6FB" wp14:editId="643687CC">
                  <wp:extent cx="5120640" cy="3510280"/>
                  <wp:effectExtent l="0" t="0" r="3810" b="0"/>
                  <wp:docPr id="4" name="Picture 4" descr=" Framework for digital health equity. National Institute on Minority Health and Health Disparities Research Framework Expanded for Digital Health Equi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Framework for digital health equity. National Institute on Minority Health and Health Disparities Research Framework Expanded for Digital Health Equity.">
                            <a:hlinkClick r:id="rId19"/>
                          </pic:cNvPr>
                          <pic:cNvPicPr/>
                        </pic:nvPicPr>
                        <pic:blipFill>
                          <a:blip r:embed="rId20"/>
                          <a:stretch>
                            <a:fillRect/>
                          </a:stretch>
                        </pic:blipFill>
                        <pic:spPr>
                          <a:xfrm>
                            <a:off x="0" y="0"/>
                            <a:ext cx="5120640" cy="3510280"/>
                          </a:xfrm>
                          <a:prstGeom prst="rect">
                            <a:avLst/>
                          </a:prstGeom>
                        </pic:spPr>
                      </pic:pic>
                    </a:graphicData>
                  </a:graphic>
                </wp:inline>
              </w:drawing>
            </w:r>
          </w:p>
        </w:tc>
      </w:tr>
    </w:tbl>
    <w:p w14:paraId="3D59035F" w14:textId="77777777" w:rsidR="00FD32CF" w:rsidRDefault="00FD32CF" w:rsidP="00FD32CF">
      <w:pPr>
        <w:keepLines/>
        <w:autoSpaceDE w:val="0"/>
        <w:autoSpaceDN w:val="0"/>
        <w:adjustRightInd w:val="0"/>
        <w:rPr>
          <w:rFonts w:ascii="Garamond" w:hAnsi="Garamond"/>
          <w:lang w:val="en-AU"/>
        </w:rPr>
      </w:pPr>
    </w:p>
    <w:p w14:paraId="4A5EEF35" w14:textId="5F92CE1B" w:rsidR="00E02472" w:rsidRPr="00E37911" w:rsidRDefault="00E02472" w:rsidP="00E02472">
      <w:pPr>
        <w:keepNext/>
        <w:rPr>
          <w:rFonts w:ascii="Garamond" w:hAnsi="Garamond"/>
          <w:lang w:val="en-AU"/>
        </w:rPr>
      </w:pPr>
      <w:r w:rsidRPr="00E37911">
        <w:rPr>
          <w:rFonts w:ascii="Garamond" w:hAnsi="Garamond"/>
          <w:i/>
          <w:lang w:val="en-AU"/>
        </w:rPr>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E02472" w:rsidRPr="00E37911" w14:paraId="6BE80074" w14:textId="77777777" w:rsidTr="00CF0FC6">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70BA5D0" w14:textId="77777777" w:rsidR="00E02472" w:rsidRPr="00E37911" w:rsidRDefault="00E02472" w:rsidP="00CF0FC6">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54E4E312" w14:textId="77777777" w:rsidR="00E02472" w:rsidRPr="00E37911" w:rsidRDefault="00E86570" w:rsidP="00CF0FC6">
            <w:pPr>
              <w:keepNext/>
              <w:rPr>
                <w:rFonts w:ascii="Garamond" w:hAnsi="Garamond"/>
                <w:lang w:val="en-AU"/>
              </w:rPr>
            </w:pPr>
            <w:hyperlink r:id="rId21" w:history="1">
              <w:r w:rsidR="00E02472" w:rsidRPr="00E37911">
                <w:rPr>
                  <w:rStyle w:val="Hyperlink"/>
                  <w:rFonts w:ascii="Garamond" w:hAnsi="Garamond"/>
                  <w:lang w:val="en-AU"/>
                </w:rPr>
                <w:t>https://qualitysafety.bmj.com/content/early/recent</w:t>
              </w:r>
            </w:hyperlink>
          </w:p>
        </w:tc>
      </w:tr>
      <w:tr w:rsidR="00E02472" w:rsidRPr="00E37911" w14:paraId="3280B28A"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3E6656F4" w14:textId="77777777" w:rsidR="00E02472" w:rsidRPr="00E37911" w:rsidRDefault="00E02472" w:rsidP="00CF0FC6">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722AF5F" w14:textId="77777777" w:rsidR="00E02472" w:rsidRPr="00E37911" w:rsidRDefault="00E02472" w:rsidP="00CF0FC6">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7C25348F" w14:textId="77777777" w:rsidR="00E02472" w:rsidRDefault="000F5713" w:rsidP="000F5713">
            <w:pPr>
              <w:pStyle w:val="ListParagraph"/>
              <w:numPr>
                <w:ilvl w:val="0"/>
                <w:numId w:val="17"/>
              </w:numPr>
              <w:rPr>
                <w:rFonts w:ascii="Garamond" w:hAnsi="Garamond"/>
                <w:lang w:val="en-AU"/>
              </w:rPr>
            </w:pPr>
            <w:r w:rsidRPr="000F5713">
              <w:rPr>
                <w:rFonts w:ascii="Garamond" w:hAnsi="Garamond"/>
                <w:lang w:val="en-AU"/>
              </w:rPr>
              <w:t xml:space="preserve">Mixed-methods study examining family carers’ perceptions of the relationship between </w:t>
            </w:r>
            <w:r w:rsidRPr="000F5713">
              <w:rPr>
                <w:rFonts w:ascii="Garamond" w:hAnsi="Garamond"/>
                <w:b/>
                <w:bCs/>
                <w:lang w:val="en-AU"/>
              </w:rPr>
              <w:t>intrahospital transitions and patient readiness for discharge</w:t>
            </w:r>
            <w:r>
              <w:rPr>
                <w:rFonts w:ascii="Garamond" w:hAnsi="Garamond"/>
                <w:lang w:val="en-AU"/>
              </w:rPr>
              <w:t xml:space="preserve"> (</w:t>
            </w:r>
            <w:r w:rsidRPr="000F5713">
              <w:rPr>
                <w:rFonts w:ascii="Garamond" w:hAnsi="Garamond"/>
                <w:lang w:val="en-AU"/>
              </w:rPr>
              <w:t xml:space="preserve">Alycia A Bristol, Catherine E Elmore, Marianne E Weiss, Lisa A. Barry, Eli </w:t>
            </w:r>
            <w:proofErr w:type="spellStart"/>
            <w:r w:rsidRPr="000F5713">
              <w:rPr>
                <w:rFonts w:ascii="Garamond" w:hAnsi="Garamond"/>
                <w:lang w:val="en-AU"/>
              </w:rPr>
              <w:t>Iacob</w:t>
            </w:r>
            <w:proofErr w:type="spellEnd"/>
            <w:r w:rsidRPr="000F5713">
              <w:rPr>
                <w:rFonts w:ascii="Garamond" w:hAnsi="Garamond"/>
                <w:lang w:val="en-AU"/>
              </w:rPr>
              <w:t>, Erin P Johnson, Andrea S Wallace</w:t>
            </w:r>
            <w:r>
              <w:rPr>
                <w:rFonts w:ascii="Garamond" w:hAnsi="Garamond"/>
                <w:lang w:val="en-AU"/>
              </w:rPr>
              <w:t>)</w:t>
            </w:r>
          </w:p>
          <w:p w14:paraId="5E481495" w14:textId="77777777" w:rsidR="00E9040B" w:rsidRDefault="00E9040B" w:rsidP="00E9040B">
            <w:pPr>
              <w:pStyle w:val="ListParagraph"/>
              <w:numPr>
                <w:ilvl w:val="0"/>
                <w:numId w:val="17"/>
              </w:numPr>
              <w:rPr>
                <w:rFonts w:ascii="Garamond" w:hAnsi="Garamond"/>
                <w:lang w:val="en-AU"/>
              </w:rPr>
            </w:pPr>
            <w:r w:rsidRPr="00E9040B">
              <w:rPr>
                <w:rFonts w:ascii="Garamond" w:hAnsi="Garamond"/>
                <w:lang w:val="en-AU"/>
              </w:rPr>
              <w:t xml:space="preserve">Editorial: </w:t>
            </w:r>
            <w:r w:rsidRPr="00E9040B">
              <w:rPr>
                <w:rFonts w:ascii="Garamond" w:hAnsi="Garamond"/>
                <w:b/>
                <w:bCs/>
                <w:lang w:val="en-AU"/>
              </w:rPr>
              <w:t>Grand Rounds in Methodology</w:t>
            </w:r>
            <w:r w:rsidRPr="00E9040B">
              <w:rPr>
                <w:rFonts w:ascii="Garamond" w:hAnsi="Garamond"/>
                <w:lang w:val="en-AU"/>
              </w:rPr>
              <w:t xml:space="preserve">: a new series to contribute to continuous improvement of methodology and scientific rigour in quality and safety </w:t>
            </w:r>
            <w:r>
              <w:rPr>
                <w:rFonts w:ascii="Garamond" w:hAnsi="Garamond"/>
                <w:lang w:val="en-AU"/>
              </w:rPr>
              <w:t>(</w:t>
            </w:r>
            <w:r w:rsidRPr="00E9040B">
              <w:rPr>
                <w:rFonts w:ascii="Garamond" w:hAnsi="Garamond"/>
                <w:lang w:val="en-AU"/>
              </w:rPr>
              <w:t xml:space="preserve">Perla J Marang-van de </w:t>
            </w:r>
            <w:proofErr w:type="spellStart"/>
            <w:r w:rsidRPr="00E9040B">
              <w:rPr>
                <w:rFonts w:ascii="Garamond" w:hAnsi="Garamond"/>
                <w:lang w:val="en-AU"/>
              </w:rPr>
              <w:t>Mheen</w:t>
            </w:r>
            <w:proofErr w:type="spellEnd"/>
            <w:r w:rsidRPr="00E9040B">
              <w:rPr>
                <w:rFonts w:ascii="Garamond" w:hAnsi="Garamond"/>
                <w:lang w:val="en-AU"/>
              </w:rPr>
              <w:t>, John P Browne, Eric J Thomas, Bryony Dean Franklin</w:t>
            </w:r>
            <w:r>
              <w:rPr>
                <w:rFonts w:ascii="Garamond" w:hAnsi="Garamond"/>
                <w:lang w:val="en-AU"/>
              </w:rPr>
              <w:t>)</w:t>
            </w:r>
          </w:p>
          <w:p w14:paraId="08AEBC76" w14:textId="0577C187" w:rsidR="00E9040B" w:rsidRPr="00E37911" w:rsidRDefault="00E9040B" w:rsidP="00E9040B">
            <w:pPr>
              <w:pStyle w:val="ListParagraph"/>
              <w:numPr>
                <w:ilvl w:val="0"/>
                <w:numId w:val="17"/>
              </w:numPr>
              <w:rPr>
                <w:rFonts w:ascii="Garamond" w:hAnsi="Garamond"/>
                <w:lang w:val="en-AU"/>
              </w:rPr>
            </w:pPr>
            <w:r w:rsidRPr="00E9040B">
              <w:rPr>
                <w:rFonts w:ascii="Garamond" w:hAnsi="Garamond"/>
                <w:lang w:val="en-AU"/>
              </w:rPr>
              <w:t xml:space="preserve">Grand rounds in methodology: four critical decision points in </w:t>
            </w:r>
            <w:r w:rsidRPr="00E9040B">
              <w:rPr>
                <w:rFonts w:ascii="Garamond" w:hAnsi="Garamond"/>
                <w:b/>
                <w:bCs/>
                <w:lang w:val="en-AU"/>
              </w:rPr>
              <w:t>statistical process control evaluations of quality improvement initiatives</w:t>
            </w:r>
            <w:r w:rsidRPr="00E9040B">
              <w:rPr>
                <w:rFonts w:ascii="Garamond" w:hAnsi="Garamond"/>
                <w:lang w:val="en-AU"/>
              </w:rPr>
              <w:t xml:space="preserve"> (Perla J Marang-van de </w:t>
            </w:r>
            <w:proofErr w:type="spellStart"/>
            <w:r w:rsidRPr="00E9040B">
              <w:rPr>
                <w:rFonts w:ascii="Garamond" w:hAnsi="Garamond"/>
                <w:lang w:val="en-AU"/>
              </w:rPr>
              <w:t>Mheen</w:t>
            </w:r>
            <w:proofErr w:type="spellEnd"/>
            <w:r w:rsidRPr="00E9040B">
              <w:rPr>
                <w:rFonts w:ascii="Garamond" w:hAnsi="Garamond"/>
                <w:lang w:val="en-AU"/>
              </w:rPr>
              <w:t>, Thomas Woodcock</w:t>
            </w:r>
            <w:r>
              <w:rPr>
                <w:rFonts w:ascii="Garamond" w:hAnsi="Garamond"/>
                <w:lang w:val="en-AU"/>
              </w:rPr>
              <w:t>)</w:t>
            </w:r>
          </w:p>
        </w:tc>
      </w:tr>
    </w:tbl>
    <w:p w14:paraId="0E4E3067" w14:textId="77777777" w:rsidR="00E02472" w:rsidRPr="00E37911" w:rsidRDefault="00E02472" w:rsidP="00E02472">
      <w:pPr>
        <w:rPr>
          <w:rFonts w:ascii="Garamond" w:hAnsi="Garamond"/>
          <w:b/>
          <w:lang w:val="en-AU"/>
        </w:rPr>
      </w:pPr>
    </w:p>
    <w:p w14:paraId="68A391D8" w14:textId="77777777" w:rsidR="00E02472" w:rsidRPr="00E37911" w:rsidRDefault="00E02472" w:rsidP="00E02472">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E02472" w:rsidRPr="00E37911" w14:paraId="4CB49F3C"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661EEEAC" w14:textId="77777777" w:rsidR="00E02472" w:rsidRPr="00E37911" w:rsidRDefault="00E02472" w:rsidP="00CF0FC6">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BB72934" w14:textId="77777777" w:rsidR="00E02472" w:rsidRPr="00E37911" w:rsidRDefault="00E86570" w:rsidP="00CF0FC6">
            <w:pPr>
              <w:keepNext/>
              <w:rPr>
                <w:rFonts w:ascii="Garamond" w:hAnsi="Garamond"/>
                <w:lang w:val="en-AU"/>
              </w:rPr>
            </w:pPr>
            <w:hyperlink r:id="rId22" w:history="1">
              <w:r w:rsidR="00E02472" w:rsidRPr="00E37911">
                <w:rPr>
                  <w:rStyle w:val="Hyperlink"/>
                  <w:rFonts w:ascii="Garamond" w:hAnsi="Garamond"/>
                  <w:lang w:val="en-AU"/>
                </w:rPr>
                <w:t>https://academic.oup.com/intqhc/advance-articles</w:t>
              </w:r>
            </w:hyperlink>
          </w:p>
        </w:tc>
      </w:tr>
      <w:tr w:rsidR="00E02472" w:rsidRPr="00E37911" w14:paraId="6E547044"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484D977D" w14:textId="77777777" w:rsidR="00E02472" w:rsidRPr="00E37911" w:rsidRDefault="00E02472" w:rsidP="00CF0FC6">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3B97651" w14:textId="77777777" w:rsidR="00E02472" w:rsidRDefault="00E02472" w:rsidP="00CF0FC6">
            <w:pPr>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5ABE2FF3" w14:textId="3A22AC0F" w:rsidR="00ED5319" w:rsidRPr="00ED5319" w:rsidRDefault="00ED5319" w:rsidP="00EB64AB">
            <w:pPr>
              <w:pStyle w:val="ListParagraph"/>
              <w:numPr>
                <w:ilvl w:val="0"/>
                <w:numId w:val="14"/>
              </w:numPr>
              <w:rPr>
                <w:rFonts w:ascii="Garamond" w:hAnsi="Garamond"/>
                <w:lang w:val="en-AU"/>
              </w:rPr>
            </w:pPr>
            <w:r w:rsidRPr="00ED5319">
              <w:rPr>
                <w:rFonts w:ascii="Garamond" w:hAnsi="Garamond"/>
                <w:b/>
                <w:bCs/>
                <w:lang w:val="en-AU"/>
              </w:rPr>
              <w:t>COVID-19 lockdown impact on quality of treatment and outcomes of STEMI and Stroke patients</w:t>
            </w:r>
            <w:r w:rsidRPr="00ED5319">
              <w:rPr>
                <w:rFonts w:ascii="Garamond" w:hAnsi="Garamond"/>
                <w:lang w:val="en-AU"/>
              </w:rPr>
              <w:t xml:space="preserve"> in a large tertiary medical </w:t>
            </w:r>
            <w:proofErr w:type="spellStart"/>
            <w:r w:rsidRPr="00ED5319">
              <w:rPr>
                <w:rFonts w:ascii="Garamond" w:hAnsi="Garamond"/>
                <w:lang w:val="en-AU"/>
              </w:rPr>
              <w:t>center</w:t>
            </w:r>
            <w:proofErr w:type="spellEnd"/>
            <w:r w:rsidRPr="00ED5319">
              <w:rPr>
                <w:rFonts w:ascii="Garamond" w:hAnsi="Garamond"/>
                <w:lang w:val="en-AU"/>
              </w:rPr>
              <w:t xml:space="preserve">: an observational study (Alex </w:t>
            </w:r>
            <w:proofErr w:type="spellStart"/>
            <w:r w:rsidRPr="00ED5319">
              <w:rPr>
                <w:rFonts w:ascii="Garamond" w:hAnsi="Garamond"/>
                <w:lang w:val="en-AU"/>
              </w:rPr>
              <w:t>Galper</w:t>
            </w:r>
            <w:proofErr w:type="spellEnd"/>
            <w:r w:rsidRPr="00ED5319">
              <w:rPr>
                <w:rFonts w:ascii="Garamond" w:hAnsi="Garamond"/>
                <w:lang w:val="en-AU"/>
              </w:rPr>
              <w:t xml:space="preserve">, </w:t>
            </w:r>
            <w:proofErr w:type="spellStart"/>
            <w:r w:rsidRPr="00ED5319">
              <w:rPr>
                <w:rFonts w:ascii="Garamond" w:hAnsi="Garamond"/>
                <w:lang w:val="en-AU"/>
              </w:rPr>
              <w:t>Racheli</w:t>
            </w:r>
            <w:proofErr w:type="spellEnd"/>
            <w:r w:rsidRPr="00ED5319">
              <w:rPr>
                <w:rFonts w:ascii="Garamond" w:hAnsi="Garamond"/>
                <w:lang w:val="en-AU"/>
              </w:rPr>
              <w:t xml:space="preserve"> </w:t>
            </w:r>
            <w:proofErr w:type="spellStart"/>
            <w:r w:rsidRPr="00ED5319">
              <w:rPr>
                <w:rFonts w:ascii="Garamond" w:hAnsi="Garamond"/>
                <w:lang w:val="en-AU"/>
              </w:rPr>
              <w:t>Magnezi</w:t>
            </w:r>
            <w:proofErr w:type="spellEnd"/>
            <w:r w:rsidRPr="00ED5319">
              <w:rPr>
                <w:rFonts w:ascii="Garamond" w:hAnsi="Garamond"/>
                <w:lang w:val="en-AU"/>
              </w:rPr>
              <w:t xml:space="preserve">, </w:t>
            </w:r>
            <w:proofErr w:type="spellStart"/>
            <w:r w:rsidRPr="00ED5319">
              <w:rPr>
                <w:rFonts w:ascii="Garamond" w:hAnsi="Garamond"/>
                <w:lang w:val="en-AU"/>
              </w:rPr>
              <w:t>Anat</w:t>
            </w:r>
            <w:proofErr w:type="spellEnd"/>
            <w:r w:rsidRPr="00ED5319">
              <w:rPr>
                <w:rFonts w:ascii="Garamond" w:hAnsi="Garamond"/>
                <w:lang w:val="en-AU"/>
              </w:rPr>
              <w:t xml:space="preserve"> Ekka Zohar, Bernice </w:t>
            </w:r>
            <w:proofErr w:type="spellStart"/>
            <w:r w:rsidRPr="00ED5319">
              <w:rPr>
                <w:rFonts w:ascii="Garamond" w:hAnsi="Garamond"/>
                <w:lang w:val="en-AU"/>
              </w:rPr>
              <w:t>Oberman</w:t>
            </w:r>
            <w:proofErr w:type="spellEnd"/>
            <w:r w:rsidRPr="00ED5319">
              <w:rPr>
                <w:rFonts w:ascii="Garamond" w:hAnsi="Garamond"/>
                <w:lang w:val="en-AU"/>
              </w:rPr>
              <w:t xml:space="preserve">, </w:t>
            </w:r>
            <w:proofErr w:type="spellStart"/>
            <w:r w:rsidRPr="00ED5319">
              <w:rPr>
                <w:rFonts w:ascii="Garamond" w:hAnsi="Garamond"/>
                <w:lang w:val="en-AU"/>
              </w:rPr>
              <w:t>Eyal</w:t>
            </w:r>
            <w:proofErr w:type="spellEnd"/>
            <w:r w:rsidRPr="00ED5319">
              <w:rPr>
                <w:rFonts w:ascii="Garamond" w:hAnsi="Garamond"/>
                <w:lang w:val="en-AU"/>
              </w:rPr>
              <w:t xml:space="preserve"> </w:t>
            </w:r>
            <w:proofErr w:type="spellStart"/>
            <w:r w:rsidRPr="00ED5319">
              <w:rPr>
                <w:rFonts w:ascii="Garamond" w:hAnsi="Garamond"/>
                <w:lang w:val="en-AU"/>
              </w:rPr>
              <w:t>Zimlichman</w:t>
            </w:r>
            <w:proofErr w:type="spellEnd"/>
            <w:r>
              <w:rPr>
                <w:rFonts w:ascii="Garamond" w:hAnsi="Garamond"/>
                <w:lang w:val="en-AU"/>
              </w:rPr>
              <w:t>)</w:t>
            </w:r>
          </w:p>
          <w:p w14:paraId="5CFCEE72" w14:textId="5D803F5D" w:rsidR="00886AB7" w:rsidRPr="009C237F" w:rsidRDefault="00ED5319" w:rsidP="00ED5319">
            <w:pPr>
              <w:pStyle w:val="ListParagraph"/>
              <w:numPr>
                <w:ilvl w:val="0"/>
                <w:numId w:val="14"/>
              </w:numPr>
              <w:rPr>
                <w:rFonts w:ascii="Garamond" w:hAnsi="Garamond"/>
                <w:lang w:val="en-AU"/>
              </w:rPr>
            </w:pPr>
            <w:r w:rsidRPr="00ED5319">
              <w:rPr>
                <w:rFonts w:ascii="Garamond" w:hAnsi="Garamond"/>
                <w:lang w:val="en-AU"/>
              </w:rPr>
              <w:t xml:space="preserve">A Quality Assurance Initiative on Improving </w:t>
            </w:r>
            <w:r w:rsidRPr="00ED5319">
              <w:rPr>
                <w:rFonts w:ascii="Garamond" w:hAnsi="Garamond"/>
                <w:b/>
                <w:bCs/>
                <w:lang w:val="en-AU"/>
              </w:rPr>
              <w:t xml:space="preserve">Cefazolin Peri-operative </w:t>
            </w:r>
            <w:proofErr w:type="spellStart"/>
            <w:r w:rsidRPr="00ED5319">
              <w:rPr>
                <w:rFonts w:ascii="Garamond" w:hAnsi="Garamond"/>
                <w:b/>
                <w:bCs/>
                <w:lang w:val="en-AU"/>
              </w:rPr>
              <w:t>Redose</w:t>
            </w:r>
            <w:proofErr w:type="spellEnd"/>
            <w:r w:rsidRPr="00ED5319">
              <w:rPr>
                <w:rFonts w:ascii="Garamond" w:hAnsi="Garamond"/>
                <w:b/>
                <w:bCs/>
                <w:lang w:val="en-AU"/>
              </w:rPr>
              <w:t xml:space="preserve"> Compliance</w:t>
            </w:r>
            <w:r>
              <w:rPr>
                <w:rFonts w:ascii="Garamond" w:hAnsi="Garamond"/>
                <w:lang w:val="en-AU"/>
              </w:rPr>
              <w:t xml:space="preserve"> (</w:t>
            </w:r>
            <w:r w:rsidRPr="00ED5319">
              <w:rPr>
                <w:rFonts w:ascii="Garamond" w:hAnsi="Garamond"/>
                <w:lang w:val="en-AU"/>
              </w:rPr>
              <w:t xml:space="preserve">Faiza Qureshi, Jamie Lee </w:t>
            </w:r>
            <w:proofErr w:type="spellStart"/>
            <w:r w:rsidRPr="00ED5319">
              <w:rPr>
                <w:rFonts w:ascii="Garamond" w:hAnsi="Garamond"/>
                <w:lang w:val="en-AU"/>
              </w:rPr>
              <w:t>Romeiser</w:t>
            </w:r>
            <w:proofErr w:type="spellEnd"/>
            <w:r w:rsidRPr="00ED5319">
              <w:rPr>
                <w:rFonts w:ascii="Garamond" w:hAnsi="Garamond"/>
                <w:lang w:val="en-AU"/>
              </w:rPr>
              <w:t xml:space="preserve">, Paul F Murphy, Roderick Go, Ramon </w:t>
            </w:r>
            <w:proofErr w:type="spellStart"/>
            <w:r w:rsidRPr="00ED5319">
              <w:rPr>
                <w:rFonts w:ascii="Garamond" w:hAnsi="Garamond"/>
                <w:lang w:val="en-AU"/>
              </w:rPr>
              <w:t>Abola</w:t>
            </w:r>
            <w:proofErr w:type="spellEnd"/>
            <w:r>
              <w:rPr>
                <w:rFonts w:ascii="Garamond" w:hAnsi="Garamond"/>
                <w:lang w:val="en-AU"/>
              </w:rPr>
              <w:t>)</w:t>
            </w:r>
          </w:p>
        </w:tc>
      </w:tr>
    </w:tbl>
    <w:p w14:paraId="52D3CBEA" w14:textId="77777777" w:rsidR="00C86B6F" w:rsidRDefault="00C86B6F" w:rsidP="00882892">
      <w:pPr>
        <w:rPr>
          <w:rFonts w:ascii="Garamond" w:hAnsi="Garamond"/>
          <w:i/>
          <w:lang w:val="en-AU"/>
        </w:rPr>
      </w:pPr>
    </w:p>
    <w:p w14:paraId="790233A7" w14:textId="7DAA618F" w:rsidR="00497C82" w:rsidRDefault="00497C82">
      <w:pPr>
        <w:rPr>
          <w:rFonts w:ascii="Garamond" w:hAnsi="Garamond"/>
          <w:b/>
          <w:lang w:val="en-AU"/>
        </w:rPr>
      </w:pPr>
    </w:p>
    <w:p w14:paraId="5D4C28DE" w14:textId="77777777" w:rsidR="00787495" w:rsidRDefault="00787495">
      <w:pPr>
        <w:rPr>
          <w:rFonts w:ascii="Garamond" w:hAnsi="Garamond"/>
          <w:b/>
          <w:lang w:val="en-AU"/>
        </w:rPr>
      </w:pPr>
      <w:r>
        <w:rPr>
          <w:rFonts w:ascii="Garamond" w:hAnsi="Garamond"/>
          <w:b/>
          <w:lang w:val="en-AU"/>
        </w:rPr>
        <w:br w:type="page"/>
      </w:r>
    </w:p>
    <w:p w14:paraId="332C5B51" w14:textId="41FE8BF6" w:rsidR="008A334C" w:rsidRPr="00E37911" w:rsidRDefault="008A334C" w:rsidP="004A5E6A">
      <w:pPr>
        <w:keepLines/>
        <w:rPr>
          <w:rFonts w:ascii="Garamond" w:hAnsi="Garamond"/>
          <w:b/>
          <w:lang w:val="en-AU"/>
        </w:rPr>
      </w:pPr>
      <w:r w:rsidRPr="00E37911">
        <w:rPr>
          <w:rFonts w:ascii="Garamond" w:hAnsi="Garamond"/>
          <w:b/>
          <w:lang w:val="en-AU"/>
        </w:rPr>
        <w:lastRenderedPageBreak/>
        <w:t>Online resources</w:t>
      </w:r>
    </w:p>
    <w:p w14:paraId="1EA5E9AB" w14:textId="527CF1CF" w:rsidR="00E02472" w:rsidRDefault="00E02472" w:rsidP="001D3F0C">
      <w:pPr>
        <w:tabs>
          <w:tab w:val="left" w:pos="1260"/>
        </w:tabs>
        <w:rPr>
          <w:rFonts w:ascii="Garamond" w:hAnsi="Garamond"/>
          <w:b/>
          <w:bCs/>
          <w:i/>
          <w:lang w:val="en-AU"/>
        </w:rPr>
      </w:pPr>
    </w:p>
    <w:p w14:paraId="7EC4C3D3" w14:textId="2BC207DE" w:rsidR="00686F29" w:rsidRDefault="00686F29" w:rsidP="00E02472">
      <w:pPr>
        <w:keepNext/>
        <w:rPr>
          <w:rFonts w:ascii="Garamond" w:hAnsi="Garamond"/>
          <w:b/>
          <w:bCs/>
          <w:i/>
          <w:lang w:val="en-AU"/>
        </w:rPr>
      </w:pPr>
      <w:r>
        <w:rPr>
          <w:rFonts w:ascii="Garamond" w:hAnsi="Garamond"/>
          <w:b/>
          <w:bCs/>
          <w:i/>
          <w:lang w:val="en-AU"/>
        </w:rPr>
        <w:t>My life after ICU</w:t>
      </w:r>
    </w:p>
    <w:p w14:paraId="128C9515" w14:textId="37AE0F07" w:rsidR="00686F29" w:rsidRPr="00686F29" w:rsidRDefault="00E86570" w:rsidP="00E02472">
      <w:pPr>
        <w:keepNext/>
        <w:rPr>
          <w:rFonts w:ascii="Garamond" w:hAnsi="Garamond"/>
          <w:iCs/>
          <w:lang w:val="en-AU"/>
        </w:rPr>
      </w:pPr>
      <w:hyperlink r:id="rId23" w:history="1">
        <w:r w:rsidR="00686F29" w:rsidRPr="00BF1D17">
          <w:rPr>
            <w:rStyle w:val="Hyperlink"/>
            <w:rFonts w:ascii="Garamond" w:hAnsi="Garamond"/>
            <w:iCs/>
            <w:lang w:val="en-AU"/>
          </w:rPr>
          <w:t>https://www.mylifeaftericu.com/</w:t>
        </w:r>
      </w:hyperlink>
    </w:p>
    <w:p w14:paraId="53FB74E5" w14:textId="161E4CD8" w:rsidR="00686F29" w:rsidRPr="00783DFF" w:rsidRDefault="00686F29" w:rsidP="00E02472">
      <w:pPr>
        <w:keepNext/>
        <w:rPr>
          <w:rFonts w:ascii="Garamond" w:hAnsi="Garamond"/>
          <w:iCs/>
          <w:lang w:val="en-AU"/>
        </w:rPr>
      </w:pPr>
      <w:r w:rsidRPr="00783DFF">
        <w:rPr>
          <w:rFonts w:ascii="Garamond" w:hAnsi="Garamond"/>
          <w:iCs/>
          <w:lang w:val="en-AU"/>
        </w:rPr>
        <w:t>This website provides information and resources for patients, families and caregivers who have experienced an ICU journey.</w:t>
      </w:r>
    </w:p>
    <w:p w14:paraId="6F51E7AC" w14:textId="77777777" w:rsidR="00686F29" w:rsidRPr="00686F29" w:rsidRDefault="00686F29" w:rsidP="00686F29">
      <w:pPr>
        <w:keepNext/>
        <w:rPr>
          <w:rFonts w:ascii="Garamond" w:hAnsi="Garamond"/>
          <w:iCs/>
          <w:lang w:val="en-AU"/>
        </w:rPr>
      </w:pPr>
      <w:r w:rsidRPr="00686F29">
        <w:rPr>
          <w:rFonts w:ascii="Garamond" w:hAnsi="Garamond"/>
          <w:iCs/>
          <w:lang w:val="en-AU"/>
        </w:rPr>
        <w:t xml:space="preserve">Designed for patients who have survived an Intensive Care admission, their families and care givers, Mylifeaftericu.com supports consumers as they navigate the challenges of recovery from critical illness. </w:t>
      </w:r>
    </w:p>
    <w:p w14:paraId="1A23249B" w14:textId="343195AA" w:rsidR="00686F29" w:rsidRPr="00686F29" w:rsidRDefault="00686F29" w:rsidP="00686F29">
      <w:pPr>
        <w:keepNext/>
        <w:rPr>
          <w:rFonts w:ascii="Garamond" w:hAnsi="Garamond"/>
          <w:iCs/>
          <w:lang w:val="en-AU"/>
        </w:rPr>
      </w:pPr>
      <w:r w:rsidRPr="00686F29">
        <w:rPr>
          <w:rFonts w:ascii="Garamond" w:hAnsi="Garamond"/>
          <w:iCs/>
          <w:lang w:val="en-AU"/>
        </w:rPr>
        <w:t>The site provides information on common conditions such as fatigue, flashbacks and memory changes to help provide context and allay anxiety.  The ICU experience is explained, along with relevant topics for both children and adults to clarify medical terminology, procedures and machines frequently used in the ICU.</w:t>
      </w:r>
    </w:p>
    <w:p w14:paraId="514AB9E2" w14:textId="77777777" w:rsidR="00686F29" w:rsidRDefault="00686F29" w:rsidP="00E02472">
      <w:pPr>
        <w:keepNext/>
        <w:rPr>
          <w:rFonts w:ascii="Garamond" w:hAnsi="Garamond"/>
          <w:b/>
          <w:bCs/>
          <w:i/>
          <w:lang w:val="en-AU"/>
        </w:rPr>
      </w:pPr>
    </w:p>
    <w:p w14:paraId="4746993F" w14:textId="3BCFD71F" w:rsidR="005E4FCA" w:rsidRPr="000F5713" w:rsidRDefault="000F5713">
      <w:pPr>
        <w:rPr>
          <w:rFonts w:ascii="Garamond" w:hAnsi="Garamond"/>
          <w:b/>
          <w:i/>
          <w:iCs/>
          <w:lang w:val="en-AU"/>
        </w:rPr>
      </w:pPr>
      <w:r w:rsidRPr="000F5713">
        <w:rPr>
          <w:rFonts w:ascii="Garamond" w:hAnsi="Garamond"/>
          <w:b/>
          <w:i/>
          <w:iCs/>
          <w:lang w:val="en-AU"/>
        </w:rPr>
        <w:t>Tips For New Pharmacists – From An Antimicrobial Stewardship Pharmacist</w:t>
      </w:r>
    </w:p>
    <w:p w14:paraId="2F7C8233" w14:textId="65B38168" w:rsidR="000F5713" w:rsidRDefault="00E86570">
      <w:pPr>
        <w:rPr>
          <w:rFonts w:ascii="Garamond" w:hAnsi="Garamond"/>
          <w:bCs/>
          <w:lang w:val="en-AU"/>
        </w:rPr>
      </w:pPr>
      <w:hyperlink r:id="rId24" w:history="1">
        <w:r w:rsidR="000F5713" w:rsidRPr="00D40EB1">
          <w:rPr>
            <w:rStyle w:val="Hyperlink"/>
            <w:rFonts w:ascii="Garamond" w:hAnsi="Garamond"/>
            <w:bCs/>
            <w:lang w:val="en-AU"/>
          </w:rPr>
          <w:t>https://www.idstewardship.com/tips-new-pharmacists-antimicrobial-stewardship-pharmacist/</w:t>
        </w:r>
      </w:hyperlink>
    </w:p>
    <w:p w14:paraId="4E584ED6" w14:textId="4F1D0E0F" w:rsidR="000F5713" w:rsidRDefault="000F5713">
      <w:pPr>
        <w:rPr>
          <w:rFonts w:ascii="Garamond" w:hAnsi="Garamond"/>
          <w:bCs/>
          <w:lang w:val="en-AU"/>
        </w:rPr>
      </w:pPr>
      <w:r>
        <w:rPr>
          <w:rFonts w:ascii="Garamond" w:hAnsi="Garamond"/>
          <w:bCs/>
          <w:lang w:val="en-AU"/>
        </w:rPr>
        <w:t xml:space="preserve">Webpage offering key tips for new pharmacists. The page also includes links to </w:t>
      </w:r>
      <w:proofErr w:type="gramStart"/>
      <w:r>
        <w:rPr>
          <w:rFonts w:ascii="Garamond" w:hAnsi="Garamond"/>
          <w:bCs/>
          <w:lang w:val="en-AU"/>
        </w:rPr>
        <w:t>a number of</w:t>
      </w:r>
      <w:proofErr w:type="gramEnd"/>
      <w:r>
        <w:rPr>
          <w:rFonts w:ascii="Garamond" w:hAnsi="Garamond"/>
          <w:bCs/>
          <w:lang w:val="en-AU"/>
        </w:rPr>
        <w:t xml:space="preserve"> resources. The tips include:</w:t>
      </w:r>
    </w:p>
    <w:p w14:paraId="5CAF2033" w14:textId="77777777" w:rsidR="000F5713" w:rsidRPr="000F5713" w:rsidRDefault="000F5713" w:rsidP="000F5713">
      <w:pPr>
        <w:pStyle w:val="ListParagraph"/>
        <w:numPr>
          <w:ilvl w:val="0"/>
          <w:numId w:val="48"/>
        </w:numPr>
        <w:rPr>
          <w:rFonts w:ascii="Garamond" w:hAnsi="Garamond"/>
          <w:bCs/>
          <w:lang w:val="en-AU"/>
        </w:rPr>
      </w:pPr>
      <w:r w:rsidRPr="000F5713">
        <w:rPr>
          <w:rFonts w:ascii="Garamond" w:hAnsi="Garamond"/>
          <w:bCs/>
          <w:lang w:val="en-AU"/>
        </w:rPr>
        <w:t xml:space="preserve">Prioritize patients that have urgent drug therapy issues </w:t>
      </w:r>
    </w:p>
    <w:p w14:paraId="76851EBB" w14:textId="6761DC2C" w:rsidR="000F5713" w:rsidRPr="000F5713" w:rsidRDefault="000F5713" w:rsidP="000F5713">
      <w:pPr>
        <w:pStyle w:val="ListParagraph"/>
        <w:numPr>
          <w:ilvl w:val="0"/>
          <w:numId w:val="48"/>
        </w:numPr>
        <w:rPr>
          <w:rFonts w:ascii="Garamond" w:hAnsi="Garamond"/>
          <w:bCs/>
          <w:lang w:val="en-AU"/>
        </w:rPr>
      </w:pPr>
      <w:r w:rsidRPr="000F5713">
        <w:rPr>
          <w:rFonts w:ascii="Garamond" w:hAnsi="Garamond"/>
          <w:bCs/>
          <w:lang w:val="en-AU"/>
        </w:rPr>
        <w:t>Prioritize review of patients on discharge</w:t>
      </w:r>
    </w:p>
    <w:p w14:paraId="0653C715" w14:textId="30487281" w:rsidR="000F5713" w:rsidRPr="000F5713" w:rsidRDefault="000F5713" w:rsidP="000F5713">
      <w:pPr>
        <w:pStyle w:val="ListParagraph"/>
        <w:numPr>
          <w:ilvl w:val="0"/>
          <w:numId w:val="48"/>
        </w:numPr>
        <w:rPr>
          <w:rFonts w:ascii="Garamond" w:hAnsi="Garamond"/>
          <w:bCs/>
          <w:lang w:val="en-AU"/>
        </w:rPr>
      </w:pPr>
      <w:r w:rsidRPr="000F5713">
        <w:rPr>
          <w:rFonts w:ascii="Garamond" w:hAnsi="Garamond"/>
          <w:bCs/>
          <w:lang w:val="en-AU"/>
        </w:rPr>
        <w:t>Look up any unfamiliar conditions and terms</w:t>
      </w:r>
    </w:p>
    <w:p w14:paraId="67AF3EBF" w14:textId="665D95A1" w:rsidR="000F5713" w:rsidRPr="000F5713" w:rsidRDefault="000F5713" w:rsidP="000F5713">
      <w:pPr>
        <w:pStyle w:val="ListParagraph"/>
        <w:numPr>
          <w:ilvl w:val="0"/>
          <w:numId w:val="48"/>
        </w:numPr>
        <w:rPr>
          <w:rFonts w:ascii="Garamond" w:hAnsi="Garamond"/>
          <w:bCs/>
          <w:lang w:val="en-AU"/>
        </w:rPr>
      </w:pPr>
      <w:r w:rsidRPr="000F5713">
        <w:rPr>
          <w:rFonts w:ascii="Garamond" w:hAnsi="Garamond"/>
          <w:bCs/>
          <w:lang w:val="en-AU"/>
        </w:rPr>
        <w:t>Be aware not to assume that a positive culture is the same thing as an infection</w:t>
      </w:r>
    </w:p>
    <w:p w14:paraId="28B13BF4" w14:textId="29050514" w:rsidR="000F5713" w:rsidRPr="000F5713" w:rsidRDefault="000F5713" w:rsidP="000F5713">
      <w:pPr>
        <w:pStyle w:val="ListParagraph"/>
        <w:numPr>
          <w:ilvl w:val="0"/>
          <w:numId w:val="48"/>
        </w:numPr>
        <w:rPr>
          <w:rFonts w:ascii="Garamond" w:hAnsi="Garamond"/>
          <w:bCs/>
          <w:lang w:val="en-AU"/>
        </w:rPr>
      </w:pPr>
      <w:r w:rsidRPr="000F5713">
        <w:rPr>
          <w:rFonts w:ascii="Garamond" w:hAnsi="Garamond"/>
          <w:bCs/>
          <w:lang w:val="en-AU"/>
        </w:rPr>
        <w:t>Do not overlook basic antimicrobial stewardship principles</w:t>
      </w:r>
      <w:r>
        <w:rPr>
          <w:rFonts w:ascii="Garamond" w:hAnsi="Garamond"/>
          <w:bCs/>
          <w:lang w:val="en-AU"/>
        </w:rPr>
        <w:t>.</w:t>
      </w:r>
    </w:p>
    <w:p w14:paraId="0082A362" w14:textId="0AD11004" w:rsidR="00884F6A" w:rsidRDefault="00884F6A">
      <w:pPr>
        <w:rPr>
          <w:rFonts w:ascii="Garamond" w:hAnsi="Garamond"/>
          <w:b/>
          <w:lang w:val="en-AU"/>
        </w:rPr>
      </w:pPr>
    </w:p>
    <w:p w14:paraId="11602267" w14:textId="30147EB1" w:rsidR="004B3A08" w:rsidRDefault="004B3A08">
      <w:pPr>
        <w:rPr>
          <w:rFonts w:ascii="Garamond" w:hAnsi="Garamond"/>
          <w:b/>
          <w:lang w:val="en-AU"/>
        </w:rPr>
      </w:pPr>
    </w:p>
    <w:p w14:paraId="1D4D2BC3" w14:textId="77777777" w:rsidR="004B3A08" w:rsidRDefault="004B3A08">
      <w:pPr>
        <w:rPr>
          <w:rFonts w:ascii="Garamond" w:hAnsi="Garamond"/>
          <w:b/>
          <w:lang w:val="en-AU"/>
        </w:rPr>
      </w:pPr>
    </w:p>
    <w:p w14:paraId="440D18F0" w14:textId="77777777" w:rsidR="004B3A08" w:rsidRDefault="004B3A08">
      <w:pPr>
        <w:rPr>
          <w:rFonts w:ascii="Garamond" w:hAnsi="Garamond"/>
          <w:b/>
          <w:lang w:val="en-AU"/>
        </w:rPr>
      </w:pPr>
      <w:r>
        <w:rPr>
          <w:rFonts w:ascii="Garamond" w:hAnsi="Garamond"/>
          <w:b/>
          <w:lang w:val="en-AU"/>
        </w:rPr>
        <w:br w:type="page"/>
      </w:r>
    </w:p>
    <w:p w14:paraId="12E7A6B9" w14:textId="34949B0D" w:rsidR="00B419AC" w:rsidRDefault="00B419AC" w:rsidP="00B419AC">
      <w:pPr>
        <w:keepNext/>
        <w:tabs>
          <w:tab w:val="left" w:pos="0"/>
        </w:tabs>
        <w:rPr>
          <w:rFonts w:ascii="Garamond" w:hAnsi="Garamond"/>
          <w:b/>
          <w:lang w:val="en-AU"/>
        </w:rPr>
      </w:pPr>
      <w:r>
        <w:rPr>
          <w:rFonts w:ascii="Garamond" w:hAnsi="Garamond"/>
          <w:b/>
          <w:lang w:val="en-AU"/>
        </w:rPr>
        <w:lastRenderedPageBreak/>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25"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26"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850BCD1"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27"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69B46551">
            <wp:extent cx="4424083" cy="6297197"/>
            <wp:effectExtent l="0" t="0" r="0" b="8890"/>
            <wp:docPr id="8" name="Picture 8" descr="COVID-19 poster – Combined contact and droplet precautio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925" cy="6521867"/>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29"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31"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32"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33"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36"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t xml:space="preserve">FAQs for consumers on elective surgery </w:t>
      </w:r>
      <w:hyperlink r:id="rId37" w:history="1">
        <w:r w:rsidRPr="0015250A">
          <w:rPr>
            <w:rStyle w:val="Hyperlink"/>
            <w:rFonts w:ascii="Garamond" w:hAnsi="Garamond"/>
            <w:lang w:val="en-AU"/>
          </w:rPr>
          <w:t>https://www.safetyandquality.gov.au/node/5725</w:t>
        </w:r>
      </w:hyperlink>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38"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6A753262">
            <wp:extent cx="5281165" cy="7778187"/>
            <wp:effectExtent l="19050" t="19050" r="15240" b="13335"/>
            <wp:docPr id="2" name="Picture 2" descr="COVID-19 and face masks information for consumers poster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E86570" w:rsidP="00D574D3">
      <w:pPr>
        <w:keepNext/>
        <w:keepLines/>
        <w:rPr>
          <w:rFonts w:ascii="Garamond" w:hAnsi="Garamond"/>
          <w:lang w:val="en-AU"/>
        </w:rPr>
      </w:pPr>
      <w:hyperlink r:id="rId41"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w:t>
      </w:r>
      <w:proofErr w:type="gramStart"/>
      <w:r w:rsidRPr="007F0962">
        <w:rPr>
          <w:rFonts w:ascii="Garamond" w:hAnsi="Garamond"/>
          <w:lang w:val="en-AU"/>
        </w:rPr>
        <w:t>in order to</w:t>
      </w:r>
      <w:proofErr w:type="gramEnd"/>
      <w:r w:rsidRPr="007F0962">
        <w:rPr>
          <w:rFonts w:ascii="Garamond" w:hAnsi="Garamond"/>
          <w:lang w:val="en-AU"/>
        </w:rPr>
        <w:t xml:space="preserve">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xml:space="preserve">. The guidelines address questions that are specific to managing COVID-19 and cover the full disease course across mild, moderate, severe and critical illness. These are ‘living’ guidelines, updated with new research in near real-time </w:t>
      </w:r>
      <w:proofErr w:type="gramStart"/>
      <w:r w:rsidRPr="007F0962">
        <w:rPr>
          <w:rFonts w:ascii="Garamond" w:hAnsi="Garamond"/>
          <w:lang w:val="en-AU"/>
        </w:rPr>
        <w:t>in order to</w:t>
      </w:r>
      <w:proofErr w:type="gramEnd"/>
      <w:r w:rsidRPr="007F0962">
        <w:rPr>
          <w:rFonts w:ascii="Garamond" w:hAnsi="Garamond"/>
          <w:lang w:val="en-AU"/>
        </w:rPr>
        <w:t xml:space="preserve">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E86570" w:rsidP="00D574D3">
      <w:pPr>
        <w:keepNext/>
        <w:keepLines/>
        <w:rPr>
          <w:rFonts w:ascii="Garamond" w:hAnsi="Garamond"/>
          <w:lang w:val="en-AU"/>
        </w:rPr>
      </w:pPr>
      <w:hyperlink r:id="rId42" w:history="1">
        <w:r w:rsidR="00D574D3" w:rsidRPr="007F0962">
          <w:rPr>
            <w:rStyle w:val="Hyperlink"/>
            <w:rFonts w:ascii="Garamond" w:hAnsi="Garamond"/>
            <w:lang w:val="en-AU"/>
          </w:rPr>
          <w:t>https://www.aci.health.nsw.gov.au/covid-19/critical-intelligence-unit</w:t>
        </w:r>
      </w:hyperlink>
    </w:p>
    <w:p w14:paraId="776A3053" w14:textId="338AB023"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intelligence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67AA9C24" w14:textId="56D7E791" w:rsidR="00387753" w:rsidRPr="00387753" w:rsidRDefault="00387753" w:rsidP="00FD18E4">
      <w:pPr>
        <w:pStyle w:val="ListParagraph"/>
        <w:numPr>
          <w:ilvl w:val="0"/>
          <w:numId w:val="14"/>
        </w:numPr>
        <w:rPr>
          <w:rFonts w:ascii="Garamond" w:hAnsi="Garamond"/>
          <w:lang w:val="en-AU"/>
        </w:rPr>
      </w:pPr>
      <w:r w:rsidRPr="00387753">
        <w:rPr>
          <w:rFonts w:ascii="Garamond" w:hAnsi="Garamond"/>
          <w:b/>
          <w:bCs/>
          <w:i/>
          <w:iCs/>
          <w:lang w:val="en-AU"/>
        </w:rPr>
        <w:t>Eating disorders and COVID-19</w:t>
      </w:r>
      <w:r w:rsidRPr="00387753">
        <w:rPr>
          <w:rFonts w:ascii="Garamond" w:hAnsi="Garamond"/>
          <w:lang w:val="en-AU"/>
        </w:rPr>
        <w:t xml:space="preserve"> –</w:t>
      </w:r>
      <w:r>
        <w:rPr>
          <w:rFonts w:ascii="Garamond" w:hAnsi="Garamond"/>
          <w:lang w:val="en-AU"/>
        </w:rPr>
        <w:t xml:space="preserve"> </w:t>
      </w:r>
      <w:r w:rsidRPr="00387753">
        <w:rPr>
          <w:rFonts w:ascii="Garamond" w:hAnsi="Garamond"/>
          <w:lang w:val="en-AU"/>
        </w:rPr>
        <w:t>What is the impact of the COVID-19 pandemic on the prevalence of eating disorders?</w:t>
      </w:r>
    </w:p>
    <w:p w14:paraId="6F4F2793" w14:textId="48405932" w:rsidR="00DE1CAD" w:rsidRDefault="00DE1CAD" w:rsidP="00DE1CAD">
      <w:pPr>
        <w:pStyle w:val="ListParagraph"/>
        <w:numPr>
          <w:ilvl w:val="0"/>
          <w:numId w:val="14"/>
        </w:numPr>
        <w:rPr>
          <w:rFonts w:ascii="Garamond" w:hAnsi="Garamond"/>
          <w:lang w:val="en-AU"/>
        </w:rPr>
      </w:pPr>
      <w:r w:rsidRPr="007D5753">
        <w:rPr>
          <w:rFonts w:ascii="Garamond" w:hAnsi="Garamond"/>
          <w:b/>
          <w:bCs/>
          <w:i/>
          <w:iCs/>
          <w:lang w:val="en-AU"/>
        </w:rPr>
        <w:t xml:space="preserve">Long COVID – </w:t>
      </w:r>
      <w:r w:rsidRPr="007D5753">
        <w:rPr>
          <w:rFonts w:ascii="Garamond" w:hAnsi="Garamond"/>
          <w:lang w:val="en-AU"/>
        </w:rPr>
        <w:t>What is the evidence on the prevalence, presentation and management of long-COVID?</w:t>
      </w:r>
    </w:p>
    <w:p w14:paraId="74E74F2B" w14:textId="2AD4DB21"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Oseltamivir (Tamiflu) use in healthcare settings </w:t>
      </w:r>
      <w:r w:rsidRPr="007D5753">
        <w:rPr>
          <w:rFonts w:ascii="Garamond" w:hAnsi="Garamond"/>
          <w:lang w:val="en-AU"/>
        </w:rPr>
        <w:t>– What is the evidence that use of oseltamivir in healthcare workers with a symptomatic influenza diagnosis result in an earlier return to work and reduced absenteeism?</w:t>
      </w:r>
      <w:r>
        <w:rPr>
          <w:rFonts w:ascii="Garamond" w:hAnsi="Garamond"/>
          <w:lang w:val="en-AU"/>
        </w:rPr>
        <w:t xml:space="preserve"> </w:t>
      </w:r>
      <w:r w:rsidRPr="007D5753">
        <w:rPr>
          <w:rFonts w:ascii="Garamond" w:hAnsi="Garamond"/>
          <w:lang w:val="en-AU"/>
        </w:rPr>
        <w:t>What is the evidence that use of oseltamivir in adults and children with symptomatic influenza reduces influenza transmission in health care settings?</w:t>
      </w:r>
    </w:p>
    <w:p w14:paraId="267D35B4" w14:textId="2242520D"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Alternative models of care for acute medical conditions </w:t>
      </w:r>
      <w:r w:rsidRPr="007D5753">
        <w:rPr>
          <w:rFonts w:ascii="Garamond" w:hAnsi="Garamond"/>
          <w:lang w:val="en-AU"/>
        </w:rPr>
        <w:t>– What is the evidence on alternative models of care for managing patients with acute medical conditions outside of emergency or inpatient hospital settings?</w:t>
      </w:r>
    </w:p>
    <w:p w14:paraId="6DFA7B86" w14:textId="2E46E183" w:rsidR="002656EC" w:rsidRPr="007D5753" w:rsidRDefault="002656EC" w:rsidP="00CA798D">
      <w:pPr>
        <w:pStyle w:val="ListParagraph"/>
        <w:numPr>
          <w:ilvl w:val="0"/>
          <w:numId w:val="14"/>
        </w:numPr>
        <w:rPr>
          <w:rFonts w:ascii="Garamond" w:hAnsi="Garamond"/>
          <w:lang w:val="en-AU"/>
        </w:rPr>
      </w:pPr>
      <w:r w:rsidRPr="007D5753">
        <w:rPr>
          <w:rFonts w:ascii="Garamond" w:hAnsi="Garamond"/>
          <w:b/>
          <w:bCs/>
          <w:i/>
          <w:iCs/>
          <w:lang w:val="en-AU"/>
        </w:rPr>
        <w:t>Exercise and long COVID</w:t>
      </w:r>
      <w:r w:rsidRPr="007D5753">
        <w:rPr>
          <w:rFonts w:ascii="Garamond" w:hAnsi="Garamond"/>
          <w:lang w:val="en-AU"/>
        </w:rPr>
        <w:t xml:space="preserve"> – Is exercise helpful in individuals with long COVID? Is post-exertional symptom exacerbation a risk in long COVID?</w:t>
      </w:r>
    </w:p>
    <w:p w14:paraId="23D347B9" w14:textId="1E52EA7D"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Influenza and seasonal prophylaxis with oseltamivir</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place or evidence for seasonal influenza prophylaxis (such as taking oseltamivir for 10 to 12 weeks continuously) in healthcare and aged care settings?</w:t>
      </w:r>
    </w:p>
    <w:p w14:paraId="65CFBB60" w14:textId="4E934869"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Rapid access models of care for respiratory illnesses</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for rapid access models of care for respiratory illnesses, especially during winter seasons, in emergency departments?</w:t>
      </w:r>
    </w:p>
    <w:p w14:paraId="1D23080C" w14:textId="0F7CA941"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Current and emerging patient safety issues during COVID-19</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on the current and emerging patient safety issues arising from the COVID-19 pandemic?</w:t>
      </w:r>
    </w:p>
    <w:p w14:paraId="500EA67A" w14:textId="5D1581D7" w:rsidR="009B64C0" w:rsidRPr="00E65D5F" w:rsidRDefault="009B64C0" w:rsidP="009B64C0">
      <w:pPr>
        <w:pStyle w:val="ListParagraph"/>
        <w:numPr>
          <w:ilvl w:val="0"/>
          <w:numId w:val="14"/>
        </w:numPr>
        <w:rPr>
          <w:rFonts w:ascii="Garamond" w:hAnsi="Garamond"/>
          <w:lang w:val="en-AU"/>
        </w:rPr>
      </w:pPr>
      <w:r w:rsidRPr="00E65D5F">
        <w:rPr>
          <w:rFonts w:ascii="Garamond" w:hAnsi="Garamond"/>
          <w:b/>
          <w:bCs/>
          <w:i/>
          <w:iCs/>
          <w:lang w:val="en-AU"/>
        </w:rPr>
        <w:t>Post-acute sequelae of COVID-19</w:t>
      </w:r>
      <w:r w:rsidRPr="00E65D5F">
        <w:rPr>
          <w:rFonts w:ascii="Garamond" w:hAnsi="Garamond"/>
          <w:lang w:val="en-AU"/>
        </w:rPr>
        <w:t xml:space="preserve"> –</w:t>
      </w:r>
      <w:r>
        <w:rPr>
          <w:rFonts w:ascii="Garamond" w:hAnsi="Garamond"/>
          <w:lang w:val="en-AU"/>
        </w:rPr>
        <w:t xml:space="preserve"> </w:t>
      </w:r>
      <w:r w:rsidRPr="00E65D5F">
        <w:rPr>
          <w:rFonts w:ascii="Garamond" w:hAnsi="Garamond"/>
          <w:lang w:val="en-AU"/>
        </w:rPr>
        <w:t>What is the evidence on the post-acute sequelae of COVID-19?</w:t>
      </w:r>
    </w:p>
    <w:p w14:paraId="4F05B4DC" w14:textId="5FA6F259" w:rsidR="00EF458A" w:rsidRPr="00EF458A" w:rsidRDefault="00EF458A" w:rsidP="00AA2BC9">
      <w:pPr>
        <w:pStyle w:val="ListParagraph"/>
        <w:numPr>
          <w:ilvl w:val="0"/>
          <w:numId w:val="14"/>
        </w:numPr>
        <w:rPr>
          <w:rFonts w:ascii="Garamond" w:hAnsi="Garamond"/>
          <w:lang w:val="en-AU"/>
        </w:rPr>
      </w:pPr>
      <w:r w:rsidRPr="00EF458A">
        <w:rPr>
          <w:rFonts w:ascii="Garamond" w:hAnsi="Garamond"/>
          <w:b/>
          <w:bCs/>
          <w:i/>
          <w:iCs/>
          <w:lang w:val="en-AU"/>
        </w:rPr>
        <w:t>Emerging variants</w:t>
      </w:r>
      <w:r w:rsidRPr="00EF458A">
        <w:rPr>
          <w:rFonts w:ascii="Garamond" w:hAnsi="Garamond"/>
          <w:lang w:val="en-AU"/>
        </w:rPr>
        <w:t xml:space="preserve"> – What is the available evidence for emerging variants?</w:t>
      </w:r>
    </w:p>
    <w:p w14:paraId="64BC0BDB" w14:textId="5D8EEC22"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Chest pain or dyspnoea following COVID-19 vaccination</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chest pain or dyspnoea following COVID-19 vaccination?</w:t>
      </w:r>
    </w:p>
    <w:p w14:paraId="3640A394" w14:textId="1554D28D"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Cardiac investigations and elective surgery post-COVID-19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cardiac investigations and elective surgery post-COVID-19?</w:t>
      </w:r>
    </w:p>
    <w:p w14:paraId="39AF46F3" w14:textId="4BBA71AB"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lastRenderedPageBreak/>
        <w:t>Breathlessness post 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How to determine those patients who present with ongoing breathlessness in need of urgent review or intervention due to suspected pulmonary embolus?</w:t>
      </w:r>
    </w:p>
    <w:p w14:paraId="0B0F387E" w14:textId="78F27795" w:rsidR="00025B3B" w:rsidRPr="00025B3B" w:rsidRDefault="00025B3B" w:rsidP="00B8484F">
      <w:pPr>
        <w:pStyle w:val="ListParagraph"/>
        <w:numPr>
          <w:ilvl w:val="0"/>
          <w:numId w:val="14"/>
        </w:numPr>
        <w:rPr>
          <w:rFonts w:ascii="Garamond" w:hAnsi="Garamond"/>
          <w:lang w:val="en-AU"/>
        </w:rPr>
      </w:pPr>
      <w:r w:rsidRPr="00025B3B">
        <w:rPr>
          <w:rFonts w:ascii="Garamond" w:hAnsi="Garamond"/>
          <w:b/>
          <w:bCs/>
          <w:i/>
          <w:iCs/>
          <w:lang w:val="en-AU"/>
        </w:rPr>
        <w:t>COVID-19 pandemic and influenza</w:t>
      </w:r>
      <w:r w:rsidRPr="00025B3B">
        <w:rPr>
          <w:rFonts w:ascii="Garamond" w:hAnsi="Garamond"/>
          <w:lang w:val="en-AU"/>
        </w:rPr>
        <w:t xml:space="preserve"> –</w:t>
      </w:r>
      <w:r>
        <w:rPr>
          <w:rFonts w:ascii="Garamond" w:hAnsi="Garamond"/>
          <w:lang w:val="en-AU"/>
        </w:rPr>
        <w:t xml:space="preserve"> </w:t>
      </w:r>
      <w:r w:rsidRPr="00025B3B">
        <w:rPr>
          <w:rFonts w:ascii="Garamond" w:hAnsi="Garamond"/>
          <w:lang w:val="en-AU"/>
        </w:rPr>
        <w:t>What is the evidence for COVID-19 pandemic and influenza?</w:t>
      </w:r>
    </w:p>
    <w:p w14:paraId="02231648" w14:textId="49CD9A53" w:rsidR="00066B5A" w:rsidRPr="00066B5A" w:rsidRDefault="00066B5A" w:rsidP="00132CF7">
      <w:pPr>
        <w:pStyle w:val="ListParagraph"/>
        <w:numPr>
          <w:ilvl w:val="0"/>
          <w:numId w:val="14"/>
        </w:numPr>
        <w:rPr>
          <w:rFonts w:ascii="Garamond" w:hAnsi="Garamond"/>
          <w:lang w:val="en-AU"/>
        </w:rPr>
      </w:pPr>
      <w:r w:rsidRPr="00066B5A">
        <w:rPr>
          <w:rFonts w:ascii="Garamond" w:hAnsi="Garamond"/>
          <w:b/>
          <w:bCs/>
          <w:i/>
          <w:iCs/>
          <w:lang w:val="en-AU"/>
        </w:rPr>
        <w:t>Budesonide and aspirin for pregnant women with COVID-19 –</w:t>
      </w:r>
      <w:r>
        <w:rPr>
          <w:rFonts w:ascii="Garamond" w:hAnsi="Garamond"/>
          <w:b/>
          <w:bCs/>
          <w:i/>
          <w:iCs/>
          <w:lang w:val="en-AU"/>
        </w:rPr>
        <w:t xml:space="preserve"> </w:t>
      </w:r>
      <w:r w:rsidRPr="00066B5A">
        <w:rPr>
          <w:rFonts w:ascii="Garamond" w:hAnsi="Garamond"/>
          <w:lang w:val="en-AU"/>
        </w:rPr>
        <w:t>What is the evidence for the use of Budesonide for pregnant women with COVID-19? What is the evidence for aspirin prophylaxis for pre-eclampsia in pregnant women with a COVID-19 infection?</w:t>
      </w:r>
    </w:p>
    <w:p w14:paraId="2982D7CA"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50C0F5CD" w14:textId="3500FE28" w:rsidR="00EF6217" w:rsidRPr="00EF6217" w:rsidRDefault="00EF6217" w:rsidP="00132CF7">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proofErr w:type="spellStart"/>
      <w:r w:rsidRPr="00F509BF">
        <w:rPr>
          <w:rFonts w:ascii="Garamond" w:hAnsi="Garamond"/>
          <w:b/>
          <w:bCs/>
          <w:i/>
          <w:iCs/>
          <w:lang w:val="en-AU"/>
        </w:rPr>
        <w:t>Post acute</w:t>
      </w:r>
      <w:proofErr w:type="spellEnd"/>
      <w:r w:rsidRPr="00F509BF">
        <w:rPr>
          <w:rFonts w:ascii="Garamond" w:hAnsi="Garamond"/>
          <w:b/>
          <w:bCs/>
          <w:i/>
          <w:iCs/>
          <w:lang w:val="en-AU"/>
        </w:rPr>
        <w:t xml:space="preserv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FAE7A58" w:rsid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63987B20" w14:textId="3A5FE9AE" w:rsidR="003967EB" w:rsidRDefault="003967EB" w:rsidP="003967EB">
      <w:pPr>
        <w:ind w:left="360"/>
        <w:rPr>
          <w:rFonts w:ascii="Garamond" w:hAnsi="Garamond"/>
          <w:lang w:val="en-AU"/>
        </w:rPr>
      </w:pPr>
    </w:p>
    <w:p w14:paraId="0C948B29" w14:textId="39AB5A4B" w:rsidR="00E448C0" w:rsidRDefault="00E448C0" w:rsidP="003967EB">
      <w:pPr>
        <w:ind w:left="360"/>
        <w:rPr>
          <w:rFonts w:ascii="Garamond" w:hAnsi="Garamond"/>
          <w:lang w:val="en-AU"/>
        </w:rPr>
      </w:pPr>
    </w:p>
    <w:p w14:paraId="7DB3C423" w14:textId="77777777" w:rsidR="00E448C0" w:rsidRDefault="00E448C0" w:rsidP="003967EB">
      <w:pPr>
        <w:ind w:left="360"/>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7D5D249E"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43"/>
      <w:footerReference w:type="default" r:id="rId44"/>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D4794" w14:textId="77777777" w:rsidR="002108ED" w:rsidRDefault="002108ED">
      <w:r>
        <w:separator/>
      </w:r>
    </w:p>
  </w:endnote>
  <w:endnote w:type="continuationSeparator" w:id="0">
    <w:p w14:paraId="0E002962" w14:textId="77777777" w:rsidR="002108ED" w:rsidRDefault="0021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4822F5F1"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w:t>
    </w:r>
    <w:r w:rsidR="000B2EB2">
      <w:rPr>
        <w:rFonts w:ascii="Garamond" w:hAnsi="Garamond"/>
      </w:rPr>
      <w:t>7</w:t>
    </w:r>
    <w:r w:rsidR="00FD32CF">
      <w:rPr>
        <w:rFonts w:ascii="Garamond" w:hAnsi="Garamond"/>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0B6A1E8C" w:rsidR="00CA798D" w:rsidRPr="001E78F0" w:rsidRDefault="00CA798D" w:rsidP="005A1055">
    <w:pPr>
      <w:pStyle w:val="Footer"/>
      <w:tabs>
        <w:tab w:val="clear" w:pos="4153"/>
        <w:tab w:val="clear" w:pos="8306"/>
        <w:tab w:val="left" w:pos="3342"/>
      </w:tabs>
      <w:ind w:right="360"/>
      <w:rPr>
        <w:rFonts w:ascii="Garamond" w:hAnsi="Garamond"/>
      </w:rPr>
    </w:pPr>
    <w:r w:rsidRPr="001E78F0">
      <w:rPr>
        <w:rFonts w:ascii="Garamond" w:hAnsi="Garamond"/>
        <w:i/>
      </w:rPr>
      <w:t>On the Radar</w:t>
    </w:r>
    <w:r>
      <w:rPr>
        <w:rFonts w:ascii="Garamond" w:hAnsi="Garamond"/>
      </w:rPr>
      <w:t xml:space="preserve"> Issue 5</w:t>
    </w:r>
    <w:r w:rsidR="000B2EB2">
      <w:rPr>
        <w:rFonts w:ascii="Garamond" w:hAnsi="Garamond"/>
      </w:rPr>
      <w:t>7</w:t>
    </w:r>
    <w:r w:rsidR="00FD32CF">
      <w:rPr>
        <w:rFonts w:ascii="Garamond" w:hAnsi="Garamond"/>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B8E1E" w14:textId="77777777" w:rsidR="002108ED" w:rsidRDefault="002108ED">
      <w:r>
        <w:separator/>
      </w:r>
    </w:p>
  </w:footnote>
  <w:footnote w:type="continuationSeparator" w:id="0">
    <w:p w14:paraId="0F17F264" w14:textId="77777777" w:rsidR="002108ED" w:rsidRDefault="00210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B1A5A"/>
    <w:multiLevelType w:val="hybridMultilevel"/>
    <w:tmpl w:val="50EE5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C114C9"/>
    <w:multiLevelType w:val="hybridMultilevel"/>
    <w:tmpl w:val="274C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A05861"/>
    <w:multiLevelType w:val="hybridMultilevel"/>
    <w:tmpl w:val="9DDCA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E3763A"/>
    <w:multiLevelType w:val="hybridMultilevel"/>
    <w:tmpl w:val="A566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A4C93"/>
    <w:multiLevelType w:val="hybridMultilevel"/>
    <w:tmpl w:val="C0BA4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22633B"/>
    <w:multiLevelType w:val="hybridMultilevel"/>
    <w:tmpl w:val="45A08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AF2EE4"/>
    <w:multiLevelType w:val="hybridMultilevel"/>
    <w:tmpl w:val="4318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E36B1"/>
    <w:multiLevelType w:val="hybridMultilevel"/>
    <w:tmpl w:val="B432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F30170"/>
    <w:multiLevelType w:val="hybridMultilevel"/>
    <w:tmpl w:val="C3D8C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431198"/>
    <w:multiLevelType w:val="hybridMultilevel"/>
    <w:tmpl w:val="40B6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E0DDF"/>
    <w:multiLevelType w:val="hybridMultilevel"/>
    <w:tmpl w:val="B6685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6D2240"/>
    <w:multiLevelType w:val="hybridMultilevel"/>
    <w:tmpl w:val="792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452C5"/>
    <w:multiLevelType w:val="hybridMultilevel"/>
    <w:tmpl w:val="0A08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AA1381"/>
    <w:multiLevelType w:val="hybridMultilevel"/>
    <w:tmpl w:val="F6D265D4"/>
    <w:lvl w:ilvl="0" w:tplc="21C6F6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BF63F5"/>
    <w:multiLevelType w:val="hybridMultilevel"/>
    <w:tmpl w:val="865C0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764336"/>
    <w:multiLevelType w:val="hybridMultilevel"/>
    <w:tmpl w:val="3C9CA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2E4513"/>
    <w:multiLevelType w:val="hybridMultilevel"/>
    <w:tmpl w:val="688E68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5D4C0C"/>
    <w:multiLevelType w:val="hybridMultilevel"/>
    <w:tmpl w:val="4C78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0F0D51"/>
    <w:multiLevelType w:val="hybridMultilevel"/>
    <w:tmpl w:val="FF589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252EEE"/>
    <w:multiLevelType w:val="hybridMultilevel"/>
    <w:tmpl w:val="3838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426B16"/>
    <w:multiLevelType w:val="hybridMultilevel"/>
    <w:tmpl w:val="EC3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571D23"/>
    <w:multiLevelType w:val="hybridMultilevel"/>
    <w:tmpl w:val="0FA4704E"/>
    <w:lvl w:ilvl="0" w:tplc="D556BB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7C26A4"/>
    <w:multiLevelType w:val="hybridMultilevel"/>
    <w:tmpl w:val="20C80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C14A1D"/>
    <w:multiLevelType w:val="hybridMultilevel"/>
    <w:tmpl w:val="DED2D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C7636D"/>
    <w:multiLevelType w:val="hybridMultilevel"/>
    <w:tmpl w:val="4D74A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07516B"/>
    <w:multiLevelType w:val="hybridMultilevel"/>
    <w:tmpl w:val="992A5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E578D1"/>
    <w:multiLevelType w:val="hybridMultilevel"/>
    <w:tmpl w:val="9BD23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F05960"/>
    <w:multiLevelType w:val="hybridMultilevel"/>
    <w:tmpl w:val="0472E316"/>
    <w:lvl w:ilvl="0" w:tplc="8188BC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D65678"/>
    <w:multiLevelType w:val="hybridMultilevel"/>
    <w:tmpl w:val="162A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DD215B"/>
    <w:multiLevelType w:val="hybridMultilevel"/>
    <w:tmpl w:val="50DEE4A2"/>
    <w:lvl w:ilvl="0" w:tplc="627C8B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4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3"/>
  </w:num>
  <w:num w:numId="14">
    <w:abstractNumId w:val="27"/>
  </w:num>
  <w:num w:numId="15">
    <w:abstractNumId w:val="32"/>
  </w:num>
  <w:num w:numId="16">
    <w:abstractNumId w:val="16"/>
  </w:num>
  <w:num w:numId="17">
    <w:abstractNumId w:val="18"/>
  </w:num>
  <w:num w:numId="18">
    <w:abstractNumId w:val="38"/>
  </w:num>
  <w:num w:numId="19">
    <w:abstractNumId w:val="19"/>
  </w:num>
  <w:num w:numId="20">
    <w:abstractNumId w:val="23"/>
  </w:num>
  <w:num w:numId="21">
    <w:abstractNumId w:val="21"/>
  </w:num>
  <w:num w:numId="22">
    <w:abstractNumId w:val="30"/>
  </w:num>
  <w:num w:numId="23">
    <w:abstractNumId w:val="25"/>
  </w:num>
  <w:num w:numId="24">
    <w:abstractNumId w:val="19"/>
  </w:num>
  <w:num w:numId="25">
    <w:abstractNumId w:val="37"/>
  </w:num>
  <w:num w:numId="26">
    <w:abstractNumId w:val="11"/>
  </w:num>
  <w:num w:numId="27">
    <w:abstractNumId w:val="10"/>
  </w:num>
  <w:num w:numId="28">
    <w:abstractNumId w:val="44"/>
  </w:num>
  <w:num w:numId="29">
    <w:abstractNumId w:val="43"/>
  </w:num>
  <w:num w:numId="30">
    <w:abstractNumId w:val="36"/>
  </w:num>
  <w:num w:numId="31">
    <w:abstractNumId w:val="22"/>
  </w:num>
  <w:num w:numId="32">
    <w:abstractNumId w:val="14"/>
  </w:num>
  <w:num w:numId="33">
    <w:abstractNumId w:val="29"/>
  </w:num>
  <w:num w:numId="34">
    <w:abstractNumId w:val="10"/>
  </w:num>
  <w:num w:numId="35">
    <w:abstractNumId w:val="41"/>
  </w:num>
  <w:num w:numId="36">
    <w:abstractNumId w:val="40"/>
  </w:num>
  <w:num w:numId="37">
    <w:abstractNumId w:val="31"/>
  </w:num>
  <w:num w:numId="38">
    <w:abstractNumId w:val="15"/>
  </w:num>
  <w:num w:numId="39">
    <w:abstractNumId w:val="45"/>
  </w:num>
  <w:num w:numId="40">
    <w:abstractNumId w:val="13"/>
  </w:num>
  <w:num w:numId="41">
    <w:abstractNumId w:val="28"/>
  </w:num>
  <w:num w:numId="42">
    <w:abstractNumId w:val="34"/>
  </w:num>
  <w:num w:numId="43">
    <w:abstractNumId w:val="24"/>
  </w:num>
  <w:num w:numId="44">
    <w:abstractNumId w:val="17"/>
  </w:num>
  <w:num w:numId="45">
    <w:abstractNumId w:val="12"/>
  </w:num>
  <w:num w:numId="46">
    <w:abstractNumId w:val="35"/>
  </w:num>
  <w:num w:numId="47">
    <w:abstractNumId w:val="39"/>
  </w:num>
  <w:num w:numId="4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B3B"/>
    <w:rsid w:val="00025D95"/>
    <w:rsid w:val="00025DC1"/>
    <w:rsid w:val="00025DFC"/>
    <w:rsid w:val="00025ED6"/>
    <w:rsid w:val="000267F1"/>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331"/>
    <w:rsid w:val="000444A5"/>
    <w:rsid w:val="0004450B"/>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2D1"/>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FAD"/>
    <w:rsid w:val="00057111"/>
    <w:rsid w:val="0005715D"/>
    <w:rsid w:val="00057184"/>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FA9"/>
    <w:rsid w:val="00076252"/>
    <w:rsid w:val="00076630"/>
    <w:rsid w:val="00076AD9"/>
    <w:rsid w:val="00076CA1"/>
    <w:rsid w:val="00076F63"/>
    <w:rsid w:val="0007700B"/>
    <w:rsid w:val="00077417"/>
    <w:rsid w:val="000774CF"/>
    <w:rsid w:val="0007753D"/>
    <w:rsid w:val="00077753"/>
    <w:rsid w:val="000778FC"/>
    <w:rsid w:val="00077931"/>
    <w:rsid w:val="00077ADD"/>
    <w:rsid w:val="00077D98"/>
    <w:rsid w:val="00077F9E"/>
    <w:rsid w:val="00080118"/>
    <w:rsid w:val="0008018C"/>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3E9"/>
    <w:rsid w:val="000A757B"/>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9B1"/>
    <w:rsid w:val="000B39B2"/>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4DA"/>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D6E"/>
    <w:rsid w:val="000E6F10"/>
    <w:rsid w:val="000E6F6C"/>
    <w:rsid w:val="000E70D8"/>
    <w:rsid w:val="000E7677"/>
    <w:rsid w:val="000E7C75"/>
    <w:rsid w:val="000E7F27"/>
    <w:rsid w:val="000F010F"/>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D1"/>
    <w:rsid w:val="000F2054"/>
    <w:rsid w:val="000F214D"/>
    <w:rsid w:val="000F2187"/>
    <w:rsid w:val="000F22AD"/>
    <w:rsid w:val="000F25DD"/>
    <w:rsid w:val="000F260A"/>
    <w:rsid w:val="000F293D"/>
    <w:rsid w:val="000F2A94"/>
    <w:rsid w:val="000F2B0F"/>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A8"/>
    <w:rsid w:val="001154E9"/>
    <w:rsid w:val="0011590C"/>
    <w:rsid w:val="00115990"/>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17C"/>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A1A"/>
    <w:rsid w:val="00131BB6"/>
    <w:rsid w:val="00132070"/>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370"/>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8C5"/>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F4"/>
    <w:rsid w:val="00185EA7"/>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06"/>
    <w:rsid w:val="00193858"/>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106"/>
    <w:rsid w:val="001A6192"/>
    <w:rsid w:val="001A62B1"/>
    <w:rsid w:val="001A632A"/>
    <w:rsid w:val="001A66F9"/>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98A"/>
    <w:rsid w:val="001B49B3"/>
    <w:rsid w:val="001B4ACF"/>
    <w:rsid w:val="001B4C12"/>
    <w:rsid w:val="001B4F49"/>
    <w:rsid w:val="001B5138"/>
    <w:rsid w:val="001B5298"/>
    <w:rsid w:val="001B53F8"/>
    <w:rsid w:val="001B5733"/>
    <w:rsid w:val="001B59C3"/>
    <w:rsid w:val="001B5FD5"/>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3CC"/>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D9A"/>
    <w:rsid w:val="00204ECE"/>
    <w:rsid w:val="00204FF3"/>
    <w:rsid w:val="0020500E"/>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8ED"/>
    <w:rsid w:val="002109D0"/>
    <w:rsid w:val="002109FD"/>
    <w:rsid w:val="00210A87"/>
    <w:rsid w:val="00210B78"/>
    <w:rsid w:val="00210CC3"/>
    <w:rsid w:val="00210D69"/>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510"/>
    <w:rsid w:val="00216567"/>
    <w:rsid w:val="002165DE"/>
    <w:rsid w:val="00216708"/>
    <w:rsid w:val="002167F8"/>
    <w:rsid w:val="00216829"/>
    <w:rsid w:val="00216C46"/>
    <w:rsid w:val="00216EFD"/>
    <w:rsid w:val="00216FE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8E5"/>
    <w:rsid w:val="00221A96"/>
    <w:rsid w:val="00221B5E"/>
    <w:rsid w:val="00221DBB"/>
    <w:rsid w:val="00221EC7"/>
    <w:rsid w:val="0022237D"/>
    <w:rsid w:val="0022247D"/>
    <w:rsid w:val="0022250E"/>
    <w:rsid w:val="002225EA"/>
    <w:rsid w:val="002226F0"/>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81"/>
    <w:rsid w:val="00232FA8"/>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2C3"/>
    <w:rsid w:val="0028738D"/>
    <w:rsid w:val="0028743D"/>
    <w:rsid w:val="002876DF"/>
    <w:rsid w:val="00287798"/>
    <w:rsid w:val="0028783C"/>
    <w:rsid w:val="00287CBB"/>
    <w:rsid w:val="00287D72"/>
    <w:rsid w:val="00287E3A"/>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BF"/>
    <w:rsid w:val="0029660E"/>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091C"/>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DE3"/>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4B7"/>
    <w:rsid w:val="002D4714"/>
    <w:rsid w:val="002D4744"/>
    <w:rsid w:val="002D4811"/>
    <w:rsid w:val="002D48A3"/>
    <w:rsid w:val="002D4B7D"/>
    <w:rsid w:val="002D4C6B"/>
    <w:rsid w:val="002D4F76"/>
    <w:rsid w:val="002D50C1"/>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87"/>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DE2"/>
    <w:rsid w:val="00301F1F"/>
    <w:rsid w:val="00302133"/>
    <w:rsid w:val="003021D2"/>
    <w:rsid w:val="00302358"/>
    <w:rsid w:val="0030289E"/>
    <w:rsid w:val="00302C8D"/>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3B"/>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F91"/>
    <w:rsid w:val="0035408C"/>
    <w:rsid w:val="003540E0"/>
    <w:rsid w:val="003541B3"/>
    <w:rsid w:val="003546E7"/>
    <w:rsid w:val="00354740"/>
    <w:rsid w:val="003547D2"/>
    <w:rsid w:val="00354906"/>
    <w:rsid w:val="00354B63"/>
    <w:rsid w:val="00354BC1"/>
    <w:rsid w:val="00354C54"/>
    <w:rsid w:val="00354E3A"/>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53"/>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99F"/>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023"/>
    <w:rsid w:val="003C227B"/>
    <w:rsid w:val="003C246D"/>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977"/>
    <w:rsid w:val="003C6DC0"/>
    <w:rsid w:val="003C6F8F"/>
    <w:rsid w:val="003C7040"/>
    <w:rsid w:val="003C705F"/>
    <w:rsid w:val="003C70D0"/>
    <w:rsid w:val="003C738D"/>
    <w:rsid w:val="003C7404"/>
    <w:rsid w:val="003C7452"/>
    <w:rsid w:val="003C75BA"/>
    <w:rsid w:val="003C781C"/>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867"/>
    <w:rsid w:val="003D4911"/>
    <w:rsid w:val="003D4912"/>
    <w:rsid w:val="003D4A84"/>
    <w:rsid w:val="003D4BCC"/>
    <w:rsid w:val="003D4E67"/>
    <w:rsid w:val="003D5043"/>
    <w:rsid w:val="003D51C0"/>
    <w:rsid w:val="003D583F"/>
    <w:rsid w:val="003D5E00"/>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38"/>
    <w:rsid w:val="0040773F"/>
    <w:rsid w:val="004077C5"/>
    <w:rsid w:val="00407B31"/>
    <w:rsid w:val="00407B96"/>
    <w:rsid w:val="00407C34"/>
    <w:rsid w:val="00407D0D"/>
    <w:rsid w:val="00407DC7"/>
    <w:rsid w:val="00407E5A"/>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D86"/>
    <w:rsid w:val="00413F80"/>
    <w:rsid w:val="004141B4"/>
    <w:rsid w:val="00414361"/>
    <w:rsid w:val="004143A2"/>
    <w:rsid w:val="004143AC"/>
    <w:rsid w:val="004147BB"/>
    <w:rsid w:val="00414843"/>
    <w:rsid w:val="004148AA"/>
    <w:rsid w:val="00414957"/>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617"/>
    <w:rsid w:val="00422AE8"/>
    <w:rsid w:val="00422B52"/>
    <w:rsid w:val="00422B61"/>
    <w:rsid w:val="00422D1E"/>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17"/>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6167"/>
    <w:rsid w:val="00456207"/>
    <w:rsid w:val="004566C7"/>
    <w:rsid w:val="00456B8D"/>
    <w:rsid w:val="00456F98"/>
    <w:rsid w:val="0045710D"/>
    <w:rsid w:val="00457215"/>
    <w:rsid w:val="0045757F"/>
    <w:rsid w:val="0045779A"/>
    <w:rsid w:val="004577B3"/>
    <w:rsid w:val="004578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3046"/>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3D4"/>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7D"/>
    <w:rsid w:val="00496DF0"/>
    <w:rsid w:val="00497034"/>
    <w:rsid w:val="00497042"/>
    <w:rsid w:val="00497094"/>
    <w:rsid w:val="00497338"/>
    <w:rsid w:val="00497385"/>
    <w:rsid w:val="00497A9B"/>
    <w:rsid w:val="00497C82"/>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5E6"/>
    <w:rsid w:val="004C78C9"/>
    <w:rsid w:val="004C78CF"/>
    <w:rsid w:val="004C7A99"/>
    <w:rsid w:val="004C7C67"/>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76F"/>
    <w:rsid w:val="004D2854"/>
    <w:rsid w:val="004D28FC"/>
    <w:rsid w:val="004D2A66"/>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5D11"/>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B53"/>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5FCF"/>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C9A"/>
    <w:rsid w:val="00516D39"/>
    <w:rsid w:val="00516D4A"/>
    <w:rsid w:val="00516D71"/>
    <w:rsid w:val="00516E60"/>
    <w:rsid w:val="005170D2"/>
    <w:rsid w:val="0051714C"/>
    <w:rsid w:val="00517355"/>
    <w:rsid w:val="00517495"/>
    <w:rsid w:val="00517601"/>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7CD"/>
    <w:rsid w:val="0052382E"/>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AD"/>
    <w:rsid w:val="00553BC7"/>
    <w:rsid w:val="00553C53"/>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5E1"/>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225"/>
    <w:rsid w:val="0058135E"/>
    <w:rsid w:val="005814DF"/>
    <w:rsid w:val="005817D9"/>
    <w:rsid w:val="005819E8"/>
    <w:rsid w:val="00581A15"/>
    <w:rsid w:val="00581BB3"/>
    <w:rsid w:val="00581DB6"/>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05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6FC3"/>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A2F"/>
    <w:rsid w:val="005B1B6B"/>
    <w:rsid w:val="005B1CF7"/>
    <w:rsid w:val="005B1D02"/>
    <w:rsid w:val="005B1DD1"/>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384"/>
    <w:rsid w:val="005B5494"/>
    <w:rsid w:val="005B54DD"/>
    <w:rsid w:val="005B55E4"/>
    <w:rsid w:val="005B57C1"/>
    <w:rsid w:val="005B5CDA"/>
    <w:rsid w:val="005B5E5B"/>
    <w:rsid w:val="005B5EA5"/>
    <w:rsid w:val="005B61CF"/>
    <w:rsid w:val="005B6459"/>
    <w:rsid w:val="005B676D"/>
    <w:rsid w:val="005B699B"/>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399"/>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921"/>
    <w:rsid w:val="005D0A06"/>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B63"/>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1D86"/>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D4"/>
    <w:rsid w:val="006349ED"/>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A0"/>
    <w:rsid w:val="00637EA5"/>
    <w:rsid w:val="006401D7"/>
    <w:rsid w:val="0064077D"/>
    <w:rsid w:val="00640801"/>
    <w:rsid w:val="00640914"/>
    <w:rsid w:val="00640A0E"/>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4A4"/>
    <w:rsid w:val="00645B26"/>
    <w:rsid w:val="00645BA5"/>
    <w:rsid w:val="00645C89"/>
    <w:rsid w:val="006462DA"/>
    <w:rsid w:val="006463E4"/>
    <w:rsid w:val="00646594"/>
    <w:rsid w:val="0064664F"/>
    <w:rsid w:val="00646BB4"/>
    <w:rsid w:val="00646BBC"/>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406"/>
    <w:rsid w:val="006655A9"/>
    <w:rsid w:val="00665634"/>
    <w:rsid w:val="00665B3B"/>
    <w:rsid w:val="00665BAF"/>
    <w:rsid w:val="00665D8A"/>
    <w:rsid w:val="00665E77"/>
    <w:rsid w:val="0066602E"/>
    <w:rsid w:val="0066628E"/>
    <w:rsid w:val="006662D8"/>
    <w:rsid w:val="0066672C"/>
    <w:rsid w:val="0066678E"/>
    <w:rsid w:val="00666878"/>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2BB"/>
    <w:rsid w:val="00684495"/>
    <w:rsid w:val="006844F8"/>
    <w:rsid w:val="00684544"/>
    <w:rsid w:val="0068468B"/>
    <w:rsid w:val="0068493F"/>
    <w:rsid w:val="00684B28"/>
    <w:rsid w:val="00684F49"/>
    <w:rsid w:val="00685385"/>
    <w:rsid w:val="006853D5"/>
    <w:rsid w:val="006854BA"/>
    <w:rsid w:val="0068571D"/>
    <w:rsid w:val="006859F3"/>
    <w:rsid w:val="00685C11"/>
    <w:rsid w:val="00685E98"/>
    <w:rsid w:val="0068623A"/>
    <w:rsid w:val="00686644"/>
    <w:rsid w:val="00686682"/>
    <w:rsid w:val="00686686"/>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19"/>
    <w:rsid w:val="006A68C3"/>
    <w:rsid w:val="006A6AFB"/>
    <w:rsid w:val="006A6DC0"/>
    <w:rsid w:val="006A6E27"/>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9BE"/>
    <w:rsid w:val="006C2C00"/>
    <w:rsid w:val="006C2F17"/>
    <w:rsid w:val="006C3126"/>
    <w:rsid w:val="006C3140"/>
    <w:rsid w:val="006C336B"/>
    <w:rsid w:val="006C33C8"/>
    <w:rsid w:val="006C3565"/>
    <w:rsid w:val="006C390B"/>
    <w:rsid w:val="006C3A71"/>
    <w:rsid w:val="006C3B53"/>
    <w:rsid w:val="006C3B97"/>
    <w:rsid w:val="006C3C02"/>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737"/>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58"/>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866"/>
    <w:rsid w:val="007309DD"/>
    <w:rsid w:val="00730C09"/>
    <w:rsid w:val="00730C0F"/>
    <w:rsid w:val="00730D21"/>
    <w:rsid w:val="00730F05"/>
    <w:rsid w:val="007310BB"/>
    <w:rsid w:val="0073113F"/>
    <w:rsid w:val="00731427"/>
    <w:rsid w:val="0073173C"/>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28C"/>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4A6"/>
    <w:rsid w:val="007466B5"/>
    <w:rsid w:val="007468BF"/>
    <w:rsid w:val="00746946"/>
    <w:rsid w:val="007469BC"/>
    <w:rsid w:val="007469F2"/>
    <w:rsid w:val="00746DE9"/>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20D"/>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7ED"/>
    <w:rsid w:val="00776893"/>
    <w:rsid w:val="00776A91"/>
    <w:rsid w:val="00776AE4"/>
    <w:rsid w:val="00776B34"/>
    <w:rsid w:val="00776DCC"/>
    <w:rsid w:val="00776EE8"/>
    <w:rsid w:val="007770DE"/>
    <w:rsid w:val="00777178"/>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E8B"/>
    <w:rsid w:val="00781FA0"/>
    <w:rsid w:val="0078214E"/>
    <w:rsid w:val="0078246C"/>
    <w:rsid w:val="0078297A"/>
    <w:rsid w:val="00782BEC"/>
    <w:rsid w:val="00782F05"/>
    <w:rsid w:val="00782F25"/>
    <w:rsid w:val="007830FD"/>
    <w:rsid w:val="0078310E"/>
    <w:rsid w:val="007831FF"/>
    <w:rsid w:val="00783209"/>
    <w:rsid w:val="00783218"/>
    <w:rsid w:val="0078326B"/>
    <w:rsid w:val="00783699"/>
    <w:rsid w:val="00783A48"/>
    <w:rsid w:val="00783D0A"/>
    <w:rsid w:val="00783DFF"/>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58"/>
    <w:rsid w:val="00785AD2"/>
    <w:rsid w:val="00785D9A"/>
    <w:rsid w:val="00785FD9"/>
    <w:rsid w:val="00786150"/>
    <w:rsid w:val="0078659A"/>
    <w:rsid w:val="00786720"/>
    <w:rsid w:val="00786B0F"/>
    <w:rsid w:val="00786C83"/>
    <w:rsid w:val="00786EB6"/>
    <w:rsid w:val="00786FB7"/>
    <w:rsid w:val="00787037"/>
    <w:rsid w:val="007871BC"/>
    <w:rsid w:val="007872B7"/>
    <w:rsid w:val="00787495"/>
    <w:rsid w:val="007875ED"/>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9FE"/>
    <w:rsid w:val="00794AFB"/>
    <w:rsid w:val="00794B47"/>
    <w:rsid w:val="00794BE4"/>
    <w:rsid w:val="00794BF7"/>
    <w:rsid w:val="00794E5D"/>
    <w:rsid w:val="00794FDF"/>
    <w:rsid w:val="00795048"/>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94"/>
    <w:rsid w:val="007A7CD9"/>
    <w:rsid w:val="007B00E7"/>
    <w:rsid w:val="007B0270"/>
    <w:rsid w:val="007B05B7"/>
    <w:rsid w:val="007B06DA"/>
    <w:rsid w:val="007B0734"/>
    <w:rsid w:val="007B0810"/>
    <w:rsid w:val="007B09B9"/>
    <w:rsid w:val="007B09C8"/>
    <w:rsid w:val="007B0DA4"/>
    <w:rsid w:val="007B0DCB"/>
    <w:rsid w:val="007B0E15"/>
    <w:rsid w:val="007B1308"/>
    <w:rsid w:val="007B14F1"/>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0F"/>
    <w:rsid w:val="007C0732"/>
    <w:rsid w:val="007C07C5"/>
    <w:rsid w:val="007C08B8"/>
    <w:rsid w:val="007C08FE"/>
    <w:rsid w:val="007C0BB0"/>
    <w:rsid w:val="007C0BCA"/>
    <w:rsid w:val="007C0C17"/>
    <w:rsid w:val="007C0C6B"/>
    <w:rsid w:val="007C0E7D"/>
    <w:rsid w:val="007C1771"/>
    <w:rsid w:val="007C1FA9"/>
    <w:rsid w:val="007C2116"/>
    <w:rsid w:val="007C2201"/>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27D"/>
    <w:rsid w:val="007D13EC"/>
    <w:rsid w:val="007D1446"/>
    <w:rsid w:val="007D1509"/>
    <w:rsid w:val="007D16A6"/>
    <w:rsid w:val="007D1841"/>
    <w:rsid w:val="007D1873"/>
    <w:rsid w:val="007D18FA"/>
    <w:rsid w:val="007D1A04"/>
    <w:rsid w:val="007D1A8C"/>
    <w:rsid w:val="007D1AF2"/>
    <w:rsid w:val="007D1D4D"/>
    <w:rsid w:val="007D1DFD"/>
    <w:rsid w:val="007D2009"/>
    <w:rsid w:val="007D21C0"/>
    <w:rsid w:val="007D25E5"/>
    <w:rsid w:val="007D2648"/>
    <w:rsid w:val="007D29FA"/>
    <w:rsid w:val="007D30B3"/>
    <w:rsid w:val="007D3239"/>
    <w:rsid w:val="007D328E"/>
    <w:rsid w:val="007D32AD"/>
    <w:rsid w:val="007D32E3"/>
    <w:rsid w:val="007D33CF"/>
    <w:rsid w:val="007D33D7"/>
    <w:rsid w:val="007D34BB"/>
    <w:rsid w:val="007D3743"/>
    <w:rsid w:val="007D3949"/>
    <w:rsid w:val="007D3A8A"/>
    <w:rsid w:val="007D3C7F"/>
    <w:rsid w:val="007D3D40"/>
    <w:rsid w:val="007D3D72"/>
    <w:rsid w:val="007D3D91"/>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2F"/>
    <w:rsid w:val="007E0BE2"/>
    <w:rsid w:val="007E10D9"/>
    <w:rsid w:val="007E141A"/>
    <w:rsid w:val="007E14AD"/>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C1E"/>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0"/>
    <w:rsid w:val="008155F1"/>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5A"/>
    <w:rsid w:val="008204F0"/>
    <w:rsid w:val="00820554"/>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6AC2"/>
    <w:rsid w:val="00826C0F"/>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B50"/>
    <w:rsid w:val="00845E08"/>
    <w:rsid w:val="00845E5D"/>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573"/>
    <w:rsid w:val="00856574"/>
    <w:rsid w:val="00856612"/>
    <w:rsid w:val="00856C08"/>
    <w:rsid w:val="00856C6D"/>
    <w:rsid w:val="00856C77"/>
    <w:rsid w:val="00856DA0"/>
    <w:rsid w:val="00856E9D"/>
    <w:rsid w:val="00856FF6"/>
    <w:rsid w:val="0085775D"/>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2E8"/>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024"/>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C1"/>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9EA"/>
    <w:rsid w:val="00874A39"/>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A64"/>
    <w:rsid w:val="00892C4A"/>
    <w:rsid w:val="00892CEF"/>
    <w:rsid w:val="00892E4C"/>
    <w:rsid w:val="00892F02"/>
    <w:rsid w:val="0089323C"/>
    <w:rsid w:val="00893241"/>
    <w:rsid w:val="008933C8"/>
    <w:rsid w:val="008935EF"/>
    <w:rsid w:val="008936FC"/>
    <w:rsid w:val="00893840"/>
    <w:rsid w:val="008940A9"/>
    <w:rsid w:val="00894316"/>
    <w:rsid w:val="00894426"/>
    <w:rsid w:val="00894573"/>
    <w:rsid w:val="00894898"/>
    <w:rsid w:val="008948C9"/>
    <w:rsid w:val="00894B33"/>
    <w:rsid w:val="00894C3F"/>
    <w:rsid w:val="00894D5A"/>
    <w:rsid w:val="00894D76"/>
    <w:rsid w:val="00894D7E"/>
    <w:rsid w:val="00894F63"/>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0C"/>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F66"/>
    <w:rsid w:val="008C7273"/>
    <w:rsid w:val="008C7289"/>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10F0"/>
    <w:rsid w:val="008F13D7"/>
    <w:rsid w:val="008F1462"/>
    <w:rsid w:val="008F14C9"/>
    <w:rsid w:val="008F1597"/>
    <w:rsid w:val="008F16A5"/>
    <w:rsid w:val="008F176E"/>
    <w:rsid w:val="008F17B0"/>
    <w:rsid w:val="008F1874"/>
    <w:rsid w:val="008F188C"/>
    <w:rsid w:val="008F1C07"/>
    <w:rsid w:val="008F1C92"/>
    <w:rsid w:val="008F1E98"/>
    <w:rsid w:val="008F1F16"/>
    <w:rsid w:val="008F1FF8"/>
    <w:rsid w:val="008F2199"/>
    <w:rsid w:val="008F21C8"/>
    <w:rsid w:val="008F24C8"/>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912"/>
    <w:rsid w:val="008F5BE2"/>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24C"/>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DA4"/>
    <w:rsid w:val="00913086"/>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8B7"/>
    <w:rsid w:val="00917C11"/>
    <w:rsid w:val="00917D32"/>
    <w:rsid w:val="00920169"/>
    <w:rsid w:val="0092043E"/>
    <w:rsid w:val="00920482"/>
    <w:rsid w:val="0092070C"/>
    <w:rsid w:val="009207D6"/>
    <w:rsid w:val="00920892"/>
    <w:rsid w:val="00920D77"/>
    <w:rsid w:val="00920E06"/>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2F0"/>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AD"/>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5EE3"/>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4D0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403A"/>
    <w:rsid w:val="00984081"/>
    <w:rsid w:val="0098423F"/>
    <w:rsid w:val="00984334"/>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C04"/>
    <w:rsid w:val="00990F04"/>
    <w:rsid w:val="009910F6"/>
    <w:rsid w:val="009913C0"/>
    <w:rsid w:val="00991509"/>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2F33"/>
    <w:rsid w:val="00993000"/>
    <w:rsid w:val="009930F1"/>
    <w:rsid w:val="00993572"/>
    <w:rsid w:val="00993862"/>
    <w:rsid w:val="009939BF"/>
    <w:rsid w:val="00993A53"/>
    <w:rsid w:val="00993A5A"/>
    <w:rsid w:val="00993AB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11F"/>
    <w:rsid w:val="009B1596"/>
    <w:rsid w:val="009B1828"/>
    <w:rsid w:val="009B1D26"/>
    <w:rsid w:val="009B227D"/>
    <w:rsid w:val="009B2466"/>
    <w:rsid w:val="009B246B"/>
    <w:rsid w:val="009B2643"/>
    <w:rsid w:val="009B26E2"/>
    <w:rsid w:val="009B278A"/>
    <w:rsid w:val="009B278E"/>
    <w:rsid w:val="009B2869"/>
    <w:rsid w:val="009B2A7E"/>
    <w:rsid w:val="009B2CD9"/>
    <w:rsid w:val="009B2CFD"/>
    <w:rsid w:val="009B2D04"/>
    <w:rsid w:val="009B2E0F"/>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E9"/>
    <w:rsid w:val="009B5426"/>
    <w:rsid w:val="009B54C7"/>
    <w:rsid w:val="009B55BB"/>
    <w:rsid w:val="009B55CA"/>
    <w:rsid w:val="009B5706"/>
    <w:rsid w:val="009B5792"/>
    <w:rsid w:val="009B5816"/>
    <w:rsid w:val="009B58CC"/>
    <w:rsid w:val="009B5C10"/>
    <w:rsid w:val="009B6081"/>
    <w:rsid w:val="009B64C0"/>
    <w:rsid w:val="009B658F"/>
    <w:rsid w:val="009B68EE"/>
    <w:rsid w:val="009B710F"/>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4D92"/>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4A6"/>
    <w:rsid w:val="00A604B1"/>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35"/>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788"/>
    <w:rsid w:val="00A949AD"/>
    <w:rsid w:val="00A94AB6"/>
    <w:rsid w:val="00A94D24"/>
    <w:rsid w:val="00A95004"/>
    <w:rsid w:val="00A950D0"/>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BC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6B4"/>
    <w:rsid w:val="00AA7994"/>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2"/>
    <w:rsid w:val="00B06F6A"/>
    <w:rsid w:val="00B06F83"/>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5B"/>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4A"/>
    <w:rsid w:val="00B178F8"/>
    <w:rsid w:val="00B17BF1"/>
    <w:rsid w:val="00B17F98"/>
    <w:rsid w:val="00B201BD"/>
    <w:rsid w:val="00B20750"/>
    <w:rsid w:val="00B20D96"/>
    <w:rsid w:val="00B20E1C"/>
    <w:rsid w:val="00B20EB1"/>
    <w:rsid w:val="00B211E0"/>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6C9"/>
    <w:rsid w:val="00B259A6"/>
    <w:rsid w:val="00B259DB"/>
    <w:rsid w:val="00B25D9E"/>
    <w:rsid w:val="00B26091"/>
    <w:rsid w:val="00B26110"/>
    <w:rsid w:val="00B261D4"/>
    <w:rsid w:val="00B262A8"/>
    <w:rsid w:val="00B2638C"/>
    <w:rsid w:val="00B26582"/>
    <w:rsid w:val="00B2688C"/>
    <w:rsid w:val="00B26A21"/>
    <w:rsid w:val="00B26A75"/>
    <w:rsid w:val="00B26CBA"/>
    <w:rsid w:val="00B26D2A"/>
    <w:rsid w:val="00B26D65"/>
    <w:rsid w:val="00B2701B"/>
    <w:rsid w:val="00B2705B"/>
    <w:rsid w:val="00B272FF"/>
    <w:rsid w:val="00B2747B"/>
    <w:rsid w:val="00B27493"/>
    <w:rsid w:val="00B274F7"/>
    <w:rsid w:val="00B2767D"/>
    <w:rsid w:val="00B2781D"/>
    <w:rsid w:val="00B278AE"/>
    <w:rsid w:val="00B27A5D"/>
    <w:rsid w:val="00B27AE1"/>
    <w:rsid w:val="00B27E0D"/>
    <w:rsid w:val="00B27E5F"/>
    <w:rsid w:val="00B27FB8"/>
    <w:rsid w:val="00B302BF"/>
    <w:rsid w:val="00B3043A"/>
    <w:rsid w:val="00B304D2"/>
    <w:rsid w:val="00B30631"/>
    <w:rsid w:val="00B307FA"/>
    <w:rsid w:val="00B30863"/>
    <w:rsid w:val="00B30B2B"/>
    <w:rsid w:val="00B30D03"/>
    <w:rsid w:val="00B30D9E"/>
    <w:rsid w:val="00B3118B"/>
    <w:rsid w:val="00B31297"/>
    <w:rsid w:val="00B3141A"/>
    <w:rsid w:val="00B3153B"/>
    <w:rsid w:val="00B31573"/>
    <w:rsid w:val="00B319C5"/>
    <w:rsid w:val="00B31C8B"/>
    <w:rsid w:val="00B31F93"/>
    <w:rsid w:val="00B32020"/>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DC6"/>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D98"/>
    <w:rsid w:val="00B51EA2"/>
    <w:rsid w:val="00B524BD"/>
    <w:rsid w:val="00B5283A"/>
    <w:rsid w:val="00B528A7"/>
    <w:rsid w:val="00B52D0D"/>
    <w:rsid w:val="00B53039"/>
    <w:rsid w:val="00B530FE"/>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17A"/>
    <w:rsid w:val="00B811C2"/>
    <w:rsid w:val="00B81505"/>
    <w:rsid w:val="00B81531"/>
    <w:rsid w:val="00B815EC"/>
    <w:rsid w:val="00B81C8E"/>
    <w:rsid w:val="00B81D29"/>
    <w:rsid w:val="00B81E33"/>
    <w:rsid w:val="00B820C9"/>
    <w:rsid w:val="00B821F1"/>
    <w:rsid w:val="00B82292"/>
    <w:rsid w:val="00B8235C"/>
    <w:rsid w:val="00B82491"/>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5DD9"/>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C03"/>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ACC"/>
    <w:rsid w:val="00BE3C51"/>
    <w:rsid w:val="00BE3E38"/>
    <w:rsid w:val="00BE4092"/>
    <w:rsid w:val="00BE4213"/>
    <w:rsid w:val="00BE442A"/>
    <w:rsid w:val="00BE45D8"/>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3E9"/>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0ED"/>
    <w:rsid w:val="00BF6121"/>
    <w:rsid w:val="00BF61BB"/>
    <w:rsid w:val="00BF64BA"/>
    <w:rsid w:val="00BF64F6"/>
    <w:rsid w:val="00BF6A4F"/>
    <w:rsid w:val="00BF6B96"/>
    <w:rsid w:val="00BF6BFE"/>
    <w:rsid w:val="00BF6DCF"/>
    <w:rsid w:val="00BF6FF5"/>
    <w:rsid w:val="00BF7276"/>
    <w:rsid w:val="00BF72D1"/>
    <w:rsid w:val="00BF72DF"/>
    <w:rsid w:val="00BF73F1"/>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530"/>
    <w:rsid w:val="00C16664"/>
    <w:rsid w:val="00C16B9C"/>
    <w:rsid w:val="00C16ECC"/>
    <w:rsid w:val="00C16F3E"/>
    <w:rsid w:val="00C16FCD"/>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481"/>
    <w:rsid w:val="00C24EBA"/>
    <w:rsid w:val="00C2519F"/>
    <w:rsid w:val="00C2554D"/>
    <w:rsid w:val="00C255D2"/>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3F42"/>
    <w:rsid w:val="00C3448A"/>
    <w:rsid w:val="00C346B7"/>
    <w:rsid w:val="00C347E1"/>
    <w:rsid w:val="00C34C59"/>
    <w:rsid w:val="00C350F7"/>
    <w:rsid w:val="00C35103"/>
    <w:rsid w:val="00C353F5"/>
    <w:rsid w:val="00C354A0"/>
    <w:rsid w:val="00C35747"/>
    <w:rsid w:val="00C35A4F"/>
    <w:rsid w:val="00C35A7B"/>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F"/>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2AE"/>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6C"/>
    <w:rsid w:val="00C82482"/>
    <w:rsid w:val="00C826F8"/>
    <w:rsid w:val="00C828C4"/>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CB6"/>
    <w:rsid w:val="00D05EDC"/>
    <w:rsid w:val="00D05EF9"/>
    <w:rsid w:val="00D05FB7"/>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6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BD7"/>
    <w:rsid w:val="00D41BE0"/>
    <w:rsid w:val="00D41C2A"/>
    <w:rsid w:val="00D41EC2"/>
    <w:rsid w:val="00D41F76"/>
    <w:rsid w:val="00D425AE"/>
    <w:rsid w:val="00D425B4"/>
    <w:rsid w:val="00D42661"/>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5BD"/>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C3E"/>
    <w:rsid w:val="00D46C4F"/>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3DA4"/>
    <w:rsid w:val="00D64254"/>
    <w:rsid w:val="00D6453B"/>
    <w:rsid w:val="00D64565"/>
    <w:rsid w:val="00D645D0"/>
    <w:rsid w:val="00D64608"/>
    <w:rsid w:val="00D6461D"/>
    <w:rsid w:val="00D64A4A"/>
    <w:rsid w:val="00D64A8B"/>
    <w:rsid w:val="00D65371"/>
    <w:rsid w:val="00D653B9"/>
    <w:rsid w:val="00D6558C"/>
    <w:rsid w:val="00D65744"/>
    <w:rsid w:val="00D6576D"/>
    <w:rsid w:val="00D65FF2"/>
    <w:rsid w:val="00D66138"/>
    <w:rsid w:val="00D661E9"/>
    <w:rsid w:val="00D664EA"/>
    <w:rsid w:val="00D6652A"/>
    <w:rsid w:val="00D6668D"/>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0F23"/>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9A"/>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D4F"/>
    <w:rsid w:val="00DA1E57"/>
    <w:rsid w:val="00DA1E85"/>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299"/>
    <w:rsid w:val="00DA5371"/>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5E4"/>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8E2"/>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1CAD"/>
    <w:rsid w:val="00DE1EBF"/>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11B"/>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472"/>
    <w:rsid w:val="00E02588"/>
    <w:rsid w:val="00E0263B"/>
    <w:rsid w:val="00E0265D"/>
    <w:rsid w:val="00E02713"/>
    <w:rsid w:val="00E0292E"/>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5CC"/>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721"/>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4C7"/>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1A0"/>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8A"/>
    <w:rsid w:val="00E6073D"/>
    <w:rsid w:val="00E60750"/>
    <w:rsid w:val="00E607C4"/>
    <w:rsid w:val="00E6082B"/>
    <w:rsid w:val="00E60836"/>
    <w:rsid w:val="00E60858"/>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843"/>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4B"/>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2EAA"/>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570"/>
    <w:rsid w:val="00E8689E"/>
    <w:rsid w:val="00E86D44"/>
    <w:rsid w:val="00E86FBF"/>
    <w:rsid w:val="00E87253"/>
    <w:rsid w:val="00E875D8"/>
    <w:rsid w:val="00E877DC"/>
    <w:rsid w:val="00E879BB"/>
    <w:rsid w:val="00E87A24"/>
    <w:rsid w:val="00E87F11"/>
    <w:rsid w:val="00E9040B"/>
    <w:rsid w:val="00E9055A"/>
    <w:rsid w:val="00E90605"/>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69C"/>
    <w:rsid w:val="00EB07B8"/>
    <w:rsid w:val="00EB08F8"/>
    <w:rsid w:val="00EB0A0D"/>
    <w:rsid w:val="00EB0A79"/>
    <w:rsid w:val="00EB0C51"/>
    <w:rsid w:val="00EB0DD3"/>
    <w:rsid w:val="00EB0FFF"/>
    <w:rsid w:val="00EB1118"/>
    <w:rsid w:val="00EB116D"/>
    <w:rsid w:val="00EB144C"/>
    <w:rsid w:val="00EB15C3"/>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1D4"/>
    <w:rsid w:val="00ED1518"/>
    <w:rsid w:val="00ED153B"/>
    <w:rsid w:val="00ED1896"/>
    <w:rsid w:val="00ED198B"/>
    <w:rsid w:val="00ED19E4"/>
    <w:rsid w:val="00ED1B6C"/>
    <w:rsid w:val="00ED1F40"/>
    <w:rsid w:val="00ED26B7"/>
    <w:rsid w:val="00ED288D"/>
    <w:rsid w:val="00ED29A0"/>
    <w:rsid w:val="00ED2AFC"/>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19"/>
    <w:rsid w:val="00ED53B2"/>
    <w:rsid w:val="00ED543D"/>
    <w:rsid w:val="00ED54FD"/>
    <w:rsid w:val="00ED551B"/>
    <w:rsid w:val="00ED555B"/>
    <w:rsid w:val="00ED5601"/>
    <w:rsid w:val="00ED5B6D"/>
    <w:rsid w:val="00ED5BCE"/>
    <w:rsid w:val="00ED5C44"/>
    <w:rsid w:val="00ED5D02"/>
    <w:rsid w:val="00ED5FDE"/>
    <w:rsid w:val="00ED64BF"/>
    <w:rsid w:val="00ED6581"/>
    <w:rsid w:val="00ED68D4"/>
    <w:rsid w:val="00ED6925"/>
    <w:rsid w:val="00ED6E3D"/>
    <w:rsid w:val="00ED6ED8"/>
    <w:rsid w:val="00ED6F22"/>
    <w:rsid w:val="00ED70F8"/>
    <w:rsid w:val="00ED7466"/>
    <w:rsid w:val="00ED79B0"/>
    <w:rsid w:val="00ED7ABD"/>
    <w:rsid w:val="00ED7BC5"/>
    <w:rsid w:val="00EE037B"/>
    <w:rsid w:val="00EE03CB"/>
    <w:rsid w:val="00EE06A5"/>
    <w:rsid w:val="00EE0742"/>
    <w:rsid w:val="00EE12F0"/>
    <w:rsid w:val="00EE140C"/>
    <w:rsid w:val="00EE15C7"/>
    <w:rsid w:val="00EE166B"/>
    <w:rsid w:val="00EE17BC"/>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28B"/>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EF7F60"/>
    <w:rsid w:val="00F0011E"/>
    <w:rsid w:val="00F00174"/>
    <w:rsid w:val="00F0018C"/>
    <w:rsid w:val="00F0025C"/>
    <w:rsid w:val="00F005B7"/>
    <w:rsid w:val="00F005B8"/>
    <w:rsid w:val="00F006A0"/>
    <w:rsid w:val="00F0082B"/>
    <w:rsid w:val="00F00877"/>
    <w:rsid w:val="00F0098B"/>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95F"/>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396"/>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2"/>
    <w:rsid w:val="00F41718"/>
    <w:rsid w:val="00F4199B"/>
    <w:rsid w:val="00F41DA2"/>
    <w:rsid w:val="00F4232D"/>
    <w:rsid w:val="00F425B0"/>
    <w:rsid w:val="00F425D1"/>
    <w:rsid w:val="00F4277F"/>
    <w:rsid w:val="00F42859"/>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80A"/>
    <w:rsid w:val="00F559BE"/>
    <w:rsid w:val="00F55D9E"/>
    <w:rsid w:val="00F56120"/>
    <w:rsid w:val="00F5645E"/>
    <w:rsid w:val="00F567A6"/>
    <w:rsid w:val="00F56A48"/>
    <w:rsid w:val="00F56EBD"/>
    <w:rsid w:val="00F56FEB"/>
    <w:rsid w:val="00F570FB"/>
    <w:rsid w:val="00F57104"/>
    <w:rsid w:val="00F57157"/>
    <w:rsid w:val="00F571EA"/>
    <w:rsid w:val="00F57244"/>
    <w:rsid w:val="00F5759E"/>
    <w:rsid w:val="00F57BF2"/>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DB2"/>
    <w:rsid w:val="00F91E9D"/>
    <w:rsid w:val="00F91F19"/>
    <w:rsid w:val="00F91F70"/>
    <w:rsid w:val="00F920E0"/>
    <w:rsid w:val="00F92113"/>
    <w:rsid w:val="00F925F2"/>
    <w:rsid w:val="00F9264A"/>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EFD"/>
    <w:rsid w:val="00F97183"/>
    <w:rsid w:val="00F97235"/>
    <w:rsid w:val="00F976AD"/>
    <w:rsid w:val="00F9784B"/>
    <w:rsid w:val="00F97B82"/>
    <w:rsid w:val="00F97C5F"/>
    <w:rsid w:val="00F97D61"/>
    <w:rsid w:val="00F97D70"/>
    <w:rsid w:val="00F97E4B"/>
    <w:rsid w:val="00F97E96"/>
    <w:rsid w:val="00FA04FF"/>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313"/>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18A"/>
    <w:rsid w:val="00FD321E"/>
    <w:rsid w:val="00FD3221"/>
    <w:rsid w:val="00FD32CF"/>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82C"/>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medication-safety" TargetMode="External"/><Relationship Id="rId26" Type="http://schemas.openxmlformats.org/officeDocument/2006/relationships/hyperlink" Target="https://www.safetyandquality.gov.au/publications-and-resources/resource-library/covid-19-infection-prevention-and-control-risk-management-guidance" TargetMode="External"/><Relationship Id="rId39" Type="http://schemas.openxmlformats.org/officeDocument/2006/relationships/hyperlink" Target="https://www.safetyandquality.gov.au/sites/default/files/2020-07/covid-19_and_face_masks_-_information_for_consumers.pdf" TargetMode="External"/><Relationship Id="rId3" Type="http://schemas.openxmlformats.org/officeDocument/2006/relationships/styles" Target="styles.xml"/><Relationship Id="rId21" Type="http://schemas.openxmlformats.org/officeDocument/2006/relationships/hyperlink" Target="https://qualitysafety.bmj.com/content/early/recent" TargetMode="External"/><Relationship Id="rId34"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2" Type="http://schemas.openxmlformats.org/officeDocument/2006/relationships/hyperlink" Target="https://www.aci.health.nsw.gov.au/covid-19/critical-intelligence-unit" TargetMode="Externa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standards/aged-care-quality-standards-clinical-care" TargetMode="External"/><Relationship Id="rId25" Type="http://schemas.openxmlformats.org/officeDocument/2006/relationships/hyperlink" Target="https://www.safetyandquality.gov.au/covid-19" TargetMode="External"/><Relationship Id="rId33" Type="http://schemas.openxmlformats.org/officeDocument/2006/relationships/hyperlink" Target="https://www.safetyandquality.gov.au/our-work/cognitive-impairment/cognitive-impairment-and-covid-19" TargetMode="External"/><Relationship Id="rId38" Type="http://schemas.openxmlformats.org/officeDocument/2006/relationships/hyperlink" Target="https://www.safetyandquality.gov.au/publications-and-resources/resource-library/covid-19-and-face-masks-information-consumer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jppr.1821" TargetMode="External"/><Relationship Id="rId20" Type="http://schemas.openxmlformats.org/officeDocument/2006/relationships/image" Target="media/image2.png"/><Relationship Id="rId29" Type="http://schemas.openxmlformats.org/officeDocument/2006/relationships/hyperlink" Target="https://www.safetyandquality.gov.au/publications-and-resources/resource-library/poster-combined-airborne-and-contact-precautions" TargetMode="External"/><Relationship Id="rId41" Type="http://schemas.openxmlformats.org/officeDocument/2006/relationships/hyperlink" Target="https://covid19evidence.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idstewardship.com/tips-new-pharmacists-antimicrobial-stewardship-pharmacist/" TargetMode="External"/><Relationship Id="rId32" Type="http://schemas.openxmlformats.org/officeDocument/2006/relationships/hyperlink" Target="https://www.safetyandquality.gov.au/publications-and-resources/resource-library/covid-19-infection-prevention-and-control-risk-management-guidance" TargetMode="External"/><Relationship Id="rId37" Type="http://schemas.openxmlformats.org/officeDocument/2006/relationships/hyperlink" Target="https://www.safetyandquality.gov.au/node/5725"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rliament.nsw.gov.au/researchpapers/Pages/Nurse-and-midwife-staffing-models.aspx" TargetMode="External"/><Relationship Id="rId23" Type="http://schemas.openxmlformats.org/officeDocument/2006/relationships/hyperlink" Target="https://www.mylifeaftericu.com/" TargetMode="External"/><Relationship Id="rId28" Type="http://schemas.openxmlformats.org/officeDocument/2006/relationships/image" Target="media/image3.png"/><Relationship Id="rId36" Type="http://schemas.openxmlformats.org/officeDocument/2006/relationships/hyperlink" Target="https://www.safetyandquality.gov.au/node/5724" TargetMode="Externa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doi.org/10.1038/s41746-022-00663-0" TargetMode="External"/><Relationship Id="rId31" Type="http://schemas.openxmlformats.org/officeDocument/2006/relationships/hyperlink" Target="http://www.safetyandquality.gov.au/environmental-cleanin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academic.oup.com/intqhc/advance-articles" TargetMode="External"/><Relationship Id="rId27" Type="http://schemas.openxmlformats.org/officeDocument/2006/relationships/hyperlink" Target="https://www.safetyandquality.gov.au/publications-and-resources/resource-library/infection-prevention-and-control-poster-combined-contact-and-droplet-precautions" TargetMode="External"/><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10</Pages>
  <Words>2702</Words>
  <Characters>15406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Draft On the Radar Issue 575</vt:lpstr>
    </vt:vector>
  </TitlesOfParts>
  <Company>ACSQHC</Company>
  <LinksUpToDate>false</LinksUpToDate>
  <CharactersWithSpaces>18072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575</dc:title>
  <dc:subject/>
  <dc:creator>Dr Niall Johnson</dc:creator>
  <cp:keywords>On the Radar</cp:keywords>
  <dc:description/>
  <cp:lastModifiedBy>JOHNSON, Niall</cp:lastModifiedBy>
  <cp:revision>12</cp:revision>
  <cp:lastPrinted>2018-03-02T02:34:00Z</cp:lastPrinted>
  <dcterms:created xsi:type="dcterms:W3CDTF">2022-09-11T22:30:00Z</dcterms:created>
  <dcterms:modified xsi:type="dcterms:W3CDTF">2022-09-16T02:20:00Z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