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0A2F2" w14:textId="21EEA8A0" w:rsidR="00D57A02" w:rsidRPr="00741CBF" w:rsidRDefault="008B116E" w:rsidP="00976E8F">
      <w:pPr>
        <w:spacing w:after="0"/>
        <w:rPr>
          <w:rFonts w:cs="Arial"/>
          <w:color w:val="336699"/>
          <w:sz w:val="40"/>
          <w:szCs w:val="40"/>
        </w:rPr>
      </w:pPr>
      <w:r>
        <w:rPr>
          <w:noProof/>
        </w:rPr>
        <w:drawing>
          <wp:anchor distT="0" distB="0" distL="114300" distR="114300" simplePos="0" relativeHeight="251676672" behindDoc="1" locked="0" layoutInCell="1" allowOverlap="1" wp14:anchorId="5BC7BA52" wp14:editId="621387CD">
            <wp:simplePos x="0" y="0"/>
            <wp:positionH relativeFrom="page">
              <wp:posOffset>38100</wp:posOffset>
            </wp:positionH>
            <wp:positionV relativeFrom="paragraph">
              <wp:posOffset>-1124584</wp:posOffset>
            </wp:positionV>
            <wp:extent cx="7510458" cy="10623663"/>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10458" cy="10623663"/>
                    </a:xfrm>
                    <a:prstGeom prst="rect">
                      <a:avLst/>
                    </a:prstGeom>
                  </pic:spPr>
                </pic:pic>
              </a:graphicData>
            </a:graphic>
            <wp14:sizeRelH relativeFrom="page">
              <wp14:pctWidth>0</wp14:pctWidth>
            </wp14:sizeRelH>
            <wp14:sizeRelV relativeFrom="page">
              <wp14:pctHeight>0</wp14:pctHeight>
            </wp14:sizeRelV>
          </wp:anchor>
        </w:drawing>
      </w:r>
    </w:p>
    <w:p w14:paraId="50E50D0D" w14:textId="7B7C5572" w:rsidR="00D57A02" w:rsidRPr="00C2449D" w:rsidRDefault="00894FF3" w:rsidP="00AA786F">
      <w:pPr>
        <w:tabs>
          <w:tab w:val="left" w:pos="315"/>
        </w:tabs>
        <w:spacing w:after="0"/>
        <w:rPr>
          <w:rFonts w:cs="Arial"/>
          <w:color w:val="336699"/>
          <w:sz w:val="40"/>
          <w:szCs w:val="40"/>
        </w:rPr>
      </w:pPr>
      <w:r>
        <w:rPr>
          <w:rFonts w:cs="Arial"/>
          <w:color w:val="336699"/>
          <w:sz w:val="40"/>
          <w:szCs w:val="40"/>
        </w:rPr>
        <w:tab/>
      </w:r>
    </w:p>
    <w:p w14:paraId="16FD5B88" w14:textId="77777777" w:rsidR="00227F0F" w:rsidRPr="00C2449D" w:rsidRDefault="00227F0F" w:rsidP="00D57A02">
      <w:pPr>
        <w:rPr>
          <w:color w:val="336699"/>
        </w:rPr>
        <w:sectPr w:rsidR="00227F0F" w:rsidRPr="00C2449D" w:rsidSect="006B0F5E">
          <w:headerReference w:type="even" r:id="rId12"/>
          <w:headerReference w:type="default" r:id="rId13"/>
          <w:footerReference w:type="even" r:id="rId14"/>
          <w:headerReference w:type="first" r:id="rId15"/>
          <w:pgSz w:w="11906" w:h="16838" w:code="9"/>
          <w:pgMar w:top="1801" w:right="1134" w:bottom="902" w:left="1134" w:header="720" w:footer="210" w:gutter="0"/>
          <w:pgNumType w:start="1"/>
          <w:cols w:space="708"/>
          <w:titlePg/>
          <w:docGrid w:linePitch="360"/>
        </w:sectPr>
      </w:pPr>
    </w:p>
    <w:p w14:paraId="10AD2EF9" w14:textId="77777777" w:rsidR="006704E5" w:rsidRDefault="006704E5" w:rsidP="004E2091">
      <w:pPr>
        <w:rPr>
          <w:rFonts w:cs="Arial"/>
          <w:b/>
          <w:szCs w:val="22"/>
        </w:rPr>
      </w:pPr>
    </w:p>
    <w:p w14:paraId="5EEFD3A2" w14:textId="77777777" w:rsidR="00E25068" w:rsidRDefault="00E25068" w:rsidP="004E2091">
      <w:pPr>
        <w:rPr>
          <w:rFonts w:cs="Arial"/>
          <w:b/>
          <w:szCs w:val="22"/>
        </w:rPr>
      </w:pPr>
    </w:p>
    <w:p w14:paraId="3196CB23" w14:textId="77777777" w:rsidR="00E25068" w:rsidRDefault="00E25068" w:rsidP="004E2091">
      <w:pPr>
        <w:rPr>
          <w:rFonts w:cs="Arial"/>
          <w:b/>
          <w:szCs w:val="22"/>
        </w:rPr>
      </w:pPr>
    </w:p>
    <w:p w14:paraId="00FBDD07" w14:textId="77777777" w:rsidR="001C46C8" w:rsidRDefault="001C46C8" w:rsidP="001C46C8">
      <w:pPr>
        <w:rPr>
          <w:rFonts w:cs="Arial"/>
          <w:szCs w:val="22"/>
        </w:rPr>
      </w:pPr>
    </w:p>
    <w:p w14:paraId="595B0AD1" w14:textId="77777777" w:rsidR="001C46C8" w:rsidRDefault="001C46C8" w:rsidP="001C46C8">
      <w:pPr>
        <w:rPr>
          <w:rFonts w:cs="Arial"/>
          <w:szCs w:val="22"/>
        </w:rPr>
      </w:pPr>
    </w:p>
    <w:p w14:paraId="14BAD363" w14:textId="77777777" w:rsidR="001C46C8" w:rsidRDefault="001C46C8" w:rsidP="001C46C8">
      <w:pPr>
        <w:rPr>
          <w:rFonts w:cs="Arial"/>
          <w:szCs w:val="22"/>
        </w:rPr>
      </w:pPr>
    </w:p>
    <w:p w14:paraId="5E4C4BA3" w14:textId="77777777" w:rsidR="001C46C8" w:rsidRDefault="001C46C8" w:rsidP="001C46C8">
      <w:pPr>
        <w:rPr>
          <w:rFonts w:cs="Arial"/>
          <w:szCs w:val="22"/>
        </w:rPr>
      </w:pPr>
    </w:p>
    <w:p w14:paraId="2FFEA1C7" w14:textId="77777777" w:rsidR="001C46C8" w:rsidRDefault="001C46C8" w:rsidP="001C46C8">
      <w:pPr>
        <w:rPr>
          <w:rFonts w:cs="Arial"/>
          <w:szCs w:val="22"/>
        </w:rPr>
      </w:pPr>
    </w:p>
    <w:p w14:paraId="569128E8" w14:textId="77777777" w:rsidR="001C46C8" w:rsidRDefault="001C46C8" w:rsidP="001C46C8">
      <w:pPr>
        <w:rPr>
          <w:rFonts w:cs="Arial"/>
          <w:szCs w:val="22"/>
        </w:rPr>
      </w:pPr>
    </w:p>
    <w:p w14:paraId="19DB2F6A" w14:textId="77777777" w:rsidR="001C46C8" w:rsidRDefault="001C46C8" w:rsidP="001C46C8">
      <w:pPr>
        <w:rPr>
          <w:rFonts w:cs="Arial"/>
          <w:szCs w:val="22"/>
        </w:rPr>
      </w:pPr>
    </w:p>
    <w:p w14:paraId="08B6B4E7" w14:textId="77777777" w:rsidR="001C46C8" w:rsidRDefault="001C46C8" w:rsidP="001C46C8">
      <w:pPr>
        <w:rPr>
          <w:rFonts w:cs="Arial"/>
          <w:szCs w:val="22"/>
        </w:rPr>
      </w:pPr>
    </w:p>
    <w:p w14:paraId="6446A8A7" w14:textId="77777777" w:rsidR="0055790B" w:rsidRDefault="0055790B" w:rsidP="001C46C8">
      <w:pPr>
        <w:rPr>
          <w:rFonts w:cs="Arial"/>
          <w:szCs w:val="22"/>
        </w:rPr>
      </w:pPr>
    </w:p>
    <w:p w14:paraId="05C10B5A" w14:textId="77777777" w:rsidR="0055790B" w:rsidRDefault="0055790B" w:rsidP="001C46C8">
      <w:pPr>
        <w:rPr>
          <w:rFonts w:cs="Arial"/>
          <w:szCs w:val="22"/>
        </w:rPr>
      </w:pPr>
    </w:p>
    <w:p w14:paraId="59DD38C3" w14:textId="77777777" w:rsidR="0055790B" w:rsidRDefault="0055790B" w:rsidP="001C46C8">
      <w:pPr>
        <w:rPr>
          <w:rFonts w:cs="Arial"/>
          <w:szCs w:val="22"/>
        </w:rPr>
      </w:pPr>
    </w:p>
    <w:p w14:paraId="16D76C1B" w14:textId="77777777" w:rsidR="001C46C8" w:rsidRDefault="001C46C8" w:rsidP="001C46C8">
      <w:pPr>
        <w:rPr>
          <w:rFonts w:cs="Arial"/>
          <w:szCs w:val="22"/>
        </w:rPr>
      </w:pPr>
    </w:p>
    <w:p w14:paraId="615B046D" w14:textId="5EEFAF07" w:rsidR="001C46C8" w:rsidRPr="001C46C8" w:rsidRDefault="001C46C8" w:rsidP="001C46C8">
      <w:pPr>
        <w:rPr>
          <w:rFonts w:cs="Arial"/>
          <w:szCs w:val="22"/>
        </w:rPr>
      </w:pPr>
      <w:r w:rsidRPr="001C46C8">
        <w:rPr>
          <w:rFonts w:cs="Arial"/>
          <w:szCs w:val="22"/>
        </w:rPr>
        <w:t xml:space="preserve">ISBN: </w:t>
      </w:r>
      <w:r w:rsidR="001D0E20" w:rsidRPr="001D0E20">
        <w:rPr>
          <w:rFonts w:cs="Arial"/>
          <w:szCs w:val="22"/>
        </w:rPr>
        <w:t>978-1-922880-06-</w:t>
      </w:r>
      <w:r w:rsidR="001D0E20" w:rsidRPr="0009670E">
        <w:rPr>
          <w:rFonts w:cs="Arial"/>
          <w:szCs w:val="22"/>
        </w:rPr>
        <w:t>2</w:t>
      </w:r>
    </w:p>
    <w:p w14:paraId="7BC5A169" w14:textId="77777777" w:rsidR="004E2855" w:rsidRPr="009C7FA1" w:rsidRDefault="001C46C8" w:rsidP="00866AFC">
      <w:pPr>
        <w:spacing w:after="0" w:line="240" w:lineRule="auto"/>
        <w:rPr>
          <w:rFonts w:cs="Arial"/>
          <w:szCs w:val="22"/>
        </w:rPr>
      </w:pPr>
      <w:r w:rsidRPr="001C46C8">
        <w:rPr>
          <w:rFonts w:cs="Arial"/>
          <w:szCs w:val="22"/>
        </w:rPr>
        <w:t>Suggested citation:</w:t>
      </w:r>
      <w:r w:rsidRPr="001C46C8">
        <w:rPr>
          <w:rFonts w:cs="Arial"/>
          <w:szCs w:val="22"/>
        </w:rPr>
        <w:br/>
        <w:t>Australian Commission on Sa</w:t>
      </w:r>
      <w:r>
        <w:rPr>
          <w:rFonts w:cs="Arial"/>
          <w:szCs w:val="22"/>
        </w:rPr>
        <w:t>fety and Quality in Health Care,</w:t>
      </w:r>
      <w:r w:rsidR="004E2855" w:rsidRPr="004E2855">
        <w:t xml:space="preserve"> </w:t>
      </w:r>
      <w:r w:rsidR="004E2855" w:rsidRPr="009C7FA1">
        <w:rPr>
          <w:rFonts w:cs="Arial"/>
          <w:szCs w:val="22"/>
        </w:rPr>
        <w:t>Framework for Australian</w:t>
      </w:r>
    </w:p>
    <w:p w14:paraId="67CE34D9" w14:textId="4FFDA5D0" w:rsidR="001C46C8" w:rsidRPr="001C46C8" w:rsidRDefault="004E2855" w:rsidP="00866AFC">
      <w:pPr>
        <w:spacing w:after="0" w:line="240" w:lineRule="auto"/>
        <w:rPr>
          <w:rFonts w:cs="Arial"/>
          <w:szCs w:val="22"/>
        </w:rPr>
      </w:pPr>
      <w:r w:rsidRPr="009C7FA1">
        <w:rPr>
          <w:rFonts w:cs="Arial"/>
          <w:szCs w:val="22"/>
        </w:rPr>
        <w:t>clinical quality registries - a quality standard for clinical outcome data collections and reporting</w:t>
      </w:r>
      <w:r w:rsidR="00866AFC" w:rsidRPr="009C7FA1">
        <w:rPr>
          <w:rFonts w:cs="Arial"/>
          <w:szCs w:val="22"/>
        </w:rPr>
        <w:t>.</w:t>
      </w:r>
      <w:r w:rsidR="0044020B">
        <w:rPr>
          <w:rFonts w:cs="Arial"/>
          <w:szCs w:val="22"/>
        </w:rPr>
        <w:t xml:space="preserve"> Attachment 2: Australian CQR security compliance </w:t>
      </w:r>
      <w:r w:rsidR="009C7FA1">
        <w:rPr>
          <w:rFonts w:cs="Arial"/>
          <w:szCs w:val="22"/>
        </w:rPr>
        <w:t>guideline</w:t>
      </w:r>
      <w:r w:rsidR="00895D3E">
        <w:rPr>
          <w:rFonts w:cs="Arial"/>
          <w:szCs w:val="22"/>
        </w:rPr>
        <w:t xml:space="preserve"> Second </w:t>
      </w:r>
      <w:r w:rsidR="0082567A">
        <w:rPr>
          <w:rFonts w:cs="Arial"/>
          <w:szCs w:val="22"/>
        </w:rPr>
        <w:t>E</w:t>
      </w:r>
      <w:r w:rsidR="00895D3E">
        <w:rPr>
          <w:rFonts w:cs="Arial"/>
          <w:szCs w:val="22"/>
        </w:rPr>
        <w:t>dition</w:t>
      </w:r>
      <w:r w:rsidR="009C7FA1">
        <w:rPr>
          <w:rFonts w:cs="Arial"/>
          <w:szCs w:val="22"/>
        </w:rPr>
        <w:t>.</w:t>
      </w:r>
      <w:r w:rsidR="009C7FA1" w:rsidRPr="001C46C8">
        <w:rPr>
          <w:rFonts w:cs="Arial"/>
          <w:szCs w:val="22"/>
        </w:rPr>
        <w:t xml:space="preserve"> Sydney</w:t>
      </w:r>
      <w:r w:rsidR="001C46C8" w:rsidRPr="001C46C8">
        <w:rPr>
          <w:rFonts w:cs="Arial"/>
          <w:szCs w:val="22"/>
        </w:rPr>
        <w:t xml:space="preserve">. ACSQHC, </w:t>
      </w:r>
      <w:r w:rsidR="006F0F40">
        <w:rPr>
          <w:rFonts w:cs="Arial"/>
          <w:szCs w:val="22"/>
        </w:rPr>
        <w:t>December</w:t>
      </w:r>
      <w:r w:rsidR="0044020B">
        <w:rPr>
          <w:rFonts w:cs="Arial"/>
          <w:szCs w:val="22"/>
        </w:rPr>
        <w:t xml:space="preserve"> </w:t>
      </w:r>
      <w:r w:rsidR="00937684">
        <w:rPr>
          <w:rFonts w:cs="Arial"/>
          <w:szCs w:val="22"/>
        </w:rPr>
        <w:t>2022</w:t>
      </w:r>
      <w:r w:rsidR="001C46C8" w:rsidRPr="001C46C8">
        <w:rPr>
          <w:rFonts w:cs="Arial"/>
          <w:szCs w:val="22"/>
        </w:rPr>
        <w:t>.</w:t>
      </w:r>
    </w:p>
    <w:p w14:paraId="6CCE64D6" w14:textId="77777777" w:rsidR="001C46C8" w:rsidRPr="001C46C8" w:rsidRDefault="001C46C8" w:rsidP="001C46C8">
      <w:pPr>
        <w:rPr>
          <w:rFonts w:cs="Arial"/>
          <w:szCs w:val="22"/>
        </w:rPr>
      </w:pPr>
      <w:r w:rsidRPr="001C46C8">
        <w:rPr>
          <w:rFonts w:cs="Arial"/>
          <w:szCs w:val="22"/>
        </w:rPr>
        <w:t xml:space="preserve">© Commonwealth of Australia </w:t>
      </w:r>
      <w:r w:rsidR="001B0B53" w:rsidRPr="001C46C8">
        <w:rPr>
          <w:rFonts w:cs="Arial"/>
          <w:szCs w:val="22"/>
        </w:rPr>
        <w:t>20</w:t>
      </w:r>
      <w:r w:rsidR="001B0B53">
        <w:rPr>
          <w:rFonts w:cs="Arial"/>
          <w:szCs w:val="22"/>
        </w:rPr>
        <w:t>2</w:t>
      </w:r>
      <w:r w:rsidR="00937684">
        <w:rPr>
          <w:rFonts w:cs="Arial"/>
          <w:szCs w:val="22"/>
        </w:rPr>
        <w:t>2</w:t>
      </w:r>
    </w:p>
    <w:p w14:paraId="44FF572F" w14:textId="77777777" w:rsidR="001C46C8" w:rsidRPr="001C46C8" w:rsidRDefault="001C46C8" w:rsidP="001C46C8">
      <w:pPr>
        <w:rPr>
          <w:rFonts w:cs="Arial"/>
          <w:szCs w:val="22"/>
        </w:rPr>
      </w:pPr>
      <w:r w:rsidRPr="001C46C8">
        <w:rPr>
          <w:rFonts w:cs="Arial"/>
          <w:szCs w:val="22"/>
        </w:rPr>
        <w:t>This work is copyright. It may be reproduced in whole or in part for study or training purposes, subject to the inclusion of an acknowledgement of the source. Requests and inquiries concerning reproduction and rights for purposes other than those indicated above in requires written permission. Address your requests and inquiries to:</w:t>
      </w:r>
    </w:p>
    <w:p w14:paraId="12C08037" w14:textId="77777777" w:rsidR="001C46C8" w:rsidRPr="001C46C8" w:rsidRDefault="001C46C8" w:rsidP="001C46C8">
      <w:pPr>
        <w:spacing w:after="0" w:line="240" w:lineRule="auto"/>
        <w:rPr>
          <w:rFonts w:cs="Arial"/>
          <w:bCs/>
          <w:szCs w:val="22"/>
        </w:rPr>
      </w:pPr>
      <w:r w:rsidRPr="001C46C8">
        <w:rPr>
          <w:rFonts w:cs="Arial"/>
          <w:bCs/>
          <w:szCs w:val="22"/>
        </w:rPr>
        <w:t>Australian Commission on Safety and Quality in Health Care</w:t>
      </w:r>
    </w:p>
    <w:p w14:paraId="7E038529" w14:textId="77777777" w:rsidR="001C46C8" w:rsidRPr="001C46C8" w:rsidRDefault="001C46C8" w:rsidP="001C46C8">
      <w:pPr>
        <w:spacing w:after="0" w:line="240" w:lineRule="auto"/>
        <w:rPr>
          <w:rFonts w:cs="Arial"/>
          <w:szCs w:val="22"/>
        </w:rPr>
      </w:pPr>
      <w:r w:rsidRPr="001C46C8">
        <w:rPr>
          <w:rFonts w:cs="Arial"/>
          <w:szCs w:val="22"/>
        </w:rPr>
        <w:t>GPO Box 5480</w:t>
      </w:r>
    </w:p>
    <w:p w14:paraId="1D3C97B1" w14:textId="77777777" w:rsidR="0055790B" w:rsidRDefault="001C46C8" w:rsidP="0055790B">
      <w:pPr>
        <w:spacing w:after="0" w:line="240" w:lineRule="auto"/>
        <w:rPr>
          <w:rFonts w:cs="Arial"/>
          <w:b/>
          <w:szCs w:val="22"/>
        </w:rPr>
        <w:sectPr w:rsidR="0055790B" w:rsidSect="009546CA">
          <w:headerReference w:type="even" r:id="rId16"/>
          <w:headerReference w:type="default" r:id="rId17"/>
          <w:footerReference w:type="even" r:id="rId18"/>
          <w:footerReference w:type="default" r:id="rId19"/>
          <w:headerReference w:type="first" r:id="rId20"/>
          <w:footerReference w:type="first" r:id="rId21"/>
          <w:type w:val="evenPage"/>
          <w:pgSz w:w="11906" w:h="16838" w:code="9"/>
          <w:pgMar w:top="1797" w:right="748" w:bottom="902" w:left="1440" w:header="680" w:footer="193" w:gutter="0"/>
          <w:pgNumType w:fmt="lowerRoman" w:start="1"/>
          <w:cols w:space="720"/>
          <w:docGrid w:linePitch="299"/>
        </w:sectPr>
      </w:pPr>
      <w:r w:rsidRPr="001C46C8">
        <w:rPr>
          <w:rFonts w:cs="Arial"/>
          <w:szCs w:val="22"/>
        </w:rPr>
        <w:t>Sydney NSW 2001</w:t>
      </w:r>
      <w:r w:rsidRPr="001C46C8">
        <w:rPr>
          <w:rFonts w:cs="Arial"/>
          <w:szCs w:val="22"/>
        </w:rPr>
        <w:br/>
        <w:t>Email: mail@safetyandquality.gov.au.</w:t>
      </w:r>
      <w:r w:rsidR="0055790B">
        <w:rPr>
          <w:rFonts w:cs="Arial"/>
          <w:b/>
          <w:szCs w:val="22"/>
        </w:rPr>
        <w:t xml:space="preserve"> </w:t>
      </w:r>
    </w:p>
    <w:p w14:paraId="66AC9E80" w14:textId="77777777" w:rsidR="00AD2554" w:rsidRPr="000F2520" w:rsidRDefault="00AD2554" w:rsidP="000A5716">
      <w:pPr>
        <w:pStyle w:val="Title"/>
        <w:jc w:val="left"/>
      </w:pPr>
      <w:bookmarkStart w:id="0" w:name="_Toc320014090"/>
      <w:r w:rsidRPr="000F2520">
        <w:lastRenderedPageBreak/>
        <w:t>Contents</w:t>
      </w:r>
      <w:bookmarkEnd w:id="0"/>
    </w:p>
    <w:p w14:paraId="00E433E1" w14:textId="58207871" w:rsidR="00895D3E" w:rsidRDefault="00AD2554">
      <w:pPr>
        <w:pStyle w:val="TOC1"/>
        <w:rPr>
          <w:rFonts w:asciiTheme="minorHAnsi" w:eastAsiaTheme="minorEastAsia" w:hAnsiTheme="minorHAnsi" w:cstheme="minorBidi"/>
          <w:sz w:val="22"/>
          <w:szCs w:val="22"/>
        </w:rPr>
      </w:pPr>
      <w:r w:rsidRPr="00E336F3">
        <w:rPr>
          <w:rFonts w:ascii="Arial Bold" w:hAnsi="Arial Bold"/>
          <w:sz w:val="22"/>
          <w:szCs w:val="22"/>
          <w:lang w:eastAsia="en-US"/>
        </w:rPr>
        <w:fldChar w:fldCharType="begin"/>
      </w:r>
      <w:r w:rsidRPr="000F2520">
        <w:instrText xml:space="preserve"> TOC \o "2-5" \h \z \t "Heading 1,1,Appendix 1,6,Appendix 4,9,Appendix 3,8,Appendix 2,7" </w:instrText>
      </w:r>
      <w:r w:rsidRPr="00E336F3">
        <w:rPr>
          <w:rFonts w:ascii="Arial Bold" w:hAnsi="Arial Bold"/>
          <w:sz w:val="22"/>
          <w:szCs w:val="22"/>
          <w:lang w:eastAsia="en-US"/>
        </w:rPr>
        <w:fldChar w:fldCharType="separate"/>
      </w:r>
      <w:bookmarkStart w:id="1" w:name="_Ref350944855"/>
      <w:r w:rsidR="00895D3E" w:rsidRPr="00D17634">
        <w:rPr>
          <w:rStyle w:val="Hyperlink"/>
        </w:rPr>
        <w:fldChar w:fldCharType="begin"/>
      </w:r>
      <w:r w:rsidR="00895D3E" w:rsidRPr="00D17634">
        <w:rPr>
          <w:rStyle w:val="Hyperlink"/>
        </w:rPr>
        <w:instrText xml:space="preserve"> </w:instrText>
      </w:r>
      <w:r w:rsidR="00895D3E">
        <w:instrText>HYPERLINK \l "_Toc106613880"</w:instrText>
      </w:r>
      <w:r w:rsidR="00895D3E" w:rsidRPr="00D17634">
        <w:rPr>
          <w:rStyle w:val="Hyperlink"/>
        </w:rPr>
        <w:instrText xml:space="preserve"> </w:instrText>
      </w:r>
      <w:r w:rsidR="00895D3E" w:rsidRPr="00D17634">
        <w:rPr>
          <w:rStyle w:val="Hyperlink"/>
        </w:rPr>
        <w:fldChar w:fldCharType="separate"/>
      </w:r>
      <w:r w:rsidR="00895D3E" w:rsidRPr="00D17634">
        <w:rPr>
          <w:rStyle w:val="Hyperlink"/>
        </w:rPr>
        <w:t>1.</w:t>
      </w:r>
      <w:r w:rsidR="00895D3E">
        <w:rPr>
          <w:rFonts w:asciiTheme="minorHAnsi" w:eastAsiaTheme="minorEastAsia" w:hAnsiTheme="minorHAnsi" w:cstheme="minorBidi"/>
          <w:sz w:val="22"/>
          <w:szCs w:val="22"/>
        </w:rPr>
        <w:tab/>
      </w:r>
      <w:r w:rsidR="00895D3E" w:rsidRPr="00D17634">
        <w:rPr>
          <w:rStyle w:val="Hyperlink"/>
        </w:rPr>
        <w:t>Introduction</w:t>
      </w:r>
      <w:r w:rsidR="00895D3E">
        <w:rPr>
          <w:webHidden/>
        </w:rPr>
        <w:tab/>
      </w:r>
      <w:r w:rsidR="00895D3E">
        <w:rPr>
          <w:webHidden/>
        </w:rPr>
        <w:fldChar w:fldCharType="begin"/>
      </w:r>
      <w:r w:rsidR="00895D3E">
        <w:rPr>
          <w:webHidden/>
        </w:rPr>
        <w:instrText xml:space="preserve"> PAGEREF _Toc106613880 \h </w:instrText>
      </w:r>
      <w:r w:rsidR="00895D3E">
        <w:rPr>
          <w:webHidden/>
        </w:rPr>
      </w:r>
      <w:r w:rsidR="00895D3E">
        <w:rPr>
          <w:webHidden/>
        </w:rPr>
        <w:fldChar w:fldCharType="separate"/>
      </w:r>
      <w:r w:rsidR="00895D3E">
        <w:rPr>
          <w:webHidden/>
        </w:rPr>
        <w:t>7</w:t>
      </w:r>
      <w:r w:rsidR="00895D3E">
        <w:rPr>
          <w:webHidden/>
        </w:rPr>
        <w:fldChar w:fldCharType="end"/>
      </w:r>
      <w:r w:rsidR="00895D3E" w:rsidRPr="00D17634">
        <w:rPr>
          <w:rStyle w:val="Hyperlink"/>
        </w:rPr>
        <w:fldChar w:fldCharType="end"/>
      </w:r>
    </w:p>
    <w:p w14:paraId="4DA6F463" w14:textId="51148245" w:rsidR="00895D3E" w:rsidRDefault="00637BB5">
      <w:pPr>
        <w:pStyle w:val="TOC2"/>
        <w:framePr w:wrap="around"/>
        <w:rPr>
          <w:rFonts w:asciiTheme="minorHAnsi" w:eastAsiaTheme="minorEastAsia" w:hAnsiTheme="minorHAnsi" w:cstheme="minorBidi"/>
          <w:noProof/>
          <w:sz w:val="22"/>
          <w:szCs w:val="22"/>
        </w:rPr>
      </w:pPr>
      <w:hyperlink w:anchor="_Toc106613881" w:history="1">
        <w:r w:rsidR="00895D3E" w:rsidRPr="00D17634">
          <w:rPr>
            <w:rStyle w:val="Hyperlink"/>
            <w:noProof/>
          </w:rPr>
          <w:t>1.1.</w:t>
        </w:r>
        <w:r w:rsidR="00895D3E">
          <w:rPr>
            <w:rFonts w:asciiTheme="minorHAnsi" w:eastAsiaTheme="minorEastAsia" w:hAnsiTheme="minorHAnsi" w:cstheme="minorBidi"/>
            <w:noProof/>
            <w:sz w:val="22"/>
            <w:szCs w:val="22"/>
          </w:rPr>
          <w:tab/>
        </w:r>
        <w:r w:rsidR="00895D3E" w:rsidRPr="00D17634">
          <w:rPr>
            <w:rStyle w:val="Hyperlink"/>
            <w:noProof/>
          </w:rPr>
          <w:t>Purpose</w:t>
        </w:r>
        <w:r w:rsidR="00895D3E">
          <w:rPr>
            <w:noProof/>
            <w:webHidden/>
          </w:rPr>
          <w:tab/>
        </w:r>
        <w:r w:rsidR="00895D3E">
          <w:rPr>
            <w:noProof/>
            <w:webHidden/>
          </w:rPr>
          <w:fldChar w:fldCharType="begin"/>
        </w:r>
        <w:r w:rsidR="00895D3E">
          <w:rPr>
            <w:noProof/>
            <w:webHidden/>
          </w:rPr>
          <w:instrText xml:space="preserve"> PAGEREF _Toc106613881 \h </w:instrText>
        </w:r>
        <w:r w:rsidR="00895D3E">
          <w:rPr>
            <w:noProof/>
            <w:webHidden/>
          </w:rPr>
        </w:r>
        <w:r w:rsidR="00895D3E">
          <w:rPr>
            <w:noProof/>
            <w:webHidden/>
          </w:rPr>
          <w:fldChar w:fldCharType="separate"/>
        </w:r>
        <w:r w:rsidR="00895D3E">
          <w:rPr>
            <w:noProof/>
            <w:webHidden/>
          </w:rPr>
          <w:t>7</w:t>
        </w:r>
        <w:r w:rsidR="00895D3E">
          <w:rPr>
            <w:noProof/>
            <w:webHidden/>
          </w:rPr>
          <w:fldChar w:fldCharType="end"/>
        </w:r>
      </w:hyperlink>
    </w:p>
    <w:p w14:paraId="18FA55E8" w14:textId="03C79421" w:rsidR="00895D3E" w:rsidRDefault="00637BB5">
      <w:pPr>
        <w:pStyle w:val="TOC2"/>
        <w:framePr w:wrap="around"/>
        <w:rPr>
          <w:rFonts w:asciiTheme="minorHAnsi" w:eastAsiaTheme="minorEastAsia" w:hAnsiTheme="minorHAnsi" w:cstheme="minorBidi"/>
          <w:noProof/>
          <w:sz w:val="22"/>
          <w:szCs w:val="22"/>
        </w:rPr>
      </w:pPr>
      <w:hyperlink w:anchor="_Toc106613882" w:history="1">
        <w:r w:rsidR="00895D3E" w:rsidRPr="00D17634">
          <w:rPr>
            <w:rStyle w:val="Hyperlink"/>
            <w:noProof/>
          </w:rPr>
          <w:t>1.2.</w:t>
        </w:r>
        <w:r w:rsidR="00895D3E">
          <w:rPr>
            <w:rFonts w:asciiTheme="minorHAnsi" w:eastAsiaTheme="minorEastAsia" w:hAnsiTheme="minorHAnsi" w:cstheme="minorBidi"/>
            <w:noProof/>
            <w:sz w:val="22"/>
            <w:szCs w:val="22"/>
          </w:rPr>
          <w:tab/>
        </w:r>
        <w:r w:rsidR="00895D3E" w:rsidRPr="00D17634">
          <w:rPr>
            <w:rStyle w:val="Hyperlink"/>
            <w:noProof/>
          </w:rPr>
          <w:t>Intended audience</w:t>
        </w:r>
        <w:r w:rsidR="00895D3E">
          <w:rPr>
            <w:noProof/>
            <w:webHidden/>
          </w:rPr>
          <w:tab/>
        </w:r>
        <w:r w:rsidR="00895D3E">
          <w:rPr>
            <w:noProof/>
            <w:webHidden/>
          </w:rPr>
          <w:fldChar w:fldCharType="begin"/>
        </w:r>
        <w:r w:rsidR="00895D3E">
          <w:rPr>
            <w:noProof/>
            <w:webHidden/>
          </w:rPr>
          <w:instrText xml:space="preserve"> PAGEREF _Toc106613882 \h </w:instrText>
        </w:r>
        <w:r w:rsidR="00895D3E">
          <w:rPr>
            <w:noProof/>
            <w:webHidden/>
          </w:rPr>
        </w:r>
        <w:r w:rsidR="00895D3E">
          <w:rPr>
            <w:noProof/>
            <w:webHidden/>
          </w:rPr>
          <w:fldChar w:fldCharType="separate"/>
        </w:r>
        <w:r w:rsidR="00895D3E">
          <w:rPr>
            <w:noProof/>
            <w:webHidden/>
          </w:rPr>
          <w:t>7</w:t>
        </w:r>
        <w:r w:rsidR="00895D3E">
          <w:rPr>
            <w:noProof/>
            <w:webHidden/>
          </w:rPr>
          <w:fldChar w:fldCharType="end"/>
        </w:r>
      </w:hyperlink>
    </w:p>
    <w:p w14:paraId="56BE5F5A" w14:textId="3495F3DC" w:rsidR="00895D3E" w:rsidRDefault="00637BB5">
      <w:pPr>
        <w:pStyle w:val="TOC2"/>
        <w:framePr w:wrap="around"/>
        <w:rPr>
          <w:rFonts w:asciiTheme="minorHAnsi" w:eastAsiaTheme="minorEastAsia" w:hAnsiTheme="minorHAnsi" w:cstheme="minorBidi"/>
          <w:noProof/>
          <w:sz w:val="22"/>
          <w:szCs w:val="22"/>
        </w:rPr>
      </w:pPr>
      <w:hyperlink w:anchor="_Toc106613883" w:history="1">
        <w:r w:rsidR="00895D3E" w:rsidRPr="00D17634">
          <w:rPr>
            <w:rStyle w:val="Hyperlink"/>
            <w:noProof/>
          </w:rPr>
          <w:t>1.3.</w:t>
        </w:r>
        <w:r w:rsidR="00895D3E">
          <w:rPr>
            <w:rFonts w:asciiTheme="minorHAnsi" w:eastAsiaTheme="minorEastAsia" w:hAnsiTheme="minorHAnsi" w:cstheme="minorBidi"/>
            <w:noProof/>
            <w:sz w:val="22"/>
            <w:szCs w:val="22"/>
          </w:rPr>
          <w:tab/>
        </w:r>
        <w:r w:rsidR="00895D3E" w:rsidRPr="00D17634">
          <w:rPr>
            <w:rStyle w:val="Hyperlink"/>
            <w:noProof/>
          </w:rPr>
          <w:t xml:space="preserve">About the </w:t>
        </w:r>
        <w:r w:rsidR="00895D3E" w:rsidRPr="00D17634">
          <w:rPr>
            <w:rStyle w:val="Hyperlink"/>
            <w:i/>
            <w:noProof/>
          </w:rPr>
          <w:t>Guideline</w:t>
        </w:r>
        <w:r w:rsidR="00895D3E">
          <w:rPr>
            <w:noProof/>
            <w:webHidden/>
          </w:rPr>
          <w:tab/>
        </w:r>
        <w:r w:rsidR="00895D3E">
          <w:rPr>
            <w:noProof/>
            <w:webHidden/>
          </w:rPr>
          <w:fldChar w:fldCharType="begin"/>
        </w:r>
        <w:r w:rsidR="00895D3E">
          <w:rPr>
            <w:noProof/>
            <w:webHidden/>
          </w:rPr>
          <w:instrText xml:space="preserve"> PAGEREF _Toc106613883 \h </w:instrText>
        </w:r>
        <w:r w:rsidR="00895D3E">
          <w:rPr>
            <w:noProof/>
            <w:webHidden/>
          </w:rPr>
        </w:r>
        <w:r w:rsidR="00895D3E">
          <w:rPr>
            <w:noProof/>
            <w:webHidden/>
          </w:rPr>
          <w:fldChar w:fldCharType="separate"/>
        </w:r>
        <w:r w:rsidR="00895D3E">
          <w:rPr>
            <w:noProof/>
            <w:webHidden/>
          </w:rPr>
          <w:t>7</w:t>
        </w:r>
        <w:r w:rsidR="00895D3E">
          <w:rPr>
            <w:noProof/>
            <w:webHidden/>
          </w:rPr>
          <w:fldChar w:fldCharType="end"/>
        </w:r>
      </w:hyperlink>
    </w:p>
    <w:p w14:paraId="605CD0C4" w14:textId="3D1ED727" w:rsidR="00895D3E" w:rsidRDefault="00637BB5">
      <w:pPr>
        <w:pStyle w:val="TOC1"/>
        <w:rPr>
          <w:rFonts w:asciiTheme="minorHAnsi" w:eastAsiaTheme="minorEastAsia" w:hAnsiTheme="minorHAnsi" w:cstheme="minorBidi"/>
          <w:sz w:val="22"/>
          <w:szCs w:val="22"/>
        </w:rPr>
      </w:pPr>
      <w:hyperlink w:anchor="_Toc106613884" w:history="1">
        <w:r w:rsidR="00895D3E" w:rsidRPr="00D17634">
          <w:rPr>
            <w:rStyle w:val="Hyperlink"/>
          </w:rPr>
          <w:t>2.</w:t>
        </w:r>
        <w:r w:rsidR="00895D3E">
          <w:rPr>
            <w:rFonts w:asciiTheme="minorHAnsi" w:eastAsiaTheme="minorEastAsia" w:hAnsiTheme="minorHAnsi" w:cstheme="minorBidi"/>
            <w:sz w:val="22"/>
            <w:szCs w:val="22"/>
          </w:rPr>
          <w:tab/>
        </w:r>
        <w:r w:rsidR="00895D3E" w:rsidRPr="00D17634">
          <w:rPr>
            <w:rStyle w:val="Hyperlink"/>
          </w:rPr>
          <w:t>Considerations in securing Clinical Quality Registries</w:t>
        </w:r>
        <w:r w:rsidR="00895D3E">
          <w:rPr>
            <w:webHidden/>
          </w:rPr>
          <w:tab/>
        </w:r>
        <w:r w:rsidR="00895D3E">
          <w:rPr>
            <w:webHidden/>
          </w:rPr>
          <w:fldChar w:fldCharType="begin"/>
        </w:r>
        <w:r w:rsidR="00895D3E">
          <w:rPr>
            <w:webHidden/>
          </w:rPr>
          <w:instrText xml:space="preserve"> PAGEREF _Toc106613884 \h </w:instrText>
        </w:r>
        <w:r w:rsidR="00895D3E">
          <w:rPr>
            <w:webHidden/>
          </w:rPr>
        </w:r>
        <w:r w:rsidR="00895D3E">
          <w:rPr>
            <w:webHidden/>
          </w:rPr>
          <w:fldChar w:fldCharType="separate"/>
        </w:r>
        <w:r w:rsidR="00895D3E">
          <w:rPr>
            <w:webHidden/>
          </w:rPr>
          <w:t>8</w:t>
        </w:r>
        <w:r w:rsidR="00895D3E">
          <w:rPr>
            <w:webHidden/>
          </w:rPr>
          <w:fldChar w:fldCharType="end"/>
        </w:r>
      </w:hyperlink>
    </w:p>
    <w:p w14:paraId="63C1DD92" w14:textId="0822AEF2" w:rsidR="00895D3E" w:rsidRDefault="00637BB5">
      <w:pPr>
        <w:pStyle w:val="TOC2"/>
        <w:framePr w:wrap="around"/>
        <w:rPr>
          <w:rFonts w:asciiTheme="minorHAnsi" w:eastAsiaTheme="minorEastAsia" w:hAnsiTheme="minorHAnsi" w:cstheme="minorBidi"/>
          <w:noProof/>
          <w:sz w:val="22"/>
          <w:szCs w:val="22"/>
        </w:rPr>
      </w:pPr>
      <w:hyperlink w:anchor="_Toc106613885" w:history="1">
        <w:r w:rsidR="00895D3E" w:rsidRPr="00D17634">
          <w:rPr>
            <w:rStyle w:val="Hyperlink"/>
            <w:noProof/>
          </w:rPr>
          <w:t>2.1.</w:t>
        </w:r>
        <w:r w:rsidR="00895D3E">
          <w:rPr>
            <w:rFonts w:asciiTheme="minorHAnsi" w:eastAsiaTheme="minorEastAsia" w:hAnsiTheme="minorHAnsi" w:cstheme="minorBidi"/>
            <w:noProof/>
            <w:sz w:val="22"/>
            <w:szCs w:val="22"/>
          </w:rPr>
          <w:tab/>
        </w:r>
        <w:r w:rsidR="00895D3E" w:rsidRPr="00D17634">
          <w:rPr>
            <w:rStyle w:val="Hyperlink"/>
            <w:noProof/>
          </w:rPr>
          <w:t>Definitions of key elements of information security</w:t>
        </w:r>
        <w:r w:rsidR="00895D3E">
          <w:rPr>
            <w:noProof/>
            <w:webHidden/>
          </w:rPr>
          <w:tab/>
        </w:r>
        <w:r w:rsidR="00895D3E">
          <w:rPr>
            <w:noProof/>
            <w:webHidden/>
          </w:rPr>
          <w:fldChar w:fldCharType="begin"/>
        </w:r>
        <w:r w:rsidR="00895D3E">
          <w:rPr>
            <w:noProof/>
            <w:webHidden/>
          </w:rPr>
          <w:instrText xml:space="preserve"> PAGEREF _Toc106613885 \h </w:instrText>
        </w:r>
        <w:r w:rsidR="00895D3E">
          <w:rPr>
            <w:noProof/>
            <w:webHidden/>
          </w:rPr>
        </w:r>
        <w:r w:rsidR="00895D3E">
          <w:rPr>
            <w:noProof/>
            <w:webHidden/>
          </w:rPr>
          <w:fldChar w:fldCharType="separate"/>
        </w:r>
        <w:r w:rsidR="00895D3E">
          <w:rPr>
            <w:noProof/>
            <w:webHidden/>
          </w:rPr>
          <w:t>8</w:t>
        </w:r>
        <w:r w:rsidR="00895D3E">
          <w:rPr>
            <w:noProof/>
            <w:webHidden/>
          </w:rPr>
          <w:fldChar w:fldCharType="end"/>
        </w:r>
      </w:hyperlink>
    </w:p>
    <w:p w14:paraId="1F5E193C" w14:textId="33B8DAA5" w:rsidR="00895D3E" w:rsidRDefault="00637BB5">
      <w:pPr>
        <w:pStyle w:val="TOC2"/>
        <w:framePr w:wrap="around"/>
        <w:rPr>
          <w:rFonts w:asciiTheme="minorHAnsi" w:eastAsiaTheme="minorEastAsia" w:hAnsiTheme="minorHAnsi" w:cstheme="minorBidi"/>
          <w:noProof/>
          <w:sz w:val="22"/>
          <w:szCs w:val="22"/>
        </w:rPr>
      </w:pPr>
      <w:hyperlink w:anchor="_Toc106613886" w:history="1">
        <w:r w:rsidR="00895D3E" w:rsidRPr="00D17634">
          <w:rPr>
            <w:rStyle w:val="Hyperlink"/>
            <w:noProof/>
          </w:rPr>
          <w:t>2.2.</w:t>
        </w:r>
        <w:r w:rsidR="00895D3E">
          <w:rPr>
            <w:rFonts w:asciiTheme="minorHAnsi" w:eastAsiaTheme="minorEastAsia" w:hAnsiTheme="minorHAnsi" w:cstheme="minorBidi"/>
            <w:noProof/>
            <w:sz w:val="22"/>
            <w:szCs w:val="22"/>
          </w:rPr>
          <w:tab/>
        </w:r>
        <w:r w:rsidR="00895D3E" w:rsidRPr="00D17634">
          <w:rPr>
            <w:rStyle w:val="Hyperlink"/>
            <w:noProof/>
          </w:rPr>
          <w:t>Common threats to information</w:t>
        </w:r>
        <w:r w:rsidR="00895D3E">
          <w:rPr>
            <w:noProof/>
            <w:webHidden/>
          </w:rPr>
          <w:tab/>
        </w:r>
        <w:r w:rsidR="00895D3E">
          <w:rPr>
            <w:noProof/>
            <w:webHidden/>
          </w:rPr>
          <w:fldChar w:fldCharType="begin"/>
        </w:r>
        <w:r w:rsidR="00895D3E">
          <w:rPr>
            <w:noProof/>
            <w:webHidden/>
          </w:rPr>
          <w:instrText xml:space="preserve"> PAGEREF _Toc106613886 \h </w:instrText>
        </w:r>
        <w:r w:rsidR="00895D3E">
          <w:rPr>
            <w:noProof/>
            <w:webHidden/>
          </w:rPr>
        </w:r>
        <w:r w:rsidR="00895D3E">
          <w:rPr>
            <w:noProof/>
            <w:webHidden/>
          </w:rPr>
          <w:fldChar w:fldCharType="separate"/>
        </w:r>
        <w:r w:rsidR="00895D3E">
          <w:rPr>
            <w:noProof/>
            <w:webHidden/>
          </w:rPr>
          <w:t>8</w:t>
        </w:r>
        <w:r w:rsidR="00895D3E">
          <w:rPr>
            <w:noProof/>
            <w:webHidden/>
          </w:rPr>
          <w:fldChar w:fldCharType="end"/>
        </w:r>
      </w:hyperlink>
    </w:p>
    <w:p w14:paraId="77FADB8D" w14:textId="5BA727EF" w:rsidR="00895D3E" w:rsidRDefault="00637BB5">
      <w:pPr>
        <w:pStyle w:val="TOC2"/>
        <w:framePr w:wrap="around"/>
        <w:rPr>
          <w:rFonts w:asciiTheme="minorHAnsi" w:eastAsiaTheme="minorEastAsia" w:hAnsiTheme="minorHAnsi" w:cstheme="minorBidi"/>
          <w:noProof/>
          <w:sz w:val="22"/>
          <w:szCs w:val="22"/>
        </w:rPr>
      </w:pPr>
      <w:hyperlink w:anchor="_Toc106613887" w:history="1">
        <w:r w:rsidR="00895D3E" w:rsidRPr="00D17634">
          <w:rPr>
            <w:rStyle w:val="Hyperlink"/>
            <w:noProof/>
          </w:rPr>
          <w:t>2.3.</w:t>
        </w:r>
        <w:r w:rsidR="00895D3E">
          <w:rPr>
            <w:rFonts w:asciiTheme="minorHAnsi" w:eastAsiaTheme="minorEastAsia" w:hAnsiTheme="minorHAnsi" w:cstheme="minorBidi"/>
            <w:noProof/>
            <w:sz w:val="22"/>
            <w:szCs w:val="22"/>
          </w:rPr>
          <w:tab/>
        </w:r>
        <w:r w:rsidR="00895D3E" w:rsidRPr="00D17634">
          <w:rPr>
            <w:rStyle w:val="Hyperlink"/>
            <w:noProof/>
          </w:rPr>
          <w:t>Legislation and regulation</w:t>
        </w:r>
        <w:r w:rsidR="00895D3E">
          <w:rPr>
            <w:noProof/>
            <w:webHidden/>
          </w:rPr>
          <w:tab/>
        </w:r>
        <w:r w:rsidR="00895D3E">
          <w:rPr>
            <w:noProof/>
            <w:webHidden/>
          </w:rPr>
          <w:fldChar w:fldCharType="begin"/>
        </w:r>
        <w:r w:rsidR="00895D3E">
          <w:rPr>
            <w:noProof/>
            <w:webHidden/>
          </w:rPr>
          <w:instrText xml:space="preserve"> PAGEREF _Toc106613887 \h </w:instrText>
        </w:r>
        <w:r w:rsidR="00895D3E">
          <w:rPr>
            <w:noProof/>
            <w:webHidden/>
          </w:rPr>
        </w:r>
        <w:r w:rsidR="00895D3E">
          <w:rPr>
            <w:noProof/>
            <w:webHidden/>
          </w:rPr>
          <w:fldChar w:fldCharType="separate"/>
        </w:r>
        <w:r w:rsidR="00895D3E">
          <w:rPr>
            <w:noProof/>
            <w:webHidden/>
          </w:rPr>
          <w:t>10</w:t>
        </w:r>
        <w:r w:rsidR="00895D3E">
          <w:rPr>
            <w:noProof/>
            <w:webHidden/>
          </w:rPr>
          <w:fldChar w:fldCharType="end"/>
        </w:r>
      </w:hyperlink>
    </w:p>
    <w:p w14:paraId="6DC5985F" w14:textId="17BC4D1F" w:rsidR="00895D3E" w:rsidRDefault="00637BB5">
      <w:pPr>
        <w:pStyle w:val="TOC2"/>
        <w:framePr w:wrap="around"/>
        <w:rPr>
          <w:rFonts w:asciiTheme="minorHAnsi" w:eastAsiaTheme="minorEastAsia" w:hAnsiTheme="minorHAnsi" w:cstheme="minorBidi"/>
          <w:noProof/>
          <w:sz w:val="22"/>
          <w:szCs w:val="22"/>
        </w:rPr>
      </w:pPr>
      <w:hyperlink w:anchor="_Toc106613888" w:history="1">
        <w:r w:rsidR="00895D3E" w:rsidRPr="00D17634">
          <w:rPr>
            <w:rStyle w:val="Hyperlink"/>
            <w:noProof/>
          </w:rPr>
          <w:t>2.4.</w:t>
        </w:r>
        <w:r w:rsidR="00895D3E">
          <w:rPr>
            <w:rFonts w:asciiTheme="minorHAnsi" w:eastAsiaTheme="minorEastAsia" w:hAnsiTheme="minorHAnsi" w:cstheme="minorBidi"/>
            <w:noProof/>
            <w:sz w:val="22"/>
            <w:szCs w:val="22"/>
          </w:rPr>
          <w:tab/>
        </w:r>
        <w:r w:rsidR="00895D3E" w:rsidRPr="00D17634">
          <w:rPr>
            <w:rStyle w:val="Hyperlink"/>
            <w:noProof/>
          </w:rPr>
          <w:t>Approaches to managing risk</w:t>
        </w:r>
        <w:r w:rsidR="00895D3E">
          <w:rPr>
            <w:noProof/>
            <w:webHidden/>
          </w:rPr>
          <w:tab/>
        </w:r>
        <w:r w:rsidR="00895D3E">
          <w:rPr>
            <w:noProof/>
            <w:webHidden/>
          </w:rPr>
          <w:fldChar w:fldCharType="begin"/>
        </w:r>
        <w:r w:rsidR="00895D3E">
          <w:rPr>
            <w:noProof/>
            <w:webHidden/>
          </w:rPr>
          <w:instrText xml:space="preserve"> PAGEREF _Toc106613888 \h </w:instrText>
        </w:r>
        <w:r w:rsidR="00895D3E">
          <w:rPr>
            <w:noProof/>
            <w:webHidden/>
          </w:rPr>
        </w:r>
        <w:r w:rsidR="00895D3E">
          <w:rPr>
            <w:noProof/>
            <w:webHidden/>
          </w:rPr>
          <w:fldChar w:fldCharType="separate"/>
        </w:r>
        <w:r w:rsidR="00895D3E">
          <w:rPr>
            <w:noProof/>
            <w:webHidden/>
          </w:rPr>
          <w:t>10</w:t>
        </w:r>
        <w:r w:rsidR="00895D3E">
          <w:rPr>
            <w:noProof/>
            <w:webHidden/>
          </w:rPr>
          <w:fldChar w:fldCharType="end"/>
        </w:r>
      </w:hyperlink>
    </w:p>
    <w:p w14:paraId="507360EF" w14:textId="5BFE7AF2" w:rsidR="00895D3E" w:rsidRDefault="00637BB5">
      <w:pPr>
        <w:pStyle w:val="TOC1"/>
        <w:rPr>
          <w:rFonts w:asciiTheme="minorHAnsi" w:eastAsiaTheme="minorEastAsia" w:hAnsiTheme="minorHAnsi" w:cstheme="minorBidi"/>
          <w:sz w:val="22"/>
          <w:szCs w:val="22"/>
        </w:rPr>
      </w:pPr>
      <w:hyperlink w:anchor="_Toc106613889" w:history="1">
        <w:r w:rsidR="00895D3E" w:rsidRPr="00D17634">
          <w:rPr>
            <w:rStyle w:val="Hyperlink"/>
          </w:rPr>
          <w:t>3.</w:t>
        </w:r>
        <w:r w:rsidR="00895D3E">
          <w:rPr>
            <w:rFonts w:asciiTheme="minorHAnsi" w:eastAsiaTheme="minorEastAsia" w:hAnsiTheme="minorHAnsi" w:cstheme="minorBidi"/>
            <w:sz w:val="22"/>
            <w:szCs w:val="22"/>
          </w:rPr>
          <w:tab/>
        </w:r>
        <w:r w:rsidR="00895D3E" w:rsidRPr="00D17634">
          <w:rPr>
            <w:rStyle w:val="Hyperlink"/>
          </w:rPr>
          <w:t>Infrastructure models and risk profiles</w:t>
        </w:r>
        <w:r w:rsidR="00895D3E">
          <w:rPr>
            <w:webHidden/>
          </w:rPr>
          <w:tab/>
        </w:r>
        <w:r w:rsidR="00895D3E">
          <w:rPr>
            <w:webHidden/>
          </w:rPr>
          <w:fldChar w:fldCharType="begin"/>
        </w:r>
        <w:r w:rsidR="00895D3E">
          <w:rPr>
            <w:webHidden/>
          </w:rPr>
          <w:instrText xml:space="preserve"> PAGEREF _Toc106613889 \h </w:instrText>
        </w:r>
        <w:r w:rsidR="00895D3E">
          <w:rPr>
            <w:webHidden/>
          </w:rPr>
        </w:r>
        <w:r w:rsidR="00895D3E">
          <w:rPr>
            <w:webHidden/>
          </w:rPr>
          <w:fldChar w:fldCharType="separate"/>
        </w:r>
        <w:r w:rsidR="00895D3E">
          <w:rPr>
            <w:webHidden/>
          </w:rPr>
          <w:t>12</w:t>
        </w:r>
        <w:r w:rsidR="00895D3E">
          <w:rPr>
            <w:webHidden/>
          </w:rPr>
          <w:fldChar w:fldCharType="end"/>
        </w:r>
      </w:hyperlink>
    </w:p>
    <w:p w14:paraId="755A845E" w14:textId="3975F1B3" w:rsidR="00895D3E" w:rsidRDefault="00637BB5">
      <w:pPr>
        <w:pStyle w:val="TOC2"/>
        <w:framePr w:wrap="around"/>
        <w:rPr>
          <w:rFonts w:asciiTheme="minorHAnsi" w:eastAsiaTheme="minorEastAsia" w:hAnsiTheme="minorHAnsi" w:cstheme="minorBidi"/>
          <w:noProof/>
          <w:sz w:val="22"/>
          <w:szCs w:val="22"/>
        </w:rPr>
      </w:pPr>
      <w:hyperlink w:anchor="_Toc106613890" w:history="1">
        <w:r w:rsidR="00895D3E" w:rsidRPr="00D17634">
          <w:rPr>
            <w:rStyle w:val="Hyperlink"/>
            <w:noProof/>
          </w:rPr>
          <w:t>3.1.</w:t>
        </w:r>
        <w:r w:rsidR="00895D3E">
          <w:rPr>
            <w:rFonts w:asciiTheme="minorHAnsi" w:eastAsiaTheme="minorEastAsia" w:hAnsiTheme="minorHAnsi" w:cstheme="minorBidi"/>
            <w:noProof/>
            <w:sz w:val="22"/>
            <w:szCs w:val="22"/>
          </w:rPr>
          <w:tab/>
        </w:r>
        <w:r w:rsidR="00895D3E" w:rsidRPr="00D17634">
          <w:rPr>
            <w:rStyle w:val="Hyperlink"/>
            <w:noProof/>
          </w:rPr>
          <w:t>Infrastructure Models</w:t>
        </w:r>
        <w:r w:rsidR="00895D3E">
          <w:rPr>
            <w:noProof/>
            <w:webHidden/>
          </w:rPr>
          <w:tab/>
        </w:r>
        <w:r w:rsidR="00895D3E">
          <w:rPr>
            <w:noProof/>
            <w:webHidden/>
          </w:rPr>
          <w:fldChar w:fldCharType="begin"/>
        </w:r>
        <w:r w:rsidR="00895D3E">
          <w:rPr>
            <w:noProof/>
            <w:webHidden/>
          </w:rPr>
          <w:instrText xml:space="preserve"> PAGEREF _Toc106613890 \h </w:instrText>
        </w:r>
        <w:r w:rsidR="00895D3E">
          <w:rPr>
            <w:noProof/>
            <w:webHidden/>
          </w:rPr>
        </w:r>
        <w:r w:rsidR="00895D3E">
          <w:rPr>
            <w:noProof/>
            <w:webHidden/>
          </w:rPr>
          <w:fldChar w:fldCharType="separate"/>
        </w:r>
        <w:r w:rsidR="00895D3E">
          <w:rPr>
            <w:noProof/>
            <w:webHidden/>
          </w:rPr>
          <w:t>12</w:t>
        </w:r>
        <w:r w:rsidR="00895D3E">
          <w:rPr>
            <w:noProof/>
            <w:webHidden/>
          </w:rPr>
          <w:fldChar w:fldCharType="end"/>
        </w:r>
      </w:hyperlink>
    </w:p>
    <w:p w14:paraId="2C94F84B" w14:textId="04BA5897" w:rsidR="00895D3E" w:rsidRDefault="00637BB5">
      <w:pPr>
        <w:pStyle w:val="TOC2"/>
        <w:framePr w:wrap="around"/>
        <w:rPr>
          <w:rFonts w:asciiTheme="minorHAnsi" w:eastAsiaTheme="minorEastAsia" w:hAnsiTheme="minorHAnsi" w:cstheme="minorBidi"/>
          <w:noProof/>
          <w:sz w:val="22"/>
          <w:szCs w:val="22"/>
        </w:rPr>
      </w:pPr>
      <w:hyperlink w:anchor="_Toc106613891" w:history="1">
        <w:r w:rsidR="00895D3E" w:rsidRPr="00D17634">
          <w:rPr>
            <w:rStyle w:val="Hyperlink"/>
            <w:noProof/>
          </w:rPr>
          <w:t>3.2.</w:t>
        </w:r>
        <w:r w:rsidR="00895D3E">
          <w:rPr>
            <w:rFonts w:asciiTheme="minorHAnsi" w:eastAsiaTheme="minorEastAsia" w:hAnsiTheme="minorHAnsi" w:cstheme="minorBidi"/>
            <w:noProof/>
            <w:sz w:val="22"/>
            <w:szCs w:val="22"/>
          </w:rPr>
          <w:tab/>
        </w:r>
        <w:r w:rsidR="00895D3E" w:rsidRPr="00D17634">
          <w:rPr>
            <w:rStyle w:val="Hyperlink"/>
            <w:noProof/>
          </w:rPr>
          <w:t>Model 1 - Centrally hosted jurisdictional infrastructure</w:t>
        </w:r>
        <w:r w:rsidR="00895D3E">
          <w:rPr>
            <w:noProof/>
            <w:webHidden/>
          </w:rPr>
          <w:tab/>
        </w:r>
        <w:r w:rsidR="00895D3E">
          <w:rPr>
            <w:noProof/>
            <w:webHidden/>
          </w:rPr>
          <w:fldChar w:fldCharType="begin"/>
        </w:r>
        <w:r w:rsidR="00895D3E">
          <w:rPr>
            <w:noProof/>
            <w:webHidden/>
          </w:rPr>
          <w:instrText xml:space="preserve"> PAGEREF _Toc106613891 \h </w:instrText>
        </w:r>
        <w:r w:rsidR="00895D3E">
          <w:rPr>
            <w:noProof/>
            <w:webHidden/>
          </w:rPr>
        </w:r>
        <w:r w:rsidR="00895D3E">
          <w:rPr>
            <w:noProof/>
            <w:webHidden/>
          </w:rPr>
          <w:fldChar w:fldCharType="separate"/>
        </w:r>
        <w:r w:rsidR="00895D3E">
          <w:rPr>
            <w:noProof/>
            <w:webHidden/>
          </w:rPr>
          <w:t>12</w:t>
        </w:r>
        <w:r w:rsidR="00895D3E">
          <w:rPr>
            <w:noProof/>
            <w:webHidden/>
          </w:rPr>
          <w:fldChar w:fldCharType="end"/>
        </w:r>
      </w:hyperlink>
    </w:p>
    <w:p w14:paraId="6A062FAF" w14:textId="4DEA1896" w:rsidR="00895D3E" w:rsidRDefault="00637BB5">
      <w:pPr>
        <w:pStyle w:val="TOC2"/>
        <w:framePr w:wrap="around"/>
        <w:rPr>
          <w:rFonts w:asciiTheme="minorHAnsi" w:eastAsiaTheme="minorEastAsia" w:hAnsiTheme="minorHAnsi" w:cstheme="minorBidi"/>
          <w:noProof/>
          <w:sz w:val="22"/>
          <w:szCs w:val="22"/>
        </w:rPr>
      </w:pPr>
      <w:hyperlink w:anchor="_Toc106613892" w:history="1">
        <w:r w:rsidR="00895D3E" w:rsidRPr="00D17634">
          <w:rPr>
            <w:rStyle w:val="Hyperlink"/>
            <w:noProof/>
          </w:rPr>
          <w:t>3.3.</w:t>
        </w:r>
        <w:r w:rsidR="00895D3E">
          <w:rPr>
            <w:rFonts w:asciiTheme="minorHAnsi" w:eastAsiaTheme="minorEastAsia" w:hAnsiTheme="minorHAnsi" w:cstheme="minorBidi"/>
            <w:noProof/>
            <w:sz w:val="22"/>
            <w:szCs w:val="22"/>
          </w:rPr>
          <w:tab/>
        </w:r>
        <w:r w:rsidR="00895D3E" w:rsidRPr="00D17634">
          <w:rPr>
            <w:rStyle w:val="Hyperlink"/>
            <w:noProof/>
          </w:rPr>
          <w:t>Model 2 – Standalone CQRs</w:t>
        </w:r>
        <w:r w:rsidR="00895D3E">
          <w:rPr>
            <w:noProof/>
            <w:webHidden/>
          </w:rPr>
          <w:tab/>
        </w:r>
        <w:r w:rsidR="00895D3E">
          <w:rPr>
            <w:noProof/>
            <w:webHidden/>
          </w:rPr>
          <w:fldChar w:fldCharType="begin"/>
        </w:r>
        <w:r w:rsidR="00895D3E">
          <w:rPr>
            <w:noProof/>
            <w:webHidden/>
          </w:rPr>
          <w:instrText xml:space="preserve"> PAGEREF _Toc106613892 \h </w:instrText>
        </w:r>
        <w:r w:rsidR="00895D3E">
          <w:rPr>
            <w:noProof/>
            <w:webHidden/>
          </w:rPr>
        </w:r>
        <w:r w:rsidR="00895D3E">
          <w:rPr>
            <w:noProof/>
            <w:webHidden/>
          </w:rPr>
          <w:fldChar w:fldCharType="separate"/>
        </w:r>
        <w:r w:rsidR="00895D3E">
          <w:rPr>
            <w:noProof/>
            <w:webHidden/>
          </w:rPr>
          <w:t>13</w:t>
        </w:r>
        <w:r w:rsidR="00895D3E">
          <w:rPr>
            <w:noProof/>
            <w:webHidden/>
          </w:rPr>
          <w:fldChar w:fldCharType="end"/>
        </w:r>
      </w:hyperlink>
    </w:p>
    <w:p w14:paraId="0A602FA2" w14:textId="5F80B07F" w:rsidR="00895D3E" w:rsidRDefault="00637BB5">
      <w:pPr>
        <w:pStyle w:val="TOC2"/>
        <w:framePr w:wrap="around"/>
        <w:rPr>
          <w:rFonts w:asciiTheme="minorHAnsi" w:eastAsiaTheme="minorEastAsia" w:hAnsiTheme="minorHAnsi" w:cstheme="minorBidi"/>
          <w:noProof/>
          <w:sz w:val="22"/>
          <w:szCs w:val="22"/>
        </w:rPr>
      </w:pPr>
      <w:hyperlink w:anchor="_Toc106613893" w:history="1">
        <w:r w:rsidR="00895D3E" w:rsidRPr="00D17634">
          <w:rPr>
            <w:rStyle w:val="Hyperlink"/>
            <w:noProof/>
          </w:rPr>
          <w:t>3.4.</w:t>
        </w:r>
        <w:r w:rsidR="00895D3E">
          <w:rPr>
            <w:rFonts w:asciiTheme="minorHAnsi" w:eastAsiaTheme="minorEastAsia" w:hAnsiTheme="minorHAnsi" w:cstheme="minorBidi"/>
            <w:noProof/>
            <w:sz w:val="22"/>
            <w:szCs w:val="22"/>
          </w:rPr>
          <w:tab/>
        </w:r>
        <w:r w:rsidR="00895D3E" w:rsidRPr="00D17634">
          <w:rPr>
            <w:rStyle w:val="Hyperlink"/>
            <w:noProof/>
          </w:rPr>
          <w:t>Risk profiles</w:t>
        </w:r>
        <w:r w:rsidR="00895D3E">
          <w:rPr>
            <w:noProof/>
            <w:webHidden/>
          </w:rPr>
          <w:tab/>
        </w:r>
        <w:r w:rsidR="00895D3E">
          <w:rPr>
            <w:noProof/>
            <w:webHidden/>
          </w:rPr>
          <w:fldChar w:fldCharType="begin"/>
        </w:r>
        <w:r w:rsidR="00895D3E">
          <w:rPr>
            <w:noProof/>
            <w:webHidden/>
          </w:rPr>
          <w:instrText xml:space="preserve"> PAGEREF _Toc106613893 \h </w:instrText>
        </w:r>
        <w:r w:rsidR="00895D3E">
          <w:rPr>
            <w:noProof/>
            <w:webHidden/>
          </w:rPr>
        </w:r>
        <w:r w:rsidR="00895D3E">
          <w:rPr>
            <w:noProof/>
            <w:webHidden/>
          </w:rPr>
          <w:fldChar w:fldCharType="separate"/>
        </w:r>
        <w:r w:rsidR="00895D3E">
          <w:rPr>
            <w:noProof/>
            <w:webHidden/>
          </w:rPr>
          <w:t>15</w:t>
        </w:r>
        <w:r w:rsidR="00895D3E">
          <w:rPr>
            <w:noProof/>
            <w:webHidden/>
          </w:rPr>
          <w:fldChar w:fldCharType="end"/>
        </w:r>
      </w:hyperlink>
    </w:p>
    <w:p w14:paraId="27101246" w14:textId="70016299" w:rsidR="00895D3E" w:rsidRDefault="00637BB5">
      <w:pPr>
        <w:pStyle w:val="TOC3"/>
        <w:rPr>
          <w:rFonts w:asciiTheme="minorHAnsi" w:eastAsiaTheme="minorEastAsia" w:hAnsiTheme="minorHAnsi" w:cstheme="minorBidi"/>
          <w:noProof/>
          <w:sz w:val="22"/>
          <w:szCs w:val="22"/>
        </w:rPr>
      </w:pPr>
      <w:hyperlink w:anchor="_Toc106613894" w:history="1">
        <w:r w:rsidR="00895D3E" w:rsidRPr="00D17634">
          <w:rPr>
            <w:rStyle w:val="Hyperlink"/>
            <w:noProof/>
          </w:rPr>
          <w:t>3.4.1</w:t>
        </w:r>
        <w:r w:rsidR="00895D3E">
          <w:rPr>
            <w:rFonts w:asciiTheme="minorHAnsi" w:eastAsiaTheme="minorEastAsia" w:hAnsiTheme="minorHAnsi" w:cstheme="minorBidi"/>
            <w:noProof/>
            <w:sz w:val="22"/>
            <w:szCs w:val="22"/>
          </w:rPr>
          <w:tab/>
        </w:r>
        <w:r w:rsidR="00895D3E" w:rsidRPr="00D17634">
          <w:rPr>
            <w:rStyle w:val="Hyperlink"/>
            <w:noProof/>
          </w:rPr>
          <w:t>Summary of risk profiles</w:t>
        </w:r>
        <w:r w:rsidR="00895D3E">
          <w:rPr>
            <w:noProof/>
            <w:webHidden/>
          </w:rPr>
          <w:tab/>
        </w:r>
        <w:r w:rsidR="00895D3E">
          <w:rPr>
            <w:noProof/>
            <w:webHidden/>
          </w:rPr>
          <w:fldChar w:fldCharType="begin"/>
        </w:r>
        <w:r w:rsidR="00895D3E">
          <w:rPr>
            <w:noProof/>
            <w:webHidden/>
          </w:rPr>
          <w:instrText xml:space="preserve"> PAGEREF _Toc106613894 \h </w:instrText>
        </w:r>
        <w:r w:rsidR="00895D3E">
          <w:rPr>
            <w:noProof/>
            <w:webHidden/>
          </w:rPr>
        </w:r>
        <w:r w:rsidR="00895D3E">
          <w:rPr>
            <w:noProof/>
            <w:webHidden/>
          </w:rPr>
          <w:fldChar w:fldCharType="separate"/>
        </w:r>
        <w:r w:rsidR="00895D3E">
          <w:rPr>
            <w:noProof/>
            <w:webHidden/>
          </w:rPr>
          <w:t>15</w:t>
        </w:r>
        <w:r w:rsidR="00895D3E">
          <w:rPr>
            <w:noProof/>
            <w:webHidden/>
          </w:rPr>
          <w:fldChar w:fldCharType="end"/>
        </w:r>
      </w:hyperlink>
    </w:p>
    <w:p w14:paraId="2E99D8A7" w14:textId="2B306163" w:rsidR="00895D3E" w:rsidRDefault="00637BB5">
      <w:pPr>
        <w:pStyle w:val="TOC3"/>
        <w:rPr>
          <w:rFonts w:asciiTheme="minorHAnsi" w:eastAsiaTheme="minorEastAsia" w:hAnsiTheme="minorHAnsi" w:cstheme="minorBidi"/>
          <w:noProof/>
          <w:sz w:val="22"/>
          <w:szCs w:val="22"/>
        </w:rPr>
      </w:pPr>
      <w:hyperlink w:anchor="_Toc106613895" w:history="1">
        <w:r w:rsidR="00895D3E" w:rsidRPr="00D17634">
          <w:rPr>
            <w:rStyle w:val="Hyperlink"/>
            <w:noProof/>
          </w:rPr>
          <w:t>3.4.2.</w:t>
        </w:r>
        <w:r w:rsidR="00895D3E">
          <w:rPr>
            <w:rFonts w:asciiTheme="minorHAnsi" w:eastAsiaTheme="minorEastAsia" w:hAnsiTheme="minorHAnsi" w:cstheme="minorBidi"/>
            <w:noProof/>
            <w:sz w:val="22"/>
            <w:szCs w:val="22"/>
          </w:rPr>
          <w:tab/>
        </w:r>
        <w:r w:rsidR="00895D3E" w:rsidRPr="00D17634">
          <w:rPr>
            <w:rStyle w:val="Hyperlink"/>
            <w:noProof/>
          </w:rPr>
          <w:t>Risk profile for centrally hosted jurisdictional model</w:t>
        </w:r>
        <w:r w:rsidR="00895D3E">
          <w:rPr>
            <w:noProof/>
            <w:webHidden/>
          </w:rPr>
          <w:tab/>
        </w:r>
        <w:r w:rsidR="00895D3E">
          <w:rPr>
            <w:noProof/>
            <w:webHidden/>
          </w:rPr>
          <w:fldChar w:fldCharType="begin"/>
        </w:r>
        <w:r w:rsidR="00895D3E">
          <w:rPr>
            <w:noProof/>
            <w:webHidden/>
          </w:rPr>
          <w:instrText xml:space="preserve"> PAGEREF _Toc106613895 \h </w:instrText>
        </w:r>
        <w:r w:rsidR="00895D3E">
          <w:rPr>
            <w:noProof/>
            <w:webHidden/>
          </w:rPr>
        </w:r>
        <w:r w:rsidR="00895D3E">
          <w:rPr>
            <w:noProof/>
            <w:webHidden/>
          </w:rPr>
          <w:fldChar w:fldCharType="separate"/>
        </w:r>
        <w:r w:rsidR="00895D3E">
          <w:rPr>
            <w:noProof/>
            <w:webHidden/>
          </w:rPr>
          <w:t>17</w:t>
        </w:r>
        <w:r w:rsidR="00895D3E">
          <w:rPr>
            <w:noProof/>
            <w:webHidden/>
          </w:rPr>
          <w:fldChar w:fldCharType="end"/>
        </w:r>
      </w:hyperlink>
    </w:p>
    <w:p w14:paraId="5F19549C" w14:textId="70CE3BFE" w:rsidR="00895D3E" w:rsidRDefault="00637BB5">
      <w:pPr>
        <w:pStyle w:val="TOC3"/>
        <w:rPr>
          <w:rFonts w:asciiTheme="minorHAnsi" w:eastAsiaTheme="minorEastAsia" w:hAnsiTheme="minorHAnsi" w:cstheme="minorBidi"/>
          <w:noProof/>
          <w:sz w:val="22"/>
          <w:szCs w:val="22"/>
        </w:rPr>
      </w:pPr>
      <w:hyperlink w:anchor="_Toc106613896" w:history="1">
        <w:r w:rsidR="00895D3E" w:rsidRPr="00D17634">
          <w:rPr>
            <w:rStyle w:val="Hyperlink"/>
            <w:noProof/>
          </w:rPr>
          <w:t>3.4.3.</w:t>
        </w:r>
        <w:r w:rsidR="00895D3E">
          <w:rPr>
            <w:rFonts w:asciiTheme="minorHAnsi" w:eastAsiaTheme="minorEastAsia" w:hAnsiTheme="minorHAnsi" w:cstheme="minorBidi"/>
            <w:noProof/>
            <w:sz w:val="22"/>
            <w:szCs w:val="22"/>
          </w:rPr>
          <w:tab/>
        </w:r>
        <w:r w:rsidR="00895D3E" w:rsidRPr="00D17634">
          <w:rPr>
            <w:rStyle w:val="Hyperlink"/>
            <w:noProof/>
          </w:rPr>
          <w:t>Risk profile for a standalone CQR</w:t>
        </w:r>
        <w:r w:rsidR="00895D3E">
          <w:rPr>
            <w:noProof/>
            <w:webHidden/>
          </w:rPr>
          <w:tab/>
        </w:r>
        <w:r w:rsidR="00895D3E">
          <w:rPr>
            <w:noProof/>
            <w:webHidden/>
          </w:rPr>
          <w:fldChar w:fldCharType="begin"/>
        </w:r>
        <w:r w:rsidR="00895D3E">
          <w:rPr>
            <w:noProof/>
            <w:webHidden/>
          </w:rPr>
          <w:instrText xml:space="preserve"> PAGEREF _Toc106613896 \h </w:instrText>
        </w:r>
        <w:r w:rsidR="00895D3E">
          <w:rPr>
            <w:noProof/>
            <w:webHidden/>
          </w:rPr>
        </w:r>
        <w:r w:rsidR="00895D3E">
          <w:rPr>
            <w:noProof/>
            <w:webHidden/>
          </w:rPr>
          <w:fldChar w:fldCharType="separate"/>
        </w:r>
        <w:r w:rsidR="00895D3E">
          <w:rPr>
            <w:noProof/>
            <w:webHidden/>
          </w:rPr>
          <w:t>21</w:t>
        </w:r>
        <w:r w:rsidR="00895D3E">
          <w:rPr>
            <w:noProof/>
            <w:webHidden/>
          </w:rPr>
          <w:fldChar w:fldCharType="end"/>
        </w:r>
      </w:hyperlink>
    </w:p>
    <w:p w14:paraId="69CFCB9F" w14:textId="1A54E47D" w:rsidR="00895D3E" w:rsidRDefault="00637BB5">
      <w:pPr>
        <w:pStyle w:val="TOC1"/>
        <w:rPr>
          <w:rFonts w:asciiTheme="minorHAnsi" w:eastAsiaTheme="minorEastAsia" w:hAnsiTheme="minorHAnsi" w:cstheme="minorBidi"/>
          <w:sz w:val="22"/>
          <w:szCs w:val="22"/>
        </w:rPr>
      </w:pPr>
      <w:hyperlink w:anchor="_Toc106613897" w:history="1">
        <w:r w:rsidR="00895D3E" w:rsidRPr="00D17634">
          <w:rPr>
            <w:rStyle w:val="Hyperlink"/>
          </w:rPr>
          <w:t>4.</w:t>
        </w:r>
        <w:r w:rsidR="00895D3E">
          <w:rPr>
            <w:rFonts w:asciiTheme="minorHAnsi" w:eastAsiaTheme="minorEastAsia" w:hAnsiTheme="minorHAnsi" w:cstheme="minorBidi"/>
            <w:sz w:val="22"/>
            <w:szCs w:val="22"/>
          </w:rPr>
          <w:tab/>
        </w:r>
        <w:r w:rsidR="00895D3E" w:rsidRPr="00D17634">
          <w:rPr>
            <w:rStyle w:val="Hyperlink"/>
          </w:rPr>
          <w:t>Security Assessment Approach</w:t>
        </w:r>
        <w:r w:rsidR="00895D3E">
          <w:rPr>
            <w:webHidden/>
          </w:rPr>
          <w:tab/>
        </w:r>
        <w:r w:rsidR="00895D3E">
          <w:rPr>
            <w:webHidden/>
          </w:rPr>
          <w:fldChar w:fldCharType="begin"/>
        </w:r>
        <w:r w:rsidR="00895D3E">
          <w:rPr>
            <w:webHidden/>
          </w:rPr>
          <w:instrText xml:space="preserve"> PAGEREF _Toc106613897 \h </w:instrText>
        </w:r>
        <w:r w:rsidR="00895D3E">
          <w:rPr>
            <w:webHidden/>
          </w:rPr>
        </w:r>
        <w:r w:rsidR="00895D3E">
          <w:rPr>
            <w:webHidden/>
          </w:rPr>
          <w:fldChar w:fldCharType="separate"/>
        </w:r>
        <w:r w:rsidR="00895D3E">
          <w:rPr>
            <w:webHidden/>
          </w:rPr>
          <w:t>25</w:t>
        </w:r>
        <w:r w:rsidR="00895D3E">
          <w:rPr>
            <w:webHidden/>
          </w:rPr>
          <w:fldChar w:fldCharType="end"/>
        </w:r>
      </w:hyperlink>
    </w:p>
    <w:p w14:paraId="63C382A1" w14:textId="28422F11" w:rsidR="00895D3E" w:rsidRDefault="00637BB5">
      <w:pPr>
        <w:pStyle w:val="TOC2"/>
        <w:framePr w:wrap="around"/>
        <w:rPr>
          <w:rFonts w:asciiTheme="minorHAnsi" w:eastAsiaTheme="minorEastAsia" w:hAnsiTheme="minorHAnsi" w:cstheme="minorBidi"/>
          <w:noProof/>
          <w:sz w:val="22"/>
          <w:szCs w:val="22"/>
        </w:rPr>
      </w:pPr>
      <w:hyperlink w:anchor="_Toc106613898" w:history="1">
        <w:r w:rsidR="00895D3E" w:rsidRPr="00D17634">
          <w:rPr>
            <w:rStyle w:val="Hyperlink"/>
            <w:noProof/>
          </w:rPr>
          <w:t>4.1.</w:t>
        </w:r>
        <w:r w:rsidR="00895D3E">
          <w:rPr>
            <w:rFonts w:asciiTheme="minorHAnsi" w:eastAsiaTheme="minorEastAsia" w:hAnsiTheme="minorHAnsi" w:cstheme="minorBidi"/>
            <w:noProof/>
            <w:sz w:val="22"/>
            <w:szCs w:val="22"/>
          </w:rPr>
          <w:tab/>
        </w:r>
        <w:r w:rsidR="00895D3E" w:rsidRPr="00D17634">
          <w:rPr>
            <w:rStyle w:val="Hyperlink"/>
            <w:noProof/>
          </w:rPr>
          <w:t>Methodology</w:t>
        </w:r>
        <w:r w:rsidR="00895D3E">
          <w:rPr>
            <w:noProof/>
            <w:webHidden/>
          </w:rPr>
          <w:tab/>
        </w:r>
        <w:r w:rsidR="00895D3E">
          <w:rPr>
            <w:noProof/>
            <w:webHidden/>
          </w:rPr>
          <w:fldChar w:fldCharType="begin"/>
        </w:r>
        <w:r w:rsidR="00895D3E">
          <w:rPr>
            <w:noProof/>
            <w:webHidden/>
          </w:rPr>
          <w:instrText xml:space="preserve"> PAGEREF _Toc106613898 \h </w:instrText>
        </w:r>
        <w:r w:rsidR="00895D3E">
          <w:rPr>
            <w:noProof/>
            <w:webHidden/>
          </w:rPr>
        </w:r>
        <w:r w:rsidR="00895D3E">
          <w:rPr>
            <w:noProof/>
            <w:webHidden/>
          </w:rPr>
          <w:fldChar w:fldCharType="separate"/>
        </w:r>
        <w:r w:rsidR="00895D3E">
          <w:rPr>
            <w:noProof/>
            <w:webHidden/>
          </w:rPr>
          <w:t>25</w:t>
        </w:r>
        <w:r w:rsidR="00895D3E">
          <w:rPr>
            <w:noProof/>
            <w:webHidden/>
          </w:rPr>
          <w:fldChar w:fldCharType="end"/>
        </w:r>
      </w:hyperlink>
    </w:p>
    <w:p w14:paraId="5E773B98" w14:textId="75CD79A5" w:rsidR="00895D3E" w:rsidRDefault="00637BB5">
      <w:pPr>
        <w:pStyle w:val="TOC2"/>
        <w:framePr w:wrap="around"/>
        <w:rPr>
          <w:rFonts w:asciiTheme="minorHAnsi" w:eastAsiaTheme="minorEastAsia" w:hAnsiTheme="minorHAnsi" w:cstheme="minorBidi"/>
          <w:noProof/>
          <w:sz w:val="22"/>
          <w:szCs w:val="22"/>
        </w:rPr>
      </w:pPr>
      <w:hyperlink w:anchor="_Toc106613899" w:history="1">
        <w:r w:rsidR="00895D3E" w:rsidRPr="00D17634">
          <w:rPr>
            <w:rStyle w:val="Hyperlink"/>
            <w:noProof/>
          </w:rPr>
          <w:t>4.2.</w:t>
        </w:r>
        <w:r w:rsidR="00895D3E">
          <w:rPr>
            <w:rFonts w:asciiTheme="minorHAnsi" w:eastAsiaTheme="minorEastAsia" w:hAnsiTheme="minorHAnsi" w:cstheme="minorBidi"/>
            <w:noProof/>
            <w:sz w:val="22"/>
            <w:szCs w:val="22"/>
          </w:rPr>
          <w:tab/>
        </w:r>
        <w:r w:rsidR="00895D3E" w:rsidRPr="00D17634">
          <w:rPr>
            <w:rStyle w:val="Hyperlink"/>
            <w:noProof/>
          </w:rPr>
          <w:t>Assessing Compliance</w:t>
        </w:r>
        <w:r w:rsidR="00895D3E">
          <w:rPr>
            <w:noProof/>
            <w:webHidden/>
          </w:rPr>
          <w:tab/>
        </w:r>
        <w:r w:rsidR="00895D3E">
          <w:rPr>
            <w:noProof/>
            <w:webHidden/>
          </w:rPr>
          <w:fldChar w:fldCharType="begin"/>
        </w:r>
        <w:r w:rsidR="00895D3E">
          <w:rPr>
            <w:noProof/>
            <w:webHidden/>
          </w:rPr>
          <w:instrText xml:space="preserve"> PAGEREF _Toc106613899 \h </w:instrText>
        </w:r>
        <w:r w:rsidR="00895D3E">
          <w:rPr>
            <w:noProof/>
            <w:webHidden/>
          </w:rPr>
        </w:r>
        <w:r w:rsidR="00895D3E">
          <w:rPr>
            <w:noProof/>
            <w:webHidden/>
          </w:rPr>
          <w:fldChar w:fldCharType="separate"/>
        </w:r>
        <w:r w:rsidR="00895D3E">
          <w:rPr>
            <w:noProof/>
            <w:webHidden/>
          </w:rPr>
          <w:t>25</w:t>
        </w:r>
        <w:r w:rsidR="00895D3E">
          <w:rPr>
            <w:noProof/>
            <w:webHidden/>
          </w:rPr>
          <w:fldChar w:fldCharType="end"/>
        </w:r>
      </w:hyperlink>
    </w:p>
    <w:p w14:paraId="1F361FA5" w14:textId="0C96D39F" w:rsidR="00895D3E" w:rsidRDefault="00637BB5">
      <w:pPr>
        <w:pStyle w:val="TOC3"/>
        <w:rPr>
          <w:rFonts w:asciiTheme="minorHAnsi" w:eastAsiaTheme="minorEastAsia" w:hAnsiTheme="minorHAnsi" w:cstheme="minorBidi"/>
          <w:noProof/>
          <w:sz w:val="22"/>
          <w:szCs w:val="22"/>
        </w:rPr>
      </w:pPr>
      <w:hyperlink w:anchor="_Toc106613900" w:history="1">
        <w:r w:rsidR="00895D3E" w:rsidRPr="00D17634">
          <w:rPr>
            <w:rStyle w:val="Hyperlink"/>
            <w:noProof/>
          </w:rPr>
          <w:t>4.2.1.</w:t>
        </w:r>
        <w:r w:rsidR="00895D3E">
          <w:rPr>
            <w:rFonts w:asciiTheme="minorHAnsi" w:eastAsiaTheme="minorEastAsia" w:hAnsiTheme="minorHAnsi" w:cstheme="minorBidi"/>
            <w:noProof/>
            <w:sz w:val="22"/>
            <w:szCs w:val="22"/>
          </w:rPr>
          <w:tab/>
        </w:r>
        <w:r w:rsidR="00895D3E" w:rsidRPr="00D17634">
          <w:rPr>
            <w:rStyle w:val="Hyperlink"/>
            <w:noProof/>
          </w:rPr>
          <w:t>Assessment checklists</w:t>
        </w:r>
        <w:r w:rsidR="00895D3E">
          <w:rPr>
            <w:noProof/>
            <w:webHidden/>
          </w:rPr>
          <w:tab/>
        </w:r>
        <w:r w:rsidR="00895D3E">
          <w:rPr>
            <w:noProof/>
            <w:webHidden/>
          </w:rPr>
          <w:fldChar w:fldCharType="begin"/>
        </w:r>
        <w:r w:rsidR="00895D3E">
          <w:rPr>
            <w:noProof/>
            <w:webHidden/>
          </w:rPr>
          <w:instrText xml:space="preserve"> PAGEREF _Toc106613900 \h </w:instrText>
        </w:r>
        <w:r w:rsidR="00895D3E">
          <w:rPr>
            <w:noProof/>
            <w:webHidden/>
          </w:rPr>
        </w:r>
        <w:r w:rsidR="00895D3E">
          <w:rPr>
            <w:noProof/>
            <w:webHidden/>
          </w:rPr>
          <w:fldChar w:fldCharType="separate"/>
        </w:r>
        <w:r w:rsidR="00895D3E">
          <w:rPr>
            <w:noProof/>
            <w:webHidden/>
          </w:rPr>
          <w:t>25</w:t>
        </w:r>
        <w:r w:rsidR="00895D3E">
          <w:rPr>
            <w:noProof/>
            <w:webHidden/>
          </w:rPr>
          <w:fldChar w:fldCharType="end"/>
        </w:r>
      </w:hyperlink>
    </w:p>
    <w:p w14:paraId="7A68C638" w14:textId="0F97FBB5" w:rsidR="00895D3E" w:rsidRDefault="00637BB5">
      <w:pPr>
        <w:pStyle w:val="TOC3"/>
        <w:rPr>
          <w:rFonts w:asciiTheme="minorHAnsi" w:eastAsiaTheme="minorEastAsia" w:hAnsiTheme="minorHAnsi" w:cstheme="minorBidi"/>
          <w:noProof/>
          <w:sz w:val="22"/>
          <w:szCs w:val="22"/>
        </w:rPr>
      </w:pPr>
      <w:hyperlink w:anchor="_Toc106613901" w:history="1">
        <w:r w:rsidR="00895D3E" w:rsidRPr="00D17634">
          <w:rPr>
            <w:rStyle w:val="Hyperlink"/>
            <w:noProof/>
          </w:rPr>
          <w:t>4.2.2.</w:t>
        </w:r>
        <w:r w:rsidR="00895D3E">
          <w:rPr>
            <w:rFonts w:asciiTheme="minorHAnsi" w:eastAsiaTheme="minorEastAsia" w:hAnsiTheme="minorHAnsi" w:cstheme="minorBidi"/>
            <w:noProof/>
            <w:sz w:val="22"/>
            <w:szCs w:val="22"/>
          </w:rPr>
          <w:tab/>
        </w:r>
        <w:r w:rsidR="00895D3E" w:rsidRPr="00D17634">
          <w:rPr>
            <w:rStyle w:val="Hyperlink"/>
            <w:noProof/>
          </w:rPr>
          <w:t>Determining the appropriate checklists</w:t>
        </w:r>
        <w:r w:rsidR="00895D3E">
          <w:rPr>
            <w:noProof/>
            <w:webHidden/>
          </w:rPr>
          <w:tab/>
        </w:r>
        <w:r w:rsidR="00895D3E">
          <w:rPr>
            <w:noProof/>
            <w:webHidden/>
          </w:rPr>
          <w:fldChar w:fldCharType="begin"/>
        </w:r>
        <w:r w:rsidR="00895D3E">
          <w:rPr>
            <w:noProof/>
            <w:webHidden/>
          </w:rPr>
          <w:instrText xml:space="preserve"> PAGEREF _Toc106613901 \h </w:instrText>
        </w:r>
        <w:r w:rsidR="00895D3E">
          <w:rPr>
            <w:noProof/>
            <w:webHidden/>
          </w:rPr>
        </w:r>
        <w:r w:rsidR="00895D3E">
          <w:rPr>
            <w:noProof/>
            <w:webHidden/>
          </w:rPr>
          <w:fldChar w:fldCharType="separate"/>
        </w:r>
        <w:r w:rsidR="00895D3E">
          <w:rPr>
            <w:noProof/>
            <w:webHidden/>
          </w:rPr>
          <w:t>26</w:t>
        </w:r>
        <w:r w:rsidR="00895D3E">
          <w:rPr>
            <w:noProof/>
            <w:webHidden/>
          </w:rPr>
          <w:fldChar w:fldCharType="end"/>
        </w:r>
      </w:hyperlink>
    </w:p>
    <w:p w14:paraId="208944E9" w14:textId="6D2A1B2E" w:rsidR="00895D3E" w:rsidRDefault="00637BB5">
      <w:pPr>
        <w:pStyle w:val="TOC2"/>
        <w:framePr w:wrap="around"/>
        <w:rPr>
          <w:rFonts w:asciiTheme="minorHAnsi" w:eastAsiaTheme="minorEastAsia" w:hAnsiTheme="minorHAnsi" w:cstheme="minorBidi"/>
          <w:noProof/>
          <w:sz w:val="22"/>
          <w:szCs w:val="22"/>
        </w:rPr>
      </w:pPr>
      <w:hyperlink w:anchor="_Toc106613902" w:history="1">
        <w:r w:rsidR="00895D3E" w:rsidRPr="00D17634">
          <w:rPr>
            <w:rStyle w:val="Hyperlink"/>
            <w:noProof/>
          </w:rPr>
          <w:t>4.3.</w:t>
        </w:r>
        <w:r w:rsidR="00895D3E">
          <w:rPr>
            <w:rFonts w:asciiTheme="minorHAnsi" w:eastAsiaTheme="minorEastAsia" w:hAnsiTheme="minorHAnsi" w:cstheme="minorBidi"/>
            <w:noProof/>
            <w:sz w:val="22"/>
            <w:szCs w:val="22"/>
          </w:rPr>
          <w:tab/>
        </w:r>
        <w:r w:rsidR="00895D3E" w:rsidRPr="00D17634">
          <w:rPr>
            <w:rStyle w:val="Hyperlink"/>
            <w:noProof/>
          </w:rPr>
          <w:t>Identify Gaps</w:t>
        </w:r>
        <w:r w:rsidR="00895D3E">
          <w:rPr>
            <w:noProof/>
            <w:webHidden/>
          </w:rPr>
          <w:tab/>
        </w:r>
        <w:r w:rsidR="00895D3E">
          <w:rPr>
            <w:noProof/>
            <w:webHidden/>
          </w:rPr>
          <w:fldChar w:fldCharType="begin"/>
        </w:r>
        <w:r w:rsidR="00895D3E">
          <w:rPr>
            <w:noProof/>
            <w:webHidden/>
          </w:rPr>
          <w:instrText xml:space="preserve"> PAGEREF _Toc106613902 \h </w:instrText>
        </w:r>
        <w:r w:rsidR="00895D3E">
          <w:rPr>
            <w:noProof/>
            <w:webHidden/>
          </w:rPr>
        </w:r>
        <w:r w:rsidR="00895D3E">
          <w:rPr>
            <w:noProof/>
            <w:webHidden/>
          </w:rPr>
          <w:fldChar w:fldCharType="separate"/>
        </w:r>
        <w:r w:rsidR="00895D3E">
          <w:rPr>
            <w:noProof/>
            <w:webHidden/>
          </w:rPr>
          <w:t>30</w:t>
        </w:r>
        <w:r w:rsidR="00895D3E">
          <w:rPr>
            <w:noProof/>
            <w:webHidden/>
          </w:rPr>
          <w:fldChar w:fldCharType="end"/>
        </w:r>
      </w:hyperlink>
    </w:p>
    <w:p w14:paraId="4D256E25" w14:textId="73810BE6" w:rsidR="00895D3E" w:rsidRDefault="00637BB5">
      <w:pPr>
        <w:pStyle w:val="TOC2"/>
        <w:framePr w:wrap="around"/>
        <w:rPr>
          <w:rFonts w:asciiTheme="minorHAnsi" w:eastAsiaTheme="minorEastAsia" w:hAnsiTheme="minorHAnsi" w:cstheme="minorBidi"/>
          <w:noProof/>
          <w:sz w:val="22"/>
          <w:szCs w:val="22"/>
        </w:rPr>
      </w:pPr>
      <w:hyperlink w:anchor="_Toc106613903" w:history="1">
        <w:r w:rsidR="00895D3E" w:rsidRPr="00D17634">
          <w:rPr>
            <w:rStyle w:val="Hyperlink"/>
            <w:noProof/>
          </w:rPr>
          <w:t>4.4.</w:t>
        </w:r>
        <w:r w:rsidR="00895D3E">
          <w:rPr>
            <w:rFonts w:asciiTheme="minorHAnsi" w:eastAsiaTheme="minorEastAsia" w:hAnsiTheme="minorHAnsi" w:cstheme="minorBidi"/>
            <w:noProof/>
            <w:sz w:val="22"/>
            <w:szCs w:val="22"/>
          </w:rPr>
          <w:tab/>
        </w:r>
        <w:r w:rsidR="00895D3E" w:rsidRPr="00D17634">
          <w:rPr>
            <w:rStyle w:val="Hyperlink"/>
            <w:noProof/>
          </w:rPr>
          <w:t>Classifying and prioritising gaps</w:t>
        </w:r>
        <w:r w:rsidR="00895D3E">
          <w:rPr>
            <w:noProof/>
            <w:webHidden/>
          </w:rPr>
          <w:tab/>
        </w:r>
        <w:r w:rsidR="00895D3E">
          <w:rPr>
            <w:noProof/>
            <w:webHidden/>
          </w:rPr>
          <w:fldChar w:fldCharType="begin"/>
        </w:r>
        <w:r w:rsidR="00895D3E">
          <w:rPr>
            <w:noProof/>
            <w:webHidden/>
          </w:rPr>
          <w:instrText xml:space="preserve"> PAGEREF _Toc106613903 \h </w:instrText>
        </w:r>
        <w:r w:rsidR="00895D3E">
          <w:rPr>
            <w:noProof/>
            <w:webHidden/>
          </w:rPr>
        </w:r>
        <w:r w:rsidR="00895D3E">
          <w:rPr>
            <w:noProof/>
            <w:webHidden/>
          </w:rPr>
          <w:fldChar w:fldCharType="separate"/>
        </w:r>
        <w:r w:rsidR="00895D3E">
          <w:rPr>
            <w:noProof/>
            <w:webHidden/>
          </w:rPr>
          <w:t>30</w:t>
        </w:r>
        <w:r w:rsidR="00895D3E">
          <w:rPr>
            <w:noProof/>
            <w:webHidden/>
          </w:rPr>
          <w:fldChar w:fldCharType="end"/>
        </w:r>
      </w:hyperlink>
    </w:p>
    <w:p w14:paraId="2FFF5091" w14:textId="4151EF1F" w:rsidR="00895D3E" w:rsidRDefault="00637BB5">
      <w:pPr>
        <w:pStyle w:val="TOC2"/>
        <w:framePr w:wrap="around"/>
        <w:rPr>
          <w:rFonts w:asciiTheme="minorHAnsi" w:eastAsiaTheme="minorEastAsia" w:hAnsiTheme="minorHAnsi" w:cstheme="minorBidi"/>
          <w:noProof/>
          <w:sz w:val="22"/>
          <w:szCs w:val="22"/>
        </w:rPr>
      </w:pPr>
      <w:hyperlink w:anchor="_Toc106613904" w:history="1">
        <w:r w:rsidR="00895D3E" w:rsidRPr="00D17634">
          <w:rPr>
            <w:rStyle w:val="Hyperlink"/>
            <w:noProof/>
          </w:rPr>
          <w:t>4.5.</w:t>
        </w:r>
        <w:r w:rsidR="00895D3E">
          <w:rPr>
            <w:rFonts w:asciiTheme="minorHAnsi" w:eastAsiaTheme="minorEastAsia" w:hAnsiTheme="minorHAnsi" w:cstheme="minorBidi"/>
            <w:noProof/>
            <w:sz w:val="22"/>
            <w:szCs w:val="22"/>
          </w:rPr>
          <w:tab/>
        </w:r>
        <w:r w:rsidR="00895D3E" w:rsidRPr="00D17634">
          <w:rPr>
            <w:rStyle w:val="Hyperlink"/>
            <w:noProof/>
          </w:rPr>
          <w:t>Treat</w:t>
        </w:r>
        <w:r w:rsidR="00895D3E">
          <w:rPr>
            <w:noProof/>
            <w:webHidden/>
          </w:rPr>
          <w:tab/>
        </w:r>
        <w:r w:rsidR="00895D3E">
          <w:rPr>
            <w:noProof/>
            <w:webHidden/>
          </w:rPr>
          <w:fldChar w:fldCharType="begin"/>
        </w:r>
        <w:r w:rsidR="00895D3E">
          <w:rPr>
            <w:noProof/>
            <w:webHidden/>
          </w:rPr>
          <w:instrText xml:space="preserve"> PAGEREF _Toc106613904 \h </w:instrText>
        </w:r>
        <w:r w:rsidR="00895D3E">
          <w:rPr>
            <w:noProof/>
            <w:webHidden/>
          </w:rPr>
        </w:r>
        <w:r w:rsidR="00895D3E">
          <w:rPr>
            <w:noProof/>
            <w:webHidden/>
          </w:rPr>
          <w:fldChar w:fldCharType="separate"/>
        </w:r>
        <w:r w:rsidR="00895D3E">
          <w:rPr>
            <w:noProof/>
            <w:webHidden/>
          </w:rPr>
          <w:t>31</w:t>
        </w:r>
        <w:r w:rsidR="00895D3E">
          <w:rPr>
            <w:noProof/>
            <w:webHidden/>
          </w:rPr>
          <w:fldChar w:fldCharType="end"/>
        </w:r>
      </w:hyperlink>
    </w:p>
    <w:p w14:paraId="70C29D52" w14:textId="01DAAC91" w:rsidR="00895D3E" w:rsidRDefault="00637BB5">
      <w:pPr>
        <w:pStyle w:val="TOC1"/>
        <w:rPr>
          <w:rFonts w:asciiTheme="minorHAnsi" w:eastAsiaTheme="minorEastAsia" w:hAnsiTheme="minorHAnsi" w:cstheme="minorBidi"/>
          <w:sz w:val="22"/>
          <w:szCs w:val="22"/>
        </w:rPr>
      </w:pPr>
      <w:hyperlink w:anchor="_Toc106613905" w:history="1">
        <w:r w:rsidR="00895D3E" w:rsidRPr="00D17634">
          <w:rPr>
            <w:rStyle w:val="Hyperlink"/>
          </w:rPr>
          <w:t>5.</w:t>
        </w:r>
        <w:r w:rsidR="00895D3E">
          <w:rPr>
            <w:rFonts w:asciiTheme="minorHAnsi" w:eastAsiaTheme="minorEastAsia" w:hAnsiTheme="minorHAnsi" w:cstheme="minorBidi"/>
            <w:sz w:val="22"/>
            <w:szCs w:val="22"/>
          </w:rPr>
          <w:tab/>
        </w:r>
        <w:r w:rsidR="00895D3E" w:rsidRPr="00D17634">
          <w:rPr>
            <w:rStyle w:val="Hyperlink"/>
          </w:rPr>
          <w:t>Security Compliance Checklists for CQR ‘Good Practice’</w:t>
        </w:r>
        <w:r w:rsidR="00895D3E">
          <w:rPr>
            <w:webHidden/>
          </w:rPr>
          <w:tab/>
        </w:r>
        <w:r w:rsidR="00895D3E">
          <w:rPr>
            <w:webHidden/>
          </w:rPr>
          <w:fldChar w:fldCharType="begin"/>
        </w:r>
        <w:r w:rsidR="00895D3E">
          <w:rPr>
            <w:webHidden/>
          </w:rPr>
          <w:instrText xml:space="preserve"> PAGEREF _Toc106613905 \h </w:instrText>
        </w:r>
        <w:r w:rsidR="00895D3E">
          <w:rPr>
            <w:webHidden/>
          </w:rPr>
        </w:r>
        <w:r w:rsidR="00895D3E">
          <w:rPr>
            <w:webHidden/>
          </w:rPr>
          <w:fldChar w:fldCharType="separate"/>
        </w:r>
        <w:r w:rsidR="00895D3E">
          <w:rPr>
            <w:webHidden/>
          </w:rPr>
          <w:t>32</w:t>
        </w:r>
        <w:r w:rsidR="00895D3E">
          <w:rPr>
            <w:webHidden/>
          </w:rPr>
          <w:fldChar w:fldCharType="end"/>
        </w:r>
      </w:hyperlink>
    </w:p>
    <w:p w14:paraId="751A3A0A" w14:textId="37E92638" w:rsidR="00895D3E" w:rsidRDefault="00637BB5">
      <w:pPr>
        <w:pStyle w:val="TOC2"/>
        <w:framePr w:wrap="around"/>
        <w:rPr>
          <w:rFonts w:asciiTheme="minorHAnsi" w:eastAsiaTheme="minorEastAsia" w:hAnsiTheme="minorHAnsi" w:cstheme="minorBidi"/>
          <w:noProof/>
          <w:sz w:val="22"/>
          <w:szCs w:val="22"/>
        </w:rPr>
      </w:pPr>
      <w:hyperlink w:anchor="_Toc106613906" w:history="1">
        <w:r w:rsidR="00895D3E" w:rsidRPr="00D17634">
          <w:rPr>
            <w:rStyle w:val="Hyperlink"/>
            <w:noProof/>
          </w:rPr>
          <w:t>5.1.</w:t>
        </w:r>
        <w:r w:rsidR="00895D3E">
          <w:rPr>
            <w:rFonts w:asciiTheme="minorHAnsi" w:eastAsiaTheme="minorEastAsia" w:hAnsiTheme="minorHAnsi" w:cstheme="minorBidi"/>
            <w:noProof/>
            <w:sz w:val="22"/>
            <w:szCs w:val="22"/>
          </w:rPr>
          <w:tab/>
        </w:r>
        <w:r w:rsidR="00895D3E" w:rsidRPr="00D17634">
          <w:rPr>
            <w:rStyle w:val="Hyperlink"/>
            <w:noProof/>
          </w:rPr>
          <w:t>Compliance Checklist – CQR Business Operations</w:t>
        </w:r>
        <w:r w:rsidR="00895D3E">
          <w:rPr>
            <w:noProof/>
            <w:webHidden/>
          </w:rPr>
          <w:tab/>
        </w:r>
        <w:r w:rsidR="00895D3E">
          <w:rPr>
            <w:noProof/>
            <w:webHidden/>
          </w:rPr>
          <w:fldChar w:fldCharType="begin"/>
        </w:r>
        <w:r w:rsidR="00895D3E">
          <w:rPr>
            <w:noProof/>
            <w:webHidden/>
          </w:rPr>
          <w:instrText xml:space="preserve"> PAGEREF _Toc106613906 \h </w:instrText>
        </w:r>
        <w:r w:rsidR="00895D3E">
          <w:rPr>
            <w:noProof/>
            <w:webHidden/>
          </w:rPr>
        </w:r>
        <w:r w:rsidR="00895D3E">
          <w:rPr>
            <w:noProof/>
            <w:webHidden/>
          </w:rPr>
          <w:fldChar w:fldCharType="separate"/>
        </w:r>
        <w:r w:rsidR="00895D3E">
          <w:rPr>
            <w:noProof/>
            <w:webHidden/>
          </w:rPr>
          <w:t>32</w:t>
        </w:r>
        <w:r w:rsidR="00895D3E">
          <w:rPr>
            <w:noProof/>
            <w:webHidden/>
          </w:rPr>
          <w:fldChar w:fldCharType="end"/>
        </w:r>
      </w:hyperlink>
    </w:p>
    <w:p w14:paraId="0A31772A" w14:textId="322042CE" w:rsidR="00895D3E" w:rsidRDefault="00637BB5">
      <w:pPr>
        <w:pStyle w:val="TOC2"/>
        <w:framePr w:wrap="around"/>
        <w:rPr>
          <w:rFonts w:asciiTheme="minorHAnsi" w:eastAsiaTheme="minorEastAsia" w:hAnsiTheme="minorHAnsi" w:cstheme="minorBidi"/>
          <w:noProof/>
          <w:sz w:val="22"/>
          <w:szCs w:val="22"/>
        </w:rPr>
      </w:pPr>
      <w:hyperlink w:anchor="_Toc106613907" w:history="1">
        <w:r w:rsidR="00895D3E" w:rsidRPr="00D17634">
          <w:rPr>
            <w:rStyle w:val="Hyperlink"/>
            <w:noProof/>
          </w:rPr>
          <w:t>5.2.</w:t>
        </w:r>
        <w:r w:rsidR="00895D3E">
          <w:rPr>
            <w:rFonts w:asciiTheme="minorHAnsi" w:eastAsiaTheme="minorEastAsia" w:hAnsiTheme="minorHAnsi" w:cstheme="minorBidi"/>
            <w:noProof/>
            <w:sz w:val="22"/>
            <w:szCs w:val="22"/>
          </w:rPr>
          <w:tab/>
        </w:r>
        <w:r w:rsidR="00895D3E" w:rsidRPr="00D17634">
          <w:rPr>
            <w:rStyle w:val="Hyperlink"/>
            <w:noProof/>
          </w:rPr>
          <w:t>Compliance Checklist: Standalone CQR – Local Data Hosting</w:t>
        </w:r>
        <w:r w:rsidR="00895D3E">
          <w:rPr>
            <w:noProof/>
            <w:webHidden/>
          </w:rPr>
          <w:tab/>
        </w:r>
        <w:r w:rsidR="00895D3E">
          <w:rPr>
            <w:noProof/>
            <w:webHidden/>
          </w:rPr>
          <w:fldChar w:fldCharType="begin"/>
        </w:r>
        <w:r w:rsidR="00895D3E">
          <w:rPr>
            <w:noProof/>
            <w:webHidden/>
          </w:rPr>
          <w:instrText xml:space="preserve"> PAGEREF _Toc106613907 \h </w:instrText>
        </w:r>
        <w:r w:rsidR="00895D3E">
          <w:rPr>
            <w:noProof/>
            <w:webHidden/>
          </w:rPr>
        </w:r>
        <w:r w:rsidR="00895D3E">
          <w:rPr>
            <w:noProof/>
            <w:webHidden/>
          </w:rPr>
          <w:fldChar w:fldCharType="separate"/>
        </w:r>
        <w:r w:rsidR="00895D3E">
          <w:rPr>
            <w:noProof/>
            <w:webHidden/>
          </w:rPr>
          <w:t>32</w:t>
        </w:r>
        <w:r w:rsidR="00895D3E">
          <w:rPr>
            <w:noProof/>
            <w:webHidden/>
          </w:rPr>
          <w:fldChar w:fldCharType="end"/>
        </w:r>
      </w:hyperlink>
    </w:p>
    <w:p w14:paraId="26B53E88" w14:textId="211B6AF8" w:rsidR="00895D3E" w:rsidRDefault="00637BB5">
      <w:pPr>
        <w:pStyle w:val="TOC2"/>
        <w:framePr w:wrap="around"/>
        <w:rPr>
          <w:rFonts w:asciiTheme="minorHAnsi" w:eastAsiaTheme="minorEastAsia" w:hAnsiTheme="minorHAnsi" w:cstheme="minorBidi"/>
          <w:noProof/>
          <w:sz w:val="22"/>
          <w:szCs w:val="22"/>
        </w:rPr>
      </w:pPr>
      <w:hyperlink w:anchor="_Toc106613908" w:history="1">
        <w:r w:rsidR="00895D3E" w:rsidRPr="00D17634">
          <w:rPr>
            <w:rStyle w:val="Hyperlink"/>
            <w:noProof/>
          </w:rPr>
          <w:t>5.3.</w:t>
        </w:r>
        <w:r w:rsidR="00895D3E">
          <w:rPr>
            <w:rFonts w:asciiTheme="minorHAnsi" w:eastAsiaTheme="minorEastAsia" w:hAnsiTheme="minorHAnsi" w:cstheme="minorBidi"/>
            <w:noProof/>
            <w:sz w:val="22"/>
            <w:szCs w:val="22"/>
          </w:rPr>
          <w:tab/>
        </w:r>
        <w:r w:rsidR="00895D3E" w:rsidRPr="00D17634">
          <w:rPr>
            <w:rStyle w:val="Hyperlink"/>
            <w:noProof/>
          </w:rPr>
          <w:t>Compliance Checklist: National Infrastructure or External Data Hosting Providers</w:t>
        </w:r>
        <w:r w:rsidR="00895D3E">
          <w:rPr>
            <w:noProof/>
            <w:webHidden/>
          </w:rPr>
          <w:tab/>
        </w:r>
        <w:r w:rsidR="00895D3E">
          <w:rPr>
            <w:noProof/>
            <w:webHidden/>
          </w:rPr>
          <w:fldChar w:fldCharType="begin"/>
        </w:r>
        <w:r w:rsidR="00895D3E">
          <w:rPr>
            <w:noProof/>
            <w:webHidden/>
          </w:rPr>
          <w:instrText xml:space="preserve"> PAGEREF _Toc106613908 \h </w:instrText>
        </w:r>
        <w:r w:rsidR="00895D3E">
          <w:rPr>
            <w:noProof/>
            <w:webHidden/>
          </w:rPr>
        </w:r>
        <w:r w:rsidR="00895D3E">
          <w:rPr>
            <w:noProof/>
            <w:webHidden/>
          </w:rPr>
          <w:fldChar w:fldCharType="separate"/>
        </w:r>
        <w:r w:rsidR="00895D3E">
          <w:rPr>
            <w:noProof/>
            <w:webHidden/>
          </w:rPr>
          <w:t>32</w:t>
        </w:r>
        <w:r w:rsidR="00895D3E">
          <w:rPr>
            <w:noProof/>
            <w:webHidden/>
          </w:rPr>
          <w:fldChar w:fldCharType="end"/>
        </w:r>
      </w:hyperlink>
    </w:p>
    <w:p w14:paraId="122CAAB2" w14:textId="06907559" w:rsidR="00895D3E" w:rsidRDefault="00637BB5">
      <w:pPr>
        <w:pStyle w:val="TOC1"/>
        <w:rPr>
          <w:rFonts w:asciiTheme="minorHAnsi" w:eastAsiaTheme="minorEastAsia" w:hAnsiTheme="minorHAnsi" w:cstheme="minorBidi"/>
          <w:sz w:val="22"/>
          <w:szCs w:val="22"/>
        </w:rPr>
      </w:pPr>
      <w:hyperlink w:anchor="_Toc106613909" w:history="1">
        <w:r w:rsidR="00895D3E" w:rsidRPr="00D17634">
          <w:rPr>
            <w:rStyle w:val="Hyperlink"/>
          </w:rPr>
          <w:t>6.</w:t>
        </w:r>
        <w:r w:rsidR="00895D3E">
          <w:rPr>
            <w:rFonts w:asciiTheme="minorHAnsi" w:eastAsiaTheme="minorEastAsia" w:hAnsiTheme="minorHAnsi" w:cstheme="minorBidi"/>
            <w:sz w:val="22"/>
            <w:szCs w:val="22"/>
          </w:rPr>
          <w:tab/>
        </w:r>
        <w:r w:rsidR="00895D3E" w:rsidRPr="00D17634">
          <w:rPr>
            <w:rStyle w:val="Hyperlink"/>
          </w:rPr>
          <w:t>Detailed Guidance on Controls</w:t>
        </w:r>
        <w:r w:rsidR="00895D3E">
          <w:rPr>
            <w:webHidden/>
          </w:rPr>
          <w:tab/>
        </w:r>
        <w:r w:rsidR="00895D3E">
          <w:rPr>
            <w:webHidden/>
          </w:rPr>
          <w:fldChar w:fldCharType="begin"/>
        </w:r>
        <w:r w:rsidR="00895D3E">
          <w:rPr>
            <w:webHidden/>
          </w:rPr>
          <w:instrText xml:space="preserve"> PAGEREF _Toc106613909 \h </w:instrText>
        </w:r>
        <w:r w:rsidR="00895D3E">
          <w:rPr>
            <w:webHidden/>
          </w:rPr>
        </w:r>
        <w:r w:rsidR="00895D3E">
          <w:rPr>
            <w:webHidden/>
          </w:rPr>
          <w:fldChar w:fldCharType="separate"/>
        </w:r>
        <w:r w:rsidR="00895D3E">
          <w:rPr>
            <w:webHidden/>
          </w:rPr>
          <w:t>33</w:t>
        </w:r>
        <w:r w:rsidR="00895D3E">
          <w:rPr>
            <w:webHidden/>
          </w:rPr>
          <w:fldChar w:fldCharType="end"/>
        </w:r>
      </w:hyperlink>
    </w:p>
    <w:p w14:paraId="569D267C" w14:textId="5EB4AF5D" w:rsidR="00895D3E" w:rsidRDefault="00637BB5">
      <w:pPr>
        <w:pStyle w:val="TOC2"/>
        <w:framePr w:wrap="around"/>
        <w:rPr>
          <w:rFonts w:asciiTheme="minorHAnsi" w:eastAsiaTheme="minorEastAsia" w:hAnsiTheme="minorHAnsi" w:cstheme="minorBidi"/>
          <w:noProof/>
          <w:sz w:val="22"/>
          <w:szCs w:val="22"/>
        </w:rPr>
      </w:pPr>
      <w:hyperlink w:anchor="_Toc106613910" w:history="1">
        <w:r w:rsidR="00895D3E" w:rsidRPr="00D17634">
          <w:rPr>
            <w:rStyle w:val="Hyperlink"/>
            <w:noProof/>
          </w:rPr>
          <w:t>6.1.</w:t>
        </w:r>
        <w:r w:rsidR="00895D3E">
          <w:rPr>
            <w:rFonts w:asciiTheme="minorHAnsi" w:eastAsiaTheme="minorEastAsia" w:hAnsiTheme="minorHAnsi" w:cstheme="minorBidi"/>
            <w:noProof/>
            <w:sz w:val="22"/>
            <w:szCs w:val="22"/>
          </w:rPr>
          <w:tab/>
        </w:r>
        <w:r w:rsidR="00895D3E" w:rsidRPr="00D17634">
          <w:rPr>
            <w:rStyle w:val="Hyperlink"/>
            <w:noProof/>
          </w:rPr>
          <w:t>Information Security Policy</w:t>
        </w:r>
        <w:r w:rsidR="00895D3E">
          <w:rPr>
            <w:noProof/>
            <w:webHidden/>
          </w:rPr>
          <w:tab/>
        </w:r>
        <w:r w:rsidR="00895D3E">
          <w:rPr>
            <w:noProof/>
            <w:webHidden/>
          </w:rPr>
          <w:fldChar w:fldCharType="begin"/>
        </w:r>
        <w:r w:rsidR="00895D3E">
          <w:rPr>
            <w:noProof/>
            <w:webHidden/>
          </w:rPr>
          <w:instrText xml:space="preserve"> PAGEREF _Toc106613910 \h </w:instrText>
        </w:r>
        <w:r w:rsidR="00895D3E">
          <w:rPr>
            <w:noProof/>
            <w:webHidden/>
          </w:rPr>
        </w:r>
        <w:r w:rsidR="00895D3E">
          <w:rPr>
            <w:noProof/>
            <w:webHidden/>
          </w:rPr>
          <w:fldChar w:fldCharType="separate"/>
        </w:r>
        <w:r w:rsidR="00895D3E">
          <w:rPr>
            <w:noProof/>
            <w:webHidden/>
          </w:rPr>
          <w:t>34</w:t>
        </w:r>
        <w:r w:rsidR="00895D3E">
          <w:rPr>
            <w:noProof/>
            <w:webHidden/>
          </w:rPr>
          <w:fldChar w:fldCharType="end"/>
        </w:r>
      </w:hyperlink>
    </w:p>
    <w:p w14:paraId="65DA493F" w14:textId="06D2F455" w:rsidR="00895D3E" w:rsidRDefault="00637BB5">
      <w:pPr>
        <w:pStyle w:val="TOC3"/>
        <w:rPr>
          <w:rFonts w:asciiTheme="minorHAnsi" w:eastAsiaTheme="minorEastAsia" w:hAnsiTheme="minorHAnsi" w:cstheme="minorBidi"/>
          <w:noProof/>
          <w:sz w:val="22"/>
          <w:szCs w:val="22"/>
        </w:rPr>
      </w:pPr>
      <w:hyperlink w:anchor="_Toc106613911" w:history="1">
        <w:r w:rsidR="00895D3E" w:rsidRPr="00D17634">
          <w:rPr>
            <w:rStyle w:val="Hyperlink"/>
            <w:noProof/>
          </w:rPr>
          <w:t>6.1.1.</w:t>
        </w:r>
        <w:r w:rsidR="00895D3E">
          <w:rPr>
            <w:rFonts w:asciiTheme="minorHAnsi" w:eastAsiaTheme="minorEastAsia" w:hAnsiTheme="minorHAnsi" w:cstheme="minorBidi"/>
            <w:noProof/>
            <w:sz w:val="22"/>
            <w:szCs w:val="22"/>
          </w:rPr>
          <w:tab/>
        </w:r>
        <w:r w:rsidR="00895D3E" w:rsidRPr="00D17634">
          <w:rPr>
            <w:rStyle w:val="Hyperlink"/>
            <w:noProof/>
          </w:rPr>
          <w:t>Information Security Policy</w:t>
        </w:r>
        <w:r w:rsidR="00895D3E">
          <w:rPr>
            <w:noProof/>
            <w:webHidden/>
          </w:rPr>
          <w:tab/>
        </w:r>
        <w:r w:rsidR="00895D3E">
          <w:rPr>
            <w:noProof/>
            <w:webHidden/>
          </w:rPr>
          <w:fldChar w:fldCharType="begin"/>
        </w:r>
        <w:r w:rsidR="00895D3E">
          <w:rPr>
            <w:noProof/>
            <w:webHidden/>
          </w:rPr>
          <w:instrText xml:space="preserve"> PAGEREF _Toc106613911 \h </w:instrText>
        </w:r>
        <w:r w:rsidR="00895D3E">
          <w:rPr>
            <w:noProof/>
            <w:webHidden/>
          </w:rPr>
        </w:r>
        <w:r w:rsidR="00895D3E">
          <w:rPr>
            <w:noProof/>
            <w:webHidden/>
          </w:rPr>
          <w:fldChar w:fldCharType="separate"/>
        </w:r>
        <w:r w:rsidR="00895D3E">
          <w:rPr>
            <w:noProof/>
            <w:webHidden/>
          </w:rPr>
          <w:t>34</w:t>
        </w:r>
        <w:r w:rsidR="00895D3E">
          <w:rPr>
            <w:noProof/>
            <w:webHidden/>
          </w:rPr>
          <w:fldChar w:fldCharType="end"/>
        </w:r>
      </w:hyperlink>
    </w:p>
    <w:p w14:paraId="0238ECCD" w14:textId="0371D3C6" w:rsidR="00895D3E" w:rsidRDefault="00637BB5">
      <w:pPr>
        <w:pStyle w:val="TOC2"/>
        <w:framePr w:wrap="around"/>
        <w:rPr>
          <w:rFonts w:asciiTheme="minorHAnsi" w:eastAsiaTheme="minorEastAsia" w:hAnsiTheme="minorHAnsi" w:cstheme="minorBidi"/>
          <w:noProof/>
          <w:sz w:val="22"/>
          <w:szCs w:val="22"/>
        </w:rPr>
      </w:pPr>
      <w:hyperlink w:anchor="_Toc106613912" w:history="1">
        <w:r w:rsidR="00895D3E" w:rsidRPr="00D17634">
          <w:rPr>
            <w:rStyle w:val="Hyperlink"/>
            <w:noProof/>
          </w:rPr>
          <w:t>6.2.</w:t>
        </w:r>
        <w:r w:rsidR="00895D3E">
          <w:rPr>
            <w:rFonts w:asciiTheme="minorHAnsi" w:eastAsiaTheme="minorEastAsia" w:hAnsiTheme="minorHAnsi" w:cstheme="minorBidi"/>
            <w:noProof/>
            <w:sz w:val="22"/>
            <w:szCs w:val="22"/>
          </w:rPr>
          <w:tab/>
        </w:r>
        <w:r w:rsidR="00895D3E" w:rsidRPr="00D17634">
          <w:rPr>
            <w:rStyle w:val="Hyperlink"/>
            <w:noProof/>
          </w:rPr>
          <w:t>Organising information security</w:t>
        </w:r>
        <w:r w:rsidR="00895D3E">
          <w:rPr>
            <w:noProof/>
            <w:webHidden/>
          </w:rPr>
          <w:tab/>
        </w:r>
        <w:r w:rsidR="00895D3E">
          <w:rPr>
            <w:noProof/>
            <w:webHidden/>
          </w:rPr>
          <w:fldChar w:fldCharType="begin"/>
        </w:r>
        <w:r w:rsidR="00895D3E">
          <w:rPr>
            <w:noProof/>
            <w:webHidden/>
          </w:rPr>
          <w:instrText xml:space="preserve"> PAGEREF _Toc106613912 \h </w:instrText>
        </w:r>
        <w:r w:rsidR="00895D3E">
          <w:rPr>
            <w:noProof/>
            <w:webHidden/>
          </w:rPr>
        </w:r>
        <w:r w:rsidR="00895D3E">
          <w:rPr>
            <w:noProof/>
            <w:webHidden/>
          </w:rPr>
          <w:fldChar w:fldCharType="separate"/>
        </w:r>
        <w:r w:rsidR="00895D3E">
          <w:rPr>
            <w:noProof/>
            <w:webHidden/>
          </w:rPr>
          <w:t>35</w:t>
        </w:r>
        <w:r w:rsidR="00895D3E">
          <w:rPr>
            <w:noProof/>
            <w:webHidden/>
          </w:rPr>
          <w:fldChar w:fldCharType="end"/>
        </w:r>
      </w:hyperlink>
    </w:p>
    <w:p w14:paraId="5CE13210" w14:textId="7AA871DD" w:rsidR="00895D3E" w:rsidRDefault="00637BB5">
      <w:pPr>
        <w:pStyle w:val="TOC3"/>
        <w:rPr>
          <w:rFonts w:asciiTheme="minorHAnsi" w:eastAsiaTheme="minorEastAsia" w:hAnsiTheme="minorHAnsi" w:cstheme="minorBidi"/>
          <w:noProof/>
          <w:sz w:val="22"/>
          <w:szCs w:val="22"/>
        </w:rPr>
      </w:pPr>
      <w:hyperlink w:anchor="_Toc106613913" w:history="1">
        <w:r w:rsidR="00895D3E" w:rsidRPr="00D17634">
          <w:rPr>
            <w:rStyle w:val="Hyperlink"/>
            <w:noProof/>
          </w:rPr>
          <w:t>6.2.1.</w:t>
        </w:r>
        <w:r w:rsidR="00895D3E">
          <w:rPr>
            <w:rFonts w:asciiTheme="minorHAnsi" w:eastAsiaTheme="minorEastAsia" w:hAnsiTheme="minorHAnsi" w:cstheme="minorBidi"/>
            <w:noProof/>
            <w:sz w:val="22"/>
            <w:szCs w:val="22"/>
          </w:rPr>
          <w:tab/>
        </w:r>
        <w:r w:rsidR="00895D3E" w:rsidRPr="00D17634">
          <w:rPr>
            <w:rStyle w:val="Hyperlink"/>
            <w:noProof/>
          </w:rPr>
          <w:t>Internal and/or external organisation</w:t>
        </w:r>
        <w:r w:rsidR="00895D3E">
          <w:rPr>
            <w:noProof/>
            <w:webHidden/>
          </w:rPr>
          <w:tab/>
        </w:r>
        <w:r w:rsidR="00895D3E">
          <w:rPr>
            <w:noProof/>
            <w:webHidden/>
          </w:rPr>
          <w:fldChar w:fldCharType="begin"/>
        </w:r>
        <w:r w:rsidR="00895D3E">
          <w:rPr>
            <w:noProof/>
            <w:webHidden/>
          </w:rPr>
          <w:instrText xml:space="preserve"> PAGEREF _Toc106613913 \h </w:instrText>
        </w:r>
        <w:r w:rsidR="00895D3E">
          <w:rPr>
            <w:noProof/>
            <w:webHidden/>
          </w:rPr>
        </w:r>
        <w:r w:rsidR="00895D3E">
          <w:rPr>
            <w:noProof/>
            <w:webHidden/>
          </w:rPr>
          <w:fldChar w:fldCharType="separate"/>
        </w:r>
        <w:r w:rsidR="00895D3E">
          <w:rPr>
            <w:noProof/>
            <w:webHidden/>
          </w:rPr>
          <w:t>35</w:t>
        </w:r>
        <w:r w:rsidR="00895D3E">
          <w:rPr>
            <w:noProof/>
            <w:webHidden/>
          </w:rPr>
          <w:fldChar w:fldCharType="end"/>
        </w:r>
      </w:hyperlink>
    </w:p>
    <w:p w14:paraId="464A757E" w14:textId="060CA334" w:rsidR="00895D3E" w:rsidRDefault="00637BB5">
      <w:pPr>
        <w:pStyle w:val="TOC3"/>
        <w:rPr>
          <w:rFonts w:asciiTheme="minorHAnsi" w:eastAsiaTheme="minorEastAsia" w:hAnsiTheme="minorHAnsi" w:cstheme="minorBidi"/>
          <w:noProof/>
          <w:sz w:val="22"/>
          <w:szCs w:val="22"/>
        </w:rPr>
      </w:pPr>
      <w:hyperlink w:anchor="_Toc106613914" w:history="1">
        <w:r w:rsidR="00895D3E" w:rsidRPr="00D17634">
          <w:rPr>
            <w:rStyle w:val="Hyperlink"/>
            <w:noProof/>
          </w:rPr>
          <w:t>6.2.2.</w:t>
        </w:r>
        <w:r w:rsidR="00895D3E">
          <w:rPr>
            <w:rFonts w:asciiTheme="minorHAnsi" w:eastAsiaTheme="minorEastAsia" w:hAnsiTheme="minorHAnsi" w:cstheme="minorBidi"/>
            <w:noProof/>
            <w:sz w:val="22"/>
            <w:szCs w:val="22"/>
          </w:rPr>
          <w:tab/>
        </w:r>
        <w:r w:rsidR="00895D3E" w:rsidRPr="00D17634">
          <w:rPr>
            <w:rStyle w:val="Hyperlink"/>
            <w:noProof/>
          </w:rPr>
          <w:t>Third parties</w:t>
        </w:r>
        <w:r w:rsidR="0014608B">
          <w:rPr>
            <w:rStyle w:val="Hyperlink"/>
            <w:noProof/>
          </w:rPr>
          <w:t>.</w:t>
        </w:r>
        <w:r w:rsidR="00895D3E">
          <w:rPr>
            <w:noProof/>
            <w:webHidden/>
          </w:rPr>
          <w:tab/>
        </w:r>
        <w:r w:rsidR="00895D3E">
          <w:rPr>
            <w:noProof/>
            <w:webHidden/>
          </w:rPr>
          <w:fldChar w:fldCharType="begin"/>
        </w:r>
        <w:r w:rsidR="00895D3E">
          <w:rPr>
            <w:noProof/>
            <w:webHidden/>
          </w:rPr>
          <w:instrText xml:space="preserve"> PAGEREF _Toc106613914 \h </w:instrText>
        </w:r>
        <w:r w:rsidR="00895D3E">
          <w:rPr>
            <w:noProof/>
            <w:webHidden/>
          </w:rPr>
        </w:r>
        <w:r w:rsidR="00895D3E">
          <w:rPr>
            <w:noProof/>
            <w:webHidden/>
          </w:rPr>
          <w:fldChar w:fldCharType="separate"/>
        </w:r>
        <w:r w:rsidR="00895D3E">
          <w:rPr>
            <w:noProof/>
            <w:webHidden/>
          </w:rPr>
          <w:t>36</w:t>
        </w:r>
        <w:r w:rsidR="00895D3E">
          <w:rPr>
            <w:noProof/>
            <w:webHidden/>
          </w:rPr>
          <w:fldChar w:fldCharType="end"/>
        </w:r>
      </w:hyperlink>
    </w:p>
    <w:p w14:paraId="318A3FE9" w14:textId="399BCD3B" w:rsidR="00895D3E" w:rsidRDefault="00637BB5">
      <w:pPr>
        <w:pStyle w:val="TOC2"/>
        <w:framePr w:wrap="around"/>
        <w:rPr>
          <w:rFonts w:asciiTheme="minorHAnsi" w:eastAsiaTheme="minorEastAsia" w:hAnsiTheme="minorHAnsi" w:cstheme="minorBidi"/>
          <w:noProof/>
          <w:sz w:val="22"/>
          <w:szCs w:val="22"/>
        </w:rPr>
      </w:pPr>
      <w:hyperlink w:anchor="_Toc106613915" w:history="1">
        <w:r w:rsidR="00895D3E" w:rsidRPr="00D17634">
          <w:rPr>
            <w:rStyle w:val="Hyperlink"/>
            <w:noProof/>
          </w:rPr>
          <w:t>6.3.</w:t>
        </w:r>
        <w:r w:rsidR="00895D3E">
          <w:rPr>
            <w:rFonts w:asciiTheme="minorHAnsi" w:eastAsiaTheme="minorEastAsia" w:hAnsiTheme="minorHAnsi" w:cstheme="minorBidi"/>
            <w:noProof/>
            <w:sz w:val="22"/>
            <w:szCs w:val="22"/>
          </w:rPr>
          <w:tab/>
        </w:r>
        <w:r w:rsidR="00895D3E" w:rsidRPr="00D17634">
          <w:rPr>
            <w:rStyle w:val="Hyperlink"/>
            <w:noProof/>
          </w:rPr>
          <w:t>Asset Management</w:t>
        </w:r>
        <w:r w:rsidR="00895D3E">
          <w:rPr>
            <w:noProof/>
            <w:webHidden/>
          </w:rPr>
          <w:tab/>
        </w:r>
        <w:r w:rsidR="00895D3E">
          <w:rPr>
            <w:noProof/>
            <w:webHidden/>
          </w:rPr>
          <w:fldChar w:fldCharType="begin"/>
        </w:r>
        <w:r w:rsidR="00895D3E">
          <w:rPr>
            <w:noProof/>
            <w:webHidden/>
          </w:rPr>
          <w:instrText xml:space="preserve"> PAGEREF _Toc106613915 \h </w:instrText>
        </w:r>
        <w:r w:rsidR="00895D3E">
          <w:rPr>
            <w:noProof/>
            <w:webHidden/>
          </w:rPr>
        </w:r>
        <w:r w:rsidR="00895D3E">
          <w:rPr>
            <w:noProof/>
            <w:webHidden/>
          </w:rPr>
          <w:fldChar w:fldCharType="separate"/>
        </w:r>
        <w:r w:rsidR="00895D3E">
          <w:rPr>
            <w:noProof/>
            <w:webHidden/>
          </w:rPr>
          <w:t>39</w:t>
        </w:r>
        <w:r w:rsidR="00895D3E">
          <w:rPr>
            <w:noProof/>
            <w:webHidden/>
          </w:rPr>
          <w:fldChar w:fldCharType="end"/>
        </w:r>
      </w:hyperlink>
    </w:p>
    <w:p w14:paraId="1FC29F05" w14:textId="4960FF97" w:rsidR="00895D3E" w:rsidRDefault="00637BB5">
      <w:pPr>
        <w:pStyle w:val="TOC3"/>
        <w:rPr>
          <w:rFonts w:asciiTheme="minorHAnsi" w:eastAsiaTheme="minorEastAsia" w:hAnsiTheme="minorHAnsi" w:cstheme="minorBidi"/>
          <w:noProof/>
          <w:sz w:val="22"/>
          <w:szCs w:val="22"/>
        </w:rPr>
      </w:pPr>
      <w:hyperlink w:anchor="_Toc106613916" w:history="1">
        <w:r w:rsidR="00895D3E" w:rsidRPr="00D17634">
          <w:rPr>
            <w:rStyle w:val="Hyperlink"/>
            <w:noProof/>
          </w:rPr>
          <w:t>6.3.1.</w:t>
        </w:r>
        <w:r w:rsidR="00895D3E">
          <w:rPr>
            <w:rFonts w:asciiTheme="minorHAnsi" w:eastAsiaTheme="minorEastAsia" w:hAnsiTheme="minorHAnsi" w:cstheme="minorBidi"/>
            <w:noProof/>
            <w:sz w:val="22"/>
            <w:szCs w:val="22"/>
          </w:rPr>
          <w:tab/>
        </w:r>
        <w:r w:rsidR="00895D3E" w:rsidRPr="00D17634">
          <w:rPr>
            <w:rStyle w:val="Hyperlink"/>
            <w:noProof/>
          </w:rPr>
          <w:t>Responsibility for health information assets</w:t>
        </w:r>
        <w:r w:rsidR="00895D3E">
          <w:rPr>
            <w:noProof/>
            <w:webHidden/>
          </w:rPr>
          <w:tab/>
        </w:r>
        <w:r w:rsidR="00895D3E">
          <w:rPr>
            <w:noProof/>
            <w:webHidden/>
          </w:rPr>
          <w:fldChar w:fldCharType="begin"/>
        </w:r>
        <w:r w:rsidR="00895D3E">
          <w:rPr>
            <w:noProof/>
            <w:webHidden/>
          </w:rPr>
          <w:instrText xml:space="preserve"> PAGEREF _Toc106613916 \h </w:instrText>
        </w:r>
        <w:r w:rsidR="00895D3E">
          <w:rPr>
            <w:noProof/>
            <w:webHidden/>
          </w:rPr>
        </w:r>
        <w:r w:rsidR="00895D3E">
          <w:rPr>
            <w:noProof/>
            <w:webHidden/>
          </w:rPr>
          <w:fldChar w:fldCharType="separate"/>
        </w:r>
        <w:r w:rsidR="00895D3E">
          <w:rPr>
            <w:noProof/>
            <w:webHidden/>
          </w:rPr>
          <w:t>39</w:t>
        </w:r>
        <w:r w:rsidR="00895D3E">
          <w:rPr>
            <w:noProof/>
            <w:webHidden/>
          </w:rPr>
          <w:fldChar w:fldCharType="end"/>
        </w:r>
      </w:hyperlink>
    </w:p>
    <w:p w14:paraId="085B4056" w14:textId="3830E164" w:rsidR="00895D3E" w:rsidRDefault="00637BB5">
      <w:pPr>
        <w:pStyle w:val="TOC3"/>
        <w:rPr>
          <w:rFonts w:asciiTheme="minorHAnsi" w:eastAsiaTheme="minorEastAsia" w:hAnsiTheme="minorHAnsi" w:cstheme="minorBidi"/>
          <w:noProof/>
          <w:sz w:val="22"/>
          <w:szCs w:val="22"/>
        </w:rPr>
      </w:pPr>
      <w:hyperlink w:anchor="_Toc106613917" w:history="1">
        <w:r w:rsidR="00895D3E" w:rsidRPr="00D17634">
          <w:rPr>
            <w:rStyle w:val="Hyperlink"/>
            <w:noProof/>
          </w:rPr>
          <w:t>6.3.2.</w:t>
        </w:r>
        <w:r w:rsidR="00895D3E">
          <w:rPr>
            <w:rFonts w:asciiTheme="minorHAnsi" w:eastAsiaTheme="minorEastAsia" w:hAnsiTheme="minorHAnsi" w:cstheme="minorBidi"/>
            <w:noProof/>
            <w:sz w:val="22"/>
            <w:szCs w:val="22"/>
          </w:rPr>
          <w:tab/>
        </w:r>
        <w:r w:rsidR="00895D3E" w:rsidRPr="00D17634">
          <w:rPr>
            <w:rStyle w:val="Hyperlink"/>
            <w:noProof/>
          </w:rPr>
          <w:t>Health information classification</w:t>
        </w:r>
        <w:r w:rsidR="00895D3E">
          <w:rPr>
            <w:noProof/>
            <w:webHidden/>
          </w:rPr>
          <w:tab/>
        </w:r>
        <w:r w:rsidR="00895D3E">
          <w:rPr>
            <w:noProof/>
            <w:webHidden/>
          </w:rPr>
          <w:fldChar w:fldCharType="begin"/>
        </w:r>
        <w:r w:rsidR="00895D3E">
          <w:rPr>
            <w:noProof/>
            <w:webHidden/>
          </w:rPr>
          <w:instrText xml:space="preserve"> PAGEREF _Toc106613917 \h </w:instrText>
        </w:r>
        <w:r w:rsidR="00895D3E">
          <w:rPr>
            <w:noProof/>
            <w:webHidden/>
          </w:rPr>
        </w:r>
        <w:r w:rsidR="00895D3E">
          <w:rPr>
            <w:noProof/>
            <w:webHidden/>
          </w:rPr>
          <w:fldChar w:fldCharType="separate"/>
        </w:r>
        <w:r w:rsidR="00895D3E">
          <w:rPr>
            <w:noProof/>
            <w:webHidden/>
          </w:rPr>
          <w:t>39</w:t>
        </w:r>
        <w:r w:rsidR="00895D3E">
          <w:rPr>
            <w:noProof/>
            <w:webHidden/>
          </w:rPr>
          <w:fldChar w:fldCharType="end"/>
        </w:r>
      </w:hyperlink>
    </w:p>
    <w:p w14:paraId="2FBFDB97" w14:textId="5EFBA562" w:rsidR="00895D3E" w:rsidRDefault="00637BB5">
      <w:pPr>
        <w:pStyle w:val="TOC2"/>
        <w:framePr w:wrap="around"/>
        <w:rPr>
          <w:rFonts w:asciiTheme="minorHAnsi" w:eastAsiaTheme="minorEastAsia" w:hAnsiTheme="minorHAnsi" w:cstheme="minorBidi"/>
          <w:noProof/>
          <w:sz w:val="22"/>
          <w:szCs w:val="22"/>
        </w:rPr>
      </w:pPr>
      <w:hyperlink w:anchor="_Toc106613918" w:history="1">
        <w:r w:rsidR="00895D3E" w:rsidRPr="00D17634">
          <w:rPr>
            <w:rStyle w:val="Hyperlink"/>
            <w:noProof/>
          </w:rPr>
          <w:t>6.4.</w:t>
        </w:r>
        <w:r w:rsidR="00895D3E">
          <w:rPr>
            <w:rFonts w:asciiTheme="minorHAnsi" w:eastAsiaTheme="minorEastAsia" w:hAnsiTheme="minorHAnsi" w:cstheme="minorBidi"/>
            <w:noProof/>
            <w:sz w:val="22"/>
            <w:szCs w:val="22"/>
          </w:rPr>
          <w:tab/>
        </w:r>
        <w:r w:rsidR="00895D3E" w:rsidRPr="00D17634">
          <w:rPr>
            <w:rStyle w:val="Hyperlink"/>
            <w:noProof/>
          </w:rPr>
          <w:t>Human resources security</w:t>
        </w:r>
        <w:r w:rsidR="00895D3E">
          <w:rPr>
            <w:noProof/>
            <w:webHidden/>
          </w:rPr>
          <w:tab/>
        </w:r>
        <w:r w:rsidR="00895D3E">
          <w:rPr>
            <w:noProof/>
            <w:webHidden/>
          </w:rPr>
          <w:fldChar w:fldCharType="begin"/>
        </w:r>
        <w:r w:rsidR="00895D3E">
          <w:rPr>
            <w:noProof/>
            <w:webHidden/>
          </w:rPr>
          <w:instrText xml:space="preserve"> PAGEREF _Toc106613918 \h </w:instrText>
        </w:r>
        <w:r w:rsidR="00895D3E">
          <w:rPr>
            <w:noProof/>
            <w:webHidden/>
          </w:rPr>
        </w:r>
        <w:r w:rsidR="00895D3E">
          <w:rPr>
            <w:noProof/>
            <w:webHidden/>
          </w:rPr>
          <w:fldChar w:fldCharType="separate"/>
        </w:r>
        <w:r w:rsidR="00895D3E">
          <w:rPr>
            <w:noProof/>
            <w:webHidden/>
          </w:rPr>
          <w:t>40</w:t>
        </w:r>
        <w:r w:rsidR="00895D3E">
          <w:rPr>
            <w:noProof/>
            <w:webHidden/>
          </w:rPr>
          <w:fldChar w:fldCharType="end"/>
        </w:r>
      </w:hyperlink>
    </w:p>
    <w:p w14:paraId="6E57FA1B" w14:textId="5D9A5026" w:rsidR="00895D3E" w:rsidRDefault="00637BB5">
      <w:pPr>
        <w:pStyle w:val="TOC3"/>
        <w:rPr>
          <w:rFonts w:asciiTheme="minorHAnsi" w:eastAsiaTheme="minorEastAsia" w:hAnsiTheme="minorHAnsi" w:cstheme="minorBidi"/>
          <w:noProof/>
          <w:sz w:val="22"/>
          <w:szCs w:val="22"/>
        </w:rPr>
      </w:pPr>
      <w:hyperlink w:anchor="_Toc106613919" w:history="1">
        <w:r w:rsidR="00895D3E" w:rsidRPr="00D17634">
          <w:rPr>
            <w:rStyle w:val="Hyperlink"/>
            <w:noProof/>
          </w:rPr>
          <w:t>6.4.1.</w:t>
        </w:r>
        <w:r w:rsidR="00895D3E">
          <w:rPr>
            <w:rFonts w:asciiTheme="minorHAnsi" w:eastAsiaTheme="minorEastAsia" w:hAnsiTheme="minorHAnsi" w:cstheme="minorBidi"/>
            <w:noProof/>
            <w:sz w:val="22"/>
            <w:szCs w:val="22"/>
          </w:rPr>
          <w:tab/>
        </w:r>
        <w:r w:rsidR="00895D3E" w:rsidRPr="00D17634">
          <w:rPr>
            <w:rStyle w:val="Hyperlink"/>
            <w:noProof/>
          </w:rPr>
          <w:t>Prior to employment</w:t>
        </w:r>
        <w:r w:rsidR="00895D3E">
          <w:rPr>
            <w:noProof/>
            <w:webHidden/>
          </w:rPr>
          <w:tab/>
        </w:r>
        <w:r w:rsidR="00895D3E">
          <w:rPr>
            <w:noProof/>
            <w:webHidden/>
          </w:rPr>
          <w:fldChar w:fldCharType="begin"/>
        </w:r>
        <w:r w:rsidR="00895D3E">
          <w:rPr>
            <w:noProof/>
            <w:webHidden/>
          </w:rPr>
          <w:instrText xml:space="preserve"> PAGEREF _Toc106613919 \h </w:instrText>
        </w:r>
        <w:r w:rsidR="00895D3E">
          <w:rPr>
            <w:noProof/>
            <w:webHidden/>
          </w:rPr>
        </w:r>
        <w:r w:rsidR="00895D3E">
          <w:rPr>
            <w:noProof/>
            <w:webHidden/>
          </w:rPr>
          <w:fldChar w:fldCharType="separate"/>
        </w:r>
        <w:r w:rsidR="00895D3E">
          <w:rPr>
            <w:noProof/>
            <w:webHidden/>
          </w:rPr>
          <w:t>40</w:t>
        </w:r>
        <w:r w:rsidR="00895D3E">
          <w:rPr>
            <w:noProof/>
            <w:webHidden/>
          </w:rPr>
          <w:fldChar w:fldCharType="end"/>
        </w:r>
      </w:hyperlink>
    </w:p>
    <w:p w14:paraId="4022DE3C" w14:textId="4DC62999" w:rsidR="00895D3E" w:rsidRDefault="00637BB5">
      <w:pPr>
        <w:pStyle w:val="TOC3"/>
        <w:rPr>
          <w:rFonts w:asciiTheme="minorHAnsi" w:eastAsiaTheme="minorEastAsia" w:hAnsiTheme="minorHAnsi" w:cstheme="minorBidi"/>
          <w:noProof/>
          <w:sz w:val="22"/>
          <w:szCs w:val="22"/>
        </w:rPr>
      </w:pPr>
      <w:hyperlink w:anchor="_Toc106613920" w:history="1">
        <w:r w:rsidR="00895D3E" w:rsidRPr="00D17634">
          <w:rPr>
            <w:rStyle w:val="Hyperlink"/>
            <w:noProof/>
          </w:rPr>
          <w:t>6.4.2.</w:t>
        </w:r>
        <w:r w:rsidR="00895D3E">
          <w:rPr>
            <w:rFonts w:asciiTheme="minorHAnsi" w:eastAsiaTheme="minorEastAsia" w:hAnsiTheme="minorHAnsi" w:cstheme="minorBidi"/>
            <w:noProof/>
            <w:sz w:val="22"/>
            <w:szCs w:val="22"/>
          </w:rPr>
          <w:tab/>
        </w:r>
        <w:r w:rsidR="00895D3E" w:rsidRPr="00D17634">
          <w:rPr>
            <w:rStyle w:val="Hyperlink"/>
            <w:noProof/>
          </w:rPr>
          <w:t>During employment</w:t>
        </w:r>
        <w:r w:rsidR="00895D3E">
          <w:rPr>
            <w:noProof/>
            <w:webHidden/>
          </w:rPr>
          <w:tab/>
        </w:r>
        <w:r w:rsidR="00895D3E">
          <w:rPr>
            <w:noProof/>
            <w:webHidden/>
          </w:rPr>
          <w:fldChar w:fldCharType="begin"/>
        </w:r>
        <w:r w:rsidR="00895D3E">
          <w:rPr>
            <w:noProof/>
            <w:webHidden/>
          </w:rPr>
          <w:instrText xml:space="preserve"> PAGEREF _Toc106613920 \h </w:instrText>
        </w:r>
        <w:r w:rsidR="00895D3E">
          <w:rPr>
            <w:noProof/>
            <w:webHidden/>
          </w:rPr>
        </w:r>
        <w:r w:rsidR="00895D3E">
          <w:rPr>
            <w:noProof/>
            <w:webHidden/>
          </w:rPr>
          <w:fldChar w:fldCharType="separate"/>
        </w:r>
        <w:r w:rsidR="00895D3E">
          <w:rPr>
            <w:noProof/>
            <w:webHidden/>
          </w:rPr>
          <w:t>40</w:t>
        </w:r>
        <w:r w:rsidR="00895D3E">
          <w:rPr>
            <w:noProof/>
            <w:webHidden/>
          </w:rPr>
          <w:fldChar w:fldCharType="end"/>
        </w:r>
      </w:hyperlink>
    </w:p>
    <w:p w14:paraId="14B48A87" w14:textId="763D19EE" w:rsidR="00895D3E" w:rsidRDefault="00637BB5">
      <w:pPr>
        <w:pStyle w:val="TOC3"/>
        <w:rPr>
          <w:rFonts w:asciiTheme="minorHAnsi" w:eastAsiaTheme="minorEastAsia" w:hAnsiTheme="minorHAnsi" w:cstheme="minorBidi"/>
          <w:noProof/>
          <w:sz w:val="22"/>
          <w:szCs w:val="22"/>
        </w:rPr>
      </w:pPr>
      <w:hyperlink w:anchor="_Toc106613921" w:history="1">
        <w:r w:rsidR="00895D3E" w:rsidRPr="00D17634">
          <w:rPr>
            <w:rStyle w:val="Hyperlink"/>
            <w:noProof/>
          </w:rPr>
          <w:t>6.4.3.</w:t>
        </w:r>
        <w:r w:rsidR="00895D3E">
          <w:rPr>
            <w:rFonts w:asciiTheme="minorHAnsi" w:eastAsiaTheme="minorEastAsia" w:hAnsiTheme="minorHAnsi" w:cstheme="minorBidi"/>
            <w:noProof/>
            <w:sz w:val="22"/>
            <w:szCs w:val="22"/>
          </w:rPr>
          <w:tab/>
        </w:r>
        <w:r w:rsidR="00895D3E" w:rsidRPr="00D17634">
          <w:rPr>
            <w:rStyle w:val="Hyperlink"/>
            <w:noProof/>
          </w:rPr>
          <w:t>Termination or change of employment</w:t>
        </w:r>
        <w:r w:rsidR="00895D3E">
          <w:rPr>
            <w:noProof/>
            <w:webHidden/>
          </w:rPr>
          <w:tab/>
        </w:r>
        <w:r w:rsidR="00895D3E">
          <w:rPr>
            <w:noProof/>
            <w:webHidden/>
          </w:rPr>
          <w:fldChar w:fldCharType="begin"/>
        </w:r>
        <w:r w:rsidR="00895D3E">
          <w:rPr>
            <w:noProof/>
            <w:webHidden/>
          </w:rPr>
          <w:instrText xml:space="preserve"> PAGEREF _Toc106613921 \h </w:instrText>
        </w:r>
        <w:r w:rsidR="00895D3E">
          <w:rPr>
            <w:noProof/>
            <w:webHidden/>
          </w:rPr>
        </w:r>
        <w:r w:rsidR="00895D3E">
          <w:rPr>
            <w:noProof/>
            <w:webHidden/>
          </w:rPr>
          <w:fldChar w:fldCharType="separate"/>
        </w:r>
        <w:r w:rsidR="00895D3E">
          <w:rPr>
            <w:noProof/>
            <w:webHidden/>
          </w:rPr>
          <w:t>41</w:t>
        </w:r>
        <w:r w:rsidR="00895D3E">
          <w:rPr>
            <w:noProof/>
            <w:webHidden/>
          </w:rPr>
          <w:fldChar w:fldCharType="end"/>
        </w:r>
      </w:hyperlink>
    </w:p>
    <w:p w14:paraId="6D3311A4" w14:textId="6ED4CB8A" w:rsidR="00895D3E" w:rsidRDefault="00637BB5">
      <w:pPr>
        <w:pStyle w:val="TOC2"/>
        <w:framePr w:wrap="around"/>
        <w:rPr>
          <w:rFonts w:asciiTheme="minorHAnsi" w:eastAsiaTheme="minorEastAsia" w:hAnsiTheme="minorHAnsi" w:cstheme="minorBidi"/>
          <w:noProof/>
          <w:sz w:val="22"/>
          <w:szCs w:val="22"/>
        </w:rPr>
      </w:pPr>
      <w:hyperlink w:anchor="_Toc106613922" w:history="1">
        <w:r w:rsidR="00895D3E" w:rsidRPr="00D17634">
          <w:rPr>
            <w:rStyle w:val="Hyperlink"/>
            <w:noProof/>
          </w:rPr>
          <w:t>6.5.</w:t>
        </w:r>
        <w:r w:rsidR="00895D3E">
          <w:rPr>
            <w:rFonts w:asciiTheme="minorHAnsi" w:eastAsiaTheme="minorEastAsia" w:hAnsiTheme="minorHAnsi" w:cstheme="minorBidi"/>
            <w:noProof/>
            <w:sz w:val="22"/>
            <w:szCs w:val="22"/>
          </w:rPr>
          <w:tab/>
        </w:r>
        <w:r w:rsidR="00895D3E" w:rsidRPr="00D17634">
          <w:rPr>
            <w:rStyle w:val="Hyperlink"/>
            <w:noProof/>
          </w:rPr>
          <w:t>Physical and environmental security</w:t>
        </w:r>
        <w:r w:rsidR="00895D3E">
          <w:rPr>
            <w:noProof/>
            <w:webHidden/>
          </w:rPr>
          <w:tab/>
        </w:r>
        <w:r w:rsidR="00895D3E">
          <w:rPr>
            <w:noProof/>
            <w:webHidden/>
          </w:rPr>
          <w:fldChar w:fldCharType="begin"/>
        </w:r>
        <w:r w:rsidR="00895D3E">
          <w:rPr>
            <w:noProof/>
            <w:webHidden/>
          </w:rPr>
          <w:instrText xml:space="preserve"> PAGEREF _Toc106613922 \h </w:instrText>
        </w:r>
        <w:r w:rsidR="00895D3E">
          <w:rPr>
            <w:noProof/>
            <w:webHidden/>
          </w:rPr>
        </w:r>
        <w:r w:rsidR="00895D3E">
          <w:rPr>
            <w:noProof/>
            <w:webHidden/>
          </w:rPr>
          <w:fldChar w:fldCharType="separate"/>
        </w:r>
        <w:r w:rsidR="00895D3E">
          <w:rPr>
            <w:noProof/>
            <w:webHidden/>
          </w:rPr>
          <w:t>41</w:t>
        </w:r>
        <w:r w:rsidR="00895D3E">
          <w:rPr>
            <w:noProof/>
            <w:webHidden/>
          </w:rPr>
          <w:fldChar w:fldCharType="end"/>
        </w:r>
      </w:hyperlink>
    </w:p>
    <w:p w14:paraId="5B38AE0C" w14:textId="77B6A433" w:rsidR="00895D3E" w:rsidRDefault="00637BB5">
      <w:pPr>
        <w:pStyle w:val="TOC3"/>
        <w:rPr>
          <w:rFonts w:asciiTheme="minorHAnsi" w:eastAsiaTheme="minorEastAsia" w:hAnsiTheme="minorHAnsi" w:cstheme="minorBidi"/>
          <w:noProof/>
          <w:sz w:val="22"/>
          <w:szCs w:val="22"/>
        </w:rPr>
      </w:pPr>
      <w:hyperlink w:anchor="_Toc106613923" w:history="1">
        <w:r w:rsidR="00895D3E" w:rsidRPr="00D17634">
          <w:rPr>
            <w:rStyle w:val="Hyperlink"/>
            <w:noProof/>
          </w:rPr>
          <w:t>6.5.1.</w:t>
        </w:r>
        <w:r w:rsidR="00895D3E">
          <w:rPr>
            <w:rFonts w:asciiTheme="minorHAnsi" w:eastAsiaTheme="minorEastAsia" w:hAnsiTheme="minorHAnsi" w:cstheme="minorBidi"/>
            <w:noProof/>
            <w:sz w:val="22"/>
            <w:szCs w:val="22"/>
          </w:rPr>
          <w:tab/>
        </w:r>
        <w:r w:rsidR="00895D3E" w:rsidRPr="00D17634">
          <w:rPr>
            <w:rStyle w:val="Hyperlink"/>
            <w:noProof/>
          </w:rPr>
          <w:t>Secure areas</w:t>
        </w:r>
        <w:r w:rsidR="00895D3E">
          <w:rPr>
            <w:noProof/>
            <w:webHidden/>
          </w:rPr>
          <w:tab/>
        </w:r>
        <w:r w:rsidR="00895D3E">
          <w:rPr>
            <w:noProof/>
            <w:webHidden/>
          </w:rPr>
          <w:fldChar w:fldCharType="begin"/>
        </w:r>
        <w:r w:rsidR="00895D3E">
          <w:rPr>
            <w:noProof/>
            <w:webHidden/>
          </w:rPr>
          <w:instrText xml:space="preserve"> PAGEREF _Toc106613923 \h </w:instrText>
        </w:r>
        <w:r w:rsidR="00895D3E">
          <w:rPr>
            <w:noProof/>
            <w:webHidden/>
          </w:rPr>
        </w:r>
        <w:r w:rsidR="00895D3E">
          <w:rPr>
            <w:noProof/>
            <w:webHidden/>
          </w:rPr>
          <w:fldChar w:fldCharType="separate"/>
        </w:r>
        <w:r w:rsidR="00895D3E">
          <w:rPr>
            <w:noProof/>
            <w:webHidden/>
          </w:rPr>
          <w:t>41</w:t>
        </w:r>
        <w:r w:rsidR="00895D3E">
          <w:rPr>
            <w:noProof/>
            <w:webHidden/>
          </w:rPr>
          <w:fldChar w:fldCharType="end"/>
        </w:r>
      </w:hyperlink>
    </w:p>
    <w:p w14:paraId="2879EABC" w14:textId="2AF29B4F" w:rsidR="00895D3E" w:rsidRDefault="00637BB5">
      <w:pPr>
        <w:pStyle w:val="TOC3"/>
        <w:rPr>
          <w:rFonts w:asciiTheme="minorHAnsi" w:eastAsiaTheme="minorEastAsia" w:hAnsiTheme="minorHAnsi" w:cstheme="minorBidi"/>
          <w:noProof/>
          <w:sz w:val="22"/>
          <w:szCs w:val="22"/>
        </w:rPr>
      </w:pPr>
      <w:hyperlink w:anchor="_Toc106613924" w:history="1">
        <w:r w:rsidR="00895D3E" w:rsidRPr="00D17634">
          <w:rPr>
            <w:rStyle w:val="Hyperlink"/>
            <w:noProof/>
          </w:rPr>
          <w:t>6.5.2.</w:t>
        </w:r>
        <w:r w:rsidR="00895D3E">
          <w:rPr>
            <w:rFonts w:asciiTheme="minorHAnsi" w:eastAsiaTheme="minorEastAsia" w:hAnsiTheme="minorHAnsi" w:cstheme="minorBidi"/>
            <w:noProof/>
            <w:sz w:val="22"/>
            <w:szCs w:val="22"/>
          </w:rPr>
          <w:tab/>
        </w:r>
        <w:r w:rsidR="00895D3E" w:rsidRPr="00D17634">
          <w:rPr>
            <w:rStyle w:val="Hyperlink"/>
            <w:noProof/>
          </w:rPr>
          <w:t>Equipment Security</w:t>
        </w:r>
        <w:r w:rsidR="00895D3E">
          <w:rPr>
            <w:noProof/>
            <w:webHidden/>
          </w:rPr>
          <w:tab/>
        </w:r>
        <w:r w:rsidR="00895D3E">
          <w:rPr>
            <w:noProof/>
            <w:webHidden/>
          </w:rPr>
          <w:fldChar w:fldCharType="begin"/>
        </w:r>
        <w:r w:rsidR="00895D3E">
          <w:rPr>
            <w:noProof/>
            <w:webHidden/>
          </w:rPr>
          <w:instrText xml:space="preserve"> PAGEREF _Toc106613924 \h </w:instrText>
        </w:r>
        <w:r w:rsidR="00895D3E">
          <w:rPr>
            <w:noProof/>
            <w:webHidden/>
          </w:rPr>
        </w:r>
        <w:r w:rsidR="00895D3E">
          <w:rPr>
            <w:noProof/>
            <w:webHidden/>
          </w:rPr>
          <w:fldChar w:fldCharType="separate"/>
        </w:r>
        <w:r w:rsidR="00895D3E">
          <w:rPr>
            <w:noProof/>
            <w:webHidden/>
          </w:rPr>
          <w:t>42</w:t>
        </w:r>
        <w:r w:rsidR="00895D3E">
          <w:rPr>
            <w:noProof/>
            <w:webHidden/>
          </w:rPr>
          <w:fldChar w:fldCharType="end"/>
        </w:r>
      </w:hyperlink>
    </w:p>
    <w:p w14:paraId="682F091C" w14:textId="396E46C1" w:rsidR="00895D3E" w:rsidRDefault="00637BB5">
      <w:pPr>
        <w:pStyle w:val="TOC2"/>
        <w:framePr w:wrap="around"/>
        <w:rPr>
          <w:rFonts w:asciiTheme="minorHAnsi" w:eastAsiaTheme="minorEastAsia" w:hAnsiTheme="minorHAnsi" w:cstheme="minorBidi"/>
          <w:noProof/>
          <w:sz w:val="22"/>
          <w:szCs w:val="22"/>
        </w:rPr>
      </w:pPr>
      <w:hyperlink w:anchor="_Toc106613925" w:history="1">
        <w:r w:rsidR="00895D3E" w:rsidRPr="00D17634">
          <w:rPr>
            <w:rStyle w:val="Hyperlink"/>
            <w:noProof/>
          </w:rPr>
          <w:t>6.6.</w:t>
        </w:r>
        <w:r w:rsidR="00895D3E">
          <w:rPr>
            <w:rFonts w:asciiTheme="minorHAnsi" w:eastAsiaTheme="minorEastAsia" w:hAnsiTheme="minorHAnsi" w:cstheme="minorBidi"/>
            <w:noProof/>
            <w:sz w:val="22"/>
            <w:szCs w:val="22"/>
          </w:rPr>
          <w:tab/>
        </w:r>
        <w:r w:rsidR="00895D3E" w:rsidRPr="00D17634">
          <w:rPr>
            <w:rStyle w:val="Hyperlink"/>
            <w:noProof/>
          </w:rPr>
          <w:t>Communications and Operations Management</w:t>
        </w:r>
        <w:r w:rsidR="00895D3E">
          <w:rPr>
            <w:noProof/>
            <w:webHidden/>
          </w:rPr>
          <w:tab/>
        </w:r>
        <w:r w:rsidR="00895D3E">
          <w:rPr>
            <w:noProof/>
            <w:webHidden/>
          </w:rPr>
          <w:fldChar w:fldCharType="begin"/>
        </w:r>
        <w:r w:rsidR="00895D3E">
          <w:rPr>
            <w:noProof/>
            <w:webHidden/>
          </w:rPr>
          <w:instrText xml:space="preserve"> PAGEREF _Toc106613925 \h </w:instrText>
        </w:r>
        <w:r w:rsidR="00895D3E">
          <w:rPr>
            <w:noProof/>
            <w:webHidden/>
          </w:rPr>
        </w:r>
        <w:r w:rsidR="00895D3E">
          <w:rPr>
            <w:noProof/>
            <w:webHidden/>
          </w:rPr>
          <w:fldChar w:fldCharType="separate"/>
        </w:r>
        <w:r w:rsidR="00895D3E">
          <w:rPr>
            <w:noProof/>
            <w:webHidden/>
          </w:rPr>
          <w:t>42</w:t>
        </w:r>
        <w:r w:rsidR="00895D3E">
          <w:rPr>
            <w:noProof/>
            <w:webHidden/>
          </w:rPr>
          <w:fldChar w:fldCharType="end"/>
        </w:r>
      </w:hyperlink>
    </w:p>
    <w:p w14:paraId="6F7D56B4" w14:textId="38DDBCC4" w:rsidR="00895D3E" w:rsidRDefault="00637BB5">
      <w:pPr>
        <w:pStyle w:val="TOC3"/>
        <w:rPr>
          <w:rFonts w:asciiTheme="minorHAnsi" w:eastAsiaTheme="minorEastAsia" w:hAnsiTheme="minorHAnsi" w:cstheme="minorBidi"/>
          <w:noProof/>
          <w:sz w:val="22"/>
          <w:szCs w:val="22"/>
        </w:rPr>
      </w:pPr>
      <w:hyperlink w:anchor="_Toc106613926" w:history="1">
        <w:r w:rsidR="00895D3E" w:rsidRPr="00D17634">
          <w:rPr>
            <w:rStyle w:val="Hyperlink"/>
            <w:noProof/>
          </w:rPr>
          <w:t>6.6.1.</w:t>
        </w:r>
        <w:r w:rsidR="00895D3E">
          <w:rPr>
            <w:rFonts w:asciiTheme="minorHAnsi" w:eastAsiaTheme="minorEastAsia" w:hAnsiTheme="minorHAnsi" w:cstheme="minorBidi"/>
            <w:noProof/>
            <w:sz w:val="22"/>
            <w:szCs w:val="22"/>
          </w:rPr>
          <w:tab/>
        </w:r>
        <w:r w:rsidR="00895D3E" w:rsidRPr="00D17634">
          <w:rPr>
            <w:rStyle w:val="Hyperlink"/>
            <w:noProof/>
          </w:rPr>
          <w:t>Operational procedures and Responsibilities</w:t>
        </w:r>
        <w:r w:rsidR="00895D3E">
          <w:rPr>
            <w:noProof/>
            <w:webHidden/>
          </w:rPr>
          <w:tab/>
        </w:r>
        <w:r w:rsidR="00895D3E">
          <w:rPr>
            <w:noProof/>
            <w:webHidden/>
          </w:rPr>
          <w:fldChar w:fldCharType="begin"/>
        </w:r>
        <w:r w:rsidR="00895D3E">
          <w:rPr>
            <w:noProof/>
            <w:webHidden/>
          </w:rPr>
          <w:instrText xml:space="preserve"> PAGEREF _Toc106613926 \h </w:instrText>
        </w:r>
        <w:r w:rsidR="00895D3E">
          <w:rPr>
            <w:noProof/>
            <w:webHidden/>
          </w:rPr>
        </w:r>
        <w:r w:rsidR="00895D3E">
          <w:rPr>
            <w:noProof/>
            <w:webHidden/>
          </w:rPr>
          <w:fldChar w:fldCharType="separate"/>
        </w:r>
        <w:r w:rsidR="00895D3E">
          <w:rPr>
            <w:noProof/>
            <w:webHidden/>
          </w:rPr>
          <w:t>42</w:t>
        </w:r>
        <w:r w:rsidR="00895D3E">
          <w:rPr>
            <w:noProof/>
            <w:webHidden/>
          </w:rPr>
          <w:fldChar w:fldCharType="end"/>
        </w:r>
      </w:hyperlink>
    </w:p>
    <w:p w14:paraId="367427EF" w14:textId="20400332" w:rsidR="00895D3E" w:rsidRDefault="00637BB5">
      <w:pPr>
        <w:pStyle w:val="TOC3"/>
        <w:rPr>
          <w:rFonts w:asciiTheme="minorHAnsi" w:eastAsiaTheme="minorEastAsia" w:hAnsiTheme="minorHAnsi" w:cstheme="minorBidi"/>
          <w:noProof/>
          <w:sz w:val="22"/>
          <w:szCs w:val="22"/>
        </w:rPr>
      </w:pPr>
      <w:hyperlink w:anchor="_Toc106613927" w:history="1">
        <w:r w:rsidR="00895D3E" w:rsidRPr="00D17634">
          <w:rPr>
            <w:rStyle w:val="Hyperlink"/>
            <w:noProof/>
          </w:rPr>
          <w:t>6.6.2.</w:t>
        </w:r>
        <w:r w:rsidR="00895D3E">
          <w:rPr>
            <w:rFonts w:asciiTheme="minorHAnsi" w:eastAsiaTheme="minorEastAsia" w:hAnsiTheme="minorHAnsi" w:cstheme="minorBidi"/>
            <w:noProof/>
            <w:sz w:val="22"/>
            <w:szCs w:val="22"/>
          </w:rPr>
          <w:tab/>
        </w:r>
        <w:r w:rsidR="00895D3E" w:rsidRPr="00D17634">
          <w:rPr>
            <w:rStyle w:val="Hyperlink"/>
            <w:noProof/>
          </w:rPr>
          <w:t>Third party service delivery management</w:t>
        </w:r>
        <w:r w:rsidR="00895D3E">
          <w:rPr>
            <w:noProof/>
            <w:webHidden/>
          </w:rPr>
          <w:tab/>
        </w:r>
        <w:r w:rsidR="00895D3E">
          <w:rPr>
            <w:noProof/>
            <w:webHidden/>
          </w:rPr>
          <w:fldChar w:fldCharType="begin"/>
        </w:r>
        <w:r w:rsidR="00895D3E">
          <w:rPr>
            <w:noProof/>
            <w:webHidden/>
          </w:rPr>
          <w:instrText xml:space="preserve"> PAGEREF _Toc106613927 \h </w:instrText>
        </w:r>
        <w:r w:rsidR="00895D3E">
          <w:rPr>
            <w:noProof/>
            <w:webHidden/>
          </w:rPr>
        </w:r>
        <w:r w:rsidR="00895D3E">
          <w:rPr>
            <w:noProof/>
            <w:webHidden/>
          </w:rPr>
          <w:fldChar w:fldCharType="separate"/>
        </w:r>
        <w:r w:rsidR="00895D3E">
          <w:rPr>
            <w:noProof/>
            <w:webHidden/>
          </w:rPr>
          <w:t>43</w:t>
        </w:r>
        <w:r w:rsidR="00895D3E">
          <w:rPr>
            <w:noProof/>
            <w:webHidden/>
          </w:rPr>
          <w:fldChar w:fldCharType="end"/>
        </w:r>
      </w:hyperlink>
    </w:p>
    <w:p w14:paraId="212CCF12" w14:textId="704CFF46" w:rsidR="00895D3E" w:rsidRDefault="00637BB5">
      <w:pPr>
        <w:pStyle w:val="TOC3"/>
        <w:rPr>
          <w:rFonts w:asciiTheme="minorHAnsi" w:eastAsiaTheme="minorEastAsia" w:hAnsiTheme="minorHAnsi" w:cstheme="minorBidi"/>
          <w:noProof/>
          <w:sz w:val="22"/>
          <w:szCs w:val="22"/>
        </w:rPr>
      </w:pPr>
      <w:hyperlink w:anchor="_Toc106613928" w:history="1">
        <w:r w:rsidR="00895D3E" w:rsidRPr="00D17634">
          <w:rPr>
            <w:rStyle w:val="Hyperlink"/>
            <w:noProof/>
          </w:rPr>
          <w:t>6.6.3.</w:t>
        </w:r>
        <w:r w:rsidR="00895D3E">
          <w:rPr>
            <w:rFonts w:asciiTheme="minorHAnsi" w:eastAsiaTheme="minorEastAsia" w:hAnsiTheme="minorHAnsi" w:cstheme="minorBidi"/>
            <w:noProof/>
            <w:sz w:val="22"/>
            <w:szCs w:val="22"/>
          </w:rPr>
          <w:tab/>
        </w:r>
        <w:r w:rsidR="00895D3E" w:rsidRPr="00D17634">
          <w:rPr>
            <w:rStyle w:val="Hyperlink"/>
            <w:noProof/>
          </w:rPr>
          <w:t>System planning and acceptance</w:t>
        </w:r>
        <w:r w:rsidR="00895D3E">
          <w:rPr>
            <w:noProof/>
            <w:webHidden/>
          </w:rPr>
          <w:tab/>
        </w:r>
        <w:r w:rsidR="00895D3E">
          <w:rPr>
            <w:noProof/>
            <w:webHidden/>
          </w:rPr>
          <w:fldChar w:fldCharType="begin"/>
        </w:r>
        <w:r w:rsidR="00895D3E">
          <w:rPr>
            <w:noProof/>
            <w:webHidden/>
          </w:rPr>
          <w:instrText xml:space="preserve"> PAGEREF _Toc106613928 \h </w:instrText>
        </w:r>
        <w:r w:rsidR="00895D3E">
          <w:rPr>
            <w:noProof/>
            <w:webHidden/>
          </w:rPr>
        </w:r>
        <w:r w:rsidR="00895D3E">
          <w:rPr>
            <w:noProof/>
            <w:webHidden/>
          </w:rPr>
          <w:fldChar w:fldCharType="separate"/>
        </w:r>
        <w:r w:rsidR="00895D3E">
          <w:rPr>
            <w:noProof/>
            <w:webHidden/>
          </w:rPr>
          <w:t>43</w:t>
        </w:r>
        <w:r w:rsidR="00895D3E">
          <w:rPr>
            <w:noProof/>
            <w:webHidden/>
          </w:rPr>
          <w:fldChar w:fldCharType="end"/>
        </w:r>
      </w:hyperlink>
    </w:p>
    <w:p w14:paraId="4F10B7CF" w14:textId="6A29EE8B" w:rsidR="00895D3E" w:rsidRDefault="00637BB5">
      <w:pPr>
        <w:pStyle w:val="TOC3"/>
        <w:rPr>
          <w:rFonts w:asciiTheme="minorHAnsi" w:eastAsiaTheme="minorEastAsia" w:hAnsiTheme="minorHAnsi" w:cstheme="minorBidi"/>
          <w:noProof/>
          <w:sz w:val="22"/>
          <w:szCs w:val="22"/>
        </w:rPr>
      </w:pPr>
      <w:hyperlink w:anchor="_Toc106613929" w:history="1">
        <w:r w:rsidR="00895D3E" w:rsidRPr="00D17634">
          <w:rPr>
            <w:rStyle w:val="Hyperlink"/>
            <w:noProof/>
          </w:rPr>
          <w:t>6.6.4.</w:t>
        </w:r>
        <w:r w:rsidR="00895D3E">
          <w:rPr>
            <w:rFonts w:asciiTheme="minorHAnsi" w:eastAsiaTheme="minorEastAsia" w:hAnsiTheme="minorHAnsi" w:cstheme="minorBidi"/>
            <w:noProof/>
            <w:sz w:val="22"/>
            <w:szCs w:val="22"/>
          </w:rPr>
          <w:tab/>
        </w:r>
        <w:r w:rsidR="00895D3E" w:rsidRPr="00D17634">
          <w:rPr>
            <w:rStyle w:val="Hyperlink"/>
            <w:noProof/>
          </w:rPr>
          <w:t>Protection against malicious and mobile code</w:t>
        </w:r>
        <w:r w:rsidR="00895D3E">
          <w:rPr>
            <w:noProof/>
            <w:webHidden/>
          </w:rPr>
          <w:tab/>
        </w:r>
        <w:r w:rsidR="00895D3E">
          <w:rPr>
            <w:noProof/>
            <w:webHidden/>
          </w:rPr>
          <w:fldChar w:fldCharType="begin"/>
        </w:r>
        <w:r w:rsidR="00895D3E">
          <w:rPr>
            <w:noProof/>
            <w:webHidden/>
          </w:rPr>
          <w:instrText xml:space="preserve"> PAGEREF _Toc106613929 \h </w:instrText>
        </w:r>
        <w:r w:rsidR="00895D3E">
          <w:rPr>
            <w:noProof/>
            <w:webHidden/>
          </w:rPr>
        </w:r>
        <w:r w:rsidR="00895D3E">
          <w:rPr>
            <w:noProof/>
            <w:webHidden/>
          </w:rPr>
          <w:fldChar w:fldCharType="separate"/>
        </w:r>
        <w:r w:rsidR="00895D3E">
          <w:rPr>
            <w:noProof/>
            <w:webHidden/>
          </w:rPr>
          <w:t>44</w:t>
        </w:r>
        <w:r w:rsidR="00895D3E">
          <w:rPr>
            <w:noProof/>
            <w:webHidden/>
          </w:rPr>
          <w:fldChar w:fldCharType="end"/>
        </w:r>
      </w:hyperlink>
    </w:p>
    <w:p w14:paraId="4F686AF9" w14:textId="77912336" w:rsidR="00895D3E" w:rsidRDefault="00637BB5">
      <w:pPr>
        <w:pStyle w:val="TOC3"/>
        <w:rPr>
          <w:rFonts w:asciiTheme="minorHAnsi" w:eastAsiaTheme="minorEastAsia" w:hAnsiTheme="minorHAnsi" w:cstheme="minorBidi"/>
          <w:noProof/>
          <w:sz w:val="22"/>
          <w:szCs w:val="22"/>
        </w:rPr>
      </w:pPr>
      <w:hyperlink w:anchor="_Toc106613930" w:history="1">
        <w:r w:rsidR="00895D3E" w:rsidRPr="00D17634">
          <w:rPr>
            <w:rStyle w:val="Hyperlink"/>
            <w:noProof/>
          </w:rPr>
          <w:t>6.6.5.</w:t>
        </w:r>
        <w:r w:rsidR="00895D3E">
          <w:rPr>
            <w:rFonts w:asciiTheme="minorHAnsi" w:eastAsiaTheme="minorEastAsia" w:hAnsiTheme="minorHAnsi" w:cstheme="minorBidi"/>
            <w:noProof/>
            <w:sz w:val="22"/>
            <w:szCs w:val="22"/>
          </w:rPr>
          <w:tab/>
        </w:r>
        <w:r w:rsidR="00895D3E" w:rsidRPr="00D17634">
          <w:rPr>
            <w:rStyle w:val="Hyperlink"/>
            <w:noProof/>
          </w:rPr>
          <w:t>Health information backup</w:t>
        </w:r>
        <w:r w:rsidR="00895D3E">
          <w:rPr>
            <w:noProof/>
            <w:webHidden/>
          </w:rPr>
          <w:tab/>
        </w:r>
        <w:r w:rsidR="00895D3E">
          <w:rPr>
            <w:noProof/>
            <w:webHidden/>
          </w:rPr>
          <w:fldChar w:fldCharType="begin"/>
        </w:r>
        <w:r w:rsidR="00895D3E">
          <w:rPr>
            <w:noProof/>
            <w:webHidden/>
          </w:rPr>
          <w:instrText xml:space="preserve"> PAGEREF _Toc106613930 \h </w:instrText>
        </w:r>
        <w:r w:rsidR="00895D3E">
          <w:rPr>
            <w:noProof/>
            <w:webHidden/>
          </w:rPr>
        </w:r>
        <w:r w:rsidR="00895D3E">
          <w:rPr>
            <w:noProof/>
            <w:webHidden/>
          </w:rPr>
          <w:fldChar w:fldCharType="separate"/>
        </w:r>
        <w:r w:rsidR="00895D3E">
          <w:rPr>
            <w:noProof/>
            <w:webHidden/>
          </w:rPr>
          <w:t>44</w:t>
        </w:r>
        <w:r w:rsidR="00895D3E">
          <w:rPr>
            <w:noProof/>
            <w:webHidden/>
          </w:rPr>
          <w:fldChar w:fldCharType="end"/>
        </w:r>
      </w:hyperlink>
    </w:p>
    <w:p w14:paraId="73DCA613" w14:textId="04BFAFFF" w:rsidR="00895D3E" w:rsidRDefault="00637BB5">
      <w:pPr>
        <w:pStyle w:val="TOC3"/>
        <w:rPr>
          <w:rFonts w:asciiTheme="minorHAnsi" w:eastAsiaTheme="minorEastAsia" w:hAnsiTheme="minorHAnsi" w:cstheme="minorBidi"/>
          <w:noProof/>
          <w:sz w:val="22"/>
          <w:szCs w:val="22"/>
        </w:rPr>
      </w:pPr>
      <w:hyperlink w:anchor="_Toc106613931" w:history="1">
        <w:r w:rsidR="00895D3E" w:rsidRPr="00D17634">
          <w:rPr>
            <w:rStyle w:val="Hyperlink"/>
            <w:noProof/>
          </w:rPr>
          <w:t>6.6.6.</w:t>
        </w:r>
        <w:r w:rsidR="00895D3E">
          <w:rPr>
            <w:rFonts w:asciiTheme="minorHAnsi" w:eastAsiaTheme="minorEastAsia" w:hAnsiTheme="minorHAnsi" w:cstheme="minorBidi"/>
            <w:noProof/>
            <w:sz w:val="22"/>
            <w:szCs w:val="22"/>
          </w:rPr>
          <w:tab/>
        </w:r>
        <w:r w:rsidR="00895D3E" w:rsidRPr="00D17634">
          <w:rPr>
            <w:rStyle w:val="Hyperlink"/>
            <w:noProof/>
          </w:rPr>
          <w:t>Network Security Management</w:t>
        </w:r>
        <w:r w:rsidR="00895D3E">
          <w:rPr>
            <w:noProof/>
            <w:webHidden/>
          </w:rPr>
          <w:tab/>
        </w:r>
        <w:r w:rsidR="00895D3E">
          <w:rPr>
            <w:noProof/>
            <w:webHidden/>
          </w:rPr>
          <w:fldChar w:fldCharType="begin"/>
        </w:r>
        <w:r w:rsidR="00895D3E">
          <w:rPr>
            <w:noProof/>
            <w:webHidden/>
          </w:rPr>
          <w:instrText xml:space="preserve"> PAGEREF _Toc106613931 \h </w:instrText>
        </w:r>
        <w:r w:rsidR="00895D3E">
          <w:rPr>
            <w:noProof/>
            <w:webHidden/>
          </w:rPr>
        </w:r>
        <w:r w:rsidR="00895D3E">
          <w:rPr>
            <w:noProof/>
            <w:webHidden/>
          </w:rPr>
          <w:fldChar w:fldCharType="separate"/>
        </w:r>
        <w:r w:rsidR="00895D3E">
          <w:rPr>
            <w:noProof/>
            <w:webHidden/>
          </w:rPr>
          <w:t>44</w:t>
        </w:r>
        <w:r w:rsidR="00895D3E">
          <w:rPr>
            <w:noProof/>
            <w:webHidden/>
          </w:rPr>
          <w:fldChar w:fldCharType="end"/>
        </w:r>
      </w:hyperlink>
    </w:p>
    <w:p w14:paraId="72DC1C03" w14:textId="6E0E779C" w:rsidR="00895D3E" w:rsidRDefault="00637BB5">
      <w:pPr>
        <w:pStyle w:val="TOC3"/>
        <w:rPr>
          <w:rFonts w:asciiTheme="minorHAnsi" w:eastAsiaTheme="minorEastAsia" w:hAnsiTheme="minorHAnsi" w:cstheme="minorBidi"/>
          <w:noProof/>
          <w:sz w:val="22"/>
          <w:szCs w:val="22"/>
        </w:rPr>
      </w:pPr>
      <w:hyperlink w:anchor="_Toc106613932" w:history="1">
        <w:r w:rsidR="00895D3E" w:rsidRPr="00D17634">
          <w:rPr>
            <w:rStyle w:val="Hyperlink"/>
            <w:noProof/>
          </w:rPr>
          <w:t>6.6.7.</w:t>
        </w:r>
        <w:r w:rsidR="00895D3E">
          <w:rPr>
            <w:rFonts w:asciiTheme="minorHAnsi" w:eastAsiaTheme="minorEastAsia" w:hAnsiTheme="minorHAnsi" w:cstheme="minorBidi"/>
            <w:noProof/>
            <w:sz w:val="22"/>
            <w:szCs w:val="22"/>
          </w:rPr>
          <w:tab/>
        </w:r>
        <w:r w:rsidR="00895D3E" w:rsidRPr="00D17634">
          <w:rPr>
            <w:rStyle w:val="Hyperlink"/>
            <w:noProof/>
          </w:rPr>
          <w:t>Media Handling</w:t>
        </w:r>
        <w:r w:rsidR="00895D3E">
          <w:rPr>
            <w:noProof/>
            <w:webHidden/>
          </w:rPr>
          <w:tab/>
        </w:r>
        <w:r w:rsidR="00895D3E">
          <w:rPr>
            <w:noProof/>
            <w:webHidden/>
          </w:rPr>
          <w:fldChar w:fldCharType="begin"/>
        </w:r>
        <w:r w:rsidR="00895D3E">
          <w:rPr>
            <w:noProof/>
            <w:webHidden/>
          </w:rPr>
          <w:instrText xml:space="preserve"> PAGEREF _Toc106613932 \h </w:instrText>
        </w:r>
        <w:r w:rsidR="00895D3E">
          <w:rPr>
            <w:noProof/>
            <w:webHidden/>
          </w:rPr>
        </w:r>
        <w:r w:rsidR="00895D3E">
          <w:rPr>
            <w:noProof/>
            <w:webHidden/>
          </w:rPr>
          <w:fldChar w:fldCharType="separate"/>
        </w:r>
        <w:r w:rsidR="00895D3E">
          <w:rPr>
            <w:noProof/>
            <w:webHidden/>
          </w:rPr>
          <w:t>45</w:t>
        </w:r>
        <w:r w:rsidR="00895D3E">
          <w:rPr>
            <w:noProof/>
            <w:webHidden/>
          </w:rPr>
          <w:fldChar w:fldCharType="end"/>
        </w:r>
      </w:hyperlink>
    </w:p>
    <w:p w14:paraId="012B9BB3" w14:textId="04F7513B" w:rsidR="00895D3E" w:rsidRDefault="00637BB5">
      <w:pPr>
        <w:pStyle w:val="TOC3"/>
        <w:rPr>
          <w:rFonts w:asciiTheme="minorHAnsi" w:eastAsiaTheme="minorEastAsia" w:hAnsiTheme="minorHAnsi" w:cstheme="minorBidi"/>
          <w:noProof/>
          <w:sz w:val="22"/>
          <w:szCs w:val="22"/>
        </w:rPr>
      </w:pPr>
      <w:hyperlink w:anchor="_Toc106613933" w:history="1">
        <w:r w:rsidR="00895D3E" w:rsidRPr="00D17634">
          <w:rPr>
            <w:rStyle w:val="Hyperlink"/>
            <w:noProof/>
          </w:rPr>
          <w:t>6.6.8.</w:t>
        </w:r>
        <w:r w:rsidR="00895D3E">
          <w:rPr>
            <w:rFonts w:asciiTheme="minorHAnsi" w:eastAsiaTheme="minorEastAsia" w:hAnsiTheme="minorHAnsi" w:cstheme="minorBidi"/>
            <w:noProof/>
            <w:sz w:val="22"/>
            <w:szCs w:val="22"/>
          </w:rPr>
          <w:tab/>
        </w:r>
        <w:r w:rsidR="00895D3E" w:rsidRPr="00D17634">
          <w:rPr>
            <w:rStyle w:val="Hyperlink"/>
            <w:noProof/>
          </w:rPr>
          <w:t>Exchanges of information</w:t>
        </w:r>
        <w:r w:rsidR="00895D3E">
          <w:rPr>
            <w:noProof/>
            <w:webHidden/>
          </w:rPr>
          <w:tab/>
        </w:r>
        <w:r w:rsidR="00895D3E">
          <w:rPr>
            <w:noProof/>
            <w:webHidden/>
          </w:rPr>
          <w:fldChar w:fldCharType="begin"/>
        </w:r>
        <w:r w:rsidR="00895D3E">
          <w:rPr>
            <w:noProof/>
            <w:webHidden/>
          </w:rPr>
          <w:instrText xml:space="preserve"> PAGEREF _Toc106613933 \h </w:instrText>
        </w:r>
        <w:r w:rsidR="00895D3E">
          <w:rPr>
            <w:noProof/>
            <w:webHidden/>
          </w:rPr>
        </w:r>
        <w:r w:rsidR="00895D3E">
          <w:rPr>
            <w:noProof/>
            <w:webHidden/>
          </w:rPr>
          <w:fldChar w:fldCharType="separate"/>
        </w:r>
        <w:r w:rsidR="00895D3E">
          <w:rPr>
            <w:noProof/>
            <w:webHidden/>
          </w:rPr>
          <w:t>46</w:t>
        </w:r>
        <w:r w:rsidR="00895D3E">
          <w:rPr>
            <w:noProof/>
            <w:webHidden/>
          </w:rPr>
          <w:fldChar w:fldCharType="end"/>
        </w:r>
      </w:hyperlink>
    </w:p>
    <w:p w14:paraId="0100D834" w14:textId="44BB8E99" w:rsidR="00895D3E" w:rsidRDefault="00637BB5">
      <w:pPr>
        <w:pStyle w:val="TOC3"/>
        <w:rPr>
          <w:rFonts w:asciiTheme="minorHAnsi" w:eastAsiaTheme="minorEastAsia" w:hAnsiTheme="minorHAnsi" w:cstheme="minorBidi"/>
          <w:noProof/>
          <w:sz w:val="22"/>
          <w:szCs w:val="22"/>
        </w:rPr>
      </w:pPr>
      <w:hyperlink w:anchor="_Toc106613934" w:history="1">
        <w:r w:rsidR="00895D3E" w:rsidRPr="00D17634">
          <w:rPr>
            <w:rStyle w:val="Hyperlink"/>
            <w:noProof/>
          </w:rPr>
          <w:t>6.6.9.</w:t>
        </w:r>
        <w:r w:rsidR="00895D3E">
          <w:rPr>
            <w:rFonts w:asciiTheme="minorHAnsi" w:eastAsiaTheme="minorEastAsia" w:hAnsiTheme="minorHAnsi" w:cstheme="minorBidi"/>
            <w:noProof/>
            <w:sz w:val="22"/>
            <w:szCs w:val="22"/>
          </w:rPr>
          <w:tab/>
        </w:r>
        <w:r w:rsidR="00895D3E" w:rsidRPr="00D17634">
          <w:rPr>
            <w:rStyle w:val="Hyperlink"/>
            <w:noProof/>
          </w:rPr>
          <w:t>Electronic health information services</w:t>
        </w:r>
        <w:r w:rsidR="00895D3E">
          <w:rPr>
            <w:noProof/>
            <w:webHidden/>
          </w:rPr>
          <w:tab/>
        </w:r>
        <w:r w:rsidR="00895D3E">
          <w:rPr>
            <w:noProof/>
            <w:webHidden/>
          </w:rPr>
          <w:fldChar w:fldCharType="begin"/>
        </w:r>
        <w:r w:rsidR="00895D3E">
          <w:rPr>
            <w:noProof/>
            <w:webHidden/>
          </w:rPr>
          <w:instrText xml:space="preserve"> PAGEREF _Toc106613934 \h </w:instrText>
        </w:r>
        <w:r w:rsidR="00895D3E">
          <w:rPr>
            <w:noProof/>
            <w:webHidden/>
          </w:rPr>
        </w:r>
        <w:r w:rsidR="00895D3E">
          <w:rPr>
            <w:noProof/>
            <w:webHidden/>
          </w:rPr>
          <w:fldChar w:fldCharType="separate"/>
        </w:r>
        <w:r w:rsidR="00895D3E">
          <w:rPr>
            <w:noProof/>
            <w:webHidden/>
          </w:rPr>
          <w:t>46</w:t>
        </w:r>
        <w:r w:rsidR="00895D3E">
          <w:rPr>
            <w:noProof/>
            <w:webHidden/>
          </w:rPr>
          <w:fldChar w:fldCharType="end"/>
        </w:r>
      </w:hyperlink>
    </w:p>
    <w:p w14:paraId="187302E2" w14:textId="28EB2C57" w:rsidR="00895D3E" w:rsidRDefault="00637BB5">
      <w:pPr>
        <w:pStyle w:val="TOC4"/>
        <w:tabs>
          <w:tab w:val="left" w:pos="2835"/>
        </w:tabs>
        <w:rPr>
          <w:rFonts w:asciiTheme="minorHAnsi" w:eastAsiaTheme="minorEastAsia" w:hAnsiTheme="minorHAnsi" w:cstheme="minorBidi"/>
          <w:b w:val="0"/>
          <w:noProof/>
          <w:sz w:val="22"/>
          <w:szCs w:val="22"/>
        </w:rPr>
      </w:pPr>
      <w:hyperlink w:anchor="_Toc106613935" w:history="1">
        <w:r w:rsidR="00895D3E" w:rsidRPr="00D17634">
          <w:rPr>
            <w:rStyle w:val="Hyperlink"/>
            <w:noProof/>
          </w:rPr>
          <w:t>6.6.9.1.</w:t>
        </w:r>
        <w:r w:rsidR="00895D3E">
          <w:rPr>
            <w:rFonts w:asciiTheme="minorHAnsi" w:eastAsiaTheme="minorEastAsia" w:hAnsiTheme="minorHAnsi" w:cstheme="minorBidi"/>
            <w:b w:val="0"/>
            <w:noProof/>
            <w:sz w:val="22"/>
            <w:szCs w:val="22"/>
          </w:rPr>
          <w:tab/>
        </w:r>
        <w:r w:rsidR="00895D3E" w:rsidRPr="00D17634">
          <w:rPr>
            <w:rStyle w:val="Hyperlink"/>
            <w:noProof/>
          </w:rPr>
          <w:t>Monitoring</w:t>
        </w:r>
        <w:r w:rsidR="00895D3E">
          <w:rPr>
            <w:noProof/>
            <w:webHidden/>
          </w:rPr>
          <w:tab/>
        </w:r>
        <w:r w:rsidR="00895D3E">
          <w:rPr>
            <w:noProof/>
            <w:webHidden/>
          </w:rPr>
          <w:fldChar w:fldCharType="begin"/>
        </w:r>
        <w:r w:rsidR="00895D3E">
          <w:rPr>
            <w:noProof/>
            <w:webHidden/>
          </w:rPr>
          <w:instrText xml:space="preserve"> PAGEREF _Toc106613935 \h </w:instrText>
        </w:r>
        <w:r w:rsidR="00895D3E">
          <w:rPr>
            <w:noProof/>
            <w:webHidden/>
          </w:rPr>
        </w:r>
        <w:r w:rsidR="00895D3E">
          <w:rPr>
            <w:noProof/>
            <w:webHidden/>
          </w:rPr>
          <w:fldChar w:fldCharType="separate"/>
        </w:r>
        <w:r w:rsidR="00895D3E">
          <w:rPr>
            <w:noProof/>
            <w:webHidden/>
          </w:rPr>
          <w:t>47</w:t>
        </w:r>
        <w:r w:rsidR="00895D3E">
          <w:rPr>
            <w:noProof/>
            <w:webHidden/>
          </w:rPr>
          <w:fldChar w:fldCharType="end"/>
        </w:r>
      </w:hyperlink>
    </w:p>
    <w:p w14:paraId="0F425BBA" w14:textId="65BE3B4A" w:rsidR="00895D3E" w:rsidRDefault="00637BB5">
      <w:pPr>
        <w:pStyle w:val="TOC2"/>
        <w:framePr w:wrap="around"/>
        <w:rPr>
          <w:rFonts w:asciiTheme="minorHAnsi" w:eastAsiaTheme="minorEastAsia" w:hAnsiTheme="minorHAnsi" w:cstheme="minorBidi"/>
          <w:noProof/>
          <w:sz w:val="22"/>
          <w:szCs w:val="22"/>
        </w:rPr>
      </w:pPr>
      <w:hyperlink w:anchor="_Toc106613936" w:history="1">
        <w:r w:rsidR="00895D3E" w:rsidRPr="00D17634">
          <w:rPr>
            <w:rStyle w:val="Hyperlink"/>
            <w:noProof/>
          </w:rPr>
          <w:t>6.7.</w:t>
        </w:r>
        <w:r w:rsidR="00895D3E">
          <w:rPr>
            <w:rFonts w:asciiTheme="minorHAnsi" w:eastAsiaTheme="minorEastAsia" w:hAnsiTheme="minorHAnsi" w:cstheme="minorBidi"/>
            <w:noProof/>
            <w:sz w:val="22"/>
            <w:szCs w:val="22"/>
          </w:rPr>
          <w:tab/>
        </w:r>
        <w:r w:rsidR="00895D3E" w:rsidRPr="00D17634">
          <w:rPr>
            <w:rStyle w:val="Hyperlink"/>
            <w:noProof/>
          </w:rPr>
          <w:t>Access Control</w:t>
        </w:r>
        <w:r w:rsidR="00895D3E">
          <w:rPr>
            <w:noProof/>
            <w:webHidden/>
          </w:rPr>
          <w:tab/>
        </w:r>
        <w:r w:rsidR="00895D3E">
          <w:rPr>
            <w:noProof/>
            <w:webHidden/>
          </w:rPr>
          <w:fldChar w:fldCharType="begin"/>
        </w:r>
        <w:r w:rsidR="00895D3E">
          <w:rPr>
            <w:noProof/>
            <w:webHidden/>
          </w:rPr>
          <w:instrText xml:space="preserve"> PAGEREF _Toc106613936 \h </w:instrText>
        </w:r>
        <w:r w:rsidR="00895D3E">
          <w:rPr>
            <w:noProof/>
            <w:webHidden/>
          </w:rPr>
        </w:r>
        <w:r w:rsidR="00895D3E">
          <w:rPr>
            <w:noProof/>
            <w:webHidden/>
          </w:rPr>
          <w:fldChar w:fldCharType="separate"/>
        </w:r>
        <w:r w:rsidR="00895D3E">
          <w:rPr>
            <w:noProof/>
            <w:webHidden/>
          </w:rPr>
          <w:t>48</w:t>
        </w:r>
        <w:r w:rsidR="00895D3E">
          <w:rPr>
            <w:noProof/>
            <w:webHidden/>
          </w:rPr>
          <w:fldChar w:fldCharType="end"/>
        </w:r>
      </w:hyperlink>
    </w:p>
    <w:p w14:paraId="7FC59B90" w14:textId="19FDED71" w:rsidR="00895D3E" w:rsidRDefault="00637BB5">
      <w:pPr>
        <w:pStyle w:val="TOC3"/>
        <w:rPr>
          <w:rFonts w:asciiTheme="minorHAnsi" w:eastAsiaTheme="minorEastAsia" w:hAnsiTheme="minorHAnsi" w:cstheme="minorBidi"/>
          <w:noProof/>
          <w:sz w:val="22"/>
          <w:szCs w:val="22"/>
        </w:rPr>
      </w:pPr>
      <w:hyperlink w:anchor="_Toc106613937" w:history="1">
        <w:r w:rsidR="00895D3E" w:rsidRPr="00D17634">
          <w:rPr>
            <w:rStyle w:val="Hyperlink"/>
            <w:noProof/>
          </w:rPr>
          <w:t>6.7.1.</w:t>
        </w:r>
        <w:r w:rsidR="00895D3E">
          <w:rPr>
            <w:rFonts w:asciiTheme="minorHAnsi" w:eastAsiaTheme="minorEastAsia" w:hAnsiTheme="minorHAnsi" w:cstheme="minorBidi"/>
            <w:noProof/>
            <w:sz w:val="22"/>
            <w:szCs w:val="22"/>
          </w:rPr>
          <w:tab/>
        </w:r>
        <w:r w:rsidR="00895D3E" w:rsidRPr="00D17634">
          <w:rPr>
            <w:rStyle w:val="Hyperlink"/>
            <w:noProof/>
          </w:rPr>
          <w:t>Requirements for access control in Health</w:t>
        </w:r>
        <w:r w:rsidR="00895D3E">
          <w:rPr>
            <w:noProof/>
            <w:webHidden/>
          </w:rPr>
          <w:tab/>
        </w:r>
        <w:r w:rsidR="00895D3E">
          <w:rPr>
            <w:noProof/>
            <w:webHidden/>
          </w:rPr>
          <w:fldChar w:fldCharType="begin"/>
        </w:r>
        <w:r w:rsidR="00895D3E">
          <w:rPr>
            <w:noProof/>
            <w:webHidden/>
          </w:rPr>
          <w:instrText xml:space="preserve"> PAGEREF _Toc106613937 \h </w:instrText>
        </w:r>
        <w:r w:rsidR="00895D3E">
          <w:rPr>
            <w:noProof/>
            <w:webHidden/>
          </w:rPr>
        </w:r>
        <w:r w:rsidR="00895D3E">
          <w:rPr>
            <w:noProof/>
            <w:webHidden/>
          </w:rPr>
          <w:fldChar w:fldCharType="separate"/>
        </w:r>
        <w:r w:rsidR="00895D3E">
          <w:rPr>
            <w:noProof/>
            <w:webHidden/>
          </w:rPr>
          <w:t>48</w:t>
        </w:r>
        <w:r w:rsidR="00895D3E">
          <w:rPr>
            <w:noProof/>
            <w:webHidden/>
          </w:rPr>
          <w:fldChar w:fldCharType="end"/>
        </w:r>
      </w:hyperlink>
    </w:p>
    <w:p w14:paraId="5AEDD337" w14:textId="7B79CD98" w:rsidR="00895D3E" w:rsidRDefault="00637BB5">
      <w:pPr>
        <w:pStyle w:val="TOC3"/>
        <w:rPr>
          <w:rFonts w:asciiTheme="minorHAnsi" w:eastAsiaTheme="minorEastAsia" w:hAnsiTheme="minorHAnsi" w:cstheme="minorBidi"/>
          <w:noProof/>
          <w:sz w:val="22"/>
          <w:szCs w:val="22"/>
        </w:rPr>
      </w:pPr>
      <w:hyperlink w:anchor="_Toc106613938" w:history="1">
        <w:r w:rsidR="00895D3E" w:rsidRPr="00D17634">
          <w:rPr>
            <w:rStyle w:val="Hyperlink"/>
            <w:noProof/>
          </w:rPr>
          <w:t>6.7.2.</w:t>
        </w:r>
        <w:r w:rsidR="00895D3E">
          <w:rPr>
            <w:rFonts w:asciiTheme="minorHAnsi" w:eastAsiaTheme="minorEastAsia" w:hAnsiTheme="minorHAnsi" w:cstheme="minorBidi"/>
            <w:noProof/>
            <w:sz w:val="22"/>
            <w:szCs w:val="22"/>
          </w:rPr>
          <w:tab/>
        </w:r>
        <w:r w:rsidR="00895D3E" w:rsidRPr="00D17634">
          <w:rPr>
            <w:rStyle w:val="Hyperlink"/>
            <w:noProof/>
          </w:rPr>
          <w:t>User access management</w:t>
        </w:r>
        <w:r w:rsidR="00895D3E">
          <w:rPr>
            <w:noProof/>
            <w:webHidden/>
          </w:rPr>
          <w:tab/>
        </w:r>
        <w:r w:rsidR="00895D3E">
          <w:rPr>
            <w:noProof/>
            <w:webHidden/>
          </w:rPr>
          <w:fldChar w:fldCharType="begin"/>
        </w:r>
        <w:r w:rsidR="00895D3E">
          <w:rPr>
            <w:noProof/>
            <w:webHidden/>
          </w:rPr>
          <w:instrText xml:space="preserve"> PAGEREF _Toc106613938 \h </w:instrText>
        </w:r>
        <w:r w:rsidR="00895D3E">
          <w:rPr>
            <w:noProof/>
            <w:webHidden/>
          </w:rPr>
        </w:r>
        <w:r w:rsidR="00895D3E">
          <w:rPr>
            <w:noProof/>
            <w:webHidden/>
          </w:rPr>
          <w:fldChar w:fldCharType="separate"/>
        </w:r>
        <w:r w:rsidR="00895D3E">
          <w:rPr>
            <w:noProof/>
            <w:webHidden/>
          </w:rPr>
          <w:t>48</w:t>
        </w:r>
        <w:r w:rsidR="00895D3E">
          <w:rPr>
            <w:noProof/>
            <w:webHidden/>
          </w:rPr>
          <w:fldChar w:fldCharType="end"/>
        </w:r>
      </w:hyperlink>
    </w:p>
    <w:p w14:paraId="70CCDCCA" w14:textId="07F62249" w:rsidR="00895D3E" w:rsidRDefault="00637BB5">
      <w:pPr>
        <w:pStyle w:val="TOC3"/>
        <w:rPr>
          <w:rFonts w:asciiTheme="minorHAnsi" w:eastAsiaTheme="minorEastAsia" w:hAnsiTheme="minorHAnsi" w:cstheme="minorBidi"/>
          <w:noProof/>
          <w:sz w:val="22"/>
          <w:szCs w:val="22"/>
        </w:rPr>
      </w:pPr>
      <w:hyperlink w:anchor="_Toc106613939" w:history="1">
        <w:r w:rsidR="00895D3E" w:rsidRPr="00D17634">
          <w:rPr>
            <w:rStyle w:val="Hyperlink"/>
            <w:noProof/>
          </w:rPr>
          <w:t>6.7.3.</w:t>
        </w:r>
        <w:r w:rsidR="00895D3E">
          <w:rPr>
            <w:rFonts w:asciiTheme="minorHAnsi" w:eastAsiaTheme="minorEastAsia" w:hAnsiTheme="minorHAnsi" w:cstheme="minorBidi"/>
            <w:noProof/>
            <w:sz w:val="22"/>
            <w:szCs w:val="22"/>
          </w:rPr>
          <w:tab/>
        </w:r>
        <w:r w:rsidR="00895D3E" w:rsidRPr="00D17634">
          <w:rPr>
            <w:rStyle w:val="Hyperlink"/>
            <w:noProof/>
          </w:rPr>
          <w:t>User responsibilities</w:t>
        </w:r>
        <w:r w:rsidR="00895D3E">
          <w:rPr>
            <w:noProof/>
            <w:webHidden/>
          </w:rPr>
          <w:tab/>
        </w:r>
        <w:r w:rsidR="00895D3E">
          <w:rPr>
            <w:noProof/>
            <w:webHidden/>
          </w:rPr>
          <w:fldChar w:fldCharType="begin"/>
        </w:r>
        <w:r w:rsidR="00895D3E">
          <w:rPr>
            <w:noProof/>
            <w:webHidden/>
          </w:rPr>
          <w:instrText xml:space="preserve"> PAGEREF _Toc106613939 \h </w:instrText>
        </w:r>
        <w:r w:rsidR="00895D3E">
          <w:rPr>
            <w:noProof/>
            <w:webHidden/>
          </w:rPr>
        </w:r>
        <w:r w:rsidR="00895D3E">
          <w:rPr>
            <w:noProof/>
            <w:webHidden/>
          </w:rPr>
          <w:fldChar w:fldCharType="separate"/>
        </w:r>
        <w:r w:rsidR="00895D3E">
          <w:rPr>
            <w:noProof/>
            <w:webHidden/>
          </w:rPr>
          <w:t>49</w:t>
        </w:r>
        <w:r w:rsidR="00895D3E">
          <w:rPr>
            <w:noProof/>
            <w:webHidden/>
          </w:rPr>
          <w:fldChar w:fldCharType="end"/>
        </w:r>
      </w:hyperlink>
    </w:p>
    <w:p w14:paraId="7E3F1C3A" w14:textId="1F4B6A05" w:rsidR="00895D3E" w:rsidRDefault="00637BB5">
      <w:pPr>
        <w:pStyle w:val="TOC3"/>
        <w:rPr>
          <w:rFonts w:asciiTheme="minorHAnsi" w:eastAsiaTheme="minorEastAsia" w:hAnsiTheme="minorHAnsi" w:cstheme="minorBidi"/>
          <w:noProof/>
          <w:sz w:val="22"/>
          <w:szCs w:val="22"/>
        </w:rPr>
      </w:pPr>
      <w:hyperlink w:anchor="_Toc106613940" w:history="1">
        <w:r w:rsidR="00895D3E" w:rsidRPr="00D17634">
          <w:rPr>
            <w:rStyle w:val="Hyperlink"/>
            <w:noProof/>
          </w:rPr>
          <w:t>6.7.4.</w:t>
        </w:r>
        <w:r w:rsidR="00895D3E">
          <w:rPr>
            <w:rFonts w:asciiTheme="minorHAnsi" w:eastAsiaTheme="minorEastAsia" w:hAnsiTheme="minorHAnsi" w:cstheme="minorBidi"/>
            <w:noProof/>
            <w:sz w:val="22"/>
            <w:szCs w:val="22"/>
          </w:rPr>
          <w:tab/>
        </w:r>
        <w:r w:rsidR="00895D3E" w:rsidRPr="00D17634">
          <w:rPr>
            <w:rStyle w:val="Hyperlink"/>
            <w:noProof/>
          </w:rPr>
          <w:t>Network and operating system access control</w:t>
        </w:r>
        <w:r w:rsidR="00895D3E">
          <w:rPr>
            <w:noProof/>
            <w:webHidden/>
          </w:rPr>
          <w:tab/>
        </w:r>
        <w:r w:rsidR="00895D3E">
          <w:rPr>
            <w:noProof/>
            <w:webHidden/>
          </w:rPr>
          <w:fldChar w:fldCharType="begin"/>
        </w:r>
        <w:r w:rsidR="00895D3E">
          <w:rPr>
            <w:noProof/>
            <w:webHidden/>
          </w:rPr>
          <w:instrText xml:space="preserve"> PAGEREF _Toc106613940 \h </w:instrText>
        </w:r>
        <w:r w:rsidR="00895D3E">
          <w:rPr>
            <w:noProof/>
            <w:webHidden/>
          </w:rPr>
        </w:r>
        <w:r w:rsidR="00895D3E">
          <w:rPr>
            <w:noProof/>
            <w:webHidden/>
          </w:rPr>
          <w:fldChar w:fldCharType="separate"/>
        </w:r>
        <w:r w:rsidR="00895D3E">
          <w:rPr>
            <w:noProof/>
            <w:webHidden/>
          </w:rPr>
          <w:t>49</w:t>
        </w:r>
        <w:r w:rsidR="00895D3E">
          <w:rPr>
            <w:noProof/>
            <w:webHidden/>
          </w:rPr>
          <w:fldChar w:fldCharType="end"/>
        </w:r>
      </w:hyperlink>
    </w:p>
    <w:p w14:paraId="562ADE2C" w14:textId="061AC6BA" w:rsidR="00895D3E" w:rsidRDefault="00637BB5">
      <w:pPr>
        <w:pStyle w:val="TOC3"/>
        <w:rPr>
          <w:rFonts w:asciiTheme="minorHAnsi" w:eastAsiaTheme="minorEastAsia" w:hAnsiTheme="minorHAnsi" w:cstheme="minorBidi"/>
          <w:noProof/>
          <w:sz w:val="22"/>
          <w:szCs w:val="22"/>
        </w:rPr>
      </w:pPr>
      <w:hyperlink w:anchor="_Toc106613941" w:history="1">
        <w:r w:rsidR="00895D3E" w:rsidRPr="00D17634">
          <w:rPr>
            <w:rStyle w:val="Hyperlink"/>
            <w:noProof/>
          </w:rPr>
          <w:t>6.7.5.</w:t>
        </w:r>
        <w:r w:rsidR="00895D3E">
          <w:rPr>
            <w:rFonts w:asciiTheme="minorHAnsi" w:eastAsiaTheme="minorEastAsia" w:hAnsiTheme="minorHAnsi" w:cstheme="minorBidi"/>
            <w:noProof/>
            <w:sz w:val="22"/>
            <w:szCs w:val="22"/>
          </w:rPr>
          <w:tab/>
        </w:r>
        <w:r w:rsidR="00895D3E" w:rsidRPr="00D17634">
          <w:rPr>
            <w:rStyle w:val="Hyperlink"/>
            <w:noProof/>
          </w:rPr>
          <w:t>Application and information access control</w:t>
        </w:r>
        <w:r w:rsidR="00895D3E">
          <w:rPr>
            <w:noProof/>
            <w:webHidden/>
          </w:rPr>
          <w:tab/>
        </w:r>
        <w:r w:rsidR="00895D3E">
          <w:rPr>
            <w:noProof/>
            <w:webHidden/>
          </w:rPr>
          <w:fldChar w:fldCharType="begin"/>
        </w:r>
        <w:r w:rsidR="00895D3E">
          <w:rPr>
            <w:noProof/>
            <w:webHidden/>
          </w:rPr>
          <w:instrText xml:space="preserve"> PAGEREF _Toc106613941 \h </w:instrText>
        </w:r>
        <w:r w:rsidR="00895D3E">
          <w:rPr>
            <w:noProof/>
            <w:webHidden/>
          </w:rPr>
        </w:r>
        <w:r w:rsidR="00895D3E">
          <w:rPr>
            <w:noProof/>
            <w:webHidden/>
          </w:rPr>
          <w:fldChar w:fldCharType="separate"/>
        </w:r>
        <w:r w:rsidR="00895D3E">
          <w:rPr>
            <w:noProof/>
            <w:webHidden/>
          </w:rPr>
          <w:t>52</w:t>
        </w:r>
        <w:r w:rsidR="00895D3E">
          <w:rPr>
            <w:noProof/>
            <w:webHidden/>
          </w:rPr>
          <w:fldChar w:fldCharType="end"/>
        </w:r>
      </w:hyperlink>
    </w:p>
    <w:p w14:paraId="459A16A0" w14:textId="3EB8D432" w:rsidR="00895D3E" w:rsidRDefault="00637BB5">
      <w:pPr>
        <w:pStyle w:val="TOC3"/>
        <w:rPr>
          <w:rFonts w:asciiTheme="minorHAnsi" w:eastAsiaTheme="minorEastAsia" w:hAnsiTheme="minorHAnsi" w:cstheme="minorBidi"/>
          <w:noProof/>
          <w:sz w:val="22"/>
          <w:szCs w:val="22"/>
        </w:rPr>
      </w:pPr>
      <w:hyperlink w:anchor="_Toc106613942" w:history="1">
        <w:r w:rsidR="00895D3E" w:rsidRPr="00D17634">
          <w:rPr>
            <w:rStyle w:val="Hyperlink"/>
            <w:noProof/>
          </w:rPr>
          <w:t>6.7.6.</w:t>
        </w:r>
        <w:r w:rsidR="00895D3E">
          <w:rPr>
            <w:rFonts w:asciiTheme="minorHAnsi" w:eastAsiaTheme="minorEastAsia" w:hAnsiTheme="minorHAnsi" w:cstheme="minorBidi"/>
            <w:noProof/>
            <w:sz w:val="22"/>
            <w:szCs w:val="22"/>
          </w:rPr>
          <w:tab/>
        </w:r>
        <w:r w:rsidR="00895D3E" w:rsidRPr="00D17634">
          <w:rPr>
            <w:rStyle w:val="Hyperlink"/>
            <w:noProof/>
          </w:rPr>
          <w:t>Mobile Computing and Teleworking</w:t>
        </w:r>
        <w:r w:rsidR="00895D3E">
          <w:rPr>
            <w:noProof/>
            <w:webHidden/>
          </w:rPr>
          <w:tab/>
        </w:r>
        <w:r w:rsidR="00895D3E">
          <w:rPr>
            <w:noProof/>
            <w:webHidden/>
          </w:rPr>
          <w:fldChar w:fldCharType="begin"/>
        </w:r>
        <w:r w:rsidR="00895D3E">
          <w:rPr>
            <w:noProof/>
            <w:webHidden/>
          </w:rPr>
          <w:instrText xml:space="preserve"> PAGEREF _Toc106613942 \h </w:instrText>
        </w:r>
        <w:r w:rsidR="00895D3E">
          <w:rPr>
            <w:noProof/>
            <w:webHidden/>
          </w:rPr>
        </w:r>
        <w:r w:rsidR="00895D3E">
          <w:rPr>
            <w:noProof/>
            <w:webHidden/>
          </w:rPr>
          <w:fldChar w:fldCharType="separate"/>
        </w:r>
        <w:r w:rsidR="00895D3E">
          <w:rPr>
            <w:noProof/>
            <w:webHidden/>
          </w:rPr>
          <w:t>52</w:t>
        </w:r>
        <w:r w:rsidR="00895D3E">
          <w:rPr>
            <w:noProof/>
            <w:webHidden/>
          </w:rPr>
          <w:fldChar w:fldCharType="end"/>
        </w:r>
      </w:hyperlink>
    </w:p>
    <w:p w14:paraId="4362CD65" w14:textId="73D2883E" w:rsidR="00895D3E" w:rsidRDefault="00637BB5">
      <w:pPr>
        <w:pStyle w:val="TOC2"/>
        <w:framePr w:wrap="around"/>
        <w:rPr>
          <w:rFonts w:asciiTheme="minorHAnsi" w:eastAsiaTheme="minorEastAsia" w:hAnsiTheme="minorHAnsi" w:cstheme="minorBidi"/>
          <w:noProof/>
          <w:sz w:val="22"/>
          <w:szCs w:val="22"/>
        </w:rPr>
      </w:pPr>
      <w:hyperlink w:anchor="_Toc106613943" w:history="1">
        <w:r w:rsidR="00895D3E" w:rsidRPr="00D17634">
          <w:rPr>
            <w:rStyle w:val="Hyperlink"/>
            <w:noProof/>
          </w:rPr>
          <w:t>6.8.</w:t>
        </w:r>
        <w:r w:rsidR="00895D3E">
          <w:rPr>
            <w:rFonts w:asciiTheme="minorHAnsi" w:eastAsiaTheme="minorEastAsia" w:hAnsiTheme="minorHAnsi" w:cstheme="minorBidi"/>
            <w:noProof/>
            <w:sz w:val="22"/>
            <w:szCs w:val="22"/>
          </w:rPr>
          <w:tab/>
        </w:r>
        <w:r w:rsidR="00895D3E" w:rsidRPr="00D17634">
          <w:rPr>
            <w:rStyle w:val="Hyperlink"/>
            <w:noProof/>
          </w:rPr>
          <w:t>Information systems acquisition, development and maintenance</w:t>
        </w:r>
        <w:r w:rsidR="00895D3E">
          <w:rPr>
            <w:noProof/>
            <w:webHidden/>
          </w:rPr>
          <w:tab/>
        </w:r>
        <w:r w:rsidR="00895D3E">
          <w:rPr>
            <w:noProof/>
            <w:webHidden/>
          </w:rPr>
          <w:fldChar w:fldCharType="begin"/>
        </w:r>
        <w:r w:rsidR="00895D3E">
          <w:rPr>
            <w:noProof/>
            <w:webHidden/>
          </w:rPr>
          <w:instrText xml:space="preserve"> PAGEREF _Toc106613943 \h </w:instrText>
        </w:r>
        <w:r w:rsidR="00895D3E">
          <w:rPr>
            <w:noProof/>
            <w:webHidden/>
          </w:rPr>
        </w:r>
        <w:r w:rsidR="00895D3E">
          <w:rPr>
            <w:noProof/>
            <w:webHidden/>
          </w:rPr>
          <w:fldChar w:fldCharType="separate"/>
        </w:r>
        <w:r w:rsidR="00895D3E">
          <w:rPr>
            <w:noProof/>
            <w:webHidden/>
          </w:rPr>
          <w:t>53</w:t>
        </w:r>
        <w:r w:rsidR="00895D3E">
          <w:rPr>
            <w:noProof/>
            <w:webHidden/>
          </w:rPr>
          <w:fldChar w:fldCharType="end"/>
        </w:r>
      </w:hyperlink>
    </w:p>
    <w:p w14:paraId="406E6A4B" w14:textId="25BCDA8B" w:rsidR="00895D3E" w:rsidRDefault="00637BB5">
      <w:pPr>
        <w:pStyle w:val="TOC3"/>
        <w:rPr>
          <w:rFonts w:asciiTheme="minorHAnsi" w:eastAsiaTheme="minorEastAsia" w:hAnsiTheme="minorHAnsi" w:cstheme="minorBidi"/>
          <w:noProof/>
          <w:sz w:val="22"/>
          <w:szCs w:val="22"/>
        </w:rPr>
      </w:pPr>
      <w:hyperlink w:anchor="_Toc106613944" w:history="1">
        <w:r w:rsidR="00895D3E" w:rsidRPr="00D17634">
          <w:rPr>
            <w:rStyle w:val="Hyperlink"/>
            <w:noProof/>
          </w:rPr>
          <w:t>6.8.1.</w:t>
        </w:r>
        <w:r w:rsidR="00895D3E">
          <w:rPr>
            <w:rFonts w:asciiTheme="minorHAnsi" w:eastAsiaTheme="minorEastAsia" w:hAnsiTheme="minorHAnsi" w:cstheme="minorBidi"/>
            <w:noProof/>
            <w:sz w:val="22"/>
            <w:szCs w:val="22"/>
          </w:rPr>
          <w:tab/>
        </w:r>
        <w:r w:rsidR="00895D3E" w:rsidRPr="00D17634">
          <w:rPr>
            <w:rStyle w:val="Hyperlink"/>
            <w:noProof/>
          </w:rPr>
          <w:t>Security requirements of information systems</w:t>
        </w:r>
        <w:r w:rsidR="00895D3E">
          <w:rPr>
            <w:noProof/>
            <w:webHidden/>
          </w:rPr>
          <w:tab/>
        </w:r>
        <w:r w:rsidR="00895D3E">
          <w:rPr>
            <w:noProof/>
            <w:webHidden/>
          </w:rPr>
          <w:fldChar w:fldCharType="begin"/>
        </w:r>
        <w:r w:rsidR="00895D3E">
          <w:rPr>
            <w:noProof/>
            <w:webHidden/>
          </w:rPr>
          <w:instrText xml:space="preserve"> PAGEREF _Toc106613944 \h </w:instrText>
        </w:r>
        <w:r w:rsidR="00895D3E">
          <w:rPr>
            <w:noProof/>
            <w:webHidden/>
          </w:rPr>
        </w:r>
        <w:r w:rsidR="00895D3E">
          <w:rPr>
            <w:noProof/>
            <w:webHidden/>
          </w:rPr>
          <w:fldChar w:fldCharType="separate"/>
        </w:r>
        <w:r w:rsidR="00895D3E">
          <w:rPr>
            <w:noProof/>
            <w:webHidden/>
          </w:rPr>
          <w:t>53</w:t>
        </w:r>
        <w:r w:rsidR="00895D3E">
          <w:rPr>
            <w:noProof/>
            <w:webHidden/>
          </w:rPr>
          <w:fldChar w:fldCharType="end"/>
        </w:r>
      </w:hyperlink>
    </w:p>
    <w:p w14:paraId="66F0877A" w14:textId="10E1F214" w:rsidR="00895D3E" w:rsidRDefault="00637BB5">
      <w:pPr>
        <w:pStyle w:val="TOC3"/>
        <w:rPr>
          <w:rFonts w:asciiTheme="minorHAnsi" w:eastAsiaTheme="minorEastAsia" w:hAnsiTheme="minorHAnsi" w:cstheme="minorBidi"/>
          <w:noProof/>
          <w:sz w:val="22"/>
          <w:szCs w:val="22"/>
        </w:rPr>
      </w:pPr>
      <w:hyperlink w:anchor="_Toc106613945" w:history="1">
        <w:r w:rsidR="00895D3E" w:rsidRPr="00D17634">
          <w:rPr>
            <w:rStyle w:val="Hyperlink"/>
            <w:noProof/>
          </w:rPr>
          <w:t>6.8.2.</w:t>
        </w:r>
        <w:r w:rsidR="00895D3E">
          <w:rPr>
            <w:rFonts w:asciiTheme="minorHAnsi" w:eastAsiaTheme="minorEastAsia" w:hAnsiTheme="minorHAnsi" w:cstheme="minorBidi"/>
            <w:noProof/>
            <w:sz w:val="22"/>
            <w:szCs w:val="22"/>
          </w:rPr>
          <w:tab/>
        </w:r>
        <w:r w:rsidR="00895D3E" w:rsidRPr="00D17634">
          <w:rPr>
            <w:rStyle w:val="Hyperlink"/>
            <w:noProof/>
          </w:rPr>
          <w:t>Correct processing in applications</w:t>
        </w:r>
        <w:r w:rsidR="00895D3E">
          <w:rPr>
            <w:noProof/>
            <w:webHidden/>
          </w:rPr>
          <w:tab/>
        </w:r>
        <w:r w:rsidR="00895D3E">
          <w:rPr>
            <w:noProof/>
            <w:webHidden/>
          </w:rPr>
          <w:fldChar w:fldCharType="begin"/>
        </w:r>
        <w:r w:rsidR="00895D3E">
          <w:rPr>
            <w:noProof/>
            <w:webHidden/>
          </w:rPr>
          <w:instrText xml:space="preserve"> PAGEREF _Toc106613945 \h </w:instrText>
        </w:r>
        <w:r w:rsidR="00895D3E">
          <w:rPr>
            <w:noProof/>
            <w:webHidden/>
          </w:rPr>
        </w:r>
        <w:r w:rsidR="00895D3E">
          <w:rPr>
            <w:noProof/>
            <w:webHidden/>
          </w:rPr>
          <w:fldChar w:fldCharType="separate"/>
        </w:r>
        <w:r w:rsidR="00895D3E">
          <w:rPr>
            <w:noProof/>
            <w:webHidden/>
          </w:rPr>
          <w:t>53</w:t>
        </w:r>
        <w:r w:rsidR="00895D3E">
          <w:rPr>
            <w:noProof/>
            <w:webHidden/>
          </w:rPr>
          <w:fldChar w:fldCharType="end"/>
        </w:r>
      </w:hyperlink>
    </w:p>
    <w:p w14:paraId="348A310E" w14:textId="1BE32501" w:rsidR="00895D3E" w:rsidRDefault="00637BB5">
      <w:pPr>
        <w:pStyle w:val="TOC3"/>
        <w:rPr>
          <w:rFonts w:asciiTheme="minorHAnsi" w:eastAsiaTheme="minorEastAsia" w:hAnsiTheme="minorHAnsi" w:cstheme="minorBidi"/>
          <w:noProof/>
          <w:sz w:val="22"/>
          <w:szCs w:val="22"/>
        </w:rPr>
      </w:pPr>
      <w:hyperlink w:anchor="_Toc106613946" w:history="1">
        <w:r w:rsidR="00895D3E" w:rsidRPr="00D17634">
          <w:rPr>
            <w:rStyle w:val="Hyperlink"/>
            <w:noProof/>
          </w:rPr>
          <w:t>6.8.3.</w:t>
        </w:r>
        <w:r w:rsidR="00895D3E">
          <w:rPr>
            <w:rFonts w:asciiTheme="minorHAnsi" w:eastAsiaTheme="minorEastAsia" w:hAnsiTheme="minorHAnsi" w:cstheme="minorBidi"/>
            <w:noProof/>
            <w:sz w:val="22"/>
            <w:szCs w:val="22"/>
          </w:rPr>
          <w:tab/>
        </w:r>
        <w:r w:rsidR="00895D3E" w:rsidRPr="00D17634">
          <w:rPr>
            <w:rStyle w:val="Hyperlink"/>
            <w:noProof/>
          </w:rPr>
          <w:t>Cryptographic Controls</w:t>
        </w:r>
        <w:r w:rsidR="00895D3E">
          <w:rPr>
            <w:noProof/>
            <w:webHidden/>
          </w:rPr>
          <w:tab/>
        </w:r>
        <w:r w:rsidR="00895D3E">
          <w:rPr>
            <w:noProof/>
            <w:webHidden/>
          </w:rPr>
          <w:fldChar w:fldCharType="begin"/>
        </w:r>
        <w:r w:rsidR="00895D3E">
          <w:rPr>
            <w:noProof/>
            <w:webHidden/>
          </w:rPr>
          <w:instrText xml:space="preserve"> PAGEREF _Toc106613946 \h </w:instrText>
        </w:r>
        <w:r w:rsidR="00895D3E">
          <w:rPr>
            <w:noProof/>
            <w:webHidden/>
          </w:rPr>
        </w:r>
        <w:r w:rsidR="00895D3E">
          <w:rPr>
            <w:noProof/>
            <w:webHidden/>
          </w:rPr>
          <w:fldChar w:fldCharType="separate"/>
        </w:r>
        <w:r w:rsidR="00895D3E">
          <w:rPr>
            <w:noProof/>
            <w:webHidden/>
          </w:rPr>
          <w:t>54</w:t>
        </w:r>
        <w:r w:rsidR="00895D3E">
          <w:rPr>
            <w:noProof/>
            <w:webHidden/>
          </w:rPr>
          <w:fldChar w:fldCharType="end"/>
        </w:r>
      </w:hyperlink>
    </w:p>
    <w:p w14:paraId="3488C8D8" w14:textId="4A99AD0D" w:rsidR="00895D3E" w:rsidRDefault="00637BB5">
      <w:pPr>
        <w:pStyle w:val="TOC3"/>
        <w:rPr>
          <w:rFonts w:asciiTheme="minorHAnsi" w:eastAsiaTheme="minorEastAsia" w:hAnsiTheme="minorHAnsi" w:cstheme="minorBidi"/>
          <w:noProof/>
          <w:sz w:val="22"/>
          <w:szCs w:val="22"/>
        </w:rPr>
      </w:pPr>
      <w:hyperlink w:anchor="_Toc106613947" w:history="1">
        <w:r w:rsidR="00895D3E" w:rsidRPr="00D17634">
          <w:rPr>
            <w:rStyle w:val="Hyperlink"/>
            <w:noProof/>
          </w:rPr>
          <w:t>6.8.4.</w:t>
        </w:r>
        <w:r w:rsidR="00895D3E">
          <w:rPr>
            <w:rFonts w:asciiTheme="minorHAnsi" w:eastAsiaTheme="minorEastAsia" w:hAnsiTheme="minorHAnsi" w:cstheme="minorBidi"/>
            <w:noProof/>
            <w:sz w:val="22"/>
            <w:szCs w:val="22"/>
          </w:rPr>
          <w:tab/>
        </w:r>
        <w:r w:rsidR="00895D3E" w:rsidRPr="00D17634">
          <w:rPr>
            <w:rStyle w:val="Hyperlink"/>
            <w:noProof/>
          </w:rPr>
          <w:t>Security of system files</w:t>
        </w:r>
        <w:r w:rsidR="00895D3E">
          <w:rPr>
            <w:noProof/>
            <w:webHidden/>
          </w:rPr>
          <w:tab/>
        </w:r>
        <w:r w:rsidR="00895D3E">
          <w:rPr>
            <w:noProof/>
            <w:webHidden/>
          </w:rPr>
          <w:fldChar w:fldCharType="begin"/>
        </w:r>
        <w:r w:rsidR="00895D3E">
          <w:rPr>
            <w:noProof/>
            <w:webHidden/>
          </w:rPr>
          <w:instrText xml:space="preserve"> PAGEREF _Toc106613947 \h </w:instrText>
        </w:r>
        <w:r w:rsidR="00895D3E">
          <w:rPr>
            <w:noProof/>
            <w:webHidden/>
          </w:rPr>
        </w:r>
        <w:r w:rsidR="00895D3E">
          <w:rPr>
            <w:noProof/>
            <w:webHidden/>
          </w:rPr>
          <w:fldChar w:fldCharType="separate"/>
        </w:r>
        <w:r w:rsidR="00895D3E">
          <w:rPr>
            <w:noProof/>
            <w:webHidden/>
          </w:rPr>
          <w:t>55</w:t>
        </w:r>
        <w:r w:rsidR="00895D3E">
          <w:rPr>
            <w:noProof/>
            <w:webHidden/>
          </w:rPr>
          <w:fldChar w:fldCharType="end"/>
        </w:r>
      </w:hyperlink>
    </w:p>
    <w:p w14:paraId="7E8DC960" w14:textId="60E295A2" w:rsidR="00895D3E" w:rsidRDefault="00637BB5">
      <w:pPr>
        <w:pStyle w:val="TOC3"/>
        <w:rPr>
          <w:rFonts w:asciiTheme="minorHAnsi" w:eastAsiaTheme="minorEastAsia" w:hAnsiTheme="minorHAnsi" w:cstheme="minorBidi"/>
          <w:noProof/>
          <w:sz w:val="22"/>
          <w:szCs w:val="22"/>
        </w:rPr>
      </w:pPr>
      <w:hyperlink w:anchor="_Toc106613948" w:history="1">
        <w:r w:rsidR="00895D3E" w:rsidRPr="00D17634">
          <w:rPr>
            <w:rStyle w:val="Hyperlink"/>
            <w:noProof/>
          </w:rPr>
          <w:t>6.8.5.</w:t>
        </w:r>
        <w:r w:rsidR="00895D3E">
          <w:rPr>
            <w:rFonts w:asciiTheme="minorHAnsi" w:eastAsiaTheme="minorEastAsia" w:hAnsiTheme="minorHAnsi" w:cstheme="minorBidi"/>
            <w:noProof/>
            <w:sz w:val="22"/>
            <w:szCs w:val="22"/>
          </w:rPr>
          <w:tab/>
        </w:r>
        <w:r w:rsidR="00895D3E" w:rsidRPr="00D17634">
          <w:rPr>
            <w:rStyle w:val="Hyperlink"/>
            <w:noProof/>
          </w:rPr>
          <w:t>Security in development and support processes, and technical vulnerability management</w:t>
        </w:r>
        <w:r w:rsidR="00895D3E">
          <w:rPr>
            <w:noProof/>
            <w:webHidden/>
          </w:rPr>
          <w:tab/>
        </w:r>
        <w:r w:rsidR="00895D3E">
          <w:rPr>
            <w:noProof/>
            <w:webHidden/>
          </w:rPr>
          <w:fldChar w:fldCharType="begin"/>
        </w:r>
        <w:r w:rsidR="00895D3E">
          <w:rPr>
            <w:noProof/>
            <w:webHidden/>
          </w:rPr>
          <w:instrText xml:space="preserve"> PAGEREF _Toc106613948 \h </w:instrText>
        </w:r>
        <w:r w:rsidR="00895D3E">
          <w:rPr>
            <w:noProof/>
            <w:webHidden/>
          </w:rPr>
        </w:r>
        <w:r w:rsidR="00895D3E">
          <w:rPr>
            <w:noProof/>
            <w:webHidden/>
          </w:rPr>
          <w:fldChar w:fldCharType="separate"/>
        </w:r>
        <w:r w:rsidR="00895D3E">
          <w:rPr>
            <w:noProof/>
            <w:webHidden/>
          </w:rPr>
          <w:t>55</w:t>
        </w:r>
        <w:r w:rsidR="00895D3E">
          <w:rPr>
            <w:noProof/>
            <w:webHidden/>
          </w:rPr>
          <w:fldChar w:fldCharType="end"/>
        </w:r>
      </w:hyperlink>
    </w:p>
    <w:p w14:paraId="20736FF2" w14:textId="60863FC6" w:rsidR="00895D3E" w:rsidRDefault="00637BB5">
      <w:pPr>
        <w:pStyle w:val="TOC2"/>
        <w:framePr w:wrap="around"/>
        <w:rPr>
          <w:rFonts w:asciiTheme="minorHAnsi" w:eastAsiaTheme="minorEastAsia" w:hAnsiTheme="minorHAnsi" w:cstheme="minorBidi"/>
          <w:noProof/>
          <w:sz w:val="22"/>
          <w:szCs w:val="22"/>
        </w:rPr>
      </w:pPr>
      <w:hyperlink w:anchor="_Toc106613949" w:history="1">
        <w:r w:rsidR="00895D3E" w:rsidRPr="00D17634">
          <w:rPr>
            <w:rStyle w:val="Hyperlink"/>
            <w:noProof/>
          </w:rPr>
          <w:t>6.9.</w:t>
        </w:r>
        <w:r w:rsidR="00895D3E">
          <w:rPr>
            <w:rFonts w:asciiTheme="minorHAnsi" w:eastAsiaTheme="minorEastAsia" w:hAnsiTheme="minorHAnsi" w:cstheme="minorBidi"/>
            <w:noProof/>
            <w:sz w:val="22"/>
            <w:szCs w:val="22"/>
          </w:rPr>
          <w:tab/>
        </w:r>
        <w:r w:rsidR="00895D3E" w:rsidRPr="00D17634">
          <w:rPr>
            <w:rStyle w:val="Hyperlink"/>
            <w:noProof/>
          </w:rPr>
          <w:t>Information Security Incident Management</w:t>
        </w:r>
        <w:r w:rsidR="00895D3E">
          <w:rPr>
            <w:noProof/>
            <w:webHidden/>
          </w:rPr>
          <w:tab/>
        </w:r>
        <w:r w:rsidR="00895D3E">
          <w:rPr>
            <w:noProof/>
            <w:webHidden/>
          </w:rPr>
          <w:fldChar w:fldCharType="begin"/>
        </w:r>
        <w:r w:rsidR="00895D3E">
          <w:rPr>
            <w:noProof/>
            <w:webHidden/>
          </w:rPr>
          <w:instrText xml:space="preserve"> PAGEREF _Toc106613949 \h </w:instrText>
        </w:r>
        <w:r w:rsidR="00895D3E">
          <w:rPr>
            <w:noProof/>
            <w:webHidden/>
          </w:rPr>
        </w:r>
        <w:r w:rsidR="00895D3E">
          <w:rPr>
            <w:noProof/>
            <w:webHidden/>
          </w:rPr>
          <w:fldChar w:fldCharType="separate"/>
        </w:r>
        <w:r w:rsidR="00895D3E">
          <w:rPr>
            <w:noProof/>
            <w:webHidden/>
          </w:rPr>
          <w:t>56</w:t>
        </w:r>
        <w:r w:rsidR="00895D3E">
          <w:rPr>
            <w:noProof/>
            <w:webHidden/>
          </w:rPr>
          <w:fldChar w:fldCharType="end"/>
        </w:r>
      </w:hyperlink>
    </w:p>
    <w:p w14:paraId="079A6B5D" w14:textId="3109FA9E" w:rsidR="00895D3E" w:rsidRDefault="00637BB5">
      <w:pPr>
        <w:pStyle w:val="TOC3"/>
        <w:rPr>
          <w:rFonts w:asciiTheme="minorHAnsi" w:eastAsiaTheme="minorEastAsia" w:hAnsiTheme="minorHAnsi" w:cstheme="minorBidi"/>
          <w:noProof/>
          <w:sz w:val="22"/>
          <w:szCs w:val="22"/>
        </w:rPr>
      </w:pPr>
      <w:hyperlink w:anchor="_Toc106613950" w:history="1">
        <w:r w:rsidR="00895D3E" w:rsidRPr="00D17634">
          <w:rPr>
            <w:rStyle w:val="Hyperlink"/>
            <w:noProof/>
          </w:rPr>
          <w:t>6.9.1.</w:t>
        </w:r>
        <w:r w:rsidR="00895D3E">
          <w:rPr>
            <w:rFonts w:asciiTheme="minorHAnsi" w:eastAsiaTheme="minorEastAsia" w:hAnsiTheme="minorHAnsi" w:cstheme="minorBidi"/>
            <w:noProof/>
            <w:sz w:val="22"/>
            <w:szCs w:val="22"/>
          </w:rPr>
          <w:tab/>
        </w:r>
        <w:r w:rsidR="00895D3E" w:rsidRPr="00D17634">
          <w:rPr>
            <w:rStyle w:val="Hyperlink"/>
            <w:noProof/>
          </w:rPr>
          <w:t>Reporting information security events and weaknesses</w:t>
        </w:r>
        <w:r w:rsidR="00895D3E">
          <w:rPr>
            <w:noProof/>
            <w:webHidden/>
          </w:rPr>
          <w:tab/>
        </w:r>
        <w:r w:rsidR="00895D3E">
          <w:rPr>
            <w:noProof/>
            <w:webHidden/>
          </w:rPr>
          <w:fldChar w:fldCharType="begin"/>
        </w:r>
        <w:r w:rsidR="00895D3E">
          <w:rPr>
            <w:noProof/>
            <w:webHidden/>
          </w:rPr>
          <w:instrText xml:space="preserve"> PAGEREF _Toc106613950 \h </w:instrText>
        </w:r>
        <w:r w:rsidR="00895D3E">
          <w:rPr>
            <w:noProof/>
            <w:webHidden/>
          </w:rPr>
        </w:r>
        <w:r w:rsidR="00895D3E">
          <w:rPr>
            <w:noProof/>
            <w:webHidden/>
          </w:rPr>
          <w:fldChar w:fldCharType="separate"/>
        </w:r>
        <w:r w:rsidR="00895D3E">
          <w:rPr>
            <w:noProof/>
            <w:webHidden/>
          </w:rPr>
          <w:t>56</w:t>
        </w:r>
        <w:r w:rsidR="00895D3E">
          <w:rPr>
            <w:noProof/>
            <w:webHidden/>
          </w:rPr>
          <w:fldChar w:fldCharType="end"/>
        </w:r>
      </w:hyperlink>
    </w:p>
    <w:p w14:paraId="4A157719" w14:textId="58E3DD21" w:rsidR="00895D3E" w:rsidRDefault="00637BB5">
      <w:pPr>
        <w:pStyle w:val="TOC3"/>
        <w:rPr>
          <w:rFonts w:asciiTheme="minorHAnsi" w:eastAsiaTheme="minorEastAsia" w:hAnsiTheme="minorHAnsi" w:cstheme="minorBidi"/>
          <w:noProof/>
          <w:sz w:val="22"/>
          <w:szCs w:val="22"/>
        </w:rPr>
      </w:pPr>
      <w:hyperlink w:anchor="_Toc106613951" w:history="1">
        <w:r w:rsidR="00895D3E" w:rsidRPr="00D17634">
          <w:rPr>
            <w:rStyle w:val="Hyperlink"/>
            <w:noProof/>
          </w:rPr>
          <w:t>6.9.2.</w:t>
        </w:r>
        <w:r w:rsidR="00895D3E">
          <w:rPr>
            <w:rFonts w:asciiTheme="minorHAnsi" w:eastAsiaTheme="minorEastAsia" w:hAnsiTheme="minorHAnsi" w:cstheme="minorBidi"/>
            <w:noProof/>
            <w:sz w:val="22"/>
            <w:szCs w:val="22"/>
          </w:rPr>
          <w:tab/>
        </w:r>
        <w:r w:rsidR="00895D3E" w:rsidRPr="00D17634">
          <w:rPr>
            <w:rStyle w:val="Hyperlink"/>
            <w:noProof/>
          </w:rPr>
          <w:t>Management of incidents and improvements</w:t>
        </w:r>
        <w:r w:rsidR="00895D3E">
          <w:rPr>
            <w:noProof/>
            <w:webHidden/>
          </w:rPr>
          <w:tab/>
        </w:r>
        <w:r w:rsidR="00895D3E">
          <w:rPr>
            <w:noProof/>
            <w:webHidden/>
          </w:rPr>
          <w:fldChar w:fldCharType="begin"/>
        </w:r>
        <w:r w:rsidR="00895D3E">
          <w:rPr>
            <w:noProof/>
            <w:webHidden/>
          </w:rPr>
          <w:instrText xml:space="preserve"> PAGEREF _Toc106613951 \h </w:instrText>
        </w:r>
        <w:r w:rsidR="00895D3E">
          <w:rPr>
            <w:noProof/>
            <w:webHidden/>
          </w:rPr>
        </w:r>
        <w:r w:rsidR="00895D3E">
          <w:rPr>
            <w:noProof/>
            <w:webHidden/>
          </w:rPr>
          <w:fldChar w:fldCharType="separate"/>
        </w:r>
        <w:r w:rsidR="00895D3E">
          <w:rPr>
            <w:noProof/>
            <w:webHidden/>
          </w:rPr>
          <w:t>57</w:t>
        </w:r>
        <w:r w:rsidR="00895D3E">
          <w:rPr>
            <w:noProof/>
            <w:webHidden/>
          </w:rPr>
          <w:fldChar w:fldCharType="end"/>
        </w:r>
      </w:hyperlink>
    </w:p>
    <w:p w14:paraId="3486C948" w14:textId="532C32DB" w:rsidR="00895D3E" w:rsidRDefault="00637BB5">
      <w:pPr>
        <w:pStyle w:val="TOC2"/>
        <w:framePr w:wrap="around"/>
        <w:rPr>
          <w:rFonts w:asciiTheme="minorHAnsi" w:eastAsiaTheme="minorEastAsia" w:hAnsiTheme="minorHAnsi" w:cstheme="minorBidi"/>
          <w:noProof/>
          <w:sz w:val="22"/>
          <w:szCs w:val="22"/>
        </w:rPr>
      </w:pPr>
      <w:hyperlink w:anchor="_Toc106613952" w:history="1">
        <w:r w:rsidR="00895D3E" w:rsidRPr="00D17634">
          <w:rPr>
            <w:rStyle w:val="Hyperlink"/>
            <w:noProof/>
          </w:rPr>
          <w:t>6.10.</w:t>
        </w:r>
        <w:r w:rsidR="00895D3E">
          <w:rPr>
            <w:rFonts w:asciiTheme="minorHAnsi" w:eastAsiaTheme="minorEastAsia" w:hAnsiTheme="minorHAnsi" w:cstheme="minorBidi"/>
            <w:noProof/>
            <w:sz w:val="22"/>
            <w:szCs w:val="22"/>
          </w:rPr>
          <w:tab/>
        </w:r>
        <w:r w:rsidR="00895D3E" w:rsidRPr="00D17634">
          <w:rPr>
            <w:rStyle w:val="Hyperlink"/>
            <w:noProof/>
          </w:rPr>
          <w:t>Information security aspects of business continuity management</w:t>
        </w:r>
        <w:r w:rsidR="00895D3E">
          <w:rPr>
            <w:noProof/>
            <w:webHidden/>
          </w:rPr>
          <w:tab/>
        </w:r>
        <w:r w:rsidR="00895D3E">
          <w:rPr>
            <w:noProof/>
            <w:webHidden/>
          </w:rPr>
          <w:fldChar w:fldCharType="begin"/>
        </w:r>
        <w:r w:rsidR="00895D3E">
          <w:rPr>
            <w:noProof/>
            <w:webHidden/>
          </w:rPr>
          <w:instrText xml:space="preserve"> PAGEREF _Toc106613952 \h </w:instrText>
        </w:r>
        <w:r w:rsidR="00895D3E">
          <w:rPr>
            <w:noProof/>
            <w:webHidden/>
          </w:rPr>
        </w:r>
        <w:r w:rsidR="00895D3E">
          <w:rPr>
            <w:noProof/>
            <w:webHidden/>
          </w:rPr>
          <w:fldChar w:fldCharType="separate"/>
        </w:r>
        <w:r w:rsidR="00895D3E">
          <w:rPr>
            <w:noProof/>
            <w:webHidden/>
          </w:rPr>
          <w:t>57</w:t>
        </w:r>
        <w:r w:rsidR="00895D3E">
          <w:rPr>
            <w:noProof/>
            <w:webHidden/>
          </w:rPr>
          <w:fldChar w:fldCharType="end"/>
        </w:r>
      </w:hyperlink>
    </w:p>
    <w:p w14:paraId="31E4A8C6" w14:textId="5A8AE301" w:rsidR="00895D3E" w:rsidRDefault="00637BB5">
      <w:pPr>
        <w:pStyle w:val="TOC3"/>
        <w:tabs>
          <w:tab w:val="left" w:pos="2835"/>
        </w:tabs>
        <w:rPr>
          <w:rFonts w:asciiTheme="minorHAnsi" w:eastAsiaTheme="minorEastAsia" w:hAnsiTheme="minorHAnsi" w:cstheme="minorBidi"/>
          <w:noProof/>
          <w:sz w:val="22"/>
          <w:szCs w:val="22"/>
        </w:rPr>
      </w:pPr>
      <w:hyperlink w:anchor="_Toc106613953" w:history="1">
        <w:r w:rsidR="00895D3E" w:rsidRPr="00D17634">
          <w:rPr>
            <w:rStyle w:val="Hyperlink"/>
            <w:noProof/>
          </w:rPr>
          <w:t>6.10.1.</w:t>
        </w:r>
        <w:r w:rsidR="00895D3E">
          <w:rPr>
            <w:rFonts w:asciiTheme="minorHAnsi" w:eastAsiaTheme="minorEastAsia" w:hAnsiTheme="minorHAnsi" w:cstheme="minorBidi"/>
            <w:noProof/>
            <w:sz w:val="22"/>
            <w:szCs w:val="22"/>
          </w:rPr>
          <w:tab/>
        </w:r>
        <w:r w:rsidR="00895D3E" w:rsidRPr="00D17634">
          <w:rPr>
            <w:rStyle w:val="Hyperlink"/>
            <w:noProof/>
          </w:rPr>
          <w:t>Including information security in the business continuity management process</w:t>
        </w:r>
        <w:r w:rsidR="00895D3E">
          <w:rPr>
            <w:noProof/>
            <w:webHidden/>
          </w:rPr>
          <w:tab/>
        </w:r>
        <w:r w:rsidR="00895D3E">
          <w:rPr>
            <w:noProof/>
            <w:webHidden/>
          </w:rPr>
          <w:fldChar w:fldCharType="begin"/>
        </w:r>
        <w:r w:rsidR="00895D3E">
          <w:rPr>
            <w:noProof/>
            <w:webHidden/>
          </w:rPr>
          <w:instrText xml:space="preserve"> PAGEREF _Toc106613953 \h </w:instrText>
        </w:r>
        <w:r w:rsidR="00895D3E">
          <w:rPr>
            <w:noProof/>
            <w:webHidden/>
          </w:rPr>
        </w:r>
        <w:r w:rsidR="00895D3E">
          <w:rPr>
            <w:noProof/>
            <w:webHidden/>
          </w:rPr>
          <w:fldChar w:fldCharType="separate"/>
        </w:r>
        <w:r w:rsidR="00895D3E">
          <w:rPr>
            <w:noProof/>
            <w:webHidden/>
          </w:rPr>
          <w:t>57</w:t>
        </w:r>
        <w:r w:rsidR="00895D3E">
          <w:rPr>
            <w:noProof/>
            <w:webHidden/>
          </w:rPr>
          <w:fldChar w:fldCharType="end"/>
        </w:r>
      </w:hyperlink>
    </w:p>
    <w:p w14:paraId="2C2B70B3" w14:textId="26E11E60" w:rsidR="00895D3E" w:rsidRDefault="00637BB5">
      <w:pPr>
        <w:pStyle w:val="TOC2"/>
        <w:framePr w:wrap="around"/>
        <w:rPr>
          <w:rFonts w:asciiTheme="minorHAnsi" w:eastAsiaTheme="minorEastAsia" w:hAnsiTheme="minorHAnsi" w:cstheme="minorBidi"/>
          <w:noProof/>
          <w:sz w:val="22"/>
          <w:szCs w:val="22"/>
        </w:rPr>
      </w:pPr>
      <w:hyperlink w:anchor="_Toc106613954" w:history="1">
        <w:r w:rsidR="00895D3E" w:rsidRPr="00D17634">
          <w:rPr>
            <w:rStyle w:val="Hyperlink"/>
            <w:noProof/>
          </w:rPr>
          <w:t>6.11.</w:t>
        </w:r>
        <w:r w:rsidR="00895D3E">
          <w:rPr>
            <w:rFonts w:asciiTheme="minorHAnsi" w:eastAsiaTheme="minorEastAsia" w:hAnsiTheme="minorHAnsi" w:cstheme="minorBidi"/>
            <w:noProof/>
            <w:sz w:val="22"/>
            <w:szCs w:val="22"/>
          </w:rPr>
          <w:tab/>
        </w:r>
        <w:r w:rsidR="00895D3E" w:rsidRPr="00D17634">
          <w:rPr>
            <w:rStyle w:val="Hyperlink"/>
            <w:noProof/>
          </w:rPr>
          <w:t>Compliance</w:t>
        </w:r>
        <w:r w:rsidR="00895D3E">
          <w:rPr>
            <w:noProof/>
            <w:webHidden/>
          </w:rPr>
          <w:tab/>
        </w:r>
        <w:r w:rsidR="00895D3E">
          <w:rPr>
            <w:noProof/>
            <w:webHidden/>
          </w:rPr>
          <w:fldChar w:fldCharType="begin"/>
        </w:r>
        <w:r w:rsidR="00895D3E">
          <w:rPr>
            <w:noProof/>
            <w:webHidden/>
          </w:rPr>
          <w:instrText xml:space="preserve"> PAGEREF _Toc106613954 \h </w:instrText>
        </w:r>
        <w:r w:rsidR="00895D3E">
          <w:rPr>
            <w:noProof/>
            <w:webHidden/>
          </w:rPr>
        </w:r>
        <w:r w:rsidR="00895D3E">
          <w:rPr>
            <w:noProof/>
            <w:webHidden/>
          </w:rPr>
          <w:fldChar w:fldCharType="separate"/>
        </w:r>
        <w:r w:rsidR="00895D3E">
          <w:rPr>
            <w:noProof/>
            <w:webHidden/>
          </w:rPr>
          <w:t>59</w:t>
        </w:r>
        <w:r w:rsidR="00895D3E">
          <w:rPr>
            <w:noProof/>
            <w:webHidden/>
          </w:rPr>
          <w:fldChar w:fldCharType="end"/>
        </w:r>
      </w:hyperlink>
    </w:p>
    <w:p w14:paraId="198F426B" w14:textId="19B1CD36" w:rsidR="00895D3E" w:rsidRDefault="00637BB5">
      <w:pPr>
        <w:pStyle w:val="TOC3"/>
        <w:tabs>
          <w:tab w:val="left" w:pos="2835"/>
        </w:tabs>
        <w:rPr>
          <w:rFonts w:asciiTheme="minorHAnsi" w:eastAsiaTheme="minorEastAsia" w:hAnsiTheme="minorHAnsi" w:cstheme="minorBidi"/>
          <w:noProof/>
          <w:sz w:val="22"/>
          <w:szCs w:val="22"/>
        </w:rPr>
      </w:pPr>
      <w:hyperlink w:anchor="_Toc106613955" w:history="1">
        <w:r w:rsidR="00895D3E" w:rsidRPr="00D17634">
          <w:rPr>
            <w:rStyle w:val="Hyperlink"/>
            <w:noProof/>
          </w:rPr>
          <w:t>6.11.1.</w:t>
        </w:r>
        <w:r w:rsidR="00895D3E">
          <w:rPr>
            <w:rFonts w:asciiTheme="minorHAnsi" w:eastAsiaTheme="minorEastAsia" w:hAnsiTheme="minorHAnsi" w:cstheme="minorBidi"/>
            <w:noProof/>
            <w:sz w:val="22"/>
            <w:szCs w:val="22"/>
          </w:rPr>
          <w:tab/>
        </w:r>
        <w:r w:rsidR="00895D3E" w:rsidRPr="00D17634">
          <w:rPr>
            <w:rStyle w:val="Hyperlink"/>
            <w:noProof/>
          </w:rPr>
          <w:t>General</w:t>
        </w:r>
        <w:r w:rsidR="00895D3E">
          <w:rPr>
            <w:noProof/>
            <w:webHidden/>
          </w:rPr>
          <w:tab/>
        </w:r>
        <w:r w:rsidR="00895D3E">
          <w:rPr>
            <w:noProof/>
            <w:webHidden/>
          </w:rPr>
          <w:fldChar w:fldCharType="begin"/>
        </w:r>
        <w:r w:rsidR="00895D3E">
          <w:rPr>
            <w:noProof/>
            <w:webHidden/>
          </w:rPr>
          <w:instrText xml:space="preserve"> PAGEREF _Toc106613955 \h </w:instrText>
        </w:r>
        <w:r w:rsidR="00895D3E">
          <w:rPr>
            <w:noProof/>
            <w:webHidden/>
          </w:rPr>
        </w:r>
        <w:r w:rsidR="00895D3E">
          <w:rPr>
            <w:noProof/>
            <w:webHidden/>
          </w:rPr>
          <w:fldChar w:fldCharType="separate"/>
        </w:r>
        <w:r w:rsidR="00895D3E">
          <w:rPr>
            <w:noProof/>
            <w:webHidden/>
          </w:rPr>
          <w:t>59</w:t>
        </w:r>
        <w:r w:rsidR="00895D3E">
          <w:rPr>
            <w:noProof/>
            <w:webHidden/>
          </w:rPr>
          <w:fldChar w:fldCharType="end"/>
        </w:r>
      </w:hyperlink>
    </w:p>
    <w:p w14:paraId="27F3CFF9" w14:textId="57FA3554" w:rsidR="00895D3E" w:rsidRDefault="00637BB5">
      <w:pPr>
        <w:pStyle w:val="TOC3"/>
        <w:tabs>
          <w:tab w:val="left" w:pos="2835"/>
        </w:tabs>
        <w:rPr>
          <w:rFonts w:asciiTheme="minorHAnsi" w:eastAsiaTheme="minorEastAsia" w:hAnsiTheme="minorHAnsi" w:cstheme="minorBidi"/>
          <w:noProof/>
          <w:sz w:val="22"/>
          <w:szCs w:val="22"/>
        </w:rPr>
      </w:pPr>
      <w:hyperlink w:anchor="_Toc106613956" w:history="1">
        <w:r w:rsidR="00895D3E" w:rsidRPr="00D17634">
          <w:rPr>
            <w:rStyle w:val="Hyperlink"/>
            <w:noProof/>
          </w:rPr>
          <w:t>6.11.2.</w:t>
        </w:r>
        <w:r w:rsidR="00895D3E">
          <w:rPr>
            <w:rFonts w:asciiTheme="minorHAnsi" w:eastAsiaTheme="minorEastAsia" w:hAnsiTheme="minorHAnsi" w:cstheme="minorBidi"/>
            <w:noProof/>
            <w:sz w:val="22"/>
            <w:szCs w:val="22"/>
          </w:rPr>
          <w:tab/>
        </w:r>
        <w:r w:rsidR="00895D3E" w:rsidRPr="00D17634">
          <w:rPr>
            <w:rStyle w:val="Hyperlink"/>
            <w:noProof/>
          </w:rPr>
          <w:t>Compliance with legal requirements</w:t>
        </w:r>
        <w:r w:rsidR="00895D3E">
          <w:rPr>
            <w:noProof/>
            <w:webHidden/>
          </w:rPr>
          <w:tab/>
        </w:r>
        <w:r w:rsidR="00895D3E">
          <w:rPr>
            <w:noProof/>
            <w:webHidden/>
          </w:rPr>
          <w:fldChar w:fldCharType="begin"/>
        </w:r>
        <w:r w:rsidR="00895D3E">
          <w:rPr>
            <w:noProof/>
            <w:webHidden/>
          </w:rPr>
          <w:instrText xml:space="preserve"> PAGEREF _Toc106613956 \h </w:instrText>
        </w:r>
        <w:r w:rsidR="00895D3E">
          <w:rPr>
            <w:noProof/>
            <w:webHidden/>
          </w:rPr>
        </w:r>
        <w:r w:rsidR="00895D3E">
          <w:rPr>
            <w:noProof/>
            <w:webHidden/>
          </w:rPr>
          <w:fldChar w:fldCharType="separate"/>
        </w:r>
        <w:r w:rsidR="00895D3E">
          <w:rPr>
            <w:noProof/>
            <w:webHidden/>
          </w:rPr>
          <w:t>59</w:t>
        </w:r>
        <w:r w:rsidR="00895D3E">
          <w:rPr>
            <w:noProof/>
            <w:webHidden/>
          </w:rPr>
          <w:fldChar w:fldCharType="end"/>
        </w:r>
      </w:hyperlink>
    </w:p>
    <w:p w14:paraId="4F7E59C6" w14:textId="29C371F2" w:rsidR="00895D3E" w:rsidRDefault="00637BB5">
      <w:pPr>
        <w:pStyle w:val="TOC3"/>
        <w:tabs>
          <w:tab w:val="left" w:pos="2835"/>
        </w:tabs>
        <w:rPr>
          <w:rFonts w:asciiTheme="minorHAnsi" w:eastAsiaTheme="minorEastAsia" w:hAnsiTheme="minorHAnsi" w:cstheme="minorBidi"/>
          <w:noProof/>
          <w:sz w:val="22"/>
          <w:szCs w:val="22"/>
        </w:rPr>
      </w:pPr>
      <w:hyperlink w:anchor="_Toc106613957" w:history="1">
        <w:r w:rsidR="00895D3E" w:rsidRPr="00D17634">
          <w:rPr>
            <w:rStyle w:val="Hyperlink"/>
            <w:noProof/>
          </w:rPr>
          <w:t>6.11.3.</w:t>
        </w:r>
        <w:r w:rsidR="00895D3E">
          <w:rPr>
            <w:rFonts w:asciiTheme="minorHAnsi" w:eastAsiaTheme="minorEastAsia" w:hAnsiTheme="minorHAnsi" w:cstheme="minorBidi"/>
            <w:noProof/>
            <w:sz w:val="22"/>
            <w:szCs w:val="22"/>
          </w:rPr>
          <w:tab/>
        </w:r>
        <w:r w:rsidR="00895D3E" w:rsidRPr="00D17634">
          <w:rPr>
            <w:rStyle w:val="Hyperlink"/>
            <w:noProof/>
          </w:rPr>
          <w:t>Compliance with security policies and standards and technical compliance</w:t>
        </w:r>
        <w:r w:rsidR="00895D3E">
          <w:rPr>
            <w:noProof/>
            <w:webHidden/>
          </w:rPr>
          <w:tab/>
        </w:r>
        <w:r w:rsidR="00895D3E">
          <w:rPr>
            <w:noProof/>
            <w:webHidden/>
          </w:rPr>
          <w:fldChar w:fldCharType="begin"/>
        </w:r>
        <w:r w:rsidR="00895D3E">
          <w:rPr>
            <w:noProof/>
            <w:webHidden/>
          </w:rPr>
          <w:instrText xml:space="preserve"> PAGEREF _Toc106613957 \h </w:instrText>
        </w:r>
        <w:r w:rsidR="00895D3E">
          <w:rPr>
            <w:noProof/>
            <w:webHidden/>
          </w:rPr>
        </w:r>
        <w:r w:rsidR="00895D3E">
          <w:rPr>
            <w:noProof/>
            <w:webHidden/>
          </w:rPr>
          <w:fldChar w:fldCharType="separate"/>
        </w:r>
        <w:r w:rsidR="00895D3E">
          <w:rPr>
            <w:noProof/>
            <w:webHidden/>
          </w:rPr>
          <w:t>59</w:t>
        </w:r>
        <w:r w:rsidR="00895D3E">
          <w:rPr>
            <w:noProof/>
            <w:webHidden/>
          </w:rPr>
          <w:fldChar w:fldCharType="end"/>
        </w:r>
      </w:hyperlink>
    </w:p>
    <w:p w14:paraId="3D46E45C" w14:textId="0C3659EB" w:rsidR="00895D3E" w:rsidRDefault="00637BB5">
      <w:pPr>
        <w:pStyle w:val="TOC3"/>
        <w:tabs>
          <w:tab w:val="left" w:pos="2835"/>
        </w:tabs>
        <w:rPr>
          <w:rFonts w:asciiTheme="minorHAnsi" w:eastAsiaTheme="minorEastAsia" w:hAnsiTheme="minorHAnsi" w:cstheme="minorBidi"/>
          <w:noProof/>
          <w:sz w:val="22"/>
          <w:szCs w:val="22"/>
        </w:rPr>
      </w:pPr>
      <w:hyperlink w:anchor="_Toc106613958" w:history="1">
        <w:r w:rsidR="00895D3E" w:rsidRPr="00D17634">
          <w:rPr>
            <w:rStyle w:val="Hyperlink"/>
            <w:noProof/>
          </w:rPr>
          <w:t>6.11.4.</w:t>
        </w:r>
        <w:r w:rsidR="00895D3E">
          <w:rPr>
            <w:rFonts w:asciiTheme="minorHAnsi" w:eastAsiaTheme="minorEastAsia" w:hAnsiTheme="minorHAnsi" w:cstheme="minorBidi"/>
            <w:noProof/>
            <w:sz w:val="22"/>
            <w:szCs w:val="22"/>
          </w:rPr>
          <w:tab/>
        </w:r>
        <w:r w:rsidR="00895D3E" w:rsidRPr="00D17634">
          <w:rPr>
            <w:rStyle w:val="Hyperlink"/>
            <w:noProof/>
          </w:rPr>
          <w:t>Information systems audit considerations in a health environment</w:t>
        </w:r>
        <w:r w:rsidR="00895D3E">
          <w:rPr>
            <w:noProof/>
            <w:webHidden/>
          </w:rPr>
          <w:tab/>
        </w:r>
        <w:r w:rsidR="00895D3E">
          <w:rPr>
            <w:noProof/>
            <w:webHidden/>
          </w:rPr>
          <w:fldChar w:fldCharType="begin"/>
        </w:r>
        <w:r w:rsidR="00895D3E">
          <w:rPr>
            <w:noProof/>
            <w:webHidden/>
          </w:rPr>
          <w:instrText xml:space="preserve"> PAGEREF _Toc106613958 \h </w:instrText>
        </w:r>
        <w:r w:rsidR="00895D3E">
          <w:rPr>
            <w:noProof/>
            <w:webHidden/>
          </w:rPr>
        </w:r>
        <w:r w:rsidR="00895D3E">
          <w:rPr>
            <w:noProof/>
            <w:webHidden/>
          </w:rPr>
          <w:fldChar w:fldCharType="separate"/>
        </w:r>
        <w:r w:rsidR="00895D3E">
          <w:rPr>
            <w:noProof/>
            <w:webHidden/>
          </w:rPr>
          <w:t>60</w:t>
        </w:r>
        <w:r w:rsidR="00895D3E">
          <w:rPr>
            <w:noProof/>
            <w:webHidden/>
          </w:rPr>
          <w:fldChar w:fldCharType="end"/>
        </w:r>
      </w:hyperlink>
    </w:p>
    <w:p w14:paraId="63B378AF" w14:textId="38E3A0B4" w:rsidR="00895D3E" w:rsidRDefault="00637BB5">
      <w:pPr>
        <w:pStyle w:val="TOC1"/>
        <w:rPr>
          <w:rFonts w:asciiTheme="minorHAnsi" w:eastAsiaTheme="minorEastAsia" w:hAnsiTheme="minorHAnsi" w:cstheme="minorBidi"/>
          <w:sz w:val="22"/>
          <w:szCs w:val="22"/>
        </w:rPr>
      </w:pPr>
      <w:hyperlink w:anchor="_Toc106613959" w:history="1">
        <w:r w:rsidR="00895D3E" w:rsidRPr="00D17634">
          <w:rPr>
            <w:rStyle w:val="Hyperlink"/>
          </w:rPr>
          <w:t>7.</w:t>
        </w:r>
        <w:r w:rsidR="00895D3E">
          <w:rPr>
            <w:rFonts w:asciiTheme="minorHAnsi" w:eastAsiaTheme="minorEastAsia" w:hAnsiTheme="minorHAnsi" w:cstheme="minorBidi"/>
            <w:sz w:val="22"/>
            <w:szCs w:val="22"/>
          </w:rPr>
          <w:tab/>
        </w:r>
        <w:r w:rsidR="00895D3E" w:rsidRPr="00D17634">
          <w:rPr>
            <w:rStyle w:val="Hyperlink"/>
          </w:rPr>
          <w:t>Glossary</w:t>
        </w:r>
        <w:r w:rsidR="00895D3E">
          <w:rPr>
            <w:webHidden/>
          </w:rPr>
          <w:tab/>
        </w:r>
        <w:r w:rsidR="00895D3E">
          <w:rPr>
            <w:webHidden/>
          </w:rPr>
          <w:fldChar w:fldCharType="begin"/>
        </w:r>
        <w:r w:rsidR="00895D3E">
          <w:rPr>
            <w:webHidden/>
          </w:rPr>
          <w:instrText xml:space="preserve"> PAGEREF _Toc106613959 \h </w:instrText>
        </w:r>
        <w:r w:rsidR="00895D3E">
          <w:rPr>
            <w:webHidden/>
          </w:rPr>
        </w:r>
        <w:r w:rsidR="00895D3E">
          <w:rPr>
            <w:webHidden/>
          </w:rPr>
          <w:fldChar w:fldCharType="separate"/>
        </w:r>
        <w:r w:rsidR="00895D3E">
          <w:rPr>
            <w:webHidden/>
          </w:rPr>
          <w:t>61</w:t>
        </w:r>
        <w:r w:rsidR="00895D3E">
          <w:rPr>
            <w:webHidden/>
          </w:rPr>
          <w:fldChar w:fldCharType="end"/>
        </w:r>
      </w:hyperlink>
    </w:p>
    <w:p w14:paraId="7729B48D" w14:textId="658FBAD9" w:rsidR="00895D3E" w:rsidRDefault="00637BB5">
      <w:pPr>
        <w:pStyle w:val="TOC1"/>
        <w:rPr>
          <w:rFonts w:asciiTheme="minorHAnsi" w:eastAsiaTheme="minorEastAsia" w:hAnsiTheme="minorHAnsi" w:cstheme="minorBidi"/>
          <w:sz w:val="22"/>
          <w:szCs w:val="22"/>
        </w:rPr>
      </w:pPr>
      <w:hyperlink w:anchor="_Toc106613960" w:history="1">
        <w:r w:rsidR="00895D3E" w:rsidRPr="00D17634">
          <w:rPr>
            <w:rStyle w:val="Hyperlink"/>
          </w:rPr>
          <w:t>8.</w:t>
        </w:r>
        <w:r w:rsidR="00895D3E">
          <w:rPr>
            <w:rFonts w:asciiTheme="minorHAnsi" w:eastAsiaTheme="minorEastAsia" w:hAnsiTheme="minorHAnsi" w:cstheme="minorBidi"/>
            <w:sz w:val="22"/>
            <w:szCs w:val="22"/>
          </w:rPr>
          <w:tab/>
        </w:r>
        <w:r w:rsidR="00895D3E" w:rsidRPr="00D17634">
          <w:rPr>
            <w:rStyle w:val="Hyperlink"/>
          </w:rPr>
          <w:t>References</w:t>
        </w:r>
        <w:r w:rsidR="00895D3E">
          <w:rPr>
            <w:webHidden/>
          </w:rPr>
          <w:tab/>
        </w:r>
        <w:r w:rsidR="00895D3E">
          <w:rPr>
            <w:webHidden/>
          </w:rPr>
          <w:fldChar w:fldCharType="begin"/>
        </w:r>
        <w:r w:rsidR="00895D3E">
          <w:rPr>
            <w:webHidden/>
          </w:rPr>
          <w:instrText xml:space="preserve"> PAGEREF _Toc106613960 \h </w:instrText>
        </w:r>
        <w:r w:rsidR="00895D3E">
          <w:rPr>
            <w:webHidden/>
          </w:rPr>
        </w:r>
        <w:r w:rsidR="00895D3E">
          <w:rPr>
            <w:webHidden/>
          </w:rPr>
          <w:fldChar w:fldCharType="separate"/>
        </w:r>
        <w:r w:rsidR="00895D3E">
          <w:rPr>
            <w:webHidden/>
          </w:rPr>
          <w:t>64</w:t>
        </w:r>
        <w:r w:rsidR="00895D3E">
          <w:rPr>
            <w:webHidden/>
          </w:rPr>
          <w:fldChar w:fldCharType="end"/>
        </w:r>
      </w:hyperlink>
    </w:p>
    <w:p w14:paraId="134EEF7B" w14:textId="16008368" w:rsidR="00AD2554" w:rsidRPr="000F2520" w:rsidRDefault="00AD2554" w:rsidP="003D2BA6">
      <w:pPr>
        <w:pStyle w:val="Heading2"/>
        <w:numPr>
          <w:ilvl w:val="0"/>
          <w:numId w:val="0"/>
        </w:numPr>
        <w:ind w:left="720"/>
      </w:pPr>
      <w:r w:rsidRPr="00E336F3">
        <w:fldChar w:fldCharType="end"/>
      </w:r>
      <w:bookmarkEnd w:id="1"/>
    </w:p>
    <w:p w14:paraId="5646080A" w14:textId="77777777" w:rsidR="00AD2554" w:rsidRPr="000F2520" w:rsidRDefault="00AD2554" w:rsidP="00AD2554">
      <w:pPr>
        <w:pStyle w:val="BodyText"/>
        <w:rPr>
          <w:sz w:val="24"/>
          <w:szCs w:val="28"/>
        </w:rPr>
      </w:pPr>
      <w:r w:rsidRPr="000F2520">
        <w:br w:type="page"/>
      </w:r>
    </w:p>
    <w:p w14:paraId="57AF56FA" w14:textId="77777777" w:rsidR="00AD2554" w:rsidRPr="000A5716" w:rsidRDefault="00AD2554" w:rsidP="00AD2554">
      <w:pPr>
        <w:rPr>
          <w:rFonts w:cs="Arial"/>
          <w:b/>
          <w:sz w:val="20"/>
          <w:szCs w:val="20"/>
        </w:rPr>
      </w:pPr>
      <w:r w:rsidRPr="000A5716">
        <w:rPr>
          <w:rFonts w:cs="Arial"/>
          <w:b/>
          <w:sz w:val="20"/>
          <w:szCs w:val="20"/>
        </w:rPr>
        <w:lastRenderedPageBreak/>
        <w:t xml:space="preserve"> List of Tables </w:t>
      </w:r>
    </w:p>
    <w:p w14:paraId="7CA88B82" w14:textId="77777777" w:rsidR="00AD2554" w:rsidRPr="000A5716" w:rsidRDefault="00AD2554" w:rsidP="00AD2554">
      <w:pPr>
        <w:pStyle w:val="TableofFigures"/>
        <w:tabs>
          <w:tab w:val="right" w:leader="dot" w:pos="8849"/>
        </w:tabs>
        <w:rPr>
          <w:rFonts w:ascii="Arial" w:eastAsiaTheme="minorEastAsia" w:hAnsi="Arial" w:cs="Arial"/>
          <w:noProof/>
          <w:szCs w:val="20"/>
        </w:rPr>
      </w:pPr>
      <w:r w:rsidRPr="000A5716">
        <w:rPr>
          <w:rFonts w:ascii="Arial" w:hAnsi="Arial" w:cs="Arial"/>
          <w:szCs w:val="20"/>
        </w:rPr>
        <w:fldChar w:fldCharType="begin"/>
      </w:r>
      <w:r w:rsidRPr="000A5716">
        <w:rPr>
          <w:rFonts w:ascii="Arial" w:hAnsi="Arial" w:cs="Arial"/>
          <w:szCs w:val="20"/>
        </w:rPr>
        <w:instrText xml:space="preserve"> TOC \h \z \c "Table" </w:instrText>
      </w:r>
      <w:r w:rsidRPr="000A5716">
        <w:rPr>
          <w:rFonts w:ascii="Arial" w:hAnsi="Arial" w:cs="Arial"/>
          <w:szCs w:val="20"/>
        </w:rPr>
        <w:fldChar w:fldCharType="separate"/>
      </w:r>
      <w:hyperlink w:anchor="_Toc95479912" w:history="1">
        <w:r w:rsidRPr="000A5716">
          <w:rPr>
            <w:rStyle w:val="Hyperlink"/>
            <w:rFonts w:ascii="Arial" w:hAnsi="Arial" w:cs="Arial"/>
            <w:noProof/>
            <w:szCs w:val="20"/>
          </w:rPr>
          <w:t>Table 1: Risk profiles</w:t>
        </w:r>
        <w:r w:rsidRPr="000A5716">
          <w:rPr>
            <w:rFonts w:ascii="Arial" w:hAnsi="Arial" w:cs="Arial"/>
            <w:noProof/>
            <w:webHidden/>
            <w:szCs w:val="20"/>
          </w:rPr>
          <w:tab/>
        </w:r>
        <w:r w:rsidRPr="000A5716">
          <w:rPr>
            <w:rFonts w:ascii="Arial" w:hAnsi="Arial" w:cs="Arial"/>
            <w:noProof/>
            <w:webHidden/>
            <w:szCs w:val="20"/>
          </w:rPr>
          <w:fldChar w:fldCharType="begin"/>
        </w:r>
        <w:r w:rsidRPr="000A5716">
          <w:rPr>
            <w:rFonts w:ascii="Arial" w:hAnsi="Arial" w:cs="Arial"/>
            <w:noProof/>
            <w:webHidden/>
            <w:szCs w:val="20"/>
          </w:rPr>
          <w:instrText xml:space="preserve"> PAGEREF _Toc95479912 \h </w:instrText>
        </w:r>
        <w:r w:rsidRPr="000A5716">
          <w:rPr>
            <w:rFonts w:ascii="Arial" w:hAnsi="Arial" w:cs="Arial"/>
            <w:noProof/>
            <w:webHidden/>
            <w:szCs w:val="20"/>
          </w:rPr>
        </w:r>
        <w:r w:rsidRPr="000A5716">
          <w:rPr>
            <w:rFonts w:ascii="Arial" w:hAnsi="Arial" w:cs="Arial"/>
            <w:noProof/>
            <w:webHidden/>
            <w:szCs w:val="20"/>
          </w:rPr>
          <w:fldChar w:fldCharType="separate"/>
        </w:r>
        <w:r w:rsidRPr="000A5716">
          <w:rPr>
            <w:rFonts w:ascii="Arial" w:hAnsi="Arial" w:cs="Arial"/>
            <w:noProof/>
            <w:webHidden/>
            <w:szCs w:val="20"/>
          </w:rPr>
          <w:t>14</w:t>
        </w:r>
        <w:r w:rsidRPr="000A5716">
          <w:rPr>
            <w:rFonts w:ascii="Arial" w:hAnsi="Arial" w:cs="Arial"/>
            <w:noProof/>
            <w:webHidden/>
            <w:szCs w:val="20"/>
          </w:rPr>
          <w:fldChar w:fldCharType="end"/>
        </w:r>
      </w:hyperlink>
    </w:p>
    <w:p w14:paraId="68FD007F" w14:textId="77777777" w:rsidR="00AD2554" w:rsidRPr="000A5716" w:rsidRDefault="00637BB5" w:rsidP="00AD2554">
      <w:pPr>
        <w:pStyle w:val="TableofFigures"/>
        <w:tabs>
          <w:tab w:val="right" w:leader="dot" w:pos="8849"/>
        </w:tabs>
        <w:rPr>
          <w:rFonts w:ascii="Arial" w:eastAsiaTheme="minorEastAsia" w:hAnsi="Arial" w:cs="Arial"/>
          <w:noProof/>
          <w:szCs w:val="20"/>
        </w:rPr>
      </w:pPr>
      <w:hyperlink w:anchor="_Toc95479913" w:history="1">
        <w:r w:rsidR="00AD2554" w:rsidRPr="000A5716">
          <w:rPr>
            <w:rStyle w:val="Hyperlink"/>
            <w:rFonts w:ascii="Arial" w:hAnsi="Arial" w:cs="Arial"/>
            <w:noProof/>
            <w:szCs w:val="20"/>
          </w:rPr>
          <w:t>Table 2: National infrastructure risk profile</w:t>
        </w:r>
        <w:r w:rsidR="00AD2554" w:rsidRPr="000A5716">
          <w:rPr>
            <w:rFonts w:ascii="Arial" w:hAnsi="Arial" w:cs="Arial"/>
            <w:noProof/>
            <w:webHidden/>
            <w:szCs w:val="20"/>
          </w:rPr>
          <w:tab/>
        </w:r>
        <w:r w:rsidR="00AD2554" w:rsidRPr="000A5716">
          <w:rPr>
            <w:rFonts w:ascii="Arial" w:hAnsi="Arial" w:cs="Arial"/>
            <w:noProof/>
            <w:webHidden/>
            <w:szCs w:val="20"/>
          </w:rPr>
          <w:fldChar w:fldCharType="begin"/>
        </w:r>
        <w:r w:rsidR="00AD2554" w:rsidRPr="000A5716">
          <w:rPr>
            <w:rFonts w:ascii="Arial" w:hAnsi="Arial" w:cs="Arial"/>
            <w:noProof/>
            <w:webHidden/>
            <w:szCs w:val="20"/>
          </w:rPr>
          <w:instrText xml:space="preserve"> PAGEREF _Toc95479913 \h </w:instrText>
        </w:r>
        <w:r w:rsidR="00AD2554" w:rsidRPr="000A5716">
          <w:rPr>
            <w:rFonts w:ascii="Arial" w:hAnsi="Arial" w:cs="Arial"/>
            <w:noProof/>
            <w:webHidden/>
            <w:szCs w:val="20"/>
          </w:rPr>
        </w:r>
        <w:r w:rsidR="00AD2554" w:rsidRPr="000A5716">
          <w:rPr>
            <w:rFonts w:ascii="Arial" w:hAnsi="Arial" w:cs="Arial"/>
            <w:noProof/>
            <w:webHidden/>
            <w:szCs w:val="20"/>
          </w:rPr>
          <w:fldChar w:fldCharType="separate"/>
        </w:r>
        <w:r w:rsidR="00AD2554" w:rsidRPr="000A5716">
          <w:rPr>
            <w:rFonts w:ascii="Arial" w:hAnsi="Arial" w:cs="Arial"/>
            <w:noProof/>
            <w:webHidden/>
            <w:szCs w:val="20"/>
          </w:rPr>
          <w:t>15</w:t>
        </w:r>
        <w:r w:rsidR="00AD2554" w:rsidRPr="000A5716">
          <w:rPr>
            <w:rFonts w:ascii="Arial" w:hAnsi="Arial" w:cs="Arial"/>
            <w:noProof/>
            <w:webHidden/>
            <w:szCs w:val="20"/>
          </w:rPr>
          <w:fldChar w:fldCharType="end"/>
        </w:r>
      </w:hyperlink>
    </w:p>
    <w:p w14:paraId="4D08F528" w14:textId="77777777" w:rsidR="00AD2554" w:rsidRPr="000A5716" w:rsidRDefault="00637BB5" w:rsidP="00AD2554">
      <w:pPr>
        <w:pStyle w:val="TableofFigures"/>
        <w:tabs>
          <w:tab w:val="right" w:leader="dot" w:pos="8849"/>
        </w:tabs>
        <w:rPr>
          <w:rFonts w:ascii="Arial" w:eastAsiaTheme="minorEastAsia" w:hAnsi="Arial" w:cs="Arial"/>
          <w:noProof/>
          <w:szCs w:val="20"/>
        </w:rPr>
      </w:pPr>
      <w:hyperlink w:anchor="_Toc95479914" w:history="1">
        <w:r w:rsidR="00AD2554" w:rsidRPr="000A5716">
          <w:rPr>
            <w:rStyle w:val="Hyperlink"/>
            <w:rFonts w:ascii="Arial" w:hAnsi="Arial" w:cs="Arial"/>
            <w:noProof/>
            <w:szCs w:val="20"/>
          </w:rPr>
          <w:t>Table 3: Standalone or centrally hosted  CQR risk profile</w:t>
        </w:r>
        <w:r w:rsidR="00AD2554" w:rsidRPr="000A5716">
          <w:rPr>
            <w:rFonts w:ascii="Arial" w:hAnsi="Arial" w:cs="Arial"/>
            <w:noProof/>
            <w:webHidden/>
            <w:szCs w:val="20"/>
          </w:rPr>
          <w:tab/>
        </w:r>
        <w:r w:rsidR="00AD2554" w:rsidRPr="000A5716">
          <w:rPr>
            <w:rFonts w:ascii="Arial" w:hAnsi="Arial" w:cs="Arial"/>
            <w:noProof/>
            <w:webHidden/>
            <w:szCs w:val="20"/>
          </w:rPr>
          <w:fldChar w:fldCharType="begin"/>
        </w:r>
        <w:r w:rsidR="00AD2554" w:rsidRPr="000A5716">
          <w:rPr>
            <w:rFonts w:ascii="Arial" w:hAnsi="Arial" w:cs="Arial"/>
            <w:noProof/>
            <w:webHidden/>
            <w:szCs w:val="20"/>
          </w:rPr>
          <w:instrText xml:space="preserve"> PAGEREF _Toc95479914 \h </w:instrText>
        </w:r>
        <w:r w:rsidR="00AD2554" w:rsidRPr="000A5716">
          <w:rPr>
            <w:rFonts w:ascii="Arial" w:hAnsi="Arial" w:cs="Arial"/>
            <w:noProof/>
            <w:webHidden/>
            <w:szCs w:val="20"/>
          </w:rPr>
        </w:r>
        <w:r w:rsidR="00AD2554" w:rsidRPr="000A5716">
          <w:rPr>
            <w:rFonts w:ascii="Arial" w:hAnsi="Arial" w:cs="Arial"/>
            <w:noProof/>
            <w:webHidden/>
            <w:szCs w:val="20"/>
          </w:rPr>
          <w:fldChar w:fldCharType="separate"/>
        </w:r>
        <w:r w:rsidR="00AD2554" w:rsidRPr="000A5716">
          <w:rPr>
            <w:rFonts w:ascii="Arial" w:hAnsi="Arial" w:cs="Arial"/>
            <w:noProof/>
            <w:webHidden/>
            <w:szCs w:val="20"/>
          </w:rPr>
          <w:t>19</w:t>
        </w:r>
        <w:r w:rsidR="00AD2554" w:rsidRPr="000A5716">
          <w:rPr>
            <w:rFonts w:ascii="Arial" w:hAnsi="Arial" w:cs="Arial"/>
            <w:noProof/>
            <w:webHidden/>
            <w:szCs w:val="20"/>
          </w:rPr>
          <w:fldChar w:fldCharType="end"/>
        </w:r>
      </w:hyperlink>
    </w:p>
    <w:p w14:paraId="6BB1E462" w14:textId="77777777" w:rsidR="00AD2554" w:rsidRPr="000A5716" w:rsidRDefault="00637BB5" w:rsidP="00AD2554">
      <w:pPr>
        <w:pStyle w:val="TableofFigures"/>
        <w:tabs>
          <w:tab w:val="right" w:leader="dot" w:pos="8849"/>
        </w:tabs>
        <w:rPr>
          <w:rFonts w:ascii="Arial" w:eastAsiaTheme="minorEastAsia" w:hAnsi="Arial" w:cs="Arial"/>
          <w:noProof/>
          <w:szCs w:val="20"/>
        </w:rPr>
      </w:pPr>
      <w:hyperlink w:anchor="_Toc95479915" w:history="1">
        <w:r w:rsidR="00AD2554" w:rsidRPr="000A5716">
          <w:rPr>
            <w:rStyle w:val="Hyperlink"/>
            <w:rFonts w:ascii="Arial" w:hAnsi="Arial" w:cs="Arial"/>
            <w:noProof/>
            <w:szCs w:val="20"/>
          </w:rPr>
          <w:t>Table 4: Matrix for determining the appropriate assessment checklists</w:t>
        </w:r>
        <w:r w:rsidR="00AD2554" w:rsidRPr="000A5716">
          <w:rPr>
            <w:rFonts w:ascii="Arial" w:hAnsi="Arial" w:cs="Arial"/>
            <w:noProof/>
            <w:webHidden/>
            <w:szCs w:val="20"/>
          </w:rPr>
          <w:tab/>
        </w:r>
        <w:r w:rsidR="00AD2554" w:rsidRPr="000A5716">
          <w:rPr>
            <w:rFonts w:ascii="Arial" w:hAnsi="Arial" w:cs="Arial"/>
            <w:noProof/>
            <w:webHidden/>
            <w:szCs w:val="20"/>
          </w:rPr>
          <w:fldChar w:fldCharType="begin"/>
        </w:r>
        <w:r w:rsidR="00AD2554" w:rsidRPr="000A5716">
          <w:rPr>
            <w:rFonts w:ascii="Arial" w:hAnsi="Arial" w:cs="Arial"/>
            <w:noProof/>
            <w:webHidden/>
            <w:szCs w:val="20"/>
          </w:rPr>
          <w:instrText xml:space="preserve"> PAGEREF _Toc95479915 \h </w:instrText>
        </w:r>
        <w:r w:rsidR="00AD2554" w:rsidRPr="000A5716">
          <w:rPr>
            <w:rFonts w:ascii="Arial" w:hAnsi="Arial" w:cs="Arial"/>
            <w:noProof/>
            <w:webHidden/>
            <w:szCs w:val="20"/>
          </w:rPr>
        </w:r>
        <w:r w:rsidR="00AD2554" w:rsidRPr="000A5716">
          <w:rPr>
            <w:rFonts w:ascii="Arial" w:hAnsi="Arial" w:cs="Arial"/>
            <w:noProof/>
            <w:webHidden/>
            <w:szCs w:val="20"/>
          </w:rPr>
          <w:fldChar w:fldCharType="separate"/>
        </w:r>
        <w:r w:rsidR="00AD2554" w:rsidRPr="000A5716">
          <w:rPr>
            <w:rFonts w:ascii="Arial" w:hAnsi="Arial" w:cs="Arial"/>
            <w:noProof/>
            <w:webHidden/>
            <w:szCs w:val="20"/>
          </w:rPr>
          <w:t>26</w:t>
        </w:r>
        <w:r w:rsidR="00AD2554" w:rsidRPr="000A5716">
          <w:rPr>
            <w:rFonts w:ascii="Arial" w:hAnsi="Arial" w:cs="Arial"/>
            <w:noProof/>
            <w:webHidden/>
            <w:szCs w:val="20"/>
          </w:rPr>
          <w:fldChar w:fldCharType="end"/>
        </w:r>
      </w:hyperlink>
    </w:p>
    <w:p w14:paraId="2293702D" w14:textId="77777777" w:rsidR="00AD2554" w:rsidRPr="000A5716" w:rsidRDefault="00AD2554" w:rsidP="00AD2554">
      <w:pPr>
        <w:rPr>
          <w:rFonts w:cs="Arial"/>
          <w:sz w:val="20"/>
          <w:szCs w:val="20"/>
        </w:rPr>
      </w:pPr>
      <w:r w:rsidRPr="000A5716">
        <w:rPr>
          <w:rFonts w:cs="Arial"/>
          <w:sz w:val="20"/>
          <w:szCs w:val="20"/>
        </w:rPr>
        <w:fldChar w:fldCharType="end"/>
      </w:r>
    </w:p>
    <w:p w14:paraId="0D432978" w14:textId="77777777" w:rsidR="00AD2554" w:rsidRPr="000A5716" w:rsidRDefault="00AD2554" w:rsidP="00AD2554">
      <w:pPr>
        <w:rPr>
          <w:rFonts w:cs="Arial"/>
          <w:b/>
          <w:sz w:val="20"/>
          <w:szCs w:val="20"/>
        </w:rPr>
      </w:pPr>
      <w:r w:rsidRPr="000A5716">
        <w:rPr>
          <w:rFonts w:cs="Arial"/>
          <w:b/>
          <w:sz w:val="20"/>
          <w:szCs w:val="20"/>
        </w:rPr>
        <w:t>List of Figures</w:t>
      </w:r>
    </w:p>
    <w:p w14:paraId="649AA022" w14:textId="77777777" w:rsidR="00AD2554" w:rsidRPr="000A5716" w:rsidRDefault="00AD2554" w:rsidP="00AD2554">
      <w:pPr>
        <w:pStyle w:val="TableofFigures"/>
        <w:tabs>
          <w:tab w:val="right" w:leader="dot" w:pos="8849"/>
        </w:tabs>
        <w:rPr>
          <w:rFonts w:ascii="Arial" w:eastAsiaTheme="minorEastAsia" w:hAnsi="Arial" w:cs="Arial"/>
          <w:noProof/>
          <w:szCs w:val="20"/>
          <w:lang w:eastAsia="zh-CN"/>
        </w:rPr>
      </w:pPr>
      <w:r w:rsidRPr="000A5716">
        <w:rPr>
          <w:rFonts w:ascii="Arial" w:hAnsi="Arial" w:cs="Arial"/>
          <w:szCs w:val="20"/>
        </w:rPr>
        <w:fldChar w:fldCharType="begin"/>
      </w:r>
      <w:r w:rsidRPr="000A5716">
        <w:rPr>
          <w:rFonts w:ascii="Arial" w:hAnsi="Arial" w:cs="Arial"/>
          <w:szCs w:val="20"/>
        </w:rPr>
        <w:instrText xml:space="preserve"> TOC \h \z \c "Figure" </w:instrText>
      </w:r>
      <w:r w:rsidRPr="000A5716">
        <w:rPr>
          <w:rFonts w:ascii="Arial" w:hAnsi="Arial" w:cs="Arial"/>
          <w:szCs w:val="20"/>
        </w:rPr>
        <w:fldChar w:fldCharType="separate"/>
      </w:r>
      <w:hyperlink w:anchor="_Toc103165881" w:history="1">
        <w:r w:rsidRPr="000A5716">
          <w:rPr>
            <w:rStyle w:val="Hyperlink"/>
            <w:rFonts w:ascii="Arial" w:hAnsi="Arial" w:cs="Arial"/>
            <w:noProof/>
            <w:szCs w:val="20"/>
          </w:rPr>
          <w:t>Figure 1: Cost-benefit trade-off – risk treatment options</w:t>
        </w:r>
        <w:r w:rsidRPr="000A5716">
          <w:rPr>
            <w:rFonts w:ascii="Arial" w:hAnsi="Arial" w:cs="Arial"/>
            <w:noProof/>
            <w:webHidden/>
            <w:szCs w:val="20"/>
          </w:rPr>
          <w:tab/>
        </w:r>
        <w:r w:rsidRPr="000A5716">
          <w:rPr>
            <w:rFonts w:ascii="Arial" w:hAnsi="Arial" w:cs="Arial"/>
            <w:noProof/>
            <w:webHidden/>
            <w:szCs w:val="20"/>
          </w:rPr>
          <w:fldChar w:fldCharType="begin"/>
        </w:r>
        <w:r w:rsidRPr="000A5716">
          <w:rPr>
            <w:rFonts w:ascii="Arial" w:hAnsi="Arial" w:cs="Arial"/>
            <w:noProof/>
            <w:webHidden/>
            <w:szCs w:val="20"/>
          </w:rPr>
          <w:instrText xml:space="preserve"> PAGEREF _Toc103165881 \h </w:instrText>
        </w:r>
        <w:r w:rsidRPr="000A5716">
          <w:rPr>
            <w:rFonts w:ascii="Arial" w:hAnsi="Arial" w:cs="Arial"/>
            <w:noProof/>
            <w:webHidden/>
            <w:szCs w:val="20"/>
          </w:rPr>
        </w:r>
        <w:r w:rsidRPr="000A5716">
          <w:rPr>
            <w:rFonts w:ascii="Arial" w:hAnsi="Arial" w:cs="Arial"/>
            <w:noProof/>
            <w:webHidden/>
            <w:szCs w:val="20"/>
          </w:rPr>
          <w:fldChar w:fldCharType="separate"/>
        </w:r>
        <w:r w:rsidRPr="000A5716">
          <w:rPr>
            <w:rFonts w:ascii="Arial" w:hAnsi="Arial" w:cs="Arial"/>
            <w:noProof/>
            <w:webHidden/>
            <w:szCs w:val="20"/>
          </w:rPr>
          <w:t>10</w:t>
        </w:r>
        <w:r w:rsidRPr="000A5716">
          <w:rPr>
            <w:rFonts w:ascii="Arial" w:hAnsi="Arial" w:cs="Arial"/>
            <w:noProof/>
            <w:webHidden/>
            <w:szCs w:val="20"/>
          </w:rPr>
          <w:fldChar w:fldCharType="end"/>
        </w:r>
      </w:hyperlink>
    </w:p>
    <w:p w14:paraId="1AFE1364" w14:textId="77777777" w:rsidR="00AD2554" w:rsidRPr="000A5716" w:rsidRDefault="00637BB5" w:rsidP="00AD2554">
      <w:pPr>
        <w:pStyle w:val="TableofFigures"/>
        <w:tabs>
          <w:tab w:val="right" w:leader="dot" w:pos="8849"/>
        </w:tabs>
        <w:rPr>
          <w:rFonts w:ascii="Arial" w:eastAsiaTheme="minorEastAsia" w:hAnsi="Arial" w:cs="Arial"/>
          <w:noProof/>
          <w:szCs w:val="20"/>
          <w:lang w:eastAsia="zh-CN"/>
        </w:rPr>
      </w:pPr>
      <w:hyperlink w:anchor="_Toc103165882" w:history="1">
        <w:r w:rsidR="00AD2554" w:rsidRPr="000A5716">
          <w:rPr>
            <w:rStyle w:val="Hyperlink"/>
            <w:rFonts w:ascii="Arial" w:hAnsi="Arial" w:cs="Arial"/>
            <w:noProof/>
            <w:szCs w:val="20"/>
          </w:rPr>
          <w:t>Figure 2: Centrally hosted CQRs</w:t>
        </w:r>
        <w:r w:rsidR="00AD2554" w:rsidRPr="000A5716">
          <w:rPr>
            <w:rFonts w:ascii="Arial" w:hAnsi="Arial" w:cs="Arial"/>
            <w:noProof/>
            <w:webHidden/>
            <w:szCs w:val="20"/>
          </w:rPr>
          <w:tab/>
        </w:r>
        <w:r w:rsidR="00AD2554" w:rsidRPr="000A5716">
          <w:rPr>
            <w:rFonts w:ascii="Arial" w:hAnsi="Arial" w:cs="Arial"/>
            <w:noProof/>
            <w:webHidden/>
            <w:szCs w:val="20"/>
          </w:rPr>
          <w:fldChar w:fldCharType="begin"/>
        </w:r>
        <w:r w:rsidR="00AD2554" w:rsidRPr="000A5716">
          <w:rPr>
            <w:rFonts w:ascii="Arial" w:hAnsi="Arial" w:cs="Arial"/>
            <w:noProof/>
            <w:webHidden/>
            <w:szCs w:val="20"/>
          </w:rPr>
          <w:instrText xml:space="preserve"> PAGEREF _Toc103165882 \h </w:instrText>
        </w:r>
        <w:r w:rsidR="00AD2554" w:rsidRPr="000A5716">
          <w:rPr>
            <w:rFonts w:ascii="Arial" w:hAnsi="Arial" w:cs="Arial"/>
            <w:noProof/>
            <w:webHidden/>
            <w:szCs w:val="20"/>
          </w:rPr>
        </w:r>
        <w:r w:rsidR="00AD2554" w:rsidRPr="000A5716">
          <w:rPr>
            <w:rFonts w:ascii="Arial" w:hAnsi="Arial" w:cs="Arial"/>
            <w:noProof/>
            <w:webHidden/>
            <w:szCs w:val="20"/>
          </w:rPr>
          <w:fldChar w:fldCharType="separate"/>
        </w:r>
        <w:r w:rsidR="00AD2554" w:rsidRPr="000A5716">
          <w:rPr>
            <w:rFonts w:ascii="Arial" w:hAnsi="Arial" w:cs="Arial"/>
            <w:noProof/>
            <w:webHidden/>
            <w:szCs w:val="20"/>
          </w:rPr>
          <w:t>12</w:t>
        </w:r>
        <w:r w:rsidR="00AD2554" w:rsidRPr="000A5716">
          <w:rPr>
            <w:rFonts w:ascii="Arial" w:hAnsi="Arial" w:cs="Arial"/>
            <w:noProof/>
            <w:webHidden/>
            <w:szCs w:val="20"/>
          </w:rPr>
          <w:fldChar w:fldCharType="end"/>
        </w:r>
      </w:hyperlink>
    </w:p>
    <w:p w14:paraId="203AB168" w14:textId="77777777" w:rsidR="00AD2554" w:rsidRPr="000A5716" w:rsidRDefault="00637BB5" w:rsidP="00AD2554">
      <w:pPr>
        <w:pStyle w:val="TableofFigures"/>
        <w:tabs>
          <w:tab w:val="right" w:leader="dot" w:pos="8849"/>
        </w:tabs>
        <w:rPr>
          <w:rFonts w:ascii="Arial" w:eastAsiaTheme="minorEastAsia" w:hAnsi="Arial" w:cs="Arial"/>
          <w:noProof/>
          <w:szCs w:val="20"/>
          <w:lang w:eastAsia="zh-CN"/>
        </w:rPr>
      </w:pPr>
      <w:hyperlink w:anchor="_Toc103165883" w:history="1">
        <w:r w:rsidR="00AD2554" w:rsidRPr="000A5716">
          <w:rPr>
            <w:rStyle w:val="Hyperlink"/>
            <w:rFonts w:ascii="Arial" w:hAnsi="Arial" w:cs="Arial"/>
            <w:noProof/>
            <w:szCs w:val="20"/>
          </w:rPr>
          <w:t>Figure 3: Standalone CQR with an internal data hosting platform</w:t>
        </w:r>
        <w:r w:rsidR="00AD2554" w:rsidRPr="000A5716">
          <w:rPr>
            <w:rFonts w:ascii="Arial" w:hAnsi="Arial" w:cs="Arial"/>
            <w:noProof/>
            <w:webHidden/>
            <w:szCs w:val="20"/>
          </w:rPr>
          <w:tab/>
        </w:r>
        <w:r w:rsidR="00AD2554" w:rsidRPr="000A5716">
          <w:rPr>
            <w:rFonts w:ascii="Arial" w:hAnsi="Arial" w:cs="Arial"/>
            <w:noProof/>
            <w:webHidden/>
            <w:szCs w:val="20"/>
          </w:rPr>
          <w:fldChar w:fldCharType="begin"/>
        </w:r>
        <w:r w:rsidR="00AD2554" w:rsidRPr="000A5716">
          <w:rPr>
            <w:rFonts w:ascii="Arial" w:hAnsi="Arial" w:cs="Arial"/>
            <w:noProof/>
            <w:webHidden/>
            <w:szCs w:val="20"/>
          </w:rPr>
          <w:instrText xml:space="preserve"> PAGEREF _Toc103165883 \h </w:instrText>
        </w:r>
        <w:r w:rsidR="00AD2554" w:rsidRPr="000A5716">
          <w:rPr>
            <w:rFonts w:ascii="Arial" w:hAnsi="Arial" w:cs="Arial"/>
            <w:noProof/>
            <w:webHidden/>
            <w:szCs w:val="20"/>
          </w:rPr>
        </w:r>
        <w:r w:rsidR="00AD2554" w:rsidRPr="000A5716">
          <w:rPr>
            <w:rFonts w:ascii="Arial" w:hAnsi="Arial" w:cs="Arial"/>
            <w:noProof/>
            <w:webHidden/>
            <w:szCs w:val="20"/>
          </w:rPr>
          <w:fldChar w:fldCharType="separate"/>
        </w:r>
        <w:r w:rsidR="00AD2554" w:rsidRPr="000A5716">
          <w:rPr>
            <w:rFonts w:ascii="Arial" w:hAnsi="Arial" w:cs="Arial"/>
            <w:noProof/>
            <w:webHidden/>
            <w:szCs w:val="20"/>
          </w:rPr>
          <w:t>12</w:t>
        </w:r>
        <w:r w:rsidR="00AD2554" w:rsidRPr="000A5716">
          <w:rPr>
            <w:rFonts w:ascii="Arial" w:hAnsi="Arial" w:cs="Arial"/>
            <w:noProof/>
            <w:webHidden/>
            <w:szCs w:val="20"/>
          </w:rPr>
          <w:fldChar w:fldCharType="end"/>
        </w:r>
      </w:hyperlink>
    </w:p>
    <w:p w14:paraId="06B4A09A" w14:textId="77777777" w:rsidR="00AD2554" w:rsidRPr="000A5716" w:rsidRDefault="00637BB5" w:rsidP="00AD2554">
      <w:pPr>
        <w:pStyle w:val="TableofFigures"/>
        <w:tabs>
          <w:tab w:val="right" w:leader="dot" w:pos="8849"/>
        </w:tabs>
        <w:rPr>
          <w:rFonts w:ascii="Arial" w:eastAsiaTheme="minorEastAsia" w:hAnsi="Arial" w:cs="Arial"/>
          <w:noProof/>
          <w:szCs w:val="20"/>
          <w:lang w:eastAsia="zh-CN"/>
        </w:rPr>
      </w:pPr>
      <w:hyperlink w:anchor="_Toc103165884" w:history="1">
        <w:r w:rsidR="00AD2554" w:rsidRPr="000A5716">
          <w:rPr>
            <w:rStyle w:val="Hyperlink"/>
            <w:rFonts w:ascii="Arial" w:hAnsi="Arial" w:cs="Arial"/>
            <w:noProof/>
            <w:szCs w:val="20"/>
          </w:rPr>
          <w:t>Figure 4: Standalone CQR using an external data hosting facility</w:t>
        </w:r>
        <w:r w:rsidR="00AD2554" w:rsidRPr="000A5716">
          <w:rPr>
            <w:rFonts w:ascii="Arial" w:hAnsi="Arial" w:cs="Arial"/>
            <w:noProof/>
            <w:webHidden/>
            <w:szCs w:val="20"/>
          </w:rPr>
          <w:tab/>
        </w:r>
        <w:r w:rsidR="00AD2554" w:rsidRPr="000A5716">
          <w:rPr>
            <w:rFonts w:ascii="Arial" w:hAnsi="Arial" w:cs="Arial"/>
            <w:noProof/>
            <w:webHidden/>
            <w:szCs w:val="20"/>
          </w:rPr>
          <w:fldChar w:fldCharType="begin"/>
        </w:r>
        <w:r w:rsidR="00AD2554" w:rsidRPr="000A5716">
          <w:rPr>
            <w:rFonts w:ascii="Arial" w:hAnsi="Arial" w:cs="Arial"/>
            <w:noProof/>
            <w:webHidden/>
            <w:szCs w:val="20"/>
          </w:rPr>
          <w:instrText xml:space="preserve"> PAGEREF _Toc103165884 \h </w:instrText>
        </w:r>
        <w:r w:rsidR="00AD2554" w:rsidRPr="000A5716">
          <w:rPr>
            <w:rFonts w:ascii="Arial" w:hAnsi="Arial" w:cs="Arial"/>
            <w:noProof/>
            <w:webHidden/>
            <w:szCs w:val="20"/>
          </w:rPr>
        </w:r>
        <w:r w:rsidR="00AD2554" w:rsidRPr="000A5716">
          <w:rPr>
            <w:rFonts w:ascii="Arial" w:hAnsi="Arial" w:cs="Arial"/>
            <w:noProof/>
            <w:webHidden/>
            <w:szCs w:val="20"/>
          </w:rPr>
          <w:fldChar w:fldCharType="separate"/>
        </w:r>
        <w:r w:rsidR="00AD2554" w:rsidRPr="000A5716">
          <w:rPr>
            <w:rFonts w:ascii="Arial" w:hAnsi="Arial" w:cs="Arial"/>
            <w:noProof/>
            <w:webHidden/>
            <w:szCs w:val="20"/>
          </w:rPr>
          <w:t>13</w:t>
        </w:r>
        <w:r w:rsidR="00AD2554" w:rsidRPr="000A5716">
          <w:rPr>
            <w:rFonts w:ascii="Arial" w:hAnsi="Arial" w:cs="Arial"/>
            <w:noProof/>
            <w:webHidden/>
            <w:szCs w:val="20"/>
          </w:rPr>
          <w:fldChar w:fldCharType="end"/>
        </w:r>
      </w:hyperlink>
    </w:p>
    <w:p w14:paraId="5A81E1CD" w14:textId="77777777" w:rsidR="00AD2554" w:rsidRPr="000A5716" w:rsidRDefault="00637BB5" w:rsidP="00AD2554">
      <w:pPr>
        <w:pStyle w:val="TableofFigures"/>
        <w:tabs>
          <w:tab w:val="right" w:leader="dot" w:pos="8849"/>
        </w:tabs>
        <w:rPr>
          <w:rFonts w:ascii="Arial" w:eastAsiaTheme="minorEastAsia" w:hAnsi="Arial" w:cs="Arial"/>
          <w:noProof/>
          <w:szCs w:val="20"/>
          <w:lang w:eastAsia="zh-CN"/>
        </w:rPr>
      </w:pPr>
      <w:hyperlink w:anchor="_Toc103165885" w:history="1">
        <w:r w:rsidR="00AD2554" w:rsidRPr="000A5716">
          <w:rPr>
            <w:rStyle w:val="Hyperlink"/>
            <w:rFonts w:ascii="Arial" w:hAnsi="Arial" w:cs="Arial"/>
            <w:noProof/>
            <w:szCs w:val="20"/>
          </w:rPr>
          <w:t>Figure 6: Flowchart for determining the appropriate assessment checklists</w:t>
        </w:r>
        <w:r w:rsidR="00AD2554" w:rsidRPr="000A5716">
          <w:rPr>
            <w:rFonts w:ascii="Arial" w:hAnsi="Arial" w:cs="Arial"/>
            <w:noProof/>
            <w:webHidden/>
            <w:szCs w:val="20"/>
          </w:rPr>
          <w:tab/>
        </w:r>
        <w:r w:rsidR="00AD2554" w:rsidRPr="000A5716">
          <w:rPr>
            <w:rFonts w:ascii="Arial" w:hAnsi="Arial" w:cs="Arial"/>
            <w:noProof/>
            <w:webHidden/>
            <w:szCs w:val="20"/>
          </w:rPr>
          <w:fldChar w:fldCharType="begin"/>
        </w:r>
        <w:r w:rsidR="00AD2554" w:rsidRPr="000A5716">
          <w:rPr>
            <w:rFonts w:ascii="Arial" w:hAnsi="Arial" w:cs="Arial"/>
            <w:noProof/>
            <w:webHidden/>
            <w:szCs w:val="20"/>
          </w:rPr>
          <w:instrText xml:space="preserve"> PAGEREF _Toc103165885 \h </w:instrText>
        </w:r>
        <w:r w:rsidR="00AD2554" w:rsidRPr="000A5716">
          <w:rPr>
            <w:rFonts w:ascii="Arial" w:hAnsi="Arial" w:cs="Arial"/>
            <w:noProof/>
            <w:webHidden/>
            <w:szCs w:val="20"/>
          </w:rPr>
        </w:r>
        <w:r w:rsidR="00AD2554" w:rsidRPr="000A5716">
          <w:rPr>
            <w:rFonts w:ascii="Arial" w:hAnsi="Arial" w:cs="Arial"/>
            <w:noProof/>
            <w:webHidden/>
            <w:szCs w:val="20"/>
          </w:rPr>
          <w:fldChar w:fldCharType="separate"/>
        </w:r>
        <w:r w:rsidR="00AD2554" w:rsidRPr="000A5716">
          <w:rPr>
            <w:rFonts w:ascii="Arial" w:hAnsi="Arial" w:cs="Arial"/>
            <w:noProof/>
            <w:webHidden/>
            <w:szCs w:val="20"/>
          </w:rPr>
          <w:t>25</w:t>
        </w:r>
        <w:r w:rsidR="00AD2554" w:rsidRPr="000A5716">
          <w:rPr>
            <w:rFonts w:ascii="Arial" w:hAnsi="Arial" w:cs="Arial"/>
            <w:noProof/>
            <w:webHidden/>
            <w:szCs w:val="20"/>
          </w:rPr>
          <w:fldChar w:fldCharType="end"/>
        </w:r>
      </w:hyperlink>
    </w:p>
    <w:p w14:paraId="43C0559B" w14:textId="77777777" w:rsidR="00AD2554" w:rsidRPr="000A5716" w:rsidRDefault="00637BB5" w:rsidP="00AD2554">
      <w:pPr>
        <w:pStyle w:val="TableofFigures"/>
        <w:tabs>
          <w:tab w:val="right" w:leader="dot" w:pos="8849"/>
        </w:tabs>
        <w:rPr>
          <w:rFonts w:ascii="Arial" w:eastAsiaTheme="minorEastAsia" w:hAnsi="Arial" w:cs="Arial"/>
          <w:noProof/>
          <w:szCs w:val="20"/>
          <w:lang w:eastAsia="zh-CN"/>
        </w:rPr>
      </w:pPr>
      <w:hyperlink w:anchor="_Toc103165886" w:history="1">
        <w:r w:rsidR="00AD2554" w:rsidRPr="000A5716">
          <w:rPr>
            <w:rStyle w:val="Hyperlink"/>
            <w:rFonts w:ascii="Arial" w:hAnsi="Arial" w:cs="Arial"/>
            <w:noProof/>
            <w:szCs w:val="20"/>
          </w:rPr>
          <w:t>Figure 7: Classifying and prioritising gaps</w:t>
        </w:r>
        <w:r w:rsidR="00AD2554" w:rsidRPr="000A5716">
          <w:rPr>
            <w:rFonts w:ascii="Arial" w:hAnsi="Arial" w:cs="Arial"/>
            <w:noProof/>
            <w:webHidden/>
            <w:szCs w:val="20"/>
          </w:rPr>
          <w:tab/>
        </w:r>
        <w:r w:rsidR="00AD2554" w:rsidRPr="000A5716">
          <w:rPr>
            <w:rFonts w:ascii="Arial" w:hAnsi="Arial" w:cs="Arial"/>
            <w:noProof/>
            <w:webHidden/>
            <w:szCs w:val="20"/>
          </w:rPr>
          <w:fldChar w:fldCharType="begin"/>
        </w:r>
        <w:r w:rsidR="00AD2554" w:rsidRPr="000A5716">
          <w:rPr>
            <w:rFonts w:ascii="Arial" w:hAnsi="Arial" w:cs="Arial"/>
            <w:noProof/>
            <w:webHidden/>
            <w:szCs w:val="20"/>
          </w:rPr>
          <w:instrText xml:space="preserve"> PAGEREF _Toc103165886 \h </w:instrText>
        </w:r>
        <w:r w:rsidR="00AD2554" w:rsidRPr="000A5716">
          <w:rPr>
            <w:rFonts w:ascii="Arial" w:hAnsi="Arial" w:cs="Arial"/>
            <w:noProof/>
            <w:webHidden/>
            <w:szCs w:val="20"/>
          </w:rPr>
        </w:r>
        <w:r w:rsidR="00AD2554" w:rsidRPr="000A5716">
          <w:rPr>
            <w:rFonts w:ascii="Arial" w:hAnsi="Arial" w:cs="Arial"/>
            <w:noProof/>
            <w:webHidden/>
            <w:szCs w:val="20"/>
          </w:rPr>
          <w:fldChar w:fldCharType="separate"/>
        </w:r>
        <w:r w:rsidR="00AD2554" w:rsidRPr="000A5716">
          <w:rPr>
            <w:rFonts w:ascii="Arial" w:hAnsi="Arial" w:cs="Arial"/>
            <w:noProof/>
            <w:webHidden/>
            <w:szCs w:val="20"/>
          </w:rPr>
          <w:t>27</w:t>
        </w:r>
        <w:r w:rsidR="00AD2554" w:rsidRPr="000A5716">
          <w:rPr>
            <w:rFonts w:ascii="Arial" w:hAnsi="Arial" w:cs="Arial"/>
            <w:noProof/>
            <w:webHidden/>
            <w:szCs w:val="20"/>
          </w:rPr>
          <w:fldChar w:fldCharType="end"/>
        </w:r>
      </w:hyperlink>
    </w:p>
    <w:p w14:paraId="44A0F6DF" w14:textId="506B3487" w:rsidR="0013658A" w:rsidRDefault="00AD2554" w:rsidP="00AD2554">
      <w:r w:rsidRPr="000A5716">
        <w:rPr>
          <w:rFonts w:cs="Arial"/>
          <w:sz w:val="20"/>
          <w:szCs w:val="20"/>
        </w:rPr>
        <w:fldChar w:fldCharType="end"/>
      </w:r>
    </w:p>
    <w:p w14:paraId="3BCB02D9" w14:textId="77777777" w:rsidR="0013658A" w:rsidRDefault="0013658A">
      <w:pPr>
        <w:spacing w:after="0" w:line="240" w:lineRule="auto"/>
      </w:pPr>
      <w:r>
        <w:br w:type="page"/>
      </w:r>
    </w:p>
    <w:p w14:paraId="09EC7C5A" w14:textId="77777777" w:rsidR="00AD2554" w:rsidRPr="000F2520" w:rsidRDefault="00AD2554" w:rsidP="00AD2554"/>
    <w:p w14:paraId="6E2BA180" w14:textId="77777777" w:rsidR="00AD2554" w:rsidRDefault="00AD2554" w:rsidP="00AD2554">
      <w:pPr>
        <w:pStyle w:val="Heading1"/>
        <w:numPr>
          <w:ilvl w:val="0"/>
          <w:numId w:val="21"/>
        </w:numPr>
        <w:tabs>
          <w:tab w:val="clear" w:pos="1276"/>
          <w:tab w:val="num" w:pos="783"/>
        </w:tabs>
        <w:ind w:left="783" w:hanging="360"/>
      </w:pPr>
      <w:bookmarkStart w:id="2" w:name="_Toc106613880"/>
      <w:bookmarkStart w:id="3" w:name="_Toc422289363"/>
      <w:r w:rsidRPr="000F2520">
        <w:t>Introduction</w:t>
      </w:r>
      <w:bookmarkEnd w:id="2"/>
    </w:p>
    <w:p w14:paraId="1ADF9933" w14:textId="77777777" w:rsidR="00AD2554" w:rsidRPr="000F2520" w:rsidRDefault="00AD2554" w:rsidP="003D2BA6">
      <w:pPr>
        <w:pStyle w:val="Heading2"/>
      </w:pPr>
      <w:bookmarkStart w:id="4" w:name="_Toc106613881"/>
      <w:r w:rsidRPr="000F2520">
        <w:t>Purpose</w:t>
      </w:r>
      <w:bookmarkEnd w:id="4"/>
    </w:p>
    <w:p w14:paraId="4A921635" w14:textId="35FE6D9D" w:rsidR="00AD2554" w:rsidRPr="000F2520" w:rsidRDefault="00AD2554" w:rsidP="00AD2554">
      <w:r>
        <w:t xml:space="preserve">The purpose of the </w:t>
      </w:r>
      <w:r w:rsidRPr="000F2520">
        <w:rPr>
          <w:i/>
        </w:rPr>
        <w:t>Security Compliance Guideline for Clinical Quality Registries</w:t>
      </w:r>
      <w:r w:rsidRPr="000F2520">
        <w:t xml:space="preserve"> (the</w:t>
      </w:r>
      <w:r w:rsidRPr="000F2520">
        <w:rPr>
          <w:i/>
        </w:rPr>
        <w:t xml:space="preserve"> </w:t>
      </w:r>
      <w:r w:rsidRPr="00DD6E59">
        <w:rPr>
          <w:iCs/>
        </w:rPr>
        <w:t>Guideline)</w:t>
      </w:r>
      <w:r w:rsidRPr="000F2520">
        <w:t xml:space="preserve"> is to </w:t>
      </w:r>
      <w:r w:rsidR="00DD6E59">
        <w:t>provide the security compliance</w:t>
      </w:r>
      <w:r w:rsidRPr="000F2520">
        <w:t xml:space="preserve"> checklist </w:t>
      </w:r>
      <w:r w:rsidR="008C31A2">
        <w:t>and guidance for</w:t>
      </w:r>
      <w:r w:rsidRPr="000F2520">
        <w:t xml:space="preserve"> Australian clinical quality registries</w:t>
      </w:r>
      <w:r>
        <w:t xml:space="preserve"> (CQRs).</w:t>
      </w:r>
      <w:r w:rsidRPr="000F2520">
        <w:t xml:space="preserve"> </w:t>
      </w:r>
    </w:p>
    <w:p w14:paraId="616AD408" w14:textId="77777777" w:rsidR="00AD2554" w:rsidRPr="000F2520" w:rsidRDefault="00AD2554" w:rsidP="003D2BA6">
      <w:pPr>
        <w:pStyle w:val="Heading2"/>
      </w:pPr>
      <w:bookmarkStart w:id="5" w:name="_Toc106613882"/>
      <w:r w:rsidRPr="000F2520">
        <w:t>Intended audience</w:t>
      </w:r>
      <w:bookmarkEnd w:id="5"/>
    </w:p>
    <w:p w14:paraId="5A551C82" w14:textId="0E03B095" w:rsidR="00AD2554" w:rsidRPr="000F2520" w:rsidRDefault="00AD2554" w:rsidP="00AD2554">
      <w:r w:rsidRPr="000F2520">
        <w:t xml:space="preserve">The </w:t>
      </w:r>
      <w:r w:rsidRPr="00DD6E59">
        <w:rPr>
          <w:iCs/>
        </w:rPr>
        <w:t>Guideline</w:t>
      </w:r>
      <w:r w:rsidRPr="000F2520">
        <w:rPr>
          <w:i/>
        </w:rPr>
        <w:t xml:space="preserve"> </w:t>
      </w:r>
      <w:r w:rsidRPr="000F2520">
        <w:t xml:space="preserve">is intended to be used by individuals and organisations wishing to assess the compliance of a new or established </w:t>
      </w:r>
      <w:r w:rsidR="00DD6E59">
        <w:t>CQR</w:t>
      </w:r>
      <w:r w:rsidRPr="000F2520">
        <w:t xml:space="preserve"> against appropriate security standards and techniques</w:t>
      </w:r>
      <w:r>
        <w:t xml:space="preserve"> current, as </w:t>
      </w:r>
      <w:proofErr w:type="gramStart"/>
      <w:r>
        <w:t>at</w:t>
      </w:r>
      <w:proofErr w:type="gramEnd"/>
      <w:r>
        <w:t xml:space="preserve"> </w:t>
      </w:r>
      <w:r w:rsidR="00A26D74">
        <w:t>November</w:t>
      </w:r>
      <w:r>
        <w:t xml:space="preserve"> 2022.  </w:t>
      </w:r>
    </w:p>
    <w:p w14:paraId="0E338CC2" w14:textId="77777777" w:rsidR="00AD2554" w:rsidRPr="000F2520" w:rsidRDefault="00AD2554" w:rsidP="003D2BA6">
      <w:pPr>
        <w:pStyle w:val="Heading2"/>
      </w:pPr>
      <w:bookmarkStart w:id="6" w:name="_Toc106613883"/>
      <w:r w:rsidRPr="000F2520">
        <w:t xml:space="preserve">About the </w:t>
      </w:r>
      <w:r w:rsidRPr="000F2520">
        <w:rPr>
          <w:i/>
        </w:rPr>
        <w:t>Guideline</w:t>
      </w:r>
      <w:bookmarkEnd w:id="6"/>
    </w:p>
    <w:p w14:paraId="6AABA6AC" w14:textId="617FD91E" w:rsidR="00AD2554" w:rsidRPr="000F2520" w:rsidRDefault="00AD2554" w:rsidP="00AD2554">
      <w:r w:rsidRPr="000F2520">
        <w:t xml:space="preserve">The </w:t>
      </w:r>
      <w:r w:rsidRPr="00DD6E59">
        <w:rPr>
          <w:iCs/>
        </w:rPr>
        <w:t>Guideline</w:t>
      </w:r>
      <w:r w:rsidRPr="000F2520">
        <w:rPr>
          <w:i/>
        </w:rPr>
        <w:t xml:space="preserve"> </w:t>
      </w:r>
      <w:r w:rsidRPr="000F2520">
        <w:t xml:space="preserve">builds on the work of the </w:t>
      </w:r>
      <w:r w:rsidR="008C31A2">
        <w:t xml:space="preserve">Australian Digital Health Agency. </w:t>
      </w:r>
      <w:r w:rsidR="008C31A2" w:rsidRPr="005639AC">
        <w:rPr>
          <w:i/>
          <w:iCs/>
        </w:rPr>
        <w:t xml:space="preserve">National E-Health Security </w:t>
      </w:r>
      <w:r w:rsidR="008C31A2">
        <w:rPr>
          <w:i/>
          <w:iCs/>
        </w:rPr>
        <w:t>and Access Framework – v4.0</w:t>
      </w:r>
      <w:r w:rsidR="008C31A2">
        <w:t xml:space="preserve">. and </w:t>
      </w:r>
      <w:r>
        <w:t xml:space="preserve">current </w:t>
      </w:r>
      <w:r w:rsidRPr="000F2520">
        <w:t xml:space="preserve">National eHealth Transition Authority’s National eHealth Security and Access Guideline (NESAF) which provides guidance to businesses engaged in electronic health (eHealth) on how to establish information security infrastructure using a risk-based approach. </w:t>
      </w:r>
    </w:p>
    <w:p w14:paraId="5625F72A" w14:textId="27D5F742" w:rsidR="00AD2554" w:rsidRPr="000F2520" w:rsidRDefault="00AD2554" w:rsidP="00AD2554">
      <w:r w:rsidRPr="000F2520">
        <w:t xml:space="preserve">The </w:t>
      </w:r>
      <w:r w:rsidRPr="00DD6E59">
        <w:rPr>
          <w:iCs/>
        </w:rPr>
        <w:t>Guideline</w:t>
      </w:r>
      <w:r w:rsidRPr="000F2520">
        <w:rPr>
          <w:i/>
        </w:rPr>
        <w:t xml:space="preserve"> </w:t>
      </w:r>
      <w:r w:rsidRPr="000F2520">
        <w:t>has been developed in consultation with the Commission</w:t>
      </w:r>
      <w:r>
        <w:t>’s</w:t>
      </w:r>
      <w:r w:rsidRPr="000F2520">
        <w:t xml:space="preserve"> Clinical Quality Registries </w:t>
      </w:r>
      <w:r>
        <w:t xml:space="preserve">Framework Review </w:t>
      </w:r>
      <w:r w:rsidRPr="000F2520">
        <w:t xml:space="preserve">Advisory Group and a group of CQR experts </w:t>
      </w:r>
      <w:r w:rsidR="00DD6E59">
        <w:t xml:space="preserve">in </w:t>
      </w:r>
      <w:r w:rsidR="008C31A2">
        <w:t xml:space="preserve">health </w:t>
      </w:r>
      <w:r w:rsidR="00DD6E59">
        <w:t>data systems</w:t>
      </w:r>
      <w:r w:rsidR="008C31A2">
        <w:t xml:space="preserve">. </w:t>
      </w:r>
    </w:p>
    <w:p w14:paraId="0987E891" w14:textId="77777777" w:rsidR="00AD2554" w:rsidRPr="000F2520" w:rsidRDefault="00AD2554" w:rsidP="00AD2554">
      <w:r w:rsidRPr="000F2520">
        <w:t xml:space="preserve">Section </w:t>
      </w:r>
      <w:r w:rsidRPr="001A461D">
        <w:fldChar w:fldCharType="begin"/>
      </w:r>
      <w:r w:rsidRPr="000F2520">
        <w:instrText xml:space="preserve"> REF _Ref350944808 \r \h  \* MERGEFORMAT </w:instrText>
      </w:r>
      <w:r w:rsidRPr="001A461D">
        <w:fldChar w:fldCharType="separate"/>
      </w:r>
      <w:r>
        <w:t>2</w:t>
      </w:r>
      <w:r w:rsidRPr="001A461D">
        <w:fldChar w:fldCharType="end"/>
      </w:r>
      <w:r w:rsidRPr="000F2520">
        <w:t xml:space="preserve"> ‘</w:t>
      </w:r>
      <w:r w:rsidRPr="001A461D">
        <w:fldChar w:fldCharType="begin"/>
      </w:r>
      <w:r w:rsidRPr="000F2520">
        <w:instrText xml:space="preserve"> REF _Ref350944780 \h  \* MERGEFORMAT </w:instrText>
      </w:r>
      <w:r w:rsidRPr="001A461D">
        <w:fldChar w:fldCharType="separate"/>
      </w:r>
      <w:r w:rsidRPr="000F2520">
        <w:t>Considerations in Securing Clinical Quality Registries</w:t>
      </w:r>
      <w:r w:rsidRPr="001A461D">
        <w:fldChar w:fldCharType="end"/>
      </w:r>
      <w:r w:rsidRPr="000F2520">
        <w:t>’ defines the key elements of information security and outlines some of the common threats to CQRs.</w:t>
      </w:r>
    </w:p>
    <w:p w14:paraId="3DF1C224" w14:textId="77777777" w:rsidR="00AD2554" w:rsidRPr="000F2520" w:rsidRDefault="00AD2554" w:rsidP="00AD2554">
      <w:r w:rsidRPr="000F2520">
        <w:t xml:space="preserve">Section </w:t>
      </w:r>
      <w:r w:rsidRPr="001A461D">
        <w:fldChar w:fldCharType="begin"/>
      </w:r>
      <w:r w:rsidRPr="000F2520">
        <w:instrText xml:space="preserve"> REF _Ref351540377 \r \h  \* MERGEFORMAT </w:instrText>
      </w:r>
      <w:r w:rsidRPr="001A461D">
        <w:fldChar w:fldCharType="separate"/>
      </w:r>
      <w:r>
        <w:t>3</w:t>
      </w:r>
      <w:r w:rsidRPr="001A461D">
        <w:fldChar w:fldCharType="end"/>
      </w:r>
      <w:r w:rsidRPr="000F2520">
        <w:t xml:space="preserve"> ‘</w:t>
      </w:r>
      <w:r w:rsidRPr="001A461D">
        <w:fldChar w:fldCharType="begin"/>
      </w:r>
      <w:r w:rsidRPr="000F2520">
        <w:instrText xml:space="preserve"> REF _Ref351540395 \h  \* MERGEFORMAT </w:instrText>
      </w:r>
      <w:r w:rsidRPr="001A461D">
        <w:fldChar w:fldCharType="separate"/>
      </w:r>
      <w:r w:rsidRPr="00E94379">
        <w:t>Infrastructure Models and Risk Profiles</w:t>
      </w:r>
      <w:r w:rsidRPr="001A461D">
        <w:fldChar w:fldCharType="end"/>
      </w:r>
      <w:r w:rsidRPr="000F2520">
        <w:t>’ identifies two distinct infrastructure configurations or ‘models’, and risk profiles for clinical quality registries.</w:t>
      </w:r>
    </w:p>
    <w:p w14:paraId="7EB1B325" w14:textId="77777777" w:rsidR="00AD2554" w:rsidRPr="000F2520" w:rsidRDefault="00AD2554" w:rsidP="00AD2554">
      <w:r w:rsidRPr="000F2520">
        <w:t xml:space="preserve">Section </w:t>
      </w:r>
      <w:r w:rsidRPr="001A461D">
        <w:fldChar w:fldCharType="begin"/>
      </w:r>
      <w:r w:rsidRPr="000F2520">
        <w:instrText xml:space="preserve"> REF _Ref351533228 \r \h  \* MERGEFORMAT </w:instrText>
      </w:r>
      <w:r w:rsidRPr="001A461D">
        <w:fldChar w:fldCharType="separate"/>
      </w:r>
      <w:r>
        <w:t>4</w:t>
      </w:r>
      <w:r w:rsidRPr="001A461D">
        <w:fldChar w:fldCharType="end"/>
      </w:r>
      <w:r w:rsidRPr="000F2520">
        <w:t xml:space="preserve"> ‘</w:t>
      </w:r>
      <w:r w:rsidRPr="001A461D">
        <w:fldChar w:fldCharType="begin"/>
      </w:r>
      <w:r w:rsidRPr="000F2520">
        <w:instrText xml:space="preserve"> REF _Ref351533228 \h  \* MERGEFORMAT </w:instrText>
      </w:r>
      <w:r w:rsidRPr="001A461D">
        <w:fldChar w:fldCharType="separate"/>
      </w:r>
      <w:r w:rsidRPr="000F2520">
        <w:t>Security Assessment Approach</w:t>
      </w:r>
      <w:r w:rsidRPr="001A461D">
        <w:fldChar w:fldCharType="end"/>
      </w:r>
      <w:r w:rsidRPr="000F2520">
        <w:t>’ describes a high-level approach to the assessment of CQR security compliance, including the measures to be taken to address any identified security gaps.</w:t>
      </w:r>
    </w:p>
    <w:p w14:paraId="02328B01" w14:textId="77777777" w:rsidR="00AD2554" w:rsidRPr="000F2520" w:rsidRDefault="00AD2554" w:rsidP="00AD2554">
      <w:r w:rsidRPr="000F2520">
        <w:t xml:space="preserve">Section </w:t>
      </w:r>
      <w:r w:rsidRPr="001A461D">
        <w:fldChar w:fldCharType="begin"/>
      </w:r>
      <w:r w:rsidRPr="000F2520">
        <w:instrText xml:space="preserve"> REF _Ref350959883 \r \h  \* MERGEFORMAT </w:instrText>
      </w:r>
      <w:r w:rsidRPr="001A461D">
        <w:fldChar w:fldCharType="separate"/>
      </w:r>
      <w:r>
        <w:t>5</w:t>
      </w:r>
      <w:r w:rsidRPr="001A461D">
        <w:fldChar w:fldCharType="end"/>
      </w:r>
      <w:r w:rsidRPr="000F2520">
        <w:t xml:space="preserve"> ‘</w:t>
      </w:r>
      <w:r w:rsidRPr="001A461D">
        <w:fldChar w:fldCharType="begin"/>
      </w:r>
      <w:r w:rsidRPr="000F2520">
        <w:instrText xml:space="preserve"> REF _Ref350959883 \h  \* MERGEFORMAT </w:instrText>
      </w:r>
      <w:r w:rsidRPr="001A461D">
        <w:fldChar w:fldCharType="separate"/>
      </w:r>
      <w:r w:rsidRPr="000F2520">
        <w:t>Security Compliance Checklists for CQR ‘Good Practice’</w:t>
      </w:r>
      <w:r w:rsidRPr="001A461D">
        <w:fldChar w:fldCharType="end"/>
      </w:r>
      <w:r w:rsidRPr="000F2520">
        <w:t xml:space="preserve">’ provides the checklists to be used for the assessment of organisations requiring security certification. Each organisation is assessed across </w:t>
      </w:r>
      <w:proofErr w:type="gramStart"/>
      <w:r w:rsidRPr="000F2520">
        <w:t>a number of</w:t>
      </w:r>
      <w:proofErr w:type="gramEnd"/>
      <w:r w:rsidRPr="000F2520">
        <w:t xml:space="preserve"> key security domains for minimum ‘good practice’ requirements.</w:t>
      </w:r>
    </w:p>
    <w:p w14:paraId="1B988D09" w14:textId="2ECC0143" w:rsidR="00AD2554" w:rsidRPr="000F2520" w:rsidRDefault="00AD2554" w:rsidP="00AD2554">
      <w:r w:rsidRPr="000F2520">
        <w:t xml:space="preserve">Section </w:t>
      </w:r>
      <w:r w:rsidRPr="00E336F3">
        <w:fldChar w:fldCharType="begin"/>
      </w:r>
      <w:r w:rsidRPr="000F2520">
        <w:instrText xml:space="preserve"> REF _Ref320004078 \r \h </w:instrText>
      </w:r>
      <w:r w:rsidRPr="00E336F3">
        <w:fldChar w:fldCharType="separate"/>
      </w:r>
      <w:r>
        <w:t>6</w:t>
      </w:r>
      <w:r w:rsidRPr="00E336F3">
        <w:fldChar w:fldCharType="end"/>
      </w:r>
      <w:r w:rsidRPr="000F2520">
        <w:t xml:space="preserve"> ‘</w:t>
      </w:r>
      <w:r w:rsidRPr="00CE20E5">
        <w:fldChar w:fldCharType="begin"/>
      </w:r>
      <w:r w:rsidRPr="00CE20E5">
        <w:instrText xml:space="preserve"> REF _Ref320004078 \h </w:instrText>
      </w:r>
      <w:r>
        <w:instrText xml:space="preserve"> \* MERGEFORMAT </w:instrText>
      </w:r>
      <w:r w:rsidRPr="00CE20E5">
        <w:fldChar w:fldCharType="separate"/>
      </w:r>
      <w:r w:rsidRPr="00CE20E5">
        <w:t>Detailed Guidance on Controls</w:t>
      </w:r>
      <w:r w:rsidRPr="00CE20E5">
        <w:fldChar w:fldCharType="end"/>
      </w:r>
      <w:r w:rsidRPr="00CE20E5">
        <w:t xml:space="preserve">’ </w:t>
      </w:r>
      <w:bookmarkStart w:id="7" w:name="_Hlk103501506"/>
      <w:r w:rsidRPr="003229A4">
        <w:t>provides detailed guidance and explanation on each security control, categorised by security domain.</w:t>
      </w:r>
      <w:r w:rsidRPr="000F2520">
        <w:t xml:space="preserve">  </w:t>
      </w:r>
      <w:bookmarkEnd w:id="7"/>
      <w:r w:rsidRPr="000F2520">
        <w:t xml:space="preserve">The guidance provided is a blend of detail from relevant security guidelines and specific detail to suit CQR environments. The guidance provided borrows heavily from the </w:t>
      </w:r>
      <w:r w:rsidRPr="00A814FF">
        <w:t xml:space="preserve">National eHealth Security and Access </w:t>
      </w:r>
      <w:r>
        <w:t>Framework</w:t>
      </w:r>
      <w:r w:rsidRPr="00A814FF">
        <w:t xml:space="preserve"> and </w:t>
      </w:r>
      <w:r w:rsidRPr="003229A4">
        <w:t>ISO/IEC 27002.</w:t>
      </w:r>
    </w:p>
    <w:p w14:paraId="07580F1C" w14:textId="77777777" w:rsidR="00AD2554" w:rsidRPr="000F2520" w:rsidRDefault="00AD2554" w:rsidP="00AD2554">
      <w:pPr>
        <w:pStyle w:val="Heading1"/>
        <w:numPr>
          <w:ilvl w:val="0"/>
          <w:numId w:val="21"/>
        </w:numPr>
        <w:tabs>
          <w:tab w:val="clear" w:pos="1276"/>
          <w:tab w:val="num" w:pos="783"/>
        </w:tabs>
        <w:ind w:left="783" w:hanging="360"/>
      </w:pPr>
      <w:bookmarkStart w:id="8" w:name="_Ref350944780"/>
      <w:bookmarkStart w:id="9" w:name="_Ref350944786"/>
      <w:bookmarkStart w:id="10" w:name="_Ref350944808"/>
      <w:bookmarkStart w:id="11" w:name="_Toc106613884"/>
      <w:r w:rsidRPr="000F2520">
        <w:lastRenderedPageBreak/>
        <w:t xml:space="preserve">Considerations in </w:t>
      </w:r>
      <w:r>
        <w:t>s</w:t>
      </w:r>
      <w:r w:rsidRPr="000F2520">
        <w:t>ecuring Clinical Quality Registries</w:t>
      </w:r>
      <w:bookmarkEnd w:id="8"/>
      <w:bookmarkEnd w:id="9"/>
      <w:bookmarkEnd w:id="10"/>
      <w:bookmarkEnd w:id="11"/>
    </w:p>
    <w:tbl>
      <w:tblPr>
        <w:tblW w:w="8910" w:type="dxa"/>
        <w:tblInd w:w="10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910"/>
      </w:tblGrid>
      <w:tr w:rsidR="00AD2554" w:rsidRPr="000F2520" w14:paraId="5A9F9004" w14:textId="77777777" w:rsidTr="00B53BA6">
        <w:trPr>
          <w:trHeight w:val="1632"/>
        </w:trPr>
        <w:tc>
          <w:tcPr>
            <w:tcW w:w="8910" w:type="dxa"/>
            <w:tcBorders>
              <w:top w:val="single" w:sz="4" w:space="0" w:color="auto"/>
              <w:bottom w:val="single" w:sz="4" w:space="0" w:color="auto"/>
            </w:tcBorders>
            <w:shd w:val="clear" w:color="auto" w:fill="F3F3F3"/>
          </w:tcPr>
          <w:p w14:paraId="688F4038" w14:textId="4AD48203" w:rsidR="00AD2554" w:rsidRPr="000F2520" w:rsidRDefault="00AD2554" w:rsidP="00B53BA6">
            <w:r w:rsidRPr="000F2520">
              <w:t>This section defines the key elements of information security sets out the context for information security for</w:t>
            </w:r>
            <w:r>
              <w:t xml:space="preserve"> national CQRs including </w:t>
            </w:r>
            <w:r w:rsidRPr="000F2520">
              <w:t xml:space="preserve">confidentiality, </w:t>
            </w:r>
            <w:proofErr w:type="gramStart"/>
            <w:r w:rsidRPr="000F2520">
              <w:t>integrity</w:t>
            </w:r>
            <w:proofErr w:type="gramEnd"/>
            <w:r w:rsidRPr="000F2520">
              <w:t xml:space="preserve"> and </w:t>
            </w:r>
            <w:r w:rsidRPr="00684227">
              <w:t>availability</w:t>
            </w:r>
            <w:r w:rsidRPr="000F2520">
              <w:t xml:space="preserve">. It discusses possible threats to a CQR, requirements to be managed and relevant influences from legislation.  The content in this section has been refined in collaboration with key stakeholders. </w:t>
            </w:r>
          </w:p>
        </w:tc>
      </w:tr>
    </w:tbl>
    <w:p w14:paraId="3664C3F8" w14:textId="4F86203B" w:rsidR="00AD2554" w:rsidRPr="0044020B" w:rsidRDefault="00AD2554" w:rsidP="003D2BA6">
      <w:pPr>
        <w:pStyle w:val="Heading2"/>
      </w:pPr>
      <w:bookmarkStart w:id="12" w:name="_Toc106613885"/>
      <w:r w:rsidRPr="0044020B">
        <w:t>Definitions of key elements of information security</w:t>
      </w:r>
      <w:bookmarkEnd w:id="12"/>
    </w:p>
    <w:p w14:paraId="52BEC4C1" w14:textId="77777777" w:rsidR="00AD2554" w:rsidRPr="000F2520" w:rsidRDefault="00AD2554" w:rsidP="00AD2554">
      <w:r w:rsidRPr="000F2520">
        <w:t xml:space="preserve">The information held by CQRs is a core </w:t>
      </w:r>
      <w:r>
        <w:t xml:space="preserve">health data </w:t>
      </w:r>
      <w:r w:rsidRPr="000F2520">
        <w:t xml:space="preserve">asset. The protection of this asset in terms of its confidentiality, integrity and </w:t>
      </w:r>
      <w:r w:rsidRPr="00684227">
        <w:t>availability is</w:t>
      </w:r>
      <w:r w:rsidRPr="000F2520">
        <w:t xml:space="preserve"> the focus of information security. These three key elements of information security are defined below</w:t>
      </w:r>
      <w:r w:rsidRPr="00A814FF">
        <w:rPr>
          <w:rStyle w:val="FootnoteReference"/>
          <w:rFonts w:cs="Arial"/>
        </w:rPr>
        <w:footnoteReference w:id="2"/>
      </w:r>
      <w:r w:rsidRPr="000F2520">
        <w:t>:</w:t>
      </w:r>
    </w:p>
    <w:tbl>
      <w:tblPr>
        <w:tblW w:w="90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6613"/>
      </w:tblGrid>
      <w:tr w:rsidR="00AD2554" w:rsidRPr="000F2520" w14:paraId="0BA50F78" w14:textId="77777777" w:rsidTr="003D766C">
        <w:trPr>
          <w:cantSplit/>
        </w:trPr>
        <w:tc>
          <w:tcPr>
            <w:tcW w:w="2410" w:type="dxa"/>
            <w:shd w:val="clear" w:color="auto" w:fill="D9D9D9"/>
            <w:vAlign w:val="center"/>
          </w:tcPr>
          <w:p w14:paraId="7B8EFAC6" w14:textId="77777777" w:rsidR="00AD2554" w:rsidRPr="000F2520" w:rsidRDefault="00AD2554" w:rsidP="003D766C">
            <w:pPr>
              <w:pStyle w:val="BodyText"/>
              <w:ind w:hanging="1274"/>
              <w:jc w:val="right"/>
              <w:rPr>
                <w:b/>
              </w:rPr>
            </w:pPr>
            <w:r w:rsidRPr="000F2520">
              <w:rPr>
                <w:b/>
              </w:rPr>
              <w:t>Confidentiality</w:t>
            </w:r>
          </w:p>
          <w:p w14:paraId="373775E4" w14:textId="77777777" w:rsidR="00AD2554" w:rsidRPr="000F2520" w:rsidRDefault="00AD2554" w:rsidP="003D766C">
            <w:pPr>
              <w:pStyle w:val="BodyText"/>
              <w:ind w:hanging="1274"/>
              <w:jc w:val="right"/>
              <w:rPr>
                <w:b/>
              </w:rPr>
            </w:pPr>
          </w:p>
        </w:tc>
        <w:tc>
          <w:tcPr>
            <w:tcW w:w="6613" w:type="dxa"/>
          </w:tcPr>
          <w:p w14:paraId="65B27E52" w14:textId="77777777" w:rsidR="00AD2554" w:rsidRPr="000F2520" w:rsidRDefault="00AD2554" w:rsidP="00E9663B">
            <w:pPr>
              <w:pStyle w:val="BodyText"/>
              <w:ind w:left="13"/>
            </w:pPr>
            <w:r w:rsidRPr="000F2520">
              <w:t>Refers to ensuring that information is only accessible and available to those authorised to have access</w:t>
            </w:r>
            <w:r>
              <w:t xml:space="preserve">. </w:t>
            </w:r>
          </w:p>
        </w:tc>
      </w:tr>
      <w:tr w:rsidR="00AD2554" w:rsidRPr="000F2520" w14:paraId="0428CA25" w14:textId="77777777" w:rsidTr="003D766C">
        <w:trPr>
          <w:cantSplit/>
        </w:trPr>
        <w:tc>
          <w:tcPr>
            <w:tcW w:w="2410" w:type="dxa"/>
            <w:shd w:val="clear" w:color="auto" w:fill="D9D9D9"/>
            <w:vAlign w:val="center"/>
          </w:tcPr>
          <w:p w14:paraId="564F35D9" w14:textId="77777777" w:rsidR="00AD2554" w:rsidRPr="000F2520" w:rsidRDefault="00AD2554" w:rsidP="003D766C">
            <w:pPr>
              <w:pStyle w:val="BodyText"/>
              <w:ind w:hanging="1274"/>
              <w:jc w:val="right"/>
              <w:rPr>
                <w:b/>
              </w:rPr>
            </w:pPr>
            <w:r w:rsidRPr="000F2520">
              <w:rPr>
                <w:b/>
              </w:rPr>
              <w:t>Integrity</w:t>
            </w:r>
          </w:p>
        </w:tc>
        <w:tc>
          <w:tcPr>
            <w:tcW w:w="6613" w:type="dxa"/>
          </w:tcPr>
          <w:p w14:paraId="37D1BC12" w14:textId="77777777" w:rsidR="00AD2554" w:rsidRPr="000F2520" w:rsidRDefault="00AD2554" w:rsidP="00E9663B">
            <w:pPr>
              <w:pStyle w:val="BodyText"/>
              <w:ind w:left="13"/>
            </w:pPr>
            <w:r w:rsidRPr="000F2520">
              <w:t xml:space="preserve">Refers to being able to store, use, transfer and retrieve information with confidence that the information has not been tampered with or altered, other than through authorised transactions. Information integrity also contributes to the maintenance of confidentiality through the protection of access control data, audit trails and other system data that enable the identification of breaches in confidentiality. </w:t>
            </w:r>
          </w:p>
        </w:tc>
      </w:tr>
      <w:tr w:rsidR="00AD2554" w:rsidRPr="000F2520" w14:paraId="4554B6F8" w14:textId="77777777" w:rsidTr="003D766C">
        <w:trPr>
          <w:cantSplit/>
        </w:trPr>
        <w:tc>
          <w:tcPr>
            <w:tcW w:w="2410" w:type="dxa"/>
            <w:shd w:val="clear" w:color="auto" w:fill="D9D9D9"/>
            <w:vAlign w:val="center"/>
          </w:tcPr>
          <w:p w14:paraId="2BDFAB7C" w14:textId="77777777" w:rsidR="00AD2554" w:rsidRPr="000F2520" w:rsidRDefault="00AD2554" w:rsidP="003D766C">
            <w:pPr>
              <w:pStyle w:val="BodyText"/>
              <w:ind w:hanging="1274"/>
              <w:jc w:val="right"/>
              <w:rPr>
                <w:b/>
              </w:rPr>
            </w:pPr>
            <w:r w:rsidRPr="000F2520">
              <w:rPr>
                <w:b/>
              </w:rPr>
              <w:t>Availability</w:t>
            </w:r>
          </w:p>
        </w:tc>
        <w:tc>
          <w:tcPr>
            <w:tcW w:w="6613" w:type="dxa"/>
          </w:tcPr>
          <w:p w14:paraId="3EC276CF" w14:textId="77777777" w:rsidR="00AD2554" w:rsidRPr="000F2520" w:rsidRDefault="00AD2554" w:rsidP="00E9663B">
            <w:pPr>
              <w:pStyle w:val="BodyText"/>
              <w:ind w:left="13"/>
            </w:pPr>
            <w:r w:rsidRPr="000F2520">
              <w:t>Ensures that information is accessible to authorised individuals when and where it is required.</w:t>
            </w:r>
          </w:p>
        </w:tc>
      </w:tr>
    </w:tbl>
    <w:p w14:paraId="5DFC24C7" w14:textId="77777777" w:rsidR="00AD2554" w:rsidRPr="000F2520" w:rsidRDefault="00AD2554" w:rsidP="003D2BA6">
      <w:pPr>
        <w:pStyle w:val="Heading2"/>
      </w:pPr>
      <w:bookmarkStart w:id="13" w:name="_Toc106613886"/>
      <w:r w:rsidRPr="000F2520">
        <w:t>Common threats to information</w:t>
      </w:r>
      <w:bookmarkEnd w:id="13"/>
      <w:r w:rsidRPr="000F2520">
        <w:t xml:space="preserve"> </w:t>
      </w:r>
    </w:p>
    <w:p w14:paraId="2D1BDA95" w14:textId="77777777" w:rsidR="00AD2554" w:rsidRPr="000F2520" w:rsidRDefault="00AD2554" w:rsidP="00AD2554">
      <w:r w:rsidRPr="000F2520">
        <w:t xml:space="preserve">Threats are not only capable of exploiting vulnerabilities in information systems, but also the vulnerabilities in the processes and people that support or use the information within those systems. Threats may come from internal or external sources. They may be accidental or deliberate, malicious, or well intending. Threats may impact on each of the elements of information security individually or on </w:t>
      </w:r>
      <w:proofErr w:type="gramStart"/>
      <w:r w:rsidRPr="000F2520">
        <w:t>all of</w:t>
      </w:r>
      <w:proofErr w:type="gramEnd"/>
      <w:r w:rsidRPr="000F2520">
        <w:t xml:space="preserve"> the elements concurrently. </w:t>
      </w:r>
    </w:p>
    <w:p w14:paraId="209D5C60" w14:textId="77777777" w:rsidR="00AD2554" w:rsidRPr="000F2520" w:rsidRDefault="00AD2554" w:rsidP="00AD2554">
      <w:r w:rsidRPr="000F2520">
        <w:t xml:space="preserve">In general, the information contained within </w:t>
      </w:r>
      <w:r>
        <w:t xml:space="preserve">CQRs </w:t>
      </w:r>
      <w:r w:rsidRPr="000F2520">
        <w:t xml:space="preserve">is not required to be available on a time-critical basis to end users; for example, to clinicians for clinical decision-making purposes. This document therefore prioritises the security elements of </w:t>
      </w:r>
      <w:r w:rsidRPr="000F2520">
        <w:rPr>
          <w:i/>
        </w:rPr>
        <w:t>confidentiality</w:t>
      </w:r>
      <w:r w:rsidRPr="000F2520">
        <w:t xml:space="preserve"> and </w:t>
      </w:r>
      <w:r w:rsidRPr="000F2520">
        <w:rPr>
          <w:i/>
        </w:rPr>
        <w:t>integrity</w:t>
      </w:r>
      <w:r w:rsidRPr="000F2520">
        <w:t xml:space="preserve"> over the element of information </w:t>
      </w:r>
      <w:r w:rsidRPr="000F2520">
        <w:rPr>
          <w:i/>
        </w:rPr>
        <w:t>availability</w:t>
      </w:r>
      <w:r w:rsidRPr="000F2520">
        <w:t xml:space="preserve"> for the protection of CQR information.</w:t>
      </w:r>
    </w:p>
    <w:p w14:paraId="4FED84F9" w14:textId="77777777" w:rsidR="00AD2554" w:rsidRDefault="00AD2554" w:rsidP="00AD2554">
      <w:r w:rsidRPr="000F2520">
        <w:lastRenderedPageBreak/>
        <w:t xml:space="preserve">The process of identification, categorisation, and assessment of threats to CQRs is an important part of this Guideline.  In essence, a threat ‘catalogue’ lists the set of potential ways that the information and functions of a CQR may be compromised. The listing of threats in (below) identifies </w:t>
      </w:r>
      <w:r>
        <w:t xml:space="preserve">the most </w:t>
      </w:r>
      <w:r w:rsidRPr="000F2520">
        <w:t>common threats and associated vulnerabilities that may exist within the CQR environment</w:t>
      </w:r>
      <w:r>
        <w:t>:</w:t>
      </w:r>
    </w:p>
    <w:p w14:paraId="661323D7" w14:textId="77777777" w:rsidR="00AD2554" w:rsidRPr="00684227" w:rsidRDefault="00AD2554" w:rsidP="00AD2554">
      <w:pPr>
        <w:pStyle w:val="ListParagraph"/>
        <w:numPr>
          <w:ilvl w:val="0"/>
          <w:numId w:val="58"/>
        </w:numPr>
        <w:spacing w:before="120"/>
        <w:rPr>
          <w:rFonts w:ascii="Arial" w:hAnsi="Arial" w:cs="Arial"/>
        </w:rPr>
      </w:pPr>
      <w:r w:rsidRPr="00684227">
        <w:rPr>
          <w:rFonts w:ascii="Arial" w:hAnsi="Arial" w:cs="Arial"/>
          <w:b/>
          <w:bCs/>
        </w:rPr>
        <w:t>Phishing</w:t>
      </w:r>
      <w:r w:rsidRPr="00684227">
        <w:rPr>
          <w:rFonts w:ascii="Arial" w:hAnsi="Arial" w:cs="Arial"/>
        </w:rPr>
        <w:br/>
        <w:t>This attack is designed to steal sensitive information, such as username and passwords. Phishing attacks impersonate reputable websites, and personal contacts, which come in the form of immediate phishing e-mails or messages designed to look legitimate.</w:t>
      </w:r>
      <w:r>
        <w:rPr>
          <w:rFonts w:ascii="Arial" w:hAnsi="Arial" w:cs="Arial"/>
        </w:rPr>
        <w:t xml:space="preserve"> </w:t>
      </w:r>
      <w:r w:rsidRPr="00684227">
        <w:rPr>
          <w:rFonts w:ascii="Arial" w:hAnsi="Arial" w:cs="Arial"/>
        </w:rPr>
        <w:t>Once the user click</w:t>
      </w:r>
      <w:r>
        <w:rPr>
          <w:rFonts w:ascii="Arial" w:hAnsi="Arial" w:cs="Arial"/>
        </w:rPr>
        <w:t>s</w:t>
      </w:r>
      <w:r w:rsidRPr="00684227">
        <w:rPr>
          <w:rFonts w:ascii="Arial" w:hAnsi="Arial" w:cs="Arial"/>
        </w:rPr>
        <w:t xml:space="preserve"> the URL or reply to the messages, you are prompted to enter your credentials, which then sends your data to the malicious source. The user may have the same credential that they are using to access the CQR system.</w:t>
      </w:r>
    </w:p>
    <w:p w14:paraId="0752D1B7" w14:textId="77777777" w:rsidR="00AD2554" w:rsidRPr="00684227" w:rsidRDefault="00AD2554" w:rsidP="00AD2554">
      <w:pPr>
        <w:pStyle w:val="ListParagraph"/>
        <w:rPr>
          <w:rFonts w:ascii="Arial" w:hAnsi="Arial" w:cs="Arial"/>
        </w:rPr>
      </w:pPr>
    </w:p>
    <w:p w14:paraId="0F440E75" w14:textId="77777777" w:rsidR="00AD2554" w:rsidRPr="00684227" w:rsidRDefault="00AD2554" w:rsidP="00AD2554">
      <w:pPr>
        <w:pStyle w:val="ListParagraph"/>
        <w:numPr>
          <w:ilvl w:val="0"/>
          <w:numId w:val="58"/>
        </w:numPr>
        <w:spacing w:before="120"/>
        <w:rPr>
          <w:rFonts w:ascii="Arial" w:hAnsi="Arial" w:cs="Arial"/>
        </w:rPr>
      </w:pPr>
      <w:r w:rsidRPr="00684227">
        <w:rPr>
          <w:rFonts w:ascii="Arial" w:hAnsi="Arial" w:cs="Arial"/>
          <w:b/>
          <w:bCs/>
        </w:rPr>
        <w:t>Virus or Malware or spyware attack</w:t>
      </w:r>
      <w:r w:rsidRPr="00684227">
        <w:rPr>
          <w:rFonts w:ascii="Arial" w:hAnsi="Arial" w:cs="Arial"/>
        </w:rPr>
        <w:br/>
        <w:t>Attacks use many methods to get malware into a user’s device via SMS or Email by asking user to click link to download.</w:t>
      </w:r>
      <w:r>
        <w:rPr>
          <w:rFonts w:ascii="Arial" w:hAnsi="Arial" w:cs="Arial"/>
        </w:rPr>
        <w:t xml:space="preserve"> </w:t>
      </w:r>
      <w:r w:rsidRPr="00684227">
        <w:rPr>
          <w:rFonts w:ascii="Arial" w:hAnsi="Arial" w:cs="Arial"/>
        </w:rPr>
        <w:t>Once malware is installed, it can monitor user activities, send confidential data to the attacker, assist the attacker in penetrating other targets within healthcare provider IT network.</w:t>
      </w:r>
    </w:p>
    <w:p w14:paraId="40EB6217" w14:textId="77777777" w:rsidR="00AD2554" w:rsidRPr="00684227" w:rsidRDefault="00AD2554" w:rsidP="00AD2554">
      <w:pPr>
        <w:pStyle w:val="ListParagraph"/>
        <w:rPr>
          <w:rFonts w:ascii="Arial" w:hAnsi="Arial" w:cs="Arial"/>
        </w:rPr>
      </w:pPr>
    </w:p>
    <w:p w14:paraId="211EE00D" w14:textId="77777777" w:rsidR="00AD2554" w:rsidRDefault="00AD2554" w:rsidP="00AD2554">
      <w:pPr>
        <w:pStyle w:val="ListParagraph"/>
        <w:numPr>
          <w:ilvl w:val="0"/>
          <w:numId w:val="58"/>
        </w:numPr>
        <w:spacing w:before="120"/>
        <w:rPr>
          <w:rFonts w:ascii="Arial" w:hAnsi="Arial" w:cs="Arial"/>
        </w:rPr>
      </w:pPr>
      <w:r w:rsidRPr="00684227">
        <w:rPr>
          <w:rFonts w:ascii="Arial" w:hAnsi="Arial" w:cs="Arial"/>
          <w:b/>
          <w:bCs/>
        </w:rPr>
        <w:t>Password attacks</w:t>
      </w:r>
      <w:r w:rsidRPr="00684227">
        <w:rPr>
          <w:rFonts w:ascii="Arial" w:hAnsi="Arial" w:cs="Arial"/>
        </w:rPr>
        <w:br/>
        <w:t>A hacker can gain access to the password information of an individual by ‘sniffing’ the connection to the IT network, guessing, or gaining access to the CQR System. An attacker can also guess a password in a random or systematic way.</w:t>
      </w:r>
    </w:p>
    <w:p w14:paraId="38862871" w14:textId="77777777" w:rsidR="00AD2554" w:rsidRPr="00684227" w:rsidRDefault="00AD2554" w:rsidP="00AD2554">
      <w:pPr>
        <w:pStyle w:val="ListParagraph"/>
        <w:rPr>
          <w:rFonts w:ascii="Arial" w:hAnsi="Arial" w:cs="Arial"/>
        </w:rPr>
      </w:pPr>
    </w:p>
    <w:p w14:paraId="0DCA491A" w14:textId="77777777" w:rsidR="00AD2554" w:rsidRPr="00684227" w:rsidRDefault="00AD2554" w:rsidP="00AD2554">
      <w:pPr>
        <w:pStyle w:val="ListParagraph"/>
        <w:numPr>
          <w:ilvl w:val="0"/>
          <w:numId w:val="58"/>
        </w:numPr>
        <w:spacing w:before="120"/>
        <w:rPr>
          <w:rFonts w:ascii="Arial" w:hAnsi="Arial" w:cs="Arial"/>
          <w:b/>
          <w:bCs/>
        </w:rPr>
      </w:pPr>
      <w:r w:rsidRPr="00684227">
        <w:rPr>
          <w:rFonts w:ascii="Arial" w:hAnsi="Arial" w:cs="Arial"/>
          <w:b/>
          <w:bCs/>
        </w:rPr>
        <w:t>SQL injection attack</w:t>
      </w:r>
    </w:p>
    <w:p w14:paraId="246319F4" w14:textId="77777777" w:rsidR="00AD2554" w:rsidRPr="00DF21EE" w:rsidRDefault="00AD2554" w:rsidP="00AD2554">
      <w:pPr>
        <w:pStyle w:val="ListParagraph"/>
        <w:shd w:val="clear" w:color="auto" w:fill="FFFFFF"/>
        <w:spacing w:before="100" w:beforeAutospacing="1" w:after="100" w:afterAutospacing="1"/>
        <w:rPr>
          <w:rFonts w:ascii="Arial" w:hAnsi="Arial" w:cs="Arial"/>
          <w:lang w:eastAsia="zh-CN"/>
        </w:rPr>
      </w:pPr>
      <w:r w:rsidRPr="00DF21EE">
        <w:rPr>
          <w:rFonts w:ascii="Arial" w:hAnsi="Arial" w:cs="Arial"/>
          <w:lang w:eastAsia="zh-CN"/>
        </w:rPr>
        <w:t xml:space="preserve">SQL injection is a web security vulnerability that allows an attacker to interfere with the queries that an application makes to its database. It generally allows an attacker to view data that they are not normally able to retrieve. This might include data belonging to other users, or any other data that the application itself is able to access. In many cases, an attacker can modify or delete this data, causing persistent changes to the application's content or behaviour. </w:t>
      </w:r>
    </w:p>
    <w:p w14:paraId="06349677" w14:textId="77777777" w:rsidR="00AD2554" w:rsidRDefault="00AD2554" w:rsidP="00AD2554">
      <w:r w:rsidRPr="000F2520">
        <w:t xml:space="preserve">To help </w:t>
      </w:r>
      <w:r>
        <w:t xml:space="preserve">fully </w:t>
      </w:r>
      <w:r w:rsidRPr="000F2520">
        <w:t xml:space="preserve">identify threats that CQRs may encounter, please refer to section 4.4 of </w:t>
      </w:r>
      <w:hyperlink r:id="rId22" w:history="1">
        <w:r w:rsidRPr="000F2520">
          <w:rPr>
            <w:rStyle w:val="Hyperlink"/>
            <w:rFonts w:cs="Arial"/>
          </w:rPr>
          <w:t>NESAF v4 - Business Blueprint v1.0</w:t>
        </w:r>
      </w:hyperlink>
      <w:r w:rsidRPr="000F2520">
        <w:t>.</w:t>
      </w:r>
    </w:p>
    <w:p w14:paraId="2A7D19D1" w14:textId="77777777" w:rsidR="00AD2554" w:rsidRPr="000F2520" w:rsidRDefault="00AD2554" w:rsidP="00AD2554">
      <w:r w:rsidRPr="000F2520">
        <w:t xml:space="preserve">Section </w:t>
      </w:r>
      <w:r w:rsidRPr="001A461D">
        <w:fldChar w:fldCharType="begin"/>
      </w:r>
      <w:r w:rsidRPr="000F2520">
        <w:instrText xml:space="preserve"> REF _Ref320004078 \r \h </w:instrText>
      </w:r>
      <w:r w:rsidRPr="001A461D">
        <w:fldChar w:fldCharType="separate"/>
      </w:r>
      <w:r>
        <w:t>6</w:t>
      </w:r>
      <w:r w:rsidRPr="001A461D">
        <w:fldChar w:fldCharType="end"/>
      </w:r>
      <w:r w:rsidRPr="000F2520">
        <w:t xml:space="preserve"> of this Guideline </w:t>
      </w:r>
      <w:r w:rsidRPr="000A5716">
        <w:t>provides detailed guidance and explanation on each security control, categorised by security domain</w:t>
      </w:r>
      <w:r>
        <w:t xml:space="preserve"> </w:t>
      </w:r>
      <w:r w:rsidRPr="000F2520">
        <w:t>details the controls that will facilitate secure operation in an environment characterised by such threats.</w:t>
      </w:r>
    </w:p>
    <w:p w14:paraId="1C541E73" w14:textId="77777777" w:rsidR="00AD2554" w:rsidRPr="000F2520" w:rsidRDefault="00AD2554" w:rsidP="003D2BA6">
      <w:pPr>
        <w:pStyle w:val="Heading2"/>
      </w:pPr>
      <w:bookmarkStart w:id="14" w:name="_Toc103165805"/>
      <w:bookmarkStart w:id="15" w:name="_Toc106613887"/>
      <w:bookmarkEnd w:id="14"/>
      <w:r w:rsidRPr="000F2520">
        <w:t xml:space="preserve">Legislation and </w:t>
      </w:r>
      <w:r>
        <w:t>r</w:t>
      </w:r>
      <w:r w:rsidRPr="000F2520">
        <w:t>egulation</w:t>
      </w:r>
      <w:bookmarkEnd w:id="15"/>
      <w:r w:rsidRPr="000F2520">
        <w:t xml:space="preserve"> </w:t>
      </w:r>
    </w:p>
    <w:p w14:paraId="6220EC1B" w14:textId="77777777" w:rsidR="00AD2554" w:rsidRPr="000F2520" w:rsidRDefault="00AD2554" w:rsidP="00AD2554">
      <w:r>
        <w:t xml:space="preserve">In </w:t>
      </w:r>
      <w:r w:rsidRPr="000F2520">
        <w:t xml:space="preserve">Australia </w:t>
      </w:r>
      <w:r>
        <w:t xml:space="preserve">there is Commonwealth, state and territory </w:t>
      </w:r>
      <w:r w:rsidRPr="000F2520">
        <w:t>and</w:t>
      </w:r>
      <w:r>
        <w:t xml:space="preserve"> </w:t>
      </w:r>
      <w:r w:rsidRPr="000F2520">
        <w:t>private health sector</w:t>
      </w:r>
      <w:r w:rsidRPr="000F2520" w:rsidDel="009D0512">
        <w:t xml:space="preserve"> </w:t>
      </w:r>
      <w:r w:rsidRPr="000F2520">
        <w:t xml:space="preserve">legislation, regulation, principles, and policies </w:t>
      </w:r>
      <w:r>
        <w:t xml:space="preserve">relating to </w:t>
      </w:r>
      <w:r w:rsidRPr="000F2520">
        <w:t xml:space="preserve">privacy of personal health information. </w:t>
      </w:r>
    </w:p>
    <w:p w14:paraId="240EA8D8" w14:textId="77777777" w:rsidR="00AD2554" w:rsidRPr="000F2520" w:rsidRDefault="00AD2554" w:rsidP="00AD2554">
      <w:r w:rsidRPr="000F2520">
        <w:lastRenderedPageBreak/>
        <w:t xml:space="preserve">Commonwealth Government agencies and </w:t>
      </w:r>
      <w:r>
        <w:t xml:space="preserve">the </w:t>
      </w:r>
      <w:r w:rsidRPr="000F2520">
        <w:t>A</w:t>
      </w:r>
      <w:r>
        <w:t>ustralian Capital Territory (A</w:t>
      </w:r>
      <w:r w:rsidRPr="000F2520">
        <w:t>CT</w:t>
      </w:r>
      <w:r>
        <w:t>)</w:t>
      </w:r>
      <w:r w:rsidRPr="000F2520">
        <w:t xml:space="preserve"> Government agencies are covered under the </w:t>
      </w:r>
      <w:r w:rsidRPr="000F2520">
        <w:rPr>
          <w:i/>
        </w:rPr>
        <w:t>Privacy Act 1988</w:t>
      </w:r>
      <w:r w:rsidRPr="000F2520">
        <w:rPr>
          <w:rStyle w:val="FootnoteReference"/>
          <w:i/>
        </w:rPr>
        <w:footnoteReference w:id="3"/>
      </w:r>
      <w:r w:rsidRPr="000F2520">
        <w:rPr>
          <w:i/>
        </w:rPr>
        <w:t xml:space="preserve"> </w:t>
      </w:r>
      <w:r w:rsidRPr="000F2520">
        <w:t>and subject Section 95 to</w:t>
      </w:r>
      <w:r w:rsidRPr="000F2520">
        <w:rPr>
          <w:i/>
        </w:rPr>
        <w:t xml:space="preserve"> </w:t>
      </w:r>
      <w:r w:rsidRPr="000F2520">
        <w:t xml:space="preserve">Information Privacy Principles. </w:t>
      </w:r>
      <w:r w:rsidRPr="000F2520">
        <w:rPr>
          <w:i/>
        </w:rPr>
        <w:t xml:space="preserve">Guidelines under Section 95 of the Privacy Act 1988 state </w:t>
      </w:r>
      <w:r w:rsidRPr="000F2520">
        <w:t>“security standards [are] to be applied to the personal information…in a form that is at least as secure as it was in the sources from which the personal information was obtained.” Additionally, Information Privacy Principle 4 is concerned with the storage and security of personal information.</w:t>
      </w:r>
    </w:p>
    <w:p w14:paraId="6170228F" w14:textId="77777777" w:rsidR="00AD2554" w:rsidRPr="000F2520" w:rsidRDefault="00AD2554" w:rsidP="00AD2554">
      <w:r w:rsidRPr="000F2520">
        <w:t xml:space="preserve">Organisations in the private health sector are also </w:t>
      </w:r>
      <w:r>
        <w:t>required to comply with</w:t>
      </w:r>
      <w:r w:rsidRPr="000F2520">
        <w:t xml:space="preserve"> the </w:t>
      </w:r>
      <w:r w:rsidRPr="000F2520">
        <w:rPr>
          <w:i/>
        </w:rPr>
        <w:t>Privacy Act 1988</w:t>
      </w:r>
      <w:r w:rsidRPr="000F2520">
        <w:t xml:space="preserve"> but are subject to Section 95A and the National Privacy Principles. National Privacy Principle 4 is specifically concerned with data security.</w:t>
      </w:r>
    </w:p>
    <w:p w14:paraId="25EABBB7" w14:textId="77777777" w:rsidR="00AD2554" w:rsidRPr="000F2520" w:rsidRDefault="00AD2554" w:rsidP="00AD2554">
      <w:r w:rsidRPr="000F2520">
        <w:t xml:space="preserve">The </w:t>
      </w:r>
      <w:r>
        <w:t>s</w:t>
      </w:r>
      <w:r w:rsidRPr="000F2520">
        <w:t>tates and the Northern Territory are subject to varying legislative Acts, regulations, privacy principles and policies. For up-to-date information on privacy law in the States and the Northern Territory, refer to the Office of the Australian Information Privacy Commission.</w:t>
      </w:r>
      <w:r>
        <w:t xml:space="preserve"> A summary of current legislation and health data custodial arrangements is also available on the </w:t>
      </w:r>
      <w:hyperlink r:id="rId23" w:history="1">
        <w:r w:rsidRPr="00281C1B">
          <w:rPr>
            <w:rStyle w:val="Hyperlink"/>
            <w:rFonts w:cs="Arial"/>
          </w:rPr>
          <w:t>Commission’s website</w:t>
        </w:r>
      </w:hyperlink>
      <w:r>
        <w:t xml:space="preserve">. </w:t>
      </w:r>
    </w:p>
    <w:p w14:paraId="3930274F" w14:textId="77777777" w:rsidR="00AD2554" w:rsidRPr="000F2520" w:rsidRDefault="00AD2554" w:rsidP="00AD2554">
      <w:r w:rsidRPr="000F2520">
        <w:t>In addition to taking appropriate measures to adequately secure information held in CQRs, it is recommended that operators of registries seek additional advice about the privacy issues that may affect the information that they hold.</w:t>
      </w:r>
    </w:p>
    <w:p w14:paraId="0760D4A6" w14:textId="77777777" w:rsidR="00AD2554" w:rsidRPr="000F2520" w:rsidRDefault="00AD2554" w:rsidP="003D2BA6">
      <w:pPr>
        <w:pStyle w:val="Heading2"/>
      </w:pPr>
      <w:bookmarkStart w:id="16" w:name="_Toc106613888"/>
      <w:r w:rsidRPr="000F2520">
        <w:t>Approaches to managing risk</w:t>
      </w:r>
      <w:bookmarkEnd w:id="16"/>
    </w:p>
    <w:p w14:paraId="28CA9AB4" w14:textId="77777777" w:rsidR="00AD2554" w:rsidRPr="000F2520" w:rsidRDefault="00AD2554" w:rsidP="00AD2554">
      <w:r w:rsidRPr="000F2520">
        <w:t xml:space="preserve">The approach to managing security risk can take a range of forms, and it may not be practical for an organisation to address all identified risks. Priority should be given to those threats and associated vulnerabilities that have the highest likelihood of compromising the confidentiality, integrity, and availability of healthcare information and those that have the potential for greatest impact on the CQR and its information, should a compromise be realised. </w:t>
      </w:r>
    </w:p>
    <w:p w14:paraId="7F9DC048" w14:textId="77777777" w:rsidR="00AD2554" w:rsidRPr="000F2520" w:rsidRDefault="00AD2554" w:rsidP="00AD2554">
      <w:r w:rsidRPr="000F2520">
        <w:t>Risk management options</w:t>
      </w:r>
      <w:r w:rsidRPr="000F2520">
        <w:rPr>
          <w:rStyle w:val="FootnoteReference"/>
        </w:rPr>
        <w:footnoteReference w:id="4"/>
      </w:r>
      <w:r w:rsidRPr="000F2520">
        <w:t xml:space="preserve"> can include:</w:t>
      </w:r>
    </w:p>
    <w:p w14:paraId="61E682A4" w14:textId="77777777" w:rsidR="00AD2554" w:rsidRPr="000F2520" w:rsidRDefault="00AD2554" w:rsidP="00AD2554">
      <w:pPr>
        <w:numPr>
          <w:ilvl w:val="0"/>
          <w:numId w:val="55"/>
        </w:numPr>
        <w:overflowPunct w:val="0"/>
        <w:autoSpaceDE w:val="0"/>
        <w:autoSpaceDN w:val="0"/>
        <w:adjustRightInd w:val="0"/>
        <w:spacing w:before="120" w:after="120" w:line="240" w:lineRule="auto"/>
        <w:textAlignment w:val="baseline"/>
      </w:pPr>
      <w:r w:rsidRPr="000F2520">
        <w:t>Risk avoidance – risk is avoided by deciding not to start or continue with the activity that would cause the risk.</w:t>
      </w:r>
    </w:p>
    <w:p w14:paraId="632EAA6A" w14:textId="77777777" w:rsidR="00AD2554" w:rsidRPr="000F2520" w:rsidRDefault="00AD2554" w:rsidP="00AD2554">
      <w:pPr>
        <w:numPr>
          <w:ilvl w:val="0"/>
          <w:numId w:val="55"/>
        </w:numPr>
        <w:overflowPunct w:val="0"/>
        <w:autoSpaceDE w:val="0"/>
        <w:autoSpaceDN w:val="0"/>
        <w:adjustRightInd w:val="0"/>
        <w:spacing w:before="120" w:after="120" w:line="240" w:lineRule="auto"/>
        <w:textAlignment w:val="baseline"/>
      </w:pPr>
      <w:r w:rsidRPr="000F2520">
        <w:t>Risk acceptance – accept the potential risk but put plans in place to manage the consequences of the risk should it occur.</w:t>
      </w:r>
    </w:p>
    <w:p w14:paraId="104C8060" w14:textId="77777777" w:rsidR="00AD2554" w:rsidRPr="000F2520" w:rsidRDefault="00AD2554" w:rsidP="00AD2554">
      <w:pPr>
        <w:numPr>
          <w:ilvl w:val="0"/>
          <w:numId w:val="55"/>
        </w:numPr>
        <w:overflowPunct w:val="0"/>
        <w:autoSpaceDE w:val="0"/>
        <w:autoSpaceDN w:val="0"/>
        <w:adjustRightInd w:val="0"/>
        <w:spacing w:before="120" w:after="120" w:line="240" w:lineRule="auto"/>
        <w:textAlignment w:val="baseline"/>
      </w:pPr>
      <w:r w:rsidRPr="000F2520">
        <w:t>Changing the likelihood – through implementation of controls and preventative actions e.g., audit and compliance programs, contract conditions, policies and procedures, testing.</w:t>
      </w:r>
    </w:p>
    <w:p w14:paraId="61E58A83" w14:textId="77777777" w:rsidR="00AD2554" w:rsidRPr="000F2520" w:rsidRDefault="00AD2554" w:rsidP="00AD2554">
      <w:pPr>
        <w:numPr>
          <w:ilvl w:val="0"/>
          <w:numId w:val="55"/>
        </w:numPr>
        <w:overflowPunct w:val="0"/>
        <w:autoSpaceDE w:val="0"/>
        <w:autoSpaceDN w:val="0"/>
        <w:adjustRightInd w:val="0"/>
        <w:spacing w:before="120" w:after="120" w:line="240" w:lineRule="auto"/>
        <w:textAlignment w:val="baseline"/>
      </w:pPr>
      <w:r w:rsidRPr="000F2520">
        <w:t>Changing the consequences – through implementation of controls such as business continuity management, disaster recovery, back-up, emergency procedures, to reduce the consequences of the risk occurring.</w:t>
      </w:r>
    </w:p>
    <w:p w14:paraId="3DFFA0CD" w14:textId="77777777" w:rsidR="00AD2554" w:rsidRPr="000F2520" w:rsidRDefault="00AD2554" w:rsidP="00AD2554">
      <w:pPr>
        <w:numPr>
          <w:ilvl w:val="0"/>
          <w:numId w:val="55"/>
        </w:numPr>
        <w:overflowPunct w:val="0"/>
        <w:autoSpaceDE w:val="0"/>
        <w:autoSpaceDN w:val="0"/>
        <w:adjustRightInd w:val="0"/>
        <w:spacing w:before="120" w:after="120" w:line="240" w:lineRule="auto"/>
        <w:textAlignment w:val="baseline"/>
      </w:pPr>
      <w:r w:rsidRPr="000F2520">
        <w:lastRenderedPageBreak/>
        <w:t xml:space="preserve">Risk transfer – sharing the risk with another party or parties </w:t>
      </w:r>
      <w:proofErr w:type="gramStart"/>
      <w:r w:rsidRPr="000F2520">
        <w:t>e.g</w:t>
      </w:r>
      <w:r>
        <w:t>.</w:t>
      </w:r>
      <w:proofErr w:type="gramEnd"/>
      <w:r w:rsidRPr="000F2520">
        <w:t xml:space="preserve"> through the use of contracts, insurance, outsourcing arrangements.</w:t>
      </w:r>
    </w:p>
    <w:p w14:paraId="12C8B0D1" w14:textId="77777777" w:rsidR="00AD2554" w:rsidRPr="000F2520" w:rsidRDefault="00AD2554" w:rsidP="00AD2554">
      <w:r w:rsidRPr="000F2520">
        <w:t xml:space="preserve">When selecting an approach and controls to manage risk, there is a balance to be struck between mitigating the risk, and the time, effort and resources required to mitigate against the risk. </w:t>
      </w:r>
      <w:r w:rsidRPr="001A461D">
        <w:fldChar w:fldCharType="begin"/>
      </w:r>
      <w:r w:rsidRPr="000F2520">
        <w:instrText xml:space="preserve"> REF _Ref295861814 \h  \* MERGEFORMAT </w:instrText>
      </w:r>
      <w:r w:rsidRPr="001A461D">
        <w:fldChar w:fldCharType="separate"/>
      </w:r>
      <w:r w:rsidRPr="000F2520">
        <w:t xml:space="preserve">Figure </w:t>
      </w:r>
      <w:r>
        <w:rPr>
          <w:noProof/>
        </w:rPr>
        <w:t>1</w:t>
      </w:r>
      <w:r w:rsidRPr="001A461D">
        <w:fldChar w:fldCharType="end"/>
      </w:r>
      <w:r w:rsidRPr="000F2520">
        <w:t xml:space="preserve"> illustrates the trade-off that organisations should consider in relation to selecting and implementing appropriate controls. </w:t>
      </w:r>
    </w:p>
    <w:p w14:paraId="3833FB52" w14:textId="77777777" w:rsidR="00AD2554" w:rsidRPr="000F2520" w:rsidRDefault="00AD2554" w:rsidP="00AD2554">
      <w:r w:rsidRPr="000F2520">
        <w:t xml:space="preserve">The costs of implementing controls must be justified by the reduction in the level of risk or assessed against the risks associated with not implementing the control. Almost no information system is risk free and not all implemented controls can </w:t>
      </w:r>
      <w:proofErr w:type="gramStart"/>
      <w:r w:rsidRPr="000F2520">
        <w:t>completely eliminate</w:t>
      </w:r>
      <w:proofErr w:type="gramEnd"/>
      <w:r w:rsidRPr="000F2520">
        <w:t xml:space="preserve"> the risk they are intended to address or reduce the risk level to zero. The risk remaining after implementing new controls is the residual risk.</w:t>
      </w:r>
    </w:p>
    <w:p w14:paraId="3D3D57E0" w14:textId="77777777" w:rsidR="00AD2554" w:rsidRPr="000F2520" w:rsidRDefault="00AD2554" w:rsidP="00AD2554"/>
    <w:p w14:paraId="7560F31B" w14:textId="77777777" w:rsidR="00AD2554" w:rsidRPr="000A5716" w:rsidRDefault="00AD2554" w:rsidP="00AD2554">
      <w:pPr>
        <w:pStyle w:val="Caption"/>
        <w:rPr>
          <w:color w:val="1F3864" w:themeColor="accent1" w:themeShade="80"/>
          <w:sz w:val="22"/>
          <w:szCs w:val="22"/>
        </w:rPr>
      </w:pPr>
      <w:bookmarkStart w:id="17" w:name="_Ref295861814"/>
      <w:bookmarkStart w:id="18" w:name="_Toc320014125"/>
      <w:bookmarkStart w:id="19" w:name="_Toc320014191"/>
      <w:bookmarkStart w:id="20" w:name="_Toc320014610"/>
      <w:bookmarkStart w:id="21" w:name="_Toc320087951"/>
      <w:bookmarkStart w:id="22" w:name="_Toc103165881"/>
      <w:r w:rsidRPr="000A5716">
        <w:rPr>
          <w:color w:val="1F3864" w:themeColor="accent1" w:themeShade="80"/>
          <w:sz w:val="22"/>
          <w:szCs w:val="22"/>
        </w:rPr>
        <w:t xml:space="preserve">Figure </w:t>
      </w:r>
      <w:r w:rsidR="009F6BDA" w:rsidRPr="000A5716">
        <w:rPr>
          <w:color w:val="1F3864" w:themeColor="accent1" w:themeShade="80"/>
          <w:sz w:val="22"/>
          <w:szCs w:val="22"/>
        </w:rPr>
        <w:fldChar w:fldCharType="begin"/>
      </w:r>
      <w:r w:rsidR="009F6BDA" w:rsidRPr="000A5716">
        <w:rPr>
          <w:color w:val="1F3864" w:themeColor="accent1" w:themeShade="80"/>
          <w:sz w:val="22"/>
          <w:szCs w:val="22"/>
        </w:rPr>
        <w:instrText xml:space="preserve"> SEQ Figure \* ARABIC </w:instrText>
      </w:r>
      <w:r w:rsidR="009F6BDA" w:rsidRPr="000A5716">
        <w:rPr>
          <w:color w:val="1F3864" w:themeColor="accent1" w:themeShade="80"/>
          <w:sz w:val="22"/>
          <w:szCs w:val="22"/>
        </w:rPr>
        <w:fldChar w:fldCharType="separate"/>
      </w:r>
      <w:r w:rsidRPr="000A5716">
        <w:rPr>
          <w:noProof/>
          <w:color w:val="1F3864" w:themeColor="accent1" w:themeShade="80"/>
          <w:sz w:val="22"/>
          <w:szCs w:val="22"/>
        </w:rPr>
        <w:t>1</w:t>
      </w:r>
      <w:r w:rsidR="009F6BDA" w:rsidRPr="000A5716">
        <w:rPr>
          <w:noProof/>
          <w:color w:val="1F3864" w:themeColor="accent1" w:themeShade="80"/>
          <w:sz w:val="22"/>
          <w:szCs w:val="22"/>
        </w:rPr>
        <w:fldChar w:fldCharType="end"/>
      </w:r>
      <w:bookmarkEnd w:id="17"/>
      <w:r w:rsidRPr="000A5716">
        <w:rPr>
          <w:color w:val="1F3864" w:themeColor="accent1" w:themeShade="80"/>
          <w:sz w:val="22"/>
          <w:szCs w:val="22"/>
        </w:rPr>
        <w:t>: Cost-benefit trade-off – risk treatment options</w:t>
      </w:r>
      <w:bookmarkEnd w:id="18"/>
      <w:bookmarkEnd w:id="19"/>
      <w:bookmarkEnd w:id="20"/>
      <w:bookmarkEnd w:id="21"/>
      <w:bookmarkEnd w:id="22"/>
    </w:p>
    <w:p w14:paraId="235B3EA2" w14:textId="77777777" w:rsidR="00AD2554" w:rsidRPr="000F2520" w:rsidRDefault="00AD2554" w:rsidP="00AD2554">
      <w:pPr>
        <w:pStyle w:val="Figure"/>
      </w:pPr>
    </w:p>
    <w:p w14:paraId="7E7E8F02" w14:textId="77777777" w:rsidR="00AD2554" w:rsidRPr="000F2520" w:rsidRDefault="00AD2554" w:rsidP="00AD2554">
      <w:r w:rsidRPr="00E336F3">
        <w:rPr>
          <w:noProof/>
        </w:rPr>
        <mc:AlternateContent>
          <mc:Choice Requires="wpg">
            <w:drawing>
              <wp:anchor distT="0" distB="0" distL="114300" distR="114300" simplePos="0" relativeHeight="251671552" behindDoc="0" locked="0" layoutInCell="1" allowOverlap="1" wp14:anchorId="575C0911" wp14:editId="17AD09D2">
                <wp:simplePos x="0" y="0"/>
                <wp:positionH relativeFrom="column">
                  <wp:posOffset>629668</wp:posOffset>
                </wp:positionH>
                <wp:positionV relativeFrom="paragraph">
                  <wp:posOffset>151556</wp:posOffset>
                </wp:positionV>
                <wp:extent cx="3945698" cy="3695178"/>
                <wp:effectExtent l="0" t="0" r="0" b="635"/>
                <wp:wrapNone/>
                <wp:docPr id="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5698" cy="3695178"/>
                          <a:chOff x="2691" y="3160"/>
                          <a:chExt cx="7590" cy="5068"/>
                        </a:xfrm>
                      </wpg:grpSpPr>
                      <wps:wsp>
                        <wps:cNvPr id="7" name="Rectangle 61"/>
                        <wps:cNvSpPr>
                          <a:spLocks noChangeArrowheads="1"/>
                        </wps:cNvSpPr>
                        <wps:spPr bwMode="auto">
                          <a:xfrm>
                            <a:off x="3791" y="6780"/>
                            <a:ext cx="5170" cy="724"/>
                          </a:xfrm>
                          <a:prstGeom prst="rect">
                            <a:avLst/>
                          </a:prstGeom>
                          <a:pattFill prst="dkUpDiag">
                            <a:fgClr>
                              <a:srgbClr val="FF66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Line 41"/>
                        <wps:cNvCnPr>
                          <a:cxnSpLocks noChangeShapeType="1"/>
                        </wps:cNvCnPr>
                        <wps:spPr bwMode="auto">
                          <a:xfrm flipH="1">
                            <a:off x="8081" y="5927"/>
                            <a:ext cx="770" cy="843"/>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3" name="Text Box 45"/>
                        <wps:cNvSpPr txBox="1">
                          <a:spLocks noChangeArrowheads="1"/>
                        </wps:cNvSpPr>
                        <wps:spPr bwMode="auto">
                          <a:xfrm>
                            <a:off x="8961" y="5694"/>
                            <a:ext cx="1320" cy="16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CD3A12" w14:textId="77777777" w:rsidR="00DD6E59" w:rsidRPr="00E36481" w:rsidRDefault="00DD6E59" w:rsidP="00AD2554">
                              <w:pPr>
                                <w:spacing w:after="0"/>
                                <w:ind w:right="-81"/>
                                <w:rPr>
                                  <w:b/>
                                  <w:sz w:val="16"/>
                                  <w:szCs w:val="16"/>
                                  <w:lang w:val="en-US"/>
                                </w:rPr>
                              </w:pPr>
                              <w:r w:rsidRPr="00E36481">
                                <w:rPr>
                                  <w:b/>
                                  <w:sz w:val="16"/>
                                  <w:szCs w:val="16"/>
                                  <w:lang w:val="en-US"/>
                                </w:rPr>
                                <w:t>Point beyond which additional expenditure confers no further reduction in risk</w:t>
                              </w:r>
                            </w:p>
                          </w:txbxContent>
                        </wps:txbx>
                        <wps:bodyPr rot="0" vert="horz" wrap="square" lIns="25400" tIns="12700" rIns="25400" bIns="12700" anchor="t" anchorCtr="0" upright="1">
                          <a:noAutofit/>
                        </wps:bodyPr>
                      </wps:wsp>
                      <wps:wsp>
                        <wps:cNvPr id="16" name="Line 59"/>
                        <wps:cNvCnPr>
                          <a:cxnSpLocks noChangeShapeType="1"/>
                        </wps:cNvCnPr>
                        <wps:spPr bwMode="auto">
                          <a:xfrm>
                            <a:off x="3791" y="3160"/>
                            <a:ext cx="0" cy="43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 name="Line 60"/>
                        <wps:cNvCnPr>
                          <a:cxnSpLocks noChangeShapeType="1"/>
                        </wps:cNvCnPr>
                        <wps:spPr bwMode="auto">
                          <a:xfrm flipH="1" flipV="1">
                            <a:off x="3791" y="7504"/>
                            <a:ext cx="51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 name="Arc 64"/>
                        <wps:cNvSpPr>
                          <a:spLocks/>
                        </wps:cNvSpPr>
                        <wps:spPr bwMode="auto">
                          <a:xfrm rot="10800000">
                            <a:off x="3791" y="3160"/>
                            <a:ext cx="5155" cy="3619"/>
                          </a:xfrm>
                          <a:custGeom>
                            <a:avLst/>
                            <a:gdLst>
                              <a:gd name="G0" fmla="+- 1942 0 0"/>
                              <a:gd name="G1" fmla="+- 21600 0 0"/>
                              <a:gd name="G2" fmla="+- 21600 0 0"/>
                              <a:gd name="T0" fmla="*/ 0 w 23542"/>
                              <a:gd name="T1" fmla="*/ 88 h 21600"/>
                              <a:gd name="T2" fmla="*/ 23542 w 23542"/>
                              <a:gd name="T3" fmla="*/ 21459 h 21600"/>
                              <a:gd name="T4" fmla="*/ 1942 w 23542"/>
                              <a:gd name="T5" fmla="*/ 21600 h 21600"/>
                            </a:gdLst>
                            <a:ahLst/>
                            <a:cxnLst>
                              <a:cxn ang="0">
                                <a:pos x="T0" y="T1"/>
                              </a:cxn>
                              <a:cxn ang="0">
                                <a:pos x="T2" y="T3"/>
                              </a:cxn>
                              <a:cxn ang="0">
                                <a:pos x="T4" y="T5"/>
                              </a:cxn>
                            </a:cxnLst>
                            <a:rect l="0" t="0" r="r" b="b"/>
                            <a:pathLst>
                              <a:path w="23542" h="21600" fill="none" extrusionOk="0">
                                <a:moveTo>
                                  <a:pt x="-1" y="87"/>
                                </a:moveTo>
                                <a:cubicBezTo>
                                  <a:pt x="645" y="29"/>
                                  <a:pt x="1293" y="0"/>
                                  <a:pt x="1942" y="0"/>
                                </a:cubicBezTo>
                                <a:cubicBezTo>
                                  <a:pt x="13816" y="0"/>
                                  <a:pt x="23464" y="9584"/>
                                  <a:pt x="23541" y="21459"/>
                                </a:cubicBezTo>
                              </a:path>
                              <a:path w="23542" h="21600" stroke="0" extrusionOk="0">
                                <a:moveTo>
                                  <a:pt x="-1" y="87"/>
                                </a:moveTo>
                                <a:cubicBezTo>
                                  <a:pt x="645" y="29"/>
                                  <a:pt x="1293" y="0"/>
                                  <a:pt x="1942" y="0"/>
                                </a:cubicBezTo>
                                <a:cubicBezTo>
                                  <a:pt x="13816" y="0"/>
                                  <a:pt x="23464" y="9584"/>
                                  <a:pt x="23541" y="21459"/>
                                </a:cubicBezTo>
                                <a:lnTo>
                                  <a:pt x="194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67"/>
                        <wps:cNvCnPr>
                          <a:cxnSpLocks noChangeShapeType="1"/>
                        </wps:cNvCnPr>
                        <wps:spPr bwMode="auto">
                          <a:xfrm>
                            <a:off x="8081" y="3341"/>
                            <a:ext cx="0" cy="4344"/>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20" name="Line 77"/>
                        <wps:cNvCnPr>
                          <a:cxnSpLocks noChangeShapeType="1"/>
                        </wps:cNvCnPr>
                        <wps:spPr bwMode="auto">
                          <a:xfrm flipH="1">
                            <a:off x="5881" y="5332"/>
                            <a:ext cx="550" cy="181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1" name="Text Box 78"/>
                        <wps:cNvSpPr txBox="1">
                          <a:spLocks noChangeArrowheads="1"/>
                        </wps:cNvSpPr>
                        <wps:spPr bwMode="auto">
                          <a:xfrm>
                            <a:off x="6321" y="4970"/>
                            <a:ext cx="1320"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015BF" w14:textId="77777777" w:rsidR="00DD6E59" w:rsidRPr="00E36481" w:rsidRDefault="00DD6E59" w:rsidP="00AD2554">
                              <w:pPr>
                                <w:spacing w:after="0"/>
                                <w:ind w:right="-81"/>
                                <w:rPr>
                                  <w:b/>
                                  <w:sz w:val="16"/>
                                  <w:szCs w:val="16"/>
                                  <w:lang w:val="en-US"/>
                                </w:rPr>
                              </w:pPr>
                              <w:r>
                                <w:rPr>
                                  <w:b/>
                                  <w:sz w:val="16"/>
                                  <w:szCs w:val="16"/>
                                  <w:lang w:val="en-US"/>
                                </w:rPr>
                                <w:t xml:space="preserve">Residual </w:t>
                              </w:r>
                              <w:r w:rsidRPr="00E36481">
                                <w:rPr>
                                  <w:b/>
                                  <w:sz w:val="16"/>
                                  <w:szCs w:val="16"/>
                                  <w:lang w:val="en-US"/>
                                </w:rPr>
                                <w:t>risk</w:t>
                              </w:r>
                            </w:p>
                          </w:txbxContent>
                        </wps:txbx>
                        <wps:bodyPr rot="0" vert="horz" wrap="square" lIns="25400" tIns="12700" rIns="25400" bIns="12700" anchor="t" anchorCtr="0" upright="1">
                          <a:noAutofit/>
                        </wps:bodyPr>
                      </wps:wsp>
                      <wps:wsp>
                        <wps:cNvPr id="22" name="Text Box 79"/>
                        <wps:cNvSpPr txBox="1">
                          <a:spLocks noChangeArrowheads="1"/>
                        </wps:cNvSpPr>
                        <wps:spPr bwMode="auto">
                          <a:xfrm>
                            <a:off x="5551" y="7866"/>
                            <a:ext cx="1740"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E967B" w14:textId="77777777" w:rsidR="00DD6E59" w:rsidRPr="00E36481" w:rsidRDefault="00DD6E59" w:rsidP="00AD2554">
                              <w:pPr>
                                <w:spacing w:after="0"/>
                                <w:ind w:right="-81"/>
                                <w:rPr>
                                  <w:b/>
                                  <w:sz w:val="16"/>
                                  <w:szCs w:val="16"/>
                                  <w:lang w:val="en-US"/>
                                </w:rPr>
                              </w:pPr>
                              <w:r>
                                <w:rPr>
                                  <w:b/>
                                  <w:sz w:val="16"/>
                                  <w:szCs w:val="16"/>
                                  <w:lang w:val="en-US"/>
                                </w:rPr>
                                <w:t xml:space="preserve">Cost of treating </w:t>
                              </w:r>
                              <w:r w:rsidRPr="00E36481">
                                <w:rPr>
                                  <w:b/>
                                  <w:sz w:val="16"/>
                                  <w:szCs w:val="16"/>
                                  <w:lang w:val="en-US"/>
                                </w:rPr>
                                <w:t>risk</w:t>
                              </w:r>
                            </w:p>
                          </w:txbxContent>
                        </wps:txbx>
                        <wps:bodyPr rot="0" vert="horz" wrap="square" lIns="25400" tIns="12700" rIns="25400" bIns="12700" anchor="t" anchorCtr="0" upright="1">
                          <a:noAutofit/>
                        </wps:bodyPr>
                      </wps:wsp>
                      <wps:wsp>
                        <wps:cNvPr id="23" name="Text Box 80"/>
                        <wps:cNvSpPr txBox="1">
                          <a:spLocks noChangeArrowheads="1"/>
                        </wps:cNvSpPr>
                        <wps:spPr bwMode="auto">
                          <a:xfrm>
                            <a:off x="8321" y="7685"/>
                            <a:ext cx="530"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E55E2F" w14:textId="77777777" w:rsidR="00DD6E59" w:rsidRPr="00E36481" w:rsidRDefault="00DD6E59" w:rsidP="00AD2554">
                              <w:pPr>
                                <w:spacing w:after="0"/>
                                <w:ind w:right="-81"/>
                                <w:rPr>
                                  <w:sz w:val="16"/>
                                  <w:szCs w:val="16"/>
                                  <w:lang w:val="en-US"/>
                                </w:rPr>
                              </w:pPr>
                              <w:r w:rsidRPr="00E36481">
                                <w:rPr>
                                  <w:sz w:val="16"/>
                                  <w:szCs w:val="16"/>
                                  <w:lang w:val="en-US"/>
                                </w:rPr>
                                <w:t>High</w:t>
                              </w:r>
                            </w:p>
                          </w:txbxContent>
                        </wps:txbx>
                        <wps:bodyPr rot="0" vert="horz" wrap="square" lIns="25400" tIns="12700" rIns="25400" bIns="12700" anchor="t" anchorCtr="0" upright="1">
                          <a:noAutofit/>
                        </wps:bodyPr>
                      </wps:wsp>
                      <wps:wsp>
                        <wps:cNvPr id="24" name="Text Box 81"/>
                        <wps:cNvSpPr txBox="1">
                          <a:spLocks noChangeArrowheads="1"/>
                        </wps:cNvSpPr>
                        <wps:spPr bwMode="auto">
                          <a:xfrm>
                            <a:off x="3131" y="3160"/>
                            <a:ext cx="530"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EFCCF" w14:textId="77777777" w:rsidR="00DD6E59" w:rsidRPr="00E36481" w:rsidRDefault="00DD6E59" w:rsidP="00AD2554">
                              <w:pPr>
                                <w:spacing w:after="0"/>
                                <w:ind w:right="-81"/>
                                <w:rPr>
                                  <w:sz w:val="16"/>
                                  <w:szCs w:val="16"/>
                                  <w:lang w:val="en-US"/>
                                </w:rPr>
                              </w:pPr>
                              <w:r w:rsidRPr="00E36481">
                                <w:rPr>
                                  <w:sz w:val="16"/>
                                  <w:szCs w:val="16"/>
                                  <w:lang w:val="en-US"/>
                                </w:rPr>
                                <w:t>High</w:t>
                              </w:r>
                            </w:p>
                          </w:txbxContent>
                        </wps:txbx>
                        <wps:bodyPr rot="0" vert="horz" wrap="square" lIns="25400" tIns="12700" rIns="25400" bIns="12700" anchor="t" anchorCtr="0" upright="1">
                          <a:noAutofit/>
                        </wps:bodyPr>
                      </wps:wsp>
                      <wps:wsp>
                        <wps:cNvPr id="25" name="Text Box 82"/>
                        <wps:cNvSpPr txBox="1">
                          <a:spLocks noChangeArrowheads="1"/>
                        </wps:cNvSpPr>
                        <wps:spPr bwMode="auto">
                          <a:xfrm>
                            <a:off x="2691" y="4970"/>
                            <a:ext cx="880"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94A2D" w14:textId="77777777" w:rsidR="00DD6E59" w:rsidRPr="00E36481" w:rsidRDefault="00DD6E59" w:rsidP="00AD2554">
                              <w:pPr>
                                <w:spacing w:after="0"/>
                                <w:ind w:right="-81"/>
                                <w:rPr>
                                  <w:b/>
                                  <w:sz w:val="16"/>
                                  <w:szCs w:val="16"/>
                                  <w:lang w:val="en-US"/>
                                </w:rPr>
                              </w:pPr>
                              <w:r>
                                <w:rPr>
                                  <w:b/>
                                  <w:sz w:val="16"/>
                                  <w:szCs w:val="16"/>
                                  <w:lang w:val="en-US"/>
                                </w:rPr>
                                <w:t>R</w:t>
                              </w:r>
                              <w:r w:rsidRPr="00E36481">
                                <w:rPr>
                                  <w:b/>
                                  <w:sz w:val="16"/>
                                  <w:szCs w:val="16"/>
                                  <w:lang w:val="en-US"/>
                                </w:rPr>
                                <w:t>isk</w:t>
                              </w:r>
                              <w:r>
                                <w:rPr>
                                  <w:b/>
                                  <w:sz w:val="16"/>
                                  <w:szCs w:val="16"/>
                                  <w:lang w:val="en-US"/>
                                </w:rPr>
                                <w:t xml:space="preserve"> level</w:t>
                              </w:r>
                            </w:p>
                          </w:txbxContent>
                        </wps:txbx>
                        <wps:bodyPr rot="0" vert="horz" wrap="square" lIns="25400" tIns="12700" rIns="25400" bIns="12700" anchor="t" anchorCtr="0" upright="1">
                          <a:noAutofit/>
                        </wps:bodyPr>
                      </wps:wsp>
                      <wps:wsp>
                        <wps:cNvPr id="28" name="Text Box 83"/>
                        <wps:cNvSpPr txBox="1">
                          <a:spLocks noChangeArrowheads="1"/>
                        </wps:cNvSpPr>
                        <wps:spPr bwMode="auto">
                          <a:xfrm>
                            <a:off x="3791" y="7685"/>
                            <a:ext cx="530"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77A3E" w14:textId="77777777" w:rsidR="00DD6E59" w:rsidRPr="00E36481" w:rsidRDefault="00DD6E59" w:rsidP="00AD2554">
                              <w:pPr>
                                <w:spacing w:after="0"/>
                                <w:ind w:right="-81"/>
                                <w:rPr>
                                  <w:sz w:val="16"/>
                                  <w:szCs w:val="16"/>
                                  <w:lang w:val="en-US"/>
                                </w:rPr>
                              </w:pPr>
                              <w:r w:rsidRPr="00E36481">
                                <w:rPr>
                                  <w:sz w:val="16"/>
                                  <w:szCs w:val="16"/>
                                  <w:lang w:val="en-US"/>
                                </w:rPr>
                                <w:t>Low</w:t>
                              </w:r>
                            </w:p>
                          </w:txbxContent>
                        </wps:txbx>
                        <wps:bodyPr rot="0" vert="horz" wrap="square" lIns="25400" tIns="12700" rIns="25400" bIns="12700" anchor="t" anchorCtr="0" upright="1">
                          <a:noAutofit/>
                        </wps:bodyPr>
                      </wps:wsp>
                      <wps:wsp>
                        <wps:cNvPr id="29" name="Text Box 84"/>
                        <wps:cNvSpPr txBox="1">
                          <a:spLocks noChangeArrowheads="1"/>
                        </wps:cNvSpPr>
                        <wps:spPr bwMode="auto">
                          <a:xfrm>
                            <a:off x="3041" y="7142"/>
                            <a:ext cx="530"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EDCC0F" w14:textId="77777777" w:rsidR="00DD6E59" w:rsidRPr="00E36481" w:rsidRDefault="00DD6E59" w:rsidP="00AD2554">
                              <w:pPr>
                                <w:spacing w:after="0"/>
                                <w:ind w:right="-100"/>
                                <w:jc w:val="center"/>
                                <w:rPr>
                                  <w:sz w:val="16"/>
                                  <w:szCs w:val="16"/>
                                  <w:lang w:val="en-US"/>
                                </w:rPr>
                              </w:pPr>
                              <w:r w:rsidRPr="00E36481">
                                <w:rPr>
                                  <w:sz w:val="16"/>
                                  <w:szCs w:val="16"/>
                                  <w:lang w:val="en-US"/>
                                </w:rPr>
                                <w:t>Low</w:t>
                              </w:r>
                            </w:p>
                          </w:txbxContent>
                        </wps:txbx>
                        <wps:bodyPr rot="0" vert="horz" wrap="square" lIns="25400" tIns="12700" rIns="254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5C0911" id="Group 86" o:spid="_x0000_s1026" style="position:absolute;margin-left:49.6pt;margin-top:11.95pt;width:310.7pt;height:290.95pt;z-index:251671552" coordorigin="2691,3160" coordsize="7590,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N/wYAAMUpAAAOAAAAZHJzL2Uyb0RvYy54bWzsWttu20YQfS/Qf1jwsUUi8U4KkYPEidIC&#10;aRM0Tt9XJEUSprjskrLkfH1n9kaKjuwkjZUKUB4cXobL2TNnz84M9ez5bl2Rm4y3Javnlv10apGs&#10;Tlha1vnc+ni1eBJZpO1ondKK1dncus1a6/nFzz892zazzGEFq9KMExikbmfbZm4VXdfMJpM2KbI1&#10;bZ+yJqvh5orxNe3glOeTlNMtjL6uJs50Gky2jKcNZ0nWtnD1lbxpXYjxV6ss6d6tVm3WkWpugW+d&#10;+MvF3yX+nVw8o7Oc06YoE+UG/QYv1rSs4aVmqFe0o2TDyztDrcuEs5atuqcJW0/YalUmmZgDzMae&#10;jmbzhrNNI+aSz7Z5Y2ACaEc4ffOwyZ837zkp07nlWqSmawiReCuJAsRm2+QzMHnDmw/Ney4nCIdv&#10;WXLdwu3J+D6e59KYLLd/sBTGo5uOCWx2K77GIWDWZCdCcGtCkO06ksBFN/b8IAbSJHDPDWLfDiMZ&#10;pKSASOJzThDbFsHbdqACmBSv1fOhH0OY8WF/GognJ3QmXyycVc7hzIBwbY9p+98w/VDQJhOhahEw&#10;hWmoMf0LiEjrvMpIYEtchZkGtZWIkppdFmCWveCcbYuMpuCVsAffBw/gSQvxeBBiN1RQBWGkoNJA&#10;A7AKqNDx0CWDE501vO3eZGxN8GBucXBeBJDevG07aapNMJ4N7bpFWVXKPL3+2LwqaS4eWeWXFUej&#10;ludLOCQ3FFbiYhEEU+EQvNWYLA/YLuCf8lCZwFP6pTh2VePfmqET0j28IjBDmGSwlyy9Bcg4kxoA&#10;mgUHBeOfLLKF9T+32n82lGcWqX6vAfbY9jwUDHHi+aEDJ3x4Zzm8Q+sEhppbnUXk4WUnRWbT8DIv&#10;4E22gKNmL2A1rEqBIoZReqWcBT4eiZixJubbss6IN+TkZS0XerKr1UI3tBQkv7ptYFHvsVI+cj8r&#10;yaoqm980DkoComkkl7IfO6Fc5pqfoaZn5Ln307OCKQhwD9DT8AKJQrYQWt/xxQMtq8oUSXOHoFPx&#10;T713zwwkuU6BZHSG6/O1Ou5oWcEx6QQ4bZfRqiuAWHNrnaVAqQw2xypX4x0kJ3IXUTweD2yj+lcI&#10;/Eu2I56PbqIboGMoUKTbwXUduceSqigGZURVB/kXekRnmgq2i4sPNd0OnPh+MjykVXuxHGnSQGf2&#10;zL5IXrrdcqdw+0qlcXwPtFApje2EeCKVRt2RSqPunJrS2MGe1PgifopdjyQ1uDiVwJgNsM8VNKsU&#10;pTzXe2D7+2p9kZESmvK9BQYVQu53n93dfoCAmBRH7CQyIXvc8PY7iTj6WyvTOOShPx0JSZ/z6NxD&#10;p6Q6nVEpzDnkopr6fFJrQ3YuK4UXPCGBwHiwXQjeDysEs5HIXeVw4ipzM3sayc33y5axb/u+rhbs&#10;8eaQbGQii0Pp7ABqtBTSWLyUp7rkATFYrSuo/H59QuzYc8iUqHy5t4Htydg4UHqAyV0j5wuMrszb&#10;fpnAGFviuL7n4L42cOnKvA6MoogURLxzbGXeB1ZimEPDwUYvvUdD2/PjQyN6A0MBxQH/APXBgAjH&#10;wEUQKYMyLWTVQGeQUirk4QgSZahjpyIRa1iLlR0CA7s8TF3qHFghJgeMYeporLPD+41hVmgschtw&#10;ThjL/5VHmDiMmwTcItAkWErMoeDAiaBDeIi5nYwbKeAI+QCAQC45t2rodEAbZNfxDbZF3l3raa7Z&#10;TXbFxAgdzveJzHgikfqCN/39ZLMsk5fZp6F1AJkZTkKmQOCFGMN2YggtXFZ8VVeBw/1VnOjegPtn&#10;6hE3wr16PJLjerDE8XLsR0pP5QM4ezkBwScds8GL4L0I1b2QtR1n11BQAHpnxIBbVT2MOS5AAb5Z&#10;/ICpNkkq1mZypUiYFd6CpSLmvfodsQiSHh0scs4VuGi3wV6lNh+ZOAkNeNzECdfhuPB2XVn899UW&#10;LEQstX5QXrxY4OavtGSvCru38H6Ac3gbsT1eYY0Vq0ySRHjDI4S3z4sHgfYj3WFxXZVi6ALI91Wo&#10;7cjWiH+vfPjcYjE9YAf2SMkE02KRLe1BznycFkvgoi+4tmNorsGa6Bd932JxA0ET2D4OcOGHdlik&#10;dKLviN650TL41uBAojDm2bDZcrxWnu/7kmdhFIivSAOehdhUl992/vc8Ew6eeaZ7weqblnO3ZSy/&#10;LR1dzyKtZ2EQicKu55nvng7NRAF7ptmYZlB0juQMMhkl/Ef9MuHarpSzuz3kU6KZ6dOdd83hrgk9&#10;lTHNjO4flWbmZw13s7MIBPZUNk3z9fBMsyHNTM/cFAGR0f2j0sx8ETvtTVP9OulcA8jv9Do3M02l&#10;nmZG949Ls6nqDYe2/rRh+g4nlJuZts2pqBm0ucRvBcV3YvW7Rvwx4vBcNMP6X19e/AsAAP//AwBQ&#10;SwMEFAAGAAgAAAAhAPw1hyzhAAAACQEAAA8AAABkcnMvZG93bnJldi54bWxMj0FrwkAUhO+F/ofl&#10;Cb3V3URMTcyLiLQ9SUEtlN7W7DMJZndDdk3iv+/21B6HGWa+yTeTbtlAvWusQYjmAhiZ0qrGVAif&#10;p7fnFTDnpVGytYYQ7uRgUzw+5DJTdjQHGo6+YqHEuEwi1N53GeeurElLN7cdmeBdbK+lD7KvuOrl&#10;GMp1y2MhEq5lY8JCLTva1VRejzeN8D7KcbuIXof99bK7f5+WH1/7iBCfZtN2DczT5P/C8Isf0KEI&#10;TGd7M8qxFiFN45BEiBcpsOC/xCIBdkZIxHIFvMj5/wfFDwAAAP//AwBQSwECLQAUAAYACAAAACEA&#10;toM4kv4AAADhAQAAEwAAAAAAAAAAAAAAAAAAAAAAW0NvbnRlbnRfVHlwZXNdLnhtbFBLAQItABQA&#10;BgAIAAAAIQA4/SH/1gAAAJQBAAALAAAAAAAAAAAAAAAAAC8BAABfcmVscy8ucmVsc1BLAQItABQA&#10;BgAIAAAAIQABe/4N/wYAAMUpAAAOAAAAAAAAAAAAAAAAAC4CAABkcnMvZTJvRG9jLnhtbFBLAQIt&#10;ABQABgAIAAAAIQD8NYcs4QAAAAkBAAAPAAAAAAAAAAAAAAAAAFkJAABkcnMvZG93bnJldi54bWxQ&#10;SwUGAAAAAAQABADzAAAAZwoAAAAA&#10;">
                <v:rect id="Rectangle 61" o:spid="_x0000_s1027" style="position:absolute;left:3791;top:6780;width:5170;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1RrvAAAANoAAAAPAAAAZHJzL2Rvd25yZXYueG1sRI9LC8Iw&#10;EITvgv8hrOBNUwUfVKOIIPbq+7o0a1tsNqWJ2v57Iwgeh5n5hlmuG1OKF9WusKxgNIxAEKdWF5wp&#10;OJ92gzkI55E1lpZJQUsO1qtuZ4mxtm8+0OvoMxEg7GJUkHtfxVK6NCeDbmgr4uDdbW3QB1lnUtf4&#10;DnBTynEUTaXBgsNCjhVtc0ofx6dRMMfr07ba7G+X/ZR91lZJsp0o1e81mwUIT43/h3/tRCuYwfdK&#10;uAFy9QEAAP//AwBQSwECLQAUAAYACAAAACEA2+H2y+4AAACFAQAAEwAAAAAAAAAAAAAAAAAAAAAA&#10;W0NvbnRlbnRfVHlwZXNdLnhtbFBLAQItABQABgAIAAAAIQBa9CxbvwAAABUBAAALAAAAAAAAAAAA&#10;AAAAAB8BAABfcmVscy8ucmVsc1BLAQItABQABgAIAAAAIQAmv1RrvAAAANoAAAAPAAAAAAAAAAAA&#10;AAAAAAcCAABkcnMvZG93bnJldi54bWxQSwUGAAAAAAMAAwC3AAAA8AIAAAAA&#10;" fillcolor="#f60" stroked="f">
                  <v:fill r:id="rId24" o:title="" type="pattern"/>
                </v:rect>
                <v:line id="Line 41" o:spid="_x0000_s1028" style="position:absolute;flip:x;visibility:visible;mso-wrap-style:square" from="8081,5927" to="8851,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10xAAAANoAAAAPAAAAZHJzL2Rvd25yZXYueG1sRI9Ba8JA&#10;FITvQv/D8gq96cYe1KauIQ0tCFqhtj14e2Sf2WD2bZpdNf77riB4HGbmG2ae9bYRJ+p87VjBeJSA&#10;IC6drrlS8PP9MZyB8AFZY+OYFFzIQ7Z4GMwx1e7MX3TahkpECPsUFZgQ2lRKXxqy6EeuJY7e3nUW&#10;Q5RdJXWH5wi3jXxOkom0WHNcMNhSYag8bI9WwdS0f7/52+f7ijZmbU1emN2kVurpsc9fQQTqwz18&#10;ay+1ghe4Xok3QC7+AQAA//8DAFBLAQItABQABgAIAAAAIQDb4fbL7gAAAIUBAAATAAAAAAAAAAAA&#10;AAAAAAAAAABbQ29udGVudF9UeXBlc10ueG1sUEsBAi0AFAAGAAgAAAAhAFr0LFu/AAAAFQEAAAsA&#10;AAAAAAAAAAAAAAAAHwEAAF9yZWxzLy5yZWxzUEsBAi0AFAAGAAgAAAAhAM17DXTEAAAA2gAAAA8A&#10;AAAAAAAAAAAAAAAABwIAAGRycy9kb3ducmV2LnhtbFBLBQYAAAAAAwADALcAAAD4AgAAAAA=&#10;">
                  <v:stroke endarrow="classic" endarrowlength="long"/>
                </v:line>
                <v:shapetype id="_x0000_t202" coordsize="21600,21600" o:spt="202" path="m,l,21600r21600,l21600,xe">
                  <v:stroke joinstyle="miter"/>
                  <v:path gradientshapeok="t" o:connecttype="rect"/>
                </v:shapetype>
                <v:shape id="Text Box 45" o:spid="_x0000_s1029" type="#_x0000_t202" style="position:absolute;left:8961;top:5694;width:1320;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mhxvQAAANsAAAAPAAAAZHJzL2Rvd25yZXYueG1sRE9Li8Iw&#10;EL4L+x/CLOxtm9YFkWoUEQSvvvY8NGMbbCa1SbX592Zhwdt8fM9Zrkfbigf13jhWUGQ5COLKacO1&#10;gvNp9z0H4QOyxtYxKYjkYb36mCyx1O7JB3ocQy1SCPsSFTQhdKWUvmrIos9cR5y4q+sthgT7Wuoe&#10;nynctnKa5zNp0XBqaLCjbUPV7ThYBYOVv5eCbnF3L8ygr/NoihiV+vocNwsQgcbwFv+79zrN/4G/&#10;X9IBcvUCAAD//wMAUEsBAi0AFAAGAAgAAAAhANvh9svuAAAAhQEAABMAAAAAAAAAAAAAAAAAAAAA&#10;AFtDb250ZW50X1R5cGVzXS54bWxQSwECLQAUAAYACAAAACEAWvQsW78AAAAVAQAACwAAAAAAAAAA&#10;AAAAAAAfAQAAX3JlbHMvLnJlbHNQSwECLQAUAAYACAAAACEAJ6Zocb0AAADbAAAADwAAAAAAAAAA&#10;AAAAAAAHAgAAZHJzL2Rvd25yZXYueG1sUEsFBgAAAAADAAMAtwAAAPECAAAAAA==&#10;" stroked="f">
                  <v:textbox inset="2pt,1pt,2pt,1pt">
                    <w:txbxContent>
                      <w:p w14:paraId="08CD3A12" w14:textId="77777777" w:rsidR="00DD6E59" w:rsidRPr="00E36481" w:rsidRDefault="00DD6E59" w:rsidP="00AD2554">
                        <w:pPr>
                          <w:spacing w:after="0"/>
                          <w:ind w:right="-81"/>
                          <w:rPr>
                            <w:b/>
                            <w:sz w:val="16"/>
                            <w:szCs w:val="16"/>
                            <w:lang w:val="en-US"/>
                          </w:rPr>
                        </w:pPr>
                        <w:r w:rsidRPr="00E36481">
                          <w:rPr>
                            <w:b/>
                            <w:sz w:val="16"/>
                            <w:szCs w:val="16"/>
                            <w:lang w:val="en-US"/>
                          </w:rPr>
                          <w:t>Point beyond which additional expenditure confers no further reduction in risk</w:t>
                        </w:r>
                      </w:p>
                    </w:txbxContent>
                  </v:textbox>
                </v:shape>
                <v:line id="Line 59" o:spid="_x0000_s1030" style="position:absolute;visibility:visible;mso-wrap-style:square" from="3791,3160" to="3791,7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unwQAAANsAAAAPAAAAZHJzL2Rvd25yZXYueG1sRE/NagIx&#10;EL4XfIcwBW/drB7Ebo0iVUHxIFUfYNxMN6ubyZJE3fbpTaHgbT6+35nMOtuIG/lQO1YwyHIQxKXT&#10;NVcKjofV2xhEiMgaG8ek4IcCzKa9lwkW2t35i277WIkUwqFABSbGtpAylIYshsy1xIn7dt5iTNBX&#10;Unu8p3DbyGGej6TFmlODwZY+DZWX/dUq2PjT9jL4rYw88cYvm93iPdizUv3Xbv4BIlIXn+J/91qn&#10;+SP4+yUdIKcPAAAA//8DAFBLAQItABQABgAIAAAAIQDb4fbL7gAAAIUBAAATAAAAAAAAAAAAAAAA&#10;AAAAAABbQ29udGVudF9UeXBlc10ueG1sUEsBAi0AFAAGAAgAAAAhAFr0LFu/AAAAFQEAAAsAAAAA&#10;AAAAAAAAAAAAHwEAAF9yZWxzLy5yZWxzUEsBAi0AFAAGAAgAAAAhAC3726fBAAAA2wAAAA8AAAAA&#10;AAAAAAAAAAAABwIAAGRycy9kb3ducmV2LnhtbFBLBQYAAAAAAwADALcAAAD1AgAAAAA=&#10;" strokeweight="1pt"/>
                <v:line id="Line 60" o:spid="_x0000_s1031" style="position:absolute;flip:x y;visibility:visible;mso-wrap-style:square" from="3791,7504" to="8961,7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5uMwQAAANsAAAAPAAAAZHJzL2Rvd25yZXYueG1sRE9LawIx&#10;EL4X/A9hBC9Fs3rYymoUERUPvdTHfdiM2cXNZE2irv31TaHQ23x8z5kvO9uIB/lQO1YwHmUgiEun&#10;azYKTsftcAoiRGSNjWNS8KIAy0XvbY6Fdk/+oschGpFCOBSooIqxLaQMZUUWw8i1xIm7OG8xJuiN&#10;1B6fKdw2cpJlubRYc2qosKV1ReX1cLcKjhu6vfvV+nJl83nL8/POxO+JUoN+t5qBiNTFf/Gfe6/T&#10;/A/4/SUdIBc/AAAA//8DAFBLAQItABQABgAIAAAAIQDb4fbL7gAAAIUBAAATAAAAAAAAAAAAAAAA&#10;AAAAAABbQ29udGVudF9UeXBlc10ueG1sUEsBAi0AFAAGAAgAAAAhAFr0LFu/AAAAFQEAAAsAAAAA&#10;AAAAAAAAAAAAHwEAAF9yZWxzLy5yZWxzUEsBAi0AFAAGAAgAAAAhAKeHm4zBAAAA2wAAAA8AAAAA&#10;AAAAAAAAAAAABwIAAGRycy9kb3ducmV2LnhtbFBLBQYAAAAAAwADALcAAAD1AgAAAAA=&#10;" strokeweight="1pt"/>
                <v:shape id="Arc 64" o:spid="_x0000_s1032" style="position:absolute;left:3791;top:3160;width:5155;height:3619;rotation:180;visibility:visible;mso-wrap-style:square;v-text-anchor:top" coordsize="2354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WkNxAAAANsAAAAPAAAAZHJzL2Rvd25yZXYueG1sRI9Ba8JA&#10;EIXvBf/DMoK3urGgSHQVUQoecrBWBG9jdkyi2dmQXU367zuHQm8zvDfvfbNc965WL2pD5dnAZJyA&#10;Is69rbgwcPr+fJ+DChHZYu2ZDPxQgPVq8LbE1PqOv+h1jIWSEA4pGihjbFKtQ16SwzD2DbFoN986&#10;jLK2hbYtdhLuav2RJDPtsGJpKLGhbUn54/h0Bq6dz5rs0F+S++wyDbtbdt5v5saMhv1mASpSH//N&#10;f9d7K/gCK7/IAHr1CwAA//8DAFBLAQItABQABgAIAAAAIQDb4fbL7gAAAIUBAAATAAAAAAAAAAAA&#10;AAAAAAAAAABbQ29udGVudF9UeXBlc10ueG1sUEsBAi0AFAAGAAgAAAAhAFr0LFu/AAAAFQEAAAsA&#10;AAAAAAAAAAAAAAAAHwEAAF9yZWxzLy5yZWxzUEsBAi0AFAAGAAgAAAAhAKDFaQ3EAAAA2wAAAA8A&#10;AAAAAAAAAAAAAAAABwIAAGRycy9kb3ducmV2LnhtbFBLBQYAAAAAAwADALcAAAD4AgAAAAA=&#10;" path="m-1,87nfc645,29,1293,,1942,,13816,,23464,9584,23541,21459em-1,87nsc645,29,1293,,1942,,13816,,23464,9584,23541,21459l1942,21600,-1,87xe" filled="f">
                  <v:path arrowok="t" o:extrusionok="f" o:connecttype="custom" o:connectlocs="0,15;5155,3595;425,3619" o:connectangles="0,0,0"/>
                </v:shape>
                <v:line id="Line 67" o:spid="_x0000_s1033" style="position:absolute;visibility:visible;mso-wrap-style:square" from="8081,3341" to="8081,7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rfawQAAANsAAAAPAAAAZHJzL2Rvd25yZXYueG1sRE/JasMw&#10;EL0H+g9iCrnFcnpoHdeyCYFAIZdmuw/WVHZrjYykJk6/vioUcpvHW6dqJjuIC/nQO1awzHIQxK3T&#10;PRsFp+N2UYAIEVnj4JgU3ChAUz/MKiy1u/KeLodoRArhUKKCLsaxlDK0HVkMmRuJE/fhvMWYoDdS&#10;e7ymcDvIpzx/lhZ7Tg0djrTpqP06fFsF+blfvlPxuSv04Nab/dabn92LUvPHaf0KItIU7+J/95tO&#10;81fw90s6QNa/AAAA//8DAFBLAQItABQABgAIAAAAIQDb4fbL7gAAAIUBAAATAAAAAAAAAAAAAAAA&#10;AAAAAABbQ29udGVudF9UeXBlc10ueG1sUEsBAi0AFAAGAAgAAAAhAFr0LFu/AAAAFQEAAAsAAAAA&#10;AAAAAAAAAAAAHwEAAF9yZWxzLy5yZWxzUEsBAi0AFAAGAAgAAAAhAMket9rBAAAA2wAAAA8AAAAA&#10;AAAAAAAAAAAABwIAAGRycy9kb3ducmV2LnhtbFBLBQYAAAAAAwADALcAAAD1AgAAAAA=&#10;" strokecolor="red" strokeweight="1pt"/>
                <v:line id="Line 77" o:spid="_x0000_s1034" style="position:absolute;flip:x;visibility:visible;mso-wrap-style:square" from="5881,5332" to="6431,7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OAwgAAANsAAAAPAAAAZHJzL2Rvd25yZXYueG1sRE/Pa8Iw&#10;FL4L+x/CE3azqR7cqEbpZMLAbbCqh90ezVtT1rzUJGr9781hsOPH93u5HmwnLuRD61jBNMtBENdO&#10;t9woOOy3k2cQISJr7ByTghsFWK8eRksstLvyF12q2IgUwqFABSbGvpAy1IYshsz1xIn7cd5iTNA3&#10;Unu8pnDbyVmez6XFllODwZ42hurf6mwVPJn+dCxfPl539GnerSk35nveKvU4HsoFiEhD/Bf/ud+0&#10;gllan76kHyBXdwAAAP//AwBQSwECLQAUAAYACAAAACEA2+H2y+4AAACFAQAAEwAAAAAAAAAAAAAA&#10;AAAAAAAAW0NvbnRlbnRfVHlwZXNdLnhtbFBLAQItABQABgAIAAAAIQBa9CxbvwAAABUBAAALAAAA&#10;AAAAAAAAAAAAAB8BAABfcmVscy8ucmVsc1BLAQItABQABgAIAAAAIQBmlFOAwgAAANsAAAAPAAAA&#10;AAAAAAAAAAAAAAcCAABkcnMvZG93bnJldi54bWxQSwUGAAAAAAMAAwC3AAAA9gIAAAAA&#10;">
                  <v:stroke endarrow="classic" endarrowlength="long"/>
                </v:line>
                <v:shape id="Text Box 78" o:spid="_x0000_s1035" type="#_x0000_t202" style="position:absolute;left:6321;top:4970;width:132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JkgvwAAANsAAAAPAAAAZHJzL2Rvd25yZXYueG1sRI9Bi8Iw&#10;FITvC/sfwlvwtqbxIFKNIguCV3X1/GiebbB56TapNv/eCMIeh5n5hlltRteKO/XBetagpgUI4sob&#10;y7WG39PuewEiRGSDrWfSkCjAZv35scLS+Acf6H6MtcgQDiVqaGLsSilD1ZDDMPUdcfauvncYs+xr&#10;aXp8ZLhr5awo5tKh5bzQYEc/DVW34+A0DE5ezopuafen7GCui2RVSlpPvsbtEkSkMf6H3+290TBT&#10;8PqSf4BcPwEAAP//AwBQSwECLQAUAAYACAAAACEA2+H2y+4AAACFAQAAEwAAAAAAAAAAAAAAAAAA&#10;AAAAW0NvbnRlbnRfVHlwZXNdLnhtbFBLAQItABQABgAIAAAAIQBa9CxbvwAAABUBAAALAAAAAAAA&#10;AAAAAAAAAB8BAABfcmVscy8ucmVsc1BLAQItABQABgAIAAAAIQB2VJkgvwAAANsAAAAPAAAAAAAA&#10;AAAAAAAAAAcCAABkcnMvZG93bnJldi54bWxQSwUGAAAAAAMAAwC3AAAA8wIAAAAA&#10;" stroked="f">
                  <v:textbox inset="2pt,1pt,2pt,1pt">
                    <w:txbxContent>
                      <w:p w14:paraId="6A2015BF" w14:textId="77777777" w:rsidR="00DD6E59" w:rsidRPr="00E36481" w:rsidRDefault="00DD6E59" w:rsidP="00AD2554">
                        <w:pPr>
                          <w:spacing w:after="0"/>
                          <w:ind w:right="-81"/>
                          <w:rPr>
                            <w:b/>
                            <w:sz w:val="16"/>
                            <w:szCs w:val="16"/>
                            <w:lang w:val="en-US"/>
                          </w:rPr>
                        </w:pPr>
                        <w:r>
                          <w:rPr>
                            <w:b/>
                            <w:sz w:val="16"/>
                            <w:szCs w:val="16"/>
                            <w:lang w:val="en-US"/>
                          </w:rPr>
                          <w:t xml:space="preserve">Residual </w:t>
                        </w:r>
                        <w:r w:rsidRPr="00E36481">
                          <w:rPr>
                            <w:b/>
                            <w:sz w:val="16"/>
                            <w:szCs w:val="16"/>
                            <w:lang w:val="en-US"/>
                          </w:rPr>
                          <w:t>risk</w:t>
                        </w:r>
                      </w:p>
                    </w:txbxContent>
                  </v:textbox>
                </v:shape>
                <v:shape id="Text Box 79" o:spid="_x0000_s1036" type="#_x0000_t202" style="position:absolute;left:5551;top:7866;width:174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gdXvwAAANsAAAAPAAAAZHJzL2Rvd25yZXYueG1sRI9Bi8Iw&#10;FITvgv8hPMGbpu1BpBpFBMGr7ur50TzbYPNSm1Sbf79ZWNjjMDPfMNv9aFvxpt4bxwryZQaCuHLa&#10;cK3g++u0WIPwAVlj65gURPKw300nWyy1+/CF3tdQiwRhX6KCJoSulNJXDVn0S9cRJ+/heoshyb6W&#10;usdPgttWFlm2khYNp4UGOzo2VD2vg1UwWHm/5fSMp1duBv1YR5PHqNR8Nh42IAKN4T/81z5rBUUB&#10;v1/SD5C7HwAAAP//AwBQSwECLQAUAAYACAAAACEA2+H2y+4AAACFAQAAEwAAAAAAAAAAAAAAAAAA&#10;AAAAW0NvbnRlbnRfVHlwZXNdLnhtbFBLAQItABQABgAIAAAAIQBa9CxbvwAAABUBAAALAAAAAAAA&#10;AAAAAAAAAB8BAABfcmVscy8ucmVsc1BLAQItABQABgAIAAAAIQCGhgdXvwAAANsAAAAPAAAAAAAA&#10;AAAAAAAAAAcCAABkcnMvZG93bnJldi54bWxQSwUGAAAAAAMAAwC3AAAA8wIAAAAA&#10;" stroked="f">
                  <v:textbox inset="2pt,1pt,2pt,1pt">
                    <w:txbxContent>
                      <w:p w14:paraId="516E967B" w14:textId="77777777" w:rsidR="00DD6E59" w:rsidRPr="00E36481" w:rsidRDefault="00DD6E59" w:rsidP="00AD2554">
                        <w:pPr>
                          <w:spacing w:after="0"/>
                          <w:ind w:right="-81"/>
                          <w:rPr>
                            <w:b/>
                            <w:sz w:val="16"/>
                            <w:szCs w:val="16"/>
                            <w:lang w:val="en-US"/>
                          </w:rPr>
                        </w:pPr>
                        <w:r>
                          <w:rPr>
                            <w:b/>
                            <w:sz w:val="16"/>
                            <w:szCs w:val="16"/>
                            <w:lang w:val="en-US"/>
                          </w:rPr>
                          <w:t xml:space="preserve">Cost of treating </w:t>
                        </w:r>
                        <w:r w:rsidRPr="00E36481">
                          <w:rPr>
                            <w:b/>
                            <w:sz w:val="16"/>
                            <w:szCs w:val="16"/>
                            <w:lang w:val="en-US"/>
                          </w:rPr>
                          <w:t>risk</w:t>
                        </w:r>
                      </w:p>
                    </w:txbxContent>
                  </v:textbox>
                </v:shape>
                <v:shape id="Text Box 80" o:spid="_x0000_s1037" type="#_x0000_t202" style="position:absolute;left:8321;top:7685;width:53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qLMwAAAANsAAAAPAAAAZHJzL2Rvd25yZXYueG1sRI9Pi8Iw&#10;FMTvwn6H8ARv27QKItUoiyDs1X97fjTPNti8dJtUm29vFhY8DjPzG2azG20rHtR741hBkeUgiCun&#10;DdcKLufD5wqED8gaW8ekIJKH3fZjssFSuycf6XEKtUgQ9iUqaELoSil91ZBFn7mOOHk311sMSfa1&#10;1D0+E9y2cp7nS2nRcFposKN9Q9X9NFgFg5U/14Lu8fBbmEHfVtEUMSo1m45faxCBxvAO/7e/tYL5&#10;Av6+pB8gty8AAAD//wMAUEsBAi0AFAAGAAgAAAAhANvh9svuAAAAhQEAABMAAAAAAAAAAAAAAAAA&#10;AAAAAFtDb250ZW50X1R5cGVzXS54bWxQSwECLQAUAAYACAAAACEAWvQsW78AAAAVAQAACwAAAAAA&#10;AAAAAAAAAAAfAQAAX3JlbHMvLnJlbHNQSwECLQAUAAYACAAAACEA6cqizMAAAADbAAAADwAAAAAA&#10;AAAAAAAAAAAHAgAAZHJzL2Rvd25yZXYueG1sUEsFBgAAAAADAAMAtwAAAPQCAAAAAA==&#10;" stroked="f">
                  <v:textbox inset="2pt,1pt,2pt,1pt">
                    <w:txbxContent>
                      <w:p w14:paraId="17E55E2F" w14:textId="77777777" w:rsidR="00DD6E59" w:rsidRPr="00E36481" w:rsidRDefault="00DD6E59" w:rsidP="00AD2554">
                        <w:pPr>
                          <w:spacing w:after="0"/>
                          <w:ind w:right="-81"/>
                          <w:rPr>
                            <w:sz w:val="16"/>
                            <w:szCs w:val="16"/>
                            <w:lang w:val="en-US"/>
                          </w:rPr>
                        </w:pPr>
                        <w:r w:rsidRPr="00E36481">
                          <w:rPr>
                            <w:sz w:val="16"/>
                            <w:szCs w:val="16"/>
                            <w:lang w:val="en-US"/>
                          </w:rPr>
                          <w:t>High</w:t>
                        </w:r>
                      </w:p>
                    </w:txbxContent>
                  </v:textbox>
                </v:shape>
                <v:shape id="Text Box 81" o:spid="_x0000_s1038" type="#_x0000_t202" style="position:absolute;left:3131;top:3160;width:53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zq4wAAAANsAAAAPAAAAZHJzL2Rvd25yZXYueG1sRI9Pi8Iw&#10;FMTvwn6H8ARv27QiItUoiyDs1X97fjTPNti8dJtUm29vFhY8DjPzG2azG20rHtR741hBkeUgiCun&#10;DdcKLufD5wqED8gaW8ekIJKH3fZjssFSuycf6XEKtUgQ9iUqaELoSil91ZBFn7mOOHk311sMSfa1&#10;1D0+E9y2cp7nS2nRcFposKN9Q9X9NFgFg5U/14Lu8fBbmEHfVtEUMSo1m45faxCBxvAO/7e/tYL5&#10;Av6+pB8gty8AAAD//wMAUEsBAi0AFAAGAAgAAAAhANvh9svuAAAAhQEAABMAAAAAAAAAAAAAAAAA&#10;AAAAAFtDb250ZW50X1R5cGVzXS54bWxQSwECLQAUAAYACAAAACEAWvQsW78AAAAVAQAACwAAAAAA&#10;AAAAAAAAAAAfAQAAX3JlbHMvLnJlbHNQSwECLQAUAAYACAAAACEAZiM6uMAAAADbAAAADwAAAAAA&#10;AAAAAAAAAAAHAgAAZHJzL2Rvd25yZXYueG1sUEsFBgAAAAADAAMAtwAAAPQCAAAAAA==&#10;" stroked="f">
                  <v:textbox inset="2pt,1pt,2pt,1pt">
                    <w:txbxContent>
                      <w:p w14:paraId="1BDEFCCF" w14:textId="77777777" w:rsidR="00DD6E59" w:rsidRPr="00E36481" w:rsidRDefault="00DD6E59" w:rsidP="00AD2554">
                        <w:pPr>
                          <w:spacing w:after="0"/>
                          <w:ind w:right="-81"/>
                          <w:rPr>
                            <w:sz w:val="16"/>
                            <w:szCs w:val="16"/>
                            <w:lang w:val="en-US"/>
                          </w:rPr>
                        </w:pPr>
                        <w:r w:rsidRPr="00E36481">
                          <w:rPr>
                            <w:sz w:val="16"/>
                            <w:szCs w:val="16"/>
                            <w:lang w:val="en-US"/>
                          </w:rPr>
                          <w:t>High</w:t>
                        </w:r>
                      </w:p>
                    </w:txbxContent>
                  </v:textbox>
                </v:shape>
                <v:shape id="Text Box 82" o:spid="_x0000_s1039" type="#_x0000_t202" style="position:absolute;left:2691;top:4970;width:88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58jwAAAANsAAAAPAAAAZHJzL2Rvd25yZXYueG1sRI9Pi8Iw&#10;FMTvwn6H8ARv27SCItUoiyDs1X97fjTPNti8dJtUm29vFhY8DjPzG2azG20rHtR741hBkeUgiCun&#10;DdcKLufD5wqED8gaW8ekIJKH3fZjssFSuycf6XEKtUgQ9iUqaELoSil91ZBFn7mOOHk311sMSfa1&#10;1D0+E9y2cp7nS2nRcFposKN9Q9X9NFgFg5U/14Lu8fBbmEHfVtEUMSo1m45faxCBxvAO/7e/tYL5&#10;Av6+pB8gty8AAAD//wMAUEsBAi0AFAAGAAgAAAAhANvh9svuAAAAhQEAABMAAAAAAAAAAAAAAAAA&#10;AAAAAFtDb250ZW50X1R5cGVzXS54bWxQSwECLQAUAAYACAAAACEAWvQsW78AAAAVAQAACwAAAAAA&#10;AAAAAAAAAAAfAQAAX3JlbHMvLnJlbHNQSwECLQAUAAYACAAAACEACW+fI8AAAADbAAAADwAAAAAA&#10;AAAAAAAAAAAHAgAAZHJzL2Rvd25yZXYueG1sUEsFBgAAAAADAAMAtwAAAPQCAAAAAA==&#10;" stroked="f">
                  <v:textbox inset="2pt,1pt,2pt,1pt">
                    <w:txbxContent>
                      <w:p w14:paraId="00F94A2D" w14:textId="77777777" w:rsidR="00DD6E59" w:rsidRPr="00E36481" w:rsidRDefault="00DD6E59" w:rsidP="00AD2554">
                        <w:pPr>
                          <w:spacing w:after="0"/>
                          <w:ind w:right="-81"/>
                          <w:rPr>
                            <w:b/>
                            <w:sz w:val="16"/>
                            <w:szCs w:val="16"/>
                            <w:lang w:val="en-US"/>
                          </w:rPr>
                        </w:pPr>
                        <w:r>
                          <w:rPr>
                            <w:b/>
                            <w:sz w:val="16"/>
                            <w:szCs w:val="16"/>
                            <w:lang w:val="en-US"/>
                          </w:rPr>
                          <w:t>R</w:t>
                        </w:r>
                        <w:r w:rsidRPr="00E36481">
                          <w:rPr>
                            <w:b/>
                            <w:sz w:val="16"/>
                            <w:szCs w:val="16"/>
                            <w:lang w:val="en-US"/>
                          </w:rPr>
                          <w:t>isk</w:t>
                        </w:r>
                        <w:r>
                          <w:rPr>
                            <w:b/>
                            <w:sz w:val="16"/>
                            <w:szCs w:val="16"/>
                            <w:lang w:val="en-US"/>
                          </w:rPr>
                          <w:t xml:space="preserve"> level</w:t>
                        </w:r>
                      </w:p>
                    </w:txbxContent>
                  </v:textbox>
                </v:shape>
                <v:shape id="Text Box 83" o:spid="_x0000_s1040" type="#_x0000_t202" style="position:absolute;left:3791;top:7685;width:53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jC9vQAAANsAAAAPAAAAZHJzL2Rvd25yZXYueG1sRE/Pa8Iw&#10;FL4P/B/CE7zNtD0MqUYZQsHrOt350TzbYPPSNalt/vvlIOz48f0+nBbbiyeN3jhWkG8zEMSN04Zb&#10;Bdfv6n0Hwgdkjb1jUhDJw+m4ejtgqd3MX/SsQytSCPsSFXQhDKWUvunIot+6gThxdzdaDAmOrdQj&#10;zinc9rLIsg9p0XBq6HCgc0fNo56sgsnKn1tOj1j95mbS9100eYxKbdbL5x5EoCX8i1/ui1ZQpLHp&#10;S/oB8vgHAAD//wMAUEsBAi0AFAAGAAgAAAAhANvh9svuAAAAhQEAABMAAAAAAAAAAAAAAAAAAAAA&#10;AFtDb250ZW50X1R5cGVzXS54bWxQSwECLQAUAAYACAAAACEAWvQsW78AAAAVAQAACwAAAAAAAAAA&#10;AAAAAAAfAQAAX3JlbHMvLnJlbHNQSwECLQAUAAYACAAAACEA524wvb0AAADbAAAADwAAAAAAAAAA&#10;AAAAAAAHAgAAZHJzL2Rvd25yZXYueG1sUEsFBgAAAAADAAMAtwAAAPECAAAAAA==&#10;" stroked="f">
                  <v:textbox inset="2pt,1pt,2pt,1pt">
                    <w:txbxContent>
                      <w:p w14:paraId="56577A3E" w14:textId="77777777" w:rsidR="00DD6E59" w:rsidRPr="00E36481" w:rsidRDefault="00DD6E59" w:rsidP="00AD2554">
                        <w:pPr>
                          <w:spacing w:after="0"/>
                          <w:ind w:right="-81"/>
                          <w:rPr>
                            <w:sz w:val="16"/>
                            <w:szCs w:val="16"/>
                            <w:lang w:val="en-US"/>
                          </w:rPr>
                        </w:pPr>
                        <w:r w:rsidRPr="00E36481">
                          <w:rPr>
                            <w:sz w:val="16"/>
                            <w:szCs w:val="16"/>
                            <w:lang w:val="en-US"/>
                          </w:rPr>
                          <w:t>Low</w:t>
                        </w:r>
                      </w:p>
                    </w:txbxContent>
                  </v:textbox>
                </v:shape>
                <v:shape id="Text Box 84" o:spid="_x0000_s1041" type="#_x0000_t202" style="position:absolute;left:3041;top:7142;width:53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pUmwAAAANsAAAAPAAAAZHJzL2Rvd25yZXYueG1sRI9Pi8Iw&#10;FMTvwn6H8ARvNq0HcatRFkHYq//2/GiebbB56TapNt/eLCx4HGbmN8xmN9pWPKj3xrGCIstBEFdO&#10;G64VXM6H+QqED8gaW8ekIJKH3fZjssFSuycf6XEKtUgQ9iUqaELoSil91ZBFn7mOOHk311sMSfa1&#10;1D0+E9y2cpHnS2nRcFposKN9Q9X9NFgFg5U/14Lu8fBbmEHfVtEUMSo1m45faxCBxvAO/7e/tYLF&#10;J/x9ST9Abl8AAAD//wMAUEsBAi0AFAAGAAgAAAAhANvh9svuAAAAhQEAABMAAAAAAAAAAAAAAAAA&#10;AAAAAFtDb250ZW50X1R5cGVzXS54bWxQSwECLQAUAAYACAAAACEAWvQsW78AAAAVAQAACwAAAAAA&#10;AAAAAAAAAAAfAQAAX3JlbHMvLnJlbHNQSwECLQAUAAYACAAAACEAiCKVJsAAAADbAAAADwAAAAAA&#10;AAAAAAAAAAAHAgAAZHJzL2Rvd25yZXYueG1sUEsFBgAAAAADAAMAtwAAAPQCAAAAAA==&#10;" stroked="f">
                  <v:textbox inset="2pt,1pt,2pt,1pt">
                    <w:txbxContent>
                      <w:p w14:paraId="22EDCC0F" w14:textId="77777777" w:rsidR="00DD6E59" w:rsidRPr="00E36481" w:rsidRDefault="00DD6E59" w:rsidP="00AD2554">
                        <w:pPr>
                          <w:spacing w:after="0"/>
                          <w:ind w:right="-100"/>
                          <w:jc w:val="center"/>
                          <w:rPr>
                            <w:sz w:val="16"/>
                            <w:szCs w:val="16"/>
                            <w:lang w:val="en-US"/>
                          </w:rPr>
                        </w:pPr>
                        <w:r w:rsidRPr="00E36481">
                          <w:rPr>
                            <w:sz w:val="16"/>
                            <w:szCs w:val="16"/>
                            <w:lang w:val="en-US"/>
                          </w:rPr>
                          <w:t>Low</w:t>
                        </w:r>
                      </w:p>
                    </w:txbxContent>
                  </v:textbox>
                </v:shape>
              </v:group>
            </w:pict>
          </mc:Fallback>
        </mc:AlternateContent>
      </w:r>
    </w:p>
    <w:p w14:paraId="58414ED7" w14:textId="77777777" w:rsidR="00AD2554" w:rsidRPr="000F2520" w:rsidRDefault="00AD2554" w:rsidP="00AD2554"/>
    <w:p w14:paraId="5C7A658C" w14:textId="77777777" w:rsidR="00AD2554" w:rsidRPr="000F2520" w:rsidRDefault="00AD2554" w:rsidP="00AD2554"/>
    <w:p w14:paraId="5E9684B9" w14:textId="77777777" w:rsidR="00AD2554" w:rsidRPr="000F2520" w:rsidRDefault="00AD2554" w:rsidP="00AD2554"/>
    <w:p w14:paraId="4F6E9761" w14:textId="77777777" w:rsidR="00AD2554" w:rsidRPr="000F2520" w:rsidRDefault="00AD2554" w:rsidP="00AD2554"/>
    <w:p w14:paraId="60B24CD6" w14:textId="77777777" w:rsidR="00AD2554" w:rsidRPr="000F2520" w:rsidRDefault="00AD2554" w:rsidP="00AD2554"/>
    <w:p w14:paraId="333A9D76" w14:textId="77777777" w:rsidR="00AD2554" w:rsidRPr="000F2520" w:rsidRDefault="00AD2554" w:rsidP="00AD2554"/>
    <w:p w14:paraId="6AB78B09" w14:textId="77777777" w:rsidR="00AD2554" w:rsidRPr="000F2520" w:rsidRDefault="00AD2554" w:rsidP="00AD2554"/>
    <w:p w14:paraId="1E5DC9F0" w14:textId="77777777" w:rsidR="00AD2554" w:rsidRPr="000F2520" w:rsidRDefault="00AD2554" w:rsidP="00AD2554"/>
    <w:p w14:paraId="0F18C4B9" w14:textId="77777777" w:rsidR="00AD2554" w:rsidRPr="000F2520" w:rsidRDefault="00AD2554" w:rsidP="00AD2554"/>
    <w:p w14:paraId="443F9A17" w14:textId="77777777" w:rsidR="00AD2554" w:rsidRPr="000F2520" w:rsidRDefault="00AD2554" w:rsidP="00AD2554"/>
    <w:p w14:paraId="570736A0" w14:textId="77777777" w:rsidR="00AD2554" w:rsidRPr="000F2520" w:rsidRDefault="00AD2554" w:rsidP="00AD2554"/>
    <w:p w14:paraId="4AC782E6" w14:textId="77777777" w:rsidR="00AD2554" w:rsidRPr="000F2520" w:rsidRDefault="00AD2554" w:rsidP="00AD2554"/>
    <w:p w14:paraId="2860DBBF" w14:textId="77777777" w:rsidR="00AD2554" w:rsidRPr="000F2520" w:rsidRDefault="00AD2554" w:rsidP="00AD2554">
      <w:r w:rsidRPr="000F2520">
        <w:t xml:space="preserve">In developing the </w:t>
      </w:r>
      <w:r w:rsidRPr="000F2520">
        <w:rPr>
          <w:i/>
        </w:rPr>
        <w:t>Guideline</w:t>
      </w:r>
      <w:r w:rsidRPr="000F2520">
        <w:t xml:space="preserve">, a check-list approach for managing CQR risks has been used (Section </w:t>
      </w:r>
      <w:r w:rsidRPr="001A461D">
        <w:fldChar w:fldCharType="begin"/>
      </w:r>
      <w:r w:rsidRPr="000F2520">
        <w:instrText xml:space="preserve"> REF _Ref351533228 \w \h </w:instrText>
      </w:r>
      <w:r w:rsidRPr="001A461D">
        <w:fldChar w:fldCharType="separate"/>
      </w:r>
      <w:r>
        <w:t>4</w:t>
      </w:r>
      <w:r w:rsidRPr="001A461D">
        <w:fldChar w:fldCharType="end"/>
      </w:r>
      <w:r w:rsidRPr="000F2520">
        <w:t xml:space="preserve"> </w:t>
      </w:r>
      <w:r w:rsidRPr="001A461D">
        <w:fldChar w:fldCharType="begin"/>
      </w:r>
      <w:r w:rsidRPr="000F2520">
        <w:instrText xml:space="preserve"> REF _Ref351533228 \h </w:instrText>
      </w:r>
      <w:r w:rsidRPr="001A461D">
        <w:fldChar w:fldCharType="separate"/>
      </w:r>
      <w:r w:rsidRPr="000F2520">
        <w:t>Security Assessment Approach</w:t>
      </w:r>
      <w:r w:rsidRPr="001A461D">
        <w:fldChar w:fldCharType="end"/>
      </w:r>
      <w:r w:rsidRPr="000F2520">
        <w:t>).  This approach stipulates specific measures to be used that can treat, to a particular level, the identified risks.</w:t>
      </w:r>
    </w:p>
    <w:p w14:paraId="26DAF95D" w14:textId="38BDC8FC" w:rsidR="00AD2554" w:rsidRDefault="00AD2554" w:rsidP="00AD2554">
      <w:r w:rsidRPr="000F2520">
        <w:lastRenderedPageBreak/>
        <w:t>As highlighted in the figure above, residual risk cannot be completely removed.  However, the application of the recommended controls can provide an appropriate level of risk treatment to the key areas for a CQR.</w:t>
      </w:r>
    </w:p>
    <w:p w14:paraId="399D3063" w14:textId="77777777" w:rsidR="00AD2554" w:rsidRPr="00E94379" w:rsidRDefault="00AD2554" w:rsidP="00AD2554">
      <w:pPr>
        <w:pStyle w:val="Heading1"/>
        <w:numPr>
          <w:ilvl w:val="0"/>
          <w:numId w:val="21"/>
        </w:numPr>
        <w:tabs>
          <w:tab w:val="clear" w:pos="1276"/>
          <w:tab w:val="num" w:pos="783"/>
        </w:tabs>
        <w:ind w:left="783" w:hanging="360"/>
      </w:pPr>
      <w:bookmarkStart w:id="23" w:name="_Ref351540377"/>
      <w:bookmarkStart w:id="24" w:name="_Ref351540395"/>
      <w:bookmarkStart w:id="25" w:name="_Toc106613889"/>
      <w:r w:rsidRPr="00E94379">
        <w:t xml:space="preserve">Infrastructure </w:t>
      </w:r>
      <w:r>
        <w:t>m</w:t>
      </w:r>
      <w:r w:rsidRPr="00E94379">
        <w:t xml:space="preserve">odels and </w:t>
      </w:r>
      <w:r>
        <w:t>r</w:t>
      </w:r>
      <w:r w:rsidRPr="00E94379">
        <w:t xml:space="preserve">isk </w:t>
      </w:r>
      <w:r>
        <w:t>p</w:t>
      </w:r>
      <w:r w:rsidRPr="00E94379">
        <w:t>rofiles</w:t>
      </w:r>
      <w:bookmarkEnd w:id="23"/>
      <w:bookmarkEnd w:id="24"/>
      <w:bookmarkEnd w:id="25"/>
      <w: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741"/>
      </w:tblGrid>
      <w:tr w:rsidR="00AD2554" w:rsidRPr="000F2520" w14:paraId="2AA44146" w14:textId="77777777" w:rsidTr="00E9663B">
        <w:tc>
          <w:tcPr>
            <w:tcW w:w="8910" w:type="dxa"/>
            <w:tcBorders>
              <w:top w:val="single" w:sz="4" w:space="0" w:color="auto"/>
              <w:bottom w:val="single" w:sz="4" w:space="0" w:color="auto"/>
            </w:tcBorders>
            <w:shd w:val="clear" w:color="auto" w:fill="F3F3F3"/>
          </w:tcPr>
          <w:p w14:paraId="5E562A5E" w14:textId="77777777" w:rsidR="00AD2554" w:rsidRPr="000F2520" w:rsidRDefault="00AD2554" w:rsidP="00E9663B">
            <w:pPr>
              <w:pStyle w:val="StyleBodyTextHeading1textJustifiedLeft0pt"/>
            </w:pPr>
            <w:r w:rsidRPr="000F2520">
              <w:t xml:space="preserve">To assist in assessing security risks for CQRs, two distinct infrastructure configurations or ‘models’, and risk profiles have been identified. </w:t>
            </w:r>
          </w:p>
        </w:tc>
      </w:tr>
    </w:tbl>
    <w:p w14:paraId="7A68EE32" w14:textId="77777777" w:rsidR="00AD2554" w:rsidRPr="000F2520" w:rsidRDefault="00AD2554" w:rsidP="00AD2554">
      <w:pPr>
        <w:rPr>
          <w:i/>
          <w:szCs w:val="40"/>
        </w:rPr>
      </w:pPr>
    </w:p>
    <w:p w14:paraId="2686F737" w14:textId="77777777" w:rsidR="00AD2554" w:rsidRPr="000F2520" w:rsidRDefault="00AD2554" w:rsidP="003D2BA6">
      <w:pPr>
        <w:pStyle w:val="Heading2"/>
      </w:pPr>
      <w:bookmarkStart w:id="26" w:name="_Ref350930718"/>
      <w:bookmarkStart w:id="27" w:name="_Ref350930729"/>
      <w:bookmarkStart w:id="28" w:name="_Ref350959745"/>
      <w:bookmarkStart w:id="29" w:name="_Ref350959759"/>
      <w:bookmarkStart w:id="30" w:name="_Toc106613890"/>
      <w:bookmarkStart w:id="31" w:name="_Ref320017341"/>
      <w:r w:rsidRPr="000F2520">
        <w:t>Infrastructure Models</w:t>
      </w:r>
      <w:bookmarkEnd w:id="26"/>
      <w:bookmarkEnd w:id="27"/>
      <w:bookmarkEnd w:id="28"/>
      <w:bookmarkEnd w:id="29"/>
      <w:bookmarkEnd w:id="30"/>
    </w:p>
    <w:p w14:paraId="22C6C6FC" w14:textId="6D4F707B" w:rsidR="00AD2554" w:rsidRDefault="00AD2554" w:rsidP="00AD2554">
      <w:bookmarkStart w:id="32" w:name="_Hlk103508605"/>
      <w:r w:rsidRPr="000F2520">
        <w:t xml:space="preserve">This </w:t>
      </w:r>
      <w:r w:rsidRPr="000F2520">
        <w:rPr>
          <w:i/>
        </w:rPr>
        <w:t>Guideline</w:t>
      </w:r>
      <w:r w:rsidRPr="000F2520">
        <w:t xml:space="preserve"> may be used to assess Australian CQRs operating in either of two organisational ‘models’, depending on whether or not they are co-located with</w:t>
      </w:r>
      <w:r>
        <w:t>in a centrally hosted jurisdictional model</w:t>
      </w:r>
      <w:r w:rsidRPr="000F2520">
        <w:t xml:space="preserve"> other </w:t>
      </w:r>
      <w:r w:rsidR="00E26E9E">
        <w:t xml:space="preserve">standalone model. </w:t>
      </w:r>
    </w:p>
    <w:p w14:paraId="3ECC6865" w14:textId="77777777" w:rsidR="00AD2554" w:rsidRPr="000F2520" w:rsidRDefault="00AD2554" w:rsidP="00AD2554">
      <w:r>
        <w:t>Within a centrally hosted jurisdictional model CQRs would benefit from the security infrastructure provided by national system operator and any existing global security certifications, such as ISO27001, and industry specific certifications. Risk profiles can be more readily assessed and ensure compliance to the security guidelines in this document.</w:t>
      </w:r>
    </w:p>
    <w:p w14:paraId="6ABFE9AA" w14:textId="77777777" w:rsidR="00AD2554" w:rsidRPr="000F2520" w:rsidRDefault="00AD2554" w:rsidP="003D2BA6">
      <w:pPr>
        <w:pStyle w:val="Heading2"/>
      </w:pPr>
      <w:bookmarkStart w:id="33" w:name="_Toc106613891"/>
      <w:bookmarkEnd w:id="32"/>
      <w:r w:rsidRPr="000F2520">
        <w:t xml:space="preserve">Model 1 - </w:t>
      </w:r>
      <w:bookmarkEnd w:id="31"/>
      <w:r>
        <w:t>Centrally hosted jurisdictional infrastructure</w:t>
      </w:r>
      <w:bookmarkEnd w:id="33"/>
    </w:p>
    <w:p w14:paraId="5F73FDD7" w14:textId="77777777" w:rsidR="00AD2554" w:rsidRPr="000F2520" w:rsidRDefault="00AD2554" w:rsidP="00AD2554">
      <w:r w:rsidRPr="000F2520">
        <w:t xml:space="preserve">Model 1 identifies </w:t>
      </w:r>
      <w:r>
        <w:t xml:space="preserve">the proposed future state where all CQRs are established and operated in centrally hosted jurisdictional (at the level of the state and territory and Commonwealth) infrastructure. </w:t>
      </w:r>
    </w:p>
    <w:p w14:paraId="7FDE0E33" w14:textId="77777777" w:rsidR="00AD2554" w:rsidRDefault="00AD2554" w:rsidP="00AD2554">
      <w:r w:rsidRPr="000F2520">
        <w:t xml:space="preserve">Under future national arrangements, </w:t>
      </w:r>
      <w:r>
        <w:t>there would be</w:t>
      </w:r>
      <w:r w:rsidRPr="000F2520">
        <w:t xml:space="preserve"> a standardised approach to the hosting and development of the CQRs. </w:t>
      </w:r>
    </w:p>
    <w:p w14:paraId="04D3A65A" w14:textId="3DE44182" w:rsidR="00AD2554" w:rsidRDefault="00AD2554" w:rsidP="00AD2554">
      <w:r>
        <w:t>T</w:t>
      </w:r>
      <w:r w:rsidRPr="000F2520">
        <w:t>he technical infrastructure for the CQRs</w:t>
      </w:r>
      <w:r>
        <w:t xml:space="preserve"> in </w:t>
      </w:r>
      <w:r w:rsidR="00263B9C">
        <w:t>prioritised</w:t>
      </w:r>
      <w:r>
        <w:t xml:space="preserve"> clinical domains</w:t>
      </w:r>
      <w:r>
        <w:rPr>
          <w:rStyle w:val="FootnoteReference"/>
        </w:rPr>
        <w:footnoteReference w:id="5"/>
      </w:r>
      <w:r>
        <w:t xml:space="preserve"> centrally hosted within a jurisdiction</w:t>
      </w:r>
      <w:r>
        <w:rPr>
          <w:rStyle w:val="FootnoteReference"/>
        </w:rPr>
        <w:footnoteReference w:id="6"/>
      </w:r>
      <w:r>
        <w:t xml:space="preserve"> is illustrated in Figure 2.</w:t>
      </w:r>
    </w:p>
    <w:p w14:paraId="46A18CDB" w14:textId="77777777" w:rsidR="00AD2554" w:rsidRPr="000F2520" w:rsidRDefault="00AD2554" w:rsidP="00AD2554">
      <w:r w:rsidRPr="000F2520">
        <w:t xml:space="preserve">This </w:t>
      </w:r>
      <w:r w:rsidRPr="000F2520">
        <w:rPr>
          <w:i/>
        </w:rPr>
        <w:t>Guideline</w:t>
      </w:r>
      <w:r w:rsidRPr="000F2520">
        <w:t xml:space="preserve"> assumes that </w:t>
      </w:r>
      <w:r>
        <w:t>CQRs hosted centrally</w:t>
      </w:r>
      <w:r w:rsidRPr="000F2520">
        <w:t xml:space="preserve"> will be subject to greater inherent security risk than stand-alone CQRs. Larger CQR entities pose a bigger target for potential threats and carry a greater absolute risk of compromised security (see Section </w:t>
      </w:r>
      <w:r w:rsidRPr="001A461D">
        <w:fldChar w:fldCharType="begin"/>
      </w:r>
      <w:r w:rsidRPr="000F2520">
        <w:instrText xml:space="preserve"> REF _Ref350959417 \r \h </w:instrText>
      </w:r>
      <w:r w:rsidRPr="001A461D">
        <w:fldChar w:fldCharType="separate"/>
      </w:r>
      <w:r>
        <w:t>3.2</w:t>
      </w:r>
      <w:r w:rsidRPr="001A461D">
        <w:fldChar w:fldCharType="end"/>
      </w:r>
      <w:r w:rsidRPr="000F2520">
        <w:t xml:space="preserve"> </w:t>
      </w:r>
      <w:r w:rsidRPr="001A461D">
        <w:fldChar w:fldCharType="begin"/>
      </w:r>
      <w:r w:rsidRPr="000F2520">
        <w:instrText xml:space="preserve"> REF _Ref350959438 \h </w:instrText>
      </w:r>
      <w:r w:rsidRPr="001A461D">
        <w:fldChar w:fldCharType="separate"/>
      </w:r>
      <w:r w:rsidRPr="000F2520">
        <w:t xml:space="preserve">Risk </w:t>
      </w:r>
      <w:r w:rsidRPr="001A461D">
        <w:fldChar w:fldCharType="end"/>
      </w:r>
      <w:r w:rsidRPr="000F2520">
        <w:t xml:space="preserve">). </w:t>
      </w:r>
    </w:p>
    <w:p w14:paraId="71842BFD" w14:textId="16BE871F" w:rsidR="00AD2554" w:rsidRPr="000F2520" w:rsidRDefault="00AD2554" w:rsidP="00AD2554">
      <w:pPr>
        <w:pStyle w:val="Caption"/>
      </w:pPr>
    </w:p>
    <w:p w14:paraId="76987A33" w14:textId="65538724" w:rsidR="00AD2554" w:rsidRPr="000A5716" w:rsidRDefault="00AD2554" w:rsidP="00AD2554">
      <w:pPr>
        <w:pStyle w:val="Caption"/>
        <w:rPr>
          <w:color w:val="1F3864" w:themeColor="accent1" w:themeShade="80"/>
          <w:sz w:val="22"/>
          <w:szCs w:val="22"/>
        </w:rPr>
      </w:pPr>
      <w:r w:rsidRPr="000A5716">
        <w:rPr>
          <w:color w:val="1F3864" w:themeColor="accent1" w:themeShade="80"/>
          <w:sz w:val="22"/>
          <w:szCs w:val="22"/>
        </w:rPr>
        <w:t xml:space="preserve">Figure </w:t>
      </w:r>
      <w:r w:rsidR="009F6BDA" w:rsidRPr="000A5716">
        <w:rPr>
          <w:color w:val="1F3864" w:themeColor="accent1" w:themeShade="80"/>
          <w:sz w:val="22"/>
          <w:szCs w:val="22"/>
        </w:rPr>
        <w:fldChar w:fldCharType="begin"/>
      </w:r>
      <w:r w:rsidR="009F6BDA" w:rsidRPr="000A5716">
        <w:rPr>
          <w:color w:val="1F3864" w:themeColor="accent1" w:themeShade="80"/>
          <w:sz w:val="22"/>
          <w:szCs w:val="22"/>
        </w:rPr>
        <w:instrText xml:space="preserve"> SEQ Figure \* ARABIC </w:instrText>
      </w:r>
      <w:r w:rsidR="009F6BDA" w:rsidRPr="000A5716">
        <w:rPr>
          <w:color w:val="1F3864" w:themeColor="accent1" w:themeShade="80"/>
          <w:sz w:val="22"/>
          <w:szCs w:val="22"/>
        </w:rPr>
        <w:fldChar w:fldCharType="separate"/>
      </w:r>
      <w:r w:rsidRPr="000A5716">
        <w:rPr>
          <w:noProof/>
          <w:color w:val="1F3864" w:themeColor="accent1" w:themeShade="80"/>
          <w:sz w:val="22"/>
          <w:szCs w:val="22"/>
        </w:rPr>
        <w:t>2</w:t>
      </w:r>
      <w:r w:rsidR="009F6BDA" w:rsidRPr="000A5716">
        <w:rPr>
          <w:noProof/>
          <w:color w:val="1F3864" w:themeColor="accent1" w:themeShade="80"/>
          <w:sz w:val="22"/>
          <w:szCs w:val="22"/>
        </w:rPr>
        <w:fldChar w:fldCharType="end"/>
      </w:r>
      <w:r w:rsidRPr="000A5716">
        <w:rPr>
          <w:color w:val="1F3864" w:themeColor="accent1" w:themeShade="80"/>
          <w:sz w:val="22"/>
          <w:szCs w:val="22"/>
        </w:rPr>
        <w:t>: Centrally hosted jurisdictional CQRs</w:t>
      </w:r>
    </w:p>
    <w:p w14:paraId="5294E8F1" w14:textId="77777777" w:rsidR="00AD2554" w:rsidRPr="000F2520" w:rsidRDefault="00AD2554" w:rsidP="00AD2554">
      <w:pPr>
        <w:pStyle w:val="BodyText"/>
      </w:pPr>
    </w:p>
    <w:p w14:paraId="35B94D7A" w14:textId="020B47E7" w:rsidR="00AD2554" w:rsidRPr="000F2520" w:rsidRDefault="00E172D0" w:rsidP="00AD2554">
      <w:pPr>
        <w:pStyle w:val="BodyText"/>
      </w:pPr>
      <w:r w:rsidRPr="00E172D0">
        <w:rPr>
          <w:noProof/>
        </w:rPr>
        <w:drawing>
          <wp:inline distT="0" distB="0" distL="0" distR="0" wp14:anchorId="05D229BC" wp14:editId="6DE6FB14">
            <wp:extent cx="5625465" cy="5589270"/>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25465" cy="5589270"/>
                    </a:xfrm>
                    <a:prstGeom prst="rect">
                      <a:avLst/>
                    </a:prstGeom>
                  </pic:spPr>
                </pic:pic>
              </a:graphicData>
            </a:graphic>
          </wp:inline>
        </w:drawing>
      </w:r>
    </w:p>
    <w:p w14:paraId="20DE18B0" w14:textId="77777777" w:rsidR="00AD2554" w:rsidRPr="000F2520" w:rsidRDefault="00AD2554" w:rsidP="00AD2554">
      <w:pPr>
        <w:pStyle w:val="Caption"/>
      </w:pPr>
    </w:p>
    <w:p w14:paraId="0365E9D7" w14:textId="77777777" w:rsidR="00AD2554" w:rsidRPr="000F2520" w:rsidRDefault="00AD2554" w:rsidP="003D2BA6">
      <w:pPr>
        <w:pStyle w:val="Heading2"/>
      </w:pPr>
      <w:bookmarkStart w:id="34" w:name="_Toc106613892"/>
      <w:r w:rsidRPr="000F2520">
        <w:t xml:space="preserve">Model 2 </w:t>
      </w:r>
      <w:r>
        <w:t>–</w:t>
      </w:r>
      <w:r w:rsidRPr="000F2520">
        <w:t xml:space="preserve"> </w:t>
      </w:r>
      <w:r>
        <w:t xml:space="preserve">Standalone </w:t>
      </w:r>
      <w:r w:rsidRPr="000F2520">
        <w:t>CQRs</w:t>
      </w:r>
      <w:bookmarkEnd w:id="34"/>
    </w:p>
    <w:p w14:paraId="77C87EAC" w14:textId="77777777" w:rsidR="00AD2554" w:rsidRPr="000F2520" w:rsidRDefault="00AD2554" w:rsidP="00AD2554">
      <w:bookmarkStart w:id="35" w:name="_Hlk104734824"/>
      <w:r w:rsidRPr="000F2520">
        <w:t>Model 2 describes the</w:t>
      </w:r>
      <w:r>
        <w:t xml:space="preserve"> current</w:t>
      </w:r>
      <w:r w:rsidRPr="000F2520">
        <w:t xml:space="preserve"> situation in which a CQR is developed and operated </w:t>
      </w:r>
      <w:r>
        <w:t xml:space="preserve">as </w:t>
      </w:r>
      <w:proofErr w:type="gramStart"/>
      <w:r>
        <w:t>a  standalone</w:t>
      </w:r>
      <w:proofErr w:type="gramEnd"/>
      <w:r>
        <w:t xml:space="preserve"> CQR. </w:t>
      </w:r>
      <w:r w:rsidRPr="000F2520">
        <w:t xml:space="preserve">The CQR may have a technology infrastructure (‘data hosting’) platform that is hosted locally and maintained internally </w:t>
      </w:r>
      <w:r>
        <w:t xml:space="preserve">within existing health service organisation information systems </w:t>
      </w:r>
      <w:r w:rsidRPr="000F2520">
        <w:t>(</w:t>
      </w:r>
      <w:r w:rsidRPr="001A461D">
        <w:fldChar w:fldCharType="begin"/>
      </w:r>
      <w:r w:rsidRPr="000F2520">
        <w:instrText xml:space="preserve"> REF _Ref325487018 \h  \* MERGEFORMAT </w:instrText>
      </w:r>
      <w:r w:rsidRPr="001A461D">
        <w:fldChar w:fldCharType="separate"/>
      </w:r>
      <w:r w:rsidRPr="000F2520">
        <w:t xml:space="preserve">Figure </w:t>
      </w:r>
      <w:r>
        <w:rPr>
          <w:noProof/>
        </w:rPr>
        <w:t>3</w:t>
      </w:r>
      <w:r w:rsidRPr="001A461D">
        <w:fldChar w:fldCharType="end"/>
      </w:r>
      <w:r w:rsidRPr="000F2520">
        <w:t>) or externally through a third</w:t>
      </w:r>
      <w:r>
        <w:t>-</w:t>
      </w:r>
      <w:r w:rsidRPr="000F2520">
        <w:t>party service provider</w:t>
      </w:r>
      <w:r>
        <w:t xml:space="preserve">, such as a university or another vendor. </w:t>
      </w:r>
      <w:bookmarkEnd w:id="35"/>
      <w:r w:rsidRPr="000F2520">
        <w:t>(</w:t>
      </w:r>
      <w:r w:rsidRPr="001A461D">
        <w:fldChar w:fldCharType="begin"/>
      </w:r>
      <w:r w:rsidRPr="000F2520">
        <w:instrText xml:space="preserve"> REF _Ref325487026 \h  \* MERGEFORMAT </w:instrText>
      </w:r>
      <w:r w:rsidRPr="001A461D">
        <w:fldChar w:fldCharType="separate"/>
      </w:r>
      <w:r w:rsidRPr="000F2520">
        <w:t xml:space="preserve">Figure </w:t>
      </w:r>
      <w:r>
        <w:rPr>
          <w:noProof/>
        </w:rPr>
        <w:t>4</w:t>
      </w:r>
      <w:r w:rsidRPr="001A461D">
        <w:fldChar w:fldCharType="end"/>
      </w:r>
      <w:r w:rsidRPr="000F2520">
        <w:t xml:space="preserve">).  </w:t>
      </w:r>
    </w:p>
    <w:p w14:paraId="7330228C" w14:textId="3AF9EC03" w:rsidR="000A5716" w:rsidRPr="00D741D9" w:rsidRDefault="00AD2554" w:rsidP="00D741D9">
      <w:r w:rsidRPr="000F2520">
        <w:t xml:space="preserve">Smaller CQR entities pose a smaller target for potential threats and carry a smaller absolute risk of compromised security (see Section </w:t>
      </w:r>
      <w:r w:rsidRPr="001A461D">
        <w:fldChar w:fldCharType="begin"/>
      </w:r>
      <w:r w:rsidRPr="000F2520">
        <w:instrText xml:space="preserve"> REF _Ref350959488 \r \h </w:instrText>
      </w:r>
      <w:r w:rsidRPr="001A461D">
        <w:fldChar w:fldCharType="separate"/>
      </w:r>
      <w:r>
        <w:t>3.2</w:t>
      </w:r>
      <w:r w:rsidRPr="001A461D">
        <w:fldChar w:fldCharType="end"/>
      </w:r>
      <w:r w:rsidRPr="000F2520">
        <w:t xml:space="preserve"> </w:t>
      </w:r>
      <w:r w:rsidRPr="001A461D">
        <w:fldChar w:fldCharType="begin"/>
      </w:r>
      <w:r w:rsidRPr="000F2520">
        <w:instrText xml:space="preserve"> REF _Ref350959475 \h </w:instrText>
      </w:r>
      <w:r w:rsidRPr="001A461D">
        <w:fldChar w:fldCharType="separate"/>
      </w:r>
      <w:r w:rsidRPr="000F2520">
        <w:t xml:space="preserve">Risk </w:t>
      </w:r>
      <w:r w:rsidRPr="001A461D">
        <w:fldChar w:fldCharType="end"/>
      </w:r>
      <w:r w:rsidRPr="000F2520">
        <w:t xml:space="preserve">). </w:t>
      </w:r>
      <w:r w:rsidR="000A5716">
        <w:rPr>
          <w:color w:val="1F3864" w:themeColor="accent1" w:themeShade="80"/>
          <w:szCs w:val="22"/>
        </w:rPr>
        <w:br w:type="page"/>
      </w:r>
    </w:p>
    <w:p w14:paraId="709F75EB" w14:textId="7075D318" w:rsidR="00AD2554" w:rsidRPr="000A5716" w:rsidRDefault="00AD2554" w:rsidP="00AD2554">
      <w:pPr>
        <w:pStyle w:val="Caption"/>
        <w:rPr>
          <w:color w:val="1F3864" w:themeColor="accent1" w:themeShade="80"/>
          <w:sz w:val="22"/>
          <w:szCs w:val="22"/>
        </w:rPr>
      </w:pPr>
      <w:r w:rsidRPr="000A5716">
        <w:rPr>
          <w:color w:val="1F3864" w:themeColor="accent1" w:themeShade="80"/>
          <w:sz w:val="22"/>
          <w:szCs w:val="22"/>
        </w:rPr>
        <w:lastRenderedPageBreak/>
        <w:t xml:space="preserve">Figure </w:t>
      </w:r>
      <w:r w:rsidR="009F6BDA" w:rsidRPr="000A5716">
        <w:rPr>
          <w:color w:val="1F3864" w:themeColor="accent1" w:themeShade="80"/>
          <w:sz w:val="22"/>
          <w:szCs w:val="22"/>
        </w:rPr>
        <w:fldChar w:fldCharType="begin"/>
      </w:r>
      <w:r w:rsidR="009F6BDA" w:rsidRPr="000A5716">
        <w:rPr>
          <w:color w:val="1F3864" w:themeColor="accent1" w:themeShade="80"/>
          <w:sz w:val="22"/>
          <w:szCs w:val="22"/>
        </w:rPr>
        <w:instrText xml:space="preserve"> SEQ Figure \* ARABIC </w:instrText>
      </w:r>
      <w:r w:rsidR="009F6BDA" w:rsidRPr="000A5716">
        <w:rPr>
          <w:color w:val="1F3864" w:themeColor="accent1" w:themeShade="80"/>
          <w:sz w:val="22"/>
          <w:szCs w:val="22"/>
        </w:rPr>
        <w:fldChar w:fldCharType="separate"/>
      </w:r>
      <w:r w:rsidRPr="000A5716">
        <w:rPr>
          <w:noProof/>
          <w:color w:val="1F3864" w:themeColor="accent1" w:themeShade="80"/>
          <w:sz w:val="22"/>
          <w:szCs w:val="22"/>
        </w:rPr>
        <w:t>3</w:t>
      </w:r>
      <w:r w:rsidR="009F6BDA" w:rsidRPr="000A5716">
        <w:rPr>
          <w:noProof/>
          <w:color w:val="1F3864" w:themeColor="accent1" w:themeShade="80"/>
          <w:sz w:val="22"/>
          <w:szCs w:val="22"/>
        </w:rPr>
        <w:fldChar w:fldCharType="end"/>
      </w:r>
      <w:r w:rsidRPr="000A5716">
        <w:rPr>
          <w:color w:val="1F3864" w:themeColor="accent1" w:themeShade="80"/>
          <w:sz w:val="22"/>
          <w:szCs w:val="22"/>
        </w:rPr>
        <w:t>: Standalone CQR with an internal data hosting platform</w:t>
      </w:r>
    </w:p>
    <w:p w14:paraId="307BA40B" w14:textId="073DBD40" w:rsidR="00AD2554" w:rsidRPr="000F2520" w:rsidRDefault="00D72B83" w:rsidP="00AD2554">
      <w:r>
        <w:rPr>
          <w:noProof/>
        </w:rPr>
        <w:drawing>
          <wp:inline distT="0" distB="0" distL="0" distR="0" wp14:anchorId="15213F5A" wp14:editId="32F4D6B5">
            <wp:extent cx="5625465" cy="45269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25465" cy="4526915"/>
                    </a:xfrm>
                    <a:prstGeom prst="rect">
                      <a:avLst/>
                    </a:prstGeom>
                    <a:noFill/>
                    <a:ln>
                      <a:noFill/>
                    </a:ln>
                  </pic:spPr>
                </pic:pic>
              </a:graphicData>
            </a:graphic>
          </wp:inline>
        </w:drawing>
      </w:r>
    </w:p>
    <w:p w14:paraId="12511496" w14:textId="77777777" w:rsidR="00AD2554" w:rsidRPr="000F2520" w:rsidRDefault="00AD2554" w:rsidP="00AD2554">
      <w:pPr>
        <w:ind w:left="1276"/>
        <w:jc w:val="center"/>
      </w:pPr>
    </w:p>
    <w:p w14:paraId="722C1CCC" w14:textId="77777777" w:rsidR="000A5716" w:rsidRDefault="000A5716">
      <w:pPr>
        <w:spacing w:after="0" w:line="240" w:lineRule="auto"/>
        <w:rPr>
          <w:i/>
          <w:iCs/>
          <w:color w:val="1F3864" w:themeColor="accent1" w:themeShade="80"/>
          <w:szCs w:val="22"/>
        </w:rPr>
      </w:pPr>
      <w:r>
        <w:rPr>
          <w:color w:val="1F3864" w:themeColor="accent1" w:themeShade="80"/>
          <w:szCs w:val="22"/>
        </w:rPr>
        <w:br w:type="page"/>
      </w:r>
    </w:p>
    <w:p w14:paraId="4B8F891F" w14:textId="52B483AB" w:rsidR="00AD2554" w:rsidRPr="000A5716" w:rsidRDefault="00AD2554" w:rsidP="00AD2554">
      <w:pPr>
        <w:pStyle w:val="Caption"/>
        <w:rPr>
          <w:color w:val="1F3864" w:themeColor="accent1" w:themeShade="80"/>
          <w:sz w:val="22"/>
          <w:szCs w:val="22"/>
        </w:rPr>
      </w:pPr>
      <w:r w:rsidRPr="000A5716">
        <w:rPr>
          <w:color w:val="1F3864" w:themeColor="accent1" w:themeShade="80"/>
          <w:sz w:val="22"/>
          <w:szCs w:val="22"/>
        </w:rPr>
        <w:lastRenderedPageBreak/>
        <w:t xml:space="preserve">Figure </w:t>
      </w:r>
      <w:r w:rsidR="009F6BDA" w:rsidRPr="000A5716">
        <w:rPr>
          <w:color w:val="1F3864" w:themeColor="accent1" w:themeShade="80"/>
          <w:sz w:val="22"/>
          <w:szCs w:val="22"/>
        </w:rPr>
        <w:fldChar w:fldCharType="begin"/>
      </w:r>
      <w:r w:rsidR="009F6BDA" w:rsidRPr="000A5716">
        <w:rPr>
          <w:color w:val="1F3864" w:themeColor="accent1" w:themeShade="80"/>
          <w:sz w:val="22"/>
          <w:szCs w:val="22"/>
        </w:rPr>
        <w:instrText xml:space="preserve"> SEQ Figure \* ARABIC </w:instrText>
      </w:r>
      <w:r w:rsidR="009F6BDA" w:rsidRPr="000A5716">
        <w:rPr>
          <w:color w:val="1F3864" w:themeColor="accent1" w:themeShade="80"/>
          <w:sz w:val="22"/>
          <w:szCs w:val="22"/>
        </w:rPr>
        <w:fldChar w:fldCharType="separate"/>
      </w:r>
      <w:r w:rsidRPr="000A5716">
        <w:rPr>
          <w:noProof/>
          <w:color w:val="1F3864" w:themeColor="accent1" w:themeShade="80"/>
          <w:sz w:val="22"/>
          <w:szCs w:val="22"/>
        </w:rPr>
        <w:t>4</w:t>
      </w:r>
      <w:r w:rsidR="009F6BDA" w:rsidRPr="000A5716">
        <w:rPr>
          <w:noProof/>
          <w:color w:val="1F3864" w:themeColor="accent1" w:themeShade="80"/>
          <w:sz w:val="22"/>
          <w:szCs w:val="22"/>
        </w:rPr>
        <w:fldChar w:fldCharType="end"/>
      </w:r>
      <w:r w:rsidRPr="000A5716">
        <w:rPr>
          <w:color w:val="1F3864" w:themeColor="accent1" w:themeShade="80"/>
          <w:sz w:val="22"/>
          <w:szCs w:val="22"/>
        </w:rPr>
        <w:t>: Standalone CQR using an external data hosting facility</w:t>
      </w:r>
    </w:p>
    <w:p w14:paraId="5C8C40CD" w14:textId="403BE2D2" w:rsidR="00AD2554" w:rsidRDefault="000A5716" w:rsidP="00AD2554">
      <w:r>
        <w:rPr>
          <w:noProof/>
        </w:rPr>
        <w:drawing>
          <wp:inline distT="0" distB="0" distL="0" distR="0" wp14:anchorId="547979D7" wp14:editId="4545283E">
            <wp:extent cx="5625465" cy="36986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25465" cy="3698630"/>
                    </a:xfrm>
                    <a:prstGeom prst="rect">
                      <a:avLst/>
                    </a:prstGeom>
                    <a:noFill/>
                    <a:ln>
                      <a:noFill/>
                    </a:ln>
                  </pic:spPr>
                </pic:pic>
              </a:graphicData>
            </a:graphic>
          </wp:inline>
        </w:drawing>
      </w:r>
    </w:p>
    <w:p w14:paraId="0B9EF0D0" w14:textId="18AA452E" w:rsidR="00AD2554" w:rsidRPr="000F2520" w:rsidRDefault="00AD2554" w:rsidP="00AD2554"/>
    <w:p w14:paraId="6B890419" w14:textId="77777777" w:rsidR="00AD2554" w:rsidRPr="000F2520" w:rsidRDefault="00AD2554" w:rsidP="003D2BA6">
      <w:pPr>
        <w:pStyle w:val="Heading2"/>
      </w:pPr>
      <w:bookmarkStart w:id="36" w:name="_Ref350959417"/>
      <w:bookmarkStart w:id="37" w:name="_Ref350959438"/>
      <w:bookmarkStart w:id="38" w:name="_Ref350959475"/>
      <w:bookmarkStart w:id="39" w:name="_Ref350959488"/>
      <w:bookmarkStart w:id="40" w:name="_Ref351451481"/>
      <w:bookmarkStart w:id="41" w:name="_Toc106613893"/>
      <w:r w:rsidRPr="000F2520">
        <w:t xml:space="preserve">Risk </w:t>
      </w:r>
      <w:bookmarkEnd w:id="36"/>
      <w:bookmarkEnd w:id="37"/>
      <w:bookmarkEnd w:id="38"/>
      <w:bookmarkEnd w:id="39"/>
      <w:r>
        <w:t>p</w:t>
      </w:r>
      <w:r w:rsidRPr="000F2520">
        <w:t>rofiles</w:t>
      </w:r>
      <w:bookmarkEnd w:id="40"/>
      <w:bookmarkEnd w:id="41"/>
    </w:p>
    <w:p w14:paraId="026F1731" w14:textId="77777777" w:rsidR="00AD2554" w:rsidRPr="000F2520" w:rsidRDefault="00AD2554" w:rsidP="00AD2554">
      <w:r w:rsidRPr="000F2520">
        <w:t xml:space="preserve">This section describes the risk profiles for the two infrastructure models described in Section </w:t>
      </w:r>
      <w:r w:rsidRPr="00445759">
        <w:fldChar w:fldCharType="begin"/>
      </w:r>
      <w:r w:rsidRPr="000F2520">
        <w:instrText xml:space="preserve"> REF _Ref350959745 \r \h </w:instrText>
      </w:r>
      <w:r w:rsidRPr="00445759">
        <w:fldChar w:fldCharType="separate"/>
      </w:r>
      <w:r>
        <w:t>3.1</w:t>
      </w:r>
      <w:r w:rsidRPr="00445759">
        <w:fldChar w:fldCharType="end"/>
      </w:r>
      <w:r w:rsidRPr="000F2520">
        <w:t xml:space="preserve">, and how those profiles have been determined. </w:t>
      </w:r>
    </w:p>
    <w:p w14:paraId="7AD959AF" w14:textId="77777777" w:rsidR="00AD2554" w:rsidRPr="000F2520" w:rsidRDefault="00AD2554" w:rsidP="00AD2554">
      <w:r w:rsidRPr="000F2520">
        <w:t xml:space="preserve">The risk profiles have been used to develop the Security Compliance Checklists (Section </w:t>
      </w:r>
      <w:r w:rsidRPr="00445759">
        <w:fldChar w:fldCharType="begin"/>
      </w:r>
      <w:r w:rsidRPr="000F2520">
        <w:instrText xml:space="preserve"> REF _Ref350959899 \r \h </w:instrText>
      </w:r>
      <w:r w:rsidRPr="00445759">
        <w:fldChar w:fldCharType="separate"/>
      </w:r>
      <w:r>
        <w:t>5</w:t>
      </w:r>
      <w:r w:rsidRPr="00445759">
        <w:fldChar w:fldCharType="end"/>
      </w:r>
      <w:r w:rsidRPr="000F2520">
        <w:t xml:space="preserve"> </w:t>
      </w:r>
      <w:r w:rsidRPr="00445759">
        <w:fldChar w:fldCharType="begin"/>
      </w:r>
      <w:r w:rsidRPr="000F2520">
        <w:instrText xml:space="preserve"> REF _Ref350959883 \h </w:instrText>
      </w:r>
      <w:r w:rsidRPr="00445759">
        <w:fldChar w:fldCharType="separate"/>
      </w:r>
      <w:r w:rsidRPr="000F2520">
        <w:t>Security Compliance Checklists for CQR ‘Good Practice’</w:t>
      </w:r>
      <w:r w:rsidRPr="00445759">
        <w:fldChar w:fldCharType="end"/>
      </w:r>
      <w:r w:rsidRPr="000F2520">
        <w:t xml:space="preserve">). </w:t>
      </w:r>
    </w:p>
    <w:p w14:paraId="01FDEFAE" w14:textId="77777777" w:rsidR="0044020B" w:rsidRPr="0044020B" w:rsidRDefault="0044020B" w:rsidP="0044020B">
      <w:pPr>
        <w:pStyle w:val="ListParagraph"/>
        <w:keepNext/>
        <w:numPr>
          <w:ilvl w:val="0"/>
          <w:numId w:val="10"/>
        </w:numPr>
        <w:spacing w:before="240" w:after="120" w:line="240" w:lineRule="auto"/>
        <w:contextualSpacing w:val="0"/>
        <w:outlineLvl w:val="2"/>
        <w:rPr>
          <w:rFonts w:ascii="Arial" w:hAnsi="Arial" w:cs="Arial"/>
          <w:b/>
          <w:i/>
          <w:vanish/>
          <w:lang w:eastAsia="en-AU"/>
        </w:rPr>
      </w:pPr>
    </w:p>
    <w:p w14:paraId="1383517A" w14:textId="77777777" w:rsidR="0044020B" w:rsidRPr="0044020B" w:rsidRDefault="0044020B" w:rsidP="0044020B">
      <w:pPr>
        <w:pStyle w:val="ListParagraph"/>
        <w:keepNext/>
        <w:numPr>
          <w:ilvl w:val="0"/>
          <w:numId w:val="10"/>
        </w:numPr>
        <w:spacing w:before="240" w:after="120" w:line="240" w:lineRule="auto"/>
        <w:contextualSpacing w:val="0"/>
        <w:outlineLvl w:val="2"/>
        <w:rPr>
          <w:rFonts w:ascii="Arial" w:hAnsi="Arial" w:cs="Arial"/>
          <w:b/>
          <w:i/>
          <w:vanish/>
          <w:lang w:eastAsia="en-AU"/>
        </w:rPr>
      </w:pPr>
    </w:p>
    <w:p w14:paraId="46198754" w14:textId="77777777" w:rsidR="0044020B" w:rsidRPr="0044020B" w:rsidRDefault="0044020B" w:rsidP="0044020B">
      <w:pPr>
        <w:pStyle w:val="ListParagraph"/>
        <w:keepNext/>
        <w:numPr>
          <w:ilvl w:val="0"/>
          <w:numId w:val="10"/>
        </w:numPr>
        <w:spacing w:before="240" w:after="120" w:line="240" w:lineRule="auto"/>
        <w:contextualSpacing w:val="0"/>
        <w:outlineLvl w:val="2"/>
        <w:rPr>
          <w:rFonts w:ascii="Arial" w:hAnsi="Arial" w:cs="Arial"/>
          <w:b/>
          <w:i/>
          <w:vanish/>
          <w:lang w:eastAsia="en-AU"/>
        </w:rPr>
      </w:pPr>
    </w:p>
    <w:p w14:paraId="551CFA4C" w14:textId="77777777" w:rsidR="0044020B" w:rsidRPr="0044020B" w:rsidRDefault="0044020B" w:rsidP="0044020B">
      <w:pPr>
        <w:pStyle w:val="ListParagraph"/>
        <w:keepNext/>
        <w:numPr>
          <w:ilvl w:val="1"/>
          <w:numId w:val="10"/>
        </w:numPr>
        <w:spacing w:before="240" w:after="120" w:line="240" w:lineRule="auto"/>
        <w:contextualSpacing w:val="0"/>
        <w:outlineLvl w:val="2"/>
        <w:rPr>
          <w:rFonts w:ascii="Arial" w:hAnsi="Arial" w:cs="Arial"/>
          <w:b/>
          <w:i/>
          <w:vanish/>
          <w:lang w:eastAsia="en-AU"/>
        </w:rPr>
      </w:pPr>
    </w:p>
    <w:p w14:paraId="4D321F15" w14:textId="77777777" w:rsidR="0044020B" w:rsidRPr="0044020B" w:rsidRDefault="0044020B" w:rsidP="0044020B">
      <w:pPr>
        <w:pStyle w:val="ListParagraph"/>
        <w:keepNext/>
        <w:numPr>
          <w:ilvl w:val="1"/>
          <w:numId w:val="10"/>
        </w:numPr>
        <w:spacing w:before="240" w:after="120" w:line="240" w:lineRule="auto"/>
        <w:contextualSpacing w:val="0"/>
        <w:outlineLvl w:val="2"/>
        <w:rPr>
          <w:rFonts w:ascii="Arial" w:hAnsi="Arial" w:cs="Arial"/>
          <w:b/>
          <w:i/>
          <w:vanish/>
          <w:lang w:eastAsia="en-AU"/>
        </w:rPr>
      </w:pPr>
    </w:p>
    <w:p w14:paraId="0F98352A" w14:textId="77777777" w:rsidR="0044020B" w:rsidRPr="0044020B" w:rsidRDefault="0044020B" w:rsidP="0044020B">
      <w:pPr>
        <w:pStyle w:val="ListParagraph"/>
        <w:keepNext/>
        <w:numPr>
          <w:ilvl w:val="1"/>
          <w:numId w:val="10"/>
        </w:numPr>
        <w:spacing w:before="240" w:after="120" w:line="240" w:lineRule="auto"/>
        <w:contextualSpacing w:val="0"/>
        <w:outlineLvl w:val="2"/>
        <w:rPr>
          <w:rFonts w:ascii="Arial" w:hAnsi="Arial" w:cs="Arial"/>
          <w:b/>
          <w:i/>
          <w:vanish/>
          <w:lang w:eastAsia="en-AU"/>
        </w:rPr>
      </w:pPr>
    </w:p>
    <w:p w14:paraId="6B1B2454" w14:textId="77777777" w:rsidR="0044020B" w:rsidRPr="0044020B" w:rsidRDefault="0044020B" w:rsidP="0044020B">
      <w:pPr>
        <w:pStyle w:val="ListParagraph"/>
        <w:keepNext/>
        <w:numPr>
          <w:ilvl w:val="1"/>
          <w:numId w:val="10"/>
        </w:numPr>
        <w:spacing w:before="240" w:after="120" w:line="240" w:lineRule="auto"/>
        <w:contextualSpacing w:val="0"/>
        <w:outlineLvl w:val="2"/>
        <w:rPr>
          <w:rFonts w:ascii="Arial" w:hAnsi="Arial" w:cs="Arial"/>
          <w:b/>
          <w:i/>
          <w:vanish/>
          <w:lang w:eastAsia="en-AU"/>
        </w:rPr>
      </w:pPr>
    </w:p>
    <w:p w14:paraId="1ECBDF12" w14:textId="5D3C3DC9" w:rsidR="00AD2554" w:rsidRPr="000F2520" w:rsidRDefault="00AD2554" w:rsidP="0044020B">
      <w:pPr>
        <w:pStyle w:val="Heading3"/>
      </w:pPr>
      <w:bookmarkStart w:id="42" w:name="_Toc106613894"/>
      <w:r w:rsidRPr="000F2520">
        <w:t xml:space="preserve">Summary of </w:t>
      </w:r>
      <w:r>
        <w:t>r</w:t>
      </w:r>
      <w:r w:rsidRPr="000F2520">
        <w:t xml:space="preserve">isk </w:t>
      </w:r>
      <w:r>
        <w:t>p</w:t>
      </w:r>
      <w:r w:rsidRPr="000F2520">
        <w:t>rofiles</w:t>
      </w:r>
      <w:bookmarkEnd w:id="42"/>
    </w:p>
    <w:p w14:paraId="0E39692B" w14:textId="77777777" w:rsidR="00AD2554" w:rsidRPr="000F2520" w:rsidRDefault="00AD2554" w:rsidP="00AD2554">
      <w:r w:rsidRPr="000F2520">
        <w:t xml:space="preserve">The following table summarises the risk profiles for each of the infrastructure models. </w:t>
      </w:r>
    </w:p>
    <w:p w14:paraId="4B844FDE" w14:textId="77777777" w:rsidR="00AD2554" w:rsidRPr="000F2520" w:rsidRDefault="00AD2554" w:rsidP="00AD2554">
      <w:r w:rsidRPr="000F2520">
        <w:t xml:space="preserve">Overall, </w:t>
      </w:r>
      <w:r>
        <w:t xml:space="preserve">the greatest risks to </w:t>
      </w:r>
      <w:r w:rsidRPr="000F2520">
        <w:t>CQRs</w:t>
      </w:r>
      <w:r>
        <w:t xml:space="preserve"> data holdings</w:t>
      </w:r>
      <w:r w:rsidRPr="000F2520">
        <w:t xml:space="preserve"> are security breaches of confidentiality and </w:t>
      </w:r>
      <w:r>
        <w:t xml:space="preserve">the </w:t>
      </w:r>
      <w:r w:rsidRPr="000F2520">
        <w:t>integrity of CQR information. Breaches of availability are less of a concern as the information produced by CQRs is not usually required for time-critical use; that is, for the delivery of clinical care.</w:t>
      </w:r>
    </w:p>
    <w:p w14:paraId="2DF8C8CC" w14:textId="77777777" w:rsidR="00AD2554" w:rsidRPr="000F2520" w:rsidRDefault="00AD2554" w:rsidP="00AD2554"/>
    <w:p w14:paraId="07F2D6C0" w14:textId="77777777" w:rsidR="000A5716" w:rsidRDefault="000A5716">
      <w:pPr>
        <w:spacing w:after="0" w:line="240" w:lineRule="auto"/>
        <w:rPr>
          <w:i/>
          <w:iCs/>
          <w:color w:val="44546A" w:themeColor="text2"/>
          <w:sz w:val="18"/>
          <w:szCs w:val="18"/>
        </w:rPr>
      </w:pPr>
      <w:bookmarkStart w:id="43" w:name="_Toc320087954"/>
      <w:bookmarkStart w:id="44" w:name="_Toc95479912"/>
      <w:r>
        <w:br w:type="page"/>
      </w:r>
    </w:p>
    <w:p w14:paraId="3C3C0916" w14:textId="2159AA9C" w:rsidR="00AD2554" w:rsidRPr="00EB5B0F" w:rsidRDefault="00AD2554" w:rsidP="00AD2554">
      <w:pPr>
        <w:pStyle w:val="Caption"/>
        <w:rPr>
          <w:rFonts w:cs="Arial"/>
          <w:color w:val="1F3864" w:themeColor="accent1" w:themeShade="80"/>
          <w:sz w:val="22"/>
          <w:szCs w:val="22"/>
        </w:rPr>
      </w:pPr>
      <w:r w:rsidRPr="00EB5B0F">
        <w:rPr>
          <w:rFonts w:cs="Arial"/>
          <w:color w:val="1F3864" w:themeColor="accent1" w:themeShade="80"/>
          <w:sz w:val="22"/>
          <w:szCs w:val="22"/>
        </w:rPr>
        <w:lastRenderedPageBreak/>
        <w:t xml:space="preserve">Table </w:t>
      </w:r>
      <w:r w:rsidRPr="00EB5B0F">
        <w:rPr>
          <w:rFonts w:cs="Arial"/>
          <w:color w:val="1F3864" w:themeColor="accent1" w:themeShade="80"/>
          <w:sz w:val="22"/>
          <w:szCs w:val="22"/>
        </w:rPr>
        <w:fldChar w:fldCharType="begin"/>
      </w:r>
      <w:r w:rsidRPr="00EB5B0F">
        <w:rPr>
          <w:rFonts w:cs="Arial"/>
          <w:color w:val="1F3864" w:themeColor="accent1" w:themeShade="80"/>
          <w:sz w:val="22"/>
          <w:szCs w:val="22"/>
        </w:rPr>
        <w:instrText xml:space="preserve"> SEQ Table \* ARABIC </w:instrText>
      </w:r>
      <w:r w:rsidRPr="00EB5B0F">
        <w:rPr>
          <w:rFonts w:cs="Arial"/>
          <w:color w:val="1F3864" w:themeColor="accent1" w:themeShade="80"/>
          <w:sz w:val="22"/>
          <w:szCs w:val="22"/>
        </w:rPr>
        <w:fldChar w:fldCharType="separate"/>
      </w:r>
      <w:r w:rsidRPr="00EB5B0F">
        <w:rPr>
          <w:rFonts w:cs="Arial"/>
          <w:noProof/>
          <w:color w:val="1F3864" w:themeColor="accent1" w:themeShade="80"/>
          <w:sz w:val="22"/>
          <w:szCs w:val="22"/>
        </w:rPr>
        <w:t>1</w:t>
      </w:r>
      <w:r w:rsidRPr="00EB5B0F">
        <w:rPr>
          <w:rFonts w:cs="Arial"/>
          <w:noProof/>
          <w:color w:val="1F3864" w:themeColor="accent1" w:themeShade="80"/>
          <w:sz w:val="22"/>
          <w:szCs w:val="22"/>
        </w:rPr>
        <w:fldChar w:fldCharType="end"/>
      </w:r>
      <w:r w:rsidRPr="00EB5B0F">
        <w:rPr>
          <w:rFonts w:cs="Arial"/>
          <w:color w:val="1F3864" w:themeColor="accent1" w:themeShade="80"/>
          <w:sz w:val="22"/>
          <w:szCs w:val="22"/>
        </w:rPr>
        <w:t>: Risk profiles</w:t>
      </w:r>
      <w:bookmarkEnd w:id="43"/>
      <w:bookmarkEnd w:id="44"/>
    </w:p>
    <w:tbl>
      <w:tblPr>
        <w:tblW w:w="8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9" w:type="dxa"/>
        </w:tblCellMar>
        <w:tblLook w:val="00A0" w:firstRow="1" w:lastRow="0" w:firstColumn="1" w:lastColumn="0" w:noHBand="0" w:noVBand="0"/>
      </w:tblPr>
      <w:tblGrid>
        <w:gridCol w:w="1061"/>
        <w:gridCol w:w="1660"/>
        <w:gridCol w:w="1112"/>
        <w:gridCol w:w="1832"/>
        <w:gridCol w:w="1340"/>
        <w:gridCol w:w="1679"/>
      </w:tblGrid>
      <w:tr w:rsidR="00AD2554" w:rsidRPr="008D1D05" w14:paraId="7041C4FC" w14:textId="77777777" w:rsidTr="00E9663B">
        <w:trPr>
          <w:tblHeader/>
          <w:jc w:val="center"/>
        </w:trPr>
        <w:tc>
          <w:tcPr>
            <w:tcW w:w="1061" w:type="dxa"/>
            <w:vMerge w:val="restart"/>
            <w:shd w:val="clear" w:color="auto" w:fill="C00000"/>
            <w:vAlign w:val="center"/>
          </w:tcPr>
          <w:p w14:paraId="663555B3" w14:textId="77777777" w:rsidR="00AD2554" w:rsidRPr="008D1D05" w:rsidRDefault="00AD2554" w:rsidP="00E9663B">
            <w:pPr>
              <w:pStyle w:val="BodyText"/>
              <w:keepNext/>
              <w:jc w:val="center"/>
              <w:rPr>
                <w:rFonts w:cs="Arial"/>
                <w:b/>
                <w:szCs w:val="22"/>
              </w:rPr>
            </w:pPr>
            <w:r w:rsidRPr="008D1D05">
              <w:rPr>
                <w:rFonts w:cs="Arial"/>
                <w:b/>
                <w:szCs w:val="22"/>
              </w:rPr>
              <w:t>Profile</w:t>
            </w:r>
          </w:p>
        </w:tc>
        <w:tc>
          <w:tcPr>
            <w:tcW w:w="1660" w:type="dxa"/>
            <w:vMerge w:val="restart"/>
            <w:shd w:val="clear" w:color="auto" w:fill="C00000"/>
            <w:vAlign w:val="center"/>
          </w:tcPr>
          <w:p w14:paraId="2725A386" w14:textId="77777777" w:rsidR="00AD2554" w:rsidRPr="008D1D05" w:rsidRDefault="00AD2554" w:rsidP="00E9663B">
            <w:pPr>
              <w:pStyle w:val="BodyText"/>
              <w:keepNext/>
              <w:jc w:val="center"/>
              <w:rPr>
                <w:rFonts w:cs="Arial"/>
                <w:b/>
                <w:szCs w:val="22"/>
              </w:rPr>
            </w:pPr>
            <w:r w:rsidRPr="008D1D05">
              <w:rPr>
                <w:rFonts w:cs="Arial"/>
                <w:b/>
                <w:szCs w:val="22"/>
              </w:rPr>
              <w:t>Infrastructure</w:t>
            </w:r>
          </w:p>
          <w:p w14:paraId="69FF09F1" w14:textId="77777777" w:rsidR="00AD2554" w:rsidRPr="008D1D05" w:rsidRDefault="00AD2554" w:rsidP="00E9663B">
            <w:pPr>
              <w:pStyle w:val="BodyText"/>
              <w:keepNext/>
              <w:jc w:val="center"/>
              <w:rPr>
                <w:rFonts w:cs="Arial"/>
                <w:b/>
                <w:szCs w:val="22"/>
              </w:rPr>
            </w:pPr>
            <w:r w:rsidRPr="008D1D05">
              <w:rPr>
                <w:rFonts w:cs="Arial"/>
                <w:b/>
                <w:szCs w:val="22"/>
              </w:rPr>
              <w:t>Model Type</w:t>
            </w:r>
          </w:p>
        </w:tc>
        <w:tc>
          <w:tcPr>
            <w:tcW w:w="1112" w:type="dxa"/>
            <w:vMerge w:val="restart"/>
            <w:shd w:val="clear" w:color="auto" w:fill="C00000"/>
            <w:vAlign w:val="center"/>
          </w:tcPr>
          <w:p w14:paraId="782D6094" w14:textId="77777777" w:rsidR="00AD2554" w:rsidRPr="008D1D05" w:rsidRDefault="00AD2554" w:rsidP="00E9663B">
            <w:pPr>
              <w:pStyle w:val="BodyText"/>
              <w:keepNext/>
              <w:jc w:val="center"/>
              <w:rPr>
                <w:rFonts w:cs="Arial"/>
                <w:b/>
                <w:szCs w:val="22"/>
              </w:rPr>
            </w:pPr>
            <w:r w:rsidRPr="008D1D05">
              <w:rPr>
                <w:rFonts w:cs="Arial"/>
                <w:b/>
                <w:szCs w:val="22"/>
              </w:rPr>
              <w:t>Number of CQRs</w:t>
            </w:r>
          </w:p>
        </w:tc>
        <w:tc>
          <w:tcPr>
            <w:tcW w:w="4851" w:type="dxa"/>
            <w:gridSpan w:val="3"/>
            <w:shd w:val="clear" w:color="auto" w:fill="C00000"/>
            <w:vAlign w:val="center"/>
          </w:tcPr>
          <w:p w14:paraId="7FDEFB88" w14:textId="77777777" w:rsidR="00AD2554" w:rsidRPr="008D1D05" w:rsidRDefault="00AD2554" w:rsidP="00E9663B">
            <w:pPr>
              <w:pStyle w:val="BodyText"/>
              <w:keepNext/>
              <w:jc w:val="center"/>
              <w:rPr>
                <w:rFonts w:cs="Arial"/>
                <w:b/>
                <w:szCs w:val="22"/>
              </w:rPr>
            </w:pPr>
            <w:r w:rsidRPr="008D1D05">
              <w:rPr>
                <w:rFonts w:cs="Arial"/>
                <w:b/>
                <w:szCs w:val="22"/>
              </w:rPr>
              <w:t>Inherent Risk</w:t>
            </w:r>
          </w:p>
        </w:tc>
      </w:tr>
      <w:tr w:rsidR="00AD2554" w:rsidRPr="008D1D05" w14:paraId="59FEFA39" w14:textId="77777777" w:rsidTr="00954592">
        <w:trPr>
          <w:cantSplit/>
          <w:jc w:val="center"/>
        </w:trPr>
        <w:tc>
          <w:tcPr>
            <w:tcW w:w="1061" w:type="dxa"/>
            <w:vMerge/>
            <w:vAlign w:val="center"/>
          </w:tcPr>
          <w:p w14:paraId="2CDB54A5" w14:textId="77777777" w:rsidR="00AD2554" w:rsidRPr="008D1D05" w:rsidRDefault="00AD2554" w:rsidP="00E9663B">
            <w:pPr>
              <w:pStyle w:val="BodyText"/>
              <w:keepNext/>
              <w:jc w:val="center"/>
              <w:rPr>
                <w:rFonts w:cs="Arial"/>
                <w:b/>
                <w:szCs w:val="22"/>
              </w:rPr>
            </w:pPr>
          </w:p>
        </w:tc>
        <w:tc>
          <w:tcPr>
            <w:tcW w:w="1660" w:type="dxa"/>
            <w:vMerge/>
            <w:vAlign w:val="center"/>
          </w:tcPr>
          <w:p w14:paraId="754B074B" w14:textId="77777777" w:rsidR="00AD2554" w:rsidRPr="008D1D05" w:rsidRDefault="00AD2554" w:rsidP="00E9663B">
            <w:pPr>
              <w:pStyle w:val="BodyText"/>
              <w:keepNext/>
              <w:jc w:val="center"/>
              <w:rPr>
                <w:rFonts w:cs="Arial"/>
                <w:b/>
                <w:szCs w:val="22"/>
              </w:rPr>
            </w:pPr>
          </w:p>
        </w:tc>
        <w:tc>
          <w:tcPr>
            <w:tcW w:w="1112" w:type="dxa"/>
            <w:vMerge/>
            <w:vAlign w:val="center"/>
          </w:tcPr>
          <w:p w14:paraId="5A63C1C7" w14:textId="77777777" w:rsidR="00AD2554" w:rsidRPr="008D1D05" w:rsidRDefault="00AD2554" w:rsidP="00E9663B">
            <w:pPr>
              <w:pStyle w:val="BodyText"/>
              <w:keepNext/>
              <w:jc w:val="center"/>
              <w:rPr>
                <w:rFonts w:cs="Arial"/>
                <w:b/>
                <w:szCs w:val="22"/>
              </w:rPr>
            </w:pPr>
          </w:p>
        </w:tc>
        <w:tc>
          <w:tcPr>
            <w:tcW w:w="1832" w:type="dxa"/>
            <w:shd w:val="clear" w:color="auto" w:fill="D9D9D9"/>
            <w:vAlign w:val="center"/>
          </w:tcPr>
          <w:p w14:paraId="400DE11C" w14:textId="77777777" w:rsidR="00AD2554" w:rsidRPr="008D1D05" w:rsidRDefault="00AD2554" w:rsidP="00E9663B">
            <w:pPr>
              <w:pStyle w:val="BodyText"/>
              <w:keepNext/>
              <w:jc w:val="center"/>
              <w:rPr>
                <w:rFonts w:cs="Arial"/>
                <w:b/>
                <w:szCs w:val="22"/>
              </w:rPr>
            </w:pPr>
            <w:r w:rsidRPr="008D1D05">
              <w:rPr>
                <w:rFonts w:cs="Arial"/>
                <w:b/>
                <w:szCs w:val="22"/>
              </w:rPr>
              <w:t>Inherent Confidentiality Risk</w:t>
            </w:r>
          </w:p>
        </w:tc>
        <w:tc>
          <w:tcPr>
            <w:tcW w:w="1340" w:type="dxa"/>
            <w:shd w:val="clear" w:color="auto" w:fill="D9D9D9"/>
            <w:vAlign w:val="center"/>
          </w:tcPr>
          <w:p w14:paraId="6F81C5A3" w14:textId="77777777" w:rsidR="00AD2554" w:rsidRPr="008D1D05" w:rsidRDefault="00AD2554" w:rsidP="00E9663B">
            <w:pPr>
              <w:pStyle w:val="BodyText"/>
              <w:keepNext/>
              <w:jc w:val="center"/>
              <w:rPr>
                <w:rFonts w:cs="Arial"/>
                <w:b/>
                <w:szCs w:val="22"/>
              </w:rPr>
            </w:pPr>
            <w:r w:rsidRPr="008D1D05">
              <w:rPr>
                <w:rFonts w:cs="Arial"/>
                <w:b/>
                <w:szCs w:val="22"/>
              </w:rPr>
              <w:t>Inherent Integrity Risk</w:t>
            </w:r>
          </w:p>
        </w:tc>
        <w:tc>
          <w:tcPr>
            <w:tcW w:w="1679" w:type="dxa"/>
            <w:shd w:val="clear" w:color="auto" w:fill="D9D9D9"/>
            <w:vAlign w:val="center"/>
          </w:tcPr>
          <w:p w14:paraId="6087EF94" w14:textId="77777777" w:rsidR="00AD2554" w:rsidRPr="008D1D05" w:rsidRDefault="00AD2554" w:rsidP="00E9663B">
            <w:pPr>
              <w:pStyle w:val="BodyText"/>
              <w:keepNext/>
              <w:jc w:val="center"/>
              <w:rPr>
                <w:rFonts w:cs="Arial"/>
                <w:b/>
                <w:szCs w:val="22"/>
              </w:rPr>
            </w:pPr>
            <w:r w:rsidRPr="008D1D05">
              <w:rPr>
                <w:rFonts w:cs="Arial"/>
                <w:b/>
                <w:szCs w:val="22"/>
              </w:rPr>
              <w:t>Inherent Availability</w:t>
            </w:r>
            <w:r w:rsidRPr="008D1D05">
              <w:rPr>
                <w:rFonts w:cs="Arial"/>
                <w:b/>
                <w:szCs w:val="22"/>
              </w:rPr>
              <w:br/>
              <w:t>Risk</w:t>
            </w:r>
          </w:p>
        </w:tc>
      </w:tr>
      <w:tr w:rsidR="00AD2554" w:rsidRPr="008D1D05" w14:paraId="3DA4FEAC" w14:textId="77777777" w:rsidTr="00954592">
        <w:trPr>
          <w:cantSplit/>
          <w:trHeight w:val="890"/>
          <w:jc w:val="center"/>
        </w:trPr>
        <w:tc>
          <w:tcPr>
            <w:tcW w:w="1061" w:type="dxa"/>
            <w:vAlign w:val="center"/>
          </w:tcPr>
          <w:p w14:paraId="25D24768" w14:textId="77777777" w:rsidR="00AD2554" w:rsidRPr="008D1D05" w:rsidRDefault="00AD2554" w:rsidP="00E9663B">
            <w:pPr>
              <w:pStyle w:val="BodyText"/>
              <w:keepNext/>
              <w:jc w:val="center"/>
              <w:rPr>
                <w:rFonts w:cs="Arial"/>
                <w:szCs w:val="22"/>
              </w:rPr>
            </w:pPr>
            <w:r w:rsidRPr="008D1D05">
              <w:rPr>
                <w:rFonts w:cs="Arial"/>
                <w:szCs w:val="22"/>
              </w:rPr>
              <w:t>1</w:t>
            </w:r>
          </w:p>
        </w:tc>
        <w:tc>
          <w:tcPr>
            <w:tcW w:w="1660" w:type="dxa"/>
            <w:vAlign w:val="center"/>
          </w:tcPr>
          <w:p w14:paraId="0F0A2D70" w14:textId="77777777" w:rsidR="00AD2554" w:rsidRPr="008D1D05" w:rsidRDefault="00AD2554" w:rsidP="00E9663B">
            <w:pPr>
              <w:pStyle w:val="BodyText"/>
              <w:keepNext/>
              <w:jc w:val="center"/>
              <w:rPr>
                <w:rFonts w:cs="Arial"/>
                <w:szCs w:val="22"/>
              </w:rPr>
            </w:pPr>
            <w:r w:rsidRPr="008D1D05">
              <w:rPr>
                <w:rFonts w:cs="Arial"/>
                <w:szCs w:val="22"/>
              </w:rPr>
              <w:t xml:space="preserve">Centrally hosted </w:t>
            </w:r>
            <w:r>
              <w:rPr>
                <w:rFonts w:cs="Arial"/>
                <w:szCs w:val="22"/>
              </w:rPr>
              <w:t xml:space="preserve">jurisdictional </w:t>
            </w:r>
            <w:r w:rsidRPr="008D1D05">
              <w:rPr>
                <w:rFonts w:cs="Arial"/>
                <w:szCs w:val="22"/>
              </w:rPr>
              <w:t xml:space="preserve">infrastructure </w:t>
            </w:r>
          </w:p>
        </w:tc>
        <w:tc>
          <w:tcPr>
            <w:tcW w:w="1112" w:type="dxa"/>
            <w:vAlign w:val="center"/>
          </w:tcPr>
          <w:p w14:paraId="147DCE33" w14:textId="77777777" w:rsidR="00AD2554" w:rsidRPr="008D1D05" w:rsidRDefault="00AD2554" w:rsidP="00E9663B">
            <w:pPr>
              <w:pStyle w:val="BodyText"/>
              <w:keepNext/>
              <w:jc w:val="center"/>
              <w:rPr>
                <w:rFonts w:cs="Arial"/>
                <w:szCs w:val="22"/>
              </w:rPr>
            </w:pPr>
            <w:r w:rsidRPr="008D1D05">
              <w:rPr>
                <w:rFonts w:cs="Arial"/>
                <w:szCs w:val="22"/>
              </w:rPr>
              <w:t>Multiple</w:t>
            </w:r>
          </w:p>
        </w:tc>
        <w:tc>
          <w:tcPr>
            <w:tcW w:w="1832" w:type="dxa"/>
            <w:shd w:val="clear" w:color="auto" w:fill="FF6600"/>
            <w:vAlign w:val="center"/>
          </w:tcPr>
          <w:p w14:paraId="395C29F5" w14:textId="77777777" w:rsidR="00AD2554" w:rsidRPr="008D1D05" w:rsidRDefault="00AD2554" w:rsidP="00E9663B">
            <w:pPr>
              <w:pStyle w:val="BodyText"/>
              <w:keepNext/>
              <w:jc w:val="center"/>
              <w:rPr>
                <w:rFonts w:cs="Arial"/>
                <w:szCs w:val="22"/>
              </w:rPr>
            </w:pPr>
            <w:r w:rsidRPr="008D1D05">
              <w:rPr>
                <w:rFonts w:cs="Arial"/>
                <w:szCs w:val="22"/>
              </w:rPr>
              <w:t>High</w:t>
            </w:r>
          </w:p>
        </w:tc>
        <w:tc>
          <w:tcPr>
            <w:tcW w:w="1340" w:type="dxa"/>
            <w:shd w:val="clear" w:color="auto" w:fill="FFCC00"/>
            <w:vAlign w:val="center"/>
          </w:tcPr>
          <w:p w14:paraId="1FC27505" w14:textId="77777777" w:rsidR="00AD2554" w:rsidRPr="008D1D05" w:rsidRDefault="00AD2554" w:rsidP="00E9663B">
            <w:pPr>
              <w:pStyle w:val="BodyText"/>
              <w:keepNext/>
              <w:jc w:val="center"/>
              <w:rPr>
                <w:rFonts w:cs="Arial"/>
                <w:szCs w:val="22"/>
              </w:rPr>
            </w:pPr>
            <w:r w:rsidRPr="008D1D05">
              <w:rPr>
                <w:rFonts w:cs="Arial"/>
                <w:szCs w:val="22"/>
              </w:rPr>
              <w:t>Medium</w:t>
            </w:r>
          </w:p>
        </w:tc>
        <w:tc>
          <w:tcPr>
            <w:tcW w:w="1679" w:type="dxa"/>
            <w:shd w:val="clear" w:color="auto" w:fill="FFCC00"/>
            <w:vAlign w:val="center"/>
          </w:tcPr>
          <w:p w14:paraId="02101291" w14:textId="77777777" w:rsidR="00AD2554" w:rsidRPr="008D1D05" w:rsidRDefault="00AD2554" w:rsidP="00E9663B">
            <w:pPr>
              <w:pStyle w:val="BodyText"/>
              <w:keepNext/>
              <w:jc w:val="center"/>
              <w:rPr>
                <w:rFonts w:cs="Arial"/>
                <w:szCs w:val="22"/>
              </w:rPr>
            </w:pPr>
            <w:r w:rsidRPr="008D1D05">
              <w:rPr>
                <w:rFonts w:cs="Arial"/>
                <w:szCs w:val="22"/>
              </w:rPr>
              <w:t>Medium</w:t>
            </w:r>
          </w:p>
        </w:tc>
      </w:tr>
      <w:tr w:rsidR="00AD2554" w:rsidRPr="008D1D05" w14:paraId="5BB03D57" w14:textId="77777777" w:rsidTr="00954592">
        <w:trPr>
          <w:cantSplit/>
          <w:trHeight w:val="1011"/>
          <w:jc w:val="center"/>
        </w:trPr>
        <w:tc>
          <w:tcPr>
            <w:tcW w:w="1061" w:type="dxa"/>
            <w:vAlign w:val="center"/>
          </w:tcPr>
          <w:p w14:paraId="7DCAD696" w14:textId="77777777" w:rsidR="00AD2554" w:rsidRPr="008D1D05" w:rsidRDefault="00AD2554" w:rsidP="00E9663B">
            <w:pPr>
              <w:pStyle w:val="BodyText"/>
              <w:keepNext/>
              <w:jc w:val="center"/>
              <w:rPr>
                <w:rFonts w:cs="Arial"/>
                <w:szCs w:val="22"/>
              </w:rPr>
            </w:pPr>
            <w:r w:rsidRPr="008D1D05">
              <w:rPr>
                <w:rFonts w:cs="Arial"/>
                <w:szCs w:val="22"/>
              </w:rPr>
              <w:t>2</w:t>
            </w:r>
          </w:p>
        </w:tc>
        <w:tc>
          <w:tcPr>
            <w:tcW w:w="1660" w:type="dxa"/>
            <w:vAlign w:val="center"/>
          </w:tcPr>
          <w:p w14:paraId="699741FC" w14:textId="77777777" w:rsidR="00AD2554" w:rsidRPr="008D1D05" w:rsidRDefault="00AD2554" w:rsidP="00E9663B">
            <w:pPr>
              <w:pStyle w:val="BodyText"/>
              <w:keepNext/>
              <w:jc w:val="center"/>
              <w:rPr>
                <w:rFonts w:cs="Arial"/>
                <w:szCs w:val="22"/>
              </w:rPr>
            </w:pPr>
            <w:r>
              <w:rPr>
                <w:rFonts w:cs="Arial"/>
                <w:szCs w:val="22"/>
              </w:rPr>
              <w:t>Standalone CQR(s)</w:t>
            </w:r>
          </w:p>
        </w:tc>
        <w:tc>
          <w:tcPr>
            <w:tcW w:w="1112" w:type="dxa"/>
            <w:vAlign w:val="center"/>
          </w:tcPr>
          <w:p w14:paraId="6ACB465F" w14:textId="77777777" w:rsidR="00AD2554" w:rsidRPr="008D1D05" w:rsidRDefault="00AD2554" w:rsidP="00E9663B">
            <w:pPr>
              <w:pStyle w:val="BodyText"/>
              <w:keepNext/>
              <w:jc w:val="center"/>
              <w:rPr>
                <w:rFonts w:cs="Arial"/>
                <w:szCs w:val="22"/>
              </w:rPr>
            </w:pPr>
            <w:r w:rsidRPr="008D1D05">
              <w:rPr>
                <w:rFonts w:cs="Arial"/>
                <w:szCs w:val="22"/>
              </w:rPr>
              <w:t>Single or Multiple</w:t>
            </w:r>
          </w:p>
        </w:tc>
        <w:tc>
          <w:tcPr>
            <w:tcW w:w="1832" w:type="dxa"/>
            <w:shd w:val="clear" w:color="auto" w:fill="FFCC00"/>
            <w:vAlign w:val="center"/>
          </w:tcPr>
          <w:p w14:paraId="1357A4F3" w14:textId="77777777" w:rsidR="00AD2554" w:rsidRPr="008D1D05" w:rsidRDefault="00AD2554" w:rsidP="00E9663B">
            <w:pPr>
              <w:pStyle w:val="BodyText"/>
              <w:keepNext/>
              <w:jc w:val="center"/>
              <w:rPr>
                <w:rFonts w:cs="Arial"/>
                <w:szCs w:val="22"/>
              </w:rPr>
            </w:pPr>
            <w:r w:rsidRPr="008D1D05">
              <w:rPr>
                <w:rFonts w:cs="Arial"/>
                <w:szCs w:val="22"/>
              </w:rPr>
              <w:t>Medium</w:t>
            </w:r>
          </w:p>
        </w:tc>
        <w:tc>
          <w:tcPr>
            <w:tcW w:w="1340" w:type="dxa"/>
            <w:shd w:val="clear" w:color="auto" w:fill="FFCC00"/>
            <w:vAlign w:val="center"/>
          </w:tcPr>
          <w:p w14:paraId="245FAA43" w14:textId="77777777" w:rsidR="00AD2554" w:rsidRPr="008D1D05" w:rsidRDefault="00AD2554" w:rsidP="00E9663B">
            <w:pPr>
              <w:pStyle w:val="BodyText"/>
              <w:keepNext/>
              <w:jc w:val="center"/>
              <w:rPr>
                <w:rFonts w:cs="Arial"/>
                <w:szCs w:val="22"/>
              </w:rPr>
            </w:pPr>
            <w:r w:rsidRPr="008D1D05">
              <w:rPr>
                <w:rFonts w:cs="Arial"/>
                <w:szCs w:val="22"/>
              </w:rPr>
              <w:t>Medium</w:t>
            </w:r>
          </w:p>
        </w:tc>
        <w:tc>
          <w:tcPr>
            <w:tcW w:w="1679" w:type="dxa"/>
            <w:shd w:val="clear" w:color="auto" w:fill="92D050"/>
            <w:vAlign w:val="center"/>
          </w:tcPr>
          <w:p w14:paraId="051397B9" w14:textId="77777777" w:rsidR="00AD2554" w:rsidRPr="008D1D05" w:rsidRDefault="00AD2554" w:rsidP="00E9663B">
            <w:pPr>
              <w:pStyle w:val="BodyText"/>
              <w:keepNext/>
              <w:jc w:val="center"/>
              <w:rPr>
                <w:rFonts w:cs="Arial"/>
                <w:szCs w:val="22"/>
              </w:rPr>
            </w:pPr>
            <w:r w:rsidRPr="008D1D05">
              <w:rPr>
                <w:rFonts w:cs="Arial"/>
                <w:szCs w:val="22"/>
              </w:rPr>
              <w:t>Low</w:t>
            </w:r>
          </w:p>
        </w:tc>
      </w:tr>
    </w:tbl>
    <w:p w14:paraId="132E2819" w14:textId="77777777" w:rsidR="00AD2554" w:rsidRPr="000F2520" w:rsidRDefault="00AD2554" w:rsidP="00AD2554">
      <w:pPr>
        <w:pStyle w:val="BodyText"/>
        <w:sectPr w:rsidR="00AD2554" w:rsidRPr="000F2520" w:rsidSect="00E9663B">
          <w:headerReference w:type="even" r:id="rId28"/>
          <w:headerReference w:type="default" r:id="rId29"/>
          <w:footerReference w:type="default" r:id="rId30"/>
          <w:headerReference w:type="first" r:id="rId31"/>
          <w:footerReference w:type="first" r:id="rId32"/>
          <w:pgSz w:w="11906" w:h="16838" w:code="9"/>
          <w:pgMar w:top="1701" w:right="1346" w:bottom="905" w:left="1701" w:header="709" w:footer="269" w:gutter="0"/>
          <w:cols w:space="708"/>
          <w:titlePg/>
          <w:docGrid w:linePitch="360"/>
        </w:sectPr>
      </w:pPr>
    </w:p>
    <w:p w14:paraId="56842113" w14:textId="77777777" w:rsidR="0044020B" w:rsidRPr="0044020B" w:rsidRDefault="0044020B" w:rsidP="0044020B">
      <w:pPr>
        <w:pStyle w:val="ListParagraph"/>
        <w:keepNext/>
        <w:numPr>
          <w:ilvl w:val="2"/>
          <w:numId w:val="21"/>
        </w:numPr>
        <w:spacing w:before="240" w:after="240" w:line="240" w:lineRule="auto"/>
        <w:contextualSpacing w:val="0"/>
        <w:outlineLvl w:val="1"/>
        <w:rPr>
          <w:rFonts w:ascii="Arial Bold" w:hAnsi="Arial Bold" w:cs="Arial"/>
          <w:b/>
          <w:vanish/>
          <w:color w:val="336699"/>
          <w:sz w:val="28"/>
          <w:lang w:val="en-US" w:eastAsia="en-AU"/>
        </w:rPr>
      </w:pPr>
    </w:p>
    <w:p w14:paraId="6CC4F35D" w14:textId="15CF8DEB" w:rsidR="00AD2554" w:rsidRPr="000F2520" w:rsidRDefault="00AD2554" w:rsidP="0044020B">
      <w:pPr>
        <w:pStyle w:val="Heading3"/>
        <w:numPr>
          <w:ilvl w:val="2"/>
          <w:numId w:val="21"/>
        </w:numPr>
        <w:tabs>
          <w:tab w:val="num" w:pos="3583"/>
        </w:tabs>
        <w:ind w:left="3319"/>
      </w:pPr>
      <w:bookmarkStart w:id="45" w:name="_Toc106613895"/>
      <w:r w:rsidRPr="000F2520">
        <w:t xml:space="preserve">Risk profile for </w:t>
      </w:r>
      <w:r>
        <w:t>centrally hosted jurisdictional model</w:t>
      </w:r>
      <w:bookmarkEnd w:id="45"/>
      <w:r w:rsidRPr="000F2520">
        <w:t xml:space="preserve"> </w:t>
      </w:r>
    </w:p>
    <w:p w14:paraId="5AB91E09" w14:textId="77777777" w:rsidR="00AD2554" w:rsidRPr="000F2520" w:rsidRDefault="00AD2554" w:rsidP="00AD2554">
      <w:r w:rsidRPr="001A461D">
        <w:fldChar w:fldCharType="begin"/>
      </w:r>
      <w:r w:rsidRPr="000F2520">
        <w:instrText xml:space="preserve"> REF _Ref351384601 \h </w:instrText>
      </w:r>
      <w:r w:rsidRPr="001A461D">
        <w:fldChar w:fldCharType="separate"/>
      </w:r>
      <w:r w:rsidRPr="000F2520">
        <w:t xml:space="preserve">Table </w:t>
      </w:r>
      <w:r>
        <w:rPr>
          <w:noProof/>
        </w:rPr>
        <w:t>2</w:t>
      </w:r>
      <w:r w:rsidRPr="001A461D">
        <w:fldChar w:fldCharType="end"/>
      </w:r>
      <w:r w:rsidRPr="000F2520">
        <w:t xml:space="preserve"> outlines the nature and extent of information security risks associated with </w:t>
      </w:r>
      <w:r>
        <w:t>the centrally hosted jurisdictional model (future state)</w:t>
      </w:r>
      <w:r w:rsidRPr="000F2520">
        <w:t xml:space="preserve"> (refer to Model 1 in Section </w:t>
      </w:r>
      <w:r w:rsidRPr="001A461D">
        <w:fldChar w:fldCharType="begin"/>
      </w:r>
      <w:r w:rsidRPr="000F2520">
        <w:instrText xml:space="preserve"> REF _Ref320017341 \r \h  \* MERGEFORMAT </w:instrText>
      </w:r>
      <w:r w:rsidRPr="001A461D">
        <w:fldChar w:fldCharType="separate"/>
      </w:r>
      <w:r>
        <w:t>3.1</w:t>
      </w:r>
      <w:r w:rsidRPr="001A461D">
        <w:fldChar w:fldCharType="end"/>
      </w:r>
      <w:r w:rsidRPr="000F2520">
        <w:t xml:space="preserve">). </w:t>
      </w:r>
      <w:r>
        <w:t xml:space="preserve">National infrastructure </w:t>
      </w:r>
      <w:r w:rsidRPr="000F2520">
        <w:t xml:space="preserve">will have a lower tolerance for risk than standalone CQR environments and it is expected that better controls will be implemented. </w:t>
      </w:r>
    </w:p>
    <w:p w14:paraId="0AC224CD" w14:textId="77777777" w:rsidR="00AD2554" w:rsidRPr="000F2520" w:rsidRDefault="00AD2554" w:rsidP="00AD2554">
      <w:r w:rsidRPr="000F2520">
        <w:t xml:space="preserve">The ‘security domains’ indicated in </w:t>
      </w:r>
      <w:r w:rsidRPr="001A461D">
        <w:fldChar w:fldCharType="begin"/>
      </w:r>
      <w:r w:rsidRPr="000F2520">
        <w:instrText xml:space="preserve"> REF _Ref351384601 \h </w:instrText>
      </w:r>
      <w:r w:rsidRPr="001A461D">
        <w:fldChar w:fldCharType="separate"/>
      </w:r>
      <w:r w:rsidRPr="000F2520">
        <w:t xml:space="preserve">Table </w:t>
      </w:r>
      <w:r>
        <w:rPr>
          <w:noProof/>
        </w:rPr>
        <w:t>2</w:t>
      </w:r>
      <w:r w:rsidRPr="001A461D">
        <w:fldChar w:fldCharType="end"/>
      </w:r>
      <w:r w:rsidRPr="000F2520">
        <w:t xml:space="preserve"> are reflected in the security compliance checklists in Section </w:t>
      </w:r>
      <w:r w:rsidRPr="001A461D">
        <w:fldChar w:fldCharType="begin"/>
      </w:r>
      <w:r w:rsidRPr="000F2520">
        <w:instrText xml:space="preserve"> REF _Ref351384735 \r \h </w:instrText>
      </w:r>
      <w:r w:rsidRPr="001A461D">
        <w:fldChar w:fldCharType="separate"/>
      </w:r>
      <w:r>
        <w:t>5</w:t>
      </w:r>
      <w:r w:rsidRPr="001A461D">
        <w:fldChar w:fldCharType="end"/>
      </w:r>
      <w:r w:rsidRPr="000F2520">
        <w:t>.</w:t>
      </w:r>
    </w:p>
    <w:p w14:paraId="550A84AB" w14:textId="77777777" w:rsidR="00AD2554" w:rsidRPr="00EB5B0F" w:rsidRDefault="00AD2554" w:rsidP="00AD2554">
      <w:pPr>
        <w:pStyle w:val="Caption"/>
        <w:rPr>
          <w:color w:val="1F3864" w:themeColor="accent1" w:themeShade="80"/>
          <w:sz w:val="22"/>
          <w:szCs w:val="22"/>
        </w:rPr>
      </w:pPr>
      <w:bookmarkStart w:id="46" w:name="_Ref351384601"/>
      <w:bookmarkStart w:id="47" w:name="_Toc320014195"/>
      <w:bookmarkStart w:id="48" w:name="_Toc320087955"/>
      <w:bookmarkStart w:id="49" w:name="_Toc95479913"/>
      <w:r w:rsidRPr="00EB5B0F">
        <w:rPr>
          <w:color w:val="1F3864" w:themeColor="accent1" w:themeShade="80"/>
          <w:sz w:val="22"/>
          <w:szCs w:val="22"/>
        </w:rPr>
        <w:t xml:space="preserve">Table </w:t>
      </w:r>
      <w:r w:rsidRPr="00EB5B0F">
        <w:rPr>
          <w:color w:val="1F3864" w:themeColor="accent1" w:themeShade="80"/>
          <w:sz w:val="22"/>
          <w:szCs w:val="22"/>
        </w:rPr>
        <w:fldChar w:fldCharType="begin"/>
      </w:r>
      <w:r w:rsidRPr="00EB5B0F">
        <w:rPr>
          <w:color w:val="1F3864" w:themeColor="accent1" w:themeShade="80"/>
          <w:sz w:val="22"/>
          <w:szCs w:val="22"/>
        </w:rPr>
        <w:instrText xml:space="preserve"> SEQ Table \* ARABIC </w:instrText>
      </w:r>
      <w:r w:rsidRPr="00EB5B0F">
        <w:rPr>
          <w:color w:val="1F3864" w:themeColor="accent1" w:themeShade="80"/>
          <w:sz w:val="22"/>
          <w:szCs w:val="22"/>
        </w:rPr>
        <w:fldChar w:fldCharType="separate"/>
      </w:r>
      <w:r w:rsidRPr="00EB5B0F">
        <w:rPr>
          <w:noProof/>
          <w:color w:val="1F3864" w:themeColor="accent1" w:themeShade="80"/>
          <w:sz w:val="22"/>
          <w:szCs w:val="22"/>
        </w:rPr>
        <w:t>2</w:t>
      </w:r>
      <w:r w:rsidRPr="00EB5B0F">
        <w:rPr>
          <w:noProof/>
          <w:color w:val="1F3864" w:themeColor="accent1" w:themeShade="80"/>
          <w:sz w:val="22"/>
          <w:szCs w:val="22"/>
        </w:rPr>
        <w:fldChar w:fldCharType="end"/>
      </w:r>
      <w:bookmarkEnd w:id="46"/>
      <w:r w:rsidRPr="00EB5B0F">
        <w:rPr>
          <w:color w:val="1F3864" w:themeColor="accent1" w:themeShade="80"/>
          <w:sz w:val="22"/>
          <w:szCs w:val="22"/>
        </w:rPr>
        <w:t xml:space="preserve">: National infrastructure risk </w:t>
      </w:r>
      <w:bookmarkEnd w:id="47"/>
      <w:bookmarkEnd w:id="48"/>
      <w:r w:rsidRPr="00EB5B0F">
        <w:rPr>
          <w:color w:val="1F3864" w:themeColor="accent1" w:themeShade="80"/>
          <w:sz w:val="22"/>
          <w:szCs w:val="22"/>
        </w:rPr>
        <w:t>profile</w:t>
      </w:r>
      <w:bookmarkEnd w:id="49"/>
    </w:p>
    <w:tbl>
      <w:tblPr>
        <w:tblW w:w="14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1"/>
        <w:gridCol w:w="2099"/>
        <w:gridCol w:w="6238"/>
        <w:gridCol w:w="1316"/>
        <w:gridCol w:w="1146"/>
        <w:gridCol w:w="999"/>
        <w:gridCol w:w="2509"/>
      </w:tblGrid>
      <w:tr w:rsidR="00AD2554" w:rsidRPr="000F2520" w14:paraId="2CF1D183" w14:textId="77777777" w:rsidTr="00E9663B">
        <w:trPr>
          <w:trHeight w:val="240"/>
          <w:tblHeader/>
        </w:trPr>
        <w:tc>
          <w:tcPr>
            <w:tcW w:w="480" w:type="dxa"/>
            <w:shd w:val="clear" w:color="auto" w:fill="C00000"/>
            <w:noWrap/>
          </w:tcPr>
          <w:p w14:paraId="0F9076CE" w14:textId="77777777" w:rsidR="00AD2554" w:rsidRPr="008D1D05" w:rsidRDefault="00AD2554" w:rsidP="00E9663B">
            <w:pPr>
              <w:spacing w:before="60" w:after="60"/>
              <w:jc w:val="both"/>
              <w:rPr>
                <w:b/>
                <w:bCs/>
                <w:color w:val="FFFFFF"/>
              </w:rPr>
            </w:pPr>
            <w:r w:rsidRPr="008D1D05">
              <w:rPr>
                <w:b/>
                <w:bCs/>
                <w:color w:val="FFFFFF"/>
              </w:rPr>
              <w:t>No.</w:t>
            </w:r>
          </w:p>
        </w:tc>
        <w:tc>
          <w:tcPr>
            <w:tcW w:w="2080" w:type="dxa"/>
            <w:shd w:val="clear" w:color="auto" w:fill="C00000"/>
            <w:noWrap/>
          </w:tcPr>
          <w:p w14:paraId="342A78C8" w14:textId="77777777" w:rsidR="00AD2554" w:rsidRPr="008D1D05" w:rsidRDefault="00AD2554" w:rsidP="00E9663B">
            <w:pPr>
              <w:spacing w:before="60" w:after="60"/>
              <w:jc w:val="both"/>
              <w:rPr>
                <w:b/>
                <w:bCs/>
                <w:color w:val="FFFFFF"/>
              </w:rPr>
            </w:pPr>
            <w:r w:rsidRPr="008D1D05">
              <w:rPr>
                <w:b/>
                <w:bCs/>
                <w:color w:val="FFFFFF"/>
              </w:rPr>
              <w:t>Factor</w:t>
            </w:r>
          </w:p>
        </w:tc>
        <w:tc>
          <w:tcPr>
            <w:tcW w:w="6238" w:type="dxa"/>
            <w:shd w:val="clear" w:color="auto" w:fill="C00000"/>
            <w:noWrap/>
          </w:tcPr>
          <w:p w14:paraId="5C68501E" w14:textId="77777777" w:rsidR="00AD2554" w:rsidRPr="008D1D05" w:rsidRDefault="00AD2554" w:rsidP="00E9663B">
            <w:pPr>
              <w:spacing w:before="60" w:after="60"/>
              <w:rPr>
                <w:b/>
                <w:bCs/>
                <w:color w:val="FFFFFF"/>
              </w:rPr>
            </w:pPr>
            <w:r w:rsidRPr="008D1D05">
              <w:rPr>
                <w:b/>
                <w:bCs/>
                <w:color w:val="FFFFFF"/>
              </w:rPr>
              <w:t>Risk</w:t>
            </w:r>
          </w:p>
        </w:tc>
        <w:tc>
          <w:tcPr>
            <w:tcW w:w="989" w:type="dxa"/>
            <w:shd w:val="clear" w:color="auto" w:fill="C00000"/>
            <w:noWrap/>
          </w:tcPr>
          <w:p w14:paraId="28D68955" w14:textId="77777777" w:rsidR="00AD2554" w:rsidRPr="008D1D05" w:rsidRDefault="00AD2554" w:rsidP="00E9663B">
            <w:pPr>
              <w:spacing w:before="60" w:after="60"/>
              <w:jc w:val="both"/>
              <w:rPr>
                <w:b/>
                <w:bCs/>
                <w:color w:val="FFFFFF"/>
              </w:rPr>
            </w:pPr>
            <w:r w:rsidRPr="008D1D05">
              <w:rPr>
                <w:b/>
                <w:bCs/>
                <w:color w:val="FFFFFF"/>
              </w:rPr>
              <w:t>Likelihood</w:t>
            </w:r>
          </w:p>
        </w:tc>
        <w:tc>
          <w:tcPr>
            <w:tcW w:w="948" w:type="dxa"/>
            <w:shd w:val="clear" w:color="auto" w:fill="C00000"/>
            <w:noWrap/>
          </w:tcPr>
          <w:p w14:paraId="495F5413" w14:textId="77777777" w:rsidR="00AD2554" w:rsidRPr="008D1D05" w:rsidRDefault="00AD2554" w:rsidP="00E9663B">
            <w:pPr>
              <w:spacing w:before="60" w:after="60"/>
              <w:jc w:val="both"/>
              <w:rPr>
                <w:b/>
                <w:bCs/>
                <w:color w:val="FFFFFF"/>
              </w:rPr>
            </w:pPr>
            <w:r w:rsidRPr="008D1D05">
              <w:rPr>
                <w:b/>
                <w:bCs/>
                <w:color w:val="FFFFFF"/>
              </w:rPr>
              <w:t>Impact</w:t>
            </w:r>
          </w:p>
        </w:tc>
        <w:tc>
          <w:tcPr>
            <w:tcW w:w="834" w:type="dxa"/>
            <w:shd w:val="clear" w:color="auto" w:fill="C00000"/>
            <w:noWrap/>
          </w:tcPr>
          <w:p w14:paraId="692940B4" w14:textId="77777777" w:rsidR="00AD2554" w:rsidRPr="008D1D05" w:rsidRDefault="00AD2554" w:rsidP="00E9663B">
            <w:pPr>
              <w:spacing w:before="60" w:after="60"/>
              <w:jc w:val="both"/>
              <w:rPr>
                <w:b/>
                <w:bCs/>
                <w:color w:val="FFFFFF"/>
              </w:rPr>
            </w:pPr>
            <w:r w:rsidRPr="008D1D05">
              <w:rPr>
                <w:b/>
                <w:bCs/>
                <w:color w:val="FFFFFF"/>
              </w:rPr>
              <w:t>Risk</w:t>
            </w:r>
          </w:p>
        </w:tc>
        <w:tc>
          <w:tcPr>
            <w:tcW w:w="2509" w:type="dxa"/>
            <w:shd w:val="clear" w:color="auto" w:fill="C00000"/>
            <w:noWrap/>
          </w:tcPr>
          <w:p w14:paraId="6EA4377E" w14:textId="77777777" w:rsidR="00AD2554" w:rsidRPr="008D1D05" w:rsidRDefault="00AD2554" w:rsidP="00E9663B">
            <w:pPr>
              <w:spacing w:before="60" w:after="60"/>
              <w:jc w:val="both"/>
              <w:rPr>
                <w:b/>
                <w:bCs/>
                <w:color w:val="FFFFFF"/>
              </w:rPr>
            </w:pPr>
            <w:r w:rsidRPr="008D1D05">
              <w:rPr>
                <w:b/>
                <w:bCs/>
                <w:color w:val="FFFFFF"/>
              </w:rPr>
              <w:t>Security Domain</w:t>
            </w:r>
          </w:p>
        </w:tc>
      </w:tr>
      <w:tr w:rsidR="00AD2554" w:rsidRPr="000F2520" w14:paraId="641DB06D" w14:textId="77777777" w:rsidTr="00E9663B">
        <w:trPr>
          <w:trHeight w:val="480"/>
        </w:trPr>
        <w:tc>
          <w:tcPr>
            <w:tcW w:w="480" w:type="dxa"/>
            <w:noWrap/>
          </w:tcPr>
          <w:p w14:paraId="53FF686E" w14:textId="77777777" w:rsidR="00AD2554" w:rsidRPr="008D1D05" w:rsidRDefault="00AD2554" w:rsidP="00E9663B">
            <w:pPr>
              <w:spacing w:before="60" w:after="60"/>
              <w:jc w:val="right"/>
              <w:rPr>
                <w:color w:val="000000"/>
              </w:rPr>
            </w:pPr>
            <w:r w:rsidRPr="008D1D05">
              <w:rPr>
                <w:color w:val="000000"/>
              </w:rPr>
              <w:t>1</w:t>
            </w:r>
          </w:p>
        </w:tc>
        <w:tc>
          <w:tcPr>
            <w:tcW w:w="2080" w:type="dxa"/>
          </w:tcPr>
          <w:p w14:paraId="085615A3" w14:textId="77777777" w:rsidR="00AD2554" w:rsidRPr="008D1D05" w:rsidRDefault="00AD2554" w:rsidP="00E9663B">
            <w:pPr>
              <w:spacing w:before="60" w:after="60"/>
              <w:jc w:val="both"/>
              <w:rPr>
                <w:color w:val="000000"/>
              </w:rPr>
            </w:pPr>
            <w:r w:rsidRPr="008D1D05">
              <w:rPr>
                <w:color w:val="000000"/>
              </w:rPr>
              <w:t>Confidentiality</w:t>
            </w:r>
          </w:p>
        </w:tc>
        <w:tc>
          <w:tcPr>
            <w:tcW w:w="6238" w:type="dxa"/>
          </w:tcPr>
          <w:p w14:paraId="6988C13D" w14:textId="77777777" w:rsidR="00AD2554" w:rsidRPr="008D1D05" w:rsidRDefault="00AD2554" w:rsidP="00E9663B">
            <w:pPr>
              <w:spacing w:before="60" w:after="60"/>
              <w:rPr>
                <w:color w:val="000000"/>
              </w:rPr>
            </w:pPr>
            <w:r w:rsidRPr="008D1D05">
              <w:rPr>
                <w:color w:val="000000"/>
              </w:rPr>
              <w:t>Loss of confidentiality of multiple records due to staff accidentally disclosing information leads to loss of privacy, embarrassment for the CQR and/or financial penalties</w:t>
            </w:r>
          </w:p>
        </w:tc>
        <w:tc>
          <w:tcPr>
            <w:tcW w:w="989" w:type="dxa"/>
            <w:noWrap/>
          </w:tcPr>
          <w:p w14:paraId="3E6A35C0" w14:textId="77777777" w:rsidR="00AD2554" w:rsidRPr="008D1D05" w:rsidRDefault="00AD2554" w:rsidP="00E9663B">
            <w:pPr>
              <w:spacing w:before="60" w:after="60"/>
              <w:jc w:val="both"/>
              <w:rPr>
                <w:color w:val="000000"/>
              </w:rPr>
            </w:pPr>
            <w:r w:rsidRPr="008D1D05">
              <w:rPr>
                <w:color w:val="000000"/>
              </w:rPr>
              <w:t>Unlikely</w:t>
            </w:r>
          </w:p>
        </w:tc>
        <w:tc>
          <w:tcPr>
            <w:tcW w:w="948" w:type="dxa"/>
            <w:noWrap/>
          </w:tcPr>
          <w:p w14:paraId="0B9CD282" w14:textId="77777777" w:rsidR="00AD2554" w:rsidRPr="008D1D05" w:rsidRDefault="00AD2554" w:rsidP="00E9663B">
            <w:pPr>
              <w:spacing w:before="60" w:after="60"/>
              <w:jc w:val="both"/>
              <w:rPr>
                <w:color w:val="000000"/>
              </w:rPr>
            </w:pPr>
            <w:r w:rsidRPr="008D1D05">
              <w:rPr>
                <w:color w:val="000000"/>
              </w:rPr>
              <w:t>Major</w:t>
            </w:r>
          </w:p>
        </w:tc>
        <w:tc>
          <w:tcPr>
            <w:tcW w:w="834" w:type="dxa"/>
            <w:noWrap/>
          </w:tcPr>
          <w:p w14:paraId="1A446AD8" w14:textId="77777777" w:rsidR="00AD2554" w:rsidRPr="008D1D05" w:rsidRDefault="00AD2554" w:rsidP="00E9663B">
            <w:pPr>
              <w:spacing w:before="60" w:after="60"/>
              <w:jc w:val="both"/>
              <w:rPr>
                <w:color w:val="000000"/>
              </w:rPr>
            </w:pPr>
            <w:r w:rsidRPr="008D1D05">
              <w:rPr>
                <w:color w:val="000000"/>
              </w:rPr>
              <w:t>High</w:t>
            </w:r>
          </w:p>
        </w:tc>
        <w:tc>
          <w:tcPr>
            <w:tcW w:w="2509" w:type="dxa"/>
          </w:tcPr>
          <w:p w14:paraId="4DC39AFD" w14:textId="77777777" w:rsidR="00AD2554" w:rsidRPr="008D1D05" w:rsidRDefault="00AD2554" w:rsidP="00E9663B">
            <w:pPr>
              <w:spacing w:before="60" w:after="60"/>
              <w:rPr>
                <w:color w:val="000000"/>
              </w:rPr>
            </w:pPr>
            <w:r w:rsidRPr="008D1D05">
              <w:rPr>
                <w:color w:val="000000"/>
              </w:rPr>
              <w:t>Information Security Policy; HR Security</w:t>
            </w:r>
          </w:p>
        </w:tc>
      </w:tr>
      <w:tr w:rsidR="00AD2554" w:rsidRPr="000F2520" w14:paraId="24105688" w14:textId="77777777" w:rsidTr="00E9663B">
        <w:trPr>
          <w:trHeight w:val="480"/>
        </w:trPr>
        <w:tc>
          <w:tcPr>
            <w:tcW w:w="480" w:type="dxa"/>
            <w:noWrap/>
          </w:tcPr>
          <w:p w14:paraId="6206419A" w14:textId="77777777" w:rsidR="00AD2554" w:rsidRPr="008D1D05" w:rsidRDefault="00AD2554" w:rsidP="00E9663B">
            <w:pPr>
              <w:spacing w:before="60" w:after="60"/>
              <w:jc w:val="right"/>
              <w:rPr>
                <w:color w:val="000000"/>
              </w:rPr>
            </w:pPr>
            <w:r w:rsidRPr="008D1D05">
              <w:rPr>
                <w:color w:val="000000"/>
              </w:rPr>
              <w:t>2</w:t>
            </w:r>
          </w:p>
        </w:tc>
        <w:tc>
          <w:tcPr>
            <w:tcW w:w="2080" w:type="dxa"/>
          </w:tcPr>
          <w:p w14:paraId="250FA264" w14:textId="77777777" w:rsidR="00AD2554" w:rsidRPr="008D1D05" w:rsidRDefault="00AD2554" w:rsidP="00E9663B">
            <w:pPr>
              <w:spacing w:before="60" w:after="60"/>
              <w:jc w:val="both"/>
              <w:rPr>
                <w:color w:val="000000"/>
              </w:rPr>
            </w:pPr>
            <w:r w:rsidRPr="008D1D05">
              <w:rPr>
                <w:color w:val="000000"/>
              </w:rPr>
              <w:t>Confidentiality</w:t>
            </w:r>
          </w:p>
        </w:tc>
        <w:tc>
          <w:tcPr>
            <w:tcW w:w="6238" w:type="dxa"/>
          </w:tcPr>
          <w:p w14:paraId="63D589F4" w14:textId="77777777" w:rsidR="00AD2554" w:rsidRPr="008D1D05" w:rsidRDefault="00AD2554" w:rsidP="00E9663B">
            <w:pPr>
              <w:spacing w:before="60" w:after="60"/>
              <w:rPr>
                <w:color w:val="000000"/>
              </w:rPr>
            </w:pPr>
            <w:r w:rsidRPr="008D1D05">
              <w:rPr>
                <w:color w:val="000000"/>
              </w:rPr>
              <w:t xml:space="preserve">Accidental breach of legislation (by </w:t>
            </w:r>
            <w:r>
              <w:rPr>
                <w:color w:val="000000"/>
              </w:rPr>
              <w:t xml:space="preserve">Central Administration </w:t>
            </w:r>
            <w:r w:rsidRPr="008D1D05">
              <w:rPr>
                <w:color w:val="000000"/>
              </w:rPr>
              <w:t xml:space="preserve">staff) due to </w:t>
            </w:r>
            <w:r>
              <w:rPr>
                <w:color w:val="000000"/>
              </w:rPr>
              <w:t>Central Administration Staff</w:t>
            </w:r>
            <w:r w:rsidRPr="008D1D05">
              <w:rPr>
                <w:color w:val="000000"/>
              </w:rPr>
              <w:t xml:space="preserve">'s managing multiple jurisdictions </w:t>
            </w:r>
          </w:p>
        </w:tc>
        <w:tc>
          <w:tcPr>
            <w:tcW w:w="989" w:type="dxa"/>
            <w:noWrap/>
          </w:tcPr>
          <w:p w14:paraId="121A3541" w14:textId="77777777" w:rsidR="00AD2554" w:rsidRPr="008D1D05" w:rsidRDefault="00AD2554" w:rsidP="00E9663B">
            <w:pPr>
              <w:spacing w:before="60" w:after="60"/>
              <w:jc w:val="both"/>
              <w:rPr>
                <w:color w:val="000000"/>
              </w:rPr>
            </w:pPr>
            <w:r w:rsidRPr="008D1D05">
              <w:rPr>
                <w:color w:val="000000"/>
              </w:rPr>
              <w:t>Unlikely</w:t>
            </w:r>
          </w:p>
        </w:tc>
        <w:tc>
          <w:tcPr>
            <w:tcW w:w="948" w:type="dxa"/>
            <w:noWrap/>
          </w:tcPr>
          <w:p w14:paraId="1279A967" w14:textId="77777777" w:rsidR="00AD2554" w:rsidRPr="008D1D05" w:rsidRDefault="00AD2554" w:rsidP="00E9663B">
            <w:pPr>
              <w:spacing w:before="60" w:after="60"/>
              <w:jc w:val="both"/>
              <w:rPr>
                <w:color w:val="000000"/>
              </w:rPr>
            </w:pPr>
            <w:r w:rsidRPr="008D1D05">
              <w:rPr>
                <w:color w:val="000000"/>
              </w:rPr>
              <w:t>Major</w:t>
            </w:r>
          </w:p>
        </w:tc>
        <w:tc>
          <w:tcPr>
            <w:tcW w:w="834" w:type="dxa"/>
            <w:noWrap/>
          </w:tcPr>
          <w:p w14:paraId="60647D07" w14:textId="77777777" w:rsidR="00AD2554" w:rsidRPr="008D1D05" w:rsidRDefault="00AD2554" w:rsidP="00E9663B">
            <w:pPr>
              <w:spacing w:before="60" w:after="60"/>
              <w:jc w:val="both"/>
              <w:rPr>
                <w:color w:val="000000"/>
              </w:rPr>
            </w:pPr>
            <w:r w:rsidRPr="008D1D05">
              <w:rPr>
                <w:color w:val="000000"/>
              </w:rPr>
              <w:t>High</w:t>
            </w:r>
          </w:p>
        </w:tc>
        <w:tc>
          <w:tcPr>
            <w:tcW w:w="2509" w:type="dxa"/>
          </w:tcPr>
          <w:p w14:paraId="0A1D609E" w14:textId="77777777" w:rsidR="00AD2554" w:rsidRPr="008D1D05" w:rsidRDefault="00AD2554" w:rsidP="00E9663B">
            <w:pPr>
              <w:spacing w:before="60" w:after="60"/>
              <w:rPr>
                <w:color w:val="000000"/>
              </w:rPr>
            </w:pPr>
            <w:r w:rsidRPr="008D1D05">
              <w:rPr>
                <w:color w:val="000000"/>
              </w:rPr>
              <w:t>Access Control; Compliance</w:t>
            </w:r>
          </w:p>
        </w:tc>
      </w:tr>
      <w:tr w:rsidR="00AD2554" w:rsidRPr="000F2520" w14:paraId="0BAD2486" w14:textId="77777777" w:rsidTr="00E9663B">
        <w:trPr>
          <w:trHeight w:val="480"/>
        </w:trPr>
        <w:tc>
          <w:tcPr>
            <w:tcW w:w="480" w:type="dxa"/>
            <w:noWrap/>
          </w:tcPr>
          <w:p w14:paraId="21D45DAD" w14:textId="77777777" w:rsidR="00AD2554" w:rsidRPr="008D1D05" w:rsidRDefault="00AD2554" w:rsidP="00E9663B">
            <w:pPr>
              <w:spacing w:before="60" w:after="60"/>
              <w:jc w:val="right"/>
              <w:rPr>
                <w:color w:val="000000"/>
              </w:rPr>
            </w:pPr>
            <w:r w:rsidRPr="008D1D05">
              <w:rPr>
                <w:color w:val="000000"/>
              </w:rPr>
              <w:t>3</w:t>
            </w:r>
          </w:p>
        </w:tc>
        <w:tc>
          <w:tcPr>
            <w:tcW w:w="2080" w:type="dxa"/>
          </w:tcPr>
          <w:p w14:paraId="6B1A6726" w14:textId="77777777" w:rsidR="00AD2554" w:rsidRPr="008D1D05" w:rsidRDefault="00AD2554" w:rsidP="00E9663B">
            <w:pPr>
              <w:spacing w:before="60" w:after="60"/>
              <w:jc w:val="both"/>
              <w:rPr>
                <w:color w:val="000000"/>
              </w:rPr>
            </w:pPr>
            <w:r w:rsidRPr="008D1D05">
              <w:rPr>
                <w:color w:val="000000"/>
              </w:rPr>
              <w:t>Confidentiality</w:t>
            </w:r>
          </w:p>
        </w:tc>
        <w:tc>
          <w:tcPr>
            <w:tcW w:w="6238" w:type="dxa"/>
          </w:tcPr>
          <w:p w14:paraId="6EF40A92" w14:textId="77777777" w:rsidR="00AD2554" w:rsidRPr="008D1D05" w:rsidRDefault="00AD2554" w:rsidP="00E9663B">
            <w:pPr>
              <w:spacing w:before="60" w:after="60"/>
              <w:rPr>
                <w:color w:val="000000"/>
              </w:rPr>
            </w:pPr>
            <w:r w:rsidRPr="008D1D05">
              <w:rPr>
                <w:color w:val="000000"/>
              </w:rPr>
              <w:t xml:space="preserve">Loss of confidentiality of information due to staff or contractors purposely disclosing health information (likelihood is increased in </w:t>
            </w:r>
            <w:r>
              <w:rPr>
                <w:color w:val="000000"/>
              </w:rPr>
              <w:t>Central Administration</w:t>
            </w:r>
            <w:r w:rsidRPr="008D1D05">
              <w:rPr>
                <w:color w:val="000000"/>
              </w:rPr>
              <w:t>)</w:t>
            </w:r>
          </w:p>
        </w:tc>
        <w:tc>
          <w:tcPr>
            <w:tcW w:w="989" w:type="dxa"/>
            <w:noWrap/>
          </w:tcPr>
          <w:p w14:paraId="2346874A" w14:textId="77777777" w:rsidR="00AD2554" w:rsidRPr="008D1D05" w:rsidRDefault="00AD2554" w:rsidP="00E9663B">
            <w:pPr>
              <w:spacing w:before="60" w:after="60"/>
              <w:jc w:val="both"/>
              <w:rPr>
                <w:color w:val="000000"/>
              </w:rPr>
            </w:pPr>
            <w:r w:rsidRPr="008D1D05">
              <w:rPr>
                <w:color w:val="000000"/>
              </w:rPr>
              <w:t>Unlikely</w:t>
            </w:r>
          </w:p>
        </w:tc>
        <w:tc>
          <w:tcPr>
            <w:tcW w:w="948" w:type="dxa"/>
            <w:noWrap/>
          </w:tcPr>
          <w:p w14:paraId="63C0EC49" w14:textId="77777777" w:rsidR="00AD2554" w:rsidRPr="008D1D05" w:rsidRDefault="00AD2554" w:rsidP="00E9663B">
            <w:pPr>
              <w:spacing w:before="60" w:after="60"/>
              <w:jc w:val="both"/>
              <w:rPr>
                <w:color w:val="000000"/>
              </w:rPr>
            </w:pPr>
            <w:r w:rsidRPr="008D1D05">
              <w:rPr>
                <w:color w:val="000000"/>
              </w:rPr>
              <w:t>Major</w:t>
            </w:r>
          </w:p>
        </w:tc>
        <w:tc>
          <w:tcPr>
            <w:tcW w:w="834" w:type="dxa"/>
            <w:noWrap/>
          </w:tcPr>
          <w:p w14:paraId="7B359484" w14:textId="77777777" w:rsidR="00AD2554" w:rsidRPr="008D1D05" w:rsidRDefault="00AD2554" w:rsidP="00E9663B">
            <w:pPr>
              <w:spacing w:before="60" w:after="60"/>
              <w:jc w:val="both"/>
              <w:rPr>
                <w:color w:val="000000"/>
              </w:rPr>
            </w:pPr>
            <w:r w:rsidRPr="008D1D05">
              <w:rPr>
                <w:color w:val="000000"/>
              </w:rPr>
              <w:t>High</w:t>
            </w:r>
          </w:p>
        </w:tc>
        <w:tc>
          <w:tcPr>
            <w:tcW w:w="2509" w:type="dxa"/>
          </w:tcPr>
          <w:p w14:paraId="518F90A6" w14:textId="77777777" w:rsidR="00AD2554" w:rsidRPr="008D1D05" w:rsidRDefault="00AD2554" w:rsidP="00E9663B">
            <w:pPr>
              <w:spacing w:before="60" w:after="60"/>
              <w:rPr>
                <w:color w:val="000000"/>
              </w:rPr>
            </w:pPr>
            <w:r w:rsidRPr="008D1D05">
              <w:rPr>
                <w:color w:val="000000"/>
              </w:rPr>
              <w:t>Information Security Policy; HR Security; Information Security Organisation</w:t>
            </w:r>
          </w:p>
        </w:tc>
      </w:tr>
      <w:tr w:rsidR="00AD2554" w:rsidRPr="000F2520" w14:paraId="48065688" w14:textId="77777777" w:rsidTr="00E9663B">
        <w:trPr>
          <w:trHeight w:val="480"/>
        </w:trPr>
        <w:tc>
          <w:tcPr>
            <w:tcW w:w="480" w:type="dxa"/>
            <w:noWrap/>
          </w:tcPr>
          <w:p w14:paraId="0C5ED198" w14:textId="77777777" w:rsidR="00AD2554" w:rsidRPr="008D1D05" w:rsidRDefault="00AD2554" w:rsidP="00E9663B">
            <w:pPr>
              <w:spacing w:before="60" w:after="60"/>
              <w:jc w:val="right"/>
              <w:rPr>
                <w:color w:val="000000"/>
              </w:rPr>
            </w:pPr>
            <w:r w:rsidRPr="008D1D05">
              <w:rPr>
                <w:color w:val="000000"/>
              </w:rPr>
              <w:t>4</w:t>
            </w:r>
          </w:p>
        </w:tc>
        <w:tc>
          <w:tcPr>
            <w:tcW w:w="2080" w:type="dxa"/>
          </w:tcPr>
          <w:p w14:paraId="2C9B6E71" w14:textId="77777777" w:rsidR="00AD2554" w:rsidRPr="008D1D05" w:rsidRDefault="00AD2554" w:rsidP="00E9663B">
            <w:pPr>
              <w:spacing w:before="60" w:after="60"/>
              <w:jc w:val="both"/>
              <w:rPr>
                <w:color w:val="000000"/>
              </w:rPr>
            </w:pPr>
            <w:r w:rsidRPr="008D1D05">
              <w:rPr>
                <w:color w:val="000000"/>
              </w:rPr>
              <w:t>Confidentiality</w:t>
            </w:r>
          </w:p>
        </w:tc>
        <w:tc>
          <w:tcPr>
            <w:tcW w:w="6238" w:type="dxa"/>
          </w:tcPr>
          <w:p w14:paraId="61E89DB2" w14:textId="77777777" w:rsidR="00AD2554" w:rsidRPr="008D1D05" w:rsidRDefault="00AD2554" w:rsidP="00E9663B">
            <w:pPr>
              <w:spacing w:before="60" w:after="60"/>
              <w:rPr>
                <w:color w:val="000000"/>
              </w:rPr>
            </w:pPr>
            <w:r w:rsidRPr="008D1D05">
              <w:rPr>
                <w:color w:val="000000"/>
              </w:rPr>
              <w:t xml:space="preserve">Changing to new </w:t>
            </w:r>
            <w:r>
              <w:rPr>
                <w:color w:val="000000"/>
              </w:rPr>
              <w:t xml:space="preserve">Central Administration </w:t>
            </w:r>
            <w:r w:rsidRPr="008D1D05">
              <w:rPr>
                <w:color w:val="000000"/>
              </w:rPr>
              <w:t>environment may put information at additional risk due to the difficulties in identifying users</w:t>
            </w:r>
          </w:p>
        </w:tc>
        <w:tc>
          <w:tcPr>
            <w:tcW w:w="989" w:type="dxa"/>
            <w:noWrap/>
          </w:tcPr>
          <w:p w14:paraId="33F69BCB" w14:textId="77777777" w:rsidR="00AD2554" w:rsidRPr="008D1D05" w:rsidRDefault="00AD2554" w:rsidP="00E9663B">
            <w:pPr>
              <w:spacing w:before="60" w:after="60"/>
              <w:jc w:val="both"/>
              <w:rPr>
                <w:color w:val="000000"/>
              </w:rPr>
            </w:pPr>
            <w:r w:rsidRPr="008D1D05">
              <w:rPr>
                <w:color w:val="000000"/>
              </w:rPr>
              <w:t>Possible</w:t>
            </w:r>
          </w:p>
        </w:tc>
        <w:tc>
          <w:tcPr>
            <w:tcW w:w="948" w:type="dxa"/>
            <w:noWrap/>
          </w:tcPr>
          <w:p w14:paraId="16C38454" w14:textId="77777777" w:rsidR="00AD2554" w:rsidRPr="008D1D05" w:rsidRDefault="00AD2554" w:rsidP="00E9663B">
            <w:pPr>
              <w:spacing w:before="60" w:after="60"/>
              <w:jc w:val="both"/>
              <w:rPr>
                <w:color w:val="000000"/>
              </w:rPr>
            </w:pPr>
            <w:r w:rsidRPr="008D1D05">
              <w:rPr>
                <w:color w:val="000000"/>
              </w:rPr>
              <w:t>Moderate</w:t>
            </w:r>
          </w:p>
        </w:tc>
        <w:tc>
          <w:tcPr>
            <w:tcW w:w="834" w:type="dxa"/>
            <w:noWrap/>
          </w:tcPr>
          <w:p w14:paraId="65B84C3A" w14:textId="77777777" w:rsidR="00AD2554" w:rsidRPr="008D1D05" w:rsidRDefault="00AD2554" w:rsidP="00E9663B">
            <w:pPr>
              <w:spacing w:before="60" w:after="60"/>
              <w:jc w:val="both"/>
              <w:rPr>
                <w:color w:val="000000"/>
              </w:rPr>
            </w:pPr>
            <w:r w:rsidRPr="008D1D05">
              <w:rPr>
                <w:color w:val="000000"/>
              </w:rPr>
              <w:t>High</w:t>
            </w:r>
          </w:p>
        </w:tc>
        <w:tc>
          <w:tcPr>
            <w:tcW w:w="2509" w:type="dxa"/>
          </w:tcPr>
          <w:p w14:paraId="6A51325F" w14:textId="77777777" w:rsidR="00AD2554" w:rsidRPr="008D1D05" w:rsidRDefault="00AD2554" w:rsidP="00E9663B">
            <w:pPr>
              <w:spacing w:before="60" w:after="60"/>
              <w:rPr>
                <w:color w:val="000000"/>
              </w:rPr>
            </w:pPr>
            <w:r w:rsidRPr="008D1D05">
              <w:rPr>
                <w:color w:val="000000"/>
              </w:rPr>
              <w:t>Information Security Policy; Information Security Organisation</w:t>
            </w:r>
          </w:p>
        </w:tc>
      </w:tr>
      <w:tr w:rsidR="00AD2554" w:rsidRPr="000F2520" w14:paraId="70FBC10D" w14:textId="77777777" w:rsidTr="00E9663B">
        <w:trPr>
          <w:trHeight w:val="480"/>
        </w:trPr>
        <w:tc>
          <w:tcPr>
            <w:tcW w:w="480" w:type="dxa"/>
            <w:noWrap/>
          </w:tcPr>
          <w:p w14:paraId="36326816" w14:textId="77777777" w:rsidR="00AD2554" w:rsidRPr="008D1D05" w:rsidRDefault="00AD2554" w:rsidP="00E9663B">
            <w:pPr>
              <w:spacing w:before="60" w:after="60"/>
              <w:jc w:val="right"/>
              <w:rPr>
                <w:color w:val="000000"/>
              </w:rPr>
            </w:pPr>
            <w:r w:rsidRPr="008D1D05">
              <w:rPr>
                <w:color w:val="000000"/>
              </w:rPr>
              <w:t>5</w:t>
            </w:r>
          </w:p>
        </w:tc>
        <w:tc>
          <w:tcPr>
            <w:tcW w:w="2080" w:type="dxa"/>
          </w:tcPr>
          <w:p w14:paraId="46CFF52D" w14:textId="77777777" w:rsidR="00AD2554" w:rsidRPr="008D1D05" w:rsidRDefault="00AD2554" w:rsidP="00E9663B">
            <w:pPr>
              <w:spacing w:before="60" w:after="60"/>
              <w:jc w:val="both"/>
              <w:rPr>
                <w:color w:val="000000"/>
              </w:rPr>
            </w:pPr>
            <w:r w:rsidRPr="008D1D05">
              <w:rPr>
                <w:color w:val="000000"/>
              </w:rPr>
              <w:t>Confidentiality</w:t>
            </w:r>
          </w:p>
        </w:tc>
        <w:tc>
          <w:tcPr>
            <w:tcW w:w="6238" w:type="dxa"/>
          </w:tcPr>
          <w:p w14:paraId="32FD8961" w14:textId="77777777" w:rsidR="00AD2554" w:rsidRPr="008D1D05" w:rsidRDefault="00AD2554" w:rsidP="00E9663B">
            <w:pPr>
              <w:spacing w:before="60" w:after="60"/>
              <w:rPr>
                <w:color w:val="000000"/>
              </w:rPr>
            </w:pPr>
            <w:r w:rsidRPr="008D1D05">
              <w:rPr>
                <w:color w:val="000000"/>
              </w:rPr>
              <w:t xml:space="preserve">Loss of confidentiality of info. whilst in transit externally (e.g., from data suppliers) </w:t>
            </w:r>
          </w:p>
        </w:tc>
        <w:tc>
          <w:tcPr>
            <w:tcW w:w="989" w:type="dxa"/>
            <w:noWrap/>
          </w:tcPr>
          <w:p w14:paraId="438C1366" w14:textId="77777777" w:rsidR="00AD2554" w:rsidRPr="008D1D05" w:rsidRDefault="00AD2554" w:rsidP="00E9663B">
            <w:pPr>
              <w:spacing w:before="60" w:after="60"/>
              <w:jc w:val="both"/>
              <w:rPr>
                <w:color w:val="000000"/>
              </w:rPr>
            </w:pPr>
            <w:r w:rsidRPr="008D1D05">
              <w:rPr>
                <w:color w:val="000000"/>
              </w:rPr>
              <w:t>Possible</w:t>
            </w:r>
          </w:p>
        </w:tc>
        <w:tc>
          <w:tcPr>
            <w:tcW w:w="948" w:type="dxa"/>
            <w:noWrap/>
          </w:tcPr>
          <w:p w14:paraId="6FD0FCA1" w14:textId="77777777" w:rsidR="00AD2554" w:rsidRPr="008D1D05" w:rsidRDefault="00AD2554" w:rsidP="00E9663B">
            <w:pPr>
              <w:spacing w:before="60" w:after="60"/>
              <w:jc w:val="both"/>
              <w:rPr>
                <w:color w:val="000000"/>
              </w:rPr>
            </w:pPr>
            <w:r w:rsidRPr="008D1D05">
              <w:rPr>
                <w:color w:val="000000"/>
              </w:rPr>
              <w:t>Moderate</w:t>
            </w:r>
          </w:p>
        </w:tc>
        <w:tc>
          <w:tcPr>
            <w:tcW w:w="834" w:type="dxa"/>
            <w:noWrap/>
          </w:tcPr>
          <w:p w14:paraId="3F789EC1" w14:textId="77777777" w:rsidR="00AD2554" w:rsidRPr="008D1D05" w:rsidRDefault="00AD2554" w:rsidP="00E9663B">
            <w:pPr>
              <w:spacing w:before="60" w:after="60"/>
              <w:jc w:val="both"/>
              <w:rPr>
                <w:color w:val="000000"/>
              </w:rPr>
            </w:pPr>
            <w:r w:rsidRPr="008D1D05">
              <w:rPr>
                <w:color w:val="000000"/>
              </w:rPr>
              <w:t>High</w:t>
            </w:r>
          </w:p>
        </w:tc>
        <w:tc>
          <w:tcPr>
            <w:tcW w:w="2509" w:type="dxa"/>
          </w:tcPr>
          <w:p w14:paraId="116F2C1B" w14:textId="77777777" w:rsidR="00AD2554" w:rsidRPr="008D1D05" w:rsidRDefault="00AD2554" w:rsidP="00E9663B">
            <w:pPr>
              <w:spacing w:before="60" w:after="60"/>
              <w:rPr>
                <w:color w:val="000000"/>
              </w:rPr>
            </w:pPr>
            <w:r w:rsidRPr="008D1D05">
              <w:rPr>
                <w:color w:val="000000"/>
              </w:rPr>
              <w:t>Communications and Operations Management</w:t>
            </w:r>
          </w:p>
        </w:tc>
      </w:tr>
      <w:tr w:rsidR="00AD2554" w:rsidRPr="000F2520" w14:paraId="165D9DE4" w14:textId="77777777" w:rsidTr="00E9663B">
        <w:trPr>
          <w:trHeight w:val="720"/>
        </w:trPr>
        <w:tc>
          <w:tcPr>
            <w:tcW w:w="480" w:type="dxa"/>
            <w:noWrap/>
          </w:tcPr>
          <w:p w14:paraId="052A073D" w14:textId="77777777" w:rsidR="00AD2554" w:rsidRPr="008D1D05" w:rsidRDefault="00AD2554" w:rsidP="00E9663B">
            <w:pPr>
              <w:spacing w:before="60" w:after="60"/>
              <w:jc w:val="right"/>
              <w:rPr>
                <w:color w:val="000000"/>
              </w:rPr>
            </w:pPr>
            <w:r w:rsidRPr="008D1D05">
              <w:rPr>
                <w:color w:val="000000"/>
              </w:rPr>
              <w:lastRenderedPageBreak/>
              <w:t>6</w:t>
            </w:r>
          </w:p>
        </w:tc>
        <w:tc>
          <w:tcPr>
            <w:tcW w:w="2080" w:type="dxa"/>
          </w:tcPr>
          <w:p w14:paraId="386457D9" w14:textId="77777777" w:rsidR="00AD2554" w:rsidRPr="008D1D05" w:rsidRDefault="00AD2554" w:rsidP="00E9663B">
            <w:pPr>
              <w:spacing w:before="60" w:after="60"/>
              <w:jc w:val="both"/>
              <w:rPr>
                <w:color w:val="000000"/>
              </w:rPr>
            </w:pPr>
            <w:r w:rsidRPr="008D1D05">
              <w:rPr>
                <w:color w:val="000000"/>
              </w:rPr>
              <w:t>Confidentiality</w:t>
            </w:r>
          </w:p>
        </w:tc>
        <w:tc>
          <w:tcPr>
            <w:tcW w:w="6238" w:type="dxa"/>
          </w:tcPr>
          <w:p w14:paraId="7C8AEB82" w14:textId="77777777" w:rsidR="00AD2554" w:rsidRPr="008D1D05" w:rsidRDefault="00AD2554" w:rsidP="00E9663B">
            <w:pPr>
              <w:spacing w:before="60" w:after="60"/>
              <w:rPr>
                <w:color w:val="000000"/>
              </w:rPr>
            </w:pPr>
            <w:r w:rsidRPr="008D1D05">
              <w:rPr>
                <w:color w:val="000000"/>
              </w:rPr>
              <w:t>Portable devices may store confidential information, which may then be left in public areas or stolen, leading to breach of confidentiality of multiple records</w:t>
            </w:r>
          </w:p>
        </w:tc>
        <w:tc>
          <w:tcPr>
            <w:tcW w:w="989" w:type="dxa"/>
            <w:noWrap/>
          </w:tcPr>
          <w:p w14:paraId="7879C598" w14:textId="77777777" w:rsidR="00AD2554" w:rsidRPr="008D1D05" w:rsidRDefault="00AD2554" w:rsidP="00E9663B">
            <w:pPr>
              <w:spacing w:before="60" w:after="60"/>
              <w:jc w:val="both"/>
              <w:rPr>
                <w:color w:val="000000"/>
              </w:rPr>
            </w:pPr>
            <w:r w:rsidRPr="008D1D05">
              <w:rPr>
                <w:color w:val="000000"/>
              </w:rPr>
              <w:t>Unlikely</w:t>
            </w:r>
          </w:p>
        </w:tc>
        <w:tc>
          <w:tcPr>
            <w:tcW w:w="948" w:type="dxa"/>
            <w:noWrap/>
          </w:tcPr>
          <w:p w14:paraId="729E63A8" w14:textId="77777777" w:rsidR="00AD2554" w:rsidRPr="008D1D05" w:rsidRDefault="00AD2554" w:rsidP="00E9663B">
            <w:pPr>
              <w:spacing w:before="60" w:after="60"/>
              <w:jc w:val="both"/>
              <w:rPr>
                <w:color w:val="000000"/>
              </w:rPr>
            </w:pPr>
            <w:r w:rsidRPr="008D1D05">
              <w:rPr>
                <w:color w:val="000000"/>
              </w:rPr>
              <w:t>Major</w:t>
            </w:r>
          </w:p>
        </w:tc>
        <w:tc>
          <w:tcPr>
            <w:tcW w:w="834" w:type="dxa"/>
            <w:noWrap/>
          </w:tcPr>
          <w:p w14:paraId="41622595" w14:textId="77777777" w:rsidR="00AD2554" w:rsidRPr="008D1D05" w:rsidRDefault="00AD2554" w:rsidP="00E9663B">
            <w:pPr>
              <w:spacing w:before="60" w:after="60"/>
              <w:jc w:val="both"/>
              <w:rPr>
                <w:color w:val="000000"/>
              </w:rPr>
            </w:pPr>
            <w:r w:rsidRPr="008D1D05">
              <w:rPr>
                <w:color w:val="000000"/>
              </w:rPr>
              <w:t>High</w:t>
            </w:r>
          </w:p>
        </w:tc>
        <w:tc>
          <w:tcPr>
            <w:tcW w:w="2509" w:type="dxa"/>
          </w:tcPr>
          <w:p w14:paraId="6D48A137" w14:textId="77777777" w:rsidR="00AD2554" w:rsidRPr="008D1D05" w:rsidRDefault="00AD2554" w:rsidP="00E9663B">
            <w:pPr>
              <w:spacing w:before="60" w:after="60"/>
              <w:rPr>
                <w:color w:val="000000"/>
              </w:rPr>
            </w:pPr>
            <w:r w:rsidRPr="008D1D05">
              <w:rPr>
                <w:color w:val="000000"/>
              </w:rPr>
              <w:t>HR Security; Communications and Operations Management</w:t>
            </w:r>
          </w:p>
        </w:tc>
      </w:tr>
      <w:tr w:rsidR="00AD2554" w:rsidRPr="000F2520" w14:paraId="2366E9C6" w14:textId="77777777" w:rsidTr="00E9663B">
        <w:trPr>
          <w:trHeight w:val="480"/>
        </w:trPr>
        <w:tc>
          <w:tcPr>
            <w:tcW w:w="480" w:type="dxa"/>
            <w:noWrap/>
          </w:tcPr>
          <w:p w14:paraId="207EDE51" w14:textId="77777777" w:rsidR="00AD2554" w:rsidRPr="008D1D05" w:rsidRDefault="00AD2554" w:rsidP="00E9663B">
            <w:pPr>
              <w:spacing w:before="60" w:after="60"/>
              <w:jc w:val="right"/>
              <w:rPr>
                <w:color w:val="000000"/>
              </w:rPr>
            </w:pPr>
            <w:r w:rsidRPr="008D1D05">
              <w:rPr>
                <w:color w:val="000000"/>
              </w:rPr>
              <w:t>7</w:t>
            </w:r>
          </w:p>
        </w:tc>
        <w:tc>
          <w:tcPr>
            <w:tcW w:w="2080" w:type="dxa"/>
          </w:tcPr>
          <w:p w14:paraId="3E237C87" w14:textId="77777777" w:rsidR="00AD2554" w:rsidRPr="008D1D05" w:rsidRDefault="00AD2554" w:rsidP="00E9663B">
            <w:pPr>
              <w:spacing w:before="60" w:after="60"/>
              <w:jc w:val="both"/>
              <w:rPr>
                <w:color w:val="000000"/>
              </w:rPr>
            </w:pPr>
            <w:r w:rsidRPr="008D1D05">
              <w:rPr>
                <w:color w:val="000000"/>
              </w:rPr>
              <w:t>Confidentiality</w:t>
            </w:r>
          </w:p>
        </w:tc>
        <w:tc>
          <w:tcPr>
            <w:tcW w:w="6238" w:type="dxa"/>
          </w:tcPr>
          <w:p w14:paraId="726D1C3C" w14:textId="77777777" w:rsidR="00AD2554" w:rsidRPr="008D1D05" w:rsidRDefault="00AD2554" w:rsidP="00E9663B">
            <w:pPr>
              <w:spacing w:before="60" w:after="60"/>
              <w:rPr>
                <w:color w:val="000000"/>
              </w:rPr>
            </w:pPr>
            <w:r w:rsidRPr="008D1D05">
              <w:rPr>
                <w:color w:val="000000"/>
              </w:rPr>
              <w:t>Breach of legislation due to information that is used in a manner that is not in accordance with the purpose for which it has been collected (e.g.: violation of consent).</w:t>
            </w:r>
          </w:p>
        </w:tc>
        <w:tc>
          <w:tcPr>
            <w:tcW w:w="989" w:type="dxa"/>
            <w:noWrap/>
          </w:tcPr>
          <w:p w14:paraId="5EE117CA" w14:textId="77777777" w:rsidR="00AD2554" w:rsidRPr="008D1D05" w:rsidRDefault="00AD2554" w:rsidP="00E9663B">
            <w:pPr>
              <w:spacing w:before="60" w:after="60"/>
              <w:jc w:val="both"/>
              <w:rPr>
                <w:color w:val="000000"/>
              </w:rPr>
            </w:pPr>
            <w:r w:rsidRPr="008D1D05">
              <w:rPr>
                <w:color w:val="000000"/>
              </w:rPr>
              <w:t>Unlikely</w:t>
            </w:r>
          </w:p>
        </w:tc>
        <w:tc>
          <w:tcPr>
            <w:tcW w:w="948" w:type="dxa"/>
            <w:noWrap/>
          </w:tcPr>
          <w:p w14:paraId="7C5A9318" w14:textId="77777777" w:rsidR="00AD2554" w:rsidRPr="008D1D05" w:rsidRDefault="00AD2554" w:rsidP="00E9663B">
            <w:pPr>
              <w:spacing w:before="60" w:after="60"/>
              <w:jc w:val="both"/>
              <w:rPr>
                <w:color w:val="000000"/>
              </w:rPr>
            </w:pPr>
            <w:r w:rsidRPr="008D1D05">
              <w:rPr>
                <w:color w:val="000000"/>
              </w:rPr>
              <w:t>Moderate</w:t>
            </w:r>
          </w:p>
        </w:tc>
        <w:tc>
          <w:tcPr>
            <w:tcW w:w="834" w:type="dxa"/>
            <w:noWrap/>
          </w:tcPr>
          <w:p w14:paraId="39CA0372" w14:textId="77777777" w:rsidR="00AD2554" w:rsidRPr="008D1D05" w:rsidRDefault="00AD2554" w:rsidP="00E9663B">
            <w:pPr>
              <w:spacing w:before="60" w:after="60"/>
              <w:jc w:val="both"/>
              <w:rPr>
                <w:color w:val="000000"/>
              </w:rPr>
            </w:pPr>
            <w:r w:rsidRPr="008D1D05">
              <w:rPr>
                <w:color w:val="000000"/>
              </w:rPr>
              <w:t>Medium</w:t>
            </w:r>
          </w:p>
        </w:tc>
        <w:tc>
          <w:tcPr>
            <w:tcW w:w="2509" w:type="dxa"/>
          </w:tcPr>
          <w:p w14:paraId="15F2EC7B" w14:textId="77777777" w:rsidR="00AD2554" w:rsidRPr="008D1D05" w:rsidRDefault="00AD2554" w:rsidP="00E9663B">
            <w:pPr>
              <w:spacing w:before="60" w:after="60"/>
              <w:rPr>
                <w:color w:val="000000"/>
              </w:rPr>
            </w:pPr>
            <w:r w:rsidRPr="008D1D05">
              <w:rPr>
                <w:color w:val="000000"/>
              </w:rPr>
              <w:t>Compliance; HR Security</w:t>
            </w:r>
          </w:p>
        </w:tc>
      </w:tr>
      <w:tr w:rsidR="00AD2554" w:rsidRPr="000F2520" w14:paraId="774D9704" w14:textId="77777777" w:rsidTr="00E9663B">
        <w:trPr>
          <w:trHeight w:val="480"/>
        </w:trPr>
        <w:tc>
          <w:tcPr>
            <w:tcW w:w="480" w:type="dxa"/>
            <w:noWrap/>
          </w:tcPr>
          <w:p w14:paraId="3E232885" w14:textId="77777777" w:rsidR="00AD2554" w:rsidRPr="008D1D05" w:rsidRDefault="00AD2554" w:rsidP="00E9663B">
            <w:pPr>
              <w:spacing w:before="60" w:after="60"/>
              <w:jc w:val="right"/>
              <w:rPr>
                <w:color w:val="000000"/>
              </w:rPr>
            </w:pPr>
            <w:r w:rsidRPr="008D1D05">
              <w:rPr>
                <w:color w:val="000000"/>
              </w:rPr>
              <w:t>8</w:t>
            </w:r>
          </w:p>
        </w:tc>
        <w:tc>
          <w:tcPr>
            <w:tcW w:w="2080" w:type="dxa"/>
          </w:tcPr>
          <w:p w14:paraId="65D65D1E" w14:textId="77777777" w:rsidR="00AD2554" w:rsidRPr="008D1D05" w:rsidRDefault="00AD2554" w:rsidP="00E9663B">
            <w:pPr>
              <w:spacing w:before="60" w:after="60"/>
              <w:jc w:val="both"/>
              <w:rPr>
                <w:color w:val="000000"/>
              </w:rPr>
            </w:pPr>
            <w:r w:rsidRPr="008D1D05">
              <w:rPr>
                <w:color w:val="000000"/>
              </w:rPr>
              <w:t>Confidentiality</w:t>
            </w:r>
          </w:p>
        </w:tc>
        <w:tc>
          <w:tcPr>
            <w:tcW w:w="6238" w:type="dxa"/>
          </w:tcPr>
          <w:p w14:paraId="6BBF29D4" w14:textId="77777777" w:rsidR="00AD2554" w:rsidRPr="008D1D05" w:rsidRDefault="00AD2554" w:rsidP="00E9663B">
            <w:pPr>
              <w:spacing w:before="60" w:after="60"/>
              <w:rPr>
                <w:color w:val="000000"/>
              </w:rPr>
            </w:pPr>
            <w:r w:rsidRPr="008D1D05">
              <w:rPr>
                <w:color w:val="000000"/>
              </w:rPr>
              <w:t>Theft of (non-portable) information systems containing multiple records of confidential information</w:t>
            </w:r>
          </w:p>
        </w:tc>
        <w:tc>
          <w:tcPr>
            <w:tcW w:w="989" w:type="dxa"/>
            <w:noWrap/>
          </w:tcPr>
          <w:p w14:paraId="1FB4935E" w14:textId="77777777" w:rsidR="00AD2554" w:rsidRPr="008D1D05" w:rsidRDefault="00AD2554" w:rsidP="00E9663B">
            <w:pPr>
              <w:spacing w:before="60" w:after="60"/>
              <w:jc w:val="both"/>
              <w:rPr>
                <w:color w:val="000000"/>
              </w:rPr>
            </w:pPr>
            <w:r w:rsidRPr="008D1D05">
              <w:rPr>
                <w:color w:val="000000"/>
              </w:rPr>
              <w:t>Unlikely</w:t>
            </w:r>
          </w:p>
        </w:tc>
        <w:tc>
          <w:tcPr>
            <w:tcW w:w="948" w:type="dxa"/>
            <w:noWrap/>
          </w:tcPr>
          <w:p w14:paraId="6D863F9B" w14:textId="77777777" w:rsidR="00AD2554" w:rsidRPr="008D1D05" w:rsidRDefault="00AD2554" w:rsidP="00E9663B">
            <w:pPr>
              <w:spacing w:before="60" w:after="60"/>
              <w:jc w:val="both"/>
              <w:rPr>
                <w:color w:val="000000"/>
              </w:rPr>
            </w:pPr>
            <w:r w:rsidRPr="008D1D05">
              <w:rPr>
                <w:color w:val="000000"/>
              </w:rPr>
              <w:t>Major</w:t>
            </w:r>
          </w:p>
        </w:tc>
        <w:tc>
          <w:tcPr>
            <w:tcW w:w="834" w:type="dxa"/>
            <w:noWrap/>
          </w:tcPr>
          <w:p w14:paraId="524321EE" w14:textId="77777777" w:rsidR="00AD2554" w:rsidRPr="008D1D05" w:rsidRDefault="00AD2554" w:rsidP="00E9663B">
            <w:pPr>
              <w:spacing w:before="60" w:after="60"/>
              <w:jc w:val="both"/>
              <w:rPr>
                <w:color w:val="000000"/>
              </w:rPr>
            </w:pPr>
            <w:r w:rsidRPr="008D1D05">
              <w:rPr>
                <w:color w:val="000000"/>
              </w:rPr>
              <w:t>High</w:t>
            </w:r>
          </w:p>
        </w:tc>
        <w:tc>
          <w:tcPr>
            <w:tcW w:w="2509" w:type="dxa"/>
          </w:tcPr>
          <w:p w14:paraId="747994C7" w14:textId="77777777" w:rsidR="00AD2554" w:rsidRPr="008D1D05" w:rsidRDefault="00AD2554" w:rsidP="00E9663B">
            <w:pPr>
              <w:spacing w:before="60" w:after="60"/>
              <w:rPr>
                <w:color w:val="000000"/>
              </w:rPr>
            </w:pPr>
            <w:r w:rsidRPr="008D1D05">
              <w:rPr>
                <w:color w:val="000000"/>
              </w:rPr>
              <w:t>Physical Security</w:t>
            </w:r>
          </w:p>
        </w:tc>
      </w:tr>
      <w:tr w:rsidR="00AD2554" w:rsidRPr="000F2520" w14:paraId="241D37CA" w14:textId="77777777" w:rsidTr="00E9663B">
        <w:trPr>
          <w:trHeight w:val="480"/>
        </w:trPr>
        <w:tc>
          <w:tcPr>
            <w:tcW w:w="480" w:type="dxa"/>
            <w:noWrap/>
          </w:tcPr>
          <w:p w14:paraId="76A7770D" w14:textId="77777777" w:rsidR="00AD2554" w:rsidRPr="008D1D05" w:rsidRDefault="00AD2554" w:rsidP="00E9663B">
            <w:pPr>
              <w:spacing w:before="60" w:after="60"/>
              <w:jc w:val="right"/>
              <w:rPr>
                <w:color w:val="000000"/>
              </w:rPr>
            </w:pPr>
            <w:r w:rsidRPr="008D1D05">
              <w:rPr>
                <w:color w:val="000000"/>
              </w:rPr>
              <w:t>9</w:t>
            </w:r>
          </w:p>
        </w:tc>
        <w:tc>
          <w:tcPr>
            <w:tcW w:w="2080" w:type="dxa"/>
          </w:tcPr>
          <w:p w14:paraId="118F1EA5" w14:textId="77777777" w:rsidR="00AD2554" w:rsidRPr="008D1D05" w:rsidRDefault="00AD2554" w:rsidP="00E9663B">
            <w:pPr>
              <w:spacing w:before="60" w:after="60"/>
              <w:jc w:val="both"/>
              <w:rPr>
                <w:color w:val="000000"/>
              </w:rPr>
            </w:pPr>
            <w:r w:rsidRPr="008D1D05">
              <w:rPr>
                <w:color w:val="000000"/>
              </w:rPr>
              <w:t>Confidentiality</w:t>
            </w:r>
          </w:p>
        </w:tc>
        <w:tc>
          <w:tcPr>
            <w:tcW w:w="6238" w:type="dxa"/>
          </w:tcPr>
          <w:p w14:paraId="3A97493A" w14:textId="77777777" w:rsidR="00AD2554" w:rsidRPr="008D1D05" w:rsidRDefault="00AD2554" w:rsidP="00E9663B">
            <w:pPr>
              <w:spacing w:before="60" w:after="60"/>
              <w:rPr>
                <w:color w:val="000000"/>
              </w:rPr>
            </w:pPr>
            <w:r w:rsidRPr="008D1D05">
              <w:rPr>
                <w:color w:val="000000"/>
              </w:rPr>
              <w:t>Authorised user inadvertently gives information to unauthorised user</w:t>
            </w:r>
          </w:p>
        </w:tc>
        <w:tc>
          <w:tcPr>
            <w:tcW w:w="989" w:type="dxa"/>
            <w:noWrap/>
          </w:tcPr>
          <w:p w14:paraId="58E11321" w14:textId="77777777" w:rsidR="00AD2554" w:rsidRPr="008D1D05" w:rsidRDefault="00AD2554" w:rsidP="00E9663B">
            <w:pPr>
              <w:spacing w:before="60" w:after="60"/>
              <w:jc w:val="both"/>
              <w:rPr>
                <w:color w:val="000000"/>
              </w:rPr>
            </w:pPr>
            <w:r w:rsidRPr="008D1D05">
              <w:rPr>
                <w:color w:val="000000"/>
              </w:rPr>
              <w:t>Possible</w:t>
            </w:r>
          </w:p>
        </w:tc>
        <w:tc>
          <w:tcPr>
            <w:tcW w:w="948" w:type="dxa"/>
            <w:noWrap/>
          </w:tcPr>
          <w:p w14:paraId="4DA7C9C1" w14:textId="77777777" w:rsidR="00AD2554" w:rsidRPr="008D1D05" w:rsidRDefault="00AD2554" w:rsidP="00E9663B">
            <w:pPr>
              <w:spacing w:before="60" w:after="60"/>
              <w:jc w:val="both"/>
              <w:rPr>
                <w:color w:val="000000"/>
              </w:rPr>
            </w:pPr>
            <w:r w:rsidRPr="008D1D05">
              <w:rPr>
                <w:color w:val="000000"/>
              </w:rPr>
              <w:t>Moderate</w:t>
            </w:r>
          </w:p>
        </w:tc>
        <w:tc>
          <w:tcPr>
            <w:tcW w:w="834" w:type="dxa"/>
            <w:noWrap/>
          </w:tcPr>
          <w:p w14:paraId="38F3D91D" w14:textId="77777777" w:rsidR="00AD2554" w:rsidRPr="008D1D05" w:rsidRDefault="00AD2554" w:rsidP="00E9663B">
            <w:pPr>
              <w:spacing w:before="60" w:after="60"/>
              <w:jc w:val="both"/>
              <w:rPr>
                <w:color w:val="000000"/>
              </w:rPr>
            </w:pPr>
            <w:r w:rsidRPr="008D1D05">
              <w:rPr>
                <w:color w:val="000000"/>
              </w:rPr>
              <w:t xml:space="preserve"> High</w:t>
            </w:r>
          </w:p>
        </w:tc>
        <w:tc>
          <w:tcPr>
            <w:tcW w:w="2509" w:type="dxa"/>
          </w:tcPr>
          <w:p w14:paraId="7DDD0BDE" w14:textId="77777777" w:rsidR="00AD2554" w:rsidRPr="008D1D05" w:rsidRDefault="00AD2554" w:rsidP="00E9663B">
            <w:pPr>
              <w:spacing w:before="60" w:after="60"/>
              <w:rPr>
                <w:color w:val="000000"/>
              </w:rPr>
            </w:pPr>
            <w:r w:rsidRPr="008D1D05">
              <w:rPr>
                <w:color w:val="000000"/>
              </w:rPr>
              <w:t xml:space="preserve">HR Security; </w:t>
            </w:r>
          </w:p>
        </w:tc>
      </w:tr>
      <w:tr w:rsidR="00AD2554" w:rsidRPr="000F2520" w14:paraId="162F34ED" w14:textId="77777777" w:rsidTr="00E9663B">
        <w:trPr>
          <w:trHeight w:val="480"/>
        </w:trPr>
        <w:tc>
          <w:tcPr>
            <w:tcW w:w="480" w:type="dxa"/>
            <w:noWrap/>
          </w:tcPr>
          <w:p w14:paraId="0FF208D7" w14:textId="77777777" w:rsidR="00AD2554" w:rsidRPr="008D1D05" w:rsidRDefault="00AD2554" w:rsidP="00E9663B">
            <w:pPr>
              <w:spacing w:before="60" w:after="60"/>
              <w:jc w:val="right"/>
              <w:rPr>
                <w:color w:val="000000"/>
              </w:rPr>
            </w:pPr>
            <w:r w:rsidRPr="008D1D05">
              <w:rPr>
                <w:color w:val="000000"/>
              </w:rPr>
              <w:t>10</w:t>
            </w:r>
          </w:p>
        </w:tc>
        <w:tc>
          <w:tcPr>
            <w:tcW w:w="2080" w:type="dxa"/>
            <w:noWrap/>
          </w:tcPr>
          <w:p w14:paraId="5349EC62" w14:textId="77777777" w:rsidR="00AD2554" w:rsidRPr="008D1D05" w:rsidRDefault="00AD2554" w:rsidP="00E9663B">
            <w:pPr>
              <w:spacing w:before="60" w:after="60"/>
              <w:jc w:val="both"/>
              <w:rPr>
                <w:color w:val="000000"/>
              </w:rPr>
            </w:pPr>
            <w:r w:rsidRPr="008D1D05">
              <w:rPr>
                <w:color w:val="000000"/>
              </w:rPr>
              <w:t>Integrity</w:t>
            </w:r>
          </w:p>
        </w:tc>
        <w:tc>
          <w:tcPr>
            <w:tcW w:w="6238" w:type="dxa"/>
          </w:tcPr>
          <w:p w14:paraId="55FE41FE" w14:textId="77777777" w:rsidR="00AD2554" w:rsidRPr="008D1D05" w:rsidRDefault="00AD2554" w:rsidP="00E9663B">
            <w:pPr>
              <w:spacing w:before="60" w:after="60"/>
              <w:rPr>
                <w:color w:val="000000"/>
              </w:rPr>
            </w:pPr>
            <w:r w:rsidRPr="008D1D05">
              <w:rPr>
                <w:color w:val="000000"/>
              </w:rPr>
              <w:t>Data integrity errors in bulk upload / external file transfers</w:t>
            </w:r>
          </w:p>
        </w:tc>
        <w:tc>
          <w:tcPr>
            <w:tcW w:w="989" w:type="dxa"/>
            <w:noWrap/>
          </w:tcPr>
          <w:p w14:paraId="163697AD" w14:textId="77777777" w:rsidR="00AD2554" w:rsidRPr="008D1D05" w:rsidRDefault="00AD2554" w:rsidP="00E9663B">
            <w:pPr>
              <w:spacing w:before="60" w:after="60"/>
              <w:jc w:val="both"/>
              <w:rPr>
                <w:color w:val="000000"/>
              </w:rPr>
            </w:pPr>
            <w:r w:rsidRPr="008D1D05">
              <w:rPr>
                <w:color w:val="000000"/>
              </w:rPr>
              <w:t>Unlikely</w:t>
            </w:r>
          </w:p>
        </w:tc>
        <w:tc>
          <w:tcPr>
            <w:tcW w:w="948" w:type="dxa"/>
            <w:noWrap/>
          </w:tcPr>
          <w:p w14:paraId="476578A0" w14:textId="77777777" w:rsidR="00AD2554" w:rsidRPr="008D1D05" w:rsidRDefault="00AD2554" w:rsidP="00E9663B">
            <w:pPr>
              <w:spacing w:before="60" w:after="60"/>
              <w:jc w:val="both"/>
              <w:rPr>
                <w:color w:val="000000"/>
              </w:rPr>
            </w:pPr>
            <w:r w:rsidRPr="008D1D05">
              <w:rPr>
                <w:color w:val="000000"/>
              </w:rPr>
              <w:t>Major</w:t>
            </w:r>
          </w:p>
        </w:tc>
        <w:tc>
          <w:tcPr>
            <w:tcW w:w="834" w:type="dxa"/>
            <w:noWrap/>
          </w:tcPr>
          <w:p w14:paraId="1AD1757C" w14:textId="77777777" w:rsidR="00AD2554" w:rsidRPr="008D1D05" w:rsidRDefault="00AD2554" w:rsidP="00E9663B">
            <w:pPr>
              <w:spacing w:before="60" w:after="60"/>
              <w:jc w:val="both"/>
              <w:rPr>
                <w:color w:val="000000"/>
              </w:rPr>
            </w:pPr>
            <w:r w:rsidRPr="008D1D05">
              <w:rPr>
                <w:color w:val="000000"/>
              </w:rPr>
              <w:t>High</w:t>
            </w:r>
          </w:p>
        </w:tc>
        <w:tc>
          <w:tcPr>
            <w:tcW w:w="2509" w:type="dxa"/>
          </w:tcPr>
          <w:p w14:paraId="7094C3FA" w14:textId="77777777" w:rsidR="00AD2554" w:rsidRPr="008D1D05" w:rsidRDefault="00AD2554" w:rsidP="00E9663B">
            <w:pPr>
              <w:spacing w:before="60" w:after="60"/>
              <w:rPr>
                <w:color w:val="000000"/>
              </w:rPr>
            </w:pPr>
            <w:r w:rsidRPr="008D1D05">
              <w:rPr>
                <w:color w:val="000000"/>
              </w:rPr>
              <w:t>Information Systems Acquisition; Development and Maintenance</w:t>
            </w:r>
          </w:p>
        </w:tc>
      </w:tr>
      <w:tr w:rsidR="00AD2554" w:rsidRPr="000F2520" w14:paraId="673DE4B1" w14:textId="77777777" w:rsidTr="00E9663B">
        <w:trPr>
          <w:trHeight w:val="480"/>
        </w:trPr>
        <w:tc>
          <w:tcPr>
            <w:tcW w:w="480" w:type="dxa"/>
            <w:noWrap/>
          </w:tcPr>
          <w:p w14:paraId="2C0E192D" w14:textId="77777777" w:rsidR="00AD2554" w:rsidRPr="008D1D05" w:rsidRDefault="00AD2554" w:rsidP="00E9663B">
            <w:pPr>
              <w:spacing w:before="60" w:after="60"/>
              <w:jc w:val="right"/>
              <w:rPr>
                <w:color w:val="000000"/>
              </w:rPr>
            </w:pPr>
            <w:r w:rsidRPr="008D1D05">
              <w:rPr>
                <w:color w:val="000000"/>
              </w:rPr>
              <w:t>11</w:t>
            </w:r>
          </w:p>
        </w:tc>
        <w:tc>
          <w:tcPr>
            <w:tcW w:w="2080" w:type="dxa"/>
            <w:noWrap/>
          </w:tcPr>
          <w:p w14:paraId="33E8AC37" w14:textId="77777777" w:rsidR="00AD2554" w:rsidRPr="008D1D05" w:rsidRDefault="00AD2554" w:rsidP="00E9663B">
            <w:pPr>
              <w:spacing w:before="60" w:after="60"/>
              <w:jc w:val="both"/>
              <w:rPr>
                <w:color w:val="000000"/>
              </w:rPr>
            </w:pPr>
            <w:r w:rsidRPr="008D1D05">
              <w:rPr>
                <w:color w:val="000000"/>
              </w:rPr>
              <w:t>Integrity</w:t>
            </w:r>
          </w:p>
        </w:tc>
        <w:tc>
          <w:tcPr>
            <w:tcW w:w="6238" w:type="dxa"/>
          </w:tcPr>
          <w:p w14:paraId="00237DCB" w14:textId="77777777" w:rsidR="00AD2554" w:rsidRPr="008D1D05" w:rsidRDefault="00AD2554" w:rsidP="00E9663B">
            <w:pPr>
              <w:spacing w:before="60" w:after="60"/>
              <w:rPr>
                <w:color w:val="000000"/>
              </w:rPr>
            </w:pPr>
            <w:r w:rsidRPr="008D1D05">
              <w:rPr>
                <w:color w:val="000000"/>
              </w:rPr>
              <w:t>Individual record data quality errors through data entry (transposition)</w:t>
            </w:r>
          </w:p>
        </w:tc>
        <w:tc>
          <w:tcPr>
            <w:tcW w:w="989" w:type="dxa"/>
            <w:noWrap/>
          </w:tcPr>
          <w:p w14:paraId="6C9D96FB" w14:textId="77777777" w:rsidR="00AD2554" w:rsidRPr="008D1D05" w:rsidRDefault="00AD2554" w:rsidP="00E9663B">
            <w:pPr>
              <w:spacing w:before="60" w:after="60"/>
              <w:jc w:val="both"/>
              <w:rPr>
                <w:color w:val="000000"/>
              </w:rPr>
            </w:pPr>
            <w:r w:rsidRPr="008D1D05">
              <w:rPr>
                <w:color w:val="000000"/>
              </w:rPr>
              <w:t>Possible</w:t>
            </w:r>
          </w:p>
        </w:tc>
        <w:tc>
          <w:tcPr>
            <w:tcW w:w="948" w:type="dxa"/>
            <w:noWrap/>
          </w:tcPr>
          <w:p w14:paraId="74B60AE6" w14:textId="77777777" w:rsidR="00AD2554" w:rsidRPr="008D1D05" w:rsidRDefault="00AD2554" w:rsidP="00E9663B">
            <w:pPr>
              <w:spacing w:before="60" w:after="60"/>
              <w:jc w:val="both"/>
              <w:rPr>
                <w:color w:val="000000"/>
              </w:rPr>
            </w:pPr>
            <w:r w:rsidRPr="008D1D05">
              <w:rPr>
                <w:color w:val="000000"/>
              </w:rPr>
              <w:t>Minor</w:t>
            </w:r>
          </w:p>
        </w:tc>
        <w:tc>
          <w:tcPr>
            <w:tcW w:w="834" w:type="dxa"/>
            <w:noWrap/>
          </w:tcPr>
          <w:p w14:paraId="06CD218E" w14:textId="77777777" w:rsidR="00AD2554" w:rsidRPr="008D1D05" w:rsidRDefault="00AD2554" w:rsidP="00E9663B">
            <w:pPr>
              <w:spacing w:before="60" w:after="60"/>
              <w:jc w:val="both"/>
              <w:rPr>
                <w:color w:val="000000"/>
              </w:rPr>
            </w:pPr>
            <w:r w:rsidRPr="008D1D05">
              <w:rPr>
                <w:color w:val="000000"/>
              </w:rPr>
              <w:t>Medium</w:t>
            </w:r>
          </w:p>
        </w:tc>
        <w:tc>
          <w:tcPr>
            <w:tcW w:w="2509" w:type="dxa"/>
          </w:tcPr>
          <w:p w14:paraId="068CEBC7" w14:textId="77777777" w:rsidR="00AD2554" w:rsidRPr="008D1D05" w:rsidRDefault="00AD2554" w:rsidP="00E9663B">
            <w:pPr>
              <w:spacing w:before="60" w:after="60"/>
              <w:rPr>
                <w:color w:val="000000"/>
              </w:rPr>
            </w:pPr>
            <w:r w:rsidRPr="008D1D05">
              <w:rPr>
                <w:color w:val="000000"/>
              </w:rPr>
              <w:t>Information Systems Acquisition, Development and Maintenance; HR Security</w:t>
            </w:r>
          </w:p>
        </w:tc>
      </w:tr>
      <w:tr w:rsidR="00AD2554" w:rsidRPr="000F2520" w14:paraId="66B696ED" w14:textId="77777777" w:rsidTr="00E9663B">
        <w:trPr>
          <w:trHeight w:val="480"/>
        </w:trPr>
        <w:tc>
          <w:tcPr>
            <w:tcW w:w="480" w:type="dxa"/>
            <w:noWrap/>
          </w:tcPr>
          <w:p w14:paraId="4C7B4B5E" w14:textId="77777777" w:rsidR="00AD2554" w:rsidRPr="008D1D05" w:rsidRDefault="00AD2554" w:rsidP="00E9663B">
            <w:pPr>
              <w:spacing w:before="60" w:after="60"/>
              <w:jc w:val="right"/>
              <w:rPr>
                <w:color w:val="000000"/>
              </w:rPr>
            </w:pPr>
            <w:r w:rsidRPr="008D1D05">
              <w:rPr>
                <w:color w:val="000000"/>
              </w:rPr>
              <w:t>12</w:t>
            </w:r>
          </w:p>
        </w:tc>
        <w:tc>
          <w:tcPr>
            <w:tcW w:w="2080" w:type="dxa"/>
            <w:noWrap/>
          </w:tcPr>
          <w:p w14:paraId="310732A9" w14:textId="77777777" w:rsidR="00AD2554" w:rsidRPr="008D1D05" w:rsidRDefault="00AD2554" w:rsidP="00E9663B">
            <w:pPr>
              <w:spacing w:before="60" w:after="60"/>
              <w:jc w:val="both"/>
              <w:rPr>
                <w:color w:val="000000"/>
              </w:rPr>
            </w:pPr>
            <w:r w:rsidRPr="008D1D05">
              <w:rPr>
                <w:color w:val="000000"/>
              </w:rPr>
              <w:t>Integrity</w:t>
            </w:r>
          </w:p>
        </w:tc>
        <w:tc>
          <w:tcPr>
            <w:tcW w:w="6238" w:type="dxa"/>
          </w:tcPr>
          <w:p w14:paraId="7C2F4B3E" w14:textId="77777777" w:rsidR="00AD2554" w:rsidRPr="008D1D05" w:rsidRDefault="00AD2554" w:rsidP="00E9663B">
            <w:pPr>
              <w:spacing w:before="60" w:after="60"/>
              <w:rPr>
                <w:color w:val="000000"/>
              </w:rPr>
            </w:pPr>
            <w:r w:rsidRPr="008D1D05">
              <w:rPr>
                <w:color w:val="000000"/>
              </w:rPr>
              <w:t xml:space="preserve">Malicious staff purposely change multiple records </w:t>
            </w:r>
          </w:p>
        </w:tc>
        <w:tc>
          <w:tcPr>
            <w:tcW w:w="989" w:type="dxa"/>
            <w:noWrap/>
          </w:tcPr>
          <w:p w14:paraId="3D667F29" w14:textId="77777777" w:rsidR="00AD2554" w:rsidRPr="008D1D05" w:rsidRDefault="00AD2554" w:rsidP="00E9663B">
            <w:pPr>
              <w:spacing w:before="60" w:after="60"/>
              <w:jc w:val="both"/>
              <w:rPr>
                <w:color w:val="000000"/>
              </w:rPr>
            </w:pPr>
            <w:r w:rsidRPr="008D1D05">
              <w:rPr>
                <w:color w:val="000000"/>
              </w:rPr>
              <w:t>Unlikely</w:t>
            </w:r>
          </w:p>
        </w:tc>
        <w:tc>
          <w:tcPr>
            <w:tcW w:w="948" w:type="dxa"/>
            <w:noWrap/>
          </w:tcPr>
          <w:p w14:paraId="202928A1" w14:textId="77777777" w:rsidR="00AD2554" w:rsidRPr="008D1D05" w:rsidRDefault="00AD2554" w:rsidP="00E9663B">
            <w:pPr>
              <w:spacing w:before="60" w:after="60"/>
              <w:jc w:val="both"/>
              <w:rPr>
                <w:color w:val="000000"/>
              </w:rPr>
            </w:pPr>
            <w:r w:rsidRPr="008D1D05">
              <w:rPr>
                <w:color w:val="000000"/>
              </w:rPr>
              <w:t>Major</w:t>
            </w:r>
          </w:p>
        </w:tc>
        <w:tc>
          <w:tcPr>
            <w:tcW w:w="834" w:type="dxa"/>
            <w:noWrap/>
          </w:tcPr>
          <w:p w14:paraId="66086F12" w14:textId="77777777" w:rsidR="00AD2554" w:rsidRPr="008D1D05" w:rsidRDefault="00AD2554" w:rsidP="00E9663B">
            <w:pPr>
              <w:spacing w:before="60" w:after="60"/>
              <w:jc w:val="both"/>
              <w:rPr>
                <w:color w:val="000000"/>
              </w:rPr>
            </w:pPr>
            <w:r w:rsidRPr="008D1D05">
              <w:rPr>
                <w:color w:val="000000"/>
              </w:rPr>
              <w:t>High</w:t>
            </w:r>
          </w:p>
        </w:tc>
        <w:tc>
          <w:tcPr>
            <w:tcW w:w="2509" w:type="dxa"/>
          </w:tcPr>
          <w:p w14:paraId="6C99E36C" w14:textId="77777777" w:rsidR="00AD2554" w:rsidRPr="008D1D05" w:rsidRDefault="00AD2554" w:rsidP="00E9663B">
            <w:pPr>
              <w:spacing w:before="60" w:after="60"/>
              <w:rPr>
                <w:color w:val="000000"/>
              </w:rPr>
            </w:pPr>
            <w:r w:rsidRPr="008D1D05">
              <w:rPr>
                <w:color w:val="000000"/>
              </w:rPr>
              <w:t xml:space="preserve">HR Security; Communications and Operations </w:t>
            </w:r>
            <w:r w:rsidRPr="008D1D05">
              <w:rPr>
                <w:color w:val="000000"/>
              </w:rPr>
              <w:lastRenderedPageBreak/>
              <w:t>Management; Access Control</w:t>
            </w:r>
          </w:p>
        </w:tc>
      </w:tr>
      <w:tr w:rsidR="00AD2554" w:rsidRPr="000F2520" w14:paraId="5D2A20B6" w14:textId="77777777" w:rsidTr="00E9663B">
        <w:trPr>
          <w:trHeight w:val="480"/>
        </w:trPr>
        <w:tc>
          <w:tcPr>
            <w:tcW w:w="480" w:type="dxa"/>
            <w:noWrap/>
          </w:tcPr>
          <w:p w14:paraId="05C8E322" w14:textId="77777777" w:rsidR="00AD2554" w:rsidRPr="008D1D05" w:rsidRDefault="00AD2554" w:rsidP="00E9663B">
            <w:pPr>
              <w:spacing w:before="60" w:after="60"/>
              <w:jc w:val="right"/>
              <w:rPr>
                <w:color w:val="000000"/>
              </w:rPr>
            </w:pPr>
            <w:r w:rsidRPr="008D1D05">
              <w:rPr>
                <w:color w:val="000000"/>
              </w:rPr>
              <w:lastRenderedPageBreak/>
              <w:t>13</w:t>
            </w:r>
          </w:p>
        </w:tc>
        <w:tc>
          <w:tcPr>
            <w:tcW w:w="2080" w:type="dxa"/>
            <w:noWrap/>
          </w:tcPr>
          <w:p w14:paraId="06BE4B73" w14:textId="77777777" w:rsidR="00AD2554" w:rsidRPr="008D1D05" w:rsidRDefault="00AD2554" w:rsidP="00E9663B">
            <w:pPr>
              <w:spacing w:before="60" w:after="60"/>
              <w:jc w:val="both"/>
              <w:rPr>
                <w:color w:val="000000"/>
              </w:rPr>
            </w:pPr>
            <w:r w:rsidRPr="008D1D05">
              <w:rPr>
                <w:color w:val="000000"/>
              </w:rPr>
              <w:t>Integrity</w:t>
            </w:r>
          </w:p>
        </w:tc>
        <w:tc>
          <w:tcPr>
            <w:tcW w:w="6238" w:type="dxa"/>
          </w:tcPr>
          <w:p w14:paraId="4D6121D1" w14:textId="77777777" w:rsidR="00AD2554" w:rsidRPr="008D1D05" w:rsidRDefault="00AD2554" w:rsidP="00E9663B">
            <w:pPr>
              <w:spacing w:before="60" w:after="60"/>
              <w:rPr>
                <w:color w:val="000000"/>
              </w:rPr>
            </w:pPr>
            <w:r w:rsidRPr="008D1D05">
              <w:rPr>
                <w:color w:val="000000"/>
              </w:rPr>
              <w:t>Untrained/unskilled staff accidentally change multiple records</w:t>
            </w:r>
          </w:p>
        </w:tc>
        <w:tc>
          <w:tcPr>
            <w:tcW w:w="989" w:type="dxa"/>
            <w:noWrap/>
          </w:tcPr>
          <w:p w14:paraId="225B1AC1" w14:textId="77777777" w:rsidR="00AD2554" w:rsidRPr="008D1D05" w:rsidRDefault="00AD2554" w:rsidP="00E9663B">
            <w:pPr>
              <w:spacing w:before="60" w:after="60"/>
              <w:jc w:val="both"/>
              <w:rPr>
                <w:color w:val="000000"/>
              </w:rPr>
            </w:pPr>
            <w:r w:rsidRPr="008D1D05">
              <w:rPr>
                <w:color w:val="000000"/>
              </w:rPr>
              <w:t>Unlikely</w:t>
            </w:r>
          </w:p>
        </w:tc>
        <w:tc>
          <w:tcPr>
            <w:tcW w:w="948" w:type="dxa"/>
            <w:noWrap/>
          </w:tcPr>
          <w:p w14:paraId="1C1E3110" w14:textId="77777777" w:rsidR="00AD2554" w:rsidRPr="008D1D05" w:rsidRDefault="00AD2554" w:rsidP="00E9663B">
            <w:pPr>
              <w:spacing w:before="60" w:after="60"/>
              <w:jc w:val="both"/>
              <w:rPr>
                <w:color w:val="000000"/>
              </w:rPr>
            </w:pPr>
            <w:r w:rsidRPr="008D1D05">
              <w:rPr>
                <w:color w:val="000000"/>
              </w:rPr>
              <w:t>Moderate</w:t>
            </w:r>
          </w:p>
        </w:tc>
        <w:tc>
          <w:tcPr>
            <w:tcW w:w="834" w:type="dxa"/>
            <w:noWrap/>
          </w:tcPr>
          <w:p w14:paraId="4D4CE936" w14:textId="77777777" w:rsidR="00AD2554" w:rsidRPr="008D1D05" w:rsidRDefault="00AD2554" w:rsidP="00E9663B">
            <w:pPr>
              <w:spacing w:before="60" w:after="60"/>
              <w:jc w:val="both"/>
              <w:rPr>
                <w:color w:val="000000"/>
              </w:rPr>
            </w:pPr>
            <w:r w:rsidRPr="008D1D05">
              <w:rPr>
                <w:color w:val="000000"/>
              </w:rPr>
              <w:t>Medium</w:t>
            </w:r>
          </w:p>
        </w:tc>
        <w:tc>
          <w:tcPr>
            <w:tcW w:w="2509" w:type="dxa"/>
          </w:tcPr>
          <w:p w14:paraId="1A9B9183" w14:textId="77777777" w:rsidR="00AD2554" w:rsidRPr="008D1D05" w:rsidRDefault="00AD2554" w:rsidP="00E9663B">
            <w:pPr>
              <w:spacing w:before="60" w:after="60"/>
              <w:rPr>
                <w:color w:val="000000"/>
              </w:rPr>
            </w:pPr>
            <w:r w:rsidRPr="008D1D05">
              <w:rPr>
                <w:color w:val="000000"/>
              </w:rPr>
              <w:t>HR Security; Access Control</w:t>
            </w:r>
          </w:p>
        </w:tc>
      </w:tr>
      <w:tr w:rsidR="00AD2554" w:rsidRPr="000F2520" w14:paraId="2A888C6E" w14:textId="77777777" w:rsidTr="00E9663B">
        <w:trPr>
          <w:trHeight w:val="480"/>
        </w:trPr>
        <w:tc>
          <w:tcPr>
            <w:tcW w:w="480" w:type="dxa"/>
            <w:noWrap/>
          </w:tcPr>
          <w:p w14:paraId="3435C2F4" w14:textId="77777777" w:rsidR="00AD2554" w:rsidRPr="008D1D05" w:rsidRDefault="00AD2554" w:rsidP="00E9663B">
            <w:pPr>
              <w:spacing w:before="60" w:after="60"/>
              <w:jc w:val="right"/>
              <w:rPr>
                <w:color w:val="000000"/>
              </w:rPr>
            </w:pPr>
            <w:r w:rsidRPr="008D1D05">
              <w:rPr>
                <w:color w:val="000000"/>
              </w:rPr>
              <w:t>14</w:t>
            </w:r>
          </w:p>
        </w:tc>
        <w:tc>
          <w:tcPr>
            <w:tcW w:w="2080" w:type="dxa"/>
            <w:noWrap/>
          </w:tcPr>
          <w:p w14:paraId="0D84E682" w14:textId="77777777" w:rsidR="00AD2554" w:rsidRPr="008D1D05" w:rsidRDefault="00AD2554" w:rsidP="00E9663B">
            <w:pPr>
              <w:spacing w:before="60" w:after="60"/>
              <w:jc w:val="both"/>
              <w:rPr>
                <w:color w:val="000000"/>
              </w:rPr>
            </w:pPr>
            <w:r w:rsidRPr="008D1D05">
              <w:rPr>
                <w:color w:val="000000"/>
              </w:rPr>
              <w:t>Integrity</w:t>
            </w:r>
          </w:p>
        </w:tc>
        <w:tc>
          <w:tcPr>
            <w:tcW w:w="6238" w:type="dxa"/>
          </w:tcPr>
          <w:p w14:paraId="3E8BB0DD" w14:textId="77777777" w:rsidR="00AD2554" w:rsidRPr="008D1D05" w:rsidRDefault="00AD2554" w:rsidP="00E9663B">
            <w:pPr>
              <w:spacing w:before="60" w:after="60"/>
              <w:rPr>
                <w:color w:val="000000"/>
              </w:rPr>
            </w:pPr>
            <w:r w:rsidRPr="008D1D05">
              <w:rPr>
                <w:color w:val="000000"/>
              </w:rPr>
              <w:t>Database errors due to environmental factors (e.g., Loss of power causes system failure which corrupts database)</w:t>
            </w:r>
          </w:p>
        </w:tc>
        <w:tc>
          <w:tcPr>
            <w:tcW w:w="989" w:type="dxa"/>
            <w:noWrap/>
          </w:tcPr>
          <w:p w14:paraId="100CEB80" w14:textId="77777777" w:rsidR="00AD2554" w:rsidRPr="008D1D05" w:rsidRDefault="00AD2554" w:rsidP="00E9663B">
            <w:pPr>
              <w:spacing w:before="60" w:after="60"/>
              <w:jc w:val="both"/>
              <w:rPr>
                <w:color w:val="000000"/>
              </w:rPr>
            </w:pPr>
            <w:r w:rsidRPr="008D1D05">
              <w:rPr>
                <w:color w:val="000000"/>
              </w:rPr>
              <w:t>Unlikely</w:t>
            </w:r>
          </w:p>
        </w:tc>
        <w:tc>
          <w:tcPr>
            <w:tcW w:w="948" w:type="dxa"/>
            <w:noWrap/>
          </w:tcPr>
          <w:p w14:paraId="5AB33F7A" w14:textId="77777777" w:rsidR="00AD2554" w:rsidRPr="008D1D05" w:rsidRDefault="00AD2554" w:rsidP="00E9663B">
            <w:pPr>
              <w:spacing w:before="60" w:after="60"/>
              <w:jc w:val="both"/>
              <w:rPr>
                <w:color w:val="000000"/>
              </w:rPr>
            </w:pPr>
            <w:r w:rsidRPr="008D1D05">
              <w:rPr>
                <w:color w:val="000000"/>
              </w:rPr>
              <w:t>Moderate</w:t>
            </w:r>
          </w:p>
        </w:tc>
        <w:tc>
          <w:tcPr>
            <w:tcW w:w="834" w:type="dxa"/>
            <w:noWrap/>
          </w:tcPr>
          <w:p w14:paraId="29970B15" w14:textId="77777777" w:rsidR="00AD2554" w:rsidRPr="008D1D05" w:rsidRDefault="00AD2554" w:rsidP="00E9663B">
            <w:pPr>
              <w:spacing w:before="60" w:after="60"/>
              <w:jc w:val="both"/>
              <w:rPr>
                <w:color w:val="000000"/>
              </w:rPr>
            </w:pPr>
            <w:r w:rsidRPr="008D1D05">
              <w:rPr>
                <w:color w:val="000000"/>
              </w:rPr>
              <w:t>Medium</w:t>
            </w:r>
          </w:p>
        </w:tc>
        <w:tc>
          <w:tcPr>
            <w:tcW w:w="2509" w:type="dxa"/>
          </w:tcPr>
          <w:p w14:paraId="2290DD5A" w14:textId="77777777" w:rsidR="00AD2554" w:rsidRPr="008D1D05" w:rsidRDefault="00AD2554" w:rsidP="00E9663B">
            <w:pPr>
              <w:spacing w:before="60" w:after="60"/>
              <w:rPr>
                <w:color w:val="000000"/>
              </w:rPr>
            </w:pPr>
            <w:r w:rsidRPr="008D1D05">
              <w:rPr>
                <w:color w:val="000000"/>
              </w:rPr>
              <w:t>Business Continuity Management; Physical Security</w:t>
            </w:r>
          </w:p>
        </w:tc>
      </w:tr>
      <w:tr w:rsidR="00AD2554" w:rsidRPr="000F2520" w14:paraId="444BA282" w14:textId="77777777" w:rsidTr="00E9663B">
        <w:trPr>
          <w:trHeight w:val="480"/>
        </w:trPr>
        <w:tc>
          <w:tcPr>
            <w:tcW w:w="480" w:type="dxa"/>
            <w:noWrap/>
          </w:tcPr>
          <w:p w14:paraId="53801D6B" w14:textId="77777777" w:rsidR="00AD2554" w:rsidRPr="008D1D05" w:rsidRDefault="00AD2554" w:rsidP="00E9663B">
            <w:pPr>
              <w:spacing w:before="60" w:after="60"/>
              <w:jc w:val="right"/>
              <w:rPr>
                <w:color w:val="000000"/>
              </w:rPr>
            </w:pPr>
            <w:r w:rsidRPr="008D1D05">
              <w:rPr>
                <w:color w:val="000000"/>
              </w:rPr>
              <w:t>15</w:t>
            </w:r>
          </w:p>
        </w:tc>
        <w:tc>
          <w:tcPr>
            <w:tcW w:w="2080" w:type="dxa"/>
            <w:noWrap/>
          </w:tcPr>
          <w:p w14:paraId="74F57A51" w14:textId="77777777" w:rsidR="00AD2554" w:rsidRPr="008D1D05" w:rsidRDefault="00AD2554" w:rsidP="00E9663B">
            <w:pPr>
              <w:spacing w:before="60" w:after="60"/>
              <w:jc w:val="both"/>
              <w:rPr>
                <w:color w:val="000000"/>
              </w:rPr>
            </w:pPr>
            <w:r w:rsidRPr="008D1D05">
              <w:rPr>
                <w:color w:val="000000"/>
              </w:rPr>
              <w:t>Integrity</w:t>
            </w:r>
          </w:p>
        </w:tc>
        <w:tc>
          <w:tcPr>
            <w:tcW w:w="6238" w:type="dxa"/>
          </w:tcPr>
          <w:p w14:paraId="08627D93" w14:textId="77777777" w:rsidR="00AD2554" w:rsidRPr="008D1D05" w:rsidRDefault="00AD2554" w:rsidP="00E9663B">
            <w:pPr>
              <w:spacing w:before="60" w:after="60"/>
              <w:rPr>
                <w:color w:val="000000"/>
              </w:rPr>
            </w:pPr>
            <w:r w:rsidRPr="008D1D05">
              <w:rPr>
                <w:color w:val="000000"/>
              </w:rPr>
              <w:t xml:space="preserve">Message received or sent from unauthorised party </w:t>
            </w:r>
          </w:p>
        </w:tc>
        <w:tc>
          <w:tcPr>
            <w:tcW w:w="989" w:type="dxa"/>
            <w:noWrap/>
          </w:tcPr>
          <w:p w14:paraId="45782587" w14:textId="77777777" w:rsidR="00AD2554" w:rsidRPr="008D1D05" w:rsidRDefault="00AD2554" w:rsidP="00E9663B">
            <w:pPr>
              <w:spacing w:before="60" w:after="60"/>
              <w:jc w:val="both"/>
              <w:rPr>
                <w:color w:val="000000"/>
              </w:rPr>
            </w:pPr>
            <w:r w:rsidRPr="008D1D05">
              <w:rPr>
                <w:color w:val="000000"/>
              </w:rPr>
              <w:t>Unlikely</w:t>
            </w:r>
          </w:p>
        </w:tc>
        <w:tc>
          <w:tcPr>
            <w:tcW w:w="948" w:type="dxa"/>
            <w:noWrap/>
          </w:tcPr>
          <w:p w14:paraId="2D447D91" w14:textId="77777777" w:rsidR="00AD2554" w:rsidRPr="008D1D05" w:rsidRDefault="00AD2554" w:rsidP="00E9663B">
            <w:pPr>
              <w:spacing w:before="60" w:after="60"/>
              <w:jc w:val="both"/>
              <w:rPr>
                <w:color w:val="000000"/>
              </w:rPr>
            </w:pPr>
            <w:r w:rsidRPr="008D1D05">
              <w:rPr>
                <w:color w:val="000000"/>
              </w:rPr>
              <w:t>Moderate</w:t>
            </w:r>
          </w:p>
        </w:tc>
        <w:tc>
          <w:tcPr>
            <w:tcW w:w="834" w:type="dxa"/>
            <w:noWrap/>
          </w:tcPr>
          <w:p w14:paraId="3791EF21" w14:textId="77777777" w:rsidR="00AD2554" w:rsidRPr="008D1D05" w:rsidRDefault="00AD2554" w:rsidP="00E9663B">
            <w:pPr>
              <w:spacing w:before="60" w:after="60"/>
              <w:jc w:val="both"/>
              <w:rPr>
                <w:color w:val="000000"/>
              </w:rPr>
            </w:pPr>
            <w:r w:rsidRPr="008D1D05">
              <w:rPr>
                <w:color w:val="000000"/>
              </w:rPr>
              <w:t>Medium</w:t>
            </w:r>
          </w:p>
        </w:tc>
        <w:tc>
          <w:tcPr>
            <w:tcW w:w="2509" w:type="dxa"/>
          </w:tcPr>
          <w:p w14:paraId="748F9B74" w14:textId="77777777" w:rsidR="00AD2554" w:rsidRPr="008D1D05" w:rsidRDefault="00AD2554" w:rsidP="00E9663B">
            <w:pPr>
              <w:spacing w:before="60" w:after="60"/>
              <w:rPr>
                <w:color w:val="000000"/>
              </w:rPr>
            </w:pPr>
            <w:r w:rsidRPr="008D1D05">
              <w:rPr>
                <w:color w:val="000000"/>
              </w:rPr>
              <w:t>Access Control; Communications and Operations Management</w:t>
            </w:r>
          </w:p>
        </w:tc>
      </w:tr>
      <w:tr w:rsidR="00AD2554" w:rsidRPr="000F2520" w14:paraId="08AE1E21" w14:textId="77777777" w:rsidTr="00E9663B">
        <w:trPr>
          <w:trHeight w:val="480"/>
        </w:trPr>
        <w:tc>
          <w:tcPr>
            <w:tcW w:w="480" w:type="dxa"/>
            <w:noWrap/>
          </w:tcPr>
          <w:p w14:paraId="24A62853" w14:textId="77777777" w:rsidR="00AD2554" w:rsidRPr="008D1D05" w:rsidRDefault="00AD2554" w:rsidP="00E9663B">
            <w:pPr>
              <w:spacing w:before="60" w:after="60"/>
              <w:jc w:val="right"/>
              <w:rPr>
                <w:color w:val="000000"/>
              </w:rPr>
            </w:pPr>
            <w:r w:rsidRPr="008D1D05">
              <w:rPr>
                <w:color w:val="000000"/>
              </w:rPr>
              <w:t>16</w:t>
            </w:r>
          </w:p>
        </w:tc>
        <w:tc>
          <w:tcPr>
            <w:tcW w:w="2080" w:type="dxa"/>
            <w:noWrap/>
          </w:tcPr>
          <w:p w14:paraId="1565BC7D" w14:textId="77777777" w:rsidR="00AD2554" w:rsidRPr="008D1D05" w:rsidRDefault="00AD2554" w:rsidP="00E9663B">
            <w:pPr>
              <w:spacing w:before="60" w:after="60"/>
              <w:jc w:val="both"/>
              <w:rPr>
                <w:color w:val="000000"/>
              </w:rPr>
            </w:pPr>
            <w:r w:rsidRPr="008D1D05">
              <w:rPr>
                <w:color w:val="000000"/>
              </w:rPr>
              <w:t>Integrity/Availability</w:t>
            </w:r>
          </w:p>
        </w:tc>
        <w:tc>
          <w:tcPr>
            <w:tcW w:w="6238" w:type="dxa"/>
          </w:tcPr>
          <w:p w14:paraId="7AFCD40F" w14:textId="77777777" w:rsidR="00AD2554" w:rsidRPr="008D1D05" w:rsidRDefault="00AD2554" w:rsidP="00E9663B">
            <w:pPr>
              <w:spacing w:before="60" w:after="60"/>
              <w:rPr>
                <w:color w:val="000000"/>
              </w:rPr>
            </w:pPr>
            <w:r w:rsidRPr="008D1D05">
              <w:rPr>
                <w:color w:val="000000"/>
              </w:rPr>
              <w:t>Malware/viruses resulting in loss of availability/integrity of multiple records</w:t>
            </w:r>
          </w:p>
        </w:tc>
        <w:tc>
          <w:tcPr>
            <w:tcW w:w="989" w:type="dxa"/>
            <w:noWrap/>
          </w:tcPr>
          <w:p w14:paraId="50603CAF" w14:textId="77777777" w:rsidR="00AD2554" w:rsidRPr="008D1D05" w:rsidRDefault="00AD2554" w:rsidP="00E9663B">
            <w:pPr>
              <w:spacing w:before="60" w:after="60"/>
              <w:jc w:val="both"/>
              <w:rPr>
                <w:color w:val="000000"/>
              </w:rPr>
            </w:pPr>
            <w:r w:rsidRPr="008D1D05">
              <w:rPr>
                <w:color w:val="000000"/>
              </w:rPr>
              <w:t>Unlikely</w:t>
            </w:r>
          </w:p>
        </w:tc>
        <w:tc>
          <w:tcPr>
            <w:tcW w:w="948" w:type="dxa"/>
            <w:noWrap/>
          </w:tcPr>
          <w:p w14:paraId="1704DB85" w14:textId="77777777" w:rsidR="00AD2554" w:rsidRPr="008D1D05" w:rsidRDefault="00AD2554" w:rsidP="00E9663B">
            <w:pPr>
              <w:spacing w:before="60" w:after="60"/>
              <w:jc w:val="both"/>
              <w:rPr>
                <w:color w:val="000000"/>
              </w:rPr>
            </w:pPr>
            <w:r w:rsidRPr="008D1D05">
              <w:rPr>
                <w:color w:val="000000"/>
              </w:rPr>
              <w:t>Major</w:t>
            </w:r>
          </w:p>
        </w:tc>
        <w:tc>
          <w:tcPr>
            <w:tcW w:w="834" w:type="dxa"/>
            <w:noWrap/>
          </w:tcPr>
          <w:p w14:paraId="30663DE8" w14:textId="77777777" w:rsidR="00AD2554" w:rsidRPr="008D1D05" w:rsidRDefault="00AD2554" w:rsidP="00E9663B">
            <w:pPr>
              <w:spacing w:before="60" w:after="60"/>
              <w:jc w:val="both"/>
              <w:rPr>
                <w:color w:val="000000"/>
              </w:rPr>
            </w:pPr>
            <w:r w:rsidRPr="008D1D05">
              <w:rPr>
                <w:color w:val="000000"/>
              </w:rPr>
              <w:t>High</w:t>
            </w:r>
          </w:p>
        </w:tc>
        <w:tc>
          <w:tcPr>
            <w:tcW w:w="2509" w:type="dxa"/>
          </w:tcPr>
          <w:p w14:paraId="5D61B6C9" w14:textId="77777777" w:rsidR="00AD2554" w:rsidRPr="008D1D05" w:rsidRDefault="00AD2554" w:rsidP="00E9663B">
            <w:pPr>
              <w:spacing w:before="60" w:after="60"/>
              <w:rPr>
                <w:color w:val="000000"/>
              </w:rPr>
            </w:pPr>
            <w:r w:rsidRPr="008D1D05">
              <w:rPr>
                <w:color w:val="000000"/>
              </w:rPr>
              <w:t>Communications and Operations Management; Incident Management</w:t>
            </w:r>
          </w:p>
        </w:tc>
      </w:tr>
      <w:tr w:rsidR="00AD2554" w:rsidRPr="000F2520" w14:paraId="187FD72D" w14:textId="77777777" w:rsidTr="00E9663B">
        <w:trPr>
          <w:trHeight w:val="720"/>
        </w:trPr>
        <w:tc>
          <w:tcPr>
            <w:tcW w:w="480" w:type="dxa"/>
            <w:noWrap/>
          </w:tcPr>
          <w:p w14:paraId="1AC69B0D" w14:textId="77777777" w:rsidR="00AD2554" w:rsidRPr="008D1D05" w:rsidRDefault="00AD2554" w:rsidP="00E9663B">
            <w:pPr>
              <w:spacing w:before="60" w:after="60"/>
              <w:jc w:val="right"/>
              <w:rPr>
                <w:color w:val="000000"/>
              </w:rPr>
            </w:pPr>
            <w:r w:rsidRPr="008D1D05">
              <w:rPr>
                <w:color w:val="000000"/>
              </w:rPr>
              <w:t>17</w:t>
            </w:r>
          </w:p>
        </w:tc>
        <w:tc>
          <w:tcPr>
            <w:tcW w:w="2080" w:type="dxa"/>
            <w:noWrap/>
          </w:tcPr>
          <w:p w14:paraId="50370B00" w14:textId="77777777" w:rsidR="00AD2554" w:rsidRPr="008D1D05" w:rsidRDefault="00AD2554" w:rsidP="00E9663B">
            <w:pPr>
              <w:spacing w:before="60" w:after="60"/>
              <w:jc w:val="both"/>
              <w:rPr>
                <w:color w:val="000000"/>
              </w:rPr>
            </w:pPr>
            <w:r w:rsidRPr="008D1D05">
              <w:rPr>
                <w:color w:val="000000"/>
              </w:rPr>
              <w:t>Integrity</w:t>
            </w:r>
          </w:p>
        </w:tc>
        <w:tc>
          <w:tcPr>
            <w:tcW w:w="6238" w:type="dxa"/>
          </w:tcPr>
          <w:p w14:paraId="6AADF190" w14:textId="77777777" w:rsidR="00AD2554" w:rsidRPr="008D1D05" w:rsidRDefault="00AD2554" w:rsidP="00E9663B">
            <w:pPr>
              <w:spacing w:before="60" w:after="60"/>
              <w:rPr>
                <w:color w:val="000000"/>
              </w:rPr>
            </w:pPr>
            <w:r w:rsidRPr="008D1D05">
              <w:rPr>
                <w:color w:val="000000"/>
              </w:rPr>
              <w:t>Incompatibility between data and metadata/reference tables - get out of sync over time - backwards incompatibility causing loss of integrity of many records</w:t>
            </w:r>
          </w:p>
        </w:tc>
        <w:tc>
          <w:tcPr>
            <w:tcW w:w="989" w:type="dxa"/>
            <w:noWrap/>
          </w:tcPr>
          <w:p w14:paraId="2E19171A" w14:textId="77777777" w:rsidR="00AD2554" w:rsidRPr="008D1D05" w:rsidRDefault="00AD2554" w:rsidP="00E9663B">
            <w:pPr>
              <w:spacing w:before="60" w:after="60"/>
              <w:jc w:val="both"/>
              <w:rPr>
                <w:color w:val="000000"/>
              </w:rPr>
            </w:pPr>
            <w:r w:rsidRPr="008D1D05">
              <w:rPr>
                <w:color w:val="000000"/>
              </w:rPr>
              <w:t>Unlikely</w:t>
            </w:r>
          </w:p>
        </w:tc>
        <w:tc>
          <w:tcPr>
            <w:tcW w:w="948" w:type="dxa"/>
            <w:noWrap/>
          </w:tcPr>
          <w:p w14:paraId="1398089B" w14:textId="77777777" w:rsidR="00AD2554" w:rsidRPr="008D1D05" w:rsidRDefault="00AD2554" w:rsidP="00E9663B">
            <w:pPr>
              <w:spacing w:before="60" w:after="60"/>
              <w:jc w:val="both"/>
              <w:rPr>
                <w:color w:val="000000"/>
              </w:rPr>
            </w:pPr>
            <w:r w:rsidRPr="008D1D05">
              <w:rPr>
                <w:color w:val="000000"/>
              </w:rPr>
              <w:t>Moderate</w:t>
            </w:r>
          </w:p>
        </w:tc>
        <w:tc>
          <w:tcPr>
            <w:tcW w:w="834" w:type="dxa"/>
            <w:noWrap/>
          </w:tcPr>
          <w:p w14:paraId="4A8ED2B6" w14:textId="77777777" w:rsidR="00AD2554" w:rsidRPr="008D1D05" w:rsidRDefault="00AD2554" w:rsidP="00E9663B">
            <w:pPr>
              <w:spacing w:before="60" w:after="60"/>
              <w:jc w:val="both"/>
              <w:rPr>
                <w:color w:val="000000"/>
              </w:rPr>
            </w:pPr>
            <w:r w:rsidRPr="008D1D05">
              <w:rPr>
                <w:color w:val="000000"/>
              </w:rPr>
              <w:t>Medium</w:t>
            </w:r>
          </w:p>
        </w:tc>
        <w:tc>
          <w:tcPr>
            <w:tcW w:w="2509" w:type="dxa"/>
          </w:tcPr>
          <w:p w14:paraId="643676FE" w14:textId="77777777" w:rsidR="00AD2554" w:rsidRPr="008D1D05" w:rsidRDefault="00AD2554" w:rsidP="00E9663B">
            <w:pPr>
              <w:spacing w:before="60" w:after="60"/>
              <w:rPr>
                <w:color w:val="000000"/>
              </w:rPr>
            </w:pPr>
            <w:r w:rsidRPr="008D1D05">
              <w:rPr>
                <w:color w:val="000000"/>
              </w:rPr>
              <w:t>Information Systems Acquisition, Development and Maintenance</w:t>
            </w:r>
          </w:p>
        </w:tc>
      </w:tr>
      <w:tr w:rsidR="00AD2554" w:rsidRPr="000F2520" w14:paraId="6E1209D6" w14:textId="77777777" w:rsidTr="00E9663B">
        <w:trPr>
          <w:trHeight w:val="480"/>
        </w:trPr>
        <w:tc>
          <w:tcPr>
            <w:tcW w:w="480" w:type="dxa"/>
            <w:noWrap/>
          </w:tcPr>
          <w:p w14:paraId="7B6E9836" w14:textId="77777777" w:rsidR="00AD2554" w:rsidRPr="008D1D05" w:rsidRDefault="00AD2554" w:rsidP="00E9663B">
            <w:pPr>
              <w:spacing w:before="60" w:after="60"/>
              <w:jc w:val="right"/>
              <w:rPr>
                <w:color w:val="000000"/>
              </w:rPr>
            </w:pPr>
            <w:r w:rsidRPr="008D1D05">
              <w:rPr>
                <w:color w:val="000000"/>
              </w:rPr>
              <w:t>18</w:t>
            </w:r>
          </w:p>
        </w:tc>
        <w:tc>
          <w:tcPr>
            <w:tcW w:w="2080" w:type="dxa"/>
            <w:noWrap/>
          </w:tcPr>
          <w:p w14:paraId="5CD238AA" w14:textId="77777777" w:rsidR="00AD2554" w:rsidRPr="008D1D05" w:rsidRDefault="00AD2554" w:rsidP="00E9663B">
            <w:pPr>
              <w:spacing w:before="60" w:after="60"/>
              <w:jc w:val="both"/>
              <w:rPr>
                <w:color w:val="000000"/>
              </w:rPr>
            </w:pPr>
            <w:r w:rsidRPr="008D1D05">
              <w:rPr>
                <w:color w:val="000000"/>
              </w:rPr>
              <w:t>Integrity</w:t>
            </w:r>
          </w:p>
        </w:tc>
        <w:tc>
          <w:tcPr>
            <w:tcW w:w="6238" w:type="dxa"/>
          </w:tcPr>
          <w:p w14:paraId="07D4C514" w14:textId="77777777" w:rsidR="00AD2554" w:rsidRPr="008D1D05" w:rsidRDefault="00AD2554" w:rsidP="00E9663B">
            <w:pPr>
              <w:spacing w:before="60" w:after="60"/>
              <w:rPr>
                <w:color w:val="000000"/>
              </w:rPr>
            </w:pPr>
            <w:r w:rsidRPr="008D1D05">
              <w:rPr>
                <w:color w:val="000000"/>
              </w:rPr>
              <w:t>Application errors - e.g., Store dates in US format led to multiple records becoming corrupt</w:t>
            </w:r>
          </w:p>
        </w:tc>
        <w:tc>
          <w:tcPr>
            <w:tcW w:w="989" w:type="dxa"/>
            <w:noWrap/>
          </w:tcPr>
          <w:p w14:paraId="08993249" w14:textId="77777777" w:rsidR="00AD2554" w:rsidRPr="008D1D05" w:rsidRDefault="00AD2554" w:rsidP="00E9663B">
            <w:pPr>
              <w:spacing w:before="60" w:after="60"/>
              <w:jc w:val="both"/>
              <w:rPr>
                <w:color w:val="000000"/>
              </w:rPr>
            </w:pPr>
            <w:r w:rsidRPr="008D1D05">
              <w:rPr>
                <w:color w:val="000000"/>
              </w:rPr>
              <w:t>Unlikely</w:t>
            </w:r>
          </w:p>
        </w:tc>
        <w:tc>
          <w:tcPr>
            <w:tcW w:w="948" w:type="dxa"/>
            <w:noWrap/>
          </w:tcPr>
          <w:p w14:paraId="782ADFD3" w14:textId="77777777" w:rsidR="00AD2554" w:rsidRPr="008D1D05" w:rsidRDefault="00AD2554" w:rsidP="00E9663B">
            <w:pPr>
              <w:spacing w:before="60" w:after="60"/>
              <w:jc w:val="both"/>
              <w:rPr>
                <w:color w:val="000000"/>
              </w:rPr>
            </w:pPr>
            <w:r w:rsidRPr="008D1D05">
              <w:rPr>
                <w:color w:val="000000"/>
              </w:rPr>
              <w:t>Moderate</w:t>
            </w:r>
          </w:p>
        </w:tc>
        <w:tc>
          <w:tcPr>
            <w:tcW w:w="834" w:type="dxa"/>
            <w:noWrap/>
          </w:tcPr>
          <w:p w14:paraId="1FD9A288" w14:textId="77777777" w:rsidR="00AD2554" w:rsidRPr="008D1D05" w:rsidRDefault="00AD2554" w:rsidP="00E9663B">
            <w:pPr>
              <w:spacing w:before="60" w:after="60"/>
              <w:jc w:val="both"/>
              <w:rPr>
                <w:color w:val="000000"/>
              </w:rPr>
            </w:pPr>
            <w:r w:rsidRPr="008D1D05">
              <w:rPr>
                <w:color w:val="000000"/>
              </w:rPr>
              <w:t>Medium</w:t>
            </w:r>
          </w:p>
        </w:tc>
        <w:tc>
          <w:tcPr>
            <w:tcW w:w="2509" w:type="dxa"/>
          </w:tcPr>
          <w:p w14:paraId="7B3CFF10" w14:textId="77777777" w:rsidR="00AD2554" w:rsidRPr="008D1D05" w:rsidRDefault="00AD2554" w:rsidP="00E9663B">
            <w:pPr>
              <w:spacing w:before="60" w:after="60"/>
              <w:rPr>
                <w:color w:val="000000"/>
              </w:rPr>
            </w:pPr>
            <w:r w:rsidRPr="008D1D05">
              <w:rPr>
                <w:color w:val="000000"/>
              </w:rPr>
              <w:t>Information Systems Acquisition, Development and Maintenance</w:t>
            </w:r>
          </w:p>
        </w:tc>
      </w:tr>
      <w:tr w:rsidR="00AD2554" w:rsidRPr="000F2520" w14:paraId="1A93C9B8" w14:textId="77777777" w:rsidTr="00E9663B">
        <w:trPr>
          <w:trHeight w:val="480"/>
        </w:trPr>
        <w:tc>
          <w:tcPr>
            <w:tcW w:w="480" w:type="dxa"/>
            <w:noWrap/>
          </w:tcPr>
          <w:p w14:paraId="45104EDA" w14:textId="77777777" w:rsidR="00AD2554" w:rsidRPr="008D1D05" w:rsidRDefault="00AD2554" w:rsidP="00E9663B">
            <w:pPr>
              <w:spacing w:before="60" w:after="60"/>
              <w:jc w:val="right"/>
              <w:rPr>
                <w:color w:val="000000"/>
              </w:rPr>
            </w:pPr>
            <w:r w:rsidRPr="008D1D05">
              <w:rPr>
                <w:color w:val="000000"/>
              </w:rPr>
              <w:lastRenderedPageBreak/>
              <w:t>19</w:t>
            </w:r>
          </w:p>
        </w:tc>
        <w:tc>
          <w:tcPr>
            <w:tcW w:w="2080" w:type="dxa"/>
            <w:noWrap/>
          </w:tcPr>
          <w:p w14:paraId="1DADE1A1" w14:textId="77777777" w:rsidR="00AD2554" w:rsidRPr="008D1D05" w:rsidRDefault="00AD2554" w:rsidP="00E9663B">
            <w:pPr>
              <w:spacing w:before="60" w:after="60"/>
              <w:jc w:val="both"/>
              <w:rPr>
                <w:color w:val="000000"/>
              </w:rPr>
            </w:pPr>
            <w:r w:rsidRPr="008D1D05">
              <w:rPr>
                <w:color w:val="000000"/>
              </w:rPr>
              <w:t>Availability</w:t>
            </w:r>
          </w:p>
        </w:tc>
        <w:tc>
          <w:tcPr>
            <w:tcW w:w="6238" w:type="dxa"/>
          </w:tcPr>
          <w:p w14:paraId="32B5AE90" w14:textId="77777777" w:rsidR="00AD2554" w:rsidRPr="008D1D05" w:rsidRDefault="00AD2554" w:rsidP="00E9663B">
            <w:pPr>
              <w:spacing w:before="60" w:after="60"/>
              <w:rPr>
                <w:color w:val="000000"/>
              </w:rPr>
            </w:pPr>
            <w:r w:rsidRPr="008D1D05">
              <w:rPr>
                <w:color w:val="000000"/>
              </w:rPr>
              <w:t>Power or other environmental issues lead to CQR becoming unavailable for more than a day</w:t>
            </w:r>
          </w:p>
        </w:tc>
        <w:tc>
          <w:tcPr>
            <w:tcW w:w="989" w:type="dxa"/>
            <w:noWrap/>
          </w:tcPr>
          <w:p w14:paraId="7EF69251" w14:textId="77777777" w:rsidR="00AD2554" w:rsidRPr="008D1D05" w:rsidRDefault="00AD2554" w:rsidP="00E9663B">
            <w:pPr>
              <w:spacing w:before="60" w:after="60"/>
              <w:jc w:val="both"/>
              <w:rPr>
                <w:color w:val="000000"/>
              </w:rPr>
            </w:pPr>
            <w:r w:rsidRPr="008D1D05">
              <w:rPr>
                <w:color w:val="000000"/>
              </w:rPr>
              <w:t>Unlikely</w:t>
            </w:r>
          </w:p>
        </w:tc>
        <w:tc>
          <w:tcPr>
            <w:tcW w:w="948" w:type="dxa"/>
            <w:noWrap/>
          </w:tcPr>
          <w:p w14:paraId="54581C9E" w14:textId="77777777" w:rsidR="00AD2554" w:rsidRPr="008D1D05" w:rsidRDefault="00AD2554" w:rsidP="00E9663B">
            <w:pPr>
              <w:spacing w:before="60" w:after="60"/>
              <w:jc w:val="both"/>
              <w:rPr>
                <w:color w:val="000000"/>
              </w:rPr>
            </w:pPr>
            <w:r w:rsidRPr="008D1D05">
              <w:rPr>
                <w:color w:val="000000"/>
              </w:rPr>
              <w:t>Moderate</w:t>
            </w:r>
          </w:p>
        </w:tc>
        <w:tc>
          <w:tcPr>
            <w:tcW w:w="834" w:type="dxa"/>
            <w:noWrap/>
          </w:tcPr>
          <w:p w14:paraId="534EC884" w14:textId="77777777" w:rsidR="00AD2554" w:rsidRPr="008D1D05" w:rsidRDefault="00AD2554" w:rsidP="00E9663B">
            <w:pPr>
              <w:spacing w:before="60" w:after="60"/>
              <w:jc w:val="both"/>
              <w:rPr>
                <w:color w:val="000000"/>
              </w:rPr>
            </w:pPr>
            <w:r w:rsidRPr="008D1D05">
              <w:rPr>
                <w:color w:val="000000"/>
              </w:rPr>
              <w:t>Medium</w:t>
            </w:r>
          </w:p>
        </w:tc>
        <w:tc>
          <w:tcPr>
            <w:tcW w:w="2509" w:type="dxa"/>
          </w:tcPr>
          <w:p w14:paraId="106F581B" w14:textId="77777777" w:rsidR="00AD2554" w:rsidRPr="008D1D05" w:rsidRDefault="00AD2554" w:rsidP="00E9663B">
            <w:pPr>
              <w:spacing w:before="60" w:after="60"/>
              <w:rPr>
                <w:color w:val="000000"/>
              </w:rPr>
            </w:pPr>
            <w:r w:rsidRPr="008D1D05">
              <w:rPr>
                <w:color w:val="000000"/>
              </w:rPr>
              <w:t>Business Continuity Management; Physical Security</w:t>
            </w:r>
          </w:p>
        </w:tc>
      </w:tr>
      <w:tr w:rsidR="00AD2554" w:rsidRPr="000F2520" w14:paraId="403C73C0" w14:textId="77777777" w:rsidTr="00E9663B">
        <w:trPr>
          <w:trHeight w:val="480"/>
        </w:trPr>
        <w:tc>
          <w:tcPr>
            <w:tcW w:w="480" w:type="dxa"/>
            <w:noWrap/>
          </w:tcPr>
          <w:p w14:paraId="32AE5D61" w14:textId="77777777" w:rsidR="00AD2554" w:rsidRPr="008D1D05" w:rsidRDefault="00AD2554" w:rsidP="00E9663B">
            <w:pPr>
              <w:spacing w:before="60" w:after="60"/>
              <w:jc w:val="right"/>
              <w:rPr>
                <w:color w:val="000000"/>
              </w:rPr>
            </w:pPr>
            <w:r w:rsidRPr="008D1D05">
              <w:rPr>
                <w:color w:val="000000"/>
              </w:rPr>
              <w:t>20</w:t>
            </w:r>
          </w:p>
        </w:tc>
        <w:tc>
          <w:tcPr>
            <w:tcW w:w="2080" w:type="dxa"/>
            <w:noWrap/>
          </w:tcPr>
          <w:p w14:paraId="66411B4B" w14:textId="77777777" w:rsidR="00AD2554" w:rsidRPr="008D1D05" w:rsidRDefault="00AD2554" w:rsidP="00E9663B">
            <w:pPr>
              <w:spacing w:before="60" w:after="60"/>
              <w:jc w:val="both"/>
              <w:rPr>
                <w:color w:val="000000"/>
              </w:rPr>
            </w:pPr>
            <w:r w:rsidRPr="008D1D05">
              <w:rPr>
                <w:color w:val="000000"/>
              </w:rPr>
              <w:t>Availability</w:t>
            </w:r>
          </w:p>
        </w:tc>
        <w:tc>
          <w:tcPr>
            <w:tcW w:w="6238" w:type="dxa"/>
          </w:tcPr>
          <w:p w14:paraId="6AC0E9E7" w14:textId="77777777" w:rsidR="00AD2554" w:rsidRPr="008D1D05" w:rsidRDefault="00AD2554" w:rsidP="00E9663B">
            <w:pPr>
              <w:spacing w:before="60" w:after="60"/>
              <w:rPr>
                <w:color w:val="000000"/>
              </w:rPr>
            </w:pPr>
            <w:r w:rsidRPr="008D1D05">
              <w:rPr>
                <w:color w:val="000000"/>
              </w:rPr>
              <w:t>Denial of service attacks through external services (malicious or accidental)</w:t>
            </w:r>
          </w:p>
        </w:tc>
        <w:tc>
          <w:tcPr>
            <w:tcW w:w="989" w:type="dxa"/>
            <w:noWrap/>
          </w:tcPr>
          <w:p w14:paraId="05DA4513" w14:textId="77777777" w:rsidR="00AD2554" w:rsidRPr="008D1D05" w:rsidRDefault="00AD2554" w:rsidP="00E9663B">
            <w:pPr>
              <w:spacing w:before="60" w:after="60"/>
              <w:jc w:val="both"/>
              <w:rPr>
                <w:color w:val="000000"/>
              </w:rPr>
            </w:pPr>
            <w:r w:rsidRPr="008D1D05">
              <w:rPr>
                <w:color w:val="000000"/>
              </w:rPr>
              <w:t>Unlikely</w:t>
            </w:r>
          </w:p>
        </w:tc>
        <w:tc>
          <w:tcPr>
            <w:tcW w:w="948" w:type="dxa"/>
            <w:noWrap/>
          </w:tcPr>
          <w:p w14:paraId="21988A93" w14:textId="77777777" w:rsidR="00AD2554" w:rsidRPr="008D1D05" w:rsidRDefault="00AD2554" w:rsidP="00E9663B">
            <w:pPr>
              <w:spacing w:before="60" w:after="60"/>
              <w:jc w:val="both"/>
              <w:rPr>
                <w:color w:val="000000"/>
              </w:rPr>
            </w:pPr>
            <w:r w:rsidRPr="008D1D05">
              <w:rPr>
                <w:color w:val="000000"/>
              </w:rPr>
              <w:t>Moderate</w:t>
            </w:r>
          </w:p>
        </w:tc>
        <w:tc>
          <w:tcPr>
            <w:tcW w:w="834" w:type="dxa"/>
            <w:noWrap/>
          </w:tcPr>
          <w:p w14:paraId="7408E45E" w14:textId="77777777" w:rsidR="00AD2554" w:rsidRPr="008D1D05" w:rsidRDefault="00AD2554" w:rsidP="00E9663B">
            <w:pPr>
              <w:spacing w:before="60" w:after="60"/>
              <w:jc w:val="both"/>
              <w:rPr>
                <w:color w:val="000000"/>
              </w:rPr>
            </w:pPr>
            <w:r w:rsidRPr="008D1D05">
              <w:rPr>
                <w:color w:val="000000"/>
              </w:rPr>
              <w:t>Medium</w:t>
            </w:r>
          </w:p>
        </w:tc>
        <w:tc>
          <w:tcPr>
            <w:tcW w:w="2509" w:type="dxa"/>
          </w:tcPr>
          <w:p w14:paraId="142DE87B" w14:textId="77777777" w:rsidR="00AD2554" w:rsidRPr="008D1D05" w:rsidRDefault="00AD2554" w:rsidP="00E9663B">
            <w:pPr>
              <w:spacing w:before="60" w:after="60"/>
              <w:rPr>
                <w:color w:val="000000"/>
              </w:rPr>
            </w:pPr>
            <w:r w:rsidRPr="008D1D05">
              <w:rPr>
                <w:color w:val="000000"/>
              </w:rPr>
              <w:t>Communications and Operations Management; Incident Management</w:t>
            </w:r>
          </w:p>
        </w:tc>
      </w:tr>
      <w:tr w:rsidR="00AD2554" w:rsidRPr="000F2520" w14:paraId="5B52E633" w14:textId="77777777" w:rsidTr="00E9663B">
        <w:trPr>
          <w:trHeight w:val="480"/>
        </w:trPr>
        <w:tc>
          <w:tcPr>
            <w:tcW w:w="480" w:type="dxa"/>
            <w:noWrap/>
          </w:tcPr>
          <w:p w14:paraId="6A316803" w14:textId="77777777" w:rsidR="00AD2554" w:rsidRPr="008D1D05" w:rsidRDefault="00AD2554" w:rsidP="00E9663B">
            <w:pPr>
              <w:spacing w:before="60" w:after="60"/>
              <w:jc w:val="right"/>
              <w:rPr>
                <w:color w:val="000000"/>
              </w:rPr>
            </w:pPr>
            <w:r w:rsidRPr="008D1D05">
              <w:rPr>
                <w:color w:val="000000"/>
              </w:rPr>
              <w:t>21</w:t>
            </w:r>
          </w:p>
        </w:tc>
        <w:tc>
          <w:tcPr>
            <w:tcW w:w="2080" w:type="dxa"/>
            <w:noWrap/>
          </w:tcPr>
          <w:p w14:paraId="04701E13" w14:textId="77777777" w:rsidR="00AD2554" w:rsidRPr="008D1D05" w:rsidRDefault="00AD2554" w:rsidP="00E9663B">
            <w:pPr>
              <w:spacing w:before="60" w:after="60"/>
              <w:jc w:val="both"/>
              <w:rPr>
                <w:color w:val="000000"/>
              </w:rPr>
            </w:pPr>
            <w:r w:rsidRPr="008D1D05">
              <w:rPr>
                <w:color w:val="000000"/>
              </w:rPr>
              <w:t>Availability</w:t>
            </w:r>
          </w:p>
        </w:tc>
        <w:tc>
          <w:tcPr>
            <w:tcW w:w="6238" w:type="dxa"/>
          </w:tcPr>
          <w:p w14:paraId="5C3E705B" w14:textId="77777777" w:rsidR="00AD2554" w:rsidRPr="008D1D05" w:rsidRDefault="00AD2554" w:rsidP="00E9663B">
            <w:pPr>
              <w:spacing w:before="60" w:after="60"/>
              <w:rPr>
                <w:color w:val="000000"/>
              </w:rPr>
            </w:pPr>
            <w:r w:rsidRPr="008D1D05">
              <w:rPr>
                <w:color w:val="000000"/>
              </w:rPr>
              <w:t>Infrastructure capacity issues – e.g., low server RAM/HDD etc</w:t>
            </w:r>
          </w:p>
        </w:tc>
        <w:tc>
          <w:tcPr>
            <w:tcW w:w="989" w:type="dxa"/>
            <w:noWrap/>
          </w:tcPr>
          <w:p w14:paraId="62692866" w14:textId="77777777" w:rsidR="00AD2554" w:rsidRPr="008D1D05" w:rsidRDefault="00AD2554" w:rsidP="00E9663B">
            <w:pPr>
              <w:spacing w:before="60" w:after="60"/>
              <w:jc w:val="both"/>
              <w:rPr>
                <w:color w:val="000000"/>
              </w:rPr>
            </w:pPr>
            <w:r w:rsidRPr="008D1D05">
              <w:rPr>
                <w:color w:val="000000"/>
              </w:rPr>
              <w:t>Unlikely</w:t>
            </w:r>
          </w:p>
        </w:tc>
        <w:tc>
          <w:tcPr>
            <w:tcW w:w="948" w:type="dxa"/>
            <w:noWrap/>
          </w:tcPr>
          <w:p w14:paraId="773FCCFC" w14:textId="77777777" w:rsidR="00AD2554" w:rsidRPr="008D1D05" w:rsidRDefault="00AD2554" w:rsidP="00E9663B">
            <w:pPr>
              <w:spacing w:before="60" w:after="60"/>
              <w:jc w:val="both"/>
              <w:rPr>
                <w:color w:val="000000"/>
              </w:rPr>
            </w:pPr>
            <w:r w:rsidRPr="008D1D05">
              <w:rPr>
                <w:color w:val="000000"/>
              </w:rPr>
              <w:t>Moderate</w:t>
            </w:r>
          </w:p>
        </w:tc>
        <w:tc>
          <w:tcPr>
            <w:tcW w:w="834" w:type="dxa"/>
            <w:noWrap/>
          </w:tcPr>
          <w:p w14:paraId="65A7CA05" w14:textId="77777777" w:rsidR="00AD2554" w:rsidRPr="008D1D05" w:rsidRDefault="00AD2554" w:rsidP="00E9663B">
            <w:pPr>
              <w:spacing w:before="60" w:after="60"/>
              <w:jc w:val="both"/>
              <w:rPr>
                <w:color w:val="000000"/>
              </w:rPr>
            </w:pPr>
            <w:r w:rsidRPr="008D1D05">
              <w:rPr>
                <w:color w:val="000000"/>
              </w:rPr>
              <w:t>Medium</w:t>
            </w:r>
          </w:p>
        </w:tc>
        <w:tc>
          <w:tcPr>
            <w:tcW w:w="2509" w:type="dxa"/>
          </w:tcPr>
          <w:p w14:paraId="70FE0000" w14:textId="77777777" w:rsidR="00AD2554" w:rsidRPr="008D1D05" w:rsidRDefault="00AD2554" w:rsidP="00E9663B">
            <w:pPr>
              <w:spacing w:before="60" w:after="60"/>
              <w:rPr>
                <w:color w:val="000000"/>
              </w:rPr>
            </w:pPr>
            <w:r w:rsidRPr="008D1D05">
              <w:rPr>
                <w:color w:val="000000"/>
              </w:rPr>
              <w:t xml:space="preserve">Communications and Operations Management; </w:t>
            </w:r>
          </w:p>
        </w:tc>
      </w:tr>
      <w:tr w:rsidR="00AD2554" w:rsidRPr="000F2520" w14:paraId="32167788" w14:textId="77777777" w:rsidTr="00E9663B">
        <w:trPr>
          <w:trHeight w:val="480"/>
        </w:trPr>
        <w:tc>
          <w:tcPr>
            <w:tcW w:w="480" w:type="dxa"/>
            <w:noWrap/>
          </w:tcPr>
          <w:p w14:paraId="16562971" w14:textId="77777777" w:rsidR="00AD2554" w:rsidRPr="008D1D05" w:rsidRDefault="00AD2554" w:rsidP="00E9663B">
            <w:pPr>
              <w:spacing w:before="60" w:after="60"/>
              <w:jc w:val="right"/>
              <w:rPr>
                <w:color w:val="000000"/>
              </w:rPr>
            </w:pPr>
            <w:r w:rsidRPr="008D1D05">
              <w:rPr>
                <w:color w:val="000000"/>
              </w:rPr>
              <w:t>22</w:t>
            </w:r>
          </w:p>
        </w:tc>
        <w:tc>
          <w:tcPr>
            <w:tcW w:w="2080" w:type="dxa"/>
            <w:noWrap/>
          </w:tcPr>
          <w:p w14:paraId="028091A5" w14:textId="77777777" w:rsidR="00AD2554" w:rsidRPr="008D1D05" w:rsidRDefault="00AD2554" w:rsidP="00E9663B">
            <w:pPr>
              <w:spacing w:before="60" w:after="60"/>
              <w:jc w:val="both"/>
              <w:rPr>
                <w:color w:val="000000"/>
              </w:rPr>
            </w:pPr>
            <w:r w:rsidRPr="008D1D05">
              <w:rPr>
                <w:color w:val="000000"/>
              </w:rPr>
              <w:t>Availability</w:t>
            </w:r>
          </w:p>
        </w:tc>
        <w:tc>
          <w:tcPr>
            <w:tcW w:w="6238" w:type="dxa"/>
          </w:tcPr>
          <w:p w14:paraId="19602642" w14:textId="77777777" w:rsidR="00AD2554" w:rsidRPr="008D1D05" w:rsidRDefault="00AD2554" w:rsidP="00E9663B">
            <w:pPr>
              <w:spacing w:before="60" w:after="60"/>
              <w:rPr>
                <w:color w:val="000000"/>
              </w:rPr>
            </w:pPr>
            <w:r w:rsidRPr="008D1D05">
              <w:rPr>
                <w:color w:val="000000"/>
              </w:rPr>
              <w:t>Unauthorised software/hardware changes cause outages beyond acceptable period</w:t>
            </w:r>
          </w:p>
        </w:tc>
        <w:tc>
          <w:tcPr>
            <w:tcW w:w="989" w:type="dxa"/>
            <w:noWrap/>
          </w:tcPr>
          <w:p w14:paraId="18A8781D" w14:textId="77777777" w:rsidR="00AD2554" w:rsidRPr="008D1D05" w:rsidRDefault="00AD2554" w:rsidP="00E9663B">
            <w:pPr>
              <w:spacing w:before="60" w:after="60"/>
              <w:jc w:val="both"/>
              <w:rPr>
                <w:color w:val="000000"/>
              </w:rPr>
            </w:pPr>
            <w:r w:rsidRPr="008D1D05">
              <w:rPr>
                <w:color w:val="000000"/>
              </w:rPr>
              <w:t>Unlikely</w:t>
            </w:r>
          </w:p>
        </w:tc>
        <w:tc>
          <w:tcPr>
            <w:tcW w:w="948" w:type="dxa"/>
            <w:noWrap/>
          </w:tcPr>
          <w:p w14:paraId="1214BB9E" w14:textId="77777777" w:rsidR="00AD2554" w:rsidRPr="008D1D05" w:rsidRDefault="00AD2554" w:rsidP="00E9663B">
            <w:pPr>
              <w:spacing w:before="60" w:after="60"/>
              <w:jc w:val="both"/>
              <w:rPr>
                <w:color w:val="000000"/>
              </w:rPr>
            </w:pPr>
            <w:r w:rsidRPr="008D1D05">
              <w:rPr>
                <w:color w:val="000000"/>
              </w:rPr>
              <w:t>Moderate</w:t>
            </w:r>
          </w:p>
        </w:tc>
        <w:tc>
          <w:tcPr>
            <w:tcW w:w="834" w:type="dxa"/>
            <w:noWrap/>
          </w:tcPr>
          <w:p w14:paraId="406E5006" w14:textId="77777777" w:rsidR="00AD2554" w:rsidRPr="008D1D05" w:rsidRDefault="00AD2554" w:rsidP="00E9663B">
            <w:pPr>
              <w:spacing w:before="60" w:after="60"/>
              <w:jc w:val="both"/>
              <w:rPr>
                <w:color w:val="000000"/>
              </w:rPr>
            </w:pPr>
            <w:r w:rsidRPr="008D1D05">
              <w:rPr>
                <w:color w:val="000000"/>
              </w:rPr>
              <w:t>Medium</w:t>
            </w:r>
          </w:p>
        </w:tc>
        <w:tc>
          <w:tcPr>
            <w:tcW w:w="2509" w:type="dxa"/>
          </w:tcPr>
          <w:p w14:paraId="6300D5C9" w14:textId="77777777" w:rsidR="00AD2554" w:rsidRPr="008D1D05" w:rsidRDefault="00AD2554" w:rsidP="00E9663B">
            <w:pPr>
              <w:spacing w:before="60" w:after="60"/>
              <w:rPr>
                <w:color w:val="000000"/>
              </w:rPr>
            </w:pPr>
            <w:r w:rsidRPr="008D1D05">
              <w:rPr>
                <w:color w:val="000000"/>
              </w:rPr>
              <w:t xml:space="preserve">Communications and Operations Management; </w:t>
            </w:r>
          </w:p>
        </w:tc>
      </w:tr>
      <w:tr w:rsidR="00AD2554" w:rsidRPr="000F2520" w14:paraId="5B1A5FB9" w14:textId="77777777" w:rsidTr="00E9663B">
        <w:trPr>
          <w:trHeight w:val="480"/>
        </w:trPr>
        <w:tc>
          <w:tcPr>
            <w:tcW w:w="480" w:type="dxa"/>
            <w:noWrap/>
          </w:tcPr>
          <w:p w14:paraId="22F46B62" w14:textId="77777777" w:rsidR="00AD2554" w:rsidRPr="008D1D05" w:rsidRDefault="00AD2554" w:rsidP="00E9663B">
            <w:pPr>
              <w:spacing w:before="60" w:after="60"/>
              <w:jc w:val="right"/>
              <w:rPr>
                <w:color w:val="000000"/>
              </w:rPr>
            </w:pPr>
            <w:r w:rsidRPr="008D1D05">
              <w:rPr>
                <w:color w:val="000000"/>
              </w:rPr>
              <w:t>23</w:t>
            </w:r>
          </w:p>
        </w:tc>
        <w:tc>
          <w:tcPr>
            <w:tcW w:w="2080" w:type="dxa"/>
            <w:noWrap/>
          </w:tcPr>
          <w:p w14:paraId="15C85350" w14:textId="77777777" w:rsidR="00AD2554" w:rsidRPr="008D1D05" w:rsidRDefault="00AD2554" w:rsidP="00E9663B">
            <w:pPr>
              <w:spacing w:before="60" w:after="60"/>
              <w:jc w:val="both"/>
              <w:rPr>
                <w:color w:val="000000"/>
              </w:rPr>
            </w:pPr>
            <w:r w:rsidRPr="008D1D05">
              <w:rPr>
                <w:color w:val="000000"/>
              </w:rPr>
              <w:t>Availability</w:t>
            </w:r>
          </w:p>
        </w:tc>
        <w:tc>
          <w:tcPr>
            <w:tcW w:w="6238" w:type="dxa"/>
          </w:tcPr>
          <w:p w14:paraId="4130ED31" w14:textId="77777777" w:rsidR="00AD2554" w:rsidRPr="008D1D05" w:rsidRDefault="00AD2554" w:rsidP="00E9663B">
            <w:pPr>
              <w:spacing w:before="60" w:after="60"/>
              <w:rPr>
                <w:color w:val="000000"/>
              </w:rPr>
            </w:pPr>
            <w:r w:rsidRPr="008D1D05">
              <w:rPr>
                <w:color w:val="000000"/>
              </w:rPr>
              <w:t>User accidentally causes environmental issues - turns off server; spills liquid etc</w:t>
            </w:r>
          </w:p>
        </w:tc>
        <w:tc>
          <w:tcPr>
            <w:tcW w:w="989" w:type="dxa"/>
            <w:noWrap/>
          </w:tcPr>
          <w:p w14:paraId="0D08556F" w14:textId="77777777" w:rsidR="00AD2554" w:rsidRPr="008D1D05" w:rsidRDefault="00AD2554" w:rsidP="00E9663B">
            <w:pPr>
              <w:spacing w:before="60" w:after="60"/>
              <w:jc w:val="both"/>
              <w:rPr>
                <w:color w:val="000000"/>
              </w:rPr>
            </w:pPr>
            <w:r w:rsidRPr="008D1D05">
              <w:rPr>
                <w:color w:val="000000"/>
              </w:rPr>
              <w:t>Unlikely</w:t>
            </w:r>
          </w:p>
        </w:tc>
        <w:tc>
          <w:tcPr>
            <w:tcW w:w="948" w:type="dxa"/>
            <w:noWrap/>
          </w:tcPr>
          <w:p w14:paraId="13C234A1" w14:textId="77777777" w:rsidR="00AD2554" w:rsidRPr="008D1D05" w:rsidRDefault="00AD2554" w:rsidP="00E9663B">
            <w:pPr>
              <w:spacing w:before="60" w:after="60"/>
              <w:jc w:val="both"/>
              <w:rPr>
                <w:color w:val="000000"/>
              </w:rPr>
            </w:pPr>
            <w:r w:rsidRPr="008D1D05">
              <w:rPr>
                <w:color w:val="000000"/>
              </w:rPr>
              <w:t>Moderate</w:t>
            </w:r>
          </w:p>
        </w:tc>
        <w:tc>
          <w:tcPr>
            <w:tcW w:w="834" w:type="dxa"/>
            <w:noWrap/>
          </w:tcPr>
          <w:p w14:paraId="1C69CBE6" w14:textId="77777777" w:rsidR="00AD2554" w:rsidRPr="008D1D05" w:rsidRDefault="00AD2554" w:rsidP="00E9663B">
            <w:pPr>
              <w:spacing w:before="60" w:after="60"/>
              <w:jc w:val="both"/>
              <w:rPr>
                <w:color w:val="000000"/>
              </w:rPr>
            </w:pPr>
            <w:r w:rsidRPr="008D1D05">
              <w:rPr>
                <w:color w:val="000000"/>
              </w:rPr>
              <w:t>Medium</w:t>
            </w:r>
          </w:p>
        </w:tc>
        <w:tc>
          <w:tcPr>
            <w:tcW w:w="2509" w:type="dxa"/>
          </w:tcPr>
          <w:p w14:paraId="21BFEE01" w14:textId="77777777" w:rsidR="00AD2554" w:rsidRPr="008D1D05" w:rsidRDefault="00AD2554" w:rsidP="00E9663B">
            <w:pPr>
              <w:spacing w:before="60" w:after="60"/>
              <w:rPr>
                <w:color w:val="000000"/>
              </w:rPr>
            </w:pPr>
            <w:r w:rsidRPr="008D1D05">
              <w:rPr>
                <w:color w:val="000000"/>
              </w:rPr>
              <w:t>HR Security; Physical Security</w:t>
            </w:r>
          </w:p>
        </w:tc>
      </w:tr>
      <w:tr w:rsidR="00AD2554" w:rsidRPr="000F2520" w14:paraId="64A1AFC7" w14:textId="77777777" w:rsidTr="00E9663B">
        <w:trPr>
          <w:trHeight w:val="480"/>
        </w:trPr>
        <w:tc>
          <w:tcPr>
            <w:tcW w:w="480" w:type="dxa"/>
            <w:noWrap/>
          </w:tcPr>
          <w:p w14:paraId="1DD7215D" w14:textId="77777777" w:rsidR="00AD2554" w:rsidRPr="008D1D05" w:rsidRDefault="00AD2554" w:rsidP="00E9663B">
            <w:pPr>
              <w:spacing w:before="60" w:after="60"/>
              <w:jc w:val="right"/>
              <w:rPr>
                <w:color w:val="000000"/>
              </w:rPr>
            </w:pPr>
            <w:r w:rsidRPr="008D1D05">
              <w:rPr>
                <w:color w:val="000000"/>
              </w:rPr>
              <w:t>24</w:t>
            </w:r>
          </w:p>
        </w:tc>
        <w:tc>
          <w:tcPr>
            <w:tcW w:w="2080" w:type="dxa"/>
            <w:noWrap/>
          </w:tcPr>
          <w:p w14:paraId="6127A880" w14:textId="77777777" w:rsidR="00AD2554" w:rsidRPr="008D1D05" w:rsidRDefault="00AD2554" w:rsidP="00E9663B">
            <w:pPr>
              <w:spacing w:before="60" w:after="60"/>
              <w:jc w:val="both"/>
              <w:rPr>
                <w:color w:val="000000"/>
              </w:rPr>
            </w:pPr>
            <w:r w:rsidRPr="008D1D05">
              <w:rPr>
                <w:color w:val="000000"/>
              </w:rPr>
              <w:t>Availability</w:t>
            </w:r>
          </w:p>
        </w:tc>
        <w:tc>
          <w:tcPr>
            <w:tcW w:w="6238" w:type="dxa"/>
          </w:tcPr>
          <w:p w14:paraId="49782DC9" w14:textId="77777777" w:rsidR="00AD2554" w:rsidRPr="008D1D05" w:rsidRDefault="00AD2554" w:rsidP="00E9663B">
            <w:pPr>
              <w:spacing w:before="60" w:after="60"/>
              <w:rPr>
                <w:color w:val="000000"/>
              </w:rPr>
            </w:pPr>
            <w:r w:rsidRPr="008D1D05">
              <w:rPr>
                <w:color w:val="000000"/>
              </w:rPr>
              <w:t>Vendor fails to meet SLA for availability</w:t>
            </w:r>
          </w:p>
        </w:tc>
        <w:tc>
          <w:tcPr>
            <w:tcW w:w="989" w:type="dxa"/>
            <w:noWrap/>
          </w:tcPr>
          <w:p w14:paraId="22815874" w14:textId="77777777" w:rsidR="00AD2554" w:rsidRPr="008D1D05" w:rsidRDefault="00AD2554" w:rsidP="00E9663B">
            <w:pPr>
              <w:spacing w:before="60" w:after="60"/>
              <w:jc w:val="both"/>
              <w:rPr>
                <w:color w:val="000000"/>
              </w:rPr>
            </w:pPr>
            <w:r w:rsidRPr="008D1D05">
              <w:rPr>
                <w:color w:val="000000"/>
              </w:rPr>
              <w:t>Unlikely</w:t>
            </w:r>
          </w:p>
        </w:tc>
        <w:tc>
          <w:tcPr>
            <w:tcW w:w="948" w:type="dxa"/>
            <w:noWrap/>
          </w:tcPr>
          <w:p w14:paraId="572B2B36" w14:textId="77777777" w:rsidR="00AD2554" w:rsidRPr="008D1D05" w:rsidRDefault="00AD2554" w:rsidP="00E9663B">
            <w:pPr>
              <w:spacing w:before="60" w:after="60"/>
              <w:jc w:val="both"/>
              <w:rPr>
                <w:color w:val="000000"/>
              </w:rPr>
            </w:pPr>
            <w:r w:rsidRPr="008D1D05">
              <w:rPr>
                <w:color w:val="000000"/>
              </w:rPr>
              <w:t>Moderate</w:t>
            </w:r>
          </w:p>
        </w:tc>
        <w:tc>
          <w:tcPr>
            <w:tcW w:w="834" w:type="dxa"/>
            <w:noWrap/>
          </w:tcPr>
          <w:p w14:paraId="2E25A4FD" w14:textId="77777777" w:rsidR="00AD2554" w:rsidRPr="008D1D05" w:rsidRDefault="00AD2554" w:rsidP="00E9663B">
            <w:pPr>
              <w:spacing w:before="60" w:after="60"/>
              <w:jc w:val="both"/>
              <w:rPr>
                <w:color w:val="000000"/>
              </w:rPr>
            </w:pPr>
            <w:r w:rsidRPr="008D1D05">
              <w:rPr>
                <w:color w:val="000000"/>
              </w:rPr>
              <w:t>Medium</w:t>
            </w:r>
          </w:p>
        </w:tc>
        <w:tc>
          <w:tcPr>
            <w:tcW w:w="2509" w:type="dxa"/>
          </w:tcPr>
          <w:p w14:paraId="753746BD" w14:textId="77777777" w:rsidR="00AD2554" w:rsidRPr="008D1D05" w:rsidRDefault="00AD2554" w:rsidP="00E9663B">
            <w:pPr>
              <w:spacing w:before="60" w:after="60"/>
              <w:rPr>
                <w:color w:val="000000"/>
              </w:rPr>
            </w:pPr>
            <w:r w:rsidRPr="008D1D05">
              <w:rPr>
                <w:color w:val="000000"/>
              </w:rPr>
              <w:t>Information Security Organisation</w:t>
            </w:r>
          </w:p>
        </w:tc>
      </w:tr>
      <w:tr w:rsidR="00AD2554" w:rsidRPr="000F2520" w14:paraId="1AA78A6F" w14:textId="77777777" w:rsidTr="00E9663B">
        <w:trPr>
          <w:trHeight w:val="480"/>
        </w:trPr>
        <w:tc>
          <w:tcPr>
            <w:tcW w:w="480" w:type="dxa"/>
            <w:noWrap/>
          </w:tcPr>
          <w:p w14:paraId="29E14D85" w14:textId="77777777" w:rsidR="00AD2554" w:rsidRPr="008D1D05" w:rsidRDefault="00AD2554" w:rsidP="00E9663B">
            <w:pPr>
              <w:spacing w:before="60" w:after="60"/>
              <w:jc w:val="right"/>
              <w:rPr>
                <w:color w:val="000000"/>
              </w:rPr>
            </w:pPr>
            <w:r w:rsidRPr="008D1D05">
              <w:rPr>
                <w:color w:val="000000"/>
              </w:rPr>
              <w:t>25</w:t>
            </w:r>
          </w:p>
        </w:tc>
        <w:tc>
          <w:tcPr>
            <w:tcW w:w="2080" w:type="dxa"/>
            <w:noWrap/>
          </w:tcPr>
          <w:p w14:paraId="4367B431" w14:textId="77777777" w:rsidR="00AD2554" w:rsidRPr="008D1D05" w:rsidRDefault="00AD2554" w:rsidP="00E9663B">
            <w:pPr>
              <w:spacing w:before="60" w:after="60"/>
              <w:jc w:val="both"/>
              <w:rPr>
                <w:color w:val="000000"/>
              </w:rPr>
            </w:pPr>
            <w:r w:rsidRPr="008D1D05">
              <w:rPr>
                <w:color w:val="000000"/>
              </w:rPr>
              <w:t>Availability</w:t>
            </w:r>
          </w:p>
        </w:tc>
        <w:tc>
          <w:tcPr>
            <w:tcW w:w="6238" w:type="dxa"/>
          </w:tcPr>
          <w:p w14:paraId="7C78A393" w14:textId="77777777" w:rsidR="00AD2554" w:rsidRPr="008D1D05" w:rsidRDefault="00AD2554" w:rsidP="00E9663B">
            <w:pPr>
              <w:spacing w:before="60" w:after="60"/>
              <w:rPr>
                <w:color w:val="000000"/>
              </w:rPr>
            </w:pPr>
            <w:r w:rsidRPr="008D1D05">
              <w:rPr>
                <w:color w:val="000000"/>
              </w:rPr>
              <w:t>Loss of small number of records due to reluctance by contributors to re-enter/re-provide data following loss of availability or other factors</w:t>
            </w:r>
          </w:p>
        </w:tc>
        <w:tc>
          <w:tcPr>
            <w:tcW w:w="989" w:type="dxa"/>
            <w:noWrap/>
          </w:tcPr>
          <w:p w14:paraId="3B282E32" w14:textId="77777777" w:rsidR="00AD2554" w:rsidRPr="008D1D05" w:rsidRDefault="00AD2554" w:rsidP="00E9663B">
            <w:pPr>
              <w:spacing w:before="60" w:after="60"/>
              <w:jc w:val="both"/>
              <w:rPr>
                <w:color w:val="000000"/>
              </w:rPr>
            </w:pPr>
            <w:r w:rsidRPr="008D1D05">
              <w:rPr>
                <w:color w:val="000000"/>
              </w:rPr>
              <w:t>Unlikely</w:t>
            </w:r>
          </w:p>
        </w:tc>
        <w:tc>
          <w:tcPr>
            <w:tcW w:w="948" w:type="dxa"/>
            <w:noWrap/>
          </w:tcPr>
          <w:p w14:paraId="0F810E4E" w14:textId="77777777" w:rsidR="00AD2554" w:rsidRPr="008D1D05" w:rsidRDefault="00AD2554" w:rsidP="00E9663B">
            <w:pPr>
              <w:spacing w:before="60" w:after="60"/>
              <w:jc w:val="both"/>
              <w:rPr>
                <w:color w:val="000000"/>
              </w:rPr>
            </w:pPr>
            <w:r w:rsidRPr="008D1D05">
              <w:rPr>
                <w:color w:val="000000"/>
              </w:rPr>
              <w:t>Moderate</w:t>
            </w:r>
          </w:p>
        </w:tc>
        <w:tc>
          <w:tcPr>
            <w:tcW w:w="834" w:type="dxa"/>
            <w:noWrap/>
          </w:tcPr>
          <w:p w14:paraId="650E8D84" w14:textId="77777777" w:rsidR="00AD2554" w:rsidRPr="008D1D05" w:rsidRDefault="00AD2554" w:rsidP="00E9663B">
            <w:pPr>
              <w:spacing w:before="60" w:after="60"/>
              <w:jc w:val="both"/>
              <w:rPr>
                <w:color w:val="000000"/>
              </w:rPr>
            </w:pPr>
            <w:r w:rsidRPr="008D1D05">
              <w:rPr>
                <w:color w:val="000000"/>
              </w:rPr>
              <w:t>Medium</w:t>
            </w:r>
          </w:p>
        </w:tc>
        <w:tc>
          <w:tcPr>
            <w:tcW w:w="2509" w:type="dxa"/>
            <w:noWrap/>
          </w:tcPr>
          <w:p w14:paraId="7A57F038" w14:textId="77777777" w:rsidR="00AD2554" w:rsidRPr="008D1D05" w:rsidRDefault="00AD2554" w:rsidP="00E9663B">
            <w:pPr>
              <w:spacing w:before="60" w:after="60"/>
              <w:rPr>
                <w:color w:val="000000"/>
              </w:rPr>
            </w:pPr>
            <w:r w:rsidRPr="008D1D05">
              <w:rPr>
                <w:color w:val="000000"/>
              </w:rPr>
              <w:t>HR Security</w:t>
            </w:r>
          </w:p>
        </w:tc>
      </w:tr>
    </w:tbl>
    <w:p w14:paraId="287681FE" w14:textId="77777777" w:rsidR="00AD2554" w:rsidRPr="000F2520" w:rsidRDefault="00AD2554" w:rsidP="00AD2554">
      <w:pPr>
        <w:rPr>
          <w:szCs w:val="40"/>
        </w:rPr>
      </w:pPr>
    </w:p>
    <w:p w14:paraId="6565B38E" w14:textId="77777777" w:rsidR="00AD2554" w:rsidRPr="000F2520" w:rsidRDefault="00AD2554" w:rsidP="00AD2554">
      <w:pPr>
        <w:pStyle w:val="Heading3"/>
        <w:numPr>
          <w:ilvl w:val="2"/>
          <w:numId w:val="21"/>
        </w:numPr>
        <w:tabs>
          <w:tab w:val="clear" w:pos="1276"/>
          <w:tab w:val="num" w:pos="2223"/>
        </w:tabs>
        <w:ind w:left="2223" w:hanging="180"/>
      </w:pPr>
      <w:r w:rsidRPr="000F2520">
        <w:br w:type="page"/>
      </w:r>
      <w:bookmarkStart w:id="50" w:name="_Toc106613896"/>
      <w:r w:rsidRPr="000F2520">
        <w:lastRenderedPageBreak/>
        <w:t xml:space="preserve">Risk profile for a </w:t>
      </w:r>
      <w:r>
        <w:t xml:space="preserve">standalone </w:t>
      </w:r>
      <w:r w:rsidRPr="000F2520">
        <w:t>CQR</w:t>
      </w:r>
      <w:bookmarkEnd w:id="50"/>
    </w:p>
    <w:p w14:paraId="09A636F7" w14:textId="77777777" w:rsidR="00AD2554" w:rsidRPr="000F2520" w:rsidRDefault="00AD2554" w:rsidP="00AD2554">
      <w:r w:rsidRPr="00BC6D21">
        <w:fldChar w:fldCharType="begin"/>
      </w:r>
      <w:r w:rsidRPr="000F2520">
        <w:instrText xml:space="preserve"> REF _Ref351384827 \h </w:instrText>
      </w:r>
      <w:r w:rsidRPr="00BC6D21">
        <w:fldChar w:fldCharType="separate"/>
      </w:r>
      <w:r w:rsidRPr="000F2520">
        <w:t xml:space="preserve">Table </w:t>
      </w:r>
      <w:r>
        <w:rPr>
          <w:noProof/>
        </w:rPr>
        <w:t>3</w:t>
      </w:r>
      <w:r w:rsidRPr="00BC6D21">
        <w:fldChar w:fldCharType="end"/>
      </w:r>
      <w:r w:rsidRPr="000F2520">
        <w:t xml:space="preserve"> outlines the nature and extent of information security risks associated with </w:t>
      </w:r>
      <w:r>
        <w:t xml:space="preserve">existing legacy CQRs hosted in a </w:t>
      </w:r>
      <w:r w:rsidRPr="000F2520">
        <w:t>standalone environment</w:t>
      </w:r>
      <w:r>
        <w:t xml:space="preserve"> </w:t>
      </w:r>
      <w:r w:rsidRPr="000F2520">
        <w:t xml:space="preserve">(refer to Model 2 in Section </w:t>
      </w:r>
      <w:r w:rsidRPr="00BC6D21">
        <w:fldChar w:fldCharType="begin"/>
      </w:r>
      <w:r w:rsidRPr="000F2520">
        <w:instrText xml:space="preserve"> REF _Ref320017393 \r \h  \* MERGEFORMAT </w:instrText>
      </w:r>
      <w:r w:rsidRPr="00BC6D21">
        <w:fldChar w:fldCharType="separate"/>
      </w:r>
      <w:r>
        <w:t>3.1.2</w:t>
      </w:r>
      <w:r w:rsidRPr="00BC6D21">
        <w:fldChar w:fldCharType="end"/>
      </w:r>
      <w:r w:rsidRPr="000F2520">
        <w:t xml:space="preserve">). Generally, these environments will have a higher tolerance for risk and lower susceptibility to threats. </w:t>
      </w:r>
    </w:p>
    <w:p w14:paraId="4897562E" w14:textId="77777777" w:rsidR="00AD2554" w:rsidRPr="000F2520" w:rsidRDefault="00AD2554" w:rsidP="00AD2554">
      <w:bookmarkStart w:id="51" w:name="_Toc320014196"/>
      <w:bookmarkStart w:id="52" w:name="_Toc320087956"/>
      <w:r w:rsidRPr="000F2520">
        <w:t xml:space="preserve">The ‘security domains’ indicated in </w:t>
      </w:r>
      <w:r w:rsidRPr="00BC6D21">
        <w:fldChar w:fldCharType="begin"/>
      </w:r>
      <w:r w:rsidRPr="000F2520">
        <w:instrText xml:space="preserve"> REF _Ref351384827 \h </w:instrText>
      </w:r>
      <w:r w:rsidRPr="00BC6D21">
        <w:fldChar w:fldCharType="separate"/>
      </w:r>
      <w:r w:rsidRPr="000F2520">
        <w:t xml:space="preserve">Table </w:t>
      </w:r>
      <w:r>
        <w:rPr>
          <w:noProof/>
        </w:rPr>
        <w:t>3</w:t>
      </w:r>
      <w:r w:rsidRPr="00BC6D21">
        <w:fldChar w:fldCharType="end"/>
      </w:r>
      <w:r w:rsidRPr="000F2520">
        <w:t xml:space="preserve"> are reflected in the security compliance checklists in Section </w:t>
      </w:r>
      <w:r w:rsidRPr="00BC6D21">
        <w:fldChar w:fldCharType="begin"/>
      </w:r>
      <w:r w:rsidRPr="000F2520">
        <w:instrText xml:space="preserve"> REF _Ref351384735 \r \h </w:instrText>
      </w:r>
      <w:r w:rsidRPr="00BC6D21">
        <w:fldChar w:fldCharType="separate"/>
      </w:r>
      <w:r>
        <w:t>5</w:t>
      </w:r>
      <w:r w:rsidRPr="00BC6D21">
        <w:fldChar w:fldCharType="end"/>
      </w:r>
      <w:r w:rsidRPr="000F2520">
        <w:t>.</w:t>
      </w:r>
    </w:p>
    <w:p w14:paraId="70D2023E" w14:textId="77777777" w:rsidR="00AD2554" w:rsidRPr="00EB5B0F" w:rsidRDefault="00AD2554" w:rsidP="00AD2554">
      <w:pPr>
        <w:pStyle w:val="CaptionLandscape"/>
        <w:rPr>
          <w:color w:val="1F3864" w:themeColor="accent1" w:themeShade="80"/>
          <w:szCs w:val="40"/>
        </w:rPr>
      </w:pPr>
      <w:bookmarkStart w:id="53" w:name="_Ref351384827"/>
      <w:bookmarkStart w:id="54" w:name="_Toc95479914"/>
      <w:r w:rsidRPr="00EB5B0F">
        <w:rPr>
          <w:color w:val="1F3864" w:themeColor="accent1" w:themeShade="80"/>
        </w:rPr>
        <w:t xml:space="preserve">Table </w:t>
      </w:r>
      <w:r w:rsidRPr="00EB5B0F">
        <w:rPr>
          <w:color w:val="1F3864" w:themeColor="accent1" w:themeShade="80"/>
        </w:rPr>
        <w:fldChar w:fldCharType="begin"/>
      </w:r>
      <w:r w:rsidRPr="00EB5B0F">
        <w:rPr>
          <w:color w:val="1F3864" w:themeColor="accent1" w:themeShade="80"/>
        </w:rPr>
        <w:instrText xml:space="preserve"> SEQ Table \* ARABIC </w:instrText>
      </w:r>
      <w:r w:rsidRPr="00EB5B0F">
        <w:rPr>
          <w:color w:val="1F3864" w:themeColor="accent1" w:themeShade="80"/>
        </w:rPr>
        <w:fldChar w:fldCharType="separate"/>
      </w:r>
      <w:r w:rsidRPr="00EB5B0F">
        <w:rPr>
          <w:noProof/>
          <w:color w:val="1F3864" w:themeColor="accent1" w:themeShade="80"/>
        </w:rPr>
        <w:t>3</w:t>
      </w:r>
      <w:r w:rsidRPr="00EB5B0F">
        <w:rPr>
          <w:noProof/>
          <w:color w:val="1F3864" w:themeColor="accent1" w:themeShade="80"/>
        </w:rPr>
        <w:fldChar w:fldCharType="end"/>
      </w:r>
      <w:bookmarkEnd w:id="53"/>
      <w:r w:rsidRPr="00EB5B0F">
        <w:rPr>
          <w:color w:val="1F3864" w:themeColor="accent1" w:themeShade="80"/>
        </w:rPr>
        <w:t xml:space="preserve">: Standalone CQR risk </w:t>
      </w:r>
      <w:bookmarkEnd w:id="51"/>
      <w:bookmarkEnd w:id="52"/>
      <w:r w:rsidRPr="00EB5B0F">
        <w:rPr>
          <w:color w:val="1F3864" w:themeColor="accent1" w:themeShade="80"/>
        </w:rPr>
        <w:t>profile</w:t>
      </w:r>
      <w:bookmarkEnd w:id="54"/>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7"/>
        <w:gridCol w:w="2183"/>
        <w:gridCol w:w="3557"/>
        <w:gridCol w:w="1443"/>
        <w:gridCol w:w="1525"/>
        <w:gridCol w:w="1007"/>
        <w:gridCol w:w="3325"/>
      </w:tblGrid>
      <w:tr w:rsidR="00AD2554" w:rsidRPr="000F2520" w14:paraId="20F729FE" w14:textId="77777777" w:rsidTr="00B72A2C">
        <w:trPr>
          <w:trHeight w:val="300"/>
          <w:tblHeader/>
          <w:jc w:val="center"/>
        </w:trPr>
        <w:tc>
          <w:tcPr>
            <w:tcW w:w="647" w:type="dxa"/>
            <w:shd w:val="clear" w:color="auto" w:fill="C00000"/>
            <w:noWrap/>
          </w:tcPr>
          <w:p w14:paraId="43ACF511" w14:textId="77777777" w:rsidR="00AD2554" w:rsidRPr="008D1D05" w:rsidRDefault="00AD2554" w:rsidP="00E9663B">
            <w:pPr>
              <w:spacing w:before="60" w:after="60"/>
              <w:jc w:val="both"/>
              <w:rPr>
                <w:b/>
                <w:bCs/>
                <w:color w:val="FFFFFF"/>
              </w:rPr>
            </w:pPr>
            <w:r w:rsidRPr="008D1D05">
              <w:rPr>
                <w:b/>
                <w:bCs/>
                <w:color w:val="FFFFFF"/>
              </w:rPr>
              <w:t>No.</w:t>
            </w:r>
          </w:p>
        </w:tc>
        <w:tc>
          <w:tcPr>
            <w:tcW w:w="2183" w:type="dxa"/>
            <w:shd w:val="clear" w:color="auto" w:fill="C00000"/>
            <w:noWrap/>
          </w:tcPr>
          <w:p w14:paraId="5D42606B" w14:textId="77777777" w:rsidR="00AD2554" w:rsidRPr="008D1D05" w:rsidRDefault="00AD2554" w:rsidP="00E9663B">
            <w:pPr>
              <w:spacing w:before="60" w:after="60"/>
              <w:jc w:val="both"/>
              <w:rPr>
                <w:b/>
                <w:bCs/>
                <w:color w:val="FFFFFF"/>
              </w:rPr>
            </w:pPr>
            <w:r w:rsidRPr="008D1D05">
              <w:rPr>
                <w:b/>
                <w:bCs/>
                <w:color w:val="FFFFFF"/>
              </w:rPr>
              <w:t>Factor</w:t>
            </w:r>
          </w:p>
        </w:tc>
        <w:tc>
          <w:tcPr>
            <w:tcW w:w="3557" w:type="dxa"/>
            <w:shd w:val="clear" w:color="auto" w:fill="C00000"/>
            <w:noWrap/>
          </w:tcPr>
          <w:p w14:paraId="5679E181" w14:textId="77777777" w:rsidR="00AD2554" w:rsidRPr="008D1D05" w:rsidRDefault="00AD2554" w:rsidP="00E9663B">
            <w:pPr>
              <w:spacing w:before="60" w:after="60"/>
              <w:jc w:val="both"/>
              <w:rPr>
                <w:b/>
                <w:bCs/>
                <w:color w:val="FFFFFF"/>
              </w:rPr>
            </w:pPr>
            <w:r w:rsidRPr="008D1D05">
              <w:rPr>
                <w:b/>
                <w:bCs/>
                <w:color w:val="FFFFFF"/>
              </w:rPr>
              <w:t>Risk</w:t>
            </w:r>
          </w:p>
        </w:tc>
        <w:tc>
          <w:tcPr>
            <w:tcW w:w="1443" w:type="dxa"/>
            <w:shd w:val="clear" w:color="auto" w:fill="C00000"/>
            <w:noWrap/>
          </w:tcPr>
          <w:p w14:paraId="1CCCFCA3" w14:textId="77777777" w:rsidR="00AD2554" w:rsidRPr="008D1D05" w:rsidRDefault="00AD2554" w:rsidP="00E9663B">
            <w:pPr>
              <w:spacing w:before="60" w:after="60"/>
              <w:jc w:val="both"/>
              <w:rPr>
                <w:b/>
                <w:bCs/>
                <w:color w:val="FFFFFF"/>
              </w:rPr>
            </w:pPr>
            <w:r w:rsidRPr="008D1D05">
              <w:rPr>
                <w:b/>
                <w:bCs/>
                <w:color w:val="FFFFFF"/>
              </w:rPr>
              <w:t>Likelihood</w:t>
            </w:r>
          </w:p>
        </w:tc>
        <w:tc>
          <w:tcPr>
            <w:tcW w:w="1525" w:type="dxa"/>
            <w:shd w:val="clear" w:color="auto" w:fill="C00000"/>
            <w:noWrap/>
          </w:tcPr>
          <w:p w14:paraId="7F04CCD5" w14:textId="77777777" w:rsidR="00AD2554" w:rsidRPr="008D1D05" w:rsidRDefault="00AD2554" w:rsidP="00E9663B">
            <w:pPr>
              <w:spacing w:before="60" w:after="60"/>
              <w:jc w:val="both"/>
              <w:rPr>
                <w:b/>
                <w:bCs/>
                <w:color w:val="FFFFFF"/>
              </w:rPr>
            </w:pPr>
            <w:r w:rsidRPr="008D1D05">
              <w:rPr>
                <w:b/>
                <w:bCs/>
                <w:color w:val="FFFFFF"/>
              </w:rPr>
              <w:t>Impact</w:t>
            </w:r>
          </w:p>
        </w:tc>
        <w:tc>
          <w:tcPr>
            <w:tcW w:w="1007" w:type="dxa"/>
            <w:shd w:val="clear" w:color="auto" w:fill="C00000"/>
            <w:noWrap/>
          </w:tcPr>
          <w:p w14:paraId="7632FC7D" w14:textId="77777777" w:rsidR="00AD2554" w:rsidRPr="008D1D05" w:rsidRDefault="00AD2554" w:rsidP="00E9663B">
            <w:pPr>
              <w:spacing w:before="60" w:after="60"/>
              <w:jc w:val="both"/>
              <w:rPr>
                <w:b/>
                <w:bCs/>
                <w:color w:val="FFFFFF"/>
              </w:rPr>
            </w:pPr>
            <w:r w:rsidRPr="008D1D05">
              <w:rPr>
                <w:b/>
                <w:bCs/>
                <w:color w:val="FFFFFF"/>
              </w:rPr>
              <w:t>Risk</w:t>
            </w:r>
          </w:p>
        </w:tc>
        <w:tc>
          <w:tcPr>
            <w:tcW w:w="3325" w:type="dxa"/>
            <w:shd w:val="clear" w:color="auto" w:fill="C00000"/>
            <w:noWrap/>
          </w:tcPr>
          <w:p w14:paraId="1D0D4405" w14:textId="77777777" w:rsidR="00AD2554" w:rsidRPr="008D1D05" w:rsidRDefault="00AD2554" w:rsidP="00E9663B">
            <w:pPr>
              <w:spacing w:before="60" w:after="60"/>
              <w:jc w:val="both"/>
              <w:rPr>
                <w:b/>
                <w:bCs/>
                <w:color w:val="FFFFFF"/>
              </w:rPr>
            </w:pPr>
            <w:r w:rsidRPr="008D1D05">
              <w:rPr>
                <w:b/>
                <w:bCs/>
                <w:color w:val="FFFFFF"/>
              </w:rPr>
              <w:t>Security Domain</w:t>
            </w:r>
          </w:p>
        </w:tc>
      </w:tr>
      <w:tr w:rsidR="00AD2554" w:rsidRPr="000F2520" w14:paraId="63394AAF" w14:textId="77777777" w:rsidTr="00B72A2C">
        <w:trPr>
          <w:trHeight w:val="735"/>
          <w:jc w:val="center"/>
        </w:trPr>
        <w:tc>
          <w:tcPr>
            <w:tcW w:w="647" w:type="dxa"/>
            <w:noWrap/>
          </w:tcPr>
          <w:p w14:paraId="4512B543" w14:textId="77777777" w:rsidR="00AD2554" w:rsidRPr="008D1D05" w:rsidRDefault="00AD2554" w:rsidP="00E9663B">
            <w:pPr>
              <w:spacing w:before="60" w:after="60"/>
              <w:jc w:val="right"/>
              <w:rPr>
                <w:color w:val="000000"/>
              </w:rPr>
            </w:pPr>
            <w:r w:rsidRPr="008D1D05">
              <w:rPr>
                <w:color w:val="000000"/>
              </w:rPr>
              <w:t>1</w:t>
            </w:r>
          </w:p>
        </w:tc>
        <w:tc>
          <w:tcPr>
            <w:tcW w:w="2183" w:type="dxa"/>
          </w:tcPr>
          <w:p w14:paraId="79C0A9D2" w14:textId="77777777" w:rsidR="00AD2554" w:rsidRPr="008D1D05" w:rsidRDefault="00AD2554" w:rsidP="00E9663B">
            <w:pPr>
              <w:spacing w:before="60" w:after="60"/>
              <w:jc w:val="both"/>
              <w:rPr>
                <w:color w:val="000000"/>
              </w:rPr>
            </w:pPr>
            <w:r w:rsidRPr="008D1D05">
              <w:rPr>
                <w:color w:val="000000"/>
              </w:rPr>
              <w:t>Confidentiality</w:t>
            </w:r>
          </w:p>
        </w:tc>
        <w:tc>
          <w:tcPr>
            <w:tcW w:w="3557" w:type="dxa"/>
          </w:tcPr>
          <w:p w14:paraId="6F3FDF5D" w14:textId="77777777" w:rsidR="00AD2554" w:rsidRPr="008D1D05" w:rsidRDefault="00AD2554" w:rsidP="00E9663B">
            <w:pPr>
              <w:spacing w:before="60" w:after="60"/>
              <w:jc w:val="both"/>
              <w:rPr>
                <w:color w:val="000000"/>
              </w:rPr>
            </w:pPr>
            <w:r w:rsidRPr="008D1D05">
              <w:rPr>
                <w:color w:val="000000"/>
              </w:rPr>
              <w:t>Loss of confidentiality of multiple records due to staff accidentally disclosing information</w:t>
            </w:r>
          </w:p>
        </w:tc>
        <w:tc>
          <w:tcPr>
            <w:tcW w:w="1443" w:type="dxa"/>
            <w:noWrap/>
          </w:tcPr>
          <w:p w14:paraId="0068D937" w14:textId="77777777" w:rsidR="00AD2554" w:rsidRPr="008D1D05" w:rsidRDefault="00AD2554" w:rsidP="00E9663B">
            <w:pPr>
              <w:spacing w:before="60" w:after="60"/>
              <w:jc w:val="both"/>
              <w:rPr>
                <w:color w:val="000000"/>
              </w:rPr>
            </w:pPr>
            <w:r w:rsidRPr="008D1D05">
              <w:rPr>
                <w:color w:val="000000"/>
              </w:rPr>
              <w:t>Possible</w:t>
            </w:r>
          </w:p>
        </w:tc>
        <w:tc>
          <w:tcPr>
            <w:tcW w:w="1525" w:type="dxa"/>
            <w:noWrap/>
          </w:tcPr>
          <w:p w14:paraId="5161D225" w14:textId="77777777" w:rsidR="00AD2554" w:rsidRPr="008D1D05" w:rsidRDefault="00AD2554" w:rsidP="00E9663B">
            <w:pPr>
              <w:spacing w:before="60" w:after="60"/>
              <w:jc w:val="both"/>
              <w:rPr>
                <w:color w:val="000000"/>
              </w:rPr>
            </w:pPr>
            <w:r w:rsidRPr="008D1D05">
              <w:rPr>
                <w:color w:val="000000"/>
              </w:rPr>
              <w:t>Moderate</w:t>
            </w:r>
          </w:p>
        </w:tc>
        <w:tc>
          <w:tcPr>
            <w:tcW w:w="1007" w:type="dxa"/>
            <w:noWrap/>
          </w:tcPr>
          <w:p w14:paraId="30C7B401" w14:textId="77777777" w:rsidR="00AD2554" w:rsidRPr="008D1D05" w:rsidRDefault="00AD2554" w:rsidP="00E9663B">
            <w:pPr>
              <w:spacing w:before="60" w:after="60"/>
              <w:jc w:val="both"/>
              <w:rPr>
                <w:color w:val="000000"/>
              </w:rPr>
            </w:pPr>
            <w:r w:rsidRPr="008D1D05">
              <w:rPr>
                <w:color w:val="000000"/>
              </w:rPr>
              <w:t>High</w:t>
            </w:r>
          </w:p>
        </w:tc>
        <w:tc>
          <w:tcPr>
            <w:tcW w:w="3325" w:type="dxa"/>
          </w:tcPr>
          <w:p w14:paraId="78515510" w14:textId="77777777" w:rsidR="00AD2554" w:rsidRPr="008D1D05" w:rsidRDefault="00AD2554" w:rsidP="00E9663B">
            <w:pPr>
              <w:spacing w:before="60" w:after="60"/>
              <w:jc w:val="both"/>
              <w:rPr>
                <w:color w:val="000000"/>
              </w:rPr>
            </w:pPr>
            <w:r w:rsidRPr="008D1D05">
              <w:rPr>
                <w:color w:val="000000"/>
              </w:rPr>
              <w:t>Information Security Policy; HR Security</w:t>
            </w:r>
          </w:p>
        </w:tc>
      </w:tr>
      <w:tr w:rsidR="00AD2554" w:rsidRPr="000F2520" w14:paraId="7F2D89C5" w14:textId="77777777" w:rsidTr="00B72A2C">
        <w:trPr>
          <w:trHeight w:val="735"/>
          <w:jc w:val="center"/>
        </w:trPr>
        <w:tc>
          <w:tcPr>
            <w:tcW w:w="647" w:type="dxa"/>
            <w:noWrap/>
          </w:tcPr>
          <w:p w14:paraId="27F30FCA" w14:textId="77777777" w:rsidR="00AD2554" w:rsidRPr="008D1D05" w:rsidRDefault="00AD2554" w:rsidP="00E9663B">
            <w:pPr>
              <w:spacing w:before="60" w:after="60"/>
              <w:jc w:val="right"/>
              <w:rPr>
                <w:color w:val="000000"/>
              </w:rPr>
            </w:pPr>
            <w:r w:rsidRPr="008D1D05">
              <w:rPr>
                <w:color w:val="000000"/>
              </w:rPr>
              <w:t>2</w:t>
            </w:r>
          </w:p>
        </w:tc>
        <w:tc>
          <w:tcPr>
            <w:tcW w:w="2183" w:type="dxa"/>
          </w:tcPr>
          <w:p w14:paraId="32B187A8" w14:textId="77777777" w:rsidR="00AD2554" w:rsidRPr="008D1D05" w:rsidRDefault="00AD2554" w:rsidP="00E9663B">
            <w:pPr>
              <w:spacing w:before="60" w:after="60"/>
              <w:jc w:val="both"/>
              <w:rPr>
                <w:color w:val="000000"/>
              </w:rPr>
            </w:pPr>
            <w:r w:rsidRPr="008D1D05">
              <w:rPr>
                <w:color w:val="000000"/>
              </w:rPr>
              <w:t>Confidentiality</w:t>
            </w:r>
          </w:p>
        </w:tc>
        <w:tc>
          <w:tcPr>
            <w:tcW w:w="3557" w:type="dxa"/>
          </w:tcPr>
          <w:p w14:paraId="5FAE189D" w14:textId="77777777" w:rsidR="00AD2554" w:rsidRPr="008D1D05" w:rsidRDefault="00AD2554" w:rsidP="00E9663B">
            <w:pPr>
              <w:spacing w:before="60" w:after="60"/>
              <w:jc w:val="both"/>
              <w:rPr>
                <w:color w:val="000000"/>
              </w:rPr>
            </w:pPr>
            <w:r w:rsidRPr="008D1D05">
              <w:rPr>
                <w:color w:val="000000"/>
              </w:rPr>
              <w:t>Accidental breach of legislation (by admin staff) due to managing multiple jurisdictions leads to embarrassment or financial penalty</w:t>
            </w:r>
          </w:p>
        </w:tc>
        <w:tc>
          <w:tcPr>
            <w:tcW w:w="1443" w:type="dxa"/>
            <w:noWrap/>
          </w:tcPr>
          <w:p w14:paraId="34F31E0C" w14:textId="77777777" w:rsidR="00AD2554" w:rsidRPr="008D1D05" w:rsidRDefault="00AD2554" w:rsidP="00E9663B">
            <w:pPr>
              <w:spacing w:before="60" w:after="60"/>
              <w:jc w:val="both"/>
              <w:rPr>
                <w:color w:val="000000"/>
              </w:rPr>
            </w:pPr>
            <w:r w:rsidRPr="008D1D05">
              <w:rPr>
                <w:color w:val="000000"/>
              </w:rPr>
              <w:t>Unlikely</w:t>
            </w:r>
          </w:p>
        </w:tc>
        <w:tc>
          <w:tcPr>
            <w:tcW w:w="1525" w:type="dxa"/>
            <w:noWrap/>
          </w:tcPr>
          <w:p w14:paraId="6DD4721F" w14:textId="77777777" w:rsidR="00AD2554" w:rsidRPr="008D1D05" w:rsidRDefault="00AD2554" w:rsidP="00E9663B">
            <w:pPr>
              <w:spacing w:before="60" w:after="60"/>
              <w:jc w:val="both"/>
              <w:rPr>
                <w:color w:val="000000"/>
              </w:rPr>
            </w:pPr>
            <w:r w:rsidRPr="008D1D05">
              <w:rPr>
                <w:color w:val="000000"/>
              </w:rPr>
              <w:t>Moderate</w:t>
            </w:r>
          </w:p>
        </w:tc>
        <w:tc>
          <w:tcPr>
            <w:tcW w:w="1007" w:type="dxa"/>
            <w:noWrap/>
          </w:tcPr>
          <w:p w14:paraId="0A2AFF35" w14:textId="77777777" w:rsidR="00AD2554" w:rsidRPr="008D1D05" w:rsidRDefault="00AD2554" w:rsidP="00E9663B">
            <w:pPr>
              <w:spacing w:before="60" w:after="60"/>
              <w:jc w:val="both"/>
              <w:rPr>
                <w:color w:val="000000"/>
              </w:rPr>
            </w:pPr>
            <w:r w:rsidRPr="008D1D05">
              <w:rPr>
                <w:color w:val="000000"/>
              </w:rPr>
              <w:t>Medium</w:t>
            </w:r>
          </w:p>
        </w:tc>
        <w:tc>
          <w:tcPr>
            <w:tcW w:w="3325" w:type="dxa"/>
          </w:tcPr>
          <w:p w14:paraId="2E8D561E" w14:textId="77777777" w:rsidR="00AD2554" w:rsidRPr="008D1D05" w:rsidRDefault="00AD2554" w:rsidP="00E9663B">
            <w:pPr>
              <w:spacing w:before="60" w:after="60"/>
              <w:jc w:val="both"/>
              <w:rPr>
                <w:color w:val="000000"/>
              </w:rPr>
            </w:pPr>
            <w:r w:rsidRPr="008D1D05">
              <w:rPr>
                <w:color w:val="000000"/>
              </w:rPr>
              <w:t>Access Control; Compliance</w:t>
            </w:r>
          </w:p>
        </w:tc>
      </w:tr>
      <w:tr w:rsidR="00AD2554" w:rsidRPr="000F2520" w14:paraId="2FE87E6B" w14:textId="77777777" w:rsidTr="00B72A2C">
        <w:trPr>
          <w:trHeight w:val="735"/>
          <w:jc w:val="center"/>
        </w:trPr>
        <w:tc>
          <w:tcPr>
            <w:tcW w:w="647" w:type="dxa"/>
            <w:noWrap/>
          </w:tcPr>
          <w:p w14:paraId="110B58B5" w14:textId="77777777" w:rsidR="00AD2554" w:rsidRPr="008D1D05" w:rsidRDefault="00AD2554" w:rsidP="00E9663B">
            <w:pPr>
              <w:spacing w:before="60" w:after="60"/>
              <w:jc w:val="right"/>
              <w:rPr>
                <w:color w:val="000000"/>
              </w:rPr>
            </w:pPr>
            <w:r w:rsidRPr="008D1D05">
              <w:rPr>
                <w:color w:val="000000"/>
              </w:rPr>
              <w:t>3</w:t>
            </w:r>
          </w:p>
        </w:tc>
        <w:tc>
          <w:tcPr>
            <w:tcW w:w="2183" w:type="dxa"/>
          </w:tcPr>
          <w:p w14:paraId="7B56E141" w14:textId="77777777" w:rsidR="00AD2554" w:rsidRPr="008D1D05" w:rsidRDefault="00AD2554" w:rsidP="00E9663B">
            <w:pPr>
              <w:spacing w:before="60" w:after="60"/>
              <w:jc w:val="both"/>
              <w:rPr>
                <w:color w:val="000000"/>
              </w:rPr>
            </w:pPr>
            <w:r w:rsidRPr="008D1D05">
              <w:rPr>
                <w:color w:val="000000"/>
              </w:rPr>
              <w:t>Confidentiality</w:t>
            </w:r>
          </w:p>
        </w:tc>
        <w:tc>
          <w:tcPr>
            <w:tcW w:w="3557" w:type="dxa"/>
          </w:tcPr>
          <w:p w14:paraId="4F0C8215" w14:textId="77777777" w:rsidR="00AD2554" w:rsidRPr="008D1D05" w:rsidRDefault="00AD2554" w:rsidP="00E9663B">
            <w:pPr>
              <w:spacing w:before="60" w:after="60"/>
              <w:jc w:val="both"/>
              <w:rPr>
                <w:color w:val="000000"/>
              </w:rPr>
            </w:pPr>
            <w:r w:rsidRPr="008D1D05">
              <w:rPr>
                <w:color w:val="000000"/>
              </w:rPr>
              <w:t>Loss of confidentiality of information due to staff or contractors purposely disclosing information</w:t>
            </w:r>
          </w:p>
        </w:tc>
        <w:tc>
          <w:tcPr>
            <w:tcW w:w="1443" w:type="dxa"/>
            <w:noWrap/>
          </w:tcPr>
          <w:p w14:paraId="2DE7490E" w14:textId="77777777" w:rsidR="00AD2554" w:rsidRPr="008D1D05" w:rsidRDefault="00AD2554" w:rsidP="00E9663B">
            <w:pPr>
              <w:spacing w:before="60" w:after="60"/>
              <w:jc w:val="both"/>
              <w:rPr>
                <w:color w:val="000000"/>
              </w:rPr>
            </w:pPr>
            <w:r w:rsidRPr="008D1D05">
              <w:rPr>
                <w:color w:val="000000"/>
              </w:rPr>
              <w:t>Unlikely</w:t>
            </w:r>
          </w:p>
        </w:tc>
        <w:tc>
          <w:tcPr>
            <w:tcW w:w="1525" w:type="dxa"/>
            <w:noWrap/>
          </w:tcPr>
          <w:p w14:paraId="1CEA675E" w14:textId="77777777" w:rsidR="00AD2554" w:rsidRPr="008D1D05" w:rsidRDefault="00AD2554" w:rsidP="00E9663B">
            <w:pPr>
              <w:spacing w:before="60" w:after="60"/>
              <w:jc w:val="both"/>
              <w:rPr>
                <w:color w:val="000000"/>
              </w:rPr>
            </w:pPr>
            <w:r w:rsidRPr="008D1D05">
              <w:rPr>
                <w:color w:val="000000"/>
              </w:rPr>
              <w:t>Moderate</w:t>
            </w:r>
          </w:p>
        </w:tc>
        <w:tc>
          <w:tcPr>
            <w:tcW w:w="1007" w:type="dxa"/>
            <w:noWrap/>
          </w:tcPr>
          <w:p w14:paraId="678C4D59" w14:textId="77777777" w:rsidR="00AD2554" w:rsidRPr="008D1D05" w:rsidRDefault="00AD2554" w:rsidP="00E9663B">
            <w:pPr>
              <w:spacing w:before="60" w:after="60"/>
              <w:jc w:val="both"/>
              <w:rPr>
                <w:color w:val="000000"/>
              </w:rPr>
            </w:pPr>
            <w:r w:rsidRPr="008D1D05">
              <w:rPr>
                <w:color w:val="000000"/>
              </w:rPr>
              <w:t>Medium</w:t>
            </w:r>
          </w:p>
        </w:tc>
        <w:tc>
          <w:tcPr>
            <w:tcW w:w="3325" w:type="dxa"/>
          </w:tcPr>
          <w:p w14:paraId="0C80451F" w14:textId="77777777" w:rsidR="00AD2554" w:rsidRPr="008D1D05" w:rsidRDefault="00AD2554" w:rsidP="00E9663B">
            <w:pPr>
              <w:spacing w:before="60" w:after="60"/>
              <w:jc w:val="both"/>
              <w:rPr>
                <w:color w:val="000000"/>
              </w:rPr>
            </w:pPr>
            <w:r w:rsidRPr="008D1D05">
              <w:rPr>
                <w:color w:val="000000"/>
              </w:rPr>
              <w:t>Information Security Policy; HR Security; Information security Organisation</w:t>
            </w:r>
          </w:p>
        </w:tc>
      </w:tr>
      <w:tr w:rsidR="00AD2554" w:rsidRPr="000F2520" w14:paraId="06CDAAD1" w14:textId="77777777" w:rsidTr="00B72A2C">
        <w:trPr>
          <w:trHeight w:val="735"/>
          <w:jc w:val="center"/>
        </w:trPr>
        <w:tc>
          <w:tcPr>
            <w:tcW w:w="647" w:type="dxa"/>
            <w:noWrap/>
          </w:tcPr>
          <w:p w14:paraId="0546A5A4" w14:textId="77777777" w:rsidR="00AD2554" w:rsidRPr="008D1D05" w:rsidRDefault="00AD2554" w:rsidP="00E9663B">
            <w:pPr>
              <w:spacing w:before="60" w:after="60"/>
              <w:jc w:val="right"/>
              <w:rPr>
                <w:color w:val="000000"/>
              </w:rPr>
            </w:pPr>
            <w:r>
              <w:rPr>
                <w:color w:val="000000"/>
              </w:rPr>
              <w:t>4</w:t>
            </w:r>
          </w:p>
        </w:tc>
        <w:tc>
          <w:tcPr>
            <w:tcW w:w="2183" w:type="dxa"/>
          </w:tcPr>
          <w:p w14:paraId="024D4518" w14:textId="77777777" w:rsidR="00AD2554" w:rsidRPr="008D1D05" w:rsidRDefault="00AD2554" w:rsidP="00E9663B">
            <w:pPr>
              <w:spacing w:before="60" w:after="60"/>
              <w:jc w:val="both"/>
              <w:rPr>
                <w:color w:val="000000"/>
              </w:rPr>
            </w:pPr>
            <w:r w:rsidRPr="008D1D05">
              <w:rPr>
                <w:color w:val="000000"/>
              </w:rPr>
              <w:t>Confidentiality</w:t>
            </w:r>
          </w:p>
        </w:tc>
        <w:tc>
          <w:tcPr>
            <w:tcW w:w="3557" w:type="dxa"/>
          </w:tcPr>
          <w:p w14:paraId="69606C41" w14:textId="77777777" w:rsidR="00AD2554" w:rsidRPr="008D1D05" w:rsidRDefault="00AD2554" w:rsidP="00E9663B">
            <w:pPr>
              <w:spacing w:before="60" w:after="60"/>
              <w:jc w:val="both"/>
              <w:rPr>
                <w:color w:val="000000"/>
              </w:rPr>
            </w:pPr>
            <w:r w:rsidRPr="008D1D05">
              <w:rPr>
                <w:color w:val="000000"/>
              </w:rPr>
              <w:t xml:space="preserve">Loss of confidentiality of info. whilst in transit externally (e.g., from data suppliers or to external hosting environment) </w:t>
            </w:r>
          </w:p>
        </w:tc>
        <w:tc>
          <w:tcPr>
            <w:tcW w:w="1443" w:type="dxa"/>
            <w:noWrap/>
          </w:tcPr>
          <w:p w14:paraId="3325DED8" w14:textId="77777777" w:rsidR="00AD2554" w:rsidRPr="008D1D05" w:rsidRDefault="00AD2554" w:rsidP="00E9663B">
            <w:pPr>
              <w:spacing w:before="60" w:after="60"/>
              <w:jc w:val="both"/>
              <w:rPr>
                <w:color w:val="000000"/>
              </w:rPr>
            </w:pPr>
            <w:r w:rsidRPr="008D1D05">
              <w:rPr>
                <w:color w:val="000000"/>
              </w:rPr>
              <w:t>Possible</w:t>
            </w:r>
          </w:p>
        </w:tc>
        <w:tc>
          <w:tcPr>
            <w:tcW w:w="1525" w:type="dxa"/>
            <w:noWrap/>
          </w:tcPr>
          <w:p w14:paraId="4EE2DE28" w14:textId="77777777" w:rsidR="00AD2554" w:rsidRPr="008D1D05" w:rsidRDefault="00AD2554" w:rsidP="00E9663B">
            <w:pPr>
              <w:spacing w:before="60" w:after="60"/>
              <w:jc w:val="both"/>
              <w:rPr>
                <w:color w:val="000000"/>
              </w:rPr>
            </w:pPr>
            <w:r w:rsidRPr="008D1D05">
              <w:rPr>
                <w:color w:val="000000"/>
              </w:rPr>
              <w:t>Moderate</w:t>
            </w:r>
          </w:p>
        </w:tc>
        <w:tc>
          <w:tcPr>
            <w:tcW w:w="1007" w:type="dxa"/>
            <w:noWrap/>
          </w:tcPr>
          <w:p w14:paraId="70718EA1" w14:textId="77777777" w:rsidR="00AD2554" w:rsidRPr="008D1D05" w:rsidRDefault="00AD2554" w:rsidP="00E9663B">
            <w:pPr>
              <w:spacing w:before="60" w:after="60"/>
              <w:jc w:val="both"/>
              <w:rPr>
                <w:color w:val="000000"/>
              </w:rPr>
            </w:pPr>
            <w:r w:rsidRPr="008D1D05">
              <w:rPr>
                <w:color w:val="000000"/>
              </w:rPr>
              <w:t>High</w:t>
            </w:r>
          </w:p>
        </w:tc>
        <w:tc>
          <w:tcPr>
            <w:tcW w:w="3325" w:type="dxa"/>
          </w:tcPr>
          <w:p w14:paraId="4F79981F" w14:textId="5B9BD1A6" w:rsidR="00AD2554" w:rsidRPr="008D1D05" w:rsidRDefault="00AD2554" w:rsidP="00E9663B">
            <w:pPr>
              <w:spacing w:before="60" w:after="60"/>
              <w:jc w:val="both"/>
              <w:rPr>
                <w:color w:val="000000"/>
              </w:rPr>
            </w:pPr>
            <w:r w:rsidRPr="008D1D05">
              <w:rPr>
                <w:color w:val="000000"/>
              </w:rPr>
              <w:t>Communications</w:t>
            </w:r>
            <w:r w:rsidR="00FA48F7">
              <w:rPr>
                <w:color w:val="000000"/>
              </w:rPr>
              <w:t xml:space="preserve"> </w:t>
            </w:r>
            <w:r w:rsidRPr="008D1D05">
              <w:rPr>
                <w:color w:val="000000"/>
              </w:rPr>
              <w:t>and Operations Management</w:t>
            </w:r>
          </w:p>
        </w:tc>
      </w:tr>
      <w:tr w:rsidR="00AD2554" w:rsidRPr="000F2520" w14:paraId="7A6FA4EE" w14:textId="77777777" w:rsidTr="00B72A2C">
        <w:trPr>
          <w:trHeight w:val="975"/>
          <w:jc w:val="center"/>
        </w:trPr>
        <w:tc>
          <w:tcPr>
            <w:tcW w:w="647" w:type="dxa"/>
            <w:noWrap/>
          </w:tcPr>
          <w:p w14:paraId="1B1EC754" w14:textId="77777777" w:rsidR="00AD2554" w:rsidRPr="008D1D05" w:rsidRDefault="00AD2554" w:rsidP="00E9663B">
            <w:pPr>
              <w:spacing w:before="60" w:after="60"/>
              <w:jc w:val="right"/>
              <w:rPr>
                <w:color w:val="000000"/>
              </w:rPr>
            </w:pPr>
            <w:r>
              <w:rPr>
                <w:color w:val="000000"/>
              </w:rPr>
              <w:lastRenderedPageBreak/>
              <w:t>5</w:t>
            </w:r>
          </w:p>
        </w:tc>
        <w:tc>
          <w:tcPr>
            <w:tcW w:w="2183" w:type="dxa"/>
          </w:tcPr>
          <w:p w14:paraId="06D1AC39" w14:textId="77777777" w:rsidR="00AD2554" w:rsidRPr="008D1D05" w:rsidRDefault="00AD2554" w:rsidP="00E9663B">
            <w:pPr>
              <w:spacing w:before="60" w:after="60"/>
              <w:jc w:val="both"/>
              <w:rPr>
                <w:color w:val="000000"/>
              </w:rPr>
            </w:pPr>
            <w:r w:rsidRPr="008D1D05">
              <w:rPr>
                <w:color w:val="000000"/>
              </w:rPr>
              <w:t>Confidentiality</w:t>
            </w:r>
          </w:p>
        </w:tc>
        <w:tc>
          <w:tcPr>
            <w:tcW w:w="3557" w:type="dxa"/>
          </w:tcPr>
          <w:p w14:paraId="34C8BDDB" w14:textId="77777777" w:rsidR="00AD2554" w:rsidRPr="008D1D05" w:rsidRDefault="00AD2554" w:rsidP="00E9663B">
            <w:pPr>
              <w:spacing w:before="60" w:after="60"/>
              <w:jc w:val="both"/>
              <w:rPr>
                <w:color w:val="000000"/>
              </w:rPr>
            </w:pPr>
            <w:r w:rsidRPr="008D1D05">
              <w:rPr>
                <w:color w:val="000000"/>
              </w:rPr>
              <w:t>Portable devices may store confidential information, which may then be left in public areas or stolen, leading to breach of confidentiality of multiple records</w:t>
            </w:r>
          </w:p>
        </w:tc>
        <w:tc>
          <w:tcPr>
            <w:tcW w:w="1443" w:type="dxa"/>
            <w:noWrap/>
          </w:tcPr>
          <w:p w14:paraId="14284869" w14:textId="77777777" w:rsidR="00AD2554" w:rsidRPr="008D1D05" w:rsidRDefault="00AD2554" w:rsidP="00E9663B">
            <w:pPr>
              <w:spacing w:before="60" w:after="60"/>
              <w:jc w:val="both"/>
              <w:rPr>
                <w:color w:val="000000"/>
              </w:rPr>
            </w:pPr>
            <w:r w:rsidRPr="008D1D05">
              <w:rPr>
                <w:color w:val="000000"/>
              </w:rPr>
              <w:t>Possible</w:t>
            </w:r>
          </w:p>
        </w:tc>
        <w:tc>
          <w:tcPr>
            <w:tcW w:w="1525" w:type="dxa"/>
            <w:noWrap/>
          </w:tcPr>
          <w:p w14:paraId="686EB36B" w14:textId="77777777" w:rsidR="00AD2554" w:rsidRPr="008D1D05" w:rsidRDefault="00AD2554" w:rsidP="00E9663B">
            <w:pPr>
              <w:spacing w:before="60" w:after="60"/>
              <w:jc w:val="both"/>
              <w:rPr>
                <w:color w:val="000000"/>
              </w:rPr>
            </w:pPr>
            <w:r w:rsidRPr="008D1D05">
              <w:rPr>
                <w:color w:val="000000"/>
              </w:rPr>
              <w:t>Moderate</w:t>
            </w:r>
          </w:p>
        </w:tc>
        <w:tc>
          <w:tcPr>
            <w:tcW w:w="1007" w:type="dxa"/>
            <w:noWrap/>
          </w:tcPr>
          <w:p w14:paraId="79E5F073" w14:textId="77777777" w:rsidR="00AD2554" w:rsidRPr="008D1D05" w:rsidRDefault="00AD2554" w:rsidP="00E9663B">
            <w:pPr>
              <w:spacing w:before="60" w:after="60"/>
              <w:jc w:val="both"/>
              <w:rPr>
                <w:color w:val="000000"/>
              </w:rPr>
            </w:pPr>
            <w:r w:rsidRPr="008D1D05">
              <w:rPr>
                <w:color w:val="000000"/>
              </w:rPr>
              <w:t>High</w:t>
            </w:r>
          </w:p>
        </w:tc>
        <w:tc>
          <w:tcPr>
            <w:tcW w:w="3325" w:type="dxa"/>
          </w:tcPr>
          <w:p w14:paraId="05467127" w14:textId="77777777" w:rsidR="00AD2554" w:rsidRPr="008D1D05" w:rsidRDefault="00AD2554" w:rsidP="00E9663B">
            <w:pPr>
              <w:spacing w:before="60" w:after="60"/>
              <w:jc w:val="both"/>
              <w:rPr>
                <w:color w:val="000000"/>
              </w:rPr>
            </w:pPr>
            <w:r w:rsidRPr="008D1D05">
              <w:rPr>
                <w:color w:val="000000"/>
              </w:rPr>
              <w:t>HR Security; Communications and Operations Management</w:t>
            </w:r>
          </w:p>
        </w:tc>
      </w:tr>
      <w:tr w:rsidR="00AD2554" w:rsidRPr="000F2520" w14:paraId="350EB37F" w14:textId="77777777" w:rsidTr="00B72A2C">
        <w:trPr>
          <w:trHeight w:val="735"/>
          <w:jc w:val="center"/>
        </w:trPr>
        <w:tc>
          <w:tcPr>
            <w:tcW w:w="647" w:type="dxa"/>
            <w:noWrap/>
          </w:tcPr>
          <w:p w14:paraId="28172E68" w14:textId="77777777" w:rsidR="00AD2554" w:rsidRPr="008D1D05" w:rsidRDefault="00AD2554" w:rsidP="00E9663B">
            <w:pPr>
              <w:spacing w:before="60" w:after="60"/>
              <w:jc w:val="right"/>
              <w:rPr>
                <w:color w:val="000000"/>
              </w:rPr>
            </w:pPr>
            <w:r>
              <w:rPr>
                <w:color w:val="000000"/>
              </w:rPr>
              <w:t>6</w:t>
            </w:r>
          </w:p>
        </w:tc>
        <w:tc>
          <w:tcPr>
            <w:tcW w:w="2183" w:type="dxa"/>
          </w:tcPr>
          <w:p w14:paraId="1C5C0DA5" w14:textId="77777777" w:rsidR="00AD2554" w:rsidRPr="008D1D05" w:rsidRDefault="00AD2554" w:rsidP="00E9663B">
            <w:pPr>
              <w:spacing w:before="60" w:after="60"/>
              <w:jc w:val="both"/>
              <w:rPr>
                <w:color w:val="000000"/>
              </w:rPr>
            </w:pPr>
            <w:r w:rsidRPr="008D1D05">
              <w:rPr>
                <w:color w:val="000000"/>
              </w:rPr>
              <w:t>Confidentiality</w:t>
            </w:r>
          </w:p>
        </w:tc>
        <w:tc>
          <w:tcPr>
            <w:tcW w:w="3557" w:type="dxa"/>
          </w:tcPr>
          <w:p w14:paraId="12843FD2" w14:textId="77777777" w:rsidR="00AD2554" w:rsidRPr="008D1D05" w:rsidRDefault="00AD2554" w:rsidP="00E9663B">
            <w:pPr>
              <w:spacing w:before="60" w:after="60"/>
              <w:jc w:val="both"/>
              <w:rPr>
                <w:color w:val="000000"/>
              </w:rPr>
            </w:pPr>
            <w:r w:rsidRPr="008D1D05">
              <w:rPr>
                <w:color w:val="000000"/>
              </w:rPr>
              <w:t>Breach of legislation due to Information used not in accordance with the purpose for which it has been collected (e.g.: violation of consent)</w:t>
            </w:r>
          </w:p>
        </w:tc>
        <w:tc>
          <w:tcPr>
            <w:tcW w:w="1443" w:type="dxa"/>
            <w:noWrap/>
          </w:tcPr>
          <w:p w14:paraId="76911CB3" w14:textId="77777777" w:rsidR="00AD2554" w:rsidRPr="008D1D05" w:rsidRDefault="00AD2554" w:rsidP="00E9663B">
            <w:pPr>
              <w:spacing w:before="60" w:after="60"/>
              <w:jc w:val="both"/>
              <w:rPr>
                <w:color w:val="000000"/>
              </w:rPr>
            </w:pPr>
            <w:r w:rsidRPr="008D1D05">
              <w:rPr>
                <w:color w:val="000000"/>
              </w:rPr>
              <w:t>Unlikely</w:t>
            </w:r>
          </w:p>
        </w:tc>
        <w:tc>
          <w:tcPr>
            <w:tcW w:w="1525" w:type="dxa"/>
            <w:noWrap/>
          </w:tcPr>
          <w:p w14:paraId="3806EED2" w14:textId="77777777" w:rsidR="00AD2554" w:rsidRPr="008D1D05" w:rsidRDefault="00AD2554" w:rsidP="00E9663B">
            <w:pPr>
              <w:spacing w:before="60" w:after="60"/>
              <w:jc w:val="both"/>
              <w:rPr>
                <w:color w:val="000000"/>
              </w:rPr>
            </w:pPr>
            <w:r w:rsidRPr="008D1D05">
              <w:rPr>
                <w:color w:val="000000"/>
              </w:rPr>
              <w:t>Moderate</w:t>
            </w:r>
          </w:p>
        </w:tc>
        <w:tc>
          <w:tcPr>
            <w:tcW w:w="1007" w:type="dxa"/>
            <w:noWrap/>
          </w:tcPr>
          <w:p w14:paraId="7D04C86D" w14:textId="77777777" w:rsidR="00AD2554" w:rsidRPr="008D1D05" w:rsidRDefault="00AD2554" w:rsidP="00E9663B">
            <w:pPr>
              <w:spacing w:before="60" w:after="60"/>
              <w:jc w:val="both"/>
              <w:rPr>
                <w:color w:val="000000"/>
              </w:rPr>
            </w:pPr>
            <w:r w:rsidRPr="008D1D05">
              <w:rPr>
                <w:color w:val="000000"/>
              </w:rPr>
              <w:t>Medium</w:t>
            </w:r>
          </w:p>
        </w:tc>
        <w:tc>
          <w:tcPr>
            <w:tcW w:w="3325" w:type="dxa"/>
          </w:tcPr>
          <w:p w14:paraId="3B89EB25" w14:textId="77777777" w:rsidR="00AD2554" w:rsidRPr="008D1D05" w:rsidRDefault="00AD2554" w:rsidP="00E9663B">
            <w:pPr>
              <w:spacing w:before="60" w:after="60"/>
              <w:jc w:val="both"/>
              <w:rPr>
                <w:color w:val="000000"/>
              </w:rPr>
            </w:pPr>
            <w:r w:rsidRPr="008D1D05">
              <w:rPr>
                <w:color w:val="000000"/>
              </w:rPr>
              <w:t>Compliance; HR Security</w:t>
            </w:r>
          </w:p>
        </w:tc>
      </w:tr>
      <w:tr w:rsidR="00AD2554" w:rsidRPr="000F2520" w14:paraId="69225B4A" w14:textId="77777777" w:rsidTr="00B72A2C">
        <w:trPr>
          <w:trHeight w:val="735"/>
          <w:jc w:val="center"/>
        </w:trPr>
        <w:tc>
          <w:tcPr>
            <w:tcW w:w="647" w:type="dxa"/>
            <w:noWrap/>
          </w:tcPr>
          <w:p w14:paraId="1008ECCD" w14:textId="77777777" w:rsidR="00AD2554" w:rsidRPr="008D1D05" w:rsidRDefault="00AD2554" w:rsidP="00E9663B">
            <w:pPr>
              <w:spacing w:before="60" w:after="60"/>
              <w:jc w:val="right"/>
              <w:rPr>
                <w:color w:val="000000"/>
              </w:rPr>
            </w:pPr>
            <w:r>
              <w:rPr>
                <w:color w:val="000000"/>
              </w:rPr>
              <w:t>7</w:t>
            </w:r>
          </w:p>
        </w:tc>
        <w:tc>
          <w:tcPr>
            <w:tcW w:w="2183" w:type="dxa"/>
          </w:tcPr>
          <w:p w14:paraId="417129E6" w14:textId="77777777" w:rsidR="00AD2554" w:rsidRPr="008D1D05" w:rsidRDefault="00AD2554" w:rsidP="00E9663B">
            <w:pPr>
              <w:spacing w:before="60" w:after="60"/>
              <w:jc w:val="both"/>
              <w:rPr>
                <w:color w:val="000000"/>
              </w:rPr>
            </w:pPr>
            <w:r w:rsidRPr="008D1D05">
              <w:rPr>
                <w:color w:val="000000"/>
              </w:rPr>
              <w:t>Confidentiality</w:t>
            </w:r>
          </w:p>
        </w:tc>
        <w:tc>
          <w:tcPr>
            <w:tcW w:w="3557" w:type="dxa"/>
          </w:tcPr>
          <w:p w14:paraId="2D612397" w14:textId="77777777" w:rsidR="00AD2554" w:rsidRPr="008D1D05" w:rsidRDefault="00AD2554" w:rsidP="00E9663B">
            <w:pPr>
              <w:spacing w:before="60" w:after="60"/>
              <w:jc w:val="both"/>
              <w:rPr>
                <w:color w:val="000000"/>
              </w:rPr>
            </w:pPr>
            <w:r w:rsidRPr="008D1D05">
              <w:rPr>
                <w:color w:val="000000"/>
              </w:rPr>
              <w:t>Theft of (non-portable) information systems containing confidential information</w:t>
            </w:r>
          </w:p>
        </w:tc>
        <w:tc>
          <w:tcPr>
            <w:tcW w:w="1443" w:type="dxa"/>
            <w:noWrap/>
          </w:tcPr>
          <w:p w14:paraId="029F12D4" w14:textId="77777777" w:rsidR="00AD2554" w:rsidRPr="008D1D05" w:rsidRDefault="00AD2554" w:rsidP="00E9663B">
            <w:pPr>
              <w:spacing w:before="60" w:after="60"/>
              <w:jc w:val="both"/>
              <w:rPr>
                <w:color w:val="000000"/>
              </w:rPr>
            </w:pPr>
            <w:r w:rsidRPr="008D1D05">
              <w:rPr>
                <w:color w:val="000000"/>
              </w:rPr>
              <w:t>Unlikely</w:t>
            </w:r>
          </w:p>
        </w:tc>
        <w:tc>
          <w:tcPr>
            <w:tcW w:w="1525" w:type="dxa"/>
            <w:noWrap/>
          </w:tcPr>
          <w:p w14:paraId="2BA2009F" w14:textId="77777777" w:rsidR="00AD2554" w:rsidRPr="008D1D05" w:rsidRDefault="00AD2554" w:rsidP="00E9663B">
            <w:pPr>
              <w:spacing w:before="60" w:after="60"/>
              <w:jc w:val="both"/>
              <w:rPr>
                <w:color w:val="000000"/>
              </w:rPr>
            </w:pPr>
            <w:r w:rsidRPr="008D1D05">
              <w:rPr>
                <w:color w:val="000000"/>
              </w:rPr>
              <w:t>Moderate</w:t>
            </w:r>
          </w:p>
        </w:tc>
        <w:tc>
          <w:tcPr>
            <w:tcW w:w="1007" w:type="dxa"/>
            <w:noWrap/>
          </w:tcPr>
          <w:p w14:paraId="00FE90AF" w14:textId="77777777" w:rsidR="00AD2554" w:rsidRPr="008D1D05" w:rsidRDefault="00AD2554" w:rsidP="00E9663B">
            <w:pPr>
              <w:spacing w:before="60" w:after="60"/>
              <w:jc w:val="both"/>
              <w:rPr>
                <w:color w:val="000000"/>
              </w:rPr>
            </w:pPr>
            <w:r w:rsidRPr="008D1D05">
              <w:rPr>
                <w:color w:val="000000"/>
              </w:rPr>
              <w:t>Medium</w:t>
            </w:r>
          </w:p>
        </w:tc>
        <w:tc>
          <w:tcPr>
            <w:tcW w:w="3325" w:type="dxa"/>
          </w:tcPr>
          <w:p w14:paraId="4101478A" w14:textId="77777777" w:rsidR="00AD2554" w:rsidRPr="008D1D05" w:rsidRDefault="00AD2554" w:rsidP="00E9663B">
            <w:pPr>
              <w:spacing w:before="60" w:after="60"/>
              <w:jc w:val="both"/>
              <w:rPr>
                <w:color w:val="000000"/>
              </w:rPr>
            </w:pPr>
            <w:r w:rsidRPr="008D1D05">
              <w:rPr>
                <w:color w:val="000000"/>
              </w:rPr>
              <w:t>Physical Security</w:t>
            </w:r>
          </w:p>
        </w:tc>
      </w:tr>
      <w:tr w:rsidR="00AD2554" w:rsidRPr="000F2520" w14:paraId="6EDA07D0" w14:textId="77777777" w:rsidTr="00B72A2C">
        <w:trPr>
          <w:trHeight w:val="735"/>
          <w:jc w:val="center"/>
        </w:trPr>
        <w:tc>
          <w:tcPr>
            <w:tcW w:w="647" w:type="dxa"/>
            <w:noWrap/>
          </w:tcPr>
          <w:p w14:paraId="6615093C" w14:textId="77777777" w:rsidR="00AD2554" w:rsidRPr="008D1D05" w:rsidRDefault="00AD2554" w:rsidP="00E9663B">
            <w:pPr>
              <w:spacing w:before="60" w:after="60"/>
              <w:jc w:val="right"/>
              <w:rPr>
                <w:color w:val="000000"/>
              </w:rPr>
            </w:pPr>
            <w:r>
              <w:rPr>
                <w:color w:val="000000"/>
              </w:rPr>
              <w:t>8</w:t>
            </w:r>
          </w:p>
        </w:tc>
        <w:tc>
          <w:tcPr>
            <w:tcW w:w="2183" w:type="dxa"/>
          </w:tcPr>
          <w:p w14:paraId="50103D74" w14:textId="77777777" w:rsidR="00AD2554" w:rsidRPr="008D1D05" w:rsidRDefault="00AD2554" w:rsidP="00E9663B">
            <w:pPr>
              <w:spacing w:before="60" w:after="60"/>
              <w:jc w:val="both"/>
              <w:rPr>
                <w:color w:val="000000"/>
              </w:rPr>
            </w:pPr>
            <w:r w:rsidRPr="008D1D05">
              <w:rPr>
                <w:color w:val="000000"/>
              </w:rPr>
              <w:t>Confidentiality</w:t>
            </w:r>
          </w:p>
        </w:tc>
        <w:tc>
          <w:tcPr>
            <w:tcW w:w="3557" w:type="dxa"/>
          </w:tcPr>
          <w:p w14:paraId="1A12723F" w14:textId="77777777" w:rsidR="00AD2554" w:rsidRPr="008D1D05" w:rsidRDefault="00AD2554" w:rsidP="00E9663B">
            <w:pPr>
              <w:spacing w:before="60" w:after="60"/>
              <w:jc w:val="both"/>
              <w:rPr>
                <w:color w:val="000000"/>
              </w:rPr>
            </w:pPr>
            <w:r w:rsidRPr="008D1D05">
              <w:rPr>
                <w:color w:val="000000"/>
              </w:rPr>
              <w:t>Authorised user inadvertently gives information to unauthorised user</w:t>
            </w:r>
          </w:p>
        </w:tc>
        <w:tc>
          <w:tcPr>
            <w:tcW w:w="1443" w:type="dxa"/>
            <w:noWrap/>
          </w:tcPr>
          <w:p w14:paraId="50B58BF7" w14:textId="77777777" w:rsidR="00AD2554" w:rsidRPr="008D1D05" w:rsidRDefault="00AD2554" w:rsidP="00E9663B">
            <w:pPr>
              <w:spacing w:before="60" w:after="60"/>
              <w:jc w:val="both"/>
              <w:rPr>
                <w:color w:val="000000"/>
              </w:rPr>
            </w:pPr>
            <w:r w:rsidRPr="008D1D05">
              <w:rPr>
                <w:color w:val="000000"/>
              </w:rPr>
              <w:t>Unlikely</w:t>
            </w:r>
          </w:p>
        </w:tc>
        <w:tc>
          <w:tcPr>
            <w:tcW w:w="1525" w:type="dxa"/>
            <w:noWrap/>
          </w:tcPr>
          <w:p w14:paraId="5FC75B98" w14:textId="77777777" w:rsidR="00AD2554" w:rsidRPr="008D1D05" w:rsidRDefault="00AD2554" w:rsidP="00E9663B">
            <w:pPr>
              <w:spacing w:before="60" w:after="60"/>
              <w:jc w:val="both"/>
              <w:rPr>
                <w:color w:val="000000"/>
              </w:rPr>
            </w:pPr>
            <w:r w:rsidRPr="008D1D05">
              <w:rPr>
                <w:color w:val="000000"/>
              </w:rPr>
              <w:t>Moderate</w:t>
            </w:r>
          </w:p>
        </w:tc>
        <w:tc>
          <w:tcPr>
            <w:tcW w:w="1007" w:type="dxa"/>
            <w:noWrap/>
          </w:tcPr>
          <w:p w14:paraId="7E11C064" w14:textId="77777777" w:rsidR="00AD2554" w:rsidRPr="008D1D05" w:rsidRDefault="00AD2554" w:rsidP="00E9663B">
            <w:pPr>
              <w:spacing w:before="60" w:after="60"/>
              <w:jc w:val="both"/>
              <w:rPr>
                <w:color w:val="000000"/>
              </w:rPr>
            </w:pPr>
            <w:r w:rsidRPr="008D1D05">
              <w:rPr>
                <w:color w:val="000000"/>
              </w:rPr>
              <w:t>Medium</w:t>
            </w:r>
          </w:p>
        </w:tc>
        <w:tc>
          <w:tcPr>
            <w:tcW w:w="3325" w:type="dxa"/>
          </w:tcPr>
          <w:p w14:paraId="0A0EA4EE" w14:textId="77777777" w:rsidR="00AD2554" w:rsidRPr="008D1D05" w:rsidRDefault="00AD2554" w:rsidP="00E9663B">
            <w:pPr>
              <w:spacing w:before="60" w:after="60"/>
              <w:jc w:val="both"/>
              <w:rPr>
                <w:color w:val="000000"/>
              </w:rPr>
            </w:pPr>
            <w:r w:rsidRPr="008D1D05">
              <w:rPr>
                <w:color w:val="000000"/>
              </w:rPr>
              <w:t xml:space="preserve">HR Security; </w:t>
            </w:r>
          </w:p>
        </w:tc>
      </w:tr>
      <w:tr w:rsidR="00AD2554" w:rsidRPr="000F2520" w14:paraId="75CE09C9" w14:textId="77777777" w:rsidTr="00B72A2C">
        <w:trPr>
          <w:trHeight w:val="735"/>
          <w:jc w:val="center"/>
        </w:trPr>
        <w:tc>
          <w:tcPr>
            <w:tcW w:w="647" w:type="dxa"/>
            <w:noWrap/>
          </w:tcPr>
          <w:p w14:paraId="3D6AB019" w14:textId="77777777" w:rsidR="00AD2554" w:rsidRPr="008D1D05" w:rsidRDefault="00AD2554" w:rsidP="00E9663B">
            <w:pPr>
              <w:spacing w:before="60" w:after="60"/>
              <w:jc w:val="right"/>
              <w:rPr>
                <w:color w:val="000000"/>
              </w:rPr>
            </w:pPr>
            <w:r>
              <w:rPr>
                <w:color w:val="000000"/>
              </w:rPr>
              <w:t>9</w:t>
            </w:r>
          </w:p>
        </w:tc>
        <w:tc>
          <w:tcPr>
            <w:tcW w:w="2183" w:type="dxa"/>
            <w:noWrap/>
          </w:tcPr>
          <w:p w14:paraId="40F27A89" w14:textId="77777777" w:rsidR="00AD2554" w:rsidRPr="008D1D05" w:rsidRDefault="00AD2554" w:rsidP="00E9663B">
            <w:pPr>
              <w:spacing w:before="60" w:after="60"/>
              <w:jc w:val="both"/>
              <w:rPr>
                <w:color w:val="000000"/>
              </w:rPr>
            </w:pPr>
            <w:r w:rsidRPr="008D1D05">
              <w:rPr>
                <w:color w:val="000000"/>
              </w:rPr>
              <w:t>Integrity</w:t>
            </w:r>
          </w:p>
        </w:tc>
        <w:tc>
          <w:tcPr>
            <w:tcW w:w="3557" w:type="dxa"/>
          </w:tcPr>
          <w:p w14:paraId="3153B03D" w14:textId="77777777" w:rsidR="00AD2554" w:rsidRPr="008D1D05" w:rsidRDefault="00AD2554" w:rsidP="00E9663B">
            <w:pPr>
              <w:spacing w:before="60" w:after="60"/>
              <w:jc w:val="both"/>
              <w:rPr>
                <w:color w:val="000000"/>
              </w:rPr>
            </w:pPr>
            <w:r w:rsidRPr="008D1D05">
              <w:rPr>
                <w:color w:val="000000"/>
              </w:rPr>
              <w:t>Data integrity errors in bulk upload / external file transfers</w:t>
            </w:r>
          </w:p>
        </w:tc>
        <w:tc>
          <w:tcPr>
            <w:tcW w:w="1443" w:type="dxa"/>
            <w:noWrap/>
          </w:tcPr>
          <w:p w14:paraId="729CDF29" w14:textId="77777777" w:rsidR="00AD2554" w:rsidRPr="008D1D05" w:rsidRDefault="00AD2554" w:rsidP="00E9663B">
            <w:pPr>
              <w:spacing w:before="60" w:after="60"/>
              <w:jc w:val="both"/>
              <w:rPr>
                <w:color w:val="000000"/>
              </w:rPr>
            </w:pPr>
            <w:r w:rsidRPr="008D1D05">
              <w:rPr>
                <w:color w:val="000000"/>
              </w:rPr>
              <w:t>Possible</w:t>
            </w:r>
          </w:p>
        </w:tc>
        <w:tc>
          <w:tcPr>
            <w:tcW w:w="1525" w:type="dxa"/>
            <w:noWrap/>
          </w:tcPr>
          <w:p w14:paraId="072A2148" w14:textId="77777777" w:rsidR="00AD2554" w:rsidRPr="008D1D05" w:rsidRDefault="00AD2554" w:rsidP="00E9663B">
            <w:pPr>
              <w:spacing w:before="60" w:after="60"/>
              <w:jc w:val="both"/>
              <w:rPr>
                <w:color w:val="000000"/>
              </w:rPr>
            </w:pPr>
            <w:r w:rsidRPr="008D1D05">
              <w:rPr>
                <w:color w:val="000000"/>
              </w:rPr>
              <w:t>Moderate</w:t>
            </w:r>
          </w:p>
        </w:tc>
        <w:tc>
          <w:tcPr>
            <w:tcW w:w="1007" w:type="dxa"/>
            <w:noWrap/>
          </w:tcPr>
          <w:p w14:paraId="764B8485" w14:textId="77777777" w:rsidR="00AD2554" w:rsidRPr="008D1D05" w:rsidRDefault="00AD2554" w:rsidP="00E9663B">
            <w:pPr>
              <w:spacing w:before="60" w:after="60"/>
              <w:jc w:val="both"/>
              <w:rPr>
                <w:color w:val="000000"/>
              </w:rPr>
            </w:pPr>
            <w:r w:rsidRPr="008D1D05">
              <w:rPr>
                <w:color w:val="000000"/>
              </w:rPr>
              <w:t>High</w:t>
            </w:r>
          </w:p>
        </w:tc>
        <w:tc>
          <w:tcPr>
            <w:tcW w:w="3325" w:type="dxa"/>
          </w:tcPr>
          <w:p w14:paraId="4A27D974" w14:textId="77777777" w:rsidR="00AD2554" w:rsidRPr="008D1D05" w:rsidRDefault="00AD2554" w:rsidP="00E9663B">
            <w:pPr>
              <w:spacing w:before="60" w:after="60"/>
              <w:jc w:val="both"/>
              <w:rPr>
                <w:color w:val="000000"/>
              </w:rPr>
            </w:pPr>
            <w:r w:rsidRPr="008D1D05">
              <w:rPr>
                <w:color w:val="000000"/>
              </w:rPr>
              <w:t>Information Systems Acquisition, Development and Maintenance</w:t>
            </w:r>
          </w:p>
        </w:tc>
      </w:tr>
      <w:tr w:rsidR="00AD2554" w:rsidRPr="000F2520" w14:paraId="4AF3D0E7" w14:textId="77777777" w:rsidTr="00B72A2C">
        <w:trPr>
          <w:trHeight w:val="735"/>
          <w:jc w:val="center"/>
        </w:trPr>
        <w:tc>
          <w:tcPr>
            <w:tcW w:w="647" w:type="dxa"/>
            <w:noWrap/>
          </w:tcPr>
          <w:p w14:paraId="7C5A4B44" w14:textId="77777777" w:rsidR="00AD2554" w:rsidRPr="008D1D05" w:rsidRDefault="00AD2554" w:rsidP="00E9663B">
            <w:pPr>
              <w:spacing w:before="60" w:after="60"/>
              <w:jc w:val="right"/>
              <w:rPr>
                <w:color w:val="000000"/>
              </w:rPr>
            </w:pPr>
            <w:r w:rsidRPr="008D1D05">
              <w:rPr>
                <w:color w:val="000000"/>
              </w:rPr>
              <w:t>1</w:t>
            </w:r>
            <w:r>
              <w:rPr>
                <w:color w:val="000000"/>
              </w:rPr>
              <w:t>0</w:t>
            </w:r>
          </w:p>
        </w:tc>
        <w:tc>
          <w:tcPr>
            <w:tcW w:w="2183" w:type="dxa"/>
            <w:noWrap/>
          </w:tcPr>
          <w:p w14:paraId="2F067B98" w14:textId="77777777" w:rsidR="00AD2554" w:rsidRPr="008D1D05" w:rsidRDefault="00AD2554" w:rsidP="00E9663B">
            <w:pPr>
              <w:spacing w:before="60" w:after="60"/>
              <w:jc w:val="both"/>
              <w:rPr>
                <w:color w:val="000000"/>
              </w:rPr>
            </w:pPr>
            <w:r w:rsidRPr="008D1D05">
              <w:rPr>
                <w:color w:val="000000"/>
              </w:rPr>
              <w:t>Integrity</w:t>
            </w:r>
          </w:p>
        </w:tc>
        <w:tc>
          <w:tcPr>
            <w:tcW w:w="3557" w:type="dxa"/>
          </w:tcPr>
          <w:p w14:paraId="26C054DB" w14:textId="77777777" w:rsidR="00AD2554" w:rsidRPr="008D1D05" w:rsidRDefault="00AD2554" w:rsidP="00E9663B">
            <w:pPr>
              <w:spacing w:before="60" w:after="60"/>
              <w:jc w:val="both"/>
              <w:rPr>
                <w:color w:val="000000"/>
              </w:rPr>
            </w:pPr>
            <w:r w:rsidRPr="008D1D05">
              <w:rPr>
                <w:color w:val="000000"/>
              </w:rPr>
              <w:t>Data quality errors through data entry from data entry person (transposition)</w:t>
            </w:r>
          </w:p>
        </w:tc>
        <w:tc>
          <w:tcPr>
            <w:tcW w:w="1443" w:type="dxa"/>
            <w:noWrap/>
          </w:tcPr>
          <w:p w14:paraId="3B8418D8" w14:textId="77777777" w:rsidR="00AD2554" w:rsidRPr="008D1D05" w:rsidRDefault="00AD2554" w:rsidP="00E9663B">
            <w:pPr>
              <w:spacing w:before="60" w:after="60"/>
              <w:jc w:val="both"/>
              <w:rPr>
                <w:color w:val="000000"/>
              </w:rPr>
            </w:pPr>
            <w:r w:rsidRPr="008D1D05">
              <w:rPr>
                <w:color w:val="000000"/>
              </w:rPr>
              <w:t>Unlikely</w:t>
            </w:r>
          </w:p>
        </w:tc>
        <w:tc>
          <w:tcPr>
            <w:tcW w:w="1525" w:type="dxa"/>
            <w:noWrap/>
          </w:tcPr>
          <w:p w14:paraId="55B9F4A7" w14:textId="77777777" w:rsidR="00AD2554" w:rsidRPr="008D1D05" w:rsidRDefault="00AD2554" w:rsidP="00E9663B">
            <w:pPr>
              <w:spacing w:before="60" w:after="60"/>
              <w:jc w:val="both"/>
              <w:rPr>
                <w:color w:val="000000"/>
              </w:rPr>
            </w:pPr>
            <w:r w:rsidRPr="008D1D05">
              <w:rPr>
                <w:color w:val="000000"/>
              </w:rPr>
              <w:t>Insignificant</w:t>
            </w:r>
          </w:p>
        </w:tc>
        <w:tc>
          <w:tcPr>
            <w:tcW w:w="1007" w:type="dxa"/>
            <w:noWrap/>
          </w:tcPr>
          <w:p w14:paraId="59EB90DE" w14:textId="77777777" w:rsidR="00AD2554" w:rsidRPr="008D1D05" w:rsidRDefault="00AD2554" w:rsidP="00E9663B">
            <w:pPr>
              <w:spacing w:before="60" w:after="60"/>
              <w:jc w:val="both"/>
              <w:rPr>
                <w:color w:val="000000"/>
              </w:rPr>
            </w:pPr>
            <w:r w:rsidRPr="008D1D05">
              <w:rPr>
                <w:color w:val="000000"/>
              </w:rPr>
              <w:t>Low</w:t>
            </w:r>
          </w:p>
        </w:tc>
        <w:tc>
          <w:tcPr>
            <w:tcW w:w="3325" w:type="dxa"/>
          </w:tcPr>
          <w:p w14:paraId="3D218B8F" w14:textId="77777777" w:rsidR="00AD2554" w:rsidRPr="008D1D05" w:rsidRDefault="00AD2554" w:rsidP="00E9663B">
            <w:pPr>
              <w:spacing w:before="60" w:after="60"/>
              <w:jc w:val="both"/>
              <w:rPr>
                <w:color w:val="000000"/>
              </w:rPr>
            </w:pPr>
            <w:r w:rsidRPr="008D1D05">
              <w:rPr>
                <w:color w:val="000000"/>
              </w:rPr>
              <w:t>Information Systems Acquisition, Development and Maintenance; HR Security</w:t>
            </w:r>
          </w:p>
        </w:tc>
      </w:tr>
      <w:tr w:rsidR="00AD2554" w:rsidRPr="000F2520" w14:paraId="2C4C682C" w14:textId="77777777" w:rsidTr="00B72A2C">
        <w:trPr>
          <w:trHeight w:val="735"/>
          <w:jc w:val="center"/>
        </w:trPr>
        <w:tc>
          <w:tcPr>
            <w:tcW w:w="647" w:type="dxa"/>
            <w:noWrap/>
          </w:tcPr>
          <w:p w14:paraId="06A21399" w14:textId="77777777" w:rsidR="00AD2554" w:rsidRPr="008D1D05" w:rsidRDefault="00AD2554" w:rsidP="00E9663B">
            <w:pPr>
              <w:spacing w:before="60" w:after="60"/>
              <w:jc w:val="right"/>
              <w:rPr>
                <w:color w:val="000000"/>
              </w:rPr>
            </w:pPr>
            <w:r w:rsidRPr="008D1D05">
              <w:rPr>
                <w:color w:val="000000"/>
              </w:rPr>
              <w:lastRenderedPageBreak/>
              <w:t>1</w:t>
            </w:r>
            <w:r>
              <w:rPr>
                <w:color w:val="000000"/>
              </w:rPr>
              <w:t>1</w:t>
            </w:r>
          </w:p>
        </w:tc>
        <w:tc>
          <w:tcPr>
            <w:tcW w:w="2183" w:type="dxa"/>
            <w:noWrap/>
          </w:tcPr>
          <w:p w14:paraId="12D69AB8" w14:textId="77777777" w:rsidR="00AD2554" w:rsidRPr="008D1D05" w:rsidRDefault="00AD2554" w:rsidP="00E9663B">
            <w:pPr>
              <w:spacing w:before="60" w:after="60"/>
              <w:jc w:val="both"/>
              <w:rPr>
                <w:color w:val="000000"/>
              </w:rPr>
            </w:pPr>
            <w:r w:rsidRPr="008D1D05">
              <w:rPr>
                <w:color w:val="000000"/>
              </w:rPr>
              <w:t>Integrity</w:t>
            </w:r>
          </w:p>
        </w:tc>
        <w:tc>
          <w:tcPr>
            <w:tcW w:w="3557" w:type="dxa"/>
          </w:tcPr>
          <w:p w14:paraId="4DFA38EB" w14:textId="77777777" w:rsidR="00AD2554" w:rsidRPr="008D1D05" w:rsidRDefault="00AD2554" w:rsidP="00E9663B">
            <w:pPr>
              <w:spacing w:before="60" w:after="60"/>
              <w:jc w:val="both"/>
              <w:rPr>
                <w:color w:val="000000"/>
              </w:rPr>
            </w:pPr>
            <w:r w:rsidRPr="008D1D05">
              <w:rPr>
                <w:color w:val="000000"/>
              </w:rPr>
              <w:t xml:space="preserve">Malicious staff purposely change multiple records </w:t>
            </w:r>
          </w:p>
        </w:tc>
        <w:tc>
          <w:tcPr>
            <w:tcW w:w="1443" w:type="dxa"/>
            <w:noWrap/>
          </w:tcPr>
          <w:p w14:paraId="1366726E" w14:textId="77777777" w:rsidR="00AD2554" w:rsidRPr="008D1D05" w:rsidRDefault="00AD2554" w:rsidP="00E9663B">
            <w:pPr>
              <w:spacing w:before="60" w:after="60"/>
              <w:jc w:val="both"/>
              <w:rPr>
                <w:color w:val="000000"/>
              </w:rPr>
            </w:pPr>
            <w:r w:rsidRPr="008D1D05">
              <w:rPr>
                <w:color w:val="000000"/>
              </w:rPr>
              <w:t>Unlikely</w:t>
            </w:r>
          </w:p>
        </w:tc>
        <w:tc>
          <w:tcPr>
            <w:tcW w:w="1525" w:type="dxa"/>
            <w:noWrap/>
          </w:tcPr>
          <w:p w14:paraId="5C409E61" w14:textId="77777777" w:rsidR="00AD2554" w:rsidRPr="008D1D05" w:rsidRDefault="00AD2554" w:rsidP="00E9663B">
            <w:pPr>
              <w:spacing w:before="60" w:after="60"/>
              <w:jc w:val="both"/>
              <w:rPr>
                <w:color w:val="000000"/>
              </w:rPr>
            </w:pPr>
            <w:r w:rsidRPr="008D1D05">
              <w:rPr>
                <w:color w:val="000000"/>
              </w:rPr>
              <w:t>Moderate</w:t>
            </w:r>
          </w:p>
        </w:tc>
        <w:tc>
          <w:tcPr>
            <w:tcW w:w="1007" w:type="dxa"/>
            <w:noWrap/>
          </w:tcPr>
          <w:p w14:paraId="3608E6D3" w14:textId="77777777" w:rsidR="00AD2554" w:rsidRPr="008D1D05" w:rsidRDefault="00AD2554" w:rsidP="00E9663B">
            <w:pPr>
              <w:spacing w:before="60" w:after="60"/>
              <w:jc w:val="both"/>
              <w:rPr>
                <w:color w:val="000000"/>
              </w:rPr>
            </w:pPr>
            <w:r w:rsidRPr="008D1D05">
              <w:rPr>
                <w:color w:val="000000"/>
              </w:rPr>
              <w:t>Medium</w:t>
            </w:r>
          </w:p>
        </w:tc>
        <w:tc>
          <w:tcPr>
            <w:tcW w:w="3325" w:type="dxa"/>
          </w:tcPr>
          <w:p w14:paraId="0E8C0299" w14:textId="77777777" w:rsidR="00AD2554" w:rsidRPr="008D1D05" w:rsidRDefault="00AD2554" w:rsidP="00E9663B">
            <w:pPr>
              <w:spacing w:before="60" w:after="60"/>
              <w:jc w:val="both"/>
              <w:rPr>
                <w:color w:val="000000"/>
              </w:rPr>
            </w:pPr>
            <w:r w:rsidRPr="008D1D05">
              <w:rPr>
                <w:color w:val="000000"/>
              </w:rPr>
              <w:t>HR Security; Communications and Operations Management; Access Control</w:t>
            </w:r>
          </w:p>
        </w:tc>
      </w:tr>
      <w:tr w:rsidR="00AD2554" w:rsidRPr="000F2520" w14:paraId="579CC78D" w14:textId="77777777" w:rsidTr="00B72A2C">
        <w:trPr>
          <w:trHeight w:val="735"/>
          <w:jc w:val="center"/>
        </w:trPr>
        <w:tc>
          <w:tcPr>
            <w:tcW w:w="647" w:type="dxa"/>
            <w:noWrap/>
          </w:tcPr>
          <w:p w14:paraId="0A45297E" w14:textId="77777777" w:rsidR="00AD2554" w:rsidRPr="008D1D05" w:rsidRDefault="00AD2554" w:rsidP="00E9663B">
            <w:pPr>
              <w:spacing w:before="60" w:after="60"/>
              <w:jc w:val="right"/>
              <w:rPr>
                <w:color w:val="000000"/>
              </w:rPr>
            </w:pPr>
            <w:r w:rsidRPr="008D1D05">
              <w:rPr>
                <w:color w:val="000000"/>
              </w:rPr>
              <w:t>1</w:t>
            </w:r>
            <w:r>
              <w:rPr>
                <w:color w:val="000000"/>
              </w:rPr>
              <w:t>2</w:t>
            </w:r>
          </w:p>
        </w:tc>
        <w:tc>
          <w:tcPr>
            <w:tcW w:w="2183" w:type="dxa"/>
            <w:noWrap/>
          </w:tcPr>
          <w:p w14:paraId="1A558185" w14:textId="77777777" w:rsidR="00AD2554" w:rsidRPr="008D1D05" w:rsidRDefault="00AD2554" w:rsidP="00E9663B">
            <w:pPr>
              <w:spacing w:before="60" w:after="60"/>
              <w:jc w:val="both"/>
              <w:rPr>
                <w:color w:val="000000"/>
              </w:rPr>
            </w:pPr>
            <w:r w:rsidRPr="008D1D05">
              <w:rPr>
                <w:color w:val="000000"/>
              </w:rPr>
              <w:t>Integrity</w:t>
            </w:r>
          </w:p>
        </w:tc>
        <w:tc>
          <w:tcPr>
            <w:tcW w:w="3557" w:type="dxa"/>
          </w:tcPr>
          <w:p w14:paraId="5D568E60" w14:textId="77777777" w:rsidR="00AD2554" w:rsidRPr="008D1D05" w:rsidRDefault="00AD2554" w:rsidP="00E9663B">
            <w:pPr>
              <w:spacing w:before="60" w:after="60"/>
              <w:jc w:val="both"/>
              <w:rPr>
                <w:color w:val="000000"/>
              </w:rPr>
            </w:pPr>
            <w:r w:rsidRPr="008D1D05">
              <w:rPr>
                <w:color w:val="000000"/>
              </w:rPr>
              <w:t>Untrained/unskilled staff accidentally change multiple records</w:t>
            </w:r>
          </w:p>
        </w:tc>
        <w:tc>
          <w:tcPr>
            <w:tcW w:w="1443" w:type="dxa"/>
            <w:noWrap/>
          </w:tcPr>
          <w:p w14:paraId="5CA0E884" w14:textId="77777777" w:rsidR="00AD2554" w:rsidRPr="008D1D05" w:rsidRDefault="00AD2554" w:rsidP="00E9663B">
            <w:pPr>
              <w:spacing w:before="60" w:after="60"/>
              <w:jc w:val="both"/>
              <w:rPr>
                <w:color w:val="000000"/>
              </w:rPr>
            </w:pPr>
            <w:r w:rsidRPr="008D1D05">
              <w:rPr>
                <w:color w:val="000000"/>
              </w:rPr>
              <w:t>Unlikely</w:t>
            </w:r>
          </w:p>
        </w:tc>
        <w:tc>
          <w:tcPr>
            <w:tcW w:w="1525" w:type="dxa"/>
            <w:noWrap/>
          </w:tcPr>
          <w:p w14:paraId="24050285" w14:textId="77777777" w:rsidR="00AD2554" w:rsidRPr="008D1D05" w:rsidRDefault="00AD2554" w:rsidP="00E9663B">
            <w:pPr>
              <w:spacing w:before="60" w:after="60"/>
              <w:jc w:val="both"/>
              <w:rPr>
                <w:color w:val="000000"/>
              </w:rPr>
            </w:pPr>
            <w:r w:rsidRPr="008D1D05">
              <w:rPr>
                <w:color w:val="000000"/>
              </w:rPr>
              <w:t>Moderate</w:t>
            </w:r>
          </w:p>
        </w:tc>
        <w:tc>
          <w:tcPr>
            <w:tcW w:w="1007" w:type="dxa"/>
            <w:noWrap/>
          </w:tcPr>
          <w:p w14:paraId="6F3E77BD" w14:textId="77777777" w:rsidR="00AD2554" w:rsidRPr="008D1D05" w:rsidRDefault="00AD2554" w:rsidP="00E9663B">
            <w:pPr>
              <w:spacing w:before="60" w:after="60"/>
              <w:jc w:val="both"/>
              <w:rPr>
                <w:color w:val="000000"/>
              </w:rPr>
            </w:pPr>
            <w:r w:rsidRPr="008D1D05">
              <w:rPr>
                <w:color w:val="000000"/>
              </w:rPr>
              <w:t>Medium</w:t>
            </w:r>
          </w:p>
        </w:tc>
        <w:tc>
          <w:tcPr>
            <w:tcW w:w="3325" w:type="dxa"/>
          </w:tcPr>
          <w:p w14:paraId="4A847C2E" w14:textId="77777777" w:rsidR="00AD2554" w:rsidRPr="008D1D05" w:rsidRDefault="00AD2554" w:rsidP="00E9663B">
            <w:pPr>
              <w:spacing w:before="60" w:after="60"/>
              <w:jc w:val="both"/>
              <w:rPr>
                <w:color w:val="000000"/>
              </w:rPr>
            </w:pPr>
            <w:r w:rsidRPr="008D1D05">
              <w:rPr>
                <w:color w:val="000000"/>
              </w:rPr>
              <w:t>HR Security; Access Control</w:t>
            </w:r>
          </w:p>
        </w:tc>
      </w:tr>
      <w:tr w:rsidR="00AD2554" w:rsidRPr="000F2520" w14:paraId="020E3731" w14:textId="77777777" w:rsidTr="00B72A2C">
        <w:trPr>
          <w:trHeight w:val="735"/>
          <w:jc w:val="center"/>
        </w:trPr>
        <w:tc>
          <w:tcPr>
            <w:tcW w:w="647" w:type="dxa"/>
            <w:noWrap/>
          </w:tcPr>
          <w:p w14:paraId="34A05A12" w14:textId="77777777" w:rsidR="00AD2554" w:rsidRPr="008D1D05" w:rsidRDefault="00AD2554" w:rsidP="00E9663B">
            <w:pPr>
              <w:spacing w:before="60" w:after="60"/>
              <w:jc w:val="right"/>
              <w:rPr>
                <w:color w:val="000000"/>
              </w:rPr>
            </w:pPr>
            <w:r w:rsidRPr="008D1D05">
              <w:rPr>
                <w:color w:val="000000"/>
              </w:rPr>
              <w:t>1</w:t>
            </w:r>
            <w:r>
              <w:rPr>
                <w:color w:val="000000"/>
              </w:rPr>
              <w:t>3</w:t>
            </w:r>
          </w:p>
        </w:tc>
        <w:tc>
          <w:tcPr>
            <w:tcW w:w="2183" w:type="dxa"/>
            <w:noWrap/>
          </w:tcPr>
          <w:p w14:paraId="06AC22F5" w14:textId="77777777" w:rsidR="00AD2554" w:rsidRPr="008D1D05" w:rsidRDefault="00AD2554" w:rsidP="00E9663B">
            <w:pPr>
              <w:spacing w:before="60" w:after="60"/>
              <w:jc w:val="both"/>
              <w:rPr>
                <w:color w:val="000000"/>
              </w:rPr>
            </w:pPr>
            <w:r w:rsidRPr="008D1D05">
              <w:rPr>
                <w:color w:val="000000"/>
              </w:rPr>
              <w:t>Integrity</w:t>
            </w:r>
          </w:p>
        </w:tc>
        <w:tc>
          <w:tcPr>
            <w:tcW w:w="3557" w:type="dxa"/>
          </w:tcPr>
          <w:p w14:paraId="14C5D03F" w14:textId="77777777" w:rsidR="00AD2554" w:rsidRPr="008D1D05" w:rsidRDefault="00AD2554" w:rsidP="00E9663B">
            <w:pPr>
              <w:spacing w:before="60" w:after="60"/>
              <w:jc w:val="both"/>
              <w:rPr>
                <w:color w:val="000000"/>
              </w:rPr>
            </w:pPr>
            <w:r w:rsidRPr="008D1D05">
              <w:rPr>
                <w:color w:val="000000"/>
              </w:rPr>
              <w:t>Database errors due to environmental factors (e.g., Loss of power causes system failure which corrupts database)</w:t>
            </w:r>
          </w:p>
        </w:tc>
        <w:tc>
          <w:tcPr>
            <w:tcW w:w="1443" w:type="dxa"/>
            <w:noWrap/>
          </w:tcPr>
          <w:p w14:paraId="03D2C00E" w14:textId="77777777" w:rsidR="00AD2554" w:rsidRPr="008D1D05" w:rsidRDefault="00AD2554" w:rsidP="00E9663B">
            <w:pPr>
              <w:spacing w:before="60" w:after="60"/>
              <w:jc w:val="both"/>
              <w:rPr>
                <w:color w:val="000000"/>
              </w:rPr>
            </w:pPr>
            <w:r w:rsidRPr="008D1D05">
              <w:rPr>
                <w:color w:val="000000"/>
              </w:rPr>
              <w:t>Unlikely</w:t>
            </w:r>
          </w:p>
        </w:tc>
        <w:tc>
          <w:tcPr>
            <w:tcW w:w="1525" w:type="dxa"/>
            <w:noWrap/>
          </w:tcPr>
          <w:p w14:paraId="471E9148" w14:textId="77777777" w:rsidR="00AD2554" w:rsidRPr="008D1D05" w:rsidRDefault="00AD2554" w:rsidP="00E9663B">
            <w:pPr>
              <w:spacing w:before="60" w:after="60"/>
              <w:jc w:val="both"/>
              <w:rPr>
                <w:color w:val="000000"/>
              </w:rPr>
            </w:pPr>
            <w:r w:rsidRPr="008D1D05">
              <w:rPr>
                <w:color w:val="000000"/>
              </w:rPr>
              <w:t>Moderate</w:t>
            </w:r>
          </w:p>
        </w:tc>
        <w:tc>
          <w:tcPr>
            <w:tcW w:w="1007" w:type="dxa"/>
            <w:noWrap/>
          </w:tcPr>
          <w:p w14:paraId="7AB859D5" w14:textId="77777777" w:rsidR="00AD2554" w:rsidRPr="008D1D05" w:rsidRDefault="00AD2554" w:rsidP="00E9663B">
            <w:pPr>
              <w:spacing w:before="60" w:after="60"/>
              <w:jc w:val="both"/>
              <w:rPr>
                <w:color w:val="000000"/>
              </w:rPr>
            </w:pPr>
            <w:r w:rsidRPr="008D1D05">
              <w:rPr>
                <w:color w:val="000000"/>
              </w:rPr>
              <w:t>Medium</w:t>
            </w:r>
          </w:p>
        </w:tc>
        <w:tc>
          <w:tcPr>
            <w:tcW w:w="3325" w:type="dxa"/>
          </w:tcPr>
          <w:p w14:paraId="0D5B490D" w14:textId="77777777" w:rsidR="00AD2554" w:rsidRPr="008D1D05" w:rsidRDefault="00AD2554" w:rsidP="00FA48F7">
            <w:pPr>
              <w:spacing w:before="60" w:after="60"/>
              <w:rPr>
                <w:color w:val="000000"/>
              </w:rPr>
            </w:pPr>
            <w:r w:rsidRPr="008D1D05">
              <w:rPr>
                <w:color w:val="000000"/>
              </w:rPr>
              <w:t>Business Continuity Management; Physical Security</w:t>
            </w:r>
          </w:p>
        </w:tc>
      </w:tr>
      <w:tr w:rsidR="00AD2554" w:rsidRPr="000F2520" w14:paraId="3078D05A" w14:textId="77777777" w:rsidTr="00B72A2C">
        <w:trPr>
          <w:trHeight w:val="735"/>
          <w:jc w:val="center"/>
        </w:trPr>
        <w:tc>
          <w:tcPr>
            <w:tcW w:w="647" w:type="dxa"/>
            <w:noWrap/>
          </w:tcPr>
          <w:p w14:paraId="76680081" w14:textId="77777777" w:rsidR="00AD2554" w:rsidRPr="008D1D05" w:rsidRDefault="00AD2554" w:rsidP="00E9663B">
            <w:pPr>
              <w:spacing w:before="60" w:after="60"/>
              <w:jc w:val="right"/>
              <w:rPr>
                <w:color w:val="000000"/>
              </w:rPr>
            </w:pPr>
            <w:r w:rsidRPr="008D1D05">
              <w:rPr>
                <w:color w:val="000000"/>
              </w:rPr>
              <w:t>1</w:t>
            </w:r>
            <w:r>
              <w:rPr>
                <w:color w:val="000000"/>
              </w:rPr>
              <w:t>4</w:t>
            </w:r>
          </w:p>
        </w:tc>
        <w:tc>
          <w:tcPr>
            <w:tcW w:w="2183" w:type="dxa"/>
            <w:noWrap/>
          </w:tcPr>
          <w:p w14:paraId="0EE84D6E" w14:textId="77777777" w:rsidR="00AD2554" w:rsidRPr="008D1D05" w:rsidRDefault="00AD2554" w:rsidP="00E9663B">
            <w:pPr>
              <w:spacing w:before="60" w:after="60"/>
              <w:jc w:val="both"/>
              <w:rPr>
                <w:color w:val="000000"/>
              </w:rPr>
            </w:pPr>
            <w:r w:rsidRPr="008D1D05">
              <w:rPr>
                <w:color w:val="000000"/>
              </w:rPr>
              <w:t>Integrity</w:t>
            </w:r>
          </w:p>
        </w:tc>
        <w:tc>
          <w:tcPr>
            <w:tcW w:w="3557" w:type="dxa"/>
          </w:tcPr>
          <w:p w14:paraId="00EF230C" w14:textId="77777777" w:rsidR="00AD2554" w:rsidRPr="008D1D05" w:rsidRDefault="00AD2554" w:rsidP="00E9663B">
            <w:pPr>
              <w:spacing w:before="60" w:after="60"/>
              <w:jc w:val="both"/>
              <w:rPr>
                <w:color w:val="000000"/>
              </w:rPr>
            </w:pPr>
            <w:r w:rsidRPr="008D1D05">
              <w:rPr>
                <w:color w:val="000000"/>
              </w:rPr>
              <w:t xml:space="preserve">Message received or sent from unauthorised party </w:t>
            </w:r>
          </w:p>
        </w:tc>
        <w:tc>
          <w:tcPr>
            <w:tcW w:w="1443" w:type="dxa"/>
            <w:noWrap/>
          </w:tcPr>
          <w:p w14:paraId="71202BAB" w14:textId="77777777" w:rsidR="00AD2554" w:rsidRPr="008D1D05" w:rsidRDefault="00AD2554" w:rsidP="00E9663B">
            <w:pPr>
              <w:spacing w:before="60" w:after="60"/>
              <w:jc w:val="both"/>
              <w:rPr>
                <w:color w:val="000000"/>
              </w:rPr>
            </w:pPr>
            <w:r w:rsidRPr="008D1D05">
              <w:rPr>
                <w:color w:val="000000"/>
              </w:rPr>
              <w:t>Unlikely</w:t>
            </w:r>
          </w:p>
        </w:tc>
        <w:tc>
          <w:tcPr>
            <w:tcW w:w="1525" w:type="dxa"/>
            <w:noWrap/>
          </w:tcPr>
          <w:p w14:paraId="7A3834AE" w14:textId="77777777" w:rsidR="00AD2554" w:rsidRPr="008D1D05" w:rsidRDefault="00AD2554" w:rsidP="00E9663B">
            <w:pPr>
              <w:spacing w:before="60" w:after="60"/>
              <w:jc w:val="both"/>
              <w:rPr>
                <w:color w:val="000000"/>
              </w:rPr>
            </w:pPr>
            <w:r w:rsidRPr="008D1D05">
              <w:rPr>
                <w:color w:val="000000"/>
              </w:rPr>
              <w:t>Moderate</w:t>
            </w:r>
          </w:p>
        </w:tc>
        <w:tc>
          <w:tcPr>
            <w:tcW w:w="1007" w:type="dxa"/>
            <w:noWrap/>
          </w:tcPr>
          <w:p w14:paraId="594A02CD" w14:textId="77777777" w:rsidR="00AD2554" w:rsidRPr="008D1D05" w:rsidRDefault="00AD2554" w:rsidP="00E9663B">
            <w:pPr>
              <w:spacing w:before="60" w:after="60"/>
              <w:jc w:val="both"/>
              <w:rPr>
                <w:color w:val="000000"/>
              </w:rPr>
            </w:pPr>
            <w:r w:rsidRPr="008D1D05">
              <w:rPr>
                <w:color w:val="000000"/>
              </w:rPr>
              <w:t>Medium</w:t>
            </w:r>
          </w:p>
        </w:tc>
        <w:tc>
          <w:tcPr>
            <w:tcW w:w="3325" w:type="dxa"/>
          </w:tcPr>
          <w:p w14:paraId="075A5B9A" w14:textId="77777777" w:rsidR="00AD2554" w:rsidRPr="008D1D05" w:rsidRDefault="00AD2554" w:rsidP="00FA48F7">
            <w:pPr>
              <w:spacing w:before="60" w:after="60"/>
              <w:rPr>
                <w:color w:val="000000"/>
              </w:rPr>
            </w:pPr>
            <w:r w:rsidRPr="008D1D05">
              <w:rPr>
                <w:color w:val="000000"/>
              </w:rPr>
              <w:t>Access Control; Communications and Operations Management</w:t>
            </w:r>
          </w:p>
        </w:tc>
      </w:tr>
      <w:tr w:rsidR="00AD2554" w:rsidRPr="000F2520" w14:paraId="4FB4A920" w14:textId="77777777" w:rsidTr="00B72A2C">
        <w:trPr>
          <w:trHeight w:val="735"/>
          <w:jc w:val="center"/>
        </w:trPr>
        <w:tc>
          <w:tcPr>
            <w:tcW w:w="647" w:type="dxa"/>
            <w:noWrap/>
          </w:tcPr>
          <w:p w14:paraId="25DDE962" w14:textId="77777777" w:rsidR="00AD2554" w:rsidRPr="008D1D05" w:rsidRDefault="00AD2554" w:rsidP="00E9663B">
            <w:pPr>
              <w:spacing w:before="60" w:after="60"/>
              <w:jc w:val="right"/>
              <w:rPr>
                <w:color w:val="000000"/>
              </w:rPr>
            </w:pPr>
            <w:r w:rsidRPr="008D1D05">
              <w:rPr>
                <w:color w:val="000000"/>
              </w:rPr>
              <w:t>1</w:t>
            </w:r>
            <w:r>
              <w:rPr>
                <w:color w:val="000000"/>
              </w:rPr>
              <w:t>5</w:t>
            </w:r>
          </w:p>
        </w:tc>
        <w:tc>
          <w:tcPr>
            <w:tcW w:w="2183" w:type="dxa"/>
            <w:noWrap/>
          </w:tcPr>
          <w:p w14:paraId="4D4F2287" w14:textId="77777777" w:rsidR="00AD2554" w:rsidRPr="008D1D05" w:rsidRDefault="00AD2554" w:rsidP="00E9663B">
            <w:pPr>
              <w:spacing w:before="60" w:after="60"/>
              <w:jc w:val="both"/>
              <w:rPr>
                <w:color w:val="000000"/>
              </w:rPr>
            </w:pPr>
            <w:r w:rsidRPr="008D1D05">
              <w:rPr>
                <w:color w:val="000000"/>
              </w:rPr>
              <w:t>Integrity/Availability</w:t>
            </w:r>
          </w:p>
        </w:tc>
        <w:tc>
          <w:tcPr>
            <w:tcW w:w="3557" w:type="dxa"/>
          </w:tcPr>
          <w:p w14:paraId="6FEC6B48" w14:textId="77777777" w:rsidR="00AD2554" w:rsidRPr="008D1D05" w:rsidRDefault="00AD2554" w:rsidP="00E9663B">
            <w:pPr>
              <w:spacing w:before="60" w:after="60"/>
              <w:jc w:val="both"/>
              <w:rPr>
                <w:color w:val="000000"/>
              </w:rPr>
            </w:pPr>
            <w:r w:rsidRPr="008D1D05">
              <w:rPr>
                <w:color w:val="000000"/>
              </w:rPr>
              <w:t>Malware/viruses resulting in loss of availability/integrity of multiple records</w:t>
            </w:r>
          </w:p>
        </w:tc>
        <w:tc>
          <w:tcPr>
            <w:tcW w:w="1443" w:type="dxa"/>
            <w:noWrap/>
          </w:tcPr>
          <w:p w14:paraId="5BDCABFB" w14:textId="77777777" w:rsidR="00AD2554" w:rsidRPr="008D1D05" w:rsidRDefault="00AD2554" w:rsidP="00E9663B">
            <w:pPr>
              <w:spacing w:before="60" w:after="60"/>
              <w:jc w:val="both"/>
              <w:rPr>
                <w:color w:val="000000"/>
              </w:rPr>
            </w:pPr>
            <w:r w:rsidRPr="008D1D05">
              <w:rPr>
                <w:color w:val="000000"/>
              </w:rPr>
              <w:t>Unlikely</w:t>
            </w:r>
          </w:p>
        </w:tc>
        <w:tc>
          <w:tcPr>
            <w:tcW w:w="1525" w:type="dxa"/>
            <w:noWrap/>
          </w:tcPr>
          <w:p w14:paraId="3BBE9BB8" w14:textId="77777777" w:rsidR="00AD2554" w:rsidRPr="008D1D05" w:rsidRDefault="00AD2554" w:rsidP="00E9663B">
            <w:pPr>
              <w:spacing w:before="60" w:after="60"/>
              <w:jc w:val="both"/>
              <w:rPr>
                <w:color w:val="000000"/>
              </w:rPr>
            </w:pPr>
            <w:r w:rsidRPr="008D1D05">
              <w:rPr>
                <w:color w:val="000000"/>
              </w:rPr>
              <w:t>Major</w:t>
            </w:r>
          </w:p>
        </w:tc>
        <w:tc>
          <w:tcPr>
            <w:tcW w:w="1007" w:type="dxa"/>
            <w:noWrap/>
          </w:tcPr>
          <w:p w14:paraId="1A68AC06" w14:textId="77777777" w:rsidR="00AD2554" w:rsidRPr="008D1D05" w:rsidRDefault="00AD2554" w:rsidP="00E9663B">
            <w:pPr>
              <w:spacing w:before="60" w:after="60"/>
              <w:jc w:val="both"/>
              <w:rPr>
                <w:color w:val="000000"/>
              </w:rPr>
            </w:pPr>
            <w:r w:rsidRPr="008D1D05">
              <w:rPr>
                <w:color w:val="000000"/>
              </w:rPr>
              <w:t>High</w:t>
            </w:r>
          </w:p>
        </w:tc>
        <w:tc>
          <w:tcPr>
            <w:tcW w:w="3325" w:type="dxa"/>
          </w:tcPr>
          <w:p w14:paraId="3C9C3547" w14:textId="77777777" w:rsidR="00AD2554" w:rsidRPr="008D1D05" w:rsidRDefault="00AD2554" w:rsidP="00FA48F7">
            <w:pPr>
              <w:spacing w:before="60" w:after="60"/>
              <w:rPr>
                <w:color w:val="000000"/>
              </w:rPr>
            </w:pPr>
            <w:r w:rsidRPr="008D1D05">
              <w:rPr>
                <w:color w:val="000000"/>
              </w:rPr>
              <w:t>Communications and Operations Management; Incident Management</w:t>
            </w:r>
          </w:p>
        </w:tc>
      </w:tr>
      <w:tr w:rsidR="00AD2554" w:rsidRPr="000F2520" w14:paraId="23C17826" w14:textId="77777777" w:rsidTr="00B72A2C">
        <w:trPr>
          <w:trHeight w:val="735"/>
          <w:jc w:val="center"/>
        </w:trPr>
        <w:tc>
          <w:tcPr>
            <w:tcW w:w="647" w:type="dxa"/>
            <w:noWrap/>
          </w:tcPr>
          <w:p w14:paraId="60C923A3" w14:textId="77777777" w:rsidR="00AD2554" w:rsidRPr="008D1D05" w:rsidRDefault="00AD2554" w:rsidP="00E9663B">
            <w:pPr>
              <w:spacing w:before="60" w:after="60"/>
              <w:jc w:val="right"/>
              <w:rPr>
                <w:color w:val="000000"/>
              </w:rPr>
            </w:pPr>
            <w:r w:rsidRPr="008D1D05">
              <w:rPr>
                <w:color w:val="000000"/>
              </w:rPr>
              <w:t>1</w:t>
            </w:r>
            <w:r>
              <w:rPr>
                <w:color w:val="000000"/>
              </w:rPr>
              <w:t>6</w:t>
            </w:r>
          </w:p>
        </w:tc>
        <w:tc>
          <w:tcPr>
            <w:tcW w:w="2183" w:type="dxa"/>
            <w:noWrap/>
          </w:tcPr>
          <w:p w14:paraId="1F691D73" w14:textId="77777777" w:rsidR="00AD2554" w:rsidRPr="008D1D05" w:rsidRDefault="00AD2554" w:rsidP="00E9663B">
            <w:pPr>
              <w:spacing w:before="60" w:after="60"/>
              <w:jc w:val="both"/>
              <w:rPr>
                <w:color w:val="000000"/>
              </w:rPr>
            </w:pPr>
            <w:r w:rsidRPr="008D1D05">
              <w:rPr>
                <w:color w:val="000000"/>
              </w:rPr>
              <w:t>Integrity</w:t>
            </w:r>
          </w:p>
        </w:tc>
        <w:tc>
          <w:tcPr>
            <w:tcW w:w="3557" w:type="dxa"/>
          </w:tcPr>
          <w:p w14:paraId="1E9B9A93" w14:textId="77777777" w:rsidR="00AD2554" w:rsidRPr="008D1D05" w:rsidRDefault="00AD2554" w:rsidP="00E9663B">
            <w:pPr>
              <w:spacing w:before="60" w:after="60"/>
              <w:jc w:val="both"/>
              <w:rPr>
                <w:color w:val="000000"/>
              </w:rPr>
            </w:pPr>
            <w:r w:rsidRPr="008D1D05">
              <w:rPr>
                <w:color w:val="000000"/>
              </w:rPr>
              <w:t>Incompatibility between data and metadata/reference tables - get out of sync over time - backwards incompatibility</w:t>
            </w:r>
          </w:p>
        </w:tc>
        <w:tc>
          <w:tcPr>
            <w:tcW w:w="1443" w:type="dxa"/>
            <w:noWrap/>
          </w:tcPr>
          <w:p w14:paraId="5285AC0E" w14:textId="77777777" w:rsidR="00AD2554" w:rsidRPr="008D1D05" w:rsidRDefault="00AD2554" w:rsidP="00E9663B">
            <w:pPr>
              <w:spacing w:before="60" w:after="60"/>
              <w:jc w:val="both"/>
              <w:rPr>
                <w:color w:val="000000"/>
              </w:rPr>
            </w:pPr>
            <w:r w:rsidRPr="008D1D05">
              <w:rPr>
                <w:color w:val="000000"/>
              </w:rPr>
              <w:t>Unlikely</w:t>
            </w:r>
          </w:p>
        </w:tc>
        <w:tc>
          <w:tcPr>
            <w:tcW w:w="1525" w:type="dxa"/>
            <w:noWrap/>
          </w:tcPr>
          <w:p w14:paraId="6D2666D5" w14:textId="77777777" w:rsidR="00AD2554" w:rsidRPr="008D1D05" w:rsidRDefault="00AD2554" w:rsidP="00E9663B">
            <w:pPr>
              <w:spacing w:before="60" w:after="60"/>
              <w:jc w:val="both"/>
              <w:rPr>
                <w:color w:val="000000"/>
              </w:rPr>
            </w:pPr>
            <w:r w:rsidRPr="008D1D05">
              <w:rPr>
                <w:color w:val="000000"/>
              </w:rPr>
              <w:t>Moderate</w:t>
            </w:r>
          </w:p>
        </w:tc>
        <w:tc>
          <w:tcPr>
            <w:tcW w:w="1007" w:type="dxa"/>
            <w:noWrap/>
          </w:tcPr>
          <w:p w14:paraId="7543D9BC" w14:textId="77777777" w:rsidR="00AD2554" w:rsidRPr="008D1D05" w:rsidRDefault="00AD2554" w:rsidP="00E9663B">
            <w:pPr>
              <w:spacing w:before="60" w:after="60"/>
              <w:jc w:val="both"/>
              <w:rPr>
                <w:color w:val="000000"/>
              </w:rPr>
            </w:pPr>
            <w:r w:rsidRPr="008D1D05">
              <w:rPr>
                <w:color w:val="000000"/>
              </w:rPr>
              <w:t>Medium</w:t>
            </w:r>
          </w:p>
        </w:tc>
        <w:tc>
          <w:tcPr>
            <w:tcW w:w="3325" w:type="dxa"/>
          </w:tcPr>
          <w:p w14:paraId="4704F1EA" w14:textId="77777777" w:rsidR="00AD2554" w:rsidRPr="008D1D05" w:rsidRDefault="00AD2554" w:rsidP="00FA48F7">
            <w:pPr>
              <w:spacing w:before="60" w:after="60"/>
              <w:rPr>
                <w:color w:val="000000"/>
              </w:rPr>
            </w:pPr>
            <w:r w:rsidRPr="008D1D05">
              <w:rPr>
                <w:color w:val="000000"/>
              </w:rPr>
              <w:t>Information Systems Acquisition, Development and Maintenance</w:t>
            </w:r>
          </w:p>
        </w:tc>
      </w:tr>
      <w:tr w:rsidR="00AD2554" w:rsidRPr="000F2520" w14:paraId="7E2D4B75" w14:textId="77777777" w:rsidTr="00B72A2C">
        <w:trPr>
          <w:trHeight w:val="735"/>
          <w:jc w:val="center"/>
        </w:trPr>
        <w:tc>
          <w:tcPr>
            <w:tcW w:w="647" w:type="dxa"/>
            <w:noWrap/>
          </w:tcPr>
          <w:p w14:paraId="502B10FC" w14:textId="77777777" w:rsidR="00AD2554" w:rsidRPr="008D1D05" w:rsidRDefault="00AD2554" w:rsidP="00E9663B">
            <w:pPr>
              <w:spacing w:before="60" w:after="60"/>
              <w:jc w:val="right"/>
              <w:rPr>
                <w:color w:val="000000"/>
              </w:rPr>
            </w:pPr>
            <w:r w:rsidRPr="008D1D05">
              <w:rPr>
                <w:color w:val="000000"/>
              </w:rPr>
              <w:t>1</w:t>
            </w:r>
            <w:r>
              <w:rPr>
                <w:color w:val="000000"/>
              </w:rPr>
              <w:t>7</w:t>
            </w:r>
          </w:p>
        </w:tc>
        <w:tc>
          <w:tcPr>
            <w:tcW w:w="2183" w:type="dxa"/>
            <w:noWrap/>
          </w:tcPr>
          <w:p w14:paraId="1F3782D1" w14:textId="77777777" w:rsidR="00AD2554" w:rsidRPr="008D1D05" w:rsidRDefault="00AD2554" w:rsidP="00E9663B">
            <w:pPr>
              <w:spacing w:before="60" w:after="60"/>
              <w:jc w:val="both"/>
              <w:rPr>
                <w:color w:val="000000"/>
              </w:rPr>
            </w:pPr>
            <w:r w:rsidRPr="008D1D05">
              <w:rPr>
                <w:color w:val="000000"/>
              </w:rPr>
              <w:t>Integrity</w:t>
            </w:r>
          </w:p>
        </w:tc>
        <w:tc>
          <w:tcPr>
            <w:tcW w:w="3557" w:type="dxa"/>
          </w:tcPr>
          <w:p w14:paraId="2FA25BA7" w14:textId="77777777" w:rsidR="00AD2554" w:rsidRPr="008D1D05" w:rsidRDefault="00AD2554" w:rsidP="00E9663B">
            <w:pPr>
              <w:spacing w:before="60" w:after="60"/>
              <w:jc w:val="both"/>
              <w:rPr>
                <w:color w:val="000000"/>
              </w:rPr>
            </w:pPr>
            <w:r w:rsidRPr="008D1D05">
              <w:rPr>
                <w:color w:val="000000"/>
              </w:rPr>
              <w:t xml:space="preserve">Application errors - </w:t>
            </w:r>
            <w:proofErr w:type="gramStart"/>
            <w:r w:rsidRPr="008D1D05">
              <w:rPr>
                <w:color w:val="000000"/>
              </w:rPr>
              <w:t>e.g.</w:t>
            </w:r>
            <w:proofErr w:type="gramEnd"/>
            <w:r w:rsidRPr="008D1D05">
              <w:rPr>
                <w:color w:val="000000"/>
              </w:rPr>
              <w:t xml:space="preserve"> Store dates in US format led to multiple records becoming corrupt</w:t>
            </w:r>
          </w:p>
        </w:tc>
        <w:tc>
          <w:tcPr>
            <w:tcW w:w="1443" w:type="dxa"/>
            <w:noWrap/>
          </w:tcPr>
          <w:p w14:paraId="02A2D357" w14:textId="77777777" w:rsidR="00AD2554" w:rsidRPr="008D1D05" w:rsidRDefault="00AD2554" w:rsidP="00E9663B">
            <w:pPr>
              <w:spacing w:before="60" w:after="60"/>
              <w:jc w:val="both"/>
              <w:rPr>
                <w:color w:val="000000"/>
              </w:rPr>
            </w:pPr>
            <w:r w:rsidRPr="008D1D05">
              <w:rPr>
                <w:color w:val="000000"/>
              </w:rPr>
              <w:t>Unlikely</w:t>
            </w:r>
          </w:p>
        </w:tc>
        <w:tc>
          <w:tcPr>
            <w:tcW w:w="1525" w:type="dxa"/>
            <w:noWrap/>
          </w:tcPr>
          <w:p w14:paraId="3B925087" w14:textId="77777777" w:rsidR="00AD2554" w:rsidRPr="008D1D05" w:rsidRDefault="00AD2554" w:rsidP="00E9663B">
            <w:pPr>
              <w:spacing w:before="60" w:after="60"/>
              <w:jc w:val="both"/>
              <w:rPr>
                <w:color w:val="000000"/>
              </w:rPr>
            </w:pPr>
            <w:r w:rsidRPr="008D1D05">
              <w:rPr>
                <w:color w:val="000000"/>
              </w:rPr>
              <w:t>Moderate</w:t>
            </w:r>
          </w:p>
        </w:tc>
        <w:tc>
          <w:tcPr>
            <w:tcW w:w="1007" w:type="dxa"/>
            <w:noWrap/>
          </w:tcPr>
          <w:p w14:paraId="77280D0E" w14:textId="77777777" w:rsidR="00AD2554" w:rsidRPr="008D1D05" w:rsidRDefault="00AD2554" w:rsidP="00E9663B">
            <w:pPr>
              <w:spacing w:before="60" w:after="60"/>
              <w:jc w:val="both"/>
              <w:rPr>
                <w:color w:val="000000"/>
              </w:rPr>
            </w:pPr>
            <w:r w:rsidRPr="008D1D05">
              <w:rPr>
                <w:color w:val="000000"/>
              </w:rPr>
              <w:t>Medium</w:t>
            </w:r>
          </w:p>
        </w:tc>
        <w:tc>
          <w:tcPr>
            <w:tcW w:w="3325" w:type="dxa"/>
          </w:tcPr>
          <w:p w14:paraId="5689C3E7" w14:textId="77777777" w:rsidR="00AD2554" w:rsidRPr="008D1D05" w:rsidRDefault="00AD2554" w:rsidP="00FA48F7">
            <w:pPr>
              <w:spacing w:before="60" w:after="60"/>
              <w:rPr>
                <w:color w:val="000000"/>
              </w:rPr>
            </w:pPr>
            <w:r w:rsidRPr="008D1D05">
              <w:rPr>
                <w:color w:val="000000"/>
              </w:rPr>
              <w:t>Information Systems Acquisition, Development and Maintenance</w:t>
            </w:r>
          </w:p>
        </w:tc>
      </w:tr>
      <w:tr w:rsidR="00AD2554" w:rsidRPr="000F2520" w14:paraId="380A938B" w14:textId="77777777" w:rsidTr="00B72A2C">
        <w:trPr>
          <w:trHeight w:val="735"/>
          <w:jc w:val="center"/>
        </w:trPr>
        <w:tc>
          <w:tcPr>
            <w:tcW w:w="647" w:type="dxa"/>
            <w:noWrap/>
          </w:tcPr>
          <w:p w14:paraId="2AB4BFD7" w14:textId="77777777" w:rsidR="00AD2554" w:rsidRPr="008D1D05" w:rsidRDefault="00AD2554" w:rsidP="00E9663B">
            <w:pPr>
              <w:spacing w:before="60" w:after="60"/>
              <w:jc w:val="right"/>
              <w:rPr>
                <w:color w:val="000000"/>
              </w:rPr>
            </w:pPr>
            <w:r w:rsidRPr="008D1D05">
              <w:rPr>
                <w:color w:val="000000"/>
              </w:rPr>
              <w:lastRenderedPageBreak/>
              <w:t>1</w:t>
            </w:r>
            <w:r>
              <w:rPr>
                <w:color w:val="000000"/>
              </w:rPr>
              <w:t>8</w:t>
            </w:r>
          </w:p>
        </w:tc>
        <w:tc>
          <w:tcPr>
            <w:tcW w:w="2183" w:type="dxa"/>
            <w:noWrap/>
          </w:tcPr>
          <w:p w14:paraId="73306A27" w14:textId="77777777" w:rsidR="00AD2554" w:rsidRPr="008D1D05" w:rsidRDefault="00AD2554" w:rsidP="00E9663B">
            <w:pPr>
              <w:spacing w:before="60" w:after="60"/>
              <w:jc w:val="both"/>
              <w:rPr>
                <w:color w:val="000000"/>
              </w:rPr>
            </w:pPr>
            <w:r w:rsidRPr="008D1D05">
              <w:rPr>
                <w:color w:val="000000"/>
              </w:rPr>
              <w:t>Availability</w:t>
            </w:r>
          </w:p>
        </w:tc>
        <w:tc>
          <w:tcPr>
            <w:tcW w:w="3557" w:type="dxa"/>
          </w:tcPr>
          <w:p w14:paraId="23654C36" w14:textId="77777777" w:rsidR="00AD2554" w:rsidRPr="008D1D05" w:rsidRDefault="00AD2554" w:rsidP="00E9663B">
            <w:pPr>
              <w:spacing w:before="60" w:after="60"/>
              <w:jc w:val="both"/>
              <w:rPr>
                <w:color w:val="000000"/>
              </w:rPr>
            </w:pPr>
            <w:r w:rsidRPr="008D1D05">
              <w:rPr>
                <w:color w:val="000000"/>
              </w:rPr>
              <w:t>Power or other environmental issues lead to one or more CQRs becoming unavailable for more than a day</w:t>
            </w:r>
          </w:p>
        </w:tc>
        <w:tc>
          <w:tcPr>
            <w:tcW w:w="1443" w:type="dxa"/>
            <w:noWrap/>
          </w:tcPr>
          <w:p w14:paraId="002978C8" w14:textId="77777777" w:rsidR="00AD2554" w:rsidRPr="008D1D05" w:rsidRDefault="00AD2554" w:rsidP="00E9663B">
            <w:pPr>
              <w:spacing w:before="60" w:after="60"/>
              <w:jc w:val="both"/>
              <w:rPr>
                <w:color w:val="000000"/>
              </w:rPr>
            </w:pPr>
            <w:r w:rsidRPr="008D1D05">
              <w:rPr>
                <w:color w:val="000000"/>
              </w:rPr>
              <w:t>Possible</w:t>
            </w:r>
          </w:p>
        </w:tc>
        <w:tc>
          <w:tcPr>
            <w:tcW w:w="1525" w:type="dxa"/>
            <w:noWrap/>
          </w:tcPr>
          <w:p w14:paraId="520B36DE" w14:textId="77777777" w:rsidR="00AD2554" w:rsidRPr="008D1D05" w:rsidRDefault="00AD2554" w:rsidP="00E9663B">
            <w:pPr>
              <w:spacing w:before="60" w:after="60"/>
              <w:jc w:val="both"/>
              <w:rPr>
                <w:color w:val="000000"/>
              </w:rPr>
            </w:pPr>
            <w:r w:rsidRPr="008D1D05">
              <w:rPr>
                <w:color w:val="000000"/>
              </w:rPr>
              <w:t>Minor</w:t>
            </w:r>
          </w:p>
        </w:tc>
        <w:tc>
          <w:tcPr>
            <w:tcW w:w="1007" w:type="dxa"/>
            <w:noWrap/>
          </w:tcPr>
          <w:p w14:paraId="1344D4EB" w14:textId="77777777" w:rsidR="00AD2554" w:rsidRPr="008D1D05" w:rsidRDefault="00AD2554" w:rsidP="00E9663B">
            <w:pPr>
              <w:spacing w:before="60" w:after="60"/>
              <w:jc w:val="both"/>
              <w:rPr>
                <w:color w:val="000000"/>
              </w:rPr>
            </w:pPr>
            <w:r w:rsidRPr="008D1D05">
              <w:rPr>
                <w:color w:val="000000"/>
              </w:rPr>
              <w:t>Medium</w:t>
            </w:r>
          </w:p>
        </w:tc>
        <w:tc>
          <w:tcPr>
            <w:tcW w:w="3325" w:type="dxa"/>
          </w:tcPr>
          <w:p w14:paraId="52A8FD4F" w14:textId="77777777" w:rsidR="00AD2554" w:rsidRPr="008D1D05" w:rsidRDefault="00AD2554" w:rsidP="00FA48F7">
            <w:pPr>
              <w:spacing w:before="60" w:after="60"/>
              <w:rPr>
                <w:color w:val="000000"/>
              </w:rPr>
            </w:pPr>
            <w:r w:rsidRPr="008D1D05">
              <w:rPr>
                <w:color w:val="000000"/>
              </w:rPr>
              <w:t>Business Continuity Management; Physical Security</w:t>
            </w:r>
          </w:p>
        </w:tc>
      </w:tr>
      <w:tr w:rsidR="00AD2554" w:rsidRPr="000F2520" w14:paraId="74C0C82A" w14:textId="77777777" w:rsidTr="00B72A2C">
        <w:trPr>
          <w:trHeight w:val="735"/>
          <w:jc w:val="center"/>
        </w:trPr>
        <w:tc>
          <w:tcPr>
            <w:tcW w:w="647" w:type="dxa"/>
            <w:noWrap/>
          </w:tcPr>
          <w:p w14:paraId="08CB1F28" w14:textId="77777777" w:rsidR="00AD2554" w:rsidRPr="008D1D05" w:rsidRDefault="00AD2554" w:rsidP="00E9663B">
            <w:pPr>
              <w:spacing w:before="60" w:after="60"/>
              <w:jc w:val="right"/>
              <w:rPr>
                <w:color w:val="000000"/>
              </w:rPr>
            </w:pPr>
            <w:r>
              <w:rPr>
                <w:color w:val="000000"/>
              </w:rPr>
              <w:t>19</w:t>
            </w:r>
          </w:p>
        </w:tc>
        <w:tc>
          <w:tcPr>
            <w:tcW w:w="2183" w:type="dxa"/>
            <w:noWrap/>
          </w:tcPr>
          <w:p w14:paraId="7376E4F8" w14:textId="77777777" w:rsidR="00AD2554" w:rsidRPr="008D1D05" w:rsidRDefault="00AD2554" w:rsidP="00E9663B">
            <w:pPr>
              <w:spacing w:before="60" w:after="60"/>
              <w:jc w:val="both"/>
              <w:rPr>
                <w:color w:val="000000"/>
              </w:rPr>
            </w:pPr>
            <w:r w:rsidRPr="008D1D05">
              <w:rPr>
                <w:color w:val="000000"/>
              </w:rPr>
              <w:t>Availability</w:t>
            </w:r>
          </w:p>
        </w:tc>
        <w:tc>
          <w:tcPr>
            <w:tcW w:w="3557" w:type="dxa"/>
          </w:tcPr>
          <w:p w14:paraId="333AFB13" w14:textId="77777777" w:rsidR="00AD2554" w:rsidRPr="008D1D05" w:rsidRDefault="00AD2554" w:rsidP="00E9663B">
            <w:pPr>
              <w:spacing w:before="60" w:after="60"/>
              <w:jc w:val="both"/>
              <w:rPr>
                <w:color w:val="000000"/>
              </w:rPr>
            </w:pPr>
            <w:r w:rsidRPr="008D1D05">
              <w:rPr>
                <w:color w:val="000000"/>
              </w:rPr>
              <w:t>Denial of service attacks through external services (malicious or accidental)</w:t>
            </w:r>
          </w:p>
        </w:tc>
        <w:tc>
          <w:tcPr>
            <w:tcW w:w="1443" w:type="dxa"/>
            <w:noWrap/>
          </w:tcPr>
          <w:p w14:paraId="78BEE0D7" w14:textId="77777777" w:rsidR="00AD2554" w:rsidRPr="008D1D05" w:rsidRDefault="00AD2554" w:rsidP="00E9663B">
            <w:pPr>
              <w:spacing w:before="60" w:after="60"/>
              <w:jc w:val="both"/>
              <w:rPr>
                <w:color w:val="000000"/>
              </w:rPr>
            </w:pPr>
            <w:r w:rsidRPr="008D1D05">
              <w:rPr>
                <w:color w:val="000000"/>
              </w:rPr>
              <w:t>Unlikely</w:t>
            </w:r>
          </w:p>
        </w:tc>
        <w:tc>
          <w:tcPr>
            <w:tcW w:w="1525" w:type="dxa"/>
            <w:noWrap/>
          </w:tcPr>
          <w:p w14:paraId="4DC4893F" w14:textId="77777777" w:rsidR="00AD2554" w:rsidRPr="008D1D05" w:rsidRDefault="00AD2554" w:rsidP="00E9663B">
            <w:pPr>
              <w:spacing w:before="60" w:after="60"/>
              <w:jc w:val="both"/>
              <w:rPr>
                <w:color w:val="000000"/>
              </w:rPr>
            </w:pPr>
            <w:r w:rsidRPr="008D1D05">
              <w:rPr>
                <w:color w:val="000000"/>
              </w:rPr>
              <w:t>Minor</w:t>
            </w:r>
          </w:p>
        </w:tc>
        <w:tc>
          <w:tcPr>
            <w:tcW w:w="1007" w:type="dxa"/>
            <w:noWrap/>
          </w:tcPr>
          <w:p w14:paraId="07D21A85" w14:textId="77777777" w:rsidR="00AD2554" w:rsidRPr="008D1D05" w:rsidRDefault="00AD2554" w:rsidP="00E9663B">
            <w:pPr>
              <w:spacing w:before="60" w:after="60"/>
              <w:jc w:val="both"/>
              <w:rPr>
                <w:color w:val="000000"/>
              </w:rPr>
            </w:pPr>
            <w:r w:rsidRPr="008D1D05">
              <w:rPr>
                <w:color w:val="000000"/>
              </w:rPr>
              <w:t>Low</w:t>
            </w:r>
          </w:p>
        </w:tc>
        <w:tc>
          <w:tcPr>
            <w:tcW w:w="3325" w:type="dxa"/>
          </w:tcPr>
          <w:p w14:paraId="2250119F" w14:textId="77777777" w:rsidR="00AD2554" w:rsidRPr="008D1D05" w:rsidRDefault="00AD2554" w:rsidP="00FA48F7">
            <w:pPr>
              <w:spacing w:before="60" w:after="60"/>
              <w:rPr>
                <w:color w:val="000000"/>
              </w:rPr>
            </w:pPr>
            <w:r w:rsidRPr="008D1D05">
              <w:rPr>
                <w:color w:val="000000"/>
              </w:rPr>
              <w:t>Communications and Operations Management; Incident Management</w:t>
            </w:r>
          </w:p>
        </w:tc>
      </w:tr>
      <w:tr w:rsidR="00AD2554" w:rsidRPr="000F2520" w14:paraId="0E7C5972" w14:textId="77777777" w:rsidTr="00B72A2C">
        <w:trPr>
          <w:trHeight w:val="735"/>
          <w:jc w:val="center"/>
        </w:trPr>
        <w:tc>
          <w:tcPr>
            <w:tcW w:w="647" w:type="dxa"/>
            <w:noWrap/>
          </w:tcPr>
          <w:p w14:paraId="22CBF76F" w14:textId="77777777" w:rsidR="00AD2554" w:rsidRPr="008D1D05" w:rsidRDefault="00AD2554" w:rsidP="00E9663B">
            <w:pPr>
              <w:spacing w:before="60" w:after="60"/>
              <w:jc w:val="right"/>
              <w:rPr>
                <w:color w:val="000000"/>
              </w:rPr>
            </w:pPr>
            <w:r w:rsidRPr="008D1D05">
              <w:rPr>
                <w:color w:val="000000"/>
              </w:rPr>
              <w:t>2</w:t>
            </w:r>
            <w:r>
              <w:rPr>
                <w:color w:val="000000"/>
              </w:rPr>
              <w:t>0</w:t>
            </w:r>
          </w:p>
        </w:tc>
        <w:tc>
          <w:tcPr>
            <w:tcW w:w="2183" w:type="dxa"/>
            <w:noWrap/>
          </w:tcPr>
          <w:p w14:paraId="05E020B0" w14:textId="77777777" w:rsidR="00AD2554" w:rsidRPr="008D1D05" w:rsidRDefault="00AD2554" w:rsidP="00E9663B">
            <w:pPr>
              <w:spacing w:before="60" w:after="60"/>
              <w:jc w:val="both"/>
              <w:rPr>
                <w:color w:val="000000"/>
              </w:rPr>
            </w:pPr>
            <w:r w:rsidRPr="008D1D05">
              <w:rPr>
                <w:color w:val="000000"/>
              </w:rPr>
              <w:t>Availability</w:t>
            </w:r>
          </w:p>
        </w:tc>
        <w:tc>
          <w:tcPr>
            <w:tcW w:w="3557" w:type="dxa"/>
          </w:tcPr>
          <w:p w14:paraId="0252BEBB" w14:textId="77777777" w:rsidR="00AD2554" w:rsidRPr="008D1D05" w:rsidRDefault="00AD2554" w:rsidP="00E9663B">
            <w:pPr>
              <w:spacing w:before="60" w:after="60"/>
              <w:jc w:val="both"/>
              <w:rPr>
                <w:color w:val="000000"/>
              </w:rPr>
            </w:pPr>
            <w:r w:rsidRPr="008D1D05">
              <w:rPr>
                <w:color w:val="000000"/>
              </w:rPr>
              <w:t>Infrastructure capacity issues - e.g., low server RAM/HDD etc</w:t>
            </w:r>
          </w:p>
        </w:tc>
        <w:tc>
          <w:tcPr>
            <w:tcW w:w="1443" w:type="dxa"/>
            <w:noWrap/>
          </w:tcPr>
          <w:p w14:paraId="3B6BC7A7" w14:textId="77777777" w:rsidR="00AD2554" w:rsidRPr="008D1D05" w:rsidRDefault="00AD2554" w:rsidP="00E9663B">
            <w:pPr>
              <w:spacing w:before="60" w:after="60"/>
              <w:jc w:val="both"/>
              <w:rPr>
                <w:color w:val="000000"/>
              </w:rPr>
            </w:pPr>
            <w:r w:rsidRPr="008D1D05">
              <w:rPr>
                <w:color w:val="000000"/>
              </w:rPr>
              <w:t>Unlikely</w:t>
            </w:r>
          </w:p>
        </w:tc>
        <w:tc>
          <w:tcPr>
            <w:tcW w:w="1525" w:type="dxa"/>
            <w:noWrap/>
          </w:tcPr>
          <w:p w14:paraId="30D72298" w14:textId="77777777" w:rsidR="00AD2554" w:rsidRPr="008D1D05" w:rsidRDefault="00AD2554" w:rsidP="00E9663B">
            <w:pPr>
              <w:spacing w:before="60" w:after="60"/>
              <w:jc w:val="both"/>
              <w:rPr>
                <w:color w:val="000000"/>
              </w:rPr>
            </w:pPr>
            <w:r w:rsidRPr="008D1D05">
              <w:rPr>
                <w:color w:val="000000"/>
              </w:rPr>
              <w:t>Minor</w:t>
            </w:r>
          </w:p>
        </w:tc>
        <w:tc>
          <w:tcPr>
            <w:tcW w:w="1007" w:type="dxa"/>
            <w:noWrap/>
          </w:tcPr>
          <w:p w14:paraId="4856F24A" w14:textId="77777777" w:rsidR="00AD2554" w:rsidRPr="008D1D05" w:rsidRDefault="00AD2554" w:rsidP="00E9663B">
            <w:pPr>
              <w:spacing w:before="60" w:after="60"/>
              <w:jc w:val="both"/>
              <w:rPr>
                <w:color w:val="000000"/>
              </w:rPr>
            </w:pPr>
            <w:r w:rsidRPr="008D1D05">
              <w:rPr>
                <w:color w:val="000000"/>
              </w:rPr>
              <w:t>Low</w:t>
            </w:r>
          </w:p>
        </w:tc>
        <w:tc>
          <w:tcPr>
            <w:tcW w:w="3325" w:type="dxa"/>
          </w:tcPr>
          <w:p w14:paraId="4A99EF40" w14:textId="77777777" w:rsidR="00AD2554" w:rsidRPr="008D1D05" w:rsidRDefault="00AD2554" w:rsidP="00FA48F7">
            <w:pPr>
              <w:spacing w:before="60" w:after="60"/>
              <w:rPr>
                <w:color w:val="000000"/>
              </w:rPr>
            </w:pPr>
            <w:r w:rsidRPr="008D1D05">
              <w:rPr>
                <w:color w:val="000000"/>
              </w:rPr>
              <w:t xml:space="preserve">Communications and Operations Management; </w:t>
            </w:r>
          </w:p>
        </w:tc>
      </w:tr>
      <w:tr w:rsidR="00AD2554" w:rsidRPr="000F2520" w14:paraId="7EB0AAA3" w14:textId="77777777" w:rsidTr="00B72A2C">
        <w:trPr>
          <w:trHeight w:val="735"/>
          <w:jc w:val="center"/>
        </w:trPr>
        <w:tc>
          <w:tcPr>
            <w:tcW w:w="647" w:type="dxa"/>
            <w:noWrap/>
          </w:tcPr>
          <w:p w14:paraId="5380332B" w14:textId="77777777" w:rsidR="00AD2554" w:rsidRPr="008D1D05" w:rsidRDefault="00AD2554" w:rsidP="00E9663B">
            <w:pPr>
              <w:spacing w:before="60" w:after="60"/>
              <w:jc w:val="right"/>
              <w:rPr>
                <w:color w:val="000000"/>
              </w:rPr>
            </w:pPr>
            <w:r w:rsidRPr="008D1D05">
              <w:rPr>
                <w:color w:val="000000"/>
              </w:rPr>
              <w:t>2</w:t>
            </w:r>
            <w:r>
              <w:rPr>
                <w:color w:val="000000"/>
              </w:rPr>
              <w:t>1</w:t>
            </w:r>
          </w:p>
        </w:tc>
        <w:tc>
          <w:tcPr>
            <w:tcW w:w="2183" w:type="dxa"/>
            <w:noWrap/>
          </w:tcPr>
          <w:p w14:paraId="7837E0C5" w14:textId="77777777" w:rsidR="00AD2554" w:rsidRPr="008D1D05" w:rsidRDefault="00AD2554" w:rsidP="00E9663B">
            <w:pPr>
              <w:spacing w:before="60" w:after="60"/>
              <w:jc w:val="both"/>
              <w:rPr>
                <w:color w:val="000000"/>
              </w:rPr>
            </w:pPr>
            <w:r w:rsidRPr="008D1D05">
              <w:rPr>
                <w:color w:val="000000"/>
              </w:rPr>
              <w:t>Availability</w:t>
            </w:r>
          </w:p>
        </w:tc>
        <w:tc>
          <w:tcPr>
            <w:tcW w:w="3557" w:type="dxa"/>
          </w:tcPr>
          <w:p w14:paraId="12B6D1D7" w14:textId="77777777" w:rsidR="00AD2554" w:rsidRPr="008D1D05" w:rsidRDefault="00AD2554" w:rsidP="00E9663B">
            <w:pPr>
              <w:spacing w:before="60" w:after="60"/>
              <w:jc w:val="both"/>
              <w:rPr>
                <w:color w:val="000000"/>
              </w:rPr>
            </w:pPr>
            <w:r w:rsidRPr="008D1D05">
              <w:rPr>
                <w:color w:val="000000"/>
              </w:rPr>
              <w:t>Unauthorised software/hardware changes cause outages beyond acceptable period</w:t>
            </w:r>
          </w:p>
        </w:tc>
        <w:tc>
          <w:tcPr>
            <w:tcW w:w="1443" w:type="dxa"/>
            <w:noWrap/>
          </w:tcPr>
          <w:p w14:paraId="0A9CEAB8" w14:textId="77777777" w:rsidR="00AD2554" w:rsidRPr="008D1D05" w:rsidRDefault="00AD2554" w:rsidP="00E9663B">
            <w:pPr>
              <w:spacing w:before="60" w:after="60"/>
              <w:jc w:val="both"/>
              <w:rPr>
                <w:color w:val="000000"/>
              </w:rPr>
            </w:pPr>
            <w:r w:rsidRPr="008D1D05">
              <w:rPr>
                <w:color w:val="000000"/>
              </w:rPr>
              <w:t>Unlikely</w:t>
            </w:r>
          </w:p>
        </w:tc>
        <w:tc>
          <w:tcPr>
            <w:tcW w:w="1525" w:type="dxa"/>
            <w:noWrap/>
          </w:tcPr>
          <w:p w14:paraId="40E53E81" w14:textId="77777777" w:rsidR="00AD2554" w:rsidRPr="008D1D05" w:rsidRDefault="00AD2554" w:rsidP="00E9663B">
            <w:pPr>
              <w:spacing w:before="60" w:after="60"/>
              <w:jc w:val="both"/>
              <w:rPr>
                <w:color w:val="000000"/>
              </w:rPr>
            </w:pPr>
            <w:r w:rsidRPr="008D1D05">
              <w:rPr>
                <w:color w:val="000000"/>
              </w:rPr>
              <w:t>Minor</w:t>
            </w:r>
          </w:p>
        </w:tc>
        <w:tc>
          <w:tcPr>
            <w:tcW w:w="1007" w:type="dxa"/>
            <w:noWrap/>
          </w:tcPr>
          <w:p w14:paraId="359BB467" w14:textId="77777777" w:rsidR="00AD2554" w:rsidRPr="008D1D05" w:rsidRDefault="00AD2554" w:rsidP="00E9663B">
            <w:pPr>
              <w:spacing w:before="60" w:after="60"/>
              <w:jc w:val="both"/>
              <w:rPr>
                <w:color w:val="000000"/>
              </w:rPr>
            </w:pPr>
            <w:r w:rsidRPr="008D1D05">
              <w:rPr>
                <w:color w:val="000000"/>
              </w:rPr>
              <w:t>Low</w:t>
            </w:r>
          </w:p>
        </w:tc>
        <w:tc>
          <w:tcPr>
            <w:tcW w:w="3325" w:type="dxa"/>
          </w:tcPr>
          <w:p w14:paraId="3164AF95" w14:textId="77777777" w:rsidR="00AD2554" w:rsidRPr="008D1D05" w:rsidRDefault="00AD2554" w:rsidP="00FA48F7">
            <w:pPr>
              <w:spacing w:before="60" w:after="60"/>
              <w:rPr>
                <w:color w:val="000000"/>
              </w:rPr>
            </w:pPr>
            <w:r w:rsidRPr="008D1D05">
              <w:rPr>
                <w:color w:val="000000"/>
              </w:rPr>
              <w:t xml:space="preserve">Communications and Operations Management; </w:t>
            </w:r>
          </w:p>
        </w:tc>
      </w:tr>
      <w:tr w:rsidR="00AD2554" w:rsidRPr="000F2520" w14:paraId="0019E0A5" w14:textId="77777777" w:rsidTr="00B72A2C">
        <w:trPr>
          <w:trHeight w:val="735"/>
          <w:jc w:val="center"/>
        </w:trPr>
        <w:tc>
          <w:tcPr>
            <w:tcW w:w="647" w:type="dxa"/>
            <w:noWrap/>
          </w:tcPr>
          <w:p w14:paraId="5A8F224E" w14:textId="77777777" w:rsidR="00AD2554" w:rsidRPr="008D1D05" w:rsidRDefault="00AD2554" w:rsidP="00E9663B">
            <w:pPr>
              <w:spacing w:before="60" w:after="60"/>
              <w:jc w:val="right"/>
              <w:rPr>
                <w:color w:val="000000"/>
              </w:rPr>
            </w:pPr>
            <w:r w:rsidRPr="008D1D05">
              <w:rPr>
                <w:color w:val="000000"/>
              </w:rPr>
              <w:t>2</w:t>
            </w:r>
            <w:r>
              <w:rPr>
                <w:color w:val="000000"/>
              </w:rPr>
              <w:t>2</w:t>
            </w:r>
          </w:p>
        </w:tc>
        <w:tc>
          <w:tcPr>
            <w:tcW w:w="2183" w:type="dxa"/>
            <w:noWrap/>
          </w:tcPr>
          <w:p w14:paraId="4023E42D" w14:textId="77777777" w:rsidR="00AD2554" w:rsidRPr="008D1D05" w:rsidRDefault="00AD2554" w:rsidP="00E9663B">
            <w:pPr>
              <w:spacing w:before="60" w:after="60"/>
              <w:jc w:val="both"/>
              <w:rPr>
                <w:color w:val="000000"/>
              </w:rPr>
            </w:pPr>
            <w:r w:rsidRPr="008D1D05">
              <w:rPr>
                <w:color w:val="000000"/>
              </w:rPr>
              <w:t>Availability</w:t>
            </w:r>
          </w:p>
        </w:tc>
        <w:tc>
          <w:tcPr>
            <w:tcW w:w="3557" w:type="dxa"/>
          </w:tcPr>
          <w:p w14:paraId="3BF56405" w14:textId="77777777" w:rsidR="00AD2554" w:rsidRPr="008D1D05" w:rsidRDefault="00AD2554" w:rsidP="00E9663B">
            <w:pPr>
              <w:spacing w:before="60" w:after="60"/>
              <w:jc w:val="both"/>
              <w:rPr>
                <w:color w:val="000000"/>
              </w:rPr>
            </w:pPr>
            <w:r w:rsidRPr="008D1D05">
              <w:rPr>
                <w:color w:val="000000"/>
              </w:rPr>
              <w:t>User accidentally causes environmental issues - turns of server; spills liquid etc</w:t>
            </w:r>
          </w:p>
        </w:tc>
        <w:tc>
          <w:tcPr>
            <w:tcW w:w="1443" w:type="dxa"/>
            <w:noWrap/>
          </w:tcPr>
          <w:p w14:paraId="500AED35" w14:textId="77777777" w:rsidR="00AD2554" w:rsidRPr="008D1D05" w:rsidRDefault="00AD2554" w:rsidP="00E9663B">
            <w:pPr>
              <w:spacing w:before="60" w:after="60"/>
              <w:jc w:val="both"/>
              <w:rPr>
                <w:color w:val="000000"/>
              </w:rPr>
            </w:pPr>
            <w:r w:rsidRPr="008D1D05">
              <w:rPr>
                <w:color w:val="000000"/>
              </w:rPr>
              <w:t>Unlikely</w:t>
            </w:r>
          </w:p>
        </w:tc>
        <w:tc>
          <w:tcPr>
            <w:tcW w:w="1525" w:type="dxa"/>
            <w:noWrap/>
          </w:tcPr>
          <w:p w14:paraId="4E3AD87A" w14:textId="77777777" w:rsidR="00AD2554" w:rsidRPr="008D1D05" w:rsidRDefault="00AD2554" w:rsidP="00E9663B">
            <w:pPr>
              <w:spacing w:before="60" w:after="60"/>
              <w:jc w:val="both"/>
              <w:rPr>
                <w:color w:val="000000"/>
              </w:rPr>
            </w:pPr>
            <w:r w:rsidRPr="008D1D05">
              <w:rPr>
                <w:color w:val="000000"/>
              </w:rPr>
              <w:t>Minor</w:t>
            </w:r>
          </w:p>
        </w:tc>
        <w:tc>
          <w:tcPr>
            <w:tcW w:w="1007" w:type="dxa"/>
            <w:noWrap/>
          </w:tcPr>
          <w:p w14:paraId="428FB270" w14:textId="77777777" w:rsidR="00AD2554" w:rsidRPr="008D1D05" w:rsidRDefault="00AD2554" w:rsidP="00E9663B">
            <w:pPr>
              <w:spacing w:before="60" w:after="60"/>
              <w:jc w:val="both"/>
              <w:rPr>
                <w:color w:val="000000"/>
              </w:rPr>
            </w:pPr>
            <w:r w:rsidRPr="008D1D05">
              <w:rPr>
                <w:color w:val="000000"/>
              </w:rPr>
              <w:t>Low</w:t>
            </w:r>
          </w:p>
        </w:tc>
        <w:tc>
          <w:tcPr>
            <w:tcW w:w="3325" w:type="dxa"/>
          </w:tcPr>
          <w:p w14:paraId="1DBD3EAB" w14:textId="77777777" w:rsidR="00AD2554" w:rsidRPr="008D1D05" w:rsidRDefault="00AD2554" w:rsidP="00E9663B">
            <w:pPr>
              <w:spacing w:before="60" w:after="60"/>
              <w:jc w:val="both"/>
              <w:rPr>
                <w:color w:val="000000"/>
              </w:rPr>
            </w:pPr>
            <w:r w:rsidRPr="008D1D05">
              <w:rPr>
                <w:color w:val="000000"/>
              </w:rPr>
              <w:t>HR Security; Physical Security</w:t>
            </w:r>
          </w:p>
        </w:tc>
      </w:tr>
      <w:tr w:rsidR="00AD2554" w:rsidRPr="000F2520" w14:paraId="2E4CEA86" w14:textId="77777777" w:rsidTr="00B72A2C">
        <w:trPr>
          <w:trHeight w:val="735"/>
          <w:jc w:val="center"/>
        </w:trPr>
        <w:tc>
          <w:tcPr>
            <w:tcW w:w="647" w:type="dxa"/>
            <w:noWrap/>
          </w:tcPr>
          <w:p w14:paraId="7BCBC818" w14:textId="77777777" w:rsidR="00AD2554" w:rsidRPr="008D1D05" w:rsidRDefault="00AD2554" w:rsidP="00E9663B">
            <w:pPr>
              <w:spacing w:before="60" w:after="60"/>
              <w:jc w:val="right"/>
              <w:rPr>
                <w:color w:val="000000"/>
              </w:rPr>
            </w:pPr>
            <w:r>
              <w:rPr>
                <w:color w:val="000000"/>
              </w:rPr>
              <w:t>23</w:t>
            </w:r>
          </w:p>
        </w:tc>
        <w:tc>
          <w:tcPr>
            <w:tcW w:w="2183" w:type="dxa"/>
            <w:noWrap/>
          </w:tcPr>
          <w:p w14:paraId="53C83CBA" w14:textId="77777777" w:rsidR="00AD2554" w:rsidRPr="008D1D05" w:rsidRDefault="00AD2554" w:rsidP="00E9663B">
            <w:pPr>
              <w:spacing w:before="60" w:after="60"/>
              <w:jc w:val="both"/>
              <w:rPr>
                <w:color w:val="000000"/>
              </w:rPr>
            </w:pPr>
            <w:r w:rsidRPr="008D1D05">
              <w:rPr>
                <w:color w:val="000000"/>
              </w:rPr>
              <w:t>Availability</w:t>
            </w:r>
          </w:p>
        </w:tc>
        <w:tc>
          <w:tcPr>
            <w:tcW w:w="3557" w:type="dxa"/>
          </w:tcPr>
          <w:p w14:paraId="43CE845C" w14:textId="77777777" w:rsidR="00AD2554" w:rsidRPr="008D1D05" w:rsidRDefault="00AD2554" w:rsidP="00E9663B">
            <w:pPr>
              <w:spacing w:before="60" w:after="60"/>
              <w:jc w:val="both"/>
              <w:rPr>
                <w:color w:val="000000"/>
              </w:rPr>
            </w:pPr>
            <w:r w:rsidRPr="008D1D05">
              <w:rPr>
                <w:color w:val="000000"/>
              </w:rPr>
              <w:t xml:space="preserve">Vendor fails to meet SLA </w:t>
            </w:r>
          </w:p>
        </w:tc>
        <w:tc>
          <w:tcPr>
            <w:tcW w:w="1443" w:type="dxa"/>
            <w:noWrap/>
          </w:tcPr>
          <w:p w14:paraId="64B8A0A0" w14:textId="77777777" w:rsidR="00AD2554" w:rsidRPr="008D1D05" w:rsidRDefault="00AD2554" w:rsidP="00E9663B">
            <w:pPr>
              <w:spacing w:before="60" w:after="60"/>
              <w:jc w:val="both"/>
              <w:rPr>
                <w:color w:val="000000"/>
              </w:rPr>
            </w:pPr>
            <w:r w:rsidRPr="008D1D05">
              <w:rPr>
                <w:color w:val="000000"/>
              </w:rPr>
              <w:t>Unlikely</w:t>
            </w:r>
          </w:p>
        </w:tc>
        <w:tc>
          <w:tcPr>
            <w:tcW w:w="1525" w:type="dxa"/>
            <w:noWrap/>
          </w:tcPr>
          <w:p w14:paraId="19F706D9" w14:textId="77777777" w:rsidR="00AD2554" w:rsidRPr="008D1D05" w:rsidRDefault="00AD2554" w:rsidP="00E9663B">
            <w:pPr>
              <w:spacing w:before="60" w:after="60"/>
              <w:jc w:val="both"/>
              <w:rPr>
                <w:color w:val="000000"/>
              </w:rPr>
            </w:pPr>
            <w:r w:rsidRPr="008D1D05">
              <w:rPr>
                <w:color w:val="000000"/>
              </w:rPr>
              <w:t>Minor</w:t>
            </w:r>
          </w:p>
        </w:tc>
        <w:tc>
          <w:tcPr>
            <w:tcW w:w="1007" w:type="dxa"/>
            <w:noWrap/>
          </w:tcPr>
          <w:p w14:paraId="34CE7BD0" w14:textId="77777777" w:rsidR="00AD2554" w:rsidRPr="008D1D05" w:rsidRDefault="00AD2554" w:rsidP="00E9663B">
            <w:pPr>
              <w:spacing w:before="60" w:after="60"/>
              <w:jc w:val="both"/>
              <w:rPr>
                <w:color w:val="000000"/>
              </w:rPr>
            </w:pPr>
            <w:r w:rsidRPr="008D1D05">
              <w:rPr>
                <w:color w:val="000000"/>
              </w:rPr>
              <w:t>Low</w:t>
            </w:r>
          </w:p>
        </w:tc>
        <w:tc>
          <w:tcPr>
            <w:tcW w:w="3325" w:type="dxa"/>
          </w:tcPr>
          <w:p w14:paraId="7070B140" w14:textId="77777777" w:rsidR="00AD2554" w:rsidRPr="008D1D05" w:rsidRDefault="00AD2554" w:rsidP="00FA48F7">
            <w:pPr>
              <w:spacing w:before="60" w:after="60"/>
              <w:rPr>
                <w:color w:val="000000"/>
              </w:rPr>
            </w:pPr>
            <w:r w:rsidRPr="008D1D05">
              <w:rPr>
                <w:color w:val="000000"/>
              </w:rPr>
              <w:t>Information Security Organisation</w:t>
            </w:r>
          </w:p>
        </w:tc>
      </w:tr>
      <w:tr w:rsidR="00AD2554" w:rsidRPr="000F2520" w14:paraId="1AE10701" w14:textId="77777777" w:rsidTr="00B72A2C">
        <w:trPr>
          <w:trHeight w:val="975"/>
          <w:jc w:val="center"/>
        </w:trPr>
        <w:tc>
          <w:tcPr>
            <w:tcW w:w="647" w:type="dxa"/>
            <w:noWrap/>
          </w:tcPr>
          <w:p w14:paraId="57CDDD56" w14:textId="77777777" w:rsidR="00AD2554" w:rsidRPr="008D1D05" w:rsidRDefault="00AD2554" w:rsidP="00E9663B">
            <w:pPr>
              <w:spacing w:before="60" w:after="60"/>
              <w:jc w:val="right"/>
              <w:rPr>
                <w:color w:val="000000"/>
              </w:rPr>
            </w:pPr>
            <w:r w:rsidRPr="008D1D05">
              <w:rPr>
                <w:color w:val="000000"/>
              </w:rPr>
              <w:t>2</w:t>
            </w:r>
            <w:r>
              <w:rPr>
                <w:color w:val="000000"/>
              </w:rPr>
              <w:t>4</w:t>
            </w:r>
          </w:p>
        </w:tc>
        <w:tc>
          <w:tcPr>
            <w:tcW w:w="2183" w:type="dxa"/>
            <w:noWrap/>
          </w:tcPr>
          <w:p w14:paraId="0FB11119" w14:textId="77777777" w:rsidR="00AD2554" w:rsidRPr="008D1D05" w:rsidRDefault="00AD2554" w:rsidP="00E9663B">
            <w:pPr>
              <w:spacing w:before="60" w:after="60"/>
              <w:jc w:val="both"/>
              <w:rPr>
                <w:color w:val="000000"/>
              </w:rPr>
            </w:pPr>
            <w:r w:rsidRPr="008D1D05">
              <w:rPr>
                <w:color w:val="000000"/>
              </w:rPr>
              <w:t>Availability</w:t>
            </w:r>
          </w:p>
        </w:tc>
        <w:tc>
          <w:tcPr>
            <w:tcW w:w="3557" w:type="dxa"/>
          </w:tcPr>
          <w:p w14:paraId="16E9B24B" w14:textId="77777777" w:rsidR="00AD2554" w:rsidRPr="008D1D05" w:rsidRDefault="00AD2554" w:rsidP="00E9663B">
            <w:pPr>
              <w:spacing w:before="60" w:after="60"/>
              <w:jc w:val="both"/>
              <w:rPr>
                <w:color w:val="000000"/>
              </w:rPr>
            </w:pPr>
            <w:r w:rsidRPr="008D1D05">
              <w:rPr>
                <w:color w:val="000000"/>
              </w:rPr>
              <w:t>Loss of small number of records due to reluctance by contributors to re-enter/re-provide data following loss of availability or other factors</w:t>
            </w:r>
          </w:p>
        </w:tc>
        <w:tc>
          <w:tcPr>
            <w:tcW w:w="1443" w:type="dxa"/>
            <w:noWrap/>
          </w:tcPr>
          <w:p w14:paraId="1E69A24B" w14:textId="77777777" w:rsidR="00AD2554" w:rsidRPr="008D1D05" w:rsidRDefault="00AD2554" w:rsidP="00E9663B">
            <w:pPr>
              <w:spacing w:before="60" w:after="60"/>
              <w:jc w:val="both"/>
              <w:rPr>
                <w:color w:val="000000"/>
              </w:rPr>
            </w:pPr>
            <w:r w:rsidRPr="008D1D05">
              <w:rPr>
                <w:color w:val="000000"/>
              </w:rPr>
              <w:t>Possible</w:t>
            </w:r>
          </w:p>
        </w:tc>
        <w:tc>
          <w:tcPr>
            <w:tcW w:w="1525" w:type="dxa"/>
            <w:noWrap/>
          </w:tcPr>
          <w:p w14:paraId="5583CFD1" w14:textId="77777777" w:rsidR="00AD2554" w:rsidRPr="008D1D05" w:rsidRDefault="00AD2554" w:rsidP="00E9663B">
            <w:pPr>
              <w:spacing w:before="60" w:after="60"/>
              <w:jc w:val="both"/>
              <w:rPr>
                <w:color w:val="000000"/>
              </w:rPr>
            </w:pPr>
            <w:r w:rsidRPr="008D1D05">
              <w:rPr>
                <w:color w:val="000000"/>
              </w:rPr>
              <w:t>Insignificant</w:t>
            </w:r>
          </w:p>
        </w:tc>
        <w:tc>
          <w:tcPr>
            <w:tcW w:w="1007" w:type="dxa"/>
            <w:noWrap/>
          </w:tcPr>
          <w:p w14:paraId="3CC86416" w14:textId="77777777" w:rsidR="00AD2554" w:rsidRPr="008D1D05" w:rsidRDefault="00AD2554" w:rsidP="00E9663B">
            <w:pPr>
              <w:spacing w:before="60" w:after="60"/>
              <w:jc w:val="both"/>
              <w:rPr>
                <w:color w:val="000000"/>
              </w:rPr>
            </w:pPr>
            <w:r w:rsidRPr="008D1D05">
              <w:rPr>
                <w:color w:val="000000"/>
              </w:rPr>
              <w:t>Low</w:t>
            </w:r>
          </w:p>
        </w:tc>
        <w:tc>
          <w:tcPr>
            <w:tcW w:w="3325" w:type="dxa"/>
            <w:noWrap/>
          </w:tcPr>
          <w:p w14:paraId="6EB46DB1" w14:textId="77777777" w:rsidR="00AD2554" w:rsidRPr="008D1D05" w:rsidRDefault="00AD2554" w:rsidP="00E9663B">
            <w:pPr>
              <w:spacing w:before="60" w:after="60"/>
              <w:jc w:val="both"/>
              <w:rPr>
                <w:color w:val="000000"/>
              </w:rPr>
            </w:pPr>
            <w:r w:rsidRPr="008D1D05">
              <w:rPr>
                <w:color w:val="000000"/>
              </w:rPr>
              <w:t>HR Security</w:t>
            </w:r>
          </w:p>
        </w:tc>
      </w:tr>
    </w:tbl>
    <w:p w14:paraId="45D673D3" w14:textId="77777777" w:rsidR="00AD2554" w:rsidRPr="000F2520" w:rsidRDefault="00AD2554" w:rsidP="00AD2554">
      <w:pPr>
        <w:pStyle w:val="BodyText"/>
        <w:ind w:left="720"/>
      </w:pPr>
    </w:p>
    <w:p w14:paraId="4F2643E9" w14:textId="77777777" w:rsidR="00AD2554" w:rsidRPr="000F2520" w:rsidRDefault="00AD2554" w:rsidP="00AD2554">
      <w:pPr>
        <w:pStyle w:val="BodyText"/>
        <w:ind w:left="720"/>
        <w:rPr>
          <w:i/>
        </w:rPr>
        <w:sectPr w:rsidR="00AD2554" w:rsidRPr="000F2520" w:rsidSect="00E9663B">
          <w:headerReference w:type="even" r:id="rId33"/>
          <w:headerReference w:type="default" r:id="rId34"/>
          <w:footerReference w:type="default" r:id="rId35"/>
          <w:headerReference w:type="first" r:id="rId36"/>
          <w:pgSz w:w="16838" w:h="11906" w:orient="landscape" w:code="9"/>
          <w:pgMar w:top="1701" w:right="1701" w:bottom="1418" w:left="1440" w:header="709" w:footer="709" w:gutter="0"/>
          <w:cols w:space="708"/>
          <w:docGrid w:linePitch="360"/>
        </w:sectPr>
      </w:pPr>
    </w:p>
    <w:p w14:paraId="0A082ED2" w14:textId="77777777" w:rsidR="00AD2554" w:rsidRPr="000F2520" w:rsidRDefault="00AD2554" w:rsidP="00AD2554">
      <w:pPr>
        <w:pStyle w:val="Heading1"/>
        <w:numPr>
          <w:ilvl w:val="0"/>
          <w:numId w:val="21"/>
        </w:numPr>
        <w:tabs>
          <w:tab w:val="clear" w:pos="1276"/>
          <w:tab w:val="num" w:pos="783"/>
        </w:tabs>
        <w:ind w:left="783" w:hanging="360"/>
      </w:pPr>
      <w:bookmarkStart w:id="55" w:name="_Ref351533228"/>
      <w:bookmarkStart w:id="56" w:name="_Toc106613897"/>
      <w:r w:rsidRPr="000F2520">
        <w:lastRenderedPageBreak/>
        <w:t>Security Assessment Approach</w:t>
      </w:r>
      <w:bookmarkEnd w:id="55"/>
      <w:bookmarkEnd w:id="56"/>
    </w:p>
    <w:tbl>
      <w:tblPr>
        <w:tblW w:w="0" w:type="auto"/>
        <w:tblInd w:w="10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669"/>
      </w:tblGrid>
      <w:tr w:rsidR="00AD2554" w:rsidRPr="000F2520" w14:paraId="27EB796A" w14:textId="77777777" w:rsidTr="00E9663B">
        <w:tc>
          <w:tcPr>
            <w:tcW w:w="8800" w:type="dxa"/>
            <w:tcBorders>
              <w:top w:val="single" w:sz="4" w:space="0" w:color="auto"/>
              <w:bottom w:val="single" w:sz="4" w:space="0" w:color="auto"/>
            </w:tcBorders>
            <w:shd w:val="clear" w:color="auto" w:fill="FFCC99"/>
          </w:tcPr>
          <w:p w14:paraId="76F8D45A" w14:textId="77777777" w:rsidR="00AD2554" w:rsidRPr="000F2520" w:rsidRDefault="00AD2554" w:rsidP="00E9663B">
            <w:r w:rsidRPr="000F2520">
              <w:t xml:space="preserve">This section describes a high-level approach to the assessment of CQR security compliance, including the measures to be taken to address any identified security gaps. </w:t>
            </w:r>
          </w:p>
          <w:p w14:paraId="42F76506" w14:textId="77777777" w:rsidR="00AD2554" w:rsidRPr="000F2520" w:rsidRDefault="00AD2554" w:rsidP="00E9663B">
            <w:r w:rsidRPr="000F2520">
              <w:t xml:space="preserve">To assess security compliance, assessors should first identify the checklists that are applicable to the organisation being assessed. </w:t>
            </w:r>
          </w:p>
        </w:tc>
      </w:tr>
    </w:tbl>
    <w:p w14:paraId="0F9D9002" w14:textId="77777777" w:rsidR="00AD2554" w:rsidRPr="000F2520" w:rsidRDefault="00AD2554" w:rsidP="003D2BA6">
      <w:pPr>
        <w:pStyle w:val="Heading2"/>
      </w:pPr>
      <w:bookmarkStart w:id="57" w:name="_Toc106613898"/>
      <w:r w:rsidRPr="000F2520">
        <w:t>Methodology</w:t>
      </w:r>
      <w:bookmarkEnd w:id="57"/>
    </w:p>
    <w:p w14:paraId="2AAA4E8E" w14:textId="77777777" w:rsidR="00AD2554" w:rsidRPr="000F2520" w:rsidRDefault="00AD2554" w:rsidP="00AD2554">
      <w:r w:rsidRPr="000F2520">
        <w:t xml:space="preserve">A checklist approach is employed to assess the security compliance of CQRs. Each area of the checklist is tested against the local CQR environment to assess compliance.  </w:t>
      </w:r>
    </w:p>
    <w:p w14:paraId="62946F68" w14:textId="77777777" w:rsidR="00AD2554" w:rsidRPr="000F2520" w:rsidRDefault="00AD2554" w:rsidP="00AD2554">
      <w:r w:rsidRPr="000F2520">
        <w:t>Gaps in compliance are identified, classified in importance, prioritised for action, and finally treated.</w:t>
      </w:r>
    </w:p>
    <w:p w14:paraId="7382D01B" w14:textId="77777777" w:rsidR="00AD2554" w:rsidRPr="000F2520" w:rsidRDefault="00AD2554" w:rsidP="00AD2554">
      <w:r w:rsidRPr="000F2520">
        <w:t>The chart below shows these steps in the methodology.</w:t>
      </w:r>
    </w:p>
    <w:p w14:paraId="7C768827" w14:textId="77777777" w:rsidR="00AD2554" w:rsidRPr="00A814FF" w:rsidRDefault="00AD2554" w:rsidP="00AD2554">
      <w:pPr>
        <w:pStyle w:val="BodyText2"/>
        <w:jc w:val="right"/>
        <w:rPr>
          <w:noProof/>
          <w:lang w:eastAsia="en-US"/>
        </w:rPr>
      </w:pPr>
      <w:r w:rsidRPr="001A461D">
        <w:rPr>
          <w:noProof/>
        </w:rPr>
        <w:drawing>
          <wp:inline distT="0" distB="0" distL="0" distR="0" wp14:anchorId="4E034AB7" wp14:editId="6F563847">
            <wp:extent cx="4792980" cy="46482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92980" cy="464820"/>
                    </a:xfrm>
                    <a:prstGeom prst="rect">
                      <a:avLst/>
                    </a:prstGeom>
                    <a:noFill/>
                    <a:ln>
                      <a:noFill/>
                    </a:ln>
                  </pic:spPr>
                </pic:pic>
              </a:graphicData>
            </a:graphic>
          </wp:inline>
        </w:drawing>
      </w:r>
    </w:p>
    <w:p w14:paraId="6A52332E" w14:textId="77777777" w:rsidR="00AD2554" w:rsidRPr="000F2520" w:rsidRDefault="00AD2554" w:rsidP="00AD2554">
      <w:pPr>
        <w:pStyle w:val="BodyText2"/>
        <w:jc w:val="right"/>
      </w:pPr>
    </w:p>
    <w:p w14:paraId="6E826504" w14:textId="77777777" w:rsidR="00AD2554" w:rsidRPr="000F2520" w:rsidRDefault="00AD2554" w:rsidP="003D2BA6">
      <w:pPr>
        <w:pStyle w:val="Heading2"/>
      </w:pPr>
      <w:bookmarkStart w:id="58" w:name="_Toc106613899"/>
      <w:r w:rsidRPr="000F2520">
        <w:t>Assessing Compliance</w:t>
      </w:r>
      <w:bookmarkEnd w:id="58"/>
    </w:p>
    <w:p w14:paraId="1B6A4D95" w14:textId="77777777" w:rsidR="00AD2554" w:rsidRPr="004E0FB9" w:rsidRDefault="00AD2554" w:rsidP="00AD2554">
      <w:pPr>
        <w:pStyle w:val="Heading3"/>
        <w:numPr>
          <w:ilvl w:val="2"/>
          <w:numId w:val="21"/>
        </w:numPr>
        <w:tabs>
          <w:tab w:val="clear" w:pos="1276"/>
          <w:tab w:val="num" w:pos="2223"/>
        </w:tabs>
        <w:ind w:left="2223" w:hanging="180"/>
      </w:pPr>
      <w:bookmarkStart w:id="59" w:name="_Toc106613900"/>
      <w:r w:rsidRPr="004E0FB9">
        <w:t>Assessment checklists</w:t>
      </w:r>
      <w:bookmarkEnd w:id="59"/>
      <w:r w:rsidRPr="004E0FB9">
        <w:t xml:space="preserve"> </w:t>
      </w:r>
      <w:r w:rsidRPr="004E0FB9">
        <w:tab/>
      </w:r>
      <w:r w:rsidRPr="004E0FB9">
        <w:tab/>
      </w:r>
    </w:p>
    <w:p w14:paraId="582EFBCF" w14:textId="77777777" w:rsidR="00AD2554" w:rsidRPr="000F2520" w:rsidRDefault="00AD2554" w:rsidP="00AD2554">
      <w:r w:rsidRPr="000F2520">
        <w:t xml:space="preserve">Based on the infrastructure models (Section </w:t>
      </w:r>
      <w:r w:rsidRPr="00BC6D21">
        <w:fldChar w:fldCharType="begin"/>
      </w:r>
      <w:r w:rsidRPr="000F2520">
        <w:instrText xml:space="preserve"> REF _Ref350930718 \r \h </w:instrText>
      </w:r>
      <w:r w:rsidRPr="00BC6D21">
        <w:fldChar w:fldCharType="separate"/>
      </w:r>
      <w:r>
        <w:t>3.1</w:t>
      </w:r>
      <w:r w:rsidRPr="00BC6D21">
        <w:fldChar w:fldCharType="end"/>
      </w:r>
      <w:r w:rsidRPr="000F2520">
        <w:t xml:space="preserve">) and risk profiles (Section </w:t>
      </w:r>
      <w:r w:rsidRPr="00BC6D21">
        <w:fldChar w:fldCharType="begin"/>
      </w:r>
      <w:r w:rsidRPr="000F2520">
        <w:instrText xml:space="preserve"> REF _Ref351451481 \r \h </w:instrText>
      </w:r>
      <w:r w:rsidRPr="00BC6D21">
        <w:fldChar w:fldCharType="separate"/>
      </w:r>
      <w:r>
        <w:t>3.2</w:t>
      </w:r>
      <w:r w:rsidRPr="00BC6D21">
        <w:fldChar w:fldCharType="end"/>
      </w:r>
      <w:r w:rsidRPr="000F2520">
        <w:t xml:space="preserve">), this </w:t>
      </w:r>
      <w:r w:rsidRPr="00A814FF">
        <w:rPr>
          <w:i/>
          <w:iCs/>
        </w:rPr>
        <w:t>Guideline</w:t>
      </w:r>
      <w:r w:rsidRPr="000F2520">
        <w:t xml:space="preserve"> identifies three separate checklists:</w:t>
      </w:r>
    </w:p>
    <w:p w14:paraId="1D7F1442" w14:textId="77777777" w:rsidR="00AD2554" w:rsidRPr="000F2520" w:rsidRDefault="00AD2554" w:rsidP="00AD2554">
      <w:pPr>
        <w:numPr>
          <w:ilvl w:val="0"/>
          <w:numId w:val="56"/>
        </w:numPr>
        <w:overflowPunct w:val="0"/>
        <w:autoSpaceDE w:val="0"/>
        <w:autoSpaceDN w:val="0"/>
        <w:adjustRightInd w:val="0"/>
        <w:spacing w:before="120" w:after="120" w:line="240" w:lineRule="auto"/>
        <w:textAlignment w:val="baseline"/>
      </w:pPr>
      <w:r w:rsidRPr="000F2520">
        <w:t>CQR Business Operations Checklist</w:t>
      </w:r>
    </w:p>
    <w:p w14:paraId="2F38FC92" w14:textId="77777777" w:rsidR="00AD2554" w:rsidRDefault="00AD2554" w:rsidP="00AD2554">
      <w:pPr>
        <w:numPr>
          <w:ilvl w:val="0"/>
          <w:numId w:val="56"/>
        </w:numPr>
        <w:overflowPunct w:val="0"/>
        <w:autoSpaceDE w:val="0"/>
        <w:autoSpaceDN w:val="0"/>
        <w:adjustRightInd w:val="0"/>
        <w:spacing w:before="120" w:after="120" w:line="240" w:lineRule="auto"/>
        <w:textAlignment w:val="baseline"/>
      </w:pPr>
      <w:r>
        <w:t xml:space="preserve">Centrally Hosted Jurisdictional </w:t>
      </w:r>
      <w:r w:rsidRPr="000F2520">
        <w:t>Checklist</w:t>
      </w:r>
      <w:r>
        <w:t xml:space="preserve"> </w:t>
      </w:r>
    </w:p>
    <w:p w14:paraId="383E49A7" w14:textId="77777777" w:rsidR="00AD2554" w:rsidRDefault="00AD2554" w:rsidP="00AD2554">
      <w:pPr>
        <w:numPr>
          <w:ilvl w:val="0"/>
          <w:numId w:val="56"/>
        </w:numPr>
        <w:overflowPunct w:val="0"/>
        <w:autoSpaceDE w:val="0"/>
        <w:autoSpaceDN w:val="0"/>
        <w:adjustRightInd w:val="0"/>
        <w:spacing w:before="120" w:after="120" w:line="240" w:lineRule="auto"/>
        <w:textAlignment w:val="baseline"/>
      </w:pPr>
      <w:r w:rsidRPr="000F2520">
        <w:t xml:space="preserve">Standalone CQR </w:t>
      </w:r>
      <w:r>
        <w:t>Checklist (l</w:t>
      </w:r>
      <w:r w:rsidRPr="000F2520">
        <w:t xml:space="preserve">ocal </w:t>
      </w:r>
      <w:r>
        <w:t>d</w:t>
      </w:r>
      <w:r w:rsidRPr="000F2520">
        <w:t xml:space="preserve">ata </w:t>
      </w:r>
      <w:r>
        <w:t>h</w:t>
      </w:r>
      <w:r w:rsidRPr="000F2520">
        <w:t xml:space="preserve">osting </w:t>
      </w:r>
      <w:r>
        <w:t>c</w:t>
      </w:r>
      <w:r w:rsidRPr="000F2520">
        <w:t>hecklist</w:t>
      </w:r>
      <w:r>
        <w:t>)</w:t>
      </w:r>
    </w:p>
    <w:p w14:paraId="489C52A0" w14:textId="77777777" w:rsidR="00AD2554" w:rsidRPr="000F2520" w:rsidRDefault="00AD2554" w:rsidP="00AD2554">
      <w:r w:rsidRPr="000F2520">
        <w:t xml:space="preserve">The CQR Business Operations Checklist is used to identify the </w:t>
      </w:r>
      <w:proofErr w:type="gramStart"/>
      <w:r w:rsidRPr="000F2520">
        <w:t>current status</w:t>
      </w:r>
      <w:proofErr w:type="gramEnd"/>
      <w:r w:rsidRPr="000F2520">
        <w:t xml:space="preserve"> of security controls concerning the business operations of a CQR. This includes, but is not limited to, employment screening controls, authorisation of users and business continuity practices. Regardless of the underlying data hosting infrastructure of each CQR, these business operation security controls should be similar across all CQRs and hence the same level of security state is required. </w:t>
      </w:r>
    </w:p>
    <w:p w14:paraId="301A9E7D" w14:textId="77777777" w:rsidR="00AD2554" w:rsidRPr="000F2520" w:rsidRDefault="00AD2554" w:rsidP="00AD2554">
      <w:r w:rsidRPr="000F2520">
        <w:t xml:space="preserve">The Standalone CQR </w:t>
      </w:r>
      <w:r>
        <w:t>or local data hosting checklist</w:t>
      </w:r>
      <w:r w:rsidRPr="000F2520">
        <w:t xml:space="preserve"> is used by standalone CQRs which operate and maintain their own data hosting infrastructure.</w:t>
      </w:r>
    </w:p>
    <w:p w14:paraId="083EFD80" w14:textId="6C9E19C3" w:rsidR="00AD2554" w:rsidRPr="003229A4" w:rsidRDefault="00AD2554" w:rsidP="00AD2554">
      <w:pPr>
        <w:rPr>
          <w:b/>
          <w:bCs/>
        </w:rPr>
      </w:pPr>
      <w:r w:rsidRPr="003229A4">
        <w:rPr>
          <w:b/>
          <w:bCs/>
        </w:rPr>
        <w:lastRenderedPageBreak/>
        <w:t>The Centrally Hosted Jurisdictional Checklist is used where ISO 27001 or Australian Signals Directorate (ASD)</w:t>
      </w:r>
      <w:r w:rsidRPr="003229A4">
        <w:rPr>
          <w:rStyle w:val="FootnoteReference"/>
          <w:b/>
          <w:bCs/>
        </w:rPr>
        <w:footnoteReference w:id="7"/>
      </w:r>
      <w:r w:rsidRPr="003229A4">
        <w:rPr>
          <w:b/>
          <w:bCs/>
        </w:rPr>
        <w:t xml:space="preserve"> certification does </w:t>
      </w:r>
      <w:r w:rsidRPr="003229A4">
        <w:rPr>
          <w:b/>
          <w:bCs/>
          <w:u w:val="single"/>
        </w:rPr>
        <w:t>not</w:t>
      </w:r>
      <w:r w:rsidRPr="003229A4">
        <w:rPr>
          <w:b/>
          <w:bCs/>
        </w:rPr>
        <w:t xml:space="preserve"> exist. It will also be used when considering the centrally hosted national infrastructure.</w:t>
      </w:r>
    </w:p>
    <w:p w14:paraId="738FD40A" w14:textId="77777777" w:rsidR="00AD2554" w:rsidRPr="000F2520" w:rsidRDefault="00AD2554" w:rsidP="00AD2554">
      <w:r w:rsidRPr="000F2520">
        <w:t xml:space="preserve">Formally accredited by authorised certifiers, ISO 27001 is the international standard for information security management and, where satisfied, provides a high level of confidence in an organisation's security control measures.  Similarly, </w:t>
      </w:r>
      <w:r w:rsidRPr="003229A4">
        <w:t>ASD certification</w:t>
      </w:r>
      <w:r w:rsidRPr="000F2520">
        <w:t xml:space="preserve"> evaluates </w:t>
      </w:r>
      <w:r w:rsidRPr="000F2520">
        <w:rPr>
          <w:rStyle w:val="HTMLAcronym"/>
        </w:rPr>
        <w:t>ICT</w:t>
      </w:r>
      <w:r w:rsidRPr="000F2520">
        <w:t xml:space="preserve"> security products used by Australian governments to protect official information. These formal independent assessments provide confidence that </w:t>
      </w:r>
      <w:r w:rsidRPr="000F2520">
        <w:rPr>
          <w:rStyle w:val="HTMLAcronym"/>
        </w:rPr>
        <w:t>ICT</w:t>
      </w:r>
      <w:r w:rsidRPr="000F2520">
        <w:t xml:space="preserve"> security products perform as claimed by the vendor.</w:t>
      </w:r>
    </w:p>
    <w:p w14:paraId="6FC67AD7" w14:textId="750A2D31" w:rsidR="00AD2554" w:rsidRPr="000F2520" w:rsidRDefault="00AD2554" w:rsidP="00AD2554">
      <w:r w:rsidRPr="000F2520">
        <w:t xml:space="preserve">It is expected, however, that few organisations within Australia will have ISO 27001 or </w:t>
      </w:r>
      <w:r>
        <w:t>ASD</w:t>
      </w:r>
      <w:r w:rsidRPr="000F2520">
        <w:t xml:space="preserve"> certification, in which case the </w:t>
      </w:r>
      <w:r>
        <w:t>Centrally Hosted</w:t>
      </w:r>
      <w:r w:rsidRPr="000F2520">
        <w:t xml:space="preserve"> </w:t>
      </w:r>
      <w:r>
        <w:t xml:space="preserve">Jurisdictional </w:t>
      </w:r>
      <w:r w:rsidRPr="000F2520">
        <w:t xml:space="preserve">Checklist should be used. This checklist involves best practice controls for securing CQR information </w:t>
      </w:r>
      <w:r w:rsidR="00E30A94" w:rsidRPr="000F2520">
        <w:t>within jurisdictional</w:t>
      </w:r>
      <w:r>
        <w:t xml:space="preserve"> infrastructure</w:t>
      </w:r>
      <w:r w:rsidRPr="000F2520">
        <w:t xml:space="preserve"> and requires an annual review.</w:t>
      </w:r>
    </w:p>
    <w:p w14:paraId="2C638A02" w14:textId="77777777" w:rsidR="00AD2554" w:rsidRPr="000F2520" w:rsidRDefault="00AD2554" w:rsidP="00AD2554">
      <w:r w:rsidRPr="000F2520">
        <w:t xml:space="preserve">Once </w:t>
      </w:r>
      <w:r>
        <w:t xml:space="preserve">a Standalone CQR </w:t>
      </w:r>
      <w:r w:rsidRPr="000F2520">
        <w:t xml:space="preserve">becomes </w:t>
      </w:r>
      <w:r>
        <w:t>accredited</w:t>
      </w:r>
      <w:r w:rsidRPr="000F2520">
        <w:t xml:space="preserve">, all future CQRs may outsource their data hosting requirements to the </w:t>
      </w:r>
      <w:r>
        <w:t>accredited</w:t>
      </w:r>
      <w:r w:rsidRPr="000F2520">
        <w:t xml:space="preserve"> provider, without further certification. It is expected however, that annual reviews of compliance are undertaken by the external data hosting service provider. Reports of annual compliance reviews should be provided to the CQRs for which data hosting services are being provided. </w:t>
      </w:r>
    </w:p>
    <w:p w14:paraId="01B24AF8" w14:textId="77777777" w:rsidR="00AD2554" w:rsidRPr="000F2520" w:rsidRDefault="00AD2554" w:rsidP="00AD2554"/>
    <w:p w14:paraId="2FF2B036" w14:textId="77777777" w:rsidR="00AD2554" w:rsidRPr="000F2520" w:rsidRDefault="00AD2554" w:rsidP="0044020B">
      <w:pPr>
        <w:pStyle w:val="Heading3"/>
        <w:numPr>
          <w:ilvl w:val="2"/>
          <w:numId w:val="21"/>
        </w:numPr>
        <w:tabs>
          <w:tab w:val="clear" w:pos="1276"/>
          <w:tab w:val="num" w:pos="2223"/>
        </w:tabs>
        <w:ind w:left="2223" w:hanging="180"/>
      </w:pPr>
      <w:bookmarkStart w:id="60" w:name="_Toc106613901"/>
      <w:r w:rsidRPr="000F2520">
        <w:t>Determining the appropriate checklists</w:t>
      </w:r>
      <w:bookmarkEnd w:id="60"/>
      <w:r w:rsidRPr="000F2520">
        <w:t xml:space="preserve"> </w:t>
      </w:r>
    </w:p>
    <w:p w14:paraId="0C5ED03B" w14:textId="77777777" w:rsidR="00AD2554" w:rsidRPr="000F2520" w:rsidRDefault="00AD2554" w:rsidP="00AD2554">
      <w:r w:rsidRPr="000F2520">
        <w:t>The flowchart (</w:t>
      </w:r>
      <w:r w:rsidRPr="00BC6D21">
        <w:fldChar w:fldCharType="begin"/>
      </w:r>
      <w:r w:rsidRPr="000F2520">
        <w:instrText xml:space="preserve"> REF _Ref351473903 \h </w:instrText>
      </w:r>
      <w:r w:rsidRPr="00BC6D21">
        <w:fldChar w:fldCharType="separate"/>
      </w:r>
      <w:r w:rsidRPr="000F2520">
        <w:t xml:space="preserve">Figure </w:t>
      </w:r>
      <w:r>
        <w:rPr>
          <w:noProof/>
        </w:rPr>
        <w:t>5</w:t>
      </w:r>
      <w:r w:rsidRPr="00BC6D21">
        <w:fldChar w:fldCharType="end"/>
      </w:r>
      <w:r w:rsidRPr="000F2520">
        <w:t>) and matrix (</w:t>
      </w:r>
      <w:r w:rsidRPr="00BC6D21">
        <w:fldChar w:fldCharType="begin"/>
      </w:r>
      <w:r w:rsidRPr="000F2520">
        <w:instrText xml:space="preserve"> REF _Ref351459022 \h </w:instrText>
      </w:r>
      <w:r w:rsidRPr="00BC6D21">
        <w:fldChar w:fldCharType="separate"/>
      </w:r>
      <w:r w:rsidRPr="000F2520">
        <w:t xml:space="preserve">Table </w:t>
      </w:r>
      <w:r>
        <w:rPr>
          <w:noProof/>
        </w:rPr>
        <w:t>4</w:t>
      </w:r>
      <w:r w:rsidRPr="00BC6D21">
        <w:fldChar w:fldCharType="end"/>
      </w:r>
      <w:r w:rsidRPr="000F2520">
        <w:t xml:space="preserve">) below should be used to determine the appropriate checklists to be used to assess an organisation’s security control measures based on the two organisational infrastructure models outlined in Section </w:t>
      </w:r>
      <w:r w:rsidRPr="00BC6D21">
        <w:fldChar w:fldCharType="begin"/>
      </w:r>
      <w:r w:rsidRPr="000F2520">
        <w:instrText xml:space="preserve"> REF _Ref350930718 \r \h </w:instrText>
      </w:r>
      <w:r w:rsidRPr="00BC6D21">
        <w:fldChar w:fldCharType="separate"/>
      </w:r>
      <w:r>
        <w:t>3.1</w:t>
      </w:r>
      <w:r w:rsidRPr="00BC6D21">
        <w:fldChar w:fldCharType="end"/>
      </w:r>
      <w:r w:rsidRPr="000F2520">
        <w:t>:</w:t>
      </w:r>
    </w:p>
    <w:p w14:paraId="2C670BED" w14:textId="77777777" w:rsidR="00AD2554" w:rsidRDefault="00AD2554" w:rsidP="00AD2554">
      <w:pPr>
        <w:numPr>
          <w:ilvl w:val="0"/>
          <w:numId w:val="57"/>
        </w:numPr>
        <w:overflowPunct w:val="0"/>
        <w:autoSpaceDE w:val="0"/>
        <w:autoSpaceDN w:val="0"/>
        <w:adjustRightInd w:val="0"/>
        <w:spacing w:before="120" w:after="120" w:line="240" w:lineRule="auto"/>
        <w:textAlignment w:val="baseline"/>
      </w:pPr>
      <w:r>
        <w:t xml:space="preserve">Centrally hosted jurisdictional infrastructure </w:t>
      </w:r>
      <w:r w:rsidRPr="000F2520">
        <w:t>CQRs</w:t>
      </w:r>
    </w:p>
    <w:p w14:paraId="0841482F" w14:textId="77777777" w:rsidR="00AD2554" w:rsidRDefault="00AD2554" w:rsidP="00AD2554">
      <w:pPr>
        <w:numPr>
          <w:ilvl w:val="0"/>
          <w:numId w:val="57"/>
        </w:numPr>
        <w:overflowPunct w:val="0"/>
        <w:autoSpaceDE w:val="0"/>
        <w:autoSpaceDN w:val="0"/>
        <w:adjustRightInd w:val="0"/>
        <w:spacing w:before="120" w:after="120" w:line="240" w:lineRule="auto"/>
        <w:textAlignment w:val="baseline"/>
      </w:pPr>
      <w:r>
        <w:t>Standalone CQRs</w:t>
      </w:r>
    </w:p>
    <w:p w14:paraId="4B7AF8AF" w14:textId="77777777" w:rsidR="00AD2554" w:rsidRPr="000F2520" w:rsidRDefault="00AD2554" w:rsidP="00AD2554">
      <w:pPr>
        <w:ind w:left="360"/>
      </w:pPr>
    </w:p>
    <w:p w14:paraId="47A32199" w14:textId="77777777" w:rsidR="00AD2554" w:rsidRPr="000F2520" w:rsidRDefault="00AD2554" w:rsidP="00AD2554">
      <w:r w:rsidRPr="000F2520">
        <w:t>    </w:t>
      </w:r>
    </w:p>
    <w:p w14:paraId="584CC41F" w14:textId="77777777" w:rsidR="00AD2554" w:rsidRPr="000F2520" w:rsidRDefault="00AD2554" w:rsidP="00AD2554"/>
    <w:p w14:paraId="140CB56D" w14:textId="77777777" w:rsidR="00AD2554" w:rsidRPr="000F2520" w:rsidRDefault="00AD2554" w:rsidP="00AD2554"/>
    <w:p w14:paraId="4698DA1C" w14:textId="77777777" w:rsidR="00AD2554" w:rsidRPr="000F2520" w:rsidRDefault="00AD2554" w:rsidP="00AD2554"/>
    <w:p w14:paraId="70F430E5" w14:textId="77777777" w:rsidR="00AD2554" w:rsidRPr="000F2520" w:rsidRDefault="00AD2554" w:rsidP="00AD2554"/>
    <w:p w14:paraId="4B96F5D8" w14:textId="4492A023" w:rsidR="00AD2554" w:rsidRPr="000F2520" w:rsidRDefault="00AD2554" w:rsidP="00AD2554"/>
    <w:p w14:paraId="31695DAB" w14:textId="77777777" w:rsidR="00EB5B0F" w:rsidRDefault="00EB5B0F" w:rsidP="00AD2554">
      <w:pPr>
        <w:pStyle w:val="Caption"/>
      </w:pPr>
      <w:bookmarkStart w:id="61" w:name="_Ref351473903"/>
      <w:bookmarkStart w:id="62" w:name="_Ref351541973"/>
      <w:bookmarkStart w:id="63" w:name="_Toc103165885"/>
    </w:p>
    <w:p w14:paraId="4ABB80A9" w14:textId="32603F4E" w:rsidR="00AD2554" w:rsidRPr="00EB5B0F" w:rsidRDefault="00AD2554" w:rsidP="00AD2554">
      <w:pPr>
        <w:pStyle w:val="Caption"/>
        <w:rPr>
          <w:color w:val="1F3864" w:themeColor="accent1" w:themeShade="80"/>
          <w:sz w:val="22"/>
          <w:szCs w:val="22"/>
        </w:rPr>
      </w:pPr>
      <w:r w:rsidRPr="00EB5B0F">
        <w:rPr>
          <w:color w:val="1F3864" w:themeColor="accent1" w:themeShade="80"/>
          <w:sz w:val="22"/>
          <w:szCs w:val="22"/>
        </w:rPr>
        <w:lastRenderedPageBreak/>
        <w:t xml:space="preserve">Figure </w:t>
      </w:r>
      <w:r w:rsidRPr="00EB5B0F">
        <w:rPr>
          <w:color w:val="1F3864" w:themeColor="accent1" w:themeShade="80"/>
          <w:sz w:val="22"/>
          <w:szCs w:val="22"/>
        </w:rPr>
        <w:fldChar w:fldCharType="begin"/>
      </w:r>
      <w:r w:rsidRPr="00EB5B0F">
        <w:rPr>
          <w:color w:val="1F3864" w:themeColor="accent1" w:themeShade="80"/>
          <w:sz w:val="22"/>
          <w:szCs w:val="22"/>
        </w:rPr>
        <w:instrText xml:space="preserve"> SEQ Figure \* ARABIC </w:instrText>
      </w:r>
      <w:r w:rsidRPr="00EB5B0F">
        <w:rPr>
          <w:color w:val="1F3864" w:themeColor="accent1" w:themeShade="80"/>
          <w:sz w:val="22"/>
          <w:szCs w:val="22"/>
        </w:rPr>
        <w:fldChar w:fldCharType="separate"/>
      </w:r>
      <w:r w:rsidRPr="00EB5B0F">
        <w:rPr>
          <w:noProof/>
          <w:color w:val="1F3864" w:themeColor="accent1" w:themeShade="80"/>
          <w:sz w:val="22"/>
          <w:szCs w:val="22"/>
        </w:rPr>
        <w:t>5</w:t>
      </w:r>
      <w:r w:rsidRPr="00EB5B0F">
        <w:rPr>
          <w:noProof/>
          <w:color w:val="1F3864" w:themeColor="accent1" w:themeShade="80"/>
          <w:sz w:val="22"/>
          <w:szCs w:val="22"/>
        </w:rPr>
        <w:fldChar w:fldCharType="end"/>
      </w:r>
      <w:bookmarkEnd w:id="61"/>
      <w:r w:rsidRPr="00EB5B0F">
        <w:rPr>
          <w:color w:val="1F3864" w:themeColor="accent1" w:themeShade="80"/>
          <w:sz w:val="22"/>
          <w:szCs w:val="22"/>
        </w:rPr>
        <w:t>: Flowchart for determining the appropriate assessment checklists</w:t>
      </w:r>
      <w:bookmarkEnd w:id="62"/>
      <w:bookmarkEnd w:id="63"/>
    </w:p>
    <w:p w14:paraId="1643B2A2" w14:textId="77777777" w:rsidR="00AD2554" w:rsidRPr="000F2520" w:rsidRDefault="00AD2554" w:rsidP="00AD2554">
      <w:bookmarkStart w:id="64" w:name="_Toc320087961"/>
      <w:r w:rsidRPr="000F2520">
        <w:t xml:space="preserve">The flowchart complements </w:t>
      </w:r>
      <w:r w:rsidRPr="00BC6D21">
        <w:fldChar w:fldCharType="begin"/>
      </w:r>
      <w:r w:rsidRPr="000F2520">
        <w:instrText xml:space="preserve"> REF _Ref351459044 \h </w:instrText>
      </w:r>
      <w:r w:rsidRPr="00BC6D21">
        <w:fldChar w:fldCharType="separate"/>
      </w:r>
      <w:r w:rsidRPr="000F2520">
        <w:t xml:space="preserve">Table </w:t>
      </w:r>
      <w:r>
        <w:rPr>
          <w:noProof/>
        </w:rPr>
        <w:t>4</w:t>
      </w:r>
      <w:r w:rsidRPr="000F2520">
        <w:t>: Matrix for determining the appropriate assessment checklists</w:t>
      </w:r>
      <w:r w:rsidRPr="00BC6D21">
        <w:fldChar w:fldCharType="end"/>
      </w:r>
      <w:r w:rsidRPr="000F2520">
        <w:t>.</w:t>
      </w:r>
    </w:p>
    <w:p w14:paraId="3E289F28" w14:textId="77777777" w:rsidR="00AD2554" w:rsidRPr="000F2520" w:rsidRDefault="00AD2554" w:rsidP="00AD2554">
      <w:r>
        <w:rPr>
          <w:noProof/>
        </w:rPr>
        <w:drawing>
          <wp:inline distT="0" distB="0" distL="0" distR="0" wp14:anchorId="59B9E7EA" wp14:editId="4C02DA0B">
            <wp:extent cx="3871609" cy="7573435"/>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23297" cy="7674545"/>
                    </a:xfrm>
                    <a:prstGeom prst="rect">
                      <a:avLst/>
                    </a:prstGeom>
                    <a:noFill/>
                    <a:ln>
                      <a:noFill/>
                    </a:ln>
                  </pic:spPr>
                </pic:pic>
              </a:graphicData>
            </a:graphic>
          </wp:inline>
        </w:drawing>
      </w:r>
    </w:p>
    <w:p w14:paraId="376EA51D" w14:textId="77777777" w:rsidR="00AD2554" w:rsidRPr="008D1D05" w:rsidRDefault="00AD2554" w:rsidP="00AD2554">
      <w:r w:rsidRPr="008D1D05">
        <w:t>CQR = Clinical Quality Registry</w:t>
      </w:r>
    </w:p>
    <w:p w14:paraId="2AC10C5F" w14:textId="77777777" w:rsidR="00AD2554" w:rsidRPr="008D1D05" w:rsidRDefault="00AD2554" w:rsidP="00AD2554">
      <w:r w:rsidRPr="008D1D05">
        <w:lastRenderedPageBreak/>
        <w:t>ISO 27001 = Information Security Management System standard</w:t>
      </w:r>
    </w:p>
    <w:p w14:paraId="4B047340" w14:textId="77777777" w:rsidR="00AD2554" w:rsidRPr="008D1D05" w:rsidRDefault="00AD2554" w:rsidP="00AD2554">
      <w:r w:rsidRPr="008D1D05">
        <w:t xml:space="preserve">ASD = Australian Signals Directorate </w:t>
      </w:r>
    </w:p>
    <w:p w14:paraId="04C636D2" w14:textId="77777777" w:rsidR="00AD2554" w:rsidRPr="000F2520" w:rsidRDefault="00AD2554" w:rsidP="00AD2554">
      <w:pPr>
        <w:ind w:left="990"/>
      </w:pPr>
    </w:p>
    <w:p w14:paraId="4331BE3A" w14:textId="77777777" w:rsidR="00AD2554" w:rsidRPr="000F2520" w:rsidRDefault="00AD2554" w:rsidP="00AD2554">
      <w:pPr>
        <w:ind w:left="990"/>
        <w:sectPr w:rsidR="00AD2554" w:rsidRPr="000F2520" w:rsidSect="00E9663B">
          <w:headerReference w:type="even" r:id="rId39"/>
          <w:headerReference w:type="default" r:id="rId40"/>
          <w:footerReference w:type="default" r:id="rId41"/>
          <w:headerReference w:type="first" r:id="rId42"/>
          <w:pgSz w:w="11906" w:h="16838" w:code="9"/>
          <w:pgMar w:top="1701" w:right="1418" w:bottom="1086" w:left="1701" w:header="709" w:footer="89" w:gutter="0"/>
          <w:cols w:space="708"/>
          <w:docGrid w:linePitch="360"/>
        </w:sectPr>
      </w:pPr>
    </w:p>
    <w:p w14:paraId="665B89CA" w14:textId="77777777" w:rsidR="00AD2554" w:rsidRPr="00EB5B0F" w:rsidRDefault="00AD2554" w:rsidP="00AD2554">
      <w:pPr>
        <w:pStyle w:val="Caption"/>
        <w:rPr>
          <w:color w:val="1F3864" w:themeColor="accent1" w:themeShade="80"/>
          <w:sz w:val="22"/>
          <w:szCs w:val="22"/>
        </w:rPr>
      </w:pPr>
      <w:bookmarkStart w:id="65" w:name="_Ref351459022"/>
      <w:bookmarkStart w:id="66" w:name="_Ref351459044"/>
      <w:bookmarkStart w:id="67" w:name="_Toc95479915"/>
      <w:r w:rsidRPr="00EB5B0F">
        <w:rPr>
          <w:color w:val="1F3864" w:themeColor="accent1" w:themeShade="80"/>
          <w:sz w:val="22"/>
          <w:szCs w:val="22"/>
        </w:rPr>
        <w:lastRenderedPageBreak/>
        <w:t xml:space="preserve">Table </w:t>
      </w:r>
      <w:r w:rsidRPr="00EB5B0F">
        <w:rPr>
          <w:color w:val="1F3864" w:themeColor="accent1" w:themeShade="80"/>
          <w:sz w:val="22"/>
          <w:szCs w:val="22"/>
        </w:rPr>
        <w:fldChar w:fldCharType="begin"/>
      </w:r>
      <w:r w:rsidRPr="00EB5B0F">
        <w:rPr>
          <w:color w:val="1F3864" w:themeColor="accent1" w:themeShade="80"/>
          <w:sz w:val="22"/>
          <w:szCs w:val="22"/>
        </w:rPr>
        <w:instrText xml:space="preserve"> SEQ Table \* ARABIC </w:instrText>
      </w:r>
      <w:r w:rsidRPr="00EB5B0F">
        <w:rPr>
          <w:color w:val="1F3864" w:themeColor="accent1" w:themeShade="80"/>
          <w:sz w:val="22"/>
          <w:szCs w:val="22"/>
        </w:rPr>
        <w:fldChar w:fldCharType="separate"/>
      </w:r>
      <w:r w:rsidRPr="00EB5B0F">
        <w:rPr>
          <w:noProof/>
          <w:color w:val="1F3864" w:themeColor="accent1" w:themeShade="80"/>
          <w:sz w:val="22"/>
          <w:szCs w:val="22"/>
        </w:rPr>
        <w:t>4</w:t>
      </w:r>
      <w:r w:rsidRPr="00EB5B0F">
        <w:rPr>
          <w:noProof/>
          <w:color w:val="1F3864" w:themeColor="accent1" w:themeShade="80"/>
          <w:sz w:val="22"/>
          <w:szCs w:val="22"/>
        </w:rPr>
        <w:fldChar w:fldCharType="end"/>
      </w:r>
      <w:bookmarkEnd w:id="65"/>
      <w:r w:rsidRPr="00EB5B0F">
        <w:rPr>
          <w:color w:val="1F3864" w:themeColor="accent1" w:themeShade="80"/>
          <w:sz w:val="22"/>
          <w:szCs w:val="22"/>
        </w:rPr>
        <w:t>: Matrix for determining the appropriate assessment checklists</w:t>
      </w:r>
      <w:bookmarkEnd w:id="64"/>
      <w:bookmarkEnd w:id="66"/>
      <w:bookmarkEnd w:id="67"/>
    </w:p>
    <w:p w14:paraId="60C1F89A" w14:textId="77777777" w:rsidR="00AD2554" w:rsidRPr="000F2520" w:rsidRDefault="00AD2554" w:rsidP="00AD2554">
      <w:r w:rsidRPr="000F2520">
        <w:t xml:space="preserve">The matrix complements </w:t>
      </w:r>
      <w:r w:rsidRPr="00BC6D21">
        <w:fldChar w:fldCharType="begin"/>
      </w:r>
      <w:r w:rsidRPr="000F2520">
        <w:instrText xml:space="preserve"> REF _Ref351541973 \h </w:instrText>
      </w:r>
      <w:r w:rsidRPr="00BC6D21">
        <w:fldChar w:fldCharType="separate"/>
      </w:r>
      <w:r w:rsidRPr="000F2520">
        <w:t xml:space="preserve">Figure </w:t>
      </w:r>
      <w:r>
        <w:rPr>
          <w:noProof/>
        </w:rPr>
        <w:t>5</w:t>
      </w:r>
      <w:r w:rsidRPr="000F2520">
        <w:t>: Flowchart for determining the appropriate assessment checklists</w:t>
      </w:r>
      <w:r w:rsidRPr="00BC6D21">
        <w:fldChar w:fldCharType="end"/>
      </w:r>
      <w:r w:rsidRPr="000F2520">
        <w:t xml:space="preserve"> .</w:t>
      </w:r>
    </w:p>
    <w:tbl>
      <w:tblPr>
        <w:tblW w:w="9540" w:type="dxa"/>
        <w:tblInd w:w="-318" w:type="dxa"/>
        <w:tblLayout w:type="fixed"/>
        <w:tblLook w:val="00A0" w:firstRow="1" w:lastRow="0" w:firstColumn="1" w:lastColumn="0" w:noHBand="0" w:noVBand="0"/>
      </w:tblPr>
      <w:tblGrid>
        <w:gridCol w:w="3286"/>
        <w:gridCol w:w="1418"/>
        <w:gridCol w:w="1552"/>
        <w:gridCol w:w="1760"/>
        <w:gridCol w:w="1524"/>
      </w:tblGrid>
      <w:tr w:rsidR="00AD2554" w:rsidRPr="000F2520" w14:paraId="7C536FDD" w14:textId="77777777" w:rsidTr="00E9663B">
        <w:trPr>
          <w:trHeight w:val="576"/>
          <w:tblHeader/>
        </w:trPr>
        <w:tc>
          <w:tcPr>
            <w:tcW w:w="3286" w:type="dxa"/>
            <w:vMerge w:val="restart"/>
            <w:tcBorders>
              <w:top w:val="single" w:sz="4" w:space="0" w:color="auto"/>
              <w:left w:val="single" w:sz="4" w:space="0" w:color="auto"/>
              <w:bottom w:val="single" w:sz="4" w:space="0" w:color="auto"/>
              <w:right w:val="single" w:sz="12" w:space="0" w:color="auto"/>
            </w:tcBorders>
            <w:shd w:val="clear" w:color="auto" w:fill="auto"/>
            <w:vAlign w:val="bottom"/>
          </w:tcPr>
          <w:p w14:paraId="0C6B0D35" w14:textId="77777777" w:rsidR="00AD2554" w:rsidRPr="000F2520" w:rsidRDefault="00AD2554" w:rsidP="00E9663B">
            <w:pPr>
              <w:rPr>
                <w:b/>
                <w:bCs/>
                <w:color w:val="000000"/>
                <w:sz w:val="20"/>
                <w:szCs w:val="20"/>
              </w:rPr>
            </w:pPr>
            <w:r w:rsidRPr="000F2520">
              <w:rPr>
                <w:b/>
                <w:bCs/>
                <w:color w:val="000000"/>
                <w:sz w:val="20"/>
                <w:szCs w:val="20"/>
              </w:rPr>
              <w:t>The organisation being assessed is a …</w:t>
            </w:r>
          </w:p>
        </w:tc>
        <w:tc>
          <w:tcPr>
            <w:tcW w:w="6254" w:type="dxa"/>
            <w:gridSpan w:val="4"/>
            <w:tcBorders>
              <w:top w:val="single" w:sz="4" w:space="0" w:color="auto"/>
              <w:left w:val="single" w:sz="12" w:space="0" w:color="auto"/>
              <w:bottom w:val="single" w:sz="4" w:space="0" w:color="auto"/>
              <w:right w:val="single" w:sz="4" w:space="0" w:color="auto"/>
            </w:tcBorders>
            <w:shd w:val="clear" w:color="auto" w:fill="auto"/>
            <w:noWrap/>
            <w:vAlign w:val="bottom"/>
          </w:tcPr>
          <w:p w14:paraId="01E654E4" w14:textId="77777777" w:rsidR="00AD2554" w:rsidRPr="000F2520" w:rsidRDefault="00AD2554" w:rsidP="00E9663B">
            <w:pPr>
              <w:rPr>
                <w:b/>
                <w:bCs/>
                <w:color w:val="000000"/>
                <w:sz w:val="20"/>
                <w:szCs w:val="20"/>
              </w:rPr>
            </w:pPr>
            <w:r w:rsidRPr="000F2520">
              <w:rPr>
                <w:b/>
                <w:bCs/>
                <w:color w:val="000000"/>
                <w:sz w:val="20"/>
                <w:szCs w:val="20"/>
              </w:rPr>
              <w:t>The certification checklist(s) that the organisation needs to complete is (are)…</w:t>
            </w:r>
          </w:p>
        </w:tc>
      </w:tr>
      <w:tr w:rsidR="00AD2554" w:rsidRPr="000F2520" w14:paraId="401B3934" w14:textId="77777777" w:rsidTr="00E9663B">
        <w:trPr>
          <w:trHeight w:val="954"/>
          <w:tblHeader/>
        </w:trPr>
        <w:tc>
          <w:tcPr>
            <w:tcW w:w="3286" w:type="dxa"/>
            <w:vMerge/>
            <w:tcBorders>
              <w:top w:val="single" w:sz="4" w:space="0" w:color="000000"/>
              <w:left w:val="single" w:sz="4" w:space="0" w:color="auto"/>
              <w:bottom w:val="single" w:sz="4" w:space="0" w:color="auto"/>
              <w:right w:val="single" w:sz="12" w:space="0" w:color="auto"/>
            </w:tcBorders>
            <w:shd w:val="clear" w:color="auto" w:fill="auto"/>
            <w:vAlign w:val="center"/>
          </w:tcPr>
          <w:p w14:paraId="27F7649B" w14:textId="77777777" w:rsidR="00AD2554" w:rsidRPr="000F2520" w:rsidRDefault="00AD2554" w:rsidP="00E9663B">
            <w:pPr>
              <w:rPr>
                <w:b/>
                <w:bCs/>
                <w:color w:val="000000"/>
                <w:sz w:val="20"/>
                <w:szCs w:val="20"/>
              </w:rPr>
            </w:pPr>
          </w:p>
        </w:tc>
        <w:tc>
          <w:tcPr>
            <w:tcW w:w="1418" w:type="dxa"/>
            <w:tcBorders>
              <w:top w:val="nil"/>
              <w:left w:val="single" w:sz="12" w:space="0" w:color="auto"/>
              <w:bottom w:val="single" w:sz="4" w:space="0" w:color="auto"/>
              <w:right w:val="single" w:sz="4" w:space="0" w:color="auto"/>
            </w:tcBorders>
            <w:shd w:val="clear" w:color="auto" w:fill="99CCFF"/>
            <w:vAlign w:val="center"/>
          </w:tcPr>
          <w:p w14:paraId="58DB4754" w14:textId="77777777" w:rsidR="00AD2554" w:rsidRPr="000F2520" w:rsidRDefault="00AD2554" w:rsidP="00E9663B">
            <w:pPr>
              <w:jc w:val="center"/>
              <w:rPr>
                <w:b/>
                <w:bCs/>
                <w:color w:val="000000"/>
                <w:sz w:val="16"/>
                <w:szCs w:val="16"/>
              </w:rPr>
            </w:pPr>
            <w:r w:rsidRPr="000F2520">
              <w:rPr>
                <w:b/>
                <w:bCs/>
                <w:color w:val="000000"/>
                <w:sz w:val="16"/>
                <w:szCs w:val="16"/>
              </w:rPr>
              <w:t>CQR Business Operations Checklist</w:t>
            </w:r>
          </w:p>
        </w:tc>
        <w:tc>
          <w:tcPr>
            <w:tcW w:w="1552" w:type="dxa"/>
            <w:tcBorders>
              <w:top w:val="nil"/>
              <w:left w:val="nil"/>
              <w:bottom w:val="single" w:sz="4" w:space="0" w:color="auto"/>
              <w:right w:val="single" w:sz="4" w:space="0" w:color="auto"/>
            </w:tcBorders>
            <w:shd w:val="clear" w:color="auto" w:fill="CCFFCC"/>
            <w:vAlign w:val="center"/>
          </w:tcPr>
          <w:p w14:paraId="6F4C441E" w14:textId="77777777" w:rsidR="00AD2554" w:rsidRPr="000F2520" w:rsidRDefault="00AD2554" w:rsidP="00E9663B">
            <w:pPr>
              <w:jc w:val="center"/>
              <w:rPr>
                <w:b/>
                <w:bCs/>
                <w:color w:val="000000"/>
                <w:sz w:val="16"/>
                <w:szCs w:val="16"/>
              </w:rPr>
            </w:pPr>
            <w:r>
              <w:rPr>
                <w:b/>
                <w:bCs/>
                <w:color w:val="000000"/>
                <w:sz w:val="16"/>
                <w:szCs w:val="16"/>
              </w:rPr>
              <w:t>Existing</w:t>
            </w:r>
            <w:r w:rsidRPr="000F2520">
              <w:rPr>
                <w:b/>
                <w:bCs/>
                <w:color w:val="000000"/>
                <w:sz w:val="16"/>
                <w:szCs w:val="16"/>
              </w:rPr>
              <w:t xml:space="preserve"> CQR Local Data Hosting Checklist</w:t>
            </w:r>
          </w:p>
        </w:tc>
        <w:tc>
          <w:tcPr>
            <w:tcW w:w="1760" w:type="dxa"/>
            <w:tcBorders>
              <w:top w:val="nil"/>
              <w:left w:val="nil"/>
              <w:bottom w:val="single" w:sz="4" w:space="0" w:color="auto"/>
              <w:right w:val="single" w:sz="4" w:space="0" w:color="auto"/>
            </w:tcBorders>
            <w:shd w:val="clear" w:color="auto" w:fill="FF9999"/>
            <w:vAlign w:val="center"/>
          </w:tcPr>
          <w:p w14:paraId="5BDE3499" w14:textId="77777777" w:rsidR="00AD2554" w:rsidRDefault="00AD2554" w:rsidP="00E9663B">
            <w:pPr>
              <w:jc w:val="center"/>
              <w:rPr>
                <w:b/>
                <w:bCs/>
                <w:color w:val="000000"/>
                <w:sz w:val="16"/>
                <w:szCs w:val="16"/>
              </w:rPr>
            </w:pPr>
            <w:r>
              <w:rPr>
                <w:b/>
                <w:bCs/>
                <w:color w:val="000000"/>
                <w:sz w:val="16"/>
                <w:szCs w:val="16"/>
              </w:rPr>
              <w:t xml:space="preserve">Existing CQR using </w:t>
            </w:r>
            <w:r w:rsidRPr="000F2520">
              <w:rPr>
                <w:b/>
                <w:bCs/>
                <w:color w:val="000000"/>
                <w:sz w:val="16"/>
                <w:szCs w:val="16"/>
              </w:rPr>
              <w:t xml:space="preserve">External Data Hosting </w:t>
            </w:r>
            <w:r>
              <w:rPr>
                <w:b/>
                <w:bCs/>
                <w:color w:val="000000"/>
                <w:sz w:val="16"/>
                <w:szCs w:val="16"/>
              </w:rPr>
              <w:t>or National Infrastructure</w:t>
            </w:r>
          </w:p>
          <w:p w14:paraId="7694BB9A" w14:textId="77777777" w:rsidR="00AD2554" w:rsidRPr="000F2520" w:rsidRDefault="00AD2554" w:rsidP="00E9663B">
            <w:pPr>
              <w:jc w:val="center"/>
              <w:rPr>
                <w:b/>
                <w:bCs/>
                <w:color w:val="000000"/>
                <w:sz w:val="16"/>
                <w:szCs w:val="16"/>
              </w:rPr>
            </w:pPr>
            <w:r w:rsidRPr="000F2520">
              <w:rPr>
                <w:b/>
                <w:bCs/>
                <w:color w:val="000000"/>
                <w:sz w:val="16"/>
                <w:szCs w:val="16"/>
              </w:rPr>
              <w:t>Checklist</w:t>
            </w:r>
          </w:p>
        </w:tc>
        <w:tc>
          <w:tcPr>
            <w:tcW w:w="1524" w:type="dxa"/>
            <w:tcBorders>
              <w:top w:val="nil"/>
              <w:left w:val="nil"/>
              <w:bottom w:val="single" w:sz="4" w:space="0" w:color="auto"/>
              <w:right w:val="single" w:sz="4" w:space="0" w:color="auto"/>
            </w:tcBorders>
            <w:vAlign w:val="center"/>
          </w:tcPr>
          <w:p w14:paraId="42EE03F9" w14:textId="77777777" w:rsidR="00AD2554" w:rsidRPr="000F2520" w:rsidRDefault="00AD2554" w:rsidP="00E9663B">
            <w:pPr>
              <w:jc w:val="center"/>
              <w:rPr>
                <w:b/>
                <w:bCs/>
                <w:color w:val="000000"/>
                <w:sz w:val="16"/>
                <w:szCs w:val="16"/>
              </w:rPr>
            </w:pPr>
            <w:r w:rsidRPr="000F2520">
              <w:rPr>
                <w:b/>
                <w:bCs/>
                <w:color w:val="000000"/>
                <w:sz w:val="16"/>
                <w:szCs w:val="16"/>
              </w:rPr>
              <w:t>Other</w:t>
            </w:r>
          </w:p>
        </w:tc>
      </w:tr>
      <w:tr w:rsidR="00AD2554" w:rsidRPr="000F2520" w14:paraId="14D7D215" w14:textId="77777777" w:rsidTr="00E9663B">
        <w:trPr>
          <w:trHeight w:val="1194"/>
        </w:trPr>
        <w:tc>
          <w:tcPr>
            <w:tcW w:w="3286" w:type="dxa"/>
            <w:tcBorders>
              <w:top w:val="single" w:sz="4" w:space="0" w:color="auto"/>
              <w:left w:val="single" w:sz="4" w:space="0" w:color="auto"/>
              <w:bottom w:val="single" w:sz="4" w:space="0" w:color="auto"/>
              <w:right w:val="single" w:sz="12" w:space="0" w:color="auto"/>
            </w:tcBorders>
            <w:shd w:val="clear" w:color="auto" w:fill="DDEDEF"/>
          </w:tcPr>
          <w:p w14:paraId="6F6E603F" w14:textId="77777777" w:rsidR="00AD2554" w:rsidRPr="000F2520" w:rsidRDefault="00AD2554" w:rsidP="00E9663B">
            <w:pPr>
              <w:rPr>
                <w:color w:val="000000"/>
                <w:sz w:val="16"/>
                <w:szCs w:val="16"/>
              </w:rPr>
            </w:pPr>
            <w:r>
              <w:rPr>
                <w:color w:val="000000"/>
                <w:sz w:val="16"/>
                <w:szCs w:val="16"/>
              </w:rPr>
              <w:t>Existing</w:t>
            </w:r>
            <w:r w:rsidRPr="000F2520">
              <w:rPr>
                <w:color w:val="000000"/>
                <w:sz w:val="16"/>
                <w:szCs w:val="16"/>
              </w:rPr>
              <w:t xml:space="preserve"> CQR with an internal data hosting platform (all data and applications are hosted and maintained by CQR staff). (Refer to </w:t>
            </w:r>
            <w:r w:rsidRPr="00BC6D21">
              <w:rPr>
                <w:color w:val="000000"/>
                <w:sz w:val="16"/>
                <w:szCs w:val="16"/>
              </w:rPr>
              <w:fldChar w:fldCharType="begin"/>
            </w:r>
            <w:r w:rsidRPr="000F2520">
              <w:rPr>
                <w:color w:val="000000"/>
                <w:sz w:val="16"/>
                <w:szCs w:val="16"/>
              </w:rPr>
              <w:instrText xml:space="preserve"> REF _Ref325487018 \h  \* MERGEFORMAT </w:instrText>
            </w:r>
            <w:r w:rsidRPr="00BC6D21">
              <w:rPr>
                <w:color w:val="000000"/>
                <w:sz w:val="16"/>
                <w:szCs w:val="16"/>
              </w:rPr>
            </w:r>
            <w:r w:rsidRPr="00BC6D21">
              <w:rPr>
                <w:color w:val="000000"/>
                <w:sz w:val="16"/>
                <w:szCs w:val="16"/>
              </w:rPr>
              <w:fldChar w:fldCharType="separate"/>
            </w:r>
            <w:r w:rsidRPr="009044A1">
              <w:rPr>
                <w:sz w:val="16"/>
                <w:szCs w:val="16"/>
              </w:rPr>
              <w:t xml:space="preserve">Figure </w:t>
            </w:r>
            <w:r w:rsidRPr="009044A1">
              <w:rPr>
                <w:noProof/>
                <w:sz w:val="16"/>
                <w:szCs w:val="16"/>
              </w:rPr>
              <w:t>3</w:t>
            </w:r>
            <w:r w:rsidRPr="00BC6D21">
              <w:rPr>
                <w:color w:val="000000"/>
                <w:sz w:val="16"/>
                <w:szCs w:val="16"/>
              </w:rPr>
              <w:fldChar w:fldCharType="end"/>
            </w:r>
            <w:r w:rsidRPr="000F2520">
              <w:rPr>
                <w:color w:val="000000"/>
                <w:sz w:val="16"/>
                <w:szCs w:val="16"/>
              </w:rPr>
              <w:t>).</w:t>
            </w:r>
          </w:p>
        </w:tc>
        <w:tc>
          <w:tcPr>
            <w:tcW w:w="1418" w:type="dxa"/>
            <w:tcBorders>
              <w:top w:val="single" w:sz="4" w:space="0" w:color="auto"/>
              <w:left w:val="single" w:sz="12" w:space="0" w:color="auto"/>
              <w:bottom w:val="single" w:sz="4" w:space="0" w:color="auto"/>
              <w:right w:val="single" w:sz="4" w:space="0" w:color="auto"/>
            </w:tcBorders>
            <w:shd w:val="clear" w:color="000000" w:fill="FFFFFF"/>
            <w:noWrap/>
            <w:vAlign w:val="center"/>
          </w:tcPr>
          <w:p w14:paraId="786F415A" w14:textId="77777777" w:rsidR="00AD2554" w:rsidRPr="000F2520" w:rsidRDefault="00AD2554" w:rsidP="00E9663B">
            <w:pPr>
              <w:spacing w:after="0"/>
              <w:jc w:val="center"/>
              <w:rPr>
                <w:color w:val="000000"/>
                <w:sz w:val="40"/>
                <w:szCs w:val="40"/>
              </w:rPr>
            </w:pPr>
            <w:r w:rsidRPr="000F2520">
              <w:rPr>
                <w:color w:val="000000"/>
                <w:sz w:val="40"/>
                <w:szCs w:val="40"/>
              </w:rPr>
              <w:sym w:font="Wingdings" w:char="F0FC"/>
            </w:r>
          </w:p>
        </w:tc>
        <w:tc>
          <w:tcPr>
            <w:tcW w:w="1552" w:type="dxa"/>
            <w:tcBorders>
              <w:top w:val="nil"/>
              <w:left w:val="nil"/>
              <w:bottom w:val="single" w:sz="4" w:space="0" w:color="auto"/>
              <w:right w:val="single" w:sz="4" w:space="0" w:color="auto"/>
            </w:tcBorders>
            <w:noWrap/>
            <w:vAlign w:val="center"/>
          </w:tcPr>
          <w:p w14:paraId="5F2B0C42" w14:textId="77777777" w:rsidR="00AD2554" w:rsidRPr="000F2520" w:rsidRDefault="00AD2554" w:rsidP="00E9663B">
            <w:pPr>
              <w:spacing w:after="0"/>
              <w:jc w:val="center"/>
              <w:rPr>
                <w:color w:val="000000"/>
                <w:sz w:val="40"/>
                <w:szCs w:val="40"/>
              </w:rPr>
            </w:pPr>
            <w:r w:rsidRPr="000F2520">
              <w:rPr>
                <w:color w:val="000000"/>
                <w:sz w:val="40"/>
                <w:szCs w:val="40"/>
              </w:rPr>
              <w:sym w:font="Wingdings" w:char="F0FC"/>
            </w:r>
          </w:p>
        </w:tc>
        <w:tc>
          <w:tcPr>
            <w:tcW w:w="1760" w:type="dxa"/>
            <w:tcBorders>
              <w:top w:val="single" w:sz="4" w:space="0" w:color="auto"/>
              <w:left w:val="single" w:sz="4" w:space="0" w:color="auto"/>
              <w:bottom w:val="single" w:sz="4" w:space="0" w:color="auto"/>
              <w:right w:val="single" w:sz="4" w:space="0" w:color="auto"/>
            </w:tcBorders>
            <w:noWrap/>
            <w:vAlign w:val="center"/>
          </w:tcPr>
          <w:p w14:paraId="118235D8" w14:textId="77777777" w:rsidR="00AD2554" w:rsidRPr="000F2520" w:rsidRDefault="00AD2554" w:rsidP="00E9663B">
            <w:pPr>
              <w:jc w:val="center"/>
              <w:rPr>
                <w:color w:val="000000"/>
                <w:sz w:val="20"/>
                <w:szCs w:val="20"/>
              </w:rPr>
            </w:pPr>
          </w:p>
        </w:tc>
        <w:tc>
          <w:tcPr>
            <w:tcW w:w="1524" w:type="dxa"/>
            <w:tcBorders>
              <w:top w:val="nil"/>
              <w:left w:val="single" w:sz="4" w:space="0" w:color="auto"/>
              <w:bottom w:val="single" w:sz="4" w:space="0" w:color="auto"/>
              <w:right w:val="single" w:sz="4" w:space="0" w:color="auto"/>
            </w:tcBorders>
            <w:noWrap/>
            <w:vAlign w:val="center"/>
          </w:tcPr>
          <w:p w14:paraId="4B58483B" w14:textId="77777777" w:rsidR="00AD2554" w:rsidRPr="000F2520" w:rsidRDefault="00AD2554" w:rsidP="00E9663B">
            <w:pPr>
              <w:jc w:val="center"/>
              <w:rPr>
                <w:color w:val="000000"/>
                <w:sz w:val="20"/>
                <w:szCs w:val="20"/>
              </w:rPr>
            </w:pPr>
          </w:p>
        </w:tc>
      </w:tr>
      <w:tr w:rsidR="00AD2554" w:rsidRPr="000F2520" w14:paraId="60F8A8C6" w14:textId="77777777" w:rsidTr="00E9663B">
        <w:trPr>
          <w:trHeight w:val="1074"/>
        </w:trPr>
        <w:tc>
          <w:tcPr>
            <w:tcW w:w="3286" w:type="dxa"/>
            <w:tcBorders>
              <w:top w:val="nil"/>
              <w:left w:val="single" w:sz="4" w:space="0" w:color="auto"/>
              <w:bottom w:val="single" w:sz="4" w:space="0" w:color="auto"/>
              <w:right w:val="single" w:sz="12" w:space="0" w:color="auto"/>
            </w:tcBorders>
            <w:shd w:val="clear" w:color="auto" w:fill="DDEDEF"/>
          </w:tcPr>
          <w:p w14:paraId="36A33085" w14:textId="77777777" w:rsidR="00AD2554" w:rsidRPr="000F2520" w:rsidRDefault="00AD2554" w:rsidP="00E9663B">
            <w:pPr>
              <w:rPr>
                <w:color w:val="000000"/>
                <w:sz w:val="16"/>
                <w:szCs w:val="16"/>
              </w:rPr>
            </w:pPr>
            <w:r>
              <w:rPr>
                <w:color w:val="000000"/>
                <w:sz w:val="16"/>
                <w:szCs w:val="16"/>
              </w:rPr>
              <w:t>National infrastructure</w:t>
            </w:r>
            <w:r w:rsidRPr="000F2520">
              <w:rPr>
                <w:color w:val="000000"/>
                <w:sz w:val="16"/>
                <w:szCs w:val="16"/>
              </w:rPr>
              <w:t xml:space="preserve"> that hosts information for multiple CQRs. (Refer to </w:t>
            </w:r>
            <w:r w:rsidRPr="00BC6D21">
              <w:rPr>
                <w:color w:val="000000"/>
                <w:sz w:val="16"/>
                <w:szCs w:val="16"/>
              </w:rPr>
              <w:fldChar w:fldCharType="begin"/>
            </w:r>
            <w:r w:rsidRPr="000F2520">
              <w:rPr>
                <w:color w:val="000000"/>
                <w:sz w:val="16"/>
                <w:szCs w:val="16"/>
              </w:rPr>
              <w:instrText xml:space="preserve"> REF _Ref325487043 \h  \* MERGEFORMAT </w:instrText>
            </w:r>
            <w:r w:rsidRPr="00BC6D21">
              <w:rPr>
                <w:color w:val="000000"/>
                <w:sz w:val="16"/>
                <w:szCs w:val="16"/>
              </w:rPr>
            </w:r>
            <w:r w:rsidRPr="00BC6D21">
              <w:rPr>
                <w:color w:val="000000"/>
                <w:sz w:val="16"/>
                <w:szCs w:val="16"/>
              </w:rPr>
              <w:fldChar w:fldCharType="separate"/>
            </w:r>
            <w:r w:rsidRPr="009044A1">
              <w:rPr>
                <w:sz w:val="16"/>
                <w:szCs w:val="16"/>
              </w:rPr>
              <w:t xml:space="preserve">Figure </w:t>
            </w:r>
            <w:r w:rsidRPr="009044A1">
              <w:rPr>
                <w:noProof/>
                <w:sz w:val="16"/>
                <w:szCs w:val="16"/>
              </w:rPr>
              <w:t>2</w:t>
            </w:r>
            <w:r w:rsidRPr="00BC6D21">
              <w:rPr>
                <w:color w:val="000000"/>
                <w:sz w:val="16"/>
                <w:szCs w:val="16"/>
              </w:rPr>
              <w:fldChar w:fldCharType="end"/>
            </w:r>
            <w:r w:rsidRPr="000F2520">
              <w:rPr>
                <w:color w:val="000000"/>
                <w:sz w:val="16"/>
                <w:szCs w:val="16"/>
              </w:rPr>
              <w:t>).</w:t>
            </w:r>
          </w:p>
        </w:tc>
        <w:tc>
          <w:tcPr>
            <w:tcW w:w="1418" w:type="dxa"/>
            <w:tcBorders>
              <w:top w:val="single" w:sz="4" w:space="0" w:color="auto"/>
              <w:left w:val="single" w:sz="12" w:space="0" w:color="auto"/>
              <w:bottom w:val="single" w:sz="4" w:space="0" w:color="auto"/>
              <w:right w:val="single" w:sz="4" w:space="0" w:color="auto"/>
            </w:tcBorders>
            <w:shd w:val="clear" w:color="000000" w:fill="FFFFFF"/>
            <w:noWrap/>
            <w:vAlign w:val="center"/>
          </w:tcPr>
          <w:p w14:paraId="2D891D55" w14:textId="77777777" w:rsidR="00AD2554" w:rsidRPr="000F2520" w:rsidRDefault="00AD2554" w:rsidP="00E9663B">
            <w:pPr>
              <w:spacing w:after="0"/>
              <w:jc w:val="center"/>
              <w:rPr>
                <w:color w:val="000000"/>
                <w:sz w:val="40"/>
                <w:szCs w:val="40"/>
              </w:rPr>
            </w:pPr>
            <w:r w:rsidRPr="000F2520">
              <w:rPr>
                <w:color w:val="000000"/>
                <w:sz w:val="40"/>
                <w:szCs w:val="40"/>
              </w:rPr>
              <w:sym w:font="Wingdings" w:char="F0FC"/>
            </w:r>
          </w:p>
          <w:p w14:paraId="00371682" w14:textId="77777777" w:rsidR="00AD2554" w:rsidRPr="000F2520" w:rsidRDefault="00AD2554" w:rsidP="00E9663B">
            <w:pPr>
              <w:jc w:val="center"/>
              <w:rPr>
                <w:color w:val="000000"/>
                <w:sz w:val="16"/>
                <w:szCs w:val="16"/>
              </w:rPr>
            </w:pPr>
            <w:r w:rsidRPr="000F2520">
              <w:rPr>
                <w:color w:val="000000"/>
                <w:sz w:val="16"/>
                <w:szCs w:val="16"/>
              </w:rPr>
              <w:t>(</w:t>
            </w:r>
            <w:proofErr w:type="gramStart"/>
            <w:r w:rsidRPr="000F2520">
              <w:rPr>
                <w:color w:val="000000"/>
                <w:sz w:val="16"/>
                <w:szCs w:val="16"/>
              </w:rPr>
              <w:t>per</w:t>
            </w:r>
            <w:proofErr w:type="gramEnd"/>
            <w:r w:rsidRPr="000F2520">
              <w:rPr>
                <w:color w:val="000000"/>
                <w:sz w:val="16"/>
                <w:szCs w:val="16"/>
              </w:rPr>
              <w:t xml:space="preserve"> CQR)</w:t>
            </w:r>
          </w:p>
        </w:tc>
        <w:tc>
          <w:tcPr>
            <w:tcW w:w="1552" w:type="dxa"/>
            <w:tcBorders>
              <w:top w:val="nil"/>
              <w:left w:val="nil"/>
              <w:bottom w:val="single" w:sz="4" w:space="0" w:color="auto"/>
              <w:right w:val="single" w:sz="4" w:space="0" w:color="auto"/>
            </w:tcBorders>
            <w:noWrap/>
            <w:vAlign w:val="center"/>
          </w:tcPr>
          <w:p w14:paraId="5C67176C" w14:textId="77777777" w:rsidR="00AD2554" w:rsidRPr="000F2520" w:rsidRDefault="00AD2554" w:rsidP="00E9663B">
            <w:pPr>
              <w:jc w:val="center"/>
              <w:rPr>
                <w:color w:val="000000"/>
                <w:sz w:val="20"/>
                <w:szCs w:val="20"/>
              </w:rPr>
            </w:pPr>
          </w:p>
        </w:tc>
        <w:tc>
          <w:tcPr>
            <w:tcW w:w="1760" w:type="dxa"/>
            <w:tcBorders>
              <w:top w:val="single" w:sz="4" w:space="0" w:color="auto"/>
              <w:left w:val="single" w:sz="4" w:space="0" w:color="auto"/>
              <w:bottom w:val="single" w:sz="4" w:space="0" w:color="auto"/>
              <w:right w:val="single" w:sz="4" w:space="0" w:color="auto"/>
            </w:tcBorders>
            <w:noWrap/>
            <w:vAlign w:val="center"/>
          </w:tcPr>
          <w:p w14:paraId="79FA6BCA" w14:textId="77777777" w:rsidR="00AD2554" w:rsidRPr="000F2520" w:rsidRDefault="00AD2554" w:rsidP="00E9663B">
            <w:pPr>
              <w:spacing w:after="0"/>
              <w:jc w:val="center"/>
              <w:rPr>
                <w:color w:val="000000"/>
                <w:sz w:val="40"/>
                <w:szCs w:val="40"/>
              </w:rPr>
            </w:pPr>
            <w:r w:rsidRPr="000F2520">
              <w:rPr>
                <w:color w:val="000000"/>
                <w:sz w:val="40"/>
                <w:szCs w:val="40"/>
              </w:rPr>
              <w:sym w:font="Wingdings" w:char="F0FC"/>
            </w:r>
          </w:p>
        </w:tc>
        <w:tc>
          <w:tcPr>
            <w:tcW w:w="1524" w:type="dxa"/>
            <w:tcBorders>
              <w:top w:val="nil"/>
              <w:left w:val="single" w:sz="4" w:space="0" w:color="auto"/>
              <w:bottom w:val="single" w:sz="4" w:space="0" w:color="auto"/>
              <w:right w:val="single" w:sz="4" w:space="0" w:color="auto"/>
            </w:tcBorders>
            <w:noWrap/>
            <w:vAlign w:val="center"/>
          </w:tcPr>
          <w:p w14:paraId="17061FA5" w14:textId="77777777" w:rsidR="00AD2554" w:rsidRPr="000F2520" w:rsidRDefault="00AD2554" w:rsidP="00E9663B">
            <w:pPr>
              <w:jc w:val="center"/>
              <w:rPr>
                <w:color w:val="000000"/>
                <w:sz w:val="20"/>
                <w:szCs w:val="20"/>
              </w:rPr>
            </w:pPr>
          </w:p>
        </w:tc>
      </w:tr>
      <w:tr w:rsidR="00AD2554" w:rsidRPr="000F2520" w14:paraId="5634985E" w14:textId="77777777" w:rsidTr="00E9663B">
        <w:trPr>
          <w:trHeight w:val="1680"/>
        </w:trPr>
        <w:tc>
          <w:tcPr>
            <w:tcW w:w="3286" w:type="dxa"/>
            <w:tcBorders>
              <w:top w:val="single" w:sz="4" w:space="0" w:color="auto"/>
              <w:left w:val="single" w:sz="4" w:space="0" w:color="auto"/>
              <w:bottom w:val="single" w:sz="4" w:space="0" w:color="auto"/>
              <w:right w:val="single" w:sz="12" w:space="0" w:color="auto"/>
            </w:tcBorders>
            <w:shd w:val="clear" w:color="auto" w:fill="DDEDEF"/>
          </w:tcPr>
          <w:p w14:paraId="3E6F97BC" w14:textId="77777777" w:rsidR="00AD2554" w:rsidRPr="000F2520" w:rsidRDefault="00AD2554" w:rsidP="00E9663B">
            <w:pPr>
              <w:rPr>
                <w:color w:val="000000"/>
                <w:sz w:val="16"/>
                <w:szCs w:val="16"/>
              </w:rPr>
            </w:pPr>
            <w:r>
              <w:rPr>
                <w:color w:val="000000"/>
                <w:sz w:val="16"/>
                <w:szCs w:val="16"/>
              </w:rPr>
              <w:t>National Infrastructure</w:t>
            </w:r>
            <w:r w:rsidRPr="000F2520">
              <w:rPr>
                <w:color w:val="000000"/>
                <w:sz w:val="16"/>
                <w:szCs w:val="16"/>
              </w:rPr>
              <w:t xml:space="preserve"> CQR using an external data hosting provider (</w:t>
            </w:r>
            <w:proofErr w:type="gramStart"/>
            <w:r w:rsidRPr="000F2520">
              <w:rPr>
                <w:color w:val="000000"/>
                <w:sz w:val="16"/>
                <w:szCs w:val="16"/>
              </w:rPr>
              <w:t>e.g.</w:t>
            </w:r>
            <w:proofErr w:type="gramEnd"/>
            <w:r w:rsidRPr="000F2520">
              <w:rPr>
                <w:color w:val="000000"/>
                <w:sz w:val="16"/>
                <w:szCs w:val="16"/>
              </w:rPr>
              <w:t xml:space="preserve"> Cloud provider) that DOES NOT have ISO 27001 certification. (Refer to </w:t>
            </w:r>
            <w:r w:rsidRPr="00BC6D21">
              <w:rPr>
                <w:color w:val="000000"/>
                <w:sz w:val="16"/>
                <w:szCs w:val="16"/>
              </w:rPr>
              <w:fldChar w:fldCharType="begin"/>
            </w:r>
            <w:r w:rsidRPr="000F2520">
              <w:rPr>
                <w:color w:val="000000"/>
                <w:sz w:val="16"/>
                <w:szCs w:val="16"/>
              </w:rPr>
              <w:instrText xml:space="preserve"> REF _Ref325487026 \h  \* MERGEFORMAT </w:instrText>
            </w:r>
            <w:r w:rsidRPr="00BC6D21">
              <w:rPr>
                <w:color w:val="000000"/>
                <w:sz w:val="16"/>
                <w:szCs w:val="16"/>
              </w:rPr>
            </w:r>
            <w:r w:rsidRPr="00BC6D21">
              <w:rPr>
                <w:color w:val="000000"/>
                <w:sz w:val="16"/>
                <w:szCs w:val="16"/>
              </w:rPr>
              <w:fldChar w:fldCharType="separate"/>
            </w:r>
            <w:r w:rsidRPr="009044A1">
              <w:rPr>
                <w:sz w:val="16"/>
                <w:szCs w:val="16"/>
              </w:rPr>
              <w:t xml:space="preserve">Figure </w:t>
            </w:r>
            <w:r w:rsidRPr="009044A1">
              <w:rPr>
                <w:noProof/>
                <w:sz w:val="16"/>
                <w:szCs w:val="16"/>
              </w:rPr>
              <w:t>4</w:t>
            </w:r>
            <w:r w:rsidRPr="00BC6D21">
              <w:rPr>
                <w:color w:val="000000"/>
                <w:sz w:val="16"/>
                <w:szCs w:val="16"/>
              </w:rPr>
              <w:fldChar w:fldCharType="end"/>
            </w:r>
            <w:r w:rsidRPr="000F2520">
              <w:rPr>
                <w:color w:val="000000"/>
                <w:sz w:val="16"/>
                <w:szCs w:val="16"/>
              </w:rPr>
              <w:t>).</w:t>
            </w:r>
          </w:p>
        </w:tc>
        <w:tc>
          <w:tcPr>
            <w:tcW w:w="1418" w:type="dxa"/>
            <w:tcBorders>
              <w:top w:val="single" w:sz="4" w:space="0" w:color="auto"/>
              <w:left w:val="single" w:sz="12" w:space="0" w:color="auto"/>
              <w:bottom w:val="single" w:sz="4" w:space="0" w:color="auto"/>
              <w:right w:val="single" w:sz="4" w:space="0" w:color="auto"/>
            </w:tcBorders>
            <w:shd w:val="clear" w:color="000000" w:fill="FFFFFF"/>
            <w:noWrap/>
            <w:vAlign w:val="center"/>
          </w:tcPr>
          <w:p w14:paraId="5A1CDF09" w14:textId="77777777" w:rsidR="00AD2554" w:rsidRPr="000F2520" w:rsidRDefault="00AD2554" w:rsidP="00E9663B">
            <w:pPr>
              <w:spacing w:after="0"/>
              <w:jc w:val="center"/>
              <w:rPr>
                <w:color w:val="000000"/>
                <w:sz w:val="40"/>
                <w:szCs w:val="40"/>
              </w:rPr>
            </w:pPr>
          </w:p>
          <w:p w14:paraId="20A55103" w14:textId="77777777" w:rsidR="00AD2554" w:rsidRPr="000F2520" w:rsidRDefault="00AD2554" w:rsidP="00E9663B">
            <w:pPr>
              <w:spacing w:after="0"/>
              <w:jc w:val="center"/>
              <w:rPr>
                <w:color w:val="000000"/>
                <w:sz w:val="20"/>
                <w:szCs w:val="20"/>
              </w:rPr>
            </w:pPr>
            <w:r w:rsidRPr="000F2520">
              <w:rPr>
                <w:color w:val="000000"/>
                <w:sz w:val="40"/>
                <w:szCs w:val="40"/>
              </w:rPr>
              <w:sym w:font="Wingdings" w:char="F0FC"/>
            </w:r>
            <w:r w:rsidRPr="001A461D">
              <w:rPr>
                <w:noProof/>
                <w:sz w:val="20"/>
                <w:szCs w:val="20"/>
              </w:rPr>
              <w:drawing>
                <wp:anchor distT="0" distB="0" distL="114300" distR="114300" simplePos="0" relativeHeight="251663360" behindDoc="0" locked="0" layoutInCell="1" allowOverlap="1" wp14:anchorId="2473B043" wp14:editId="053DD322">
                  <wp:simplePos x="0" y="0"/>
                  <wp:positionH relativeFrom="column">
                    <wp:posOffset>349250</wp:posOffset>
                  </wp:positionH>
                  <wp:positionV relativeFrom="paragraph">
                    <wp:posOffset>7458075</wp:posOffset>
                  </wp:positionV>
                  <wp:extent cx="195580" cy="208915"/>
                  <wp:effectExtent l="0" t="0" r="0" b="0"/>
                  <wp:wrapNone/>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5580" cy="208915"/>
                          </a:xfrm>
                          <a:prstGeom prst="rect">
                            <a:avLst/>
                          </a:prstGeom>
                          <a:noFill/>
                        </pic:spPr>
                      </pic:pic>
                    </a:graphicData>
                  </a:graphic>
                  <wp14:sizeRelH relativeFrom="page">
                    <wp14:pctWidth>0</wp14:pctWidth>
                  </wp14:sizeRelH>
                  <wp14:sizeRelV relativeFrom="page">
                    <wp14:pctHeight>0</wp14:pctHeight>
                  </wp14:sizeRelV>
                </wp:anchor>
              </w:drawing>
            </w:r>
          </w:p>
        </w:tc>
        <w:tc>
          <w:tcPr>
            <w:tcW w:w="1552" w:type="dxa"/>
            <w:tcBorders>
              <w:top w:val="nil"/>
              <w:left w:val="nil"/>
              <w:bottom w:val="single" w:sz="4" w:space="0" w:color="auto"/>
              <w:right w:val="single" w:sz="4" w:space="0" w:color="auto"/>
            </w:tcBorders>
            <w:noWrap/>
            <w:vAlign w:val="center"/>
          </w:tcPr>
          <w:p w14:paraId="0121936B" w14:textId="77777777" w:rsidR="00AD2554" w:rsidRPr="000F2520" w:rsidRDefault="00AD2554" w:rsidP="00E9663B">
            <w:pPr>
              <w:jc w:val="center"/>
              <w:rPr>
                <w:color w:val="000000"/>
                <w:sz w:val="20"/>
                <w:szCs w:val="20"/>
              </w:rPr>
            </w:pPr>
          </w:p>
        </w:tc>
        <w:tc>
          <w:tcPr>
            <w:tcW w:w="1760" w:type="dxa"/>
            <w:tcBorders>
              <w:top w:val="single" w:sz="4" w:space="0" w:color="auto"/>
              <w:left w:val="single" w:sz="4" w:space="0" w:color="auto"/>
              <w:bottom w:val="single" w:sz="4" w:space="0" w:color="auto"/>
              <w:right w:val="single" w:sz="4" w:space="0" w:color="auto"/>
            </w:tcBorders>
            <w:vAlign w:val="center"/>
          </w:tcPr>
          <w:p w14:paraId="0021339C" w14:textId="77777777" w:rsidR="00AD2554" w:rsidRPr="000F2520" w:rsidRDefault="00AD2554" w:rsidP="00E9663B">
            <w:pPr>
              <w:spacing w:after="0"/>
              <w:jc w:val="center"/>
              <w:rPr>
                <w:color w:val="000000"/>
                <w:sz w:val="40"/>
                <w:szCs w:val="40"/>
              </w:rPr>
            </w:pPr>
            <w:r w:rsidRPr="000F2520">
              <w:rPr>
                <w:color w:val="000000"/>
                <w:sz w:val="40"/>
                <w:szCs w:val="40"/>
              </w:rPr>
              <w:sym w:font="Wingdings" w:char="F0FC"/>
            </w:r>
          </w:p>
          <w:p w14:paraId="14C5A2F2" w14:textId="77777777" w:rsidR="00AD2554" w:rsidRPr="000F2520" w:rsidRDefault="00AD2554" w:rsidP="00E9663B">
            <w:pPr>
              <w:jc w:val="center"/>
              <w:rPr>
                <w:color w:val="000000"/>
                <w:sz w:val="16"/>
                <w:szCs w:val="16"/>
              </w:rPr>
            </w:pPr>
            <w:r w:rsidRPr="000F2520">
              <w:rPr>
                <w:color w:val="000000"/>
                <w:sz w:val="16"/>
                <w:szCs w:val="16"/>
              </w:rPr>
              <w:t>CQR is responsible for ensuring the external provider complies.</w:t>
            </w:r>
          </w:p>
        </w:tc>
        <w:tc>
          <w:tcPr>
            <w:tcW w:w="1524" w:type="dxa"/>
            <w:tcBorders>
              <w:top w:val="nil"/>
              <w:left w:val="single" w:sz="4" w:space="0" w:color="auto"/>
              <w:bottom w:val="single" w:sz="4" w:space="0" w:color="auto"/>
              <w:right w:val="single" w:sz="4" w:space="0" w:color="auto"/>
            </w:tcBorders>
            <w:noWrap/>
            <w:vAlign w:val="center"/>
          </w:tcPr>
          <w:p w14:paraId="7D08D086" w14:textId="77777777" w:rsidR="00AD2554" w:rsidRPr="000F2520" w:rsidRDefault="00AD2554" w:rsidP="00E9663B">
            <w:pPr>
              <w:jc w:val="center"/>
              <w:rPr>
                <w:color w:val="000000"/>
                <w:sz w:val="20"/>
                <w:szCs w:val="20"/>
              </w:rPr>
            </w:pPr>
          </w:p>
        </w:tc>
      </w:tr>
      <w:tr w:rsidR="00AD2554" w:rsidRPr="000F2520" w14:paraId="56E9A3C9" w14:textId="77777777" w:rsidTr="00E9663B">
        <w:trPr>
          <w:trHeight w:val="1680"/>
        </w:trPr>
        <w:tc>
          <w:tcPr>
            <w:tcW w:w="3286" w:type="dxa"/>
            <w:tcBorders>
              <w:top w:val="nil"/>
              <w:left w:val="single" w:sz="4" w:space="0" w:color="auto"/>
              <w:bottom w:val="single" w:sz="4" w:space="0" w:color="auto"/>
              <w:right w:val="single" w:sz="12" w:space="0" w:color="auto"/>
            </w:tcBorders>
            <w:shd w:val="clear" w:color="auto" w:fill="DDEDEF"/>
          </w:tcPr>
          <w:p w14:paraId="3AC6395F" w14:textId="77777777" w:rsidR="00AD2554" w:rsidRPr="000F2520" w:rsidRDefault="00AD2554" w:rsidP="00E9663B">
            <w:pPr>
              <w:rPr>
                <w:color w:val="000000"/>
                <w:sz w:val="16"/>
                <w:szCs w:val="16"/>
              </w:rPr>
            </w:pPr>
            <w:r>
              <w:rPr>
                <w:color w:val="000000"/>
                <w:sz w:val="16"/>
                <w:szCs w:val="16"/>
              </w:rPr>
              <w:t>Existing</w:t>
            </w:r>
            <w:r w:rsidRPr="000F2520">
              <w:rPr>
                <w:color w:val="000000"/>
                <w:sz w:val="16"/>
                <w:szCs w:val="16"/>
              </w:rPr>
              <w:t xml:space="preserve"> CQR using an external data hosting provider (</w:t>
            </w:r>
            <w:proofErr w:type="gramStart"/>
            <w:r w:rsidRPr="000F2520">
              <w:rPr>
                <w:color w:val="000000"/>
                <w:sz w:val="16"/>
                <w:szCs w:val="16"/>
              </w:rPr>
              <w:t>e.g.</w:t>
            </w:r>
            <w:proofErr w:type="gramEnd"/>
            <w:r w:rsidRPr="000F2520">
              <w:rPr>
                <w:color w:val="000000"/>
                <w:sz w:val="16"/>
                <w:szCs w:val="16"/>
              </w:rPr>
              <w:t xml:space="preserve"> Cloud provider) that DOES have ISO 27001 certification. (Refer to </w:t>
            </w:r>
            <w:r w:rsidRPr="00BC6D21">
              <w:rPr>
                <w:color w:val="000000"/>
                <w:sz w:val="16"/>
                <w:szCs w:val="16"/>
              </w:rPr>
              <w:fldChar w:fldCharType="begin"/>
            </w:r>
            <w:r w:rsidRPr="000F2520">
              <w:rPr>
                <w:color w:val="000000"/>
                <w:sz w:val="16"/>
                <w:szCs w:val="16"/>
              </w:rPr>
              <w:instrText xml:space="preserve"> REF _Ref325487026 \h  \* MERGEFORMAT </w:instrText>
            </w:r>
            <w:r w:rsidRPr="00BC6D21">
              <w:rPr>
                <w:color w:val="000000"/>
                <w:sz w:val="16"/>
                <w:szCs w:val="16"/>
              </w:rPr>
            </w:r>
            <w:r w:rsidRPr="00BC6D21">
              <w:rPr>
                <w:color w:val="000000"/>
                <w:sz w:val="16"/>
                <w:szCs w:val="16"/>
              </w:rPr>
              <w:fldChar w:fldCharType="separate"/>
            </w:r>
            <w:r w:rsidRPr="009044A1">
              <w:rPr>
                <w:sz w:val="16"/>
                <w:szCs w:val="16"/>
              </w:rPr>
              <w:t xml:space="preserve">Figure </w:t>
            </w:r>
            <w:r w:rsidRPr="009044A1">
              <w:rPr>
                <w:noProof/>
                <w:sz w:val="16"/>
                <w:szCs w:val="16"/>
              </w:rPr>
              <w:t>4</w:t>
            </w:r>
            <w:r w:rsidRPr="00BC6D21">
              <w:rPr>
                <w:color w:val="000000"/>
                <w:sz w:val="16"/>
                <w:szCs w:val="16"/>
              </w:rPr>
              <w:fldChar w:fldCharType="end"/>
            </w:r>
            <w:r w:rsidRPr="000F2520">
              <w:rPr>
                <w:color w:val="000000"/>
                <w:sz w:val="16"/>
                <w:szCs w:val="16"/>
              </w:rPr>
              <w:t>).</w:t>
            </w:r>
          </w:p>
        </w:tc>
        <w:tc>
          <w:tcPr>
            <w:tcW w:w="1418" w:type="dxa"/>
            <w:tcBorders>
              <w:top w:val="single" w:sz="4" w:space="0" w:color="auto"/>
              <w:left w:val="single" w:sz="12" w:space="0" w:color="auto"/>
              <w:bottom w:val="single" w:sz="4" w:space="0" w:color="auto"/>
              <w:right w:val="single" w:sz="4" w:space="0" w:color="auto"/>
            </w:tcBorders>
            <w:shd w:val="clear" w:color="000000" w:fill="FFFFFF"/>
            <w:noWrap/>
            <w:vAlign w:val="center"/>
          </w:tcPr>
          <w:p w14:paraId="6193C894" w14:textId="77777777" w:rsidR="00AD2554" w:rsidRPr="000F2520" w:rsidRDefault="00AD2554" w:rsidP="00E9663B">
            <w:pPr>
              <w:spacing w:after="0"/>
              <w:jc w:val="center"/>
              <w:rPr>
                <w:color w:val="000000"/>
                <w:sz w:val="40"/>
                <w:szCs w:val="40"/>
              </w:rPr>
            </w:pPr>
            <w:r w:rsidRPr="000F2520">
              <w:rPr>
                <w:color w:val="000000"/>
                <w:sz w:val="40"/>
                <w:szCs w:val="40"/>
              </w:rPr>
              <w:sym w:font="Wingdings" w:char="F0FC"/>
            </w:r>
          </w:p>
        </w:tc>
        <w:tc>
          <w:tcPr>
            <w:tcW w:w="1552" w:type="dxa"/>
            <w:tcBorders>
              <w:top w:val="nil"/>
              <w:left w:val="nil"/>
              <w:bottom w:val="single" w:sz="4" w:space="0" w:color="auto"/>
              <w:right w:val="single" w:sz="4" w:space="0" w:color="auto"/>
            </w:tcBorders>
            <w:noWrap/>
            <w:vAlign w:val="center"/>
          </w:tcPr>
          <w:p w14:paraId="7D82B226" w14:textId="77777777" w:rsidR="00AD2554" w:rsidRPr="000F2520" w:rsidRDefault="00AD2554" w:rsidP="00E9663B">
            <w:pPr>
              <w:jc w:val="center"/>
              <w:rPr>
                <w:color w:val="000000"/>
                <w:sz w:val="20"/>
                <w:szCs w:val="20"/>
              </w:rPr>
            </w:pPr>
          </w:p>
        </w:tc>
        <w:tc>
          <w:tcPr>
            <w:tcW w:w="1760" w:type="dxa"/>
            <w:tcBorders>
              <w:top w:val="single" w:sz="4" w:space="0" w:color="auto"/>
              <w:left w:val="nil"/>
              <w:bottom w:val="single" w:sz="4" w:space="0" w:color="auto"/>
              <w:right w:val="single" w:sz="4" w:space="0" w:color="auto"/>
            </w:tcBorders>
            <w:noWrap/>
            <w:vAlign w:val="center"/>
          </w:tcPr>
          <w:p w14:paraId="19F95A96" w14:textId="77777777" w:rsidR="00AD2554" w:rsidRPr="000F2520" w:rsidRDefault="00AD2554" w:rsidP="00E9663B">
            <w:pPr>
              <w:jc w:val="center"/>
              <w:rPr>
                <w:color w:val="000000"/>
                <w:sz w:val="20"/>
                <w:szCs w:val="20"/>
              </w:rPr>
            </w:pPr>
          </w:p>
        </w:tc>
        <w:tc>
          <w:tcPr>
            <w:tcW w:w="1524" w:type="dxa"/>
            <w:tcBorders>
              <w:top w:val="single" w:sz="4" w:space="0" w:color="auto"/>
              <w:left w:val="nil"/>
              <w:bottom w:val="single" w:sz="4" w:space="0" w:color="auto"/>
              <w:right w:val="single" w:sz="4" w:space="0" w:color="auto"/>
            </w:tcBorders>
            <w:vAlign w:val="center"/>
          </w:tcPr>
          <w:p w14:paraId="0E14ECDC" w14:textId="77777777" w:rsidR="00AD2554" w:rsidRPr="000F2520" w:rsidRDefault="00AD2554" w:rsidP="00E9663B">
            <w:pPr>
              <w:spacing w:after="0"/>
              <w:jc w:val="center"/>
              <w:rPr>
                <w:color w:val="000000"/>
                <w:sz w:val="40"/>
                <w:szCs w:val="40"/>
              </w:rPr>
            </w:pPr>
            <w:r w:rsidRPr="000F2520">
              <w:rPr>
                <w:color w:val="000000"/>
                <w:sz w:val="40"/>
                <w:szCs w:val="40"/>
              </w:rPr>
              <w:sym w:font="Wingdings" w:char="F0FC"/>
            </w:r>
          </w:p>
          <w:p w14:paraId="53CF6885" w14:textId="77777777" w:rsidR="00AD2554" w:rsidRPr="000F2520" w:rsidRDefault="00AD2554" w:rsidP="00E9663B">
            <w:pPr>
              <w:jc w:val="center"/>
              <w:rPr>
                <w:color w:val="000000"/>
                <w:sz w:val="16"/>
                <w:szCs w:val="16"/>
              </w:rPr>
            </w:pPr>
            <w:r w:rsidRPr="000F2520">
              <w:rPr>
                <w:color w:val="000000"/>
                <w:sz w:val="16"/>
                <w:szCs w:val="16"/>
              </w:rPr>
              <w:t>Proof of certification to be sighted by CQR</w:t>
            </w:r>
          </w:p>
        </w:tc>
      </w:tr>
      <w:tr w:rsidR="00AD2554" w:rsidRPr="000F2520" w14:paraId="0D8B5C9D" w14:textId="77777777" w:rsidTr="00E9663B">
        <w:trPr>
          <w:trHeight w:val="1680"/>
        </w:trPr>
        <w:tc>
          <w:tcPr>
            <w:tcW w:w="3286" w:type="dxa"/>
            <w:tcBorders>
              <w:top w:val="single" w:sz="4" w:space="0" w:color="auto"/>
              <w:left w:val="single" w:sz="4" w:space="0" w:color="auto"/>
              <w:bottom w:val="single" w:sz="4" w:space="0" w:color="auto"/>
              <w:right w:val="single" w:sz="12" w:space="0" w:color="auto"/>
            </w:tcBorders>
            <w:shd w:val="clear" w:color="auto" w:fill="DDEDEF"/>
          </w:tcPr>
          <w:p w14:paraId="5C3D3E51" w14:textId="3EAC5BC8" w:rsidR="00AD2554" w:rsidRPr="000F2520" w:rsidRDefault="00B72A2C" w:rsidP="00E9663B">
            <w:pPr>
              <w:rPr>
                <w:color w:val="000000"/>
                <w:sz w:val="16"/>
                <w:szCs w:val="16"/>
              </w:rPr>
            </w:pPr>
            <w:r>
              <w:rPr>
                <w:color w:val="000000"/>
                <w:sz w:val="16"/>
                <w:szCs w:val="16"/>
              </w:rPr>
              <w:t>Standalone</w:t>
            </w:r>
            <w:r w:rsidR="00AD2554" w:rsidRPr="000F2520">
              <w:rPr>
                <w:color w:val="000000"/>
                <w:sz w:val="16"/>
                <w:szCs w:val="16"/>
              </w:rPr>
              <w:t xml:space="preserve"> </w:t>
            </w:r>
            <w:r w:rsidR="00AD2554">
              <w:rPr>
                <w:color w:val="000000"/>
                <w:sz w:val="16"/>
                <w:szCs w:val="16"/>
              </w:rPr>
              <w:t>or national infrastructure</w:t>
            </w:r>
            <w:r w:rsidR="00AD2554" w:rsidRPr="000F2520">
              <w:rPr>
                <w:color w:val="000000"/>
                <w:sz w:val="16"/>
                <w:szCs w:val="16"/>
              </w:rPr>
              <w:t xml:space="preserve"> that uses an external data hosting provider who does not have ISO 27001 certification. </w:t>
            </w:r>
          </w:p>
        </w:tc>
        <w:tc>
          <w:tcPr>
            <w:tcW w:w="1418" w:type="dxa"/>
            <w:tcBorders>
              <w:top w:val="single" w:sz="4" w:space="0" w:color="auto"/>
              <w:left w:val="single" w:sz="12" w:space="0" w:color="auto"/>
              <w:bottom w:val="single" w:sz="4" w:space="0" w:color="auto"/>
              <w:right w:val="single" w:sz="4" w:space="0" w:color="auto"/>
            </w:tcBorders>
            <w:shd w:val="clear" w:color="000000" w:fill="FFFFFF"/>
            <w:noWrap/>
            <w:vAlign w:val="center"/>
          </w:tcPr>
          <w:p w14:paraId="348CA3A3" w14:textId="77777777" w:rsidR="00AD2554" w:rsidRPr="000F2520" w:rsidRDefault="00AD2554" w:rsidP="00E9663B">
            <w:pPr>
              <w:spacing w:after="0"/>
              <w:jc w:val="center"/>
              <w:rPr>
                <w:color w:val="000000"/>
                <w:sz w:val="40"/>
                <w:szCs w:val="40"/>
              </w:rPr>
            </w:pPr>
            <w:r w:rsidRPr="000F2520">
              <w:rPr>
                <w:color w:val="000000"/>
                <w:sz w:val="40"/>
                <w:szCs w:val="40"/>
              </w:rPr>
              <w:sym w:font="Wingdings" w:char="F0FC"/>
            </w:r>
          </w:p>
          <w:p w14:paraId="126E6182" w14:textId="77777777" w:rsidR="00AD2554" w:rsidRPr="000F2520" w:rsidRDefault="00AD2554" w:rsidP="00E9663B">
            <w:pPr>
              <w:jc w:val="center"/>
              <w:rPr>
                <w:color w:val="000000"/>
                <w:sz w:val="16"/>
                <w:szCs w:val="16"/>
              </w:rPr>
            </w:pPr>
            <w:r w:rsidRPr="000F2520">
              <w:rPr>
                <w:color w:val="000000"/>
                <w:sz w:val="16"/>
                <w:szCs w:val="16"/>
              </w:rPr>
              <w:t>(</w:t>
            </w:r>
            <w:proofErr w:type="gramStart"/>
            <w:r w:rsidRPr="000F2520">
              <w:rPr>
                <w:color w:val="000000"/>
                <w:sz w:val="16"/>
                <w:szCs w:val="16"/>
              </w:rPr>
              <w:t>per</w:t>
            </w:r>
            <w:proofErr w:type="gramEnd"/>
            <w:r w:rsidRPr="000F2520">
              <w:rPr>
                <w:color w:val="000000"/>
                <w:sz w:val="16"/>
                <w:szCs w:val="16"/>
              </w:rPr>
              <w:t xml:space="preserve"> CQR)</w:t>
            </w:r>
          </w:p>
        </w:tc>
        <w:tc>
          <w:tcPr>
            <w:tcW w:w="1552" w:type="dxa"/>
            <w:tcBorders>
              <w:top w:val="nil"/>
              <w:left w:val="nil"/>
              <w:bottom w:val="single" w:sz="4" w:space="0" w:color="auto"/>
              <w:right w:val="single" w:sz="4" w:space="0" w:color="auto"/>
            </w:tcBorders>
            <w:noWrap/>
            <w:vAlign w:val="center"/>
          </w:tcPr>
          <w:p w14:paraId="2F9F8208" w14:textId="77777777" w:rsidR="00AD2554" w:rsidRPr="000F2520" w:rsidRDefault="00AD2554" w:rsidP="00E9663B">
            <w:pPr>
              <w:jc w:val="center"/>
              <w:rPr>
                <w:color w:val="000000"/>
                <w:sz w:val="20"/>
                <w:szCs w:val="20"/>
              </w:rPr>
            </w:pPr>
          </w:p>
        </w:tc>
        <w:tc>
          <w:tcPr>
            <w:tcW w:w="1760" w:type="dxa"/>
            <w:tcBorders>
              <w:top w:val="single" w:sz="4" w:space="0" w:color="auto"/>
              <w:left w:val="nil"/>
              <w:bottom w:val="single" w:sz="4" w:space="0" w:color="auto"/>
              <w:right w:val="single" w:sz="4" w:space="0" w:color="auto"/>
            </w:tcBorders>
            <w:noWrap/>
            <w:vAlign w:val="center"/>
          </w:tcPr>
          <w:p w14:paraId="154C4387" w14:textId="77777777" w:rsidR="00AD2554" w:rsidRPr="000F2520" w:rsidRDefault="00AD2554" w:rsidP="00E9663B">
            <w:pPr>
              <w:spacing w:after="0"/>
              <w:jc w:val="center"/>
              <w:rPr>
                <w:color w:val="000000"/>
                <w:sz w:val="40"/>
                <w:szCs w:val="40"/>
              </w:rPr>
            </w:pPr>
            <w:r w:rsidRPr="000F2520">
              <w:rPr>
                <w:color w:val="000000"/>
                <w:sz w:val="40"/>
                <w:szCs w:val="40"/>
              </w:rPr>
              <w:sym w:font="Wingdings" w:char="F0FC"/>
            </w:r>
          </w:p>
          <w:p w14:paraId="29C7449F" w14:textId="77777777" w:rsidR="00AD2554" w:rsidRPr="000F2520" w:rsidRDefault="00AD2554" w:rsidP="00E9663B">
            <w:pPr>
              <w:jc w:val="center"/>
              <w:rPr>
                <w:color w:val="000000"/>
                <w:sz w:val="16"/>
                <w:szCs w:val="16"/>
              </w:rPr>
            </w:pPr>
            <w:r w:rsidRPr="000F2520">
              <w:rPr>
                <w:color w:val="000000"/>
                <w:sz w:val="16"/>
                <w:szCs w:val="16"/>
              </w:rPr>
              <w:t>CQR is responsible for ensuring the external provider complies.</w:t>
            </w:r>
          </w:p>
        </w:tc>
        <w:tc>
          <w:tcPr>
            <w:tcW w:w="1524" w:type="dxa"/>
            <w:tcBorders>
              <w:top w:val="single" w:sz="4" w:space="0" w:color="auto"/>
              <w:left w:val="nil"/>
              <w:bottom w:val="single" w:sz="4" w:space="0" w:color="auto"/>
              <w:right w:val="single" w:sz="4" w:space="0" w:color="auto"/>
            </w:tcBorders>
            <w:noWrap/>
            <w:vAlign w:val="center"/>
          </w:tcPr>
          <w:p w14:paraId="5CA0528A" w14:textId="77777777" w:rsidR="00AD2554" w:rsidRPr="000F2520" w:rsidRDefault="00AD2554" w:rsidP="00E9663B">
            <w:pPr>
              <w:jc w:val="center"/>
              <w:rPr>
                <w:color w:val="000000"/>
                <w:sz w:val="20"/>
                <w:szCs w:val="20"/>
              </w:rPr>
            </w:pPr>
            <w:r w:rsidRPr="001A461D">
              <w:rPr>
                <w:noProof/>
                <w:sz w:val="20"/>
                <w:szCs w:val="20"/>
              </w:rPr>
              <w:drawing>
                <wp:anchor distT="0" distB="0" distL="114300" distR="114300" simplePos="0" relativeHeight="251670528" behindDoc="0" locked="0" layoutInCell="1" allowOverlap="1" wp14:anchorId="2FD97C32" wp14:editId="457E5086">
                  <wp:simplePos x="0" y="0"/>
                  <wp:positionH relativeFrom="column">
                    <wp:posOffset>20525740</wp:posOffset>
                  </wp:positionH>
                  <wp:positionV relativeFrom="paragraph">
                    <wp:posOffset>42282110</wp:posOffset>
                  </wp:positionV>
                  <wp:extent cx="194945" cy="211455"/>
                  <wp:effectExtent l="0" t="0" r="0" b="0"/>
                  <wp:wrapNone/>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4945" cy="211455"/>
                          </a:xfrm>
                          <a:prstGeom prst="rect">
                            <a:avLst/>
                          </a:prstGeom>
                          <a:noFill/>
                        </pic:spPr>
                      </pic:pic>
                    </a:graphicData>
                  </a:graphic>
                  <wp14:sizeRelH relativeFrom="page">
                    <wp14:pctWidth>0</wp14:pctWidth>
                  </wp14:sizeRelH>
                  <wp14:sizeRelV relativeFrom="page">
                    <wp14:pctHeight>0</wp14:pctHeight>
                  </wp14:sizeRelV>
                </wp:anchor>
              </w:drawing>
            </w:r>
            <w:r w:rsidRPr="00A814FF">
              <w:rPr>
                <w:noProof/>
                <w:sz w:val="20"/>
                <w:szCs w:val="20"/>
              </w:rPr>
              <w:drawing>
                <wp:anchor distT="0" distB="0" distL="114300" distR="114300" simplePos="0" relativeHeight="251667456" behindDoc="0" locked="0" layoutInCell="1" allowOverlap="1" wp14:anchorId="19E3EDAA" wp14:editId="58214316">
                  <wp:simplePos x="0" y="0"/>
                  <wp:positionH relativeFrom="column">
                    <wp:posOffset>15099030</wp:posOffset>
                  </wp:positionH>
                  <wp:positionV relativeFrom="paragraph">
                    <wp:posOffset>33421955</wp:posOffset>
                  </wp:positionV>
                  <wp:extent cx="194945" cy="211455"/>
                  <wp:effectExtent l="0" t="0" r="0" b="0"/>
                  <wp:wrapNone/>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4945" cy="211455"/>
                          </a:xfrm>
                          <a:prstGeom prst="rect">
                            <a:avLst/>
                          </a:prstGeom>
                          <a:noFill/>
                        </pic:spPr>
                      </pic:pic>
                    </a:graphicData>
                  </a:graphic>
                  <wp14:sizeRelH relativeFrom="page">
                    <wp14:pctWidth>0</wp14:pctWidth>
                  </wp14:sizeRelH>
                  <wp14:sizeRelV relativeFrom="page">
                    <wp14:pctHeight>0</wp14:pctHeight>
                  </wp14:sizeRelV>
                </wp:anchor>
              </w:drawing>
            </w:r>
            <w:r w:rsidRPr="00A814FF">
              <w:rPr>
                <w:noProof/>
                <w:sz w:val="20"/>
                <w:szCs w:val="20"/>
              </w:rPr>
              <w:drawing>
                <wp:anchor distT="0" distB="0" distL="114300" distR="114300" simplePos="0" relativeHeight="251662336" behindDoc="0" locked="0" layoutInCell="1" allowOverlap="1" wp14:anchorId="0F1782E7" wp14:editId="14059E94">
                  <wp:simplePos x="0" y="0"/>
                  <wp:positionH relativeFrom="column">
                    <wp:posOffset>21607145</wp:posOffset>
                  </wp:positionH>
                  <wp:positionV relativeFrom="paragraph">
                    <wp:posOffset>39296975</wp:posOffset>
                  </wp:positionV>
                  <wp:extent cx="194945" cy="211455"/>
                  <wp:effectExtent l="0" t="0" r="0" b="0"/>
                  <wp:wrapNone/>
                  <wp:docPr id="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4945" cy="211455"/>
                          </a:xfrm>
                          <a:prstGeom prst="rect">
                            <a:avLst/>
                          </a:prstGeom>
                          <a:noFill/>
                        </pic:spPr>
                      </pic:pic>
                    </a:graphicData>
                  </a:graphic>
                  <wp14:sizeRelH relativeFrom="page">
                    <wp14:pctWidth>0</wp14:pctWidth>
                  </wp14:sizeRelH>
                  <wp14:sizeRelV relativeFrom="page">
                    <wp14:pctHeight>0</wp14:pctHeight>
                  </wp14:sizeRelV>
                </wp:anchor>
              </w:drawing>
            </w:r>
            <w:r w:rsidRPr="00A814FF">
              <w:rPr>
                <w:noProof/>
                <w:sz w:val="20"/>
                <w:szCs w:val="20"/>
              </w:rPr>
              <w:drawing>
                <wp:anchor distT="0" distB="0" distL="114300" distR="114300" simplePos="0" relativeHeight="251664384" behindDoc="0" locked="0" layoutInCell="1" allowOverlap="1" wp14:anchorId="36A15242" wp14:editId="65DD742F">
                  <wp:simplePos x="0" y="0"/>
                  <wp:positionH relativeFrom="column">
                    <wp:posOffset>19410045</wp:posOffset>
                  </wp:positionH>
                  <wp:positionV relativeFrom="paragraph">
                    <wp:posOffset>37902515</wp:posOffset>
                  </wp:positionV>
                  <wp:extent cx="194945" cy="211455"/>
                  <wp:effectExtent l="0" t="0" r="0" b="0"/>
                  <wp:wrapNone/>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4945" cy="211455"/>
                          </a:xfrm>
                          <a:prstGeom prst="rect">
                            <a:avLst/>
                          </a:prstGeom>
                          <a:noFill/>
                        </pic:spPr>
                      </pic:pic>
                    </a:graphicData>
                  </a:graphic>
                  <wp14:sizeRelH relativeFrom="page">
                    <wp14:pctWidth>0</wp14:pctWidth>
                  </wp14:sizeRelH>
                  <wp14:sizeRelV relativeFrom="page">
                    <wp14:pctHeight>0</wp14:pctHeight>
                  </wp14:sizeRelV>
                </wp:anchor>
              </w:drawing>
            </w:r>
            <w:r w:rsidRPr="00A814FF">
              <w:rPr>
                <w:noProof/>
                <w:sz w:val="20"/>
                <w:szCs w:val="20"/>
              </w:rPr>
              <w:drawing>
                <wp:anchor distT="0" distB="0" distL="114300" distR="114300" simplePos="0" relativeHeight="251669504" behindDoc="0" locked="0" layoutInCell="1" allowOverlap="1" wp14:anchorId="7BBF107A" wp14:editId="6BE81D9E">
                  <wp:simplePos x="0" y="0"/>
                  <wp:positionH relativeFrom="column">
                    <wp:posOffset>19491325</wp:posOffset>
                  </wp:positionH>
                  <wp:positionV relativeFrom="paragraph">
                    <wp:posOffset>42122090</wp:posOffset>
                  </wp:positionV>
                  <wp:extent cx="194945" cy="211455"/>
                  <wp:effectExtent l="0" t="0" r="0" b="0"/>
                  <wp:wrapNone/>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4945" cy="211455"/>
                          </a:xfrm>
                          <a:prstGeom prst="rect">
                            <a:avLst/>
                          </a:prstGeom>
                          <a:noFill/>
                        </pic:spPr>
                      </pic:pic>
                    </a:graphicData>
                  </a:graphic>
                  <wp14:sizeRelH relativeFrom="page">
                    <wp14:pctWidth>0</wp14:pctWidth>
                  </wp14:sizeRelH>
                  <wp14:sizeRelV relativeFrom="page">
                    <wp14:pctHeight>0</wp14:pctHeight>
                  </wp14:sizeRelV>
                </wp:anchor>
              </w:drawing>
            </w:r>
            <w:r w:rsidRPr="00A814FF">
              <w:rPr>
                <w:noProof/>
                <w:sz w:val="20"/>
                <w:szCs w:val="20"/>
              </w:rPr>
              <w:drawing>
                <wp:anchor distT="0" distB="0" distL="114300" distR="114300" simplePos="0" relativeHeight="251666432" behindDoc="0" locked="0" layoutInCell="1" allowOverlap="1" wp14:anchorId="42C515A2" wp14:editId="1DDBBC99">
                  <wp:simplePos x="0" y="0"/>
                  <wp:positionH relativeFrom="column">
                    <wp:posOffset>22655530</wp:posOffset>
                  </wp:positionH>
                  <wp:positionV relativeFrom="paragraph">
                    <wp:posOffset>41752520</wp:posOffset>
                  </wp:positionV>
                  <wp:extent cx="194945" cy="211455"/>
                  <wp:effectExtent l="0" t="0" r="0" b="0"/>
                  <wp:wrapNone/>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4945" cy="211455"/>
                          </a:xfrm>
                          <a:prstGeom prst="rect">
                            <a:avLst/>
                          </a:prstGeom>
                          <a:noFill/>
                        </pic:spPr>
                      </pic:pic>
                    </a:graphicData>
                  </a:graphic>
                  <wp14:sizeRelH relativeFrom="page">
                    <wp14:pctWidth>0</wp14:pctWidth>
                  </wp14:sizeRelH>
                  <wp14:sizeRelV relativeFrom="page">
                    <wp14:pctHeight>0</wp14:pctHeight>
                  </wp14:sizeRelV>
                </wp:anchor>
              </w:drawing>
            </w:r>
            <w:r w:rsidRPr="00A814FF">
              <w:rPr>
                <w:noProof/>
                <w:sz w:val="20"/>
                <w:szCs w:val="20"/>
              </w:rPr>
              <w:drawing>
                <wp:anchor distT="0" distB="0" distL="114300" distR="114300" simplePos="0" relativeHeight="251668480" behindDoc="0" locked="0" layoutInCell="1" allowOverlap="1" wp14:anchorId="11DEFDC5" wp14:editId="32BA2D48">
                  <wp:simplePos x="0" y="0"/>
                  <wp:positionH relativeFrom="column">
                    <wp:posOffset>20531455</wp:posOffset>
                  </wp:positionH>
                  <wp:positionV relativeFrom="paragraph">
                    <wp:posOffset>39951025</wp:posOffset>
                  </wp:positionV>
                  <wp:extent cx="194945" cy="211455"/>
                  <wp:effectExtent l="0" t="0" r="0" b="0"/>
                  <wp:wrapNone/>
                  <wp:docPr id="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4945" cy="211455"/>
                          </a:xfrm>
                          <a:prstGeom prst="rect">
                            <a:avLst/>
                          </a:prstGeom>
                          <a:noFill/>
                        </pic:spPr>
                      </pic:pic>
                    </a:graphicData>
                  </a:graphic>
                  <wp14:sizeRelH relativeFrom="page">
                    <wp14:pctWidth>0</wp14:pctWidth>
                  </wp14:sizeRelH>
                  <wp14:sizeRelV relativeFrom="page">
                    <wp14:pctHeight>0</wp14:pctHeight>
                  </wp14:sizeRelV>
                </wp:anchor>
              </w:drawing>
            </w:r>
            <w:r w:rsidRPr="00A814FF">
              <w:rPr>
                <w:noProof/>
                <w:sz w:val="20"/>
                <w:szCs w:val="20"/>
              </w:rPr>
              <w:drawing>
                <wp:anchor distT="0" distB="0" distL="114300" distR="114300" simplePos="0" relativeHeight="251665408" behindDoc="0" locked="0" layoutInCell="1" allowOverlap="1" wp14:anchorId="2B67FE45" wp14:editId="4F92721C">
                  <wp:simplePos x="0" y="0"/>
                  <wp:positionH relativeFrom="column">
                    <wp:posOffset>18350230</wp:posOffset>
                  </wp:positionH>
                  <wp:positionV relativeFrom="paragraph">
                    <wp:posOffset>42280205</wp:posOffset>
                  </wp:positionV>
                  <wp:extent cx="194945" cy="21145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4945" cy="211455"/>
                          </a:xfrm>
                          <a:prstGeom prst="rect">
                            <a:avLst/>
                          </a:prstGeom>
                          <a:noFill/>
                        </pic:spPr>
                      </pic:pic>
                    </a:graphicData>
                  </a:graphic>
                  <wp14:sizeRelH relativeFrom="page">
                    <wp14:pctWidth>0</wp14:pctWidth>
                  </wp14:sizeRelH>
                  <wp14:sizeRelV relativeFrom="page">
                    <wp14:pctHeight>0</wp14:pctHeight>
                  </wp14:sizeRelV>
                </wp:anchor>
              </w:drawing>
            </w:r>
          </w:p>
        </w:tc>
      </w:tr>
      <w:tr w:rsidR="00AD2554" w:rsidRPr="000F2520" w14:paraId="78510114" w14:textId="77777777" w:rsidTr="00E9663B">
        <w:trPr>
          <w:trHeight w:val="1680"/>
        </w:trPr>
        <w:tc>
          <w:tcPr>
            <w:tcW w:w="3286" w:type="dxa"/>
            <w:tcBorders>
              <w:top w:val="nil"/>
              <w:left w:val="single" w:sz="4" w:space="0" w:color="auto"/>
              <w:bottom w:val="single" w:sz="4" w:space="0" w:color="auto"/>
              <w:right w:val="single" w:sz="12" w:space="0" w:color="auto"/>
            </w:tcBorders>
            <w:shd w:val="clear" w:color="auto" w:fill="DDEDEF"/>
          </w:tcPr>
          <w:p w14:paraId="366CBCC4" w14:textId="6947E62D" w:rsidR="00AD2554" w:rsidRPr="000F2520" w:rsidRDefault="00B72A2C" w:rsidP="00E9663B">
            <w:pPr>
              <w:rPr>
                <w:color w:val="000000"/>
                <w:sz w:val="16"/>
                <w:szCs w:val="16"/>
              </w:rPr>
            </w:pPr>
            <w:r>
              <w:rPr>
                <w:color w:val="000000"/>
                <w:sz w:val="16"/>
                <w:szCs w:val="16"/>
              </w:rPr>
              <w:t>Standalone</w:t>
            </w:r>
            <w:r w:rsidR="00AD2554" w:rsidRPr="000F2520">
              <w:rPr>
                <w:color w:val="000000"/>
                <w:sz w:val="16"/>
                <w:szCs w:val="16"/>
              </w:rPr>
              <w:t xml:space="preserve"> </w:t>
            </w:r>
            <w:r w:rsidR="00AD2554">
              <w:rPr>
                <w:color w:val="000000"/>
                <w:sz w:val="16"/>
                <w:szCs w:val="16"/>
              </w:rPr>
              <w:t>or national infrastructure</w:t>
            </w:r>
            <w:r w:rsidR="00AD2554" w:rsidRPr="000F2520">
              <w:rPr>
                <w:color w:val="000000"/>
                <w:sz w:val="16"/>
                <w:szCs w:val="16"/>
              </w:rPr>
              <w:t xml:space="preserve"> that uses an external data hosting provider that does have ISO 27001 certification. </w:t>
            </w:r>
          </w:p>
        </w:tc>
        <w:tc>
          <w:tcPr>
            <w:tcW w:w="1418" w:type="dxa"/>
            <w:tcBorders>
              <w:top w:val="single" w:sz="4" w:space="0" w:color="auto"/>
              <w:left w:val="single" w:sz="12" w:space="0" w:color="auto"/>
              <w:bottom w:val="single" w:sz="4" w:space="0" w:color="auto"/>
              <w:right w:val="single" w:sz="4" w:space="0" w:color="auto"/>
            </w:tcBorders>
            <w:shd w:val="clear" w:color="000000" w:fill="FFFFFF"/>
            <w:noWrap/>
            <w:vAlign w:val="center"/>
          </w:tcPr>
          <w:p w14:paraId="04927ADB" w14:textId="77777777" w:rsidR="00AD2554" w:rsidRPr="000F2520" w:rsidRDefault="00AD2554" w:rsidP="00E9663B">
            <w:pPr>
              <w:spacing w:after="0"/>
              <w:jc w:val="center"/>
              <w:rPr>
                <w:color w:val="000000"/>
                <w:sz w:val="40"/>
                <w:szCs w:val="40"/>
              </w:rPr>
            </w:pPr>
            <w:r w:rsidRPr="000F2520">
              <w:rPr>
                <w:color w:val="000000"/>
                <w:sz w:val="40"/>
                <w:szCs w:val="40"/>
              </w:rPr>
              <w:sym w:font="Wingdings" w:char="F0FC"/>
            </w:r>
          </w:p>
        </w:tc>
        <w:tc>
          <w:tcPr>
            <w:tcW w:w="1552" w:type="dxa"/>
            <w:tcBorders>
              <w:top w:val="nil"/>
              <w:left w:val="nil"/>
              <w:bottom w:val="single" w:sz="4" w:space="0" w:color="auto"/>
              <w:right w:val="single" w:sz="4" w:space="0" w:color="auto"/>
            </w:tcBorders>
            <w:noWrap/>
            <w:vAlign w:val="center"/>
          </w:tcPr>
          <w:p w14:paraId="027FDA43" w14:textId="77777777" w:rsidR="00AD2554" w:rsidRPr="000F2520" w:rsidRDefault="00AD2554" w:rsidP="00E9663B">
            <w:pPr>
              <w:jc w:val="center"/>
              <w:rPr>
                <w:color w:val="000000"/>
                <w:sz w:val="20"/>
                <w:szCs w:val="20"/>
              </w:rPr>
            </w:pPr>
          </w:p>
        </w:tc>
        <w:tc>
          <w:tcPr>
            <w:tcW w:w="1760" w:type="dxa"/>
            <w:tcBorders>
              <w:top w:val="nil"/>
              <w:left w:val="nil"/>
              <w:bottom w:val="single" w:sz="4" w:space="0" w:color="auto"/>
              <w:right w:val="single" w:sz="4" w:space="0" w:color="auto"/>
            </w:tcBorders>
            <w:noWrap/>
            <w:vAlign w:val="center"/>
          </w:tcPr>
          <w:p w14:paraId="7DE4E060" w14:textId="77777777" w:rsidR="00AD2554" w:rsidRPr="000F2520" w:rsidRDefault="00AD2554" w:rsidP="00E9663B">
            <w:pPr>
              <w:jc w:val="center"/>
              <w:rPr>
                <w:color w:val="000000"/>
                <w:sz w:val="20"/>
                <w:szCs w:val="20"/>
              </w:rPr>
            </w:pPr>
          </w:p>
        </w:tc>
        <w:tc>
          <w:tcPr>
            <w:tcW w:w="1524" w:type="dxa"/>
            <w:tcBorders>
              <w:top w:val="nil"/>
              <w:left w:val="nil"/>
              <w:bottom w:val="single" w:sz="4" w:space="0" w:color="auto"/>
              <w:right w:val="single" w:sz="4" w:space="0" w:color="auto"/>
            </w:tcBorders>
            <w:vAlign w:val="center"/>
          </w:tcPr>
          <w:p w14:paraId="5080D13E" w14:textId="77777777" w:rsidR="00AD2554" w:rsidRPr="000F2520" w:rsidRDefault="00AD2554" w:rsidP="00E9663B">
            <w:pPr>
              <w:spacing w:after="0"/>
              <w:jc w:val="center"/>
              <w:rPr>
                <w:color w:val="000000"/>
                <w:sz w:val="40"/>
                <w:szCs w:val="40"/>
              </w:rPr>
            </w:pPr>
            <w:r w:rsidRPr="000F2520">
              <w:rPr>
                <w:color w:val="000000"/>
                <w:sz w:val="40"/>
                <w:szCs w:val="40"/>
              </w:rPr>
              <w:sym w:font="Wingdings" w:char="F0FC"/>
            </w:r>
          </w:p>
          <w:p w14:paraId="78E80692" w14:textId="31BB46FC" w:rsidR="00AD2554" w:rsidRPr="000F2520" w:rsidRDefault="00AD2554" w:rsidP="00E9663B">
            <w:pPr>
              <w:jc w:val="center"/>
              <w:rPr>
                <w:color w:val="000000"/>
                <w:sz w:val="16"/>
                <w:szCs w:val="16"/>
              </w:rPr>
            </w:pPr>
            <w:r w:rsidRPr="000F2520">
              <w:rPr>
                <w:color w:val="000000"/>
                <w:sz w:val="16"/>
                <w:szCs w:val="16"/>
              </w:rPr>
              <w:t xml:space="preserve">Proof of certification </w:t>
            </w:r>
          </w:p>
        </w:tc>
      </w:tr>
      <w:tr w:rsidR="00AD2554" w:rsidRPr="000F2520" w14:paraId="1D47A851" w14:textId="77777777" w:rsidTr="00E9663B">
        <w:trPr>
          <w:trHeight w:val="1345"/>
        </w:trPr>
        <w:tc>
          <w:tcPr>
            <w:tcW w:w="3286" w:type="dxa"/>
            <w:tcBorders>
              <w:top w:val="nil"/>
              <w:left w:val="single" w:sz="4" w:space="0" w:color="auto"/>
              <w:bottom w:val="single" w:sz="4" w:space="0" w:color="auto"/>
              <w:right w:val="single" w:sz="12" w:space="0" w:color="auto"/>
            </w:tcBorders>
            <w:shd w:val="clear" w:color="auto" w:fill="DDEDEF"/>
          </w:tcPr>
          <w:p w14:paraId="56A347C9" w14:textId="1E6AF52C" w:rsidR="00AD2554" w:rsidRPr="000F2520" w:rsidRDefault="00AD2554" w:rsidP="00E9663B">
            <w:pPr>
              <w:rPr>
                <w:color w:val="000000"/>
                <w:sz w:val="16"/>
                <w:szCs w:val="16"/>
              </w:rPr>
            </w:pPr>
            <w:r>
              <w:rPr>
                <w:color w:val="000000"/>
                <w:sz w:val="16"/>
                <w:szCs w:val="16"/>
              </w:rPr>
              <w:t>Central jurisdictional infrastructure</w:t>
            </w:r>
            <w:r w:rsidRPr="000F2520">
              <w:rPr>
                <w:color w:val="000000"/>
                <w:sz w:val="16"/>
                <w:szCs w:val="16"/>
              </w:rPr>
              <w:t xml:space="preserve"> that has previously attained certification using the </w:t>
            </w:r>
            <w:r>
              <w:rPr>
                <w:color w:val="000000"/>
                <w:sz w:val="16"/>
                <w:szCs w:val="16"/>
              </w:rPr>
              <w:t xml:space="preserve">Centrally Hosted Jurisdictional Infrastructure </w:t>
            </w:r>
            <w:r w:rsidRPr="000F2520">
              <w:rPr>
                <w:color w:val="000000"/>
                <w:sz w:val="16"/>
                <w:szCs w:val="16"/>
              </w:rPr>
              <w:t xml:space="preserve">or </w:t>
            </w:r>
            <w:r>
              <w:rPr>
                <w:color w:val="000000"/>
                <w:sz w:val="16"/>
                <w:szCs w:val="16"/>
              </w:rPr>
              <w:t xml:space="preserve">Standalone </w:t>
            </w:r>
            <w:r w:rsidRPr="000F2520">
              <w:rPr>
                <w:color w:val="000000"/>
                <w:sz w:val="16"/>
                <w:szCs w:val="16"/>
              </w:rPr>
              <w:t xml:space="preserve">Data Hosting Checklist, and another CQR wishes to join </w:t>
            </w:r>
            <w:r w:rsidRPr="000F2520">
              <w:rPr>
                <w:color w:val="000000"/>
                <w:sz w:val="16"/>
                <w:szCs w:val="16"/>
              </w:rPr>
              <w:lastRenderedPageBreak/>
              <w:t xml:space="preserve">the existing </w:t>
            </w:r>
            <w:r>
              <w:rPr>
                <w:color w:val="000000"/>
                <w:sz w:val="16"/>
                <w:szCs w:val="16"/>
              </w:rPr>
              <w:t xml:space="preserve">central jurisdictional infrastructure </w:t>
            </w:r>
            <w:r w:rsidRPr="000F2520">
              <w:rPr>
                <w:color w:val="000000"/>
                <w:sz w:val="16"/>
                <w:szCs w:val="16"/>
              </w:rPr>
              <w:t xml:space="preserve">services). </w:t>
            </w:r>
          </w:p>
        </w:tc>
        <w:tc>
          <w:tcPr>
            <w:tcW w:w="1418" w:type="dxa"/>
            <w:tcBorders>
              <w:top w:val="single" w:sz="4" w:space="0" w:color="auto"/>
              <w:left w:val="single" w:sz="12" w:space="0" w:color="auto"/>
              <w:bottom w:val="single" w:sz="4" w:space="0" w:color="auto"/>
              <w:right w:val="single" w:sz="4" w:space="0" w:color="auto"/>
            </w:tcBorders>
            <w:shd w:val="clear" w:color="000000" w:fill="FFFFFF"/>
            <w:noWrap/>
            <w:vAlign w:val="center"/>
          </w:tcPr>
          <w:p w14:paraId="5105DD09" w14:textId="77777777" w:rsidR="00AD2554" w:rsidRPr="000F2520" w:rsidRDefault="00AD2554" w:rsidP="00E9663B">
            <w:pPr>
              <w:spacing w:after="0"/>
              <w:jc w:val="center"/>
              <w:rPr>
                <w:color w:val="000000"/>
                <w:sz w:val="40"/>
                <w:szCs w:val="40"/>
              </w:rPr>
            </w:pPr>
            <w:r w:rsidRPr="000F2520">
              <w:rPr>
                <w:color w:val="000000"/>
                <w:sz w:val="40"/>
                <w:szCs w:val="40"/>
              </w:rPr>
              <w:lastRenderedPageBreak/>
              <w:sym w:font="Wingdings" w:char="F0FC"/>
            </w:r>
          </w:p>
          <w:p w14:paraId="68FD7523" w14:textId="77777777" w:rsidR="00AD2554" w:rsidRPr="000F2520" w:rsidRDefault="00AD2554" w:rsidP="00E9663B">
            <w:pPr>
              <w:jc w:val="center"/>
              <w:rPr>
                <w:color w:val="000000"/>
                <w:sz w:val="16"/>
                <w:szCs w:val="16"/>
              </w:rPr>
            </w:pPr>
            <w:r w:rsidRPr="000F2520">
              <w:rPr>
                <w:color w:val="000000"/>
                <w:sz w:val="16"/>
                <w:szCs w:val="16"/>
              </w:rPr>
              <w:t>(</w:t>
            </w:r>
            <w:proofErr w:type="gramStart"/>
            <w:r w:rsidRPr="000F2520">
              <w:rPr>
                <w:color w:val="000000"/>
                <w:sz w:val="16"/>
                <w:szCs w:val="16"/>
              </w:rPr>
              <w:t>per</w:t>
            </w:r>
            <w:proofErr w:type="gramEnd"/>
            <w:r w:rsidRPr="000F2520">
              <w:rPr>
                <w:color w:val="000000"/>
                <w:sz w:val="16"/>
                <w:szCs w:val="16"/>
              </w:rPr>
              <w:t xml:space="preserve"> CQR)</w:t>
            </w:r>
          </w:p>
        </w:tc>
        <w:tc>
          <w:tcPr>
            <w:tcW w:w="1552" w:type="dxa"/>
            <w:tcBorders>
              <w:top w:val="nil"/>
              <w:left w:val="nil"/>
              <w:bottom w:val="single" w:sz="4" w:space="0" w:color="auto"/>
              <w:right w:val="single" w:sz="4" w:space="0" w:color="auto"/>
            </w:tcBorders>
            <w:noWrap/>
            <w:vAlign w:val="center"/>
          </w:tcPr>
          <w:p w14:paraId="5E83BBDF" w14:textId="77777777" w:rsidR="00AD2554" w:rsidRPr="000F2520" w:rsidRDefault="00AD2554" w:rsidP="00E9663B">
            <w:pPr>
              <w:jc w:val="center"/>
              <w:rPr>
                <w:color w:val="000000"/>
                <w:sz w:val="20"/>
                <w:szCs w:val="20"/>
              </w:rPr>
            </w:pPr>
          </w:p>
        </w:tc>
        <w:tc>
          <w:tcPr>
            <w:tcW w:w="1760" w:type="dxa"/>
            <w:tcBorders>
              <w:top w:val="nil"/>
              <w:left w:val="nil"/>
              <w:bottom w:val="single" w:sz="4" w:space="0" w:color="auto"/>
              <w:right w:val="single" w:sz="4" w:space="0" w:color="auto"/>
            </w:tcBorders>
            <w:vAlign w:val="center"/>
          </w:tcPr>
          <w:p w14:paraId="7ECB3306" w14:textId="77777777" w:rsidR="00AD2554" w:rsidRPr="000F2520" w:rsidRDefault="00AD2554" w:rsidP="00E9663B">
            <w:pPr>
              <w:jc w:val="center"/>
              <w:rPr>
                <w:color w:val="000000"/>
                <w:sz w:val="16"/>
                <w:szCs w:val="16"/>
              </w:rPr>
            </w:pPr>
            <w:r w:rsidRPr="000F2520">
              <w:rPr>
                <w:color w:val="000000"/>
                <w:sz w:val="16"/>
                <w:szCs w:val="16"/>
              </w:rPr>
              <w:t xml:space="preserve">Not required - already </w:t>
            </w:r>
            <w:r>
              <w:rPr>
                <w:color w:val="000000"/>
                <w:sz w:val="16"/>
                <w:szCs w:val="16"/>
              </w:rPr>
              <w:t xml:space="preserve">accredited </w:t>
            </w:r>
            <w:r w:rsidRPr="000F2520">
              <w:rPr>
                <w:color w:val="000000"/>
                <w:sz w:val="16"/>
                <w:szCs w:val="16"/>
              </w:rPr>
              <w:t>once.</w:t>
            </w:r>
          </w:p>
        </w:tc>
        <w:tc>
          <w:tcPr>
            <w:tcW w:w="1524" w:type="dxa"/>
            <w:tcBorders>
              <w:top w:val="nil"/>
              <w:left w:val="nil"/>
              <w:bottom w:val="single" w:sz="4" w:space="0" w:color="auto"/>
              <w:right w:val="single" w:sz="4" w:space="0" w:color="auto"/>
            </w:tcBorders>
            <w:noWrap/>
            <w:vAlign w:val="center"/>
          </w:tcPr>
          <w:p w14:paraId="5471654A" w14:textId="77777777" w:rsidR="00AD2554" w:rsidRPr="000F2520" w:rsidRDefault="00AD2554" w:rsidP="00E9663B">
            <w:pPr>
              <w:jc w:val="center"/>
              <w:rPr>
                <w:color w:val="000000"/>
                <w:sz w:val="20"/>
                <w:szCs w:val="20"/>
              </w:rPr>
            </w:pPr>
          </w:p>
        </w:tc>
      </w:tr>
    </w:tbl>
    <w:p w14:paraId="63B38281" w14:textId="6FEAA6B4" w:rsidR="00AD2554" w:rsidRPr="000F2520" w:rsidRDefault="00AD2554" w:rsidP="00AD2554">
      <w:r w:rsidRPr="000F2520">
        <w:t xml:space="preserve"> </w:t>
      </w:r>
    </w:p>
    <w:p w14:paraId="78A27E0E" w14:textId="77777777" w:rsidR="00AD2554" w:rsidRPr="000F2520" w:rsidRDefault="00AD2554" w:rsidP="003D2BA6">
      <w:pPr>
        <w:pStyle w:val="Heading2"/>
      </w:pPr>
      <w:bookmarkStart w:id="68" w:name="_Toc106613902"/>
      <w:r w:rsidRPr="000F2520">
        <w:t>Identify Gaps</w:t>
      </w:r>
      <w:bookmarkEnd w:id="68"/>
    </w:p>
    <w:p w14:paraId="0CCACE35" w14:textId="77777777" w:rsidR="00AD2554" w:rsidRPr="000F2520" w:rsidRDefault="00AD2554" w:rsidP="00AD2554">
      <w:r w:rsidRPr="000F2520">
        <w:t>Following assessment of compliance, identification of security control gaps may be undertaken. Areas that are noted as not meeting good practice should be recorded as security control gaps.</w:t>
      </w:r>
    </w:p>
    <w:p w14:paraId="5B55891D" w14:textId="77777777" w:rsidR="00AD2554" w:rsidRPr="000F2520" w:rsidRDefault="00AD2554" w:rsidP="003D2BA6">
      <w:pPr>
        <w:pStyle w:val="Heading2"/>
      </w:pPr>
      <w:bookmarkStart w:id="69" w:name="_Toc106613903"/>
      <w:r w:rsidRPr="000F2520">
        <w:t xml:space="preserve">Classifying and </w:t>
      </w:r>
      <w:proofErr w:type="spellStart"/>
      <w:r w:rsidRPr="000F2520">
        <w:t>prioritising</w:t>
      </w:r>
      <w:proofErr w:type="spellEnd"/>
      <w:r w:rsidRPr="000F2520">
        <w:t xml:space="preserve"> gaps</w:t>
      </w:r>
      <w:bookmarkEnd w:id="69"/>
      <w:r w:rsidRPr="000F2520">
        <w:t xml:space="preserve"> </w:t>
      </w:r>
    </w:p>
    <w:p w14:paraId="7B7A10C6" w14:textId="77777777" w:rsidR="00AD2554" w:rsidRPr="000F2520" w:rsidRDefault="00AD2554" w:rsidP="00AD2554">
      <w:r w:rsidRPr="000F2520">
        <w:t>Once a security control gap has been identified, the next stage is to classify the importance of the gap in terms of urgency and complexity. Classification of security gaps provides a logical hierarchy of prioritisation for gap remediation work.</w:t>
      </w:r>
    </w:p>
    <w:p w14:paraId="14E263B5" w14:textId="77777777" w:rsidR="00AD2554" w:rsidRPr="000F2520" w:rsidRDefault="00AD2554" w:rsidP="00AD2554">
      <w:r w:rsidRPr="000F2520">
        <w:t xml:space="preserve">Level of urgency is based on the potential impact if a security gap or weakness was to be exploited. In other words, </w:t>
      </w:r>
      <w:r w:rsidRPr="000F2520">
        <w:rPr>
          <w:i/>
        </w:rPr>
        <w:t>the level of</w:t>
      </w:r>
      <w:r w:rsidRPr="000F2520">
        <w:t xml:space="preserve"> </w:t>
      </w:r>
      <w:r w:rsidRPr="000F2520">
        <w:rPr>
          <w:i/>
        </w:rPr>
        <w:t xml:space="preserve">urgency should be measured by the </w:t>
      </w:r>
      <w:r w:rsidRPr="000F2520">
        <w:rPr>
          <w:i/>
          <w:u w:val="single"/>
        </w:rPr>
        <w:t>level of risk that is being mitigated by the control</w:t>
      </w:r>
      <w:r w:rsidRPr="000F2520">
        <w:rPr>
          <w:i/>
        </w:rPr>
        <w:t xml:space="preserve"> (as referenced in the appropriate risk assessment).</w:t>
      </w:r>
    </w:p>
    <w:p w14:paraId="4C17E042" w14:textId="77777777" w:rsidR="00AD2554" w:rsidRPr="000F2520" w:rsidRDefault="00AD2554" w:rsidP="00AD2554">
      <w:r w:rsidRPr="000F2520">
        <w:t xml:space="preserve">The level of complexity is measured by the expected effort and expertise required to implement a control. </w:t>
      </w:r>
      <w:bookmarkStart w:id="70" w:name="_Toc320087962"/>
    </w:p>
    <w:p w14:paraId="4B032515" w14:textId="77777777" w:rsidR="00AD2554" w:rsidRPr="000F2520" w:rsidRDefault="00AD2554" w:rsidP="00AD2554">
      <w:r w:rsidRPr="000F2520">
        <w:t xml:space="preserve">The numbered quadrants in </w:t>
      </w:r>
      <w:r w:rsidRPr="00BC6D21">
        <w:fldChar w:fldCharType="begin"/>
      </w:r>
      <w:r w:rsidRPr="000F2520">
        <w:instrText xml:space="preserve"> REF _Ref351532577 \h </w:instrText>
      </w:r>
      <w:r w:rsidRPr="00BC6D21">
        <w:fldChar w:fldCharType="separate"/>
      </w:r>
      <w:r w:rsidRPr="000F2520">
        <w:t xml:space="preserve">Figure </w:t>
      </w:r>
      <w:r>
        <w:rPr>
          <w:noProof/>
        </w:rPr>
        <w:t>6</w:t>
      </w:r>
      <w:r w:rsidRPr="00BC6D21">
        <w:fldChar w:fldCharType="end"/>
      </w:r>
      <w:r w:rsidRPr="000F2520">
        <w:t xml:space="preserve"> suggest a simple approach to prioritising any remediation work that may be needed.  Any work that is urgent but simple should be top priority and may be possible to undertake with in-house capabilities.  </w:t>
      </w:r>
    </w:p>
    <w:p w14:paraId="52B2800D" w14:textId="77777777" w:rsidR="00AD2554" w:rsidRPr="000F2520" w:rsidRDefault="00AD2554" w:rsidP="00AD2554"/>
    <w:p w14:paraId="76AEF8AC" w14:textId="77777777" w:rsidR="00EB5B0F" w:rsidRDefault="00EB5B0F">
      <w:pPr>
        <w:spacing w:after="0" w:line="240" w:lineRule="auto"/>
        <w:rPr>
          <w:i/>
          <w:iCs/>
          <w:color w:val="1F3864" w:themeColor="accent1" w:themeShade="80"/>
          <w:szCs w:val="22"/>
        </w:rPr>
      </w:pPr>
      <w:bookmarkStart w:id="71" w:name="_Ref351532577"/>
      <w:bookmarkStart w:id="72" w:name="_Toc103165886"/>
      <w:r>
        <w:rPr>
          <w:color w:val="1F3864" w:themeColor="accent1" w:themeShade="80"/>
          <w:szCs w:val="22"/>
        </w:rPr>
        <w:br w:type="page"/>
      </w:r>
    </w:p>
    <w:p w14:paraId="24E7625E" w14:textId="2465F684" w:rsidR="00AD2554" w:rsidRPr="00EB5B0F" w:rsidRDefault="00AD2554" w:rsidP="00AD2554">
      <w:pPr>
        <w:pStyle w:val="Caption"/>
        <w:rPr>
          <w:color w:val="1F3864" w:themeColor="accent1" w:themeShade="80"/>
          <w:sz w:val="22"/>
          <w:szCs w:val="22"/>
        </w:rPr>
      </w:pPr>
      <w:r w:rsidRPr="00EB5B0F">
        <w:rPr>
          <w:color w:val="1F3864" w:themeColor="accent1" w:themeShade="80"/>
          <w:sz w:val="22"/>
          <w:szCs w:val="22"/>
        </w:rPr>
        <w:lastRenderedPageBreak/>
        <w:t xml:space="preserve">Figure </w:t>
      </w:r>
      <w:r w:rsidRPr="00EB5B0F">
        <w:rPr>
          <w:color w:val="1F3864" w:themeColor="accent1" w:themeShade="80"/>
          <w:sz w:val="22"/>
          <w:szCs w:val="22"/>
        </w:rPr>
        <w:fldChar w:fldCharType="begin"/>
      </w:r>
      <w:r w:rsidRPr="00EB5B0F">
        <w:rPr>
          <w:color w:val="1F3864" w:themeColor="accent1" w:themeShade="80"/>
          <w:sz w:val="22"/>
          <w:szCs w:val="22"/>
        </w:rPr>
        <w:instrText xml:space="preserve"> SEQ Figure \* ARABIC </w:instrText>
      </w:r>
      <w:r w:rsidRPr="00EB5B0F">
        <w:rPr>
          <w:color w:val="1F3864" w:themeColor="accent1" w:themeShade="80"/>
          <w:sz w:val="22"/>
          <w:szCs w:val="22"/>
        </w:rPr>
        <w:fldChar w:fldCharType="separate"/>
      </w:r>
      <w:r w:rsidRPr="00EB5B0F">
        <w:rPr>
          <w:noProof/>
          <w:color w:val="1F3864" w:themeColor="accent1" w:themeShade="80"/>
          <w:sz w:val="22"/>
          <w:szCs w:val="22"/>
        </w:rPr>
        <w:t>6</w:t>
      </w:r>
      <w:r w:rsidRPr="00EB5B0F">
        <w:rPr>
          <w:noProof/>
          <w:color w:val="1F3864" w:themeColor="accent1" w:themeShade="80"/>
          <w:sz w:val="22"/>
          <w:szCs w:val="22"/>
        </w:rPr>
        <w:fldChar w:fldCharType="end"/>
      </w:r>
      <w:bookmarkEnd w:id="71"/>
      <w:r w:rsidRPr="00EB5B0F">
        <w:rPr>
          <w:color w:val="1F3864" w:themeColor="accent1" w:themeShade="80"/>
          <w:sz w:val="22"/>
          <w:szCs w:val="22"/>
        </w:rPr>
        <w:t>: Classifying and prioritising gaps</w:t>
      </w:r>
      <w:bookmarkEnd w:id="70"/>
      <w:bookmarkEnd w:id="72"/>
    </w:p>
    <w:p w14:paraId="5BB57C59" w14:textId="77777777" w:rsidR="00AD2554" w:rsidRPr="000F2520" w:rsidRDefault="00AD2554" w:rsidP="00AD2554">
      <w:pPr>
        <w:pStyle w:val="Caption"/>
      </w:pPr>
      <w:r w:rsidRPr="001A461D">
        <w:rPr>
          <w:noProof/>
        </w:rPr>
        <w:drawing>
          <wp:inline distT="0" distB="0" distL="0" distR="0" wp14:anchorId="40307C3B" wp14:editId="1F1AB808">
            <wp:extent cx="3764280" cy="31470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64280" cy="3147060"/>
                    </a:xfrm>
                    <a:prstGeom prst="rect">
                      <a:avLst/>
                    </a:prstGeom>
                    <a:noFill/>
                    <a:ln>
                      <a:noFill/>
                    </a:ln>
                  </pic:spPr>
                </pic:pic>
              </a:graphicData>
            </a:graphic>
          </wp:inline>
        </w:drawing>
      </w:r>
    </w:p>
    <w:p w14:paraId="5C70581E" w14:textId="77777777" w:rsidR="00AD2554" w:rsidRPr="000F2520" w:rsidRDefault="00AD2554" w:rsidP="003D2BA6">
      <w:pPr>
        <w:pStyle w:val="Heading2"/>
      </w:pPr>
      <w:bookmarkStart w:id="73" w:name="_Toc106613904"/>
      <w:r w:rsidRPr="000F2520">
        <w:t>Treat</w:t>
      </w:r>
      <w:bookmarkEnd w:id="73"/>
    </w:p>
    <w:p w14:paraId="5CF1656B" w14:textId="77777777" w:rsidR="00AD2554" w:rsidRPr="000F2520" w:rsidRDefault="00AD2554" w:rsidP="00AD2554">
      <w:r w:rsidRPr="000F2520">
        <w:t xml:space="preserve">Treatment of identified security gaps is the implementation of the required controls identified in the appropriate checklist. Clinical quality registries and external data hosting service providers should plan for the remediation of any gap areas on a priority basis as determined through the process above. </w:t>
      </w:r>
    </w:p>
    <w:p w14:paraId="33CC90A4" w14:textId="77777777" w:rsidR="00AD2554" w:rsidRPr="000F2520" w:rsidRDefault="00AD2554" w:rsidP="00AD2554">
      <w:pPr>
        <w:sectPr w:rsidR="00AD2554" w:rsidRPr="000F2520" w:rsidSect="00E9663B">
          <w:pgSz w:w="11906" w:h="16838" w:code="9"/>
          <w:pgMar w:top="1701" w:right="1418" w:bottom="905" w:left="1701" w:header="709" w:footer="88" w:gutter="0"/>
          <w:cols w:space="708"/>
          <w:docGrid w:linePitch="360"/>
        </w:sectPr>
      </w:pPr>
      <w:r w:rsidRPr="000F2520">
        <w:t xml:space="preserve">Section </w:t>
      </w:r>
      <w:r w:rsidRPr="00BC6D21">
        <w:fldChar w:fldCharType="begin"/>
      </w:r>
      <w:r w:rsidRPr="000F2520">
        <w:instrText xml:space="preserve"> REF _Ref320004078 \r \h </w:instrText>
      </w:r>
      <w:r w:rsidRPr="00BC6D21">
        <w:fldChar w:fldCharType="separate"/>
      </w:r>
      <w:r>
        <w:t>6</w:t>
      </w:r>
      <w:r w:rsidRPr="00BC6D21">
        <w:fldChar w:fldCharType="end"/>
      </w:r>
      <w:r w:rsidRPr="000F2520">
        <w:t xml:space="preserve"> of this </w:t>
      </w:r>
      <w:r w:rsidRPr="00A814FF">
        <w:rPr>
          <w:i/>
          <w:iCs/>
        </w:rPr>
        <w:t>Guideline</w:t>
      </w:r>
      <w:r w:rsidRPr="000F2520">
        <w:t xml:space="preserve"> contains detailed guidance on best practice controls. Other guidelines such as NESAF have a broader body of detailed information that can be used to inform the treatment of gap areas.</w:t>
      </w:r>
    </w:p>
    <w:p w14:paraId="49D5A417" w14:textId="77777777" w:rsidR="00AD2554" w:rsidRPr="000F2520" w:rsidRDefault="00AD2554" w:rsidP="00AD2554">
      <w:pPr>
        <w:pStyle w:val="Heading1"/>
        <w:numPr>
          <w:ilvl w:val="0"/>
          <w:numId w:val="21"/>
        </w:numPr>
        <w:tabs>
          <w:tab w:val="clear" w:pos="1276"/>
          <w:tab w:val="num" w:pos="783"/>
        </w:tabs>
        <w:ind w:left="783" w:hanging="360"/>
      </w:pPr>
      <w:bookmarkStart w:id="74" w:name="_Ref350959883"/>
      <w:bookmarkStart w:id="75" w:name="_Ref350959899"/>
      <w:bookmarkStart w:id="76" w:name="_Ref351384735"/>
      <w:bookmarkStart w:id="77" w:name="_Toc106613905"/>
      <w:r w:rsidRPr="000F2520">
        <w:lastRenderedPageBreak/>
        <w:t>Security Compliance Checklists for CQR ‘Good Practice’</w:t>
      </w:r>
      <w:bookmarkEnd w:id="74"/>
      <w:bookmarkEnd w:id="75"/>
      <w:bookmarkEnd w:id="76"/>
      <w:bookmarkEnd w:id="77"/>
    </w:p>
    <w:tbl>
      <w:tblPr>
        <w:tblW w:w="9421" w:type="dxa"/>
        <w:tblInd w:w="10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21"/>
      </w:tblGrid>
      <w:tr w:rsidR="00AD2554" w:rsidRPr="000F2520" w14:paraId="118DA57C" w14:textId="77777777" w:rsidTr="009641E5">
        <w:trPr>
          <w:trHeight w:val="2895"/>
        </w:trPr>
        <w:tc>
          <w:tcPr>
            <w:tcW w:w="9421" w:type="dxa"/>
            <w:tcBorders>
              <w:top w:val="single" w:sz="4" w:space="0" w:color="auto"/>
              <w:bottom w:val="single" w:sz="4" w:space="0" w:color="auto"/>
            </w:tcBorders>
            <w:shd w:val="clear" w:color="auto" w:fill="FFCC99"/>
          </w:tcPr>
          <w:p w14:paraId="2404EF42" w14:textId="77777777" w:rsidR="00AD2554" w:rsidRPr="000F2520" w:rsidRDefault="00AD2554" w:rsidP="00E9663B">
            <w:r w:rsidRPr="000F2520">
              <w:t xml:space="preserve">This section provides detailed checklists to be used for the assessment of organisations requiring security certification. Each organisation is assessed across </w:t>
            </w:r>
            <w:proofErr w:type="gramStart"/>
            <w:r w:rsidRPr="000F2520">
              <w:t>a number of</w:t>
            </w:r>
            <w:proofErr w:type="gramEnd"/>
            <w:r w:rsidRPr="000F2520">
              <w:t xml:space="preserve"> key security domains for minimum ‘good practice’ requirements.   </w:t>
            </w:r>
          </w:p>
          <w:p w14:paraId="6C5B75D7" w14:textId="77777777" w:rsidR="00AD2554" w:rsidRPr="000F2520" w:rsidRDefault="00AD2554" w:rsidP="00E9663B">
            <w:r w:rsidRPr="000F2520">
              <w:t xml:space="preserve">Best Practice: Measures of ‘best practice’ are not included in the checklists. However, Section </w:t>
            </w:r>
            <w:r w:rsidRPr="00BC6D21">
              <w:fldChar w:fldCharType="begin"/>
            </w:r>
            <w:r w:rsidRPr="000F2520">
              <w:instrText xml:space="preserve"> REF _Ref320004078 \r \h  \* MERGEFORMAT </w:instrText>
            </w:r>
            <w:r w:rsidRPr="00BC6D21">
              <w:fldChar w:fldCharType="separate"/>
            </w:r>
            <w:r>
              <w:t>6</w:t>
            </w:r>
            <w:r w:rsidRPr="00BC6D21">
              <w:fldChar w:fldCharType="end"/>
            </w:r>
            <w:r w:rsidRPr="000F2520">
              <w:t xml:space="preserve"> of this </w:t>
            </w:r>
            <w:r w:rsidRPr="00A814FF">
              <w:rPr>
                <w:i/>
                <w:iCs/>
              </w:rPr>
              <w:t>Guideline</w:t>
            </w:r>
            <w:r w:rsidRPr="000F2520">
              <w:t xml:space="preserve"> provides measures of best practice for clinical quality registries in the form of detailed guidance on controls.</w:t>
            </w:r>
          </w:p>
          <w:p w14:paraId="0BC4A229" w14:textId="0DCF2011" w:rsidR="00AD2554" w:rsidRPr="000F2520" w:rsidRDefault="00AD2554" w:rsidP="00E9663B">
            <w:r w:rsidRPr="000F2520">
              <w:t xml:space="preserve">The checklists below should be used in accordance with the methodology and flowchart provided in Section </w:t>
            </w:r>
            <w:r w:rsidRPr="00BC6D21">
              <w:fldChar w:fldCharType="begin"/>
            </w:r>
            <w:r w:rsidRPr="000F2520">
              <w:instrText xml:space="preserve"> REF _Ref351533228 \r \h </w:instrText>
            </w:r>
            <w:r w:rsidR="009641E5">
              <w:instrText xml:space="preserve"> \* MERGEFORMAT </w:instrText>
            </w:r>
            <w:r w:rsidRPr="00BC6D21">
              <w:fldChar w:fldCharType="separate"/>
            </w:r>
            <w:r>
              <w:t>4</w:t>
            </w:r>
            <w:r w:rsidRPr="00BC6D21">
              <w:fldChar w:fldCharType="end"/>
            </w:r>
            <w:r w:rsidRPr="000F2520">
              <w:t>.</w:t>
            </w:r>
          </w:p>
        </w:tc>
      </w:tr>
    </w:tbl>
    <w:p w14:paraId="02124E6F" w14:textId="77777777" w:rsidR="00AD2554" w:rsidRPr="000F2520" w:rsidRDefault="00AD2554" w:rsidP="003D2BA6">
      <w:pPr>
        <w:pStyle w:val="Heading2"/>
      </w:pPr>
      <w:bookmarkStart w:id="78" w:name="_Toc106613906"/>
      <w:r w:rsidRPr="000F2520">
        <w:t>Compliance Checklist – CQR Business Operations</w:t>
      </w:r>
      <w:bookmarkEnd w:id="78"/>
      <w:r w:rsidRPr="000F2520">
        <w:t xml:space="preserve"> </w:t>
      </w:r>
    </w:p>
    <w:p w14:paraId="13579746" w14:textId="77777777" w:rsidR="00AD2554" w:rsidRPr="000F2520" w:rsidRDefault="00AD2554" w:rsidP="00AD2554">
      <w:pPr>
        <w:pStyle w:val="BodyText"/>
        <w:ind w:left="720"/>
        <w:rPr>
          <w:i/>
        </w:rPr>
      </w:pPr>
      <w:r w:rsidRPr="000F2520">
        <w:rPr>
          <w:i/>
        </w:rPr>
        <w:t>To be completed by each CQR.</w:t>
      </w:r>
    </w:p>
    <w:p w14:paraId="22530C96" w14:textId="77777777" w:rsidR="00AD2554" w:rsidRPr="000F2520" w:rsidRDefault="00AD2554" w:rsidP="00AD2554">
      <w:pPr>
        <w:pStyle w:val="BodyText"/>
        <w:ind w:left="720"/>
        <w:rPr>
          <w:i/>
        </w:rPr>
      </w:pPr>
      <w:r w:rsidRPr="000F2520">
        <w:rPr>
          <w:i/>
        </w:rPr>
        <w:t>The checklist can be accessed in Excel</w:t>
      </w:r>
      <w:r w:rsidRPr="000F2520">
        <w:rPr>
          <w:rStyle w:val="FootnoteReference"/>
          <w:i/>
        </w:rPr>
        <w:footnoteReference w:id="8"/>
      </w:r>
      <w:r w:rsidRPr="000F2520">
        <w:rPr>
          <w:i/>
        </w:rPr>
        <w:t xml:space="preserve">: </w:t>
      </w:r>
    </w:p>
    <w:p w14:paraId="67168ACA" w14:textId="6AFC2EFC" w:rsidR="00AD2554" w:rsidRPr="000F2520" w:rsidRDefault="00954592" w:rsidP="00AD2554">
      <w:pPr>
        <w:pStyle w:val="BodyText"/>
        <w:ind w:left="720"/>
        <w:jc w:val="center"/>
        <w:rPr>
          <w:i/>
        </w:rPr>
      </w:pPr>
      <w:r w:rsidRPr="00954592">
        <w:rPr>
          <w:i/>
          <w:noProof/>
          <w:sz w:val="18"/>
          <w:szCs w:val="18"/>
        </w:rPr>
        <w:object w:dxaOrig="1526" w:dyaOrig="979" w14:anchorId="21176F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0pt;height:57pt" o:ole="">
            <v:imagedata r:id="rId45" o:title=""/>
          </v:shape>
          <o:OLEObject Type="Embed" ProgID="Excel.Sheet.12" ShapeID="_x0000_i1025" DrawAspect="Icon" ObjectID="_1735109259" r:id="rId46"/>
        </w:object>
      </w:r>
    </w:p>
    <w:p w14:paraId="66D75F57" w14:textId="77777777" w:rsidR="00AD2554" w:rsidRPr="000F2520" w:rsidRDefault="00AD2554" w:rsidP="00AD2554">
      <w:pPr>
        <w:pStyle w:val="BodyText"/>
        <w:ind w:left="720"/>
        <w:rPr>
          <w:i/>
        </w:rPr>
      </w:pPr>
    </w:p>
    <w:p w14:paraId="6F718563" w14:textId="77777777" w:rsidR="00AD2554" w:rsidRPr="000F2520" w:rsidRDefault="00AD2554" w:rsidP="003D2BA6">
      <w:pPr>
        <w:pStyle w:val="Heading2"/>
      </w:pPr>
      <w:bookmarkStart w:id="79" w:name="_Toc106613907"/>
      <w:r w:rsidRPr="000F2520">
        <w:t>Compliance Checklist: Standalone CQR – Local Data Hosting</w:t>
      </w:r>
      <w:bookmarkEnd w:id="79"/>
      <w:r w:rsidRPr="000F2520">
        <w:t xml:space="preserve"> </w:t>
      </w:r>
    </w:p>
    <w:p w14:paraId="71171FAC" w14:textId="77777777" w:rsidR="00AD2554" w:rsidRPr="000F2520" w:rsidRDefault="00AD2554" w:rsidP="00AD2554">
      <w:pPr>
        <w:pStyle w:val="BodyText"/>
        <w:ind w:left="720"/>
        <w:rPr>
          <w:i/>
        </w:rPr>
      </w:pPr>
      <w:r w:rsidRPr="000F2520">
        <w:rPr>
          <w:i/>
        </w:rPr>
        <w:t>To be completed by CQRs implementing and managing local infrastructure</w:t>
      </w:r>
    </w:p>
    <w:p w14:paraId="1F26FB4E" w14:textId="77777777" w:rsidR="00AD2554" w:rsidRPr="000F2520" w:rsidRDefault="00AD2554" w:rsidP="00AD2554">
      <w:pPr>
        <w:pStyle w:val="BodyText"/>
        <w:ind w:left="720"/>
        <w:rPr>
          <w:i/>
        </w:rPr>
      </w:pPr>
      <w:r w:rsidRPr="000F2520">
        <w:rPr>
          <w:i/>
        </w:rPr>
        <w:t>The checklist can be accessed in Excel</w:t>
      </w:r>
      <w:r w:rsidRPr="000F2520">
        <w:rPr>
          <w:rStyle w:val="FootnoteReference"/>
          <w:i/>
        </w:rPr>
        <w:footnoteReference w:id="9"/>
      </w:r>
      <w:r w:rsidRPr="000F2520">
        <w:rPr>
          <w:i/>
        </w:rPr>
        <w:t>:</w:t>
      </w:r>
    </w:p>
    <w:p w14:paraId="35838F84" w14:textId="77777777" w:rsidR="00AD2554" w:rsidRPr="000F2520" w:rsidRDefault="007946A3" w:rsidP="00AD2554">
      <w:pPr>
        <w:pStyle w:val="BodyText"/>
        <w:ind w:left="720"/>
        <w:jc w:val="center"/>
        <w:rPr>
          <w:i/>
        </w:rPr>
      </w:pPr>
      <w:r w:rsidRPr="00BC6D21">
        <w:rPr>
          <w:i/>
          <w:noProof/>
        </w:rPr>
        <w:object w:dxaOrig="1541" w:dyaOrig="998" w14:anchorId="3AAB63CC">
          <v:shape id="_x0000_i1026" type="#_x0000_t75" alt="" style="width:77.25pt;height:48.75pt;mso-width-percent:0;mso-height-percent:0;mso-width-percent:0;mso-height-percent:0" o:ole="">
            <v:imagedata r:id="rId47" o:title=""/>
          </v:shape>
          <o:OLEObject Type="Embed" ProgID="Excel.Sheet.12" ShapeID="_x0000_i1026" DrawAspect="Icon" ObjectID="_1735109260" r:id="rId48"/>
        </w:object>
      </w:r>
    </w:p>
    <w:p w14:paraId="13258CEE" w14:textId="789EFC19" w:rsidR="00AD2554" w:rsidRPr="000F2520" w:rsidRDefault="00AD2554" w:rsidP="003D2BA6">
      <w:pPr>
        <w:pStyle w:val="Heading2"/>
      </w:pPr>
      <w:bookmarkStart w:id="80" w:name="_Toc106613908"/>
      <w:r w:rsidRPr="000F2520">
        <w:t xml:space="preserve">Compliance Checklist: </w:t>
      </w:r>
      <w:r>
        <w:t>National Infrastructure</w:t>
      </w:r>
      <w:r w:rsidRPr="000F2520">
        <w:t xml:space="preserve"> or External Data Hosting Providers</w:t>
      </w:r>
      <w:bookmarkEnd w:id="80"/>
    </w:p>
    <w:p w14:paraId="229C2F00" w14:textId="063A4106" w:rsidR="00AD2554" w:rsidRPr="000F2520" w:rsidRDefault="00AD2554" w:rsidP="00AD2554">
      <w:pPr>
        <w:pStyle w:val="BodyText"/>
        <w:ind w:left="720"/>
        <w:rPr>
          <w:i/>
        </w:rPr>
      </w:pPr>
      <w:r w:rsidRPr="000F2520">
        <w:rPr>
          <w:i/>
        </w:rPr>
        <w:t>To be completed by data hosting providers prior to hosting CQR infrastructure or applications</w:t>
      </w:r>
    </w:p>
    <w:p w14:paraId="5CC3D0BD" w14:textId="77777777" w:rsidR="00AD2554" w:rsidRPr="000F2520" w:rsidRDefault="00AD2554" w:rsidP="00AD2554">
      <w:pPr>
        <w:pStyle w:val="BodyText"/>
        <w:ind w:left="720"/>
        <w:rPr>
          <w:i/>
        </w:rPr>
      </w:pPr>
      <w:r w:rsidRPr="000F2520">
        <w:rPr>
          <w:i/>
        </w:rPr>
        <w:t>The checklist can be accessed in Excel</w:t>
      </w:r>
      <w:r w:rsidRPr="000F2520">
        <w:rPr>
          <w:rStyle w:val="FootnoteReference"/>
          <w:i/>
        </w:rPr>
        <w:footnoteReference w:id="10"/>
      </w:r>
      <w:r w:rsidRPr="000F2520">
        <w:rPr>
          <w:i/>
        </w:rPr>
        <w:t>:</w:t>
      </w:r>
    </w:p>
    <w:p w14:paraId="5F2BD646" w14:textId="77777777" w:rsidR="00AD2554" w:rsidRPr="000F2520" w:rsidRDefault="007946A3" w:rsidP="00AD2554">
      <w:pPr>
        <w:pStyle w:val="BodyText"/>
        <w:ind w:left="720"/>
        <w:jc w:val="center"/>
        <w:rPr>
          <w:i/>
        </w:rPr>
      </w:pPr>
      <w:r w:rsidRPr="00BC6D21">
        <w:rPr>
          <w:i/>
          <w:noProof/>
        </w:rPr>
        <w:object w:dxaOrig="1541" w:dyaOrig="998" w14:anchorId="503D2D91">
          <v:shape id="_x0000_i1027" type="#_x0000_t75" alt="" style="width:77.25pt;height:48.75pt;mso-width-percent:0;mso-height-percent:0;mso-width-percent:0;mso-height-percent:0" o:ole="">
            <v:imagedata r:id="rId49" o:title=""/>
          </v:shape>
          <o:OLEObject Type="Embed" ProgID="Excel.Sheet.12" ShapeID="_x0000_i1027" DrawAspect="Icon" ObjectID="_1735109261" r:id="rId50"/>
        </w:object>
      </w:r>
    </w:p>
    <w:p w14:paraId="2FC81FAF" w14:textId="77777777" w:rsidR="00AD2554" w:rsidRPr="000F2520" w:rsidRDefault="00AD2554" w:rsidP="00AD2554">
      <w:pPr>
        <w:pStyle w:val="Heading1"/>
        <w:numPr>
          <w:ilvl w:val="0"/>
          <w:numId w:val="21"/>
        </w:numPr>
        <w:tabs>
          <w:tab w:val="clear" w:pos="1276"/>
          <w:tab w:val="num" w:pos="783"/>
        </w:tabs>
        <w:ind w:left="783" w:hanging="360"/>
      </w:pPr>
      <w:bookmarkStart w:id="81" w:name="_Toc103165828"/>
      <w:bookmarkStart w:id="82" w:name="_Ref320004078"/>
      <w:bookmarkStart w:id="83" w:name="_Toc106613909"/>
      <w:bookmarkEnd w:id="81"/>
      <w:r w:rsidRPr="000F2520">
        <w:t>Detailed Guidance on Controls</w:t>
      </w:r>
      <w:bookmarkEnd w:id="82"/>
      <w:bookmarkEnd w:id="83"/>
    </w:p>
    <w:tbl>
      <w:tblPr>
        <w:tblW w:w="8910" w:type="dxa"/>
        <w:tblInd w:w="10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910"/>
      </w:tblGrid>
      <w:tr w:rsidR="00AD2554" w:rsidRPr="000F2520" w14:paraId="2957AFDA" w14:textId="77777777" w:rsidTr="00E9663B">
        <w:tc>
          <w:tcPr>
            <w:tcW w:w="8910" w:type="dxa"/>
            <w:tcBorders>
              <w:top w:val="single" w:sz="4" w:space="0" w:color="auto"/>
              <w:bottom w:val="single" w:sz="4" w:space="0" w:color="auto"/>
            </w:tcBorders>
            <w:shd w:val="clear" w:color="auto" w:fill="F3F3F3"/>
          </w:tcPr>
          <w:p w14:paraId="2B7457C3" w14:textId="77777777" w:rsidR="00AD2554" w:rsidRPr="000F2520" w:rsidRDefault="00AD2554" w:rsidP="00E9663B">
            <w:pPr>
              <w:pStyle w:val="StyleBodyTextHeading1textJustifiedLeft0pt"/>
            </w:pPr>
            <w:r w:rsidRPr="000F2520">
              <w:t xml:space="preserve">Each security control is explained in more detail in this section, categorised by security domains.  The guidance provided is a blend of detail from relevant security guidelines and specific detail to suit CQR environments. The guidance provided borrows heavily from the </w:t>
            </w:r>
            <w:r w:rsidRPr="00A814FF">
              <w:t xml:space="preserve">National eHealth Security and Access Guideline and ISO/IEC 27002 </w:t>
            </w:r>
            <w:r w:rsidRPr="00A814FF">
              <w:rPr>
                <w:rStyle w:val="FootnoteReference"/>
              </w:rPr>
              <w:footnoteReference w:id="11"/>
            </w:r>
            <w:r w:rsidRPr="00A814FF">
              <w:t>.</w:t>
            </w:r>
          </w:p>
        </w:tc>
      </w:tr>
    </w:tbl>
    <w:p w14:paraId="265C9F8F" w14:textId="77777777" w:rsidR="00A720BE" w:rsidRDefault="00A720BE" w:rsidP="00AD2554">
      <w:pPr>
        <w:pStyle w:val="BodyText2"/>
        <w:rPr>
          <w:rFonts w:ascii="Arial" w:hAnsi="Arial" w:cs="Arial"/>
          <w:sz w:val="22"/>
          <w:szCs w:val="22"/>
        </w:rPr>
      </w:pPr>
    </w:p>
    <w:p w14:paraId="24021A22" w14:textId="6E53CD46" w:rsidR="00AD2554" w:rsidRDefault="00AD2554" w:rsidP="00AD2554">
      <w:pPr>
        <w:pStyle w:val="BodyText2"/>
        <w:rPr>
          <w:rFonts w:ascii="Arial" w:hAnsi="Arial" w:cs="Arial"/>
          <w:sz w:val="22"/>
          <w:szCs w:val="22"/>
        </w:rPr>
      </w:pPr>
      <w:r w:rsidRPr="00A720BE">
        <w:rPr>
          <w:rFonts w:ascii="Arial" w:hAnsi="Arial" w:cs="Arial"/>
          <w:sz w:val="22"/>
          <w:szCs w:val="22"/>
        </w:rPr>
        <w:t>The following diagram</w:t>
      </w:r>
      <w:r w:rsidRPr="00A720BE">
        <w:rPr>
          <w:rStyle w:val="FootnoteReference"/>
          <w:rFonts w:ascii="Arial" w:hAnsi="Arial" w:cs="Arial"/>
          <w:sz w:val="22"/>
          <w:szCs w:val="22"/>
        </w:rPr>
        <w:footnoteReference w:id="12"/>
      </w:r>
      <w:r w:rsidRPr="00A720BE">
        <w:rPr>
          <w:rFonts w:ascii="Arial" w:hAnsi="Arial" w:cs="Arial"/>
          <w:sz w:val="22"/>
          <w:szCs w:val="22"/>
        </w:rPr>
        <w:t xml:space="preserve"> represents the domains of information security. </w:t>
      </w:r>
    </w:p>
    <w:p w14:paraId="1FF6FA02" w14:textId="5A9EB5E3" w:rsidR="00A720BE" w:rsidRDefault="00A720BE" w:rsidP="00AD2554">
      <w:pPr>
        <w:pStyle w:val="BodyText2"/>
        <w:rPr>
          <w:rFonts w:ascii="Arial" w:hAnsi="Arial" w:cs="Arial"/>
          <w:sz w:val="22"/>
          <w:szCs w:val="22"/>
        </w:rPr>
      </w:pPr>
    </w:p>
    <w:p w14:paraId="15B4B290" w14:textId="503303C5" w:rsidR="00A720BE" w:rsidRDefault="00A720BE" w:rsidP="00AD2554">
      <w:pPr>
        <w:pStyle w:val="BodyText2"/>
        <w:rPr>
          <w:rFonts w:ascii="Arial" w:hAnsi="Arial" w:cs="Arial"/>
          <w:sz w:val="22"/>
          <w:szCs w:val="22"/>
        </w:rPr>
      </w:pPr>
    </w:p>
    <w:p w14:paraId="50248504" w14:textId="240FCC3D" w:rsidR="00A720BE" w:rsidRDefault="00A720BE" w:rsidP="00AD2554">
      <w:pPr>
        <w:pStyle w:val="BodyText2"/>
        <w:rPr>
          <w:rFonts w:ascii="Arial" w:hAnsi="Arial" w:cs="Arial"/>
          <w:sz w:val="22"/>
          <w:szCs w:val="22"/>
        </w:rPr>
      </w:pPr>
    </w:p>
    <w:p w14:paraId="0D1AF536" w14:textId="5E3DE32B" w:rsidR="00A720BE" w:rsidRDefault="00A720BE" w:rsidP="00AD2554">
      <w:pPr>
        <w:pStyle w:val="BodyText2"/>
        <w:rPr>
          <w:rFonts w:ascii="Arial" w:hAnsi="Arial" w:cs="Arial"/>
          <w:sz w:val="22"/>
          <w:szCs w:val="22"/>
        </w:rPr>
      </w:pPr>
    </w:p>
    <w:p w14:paraId="0740DE90" w14:textId="5EA6EA0A" w:rsidR="00A720BE" w:rsidRDefault="00A720BE" w:rsidP="00AD2554">
      <w:pPr>
        <w:pStyle w:val="BodyText2"/>
        <w:rPr>
          <w:rFonts w:ascii="Arial" w:hAnsi="Arial" w:cs="Arial"/>
          <w:sz w:val="22"/>
          <w:szCs w:val="22"/>
        </w:rPr>
      </w:pPr>
    </w:p>
    <w:p w14:paraId="446D7685" w14:textId="3668B3F1" w:rsidR="00A720BE" w:rsidRDefault="00A720BE" w:rsidP="00AD2554">
      <w:pPr>
        <w:pStyle w:val="BodyText2"/>
        <w:rPr>
          <w:rFonts w:ascii="Arial" w:hAnsi="Arial" w:cs="Arial"/>
          <w:sz w:val="22"/>
          <w:szCs w:val="22"/>
        </w:rPr>
      </w:pPr>
    </w:p>
    <w:p w14:paraId="69CC0668" w14:textId="531EA629" w:rsidR="00A720BE" w:rsidRDefault="00A720BE" w:rsidP="00AD2554">
      <w:pPr>
        <w:pStyle w:val="BodyText2"/>
        <w:rPr>
          <w:rFonts w:ascii="Arial" w:hAnsi="Arial" w:cs="Arial"/>
          <w:sz w:val="22"/>
          <w:szCs w:val="22"/>
        </w:rPr>
      </w:pPr>
    </w:p>
    <w:p w14:paraId="59D95FB0" w14:textId="0338D941" w:rsidR="00A720BE" w:rsidRDefault="00A720BE" w:rsidP="00AD2554">
      <w:pPr>
        <w:pStyle w:val="BodyText2"/>
        <w:rPr>
          <w:rFonts w:ascii="Arial" w:hAnsi="Arial" w:cs="Arial"/>
          <w:sz w:val="22"/>
          <w:szCs w:val="22"/>
        </w:rPr>
      </w:pPr>
    </w:p>
    <w:p w14:paraId="36F33ED2" w14:textId="2CBDDE93" w:rsidR="00A720BE" w:rsidRDefault="00A720BE" w:rsidP="00AD2554">
      <w:pPr>
        <w:pStyle w:val="BodyText2"/>
        <w:rPr>
          <w:rFonts w:ascii="Arial" w:hAnsi="Arial" w:cs="Arial"/>
          <w:sz w:val="22"/>
          <w:szCs w:val="22"/>
        </w:rPr>
      </w:pPr>
    </w:p>
    <w:p w14:paraId="0B10878B" w14:textId="142CA6AE" w:rsidR="00A720BE" w:rsidRDefault="00A720BE" w:rsidP="00AD2554">
      <w:pPr>
        <w:pStyle w:val="BodyText2"/>
        <w:rPr>
          <w:rFonts w:ascii="Arial" w:hAnsi="Arial" w:cs="Arial"/>
          <w:sz w:val="22"/>
          <w:szCs w:val="22"/>
        </w:rPr>
      </w:pPr>
    </w:p>
    <w:p w14:paraId="10032A1F" w14:textId="6473909F" w:rsidR="00A720BE" w:rsidRDefault="00A720BE" w:rsidP="00AD2554">
      <w:pPr>
        <w:pStyle w:val="BodyText2"/>
        <w:rPr>
          <w:rFonts w:ascii="Arial" w:hAnsi="Arial" w:cs="Arial"/>
          <w:sz w:val="22"/>
          <w:szCs w:val="22"/>
        </w:rPr>
      </w:pPr>
    </w:p>
    <w:p w14:paraId="408007CB" w14:textId="0AB7BD08" w:rsidR="00A720BE" w:rsidRDefault="00A720BE" w:rsidP="00AD2554">
      <w:pPr>
        <w:pStyle w:val="BodyText2"/>
        <w:rPr>
          <w:rFonts w:ascii="Arial" w:hAnsi="Arial" w:cs="Arial"/>
          <w:sz w:val="22"/>
          <w:szCs w:val="22"/>
        </w:rPr>
      </w:pPr>
    </w:p>
    <w:p w14:paraId="45DB9DEB" w14:textId="15461B30" w:rsidR="00A720BE" w:rsidRDefault="00A720BE" w:rsidP="00AD2554">
      <w:pPr>
        <w:pStyle w:val="BodyText2"/>
        <w:rPr>
          <w:rFonts w:ascii="Arial" w:hAnsi="Arial" w:cs="Arial"/>
          <w:sz w:val="22"/>
          <w:szCs w:val="22"/>
        </w:rPr>
      </w:pPr>
    </w:p>
    <w:p w14:paraId="3D8DB99C" w14:textId="01165FDB" w:rsidR="00A720BE" w:rsidRDefault="00A720BE" w:rsidP="00AD2554">
      <w:pPr>
        <w:pStyle w:val="BodyText2"/>
        <w:rPr>
          <w:rFonts w:ascii="Arial" w:hAnsi="Arial" w:cs="Arial"/>
          <w:sz w:val="22"/>
          <w:szCs w:val="22"/>
        </w:rPr>
      </w:pPr>
    </w:p>
    <w:p w14:paraId="5268014A" w14:textId="7B065E94" w:rsidR="00A720BE" w:rsidRDefault="00A720BE" w:rsidP="00AD2554">
      <w:pPr>
        <w:pStyle w:val="BodyText2"/>
        <w:rPr>
          <w:rFonts w:ascii="Arial" w:hAnsi="Arial" w:cs="Arial"/>
          <w:sz w:val="22"/>
          <w:szCs w:val="22"/>
        </w:rPr>
      </w:pPr>
    </w:p>
    <w:p w14:paraId="3E67523F" w14:textId="1CCB05BE" w:rsidR="00A720BE" w:rsidRDefault="00A720BE" w:rsidP="00AD2554">
      <w:pPr>
        <w:pStyle w:val="BodyText2"/>
        <w:rPr>
          <w:rFonts w:ascii="Arial" w:hAnsi="Arial" w:cs="Arial"/>
          <w:sz w:val="22"/>
          <w:szCs w:val="22"/>
        </w:rPr>
      </w:pPr>
    </w:p>
    <w:p w14:paraId="33A80F1C" w14:textId="51586AC8" w:rsidR="00A720BE" w:rsidRDefault="00A720BE" w:rsidP="00AD2554">
      <w:pPr>
        <w:pStyle w:val="BodyText2"/>
        <w:rPr>
          <w:rFonts w:ascii="Arial" w:hAnsi="Arial" w:cs="Arial"/>
          <w:sz w:val="22"/>
          <w:szCs w:val="22"/>
        </w:rPr>
      </w:pPr>
    </w:p>
    <w:p w14:paraId="48054AAE" w14:textId="0E0ECEC1" w:rsidR="00A720BE" w:rsidRDefault="00A720BE" w:rsidP="00AD2554">
      <w:pPr>
        <w:pStyle w:val="BodyText2"/>
        <w:rPr>
          <w:rFonts w:ascii="Arial" w:hAnsi="Arial" w:cs="Arial"/>
          <w:sz w:val="22"/>
          <w:szCs w:val="22"/>
        </w:rPr>
      </w:pPr>
    </w:p>
    <w:p w14:paraId="691E77E9" w14:textId="50EB0F84" w:rsidR="00A720BE" w:rsidRDefault="00A720BE" w:rsidP="00AD2554">
      <w:pPr>
        <w:pStyle w:val="BodyText2"/>
        <w:rPr>
          <w:rFonts w:ascii="Arial" w:hAnsi="Arial" w:cs="Arial"/>
          <w:sz w:val="22"/>
          <w:szCs w:val="22"/>
        </w:rPr>
      </w:pPr>
    </w:p>
    <w:p w14:paraId="64BF2E0B" w14:textId="155635D7" w:rsidR="00A720BE" w:rsidRDefault="00A720BE" w:rsidP="00AD2554">
      <w:pPr>
        <w:pStyle w:val="BodyText2"/>
        <w:rPr>
          <w:rFonts w:ascii="Arial" w:hAnsi="Arial" w:cs="Arial"/>
          <w:sz w:val="22"/>
          <w:szCs w:val="22"/>
        </w:rPr>
      </w:pPr>
    </w:p>
    <w:p w14:paraId="275C246A" w14:textId="14EDCFE6" w:rsidR="00A720BE" w:rsidRDefault="00A720BE" w:rsidP="00AD2554">
      <w:pPr>
        <w:pStyle w:val="BodyText2"/>
        <w:rPr>
          <w:rFonts w:ascii="Arial" w:hAnsi="Arial" w:cs="Arial"/>
          <w:sz w:val="22"/>
          <w:szCs w:val="22"/>
        </w:rPr>
      </w:pPr>
    </w:p>
    <w:p w14:paraId="024D78C9" w14:textId="711F5C68" w:rsidR="00A720BE" w:rsidRDefault="00A720BE" w:rsidP="00AD2554">
      <w:pPr>
        <w:pStyle w:val="BodyText2"/>
        <w:rPr>
          <w:rFonts w:ascii="Arial" w:hAnsi="Arial" w:cs="Arial"/>
          <w:sz w:val="22"/>
          <w:szCs w:val="22"/>
        </w:rPr>
      </w:pPr>
    </w:p>
    <w:p w14:paraId="5B28F41F" w14:textId="4D2A4139" w:rsidR="00A720BE" w:rsidRDefault="00A720BE" w:rsidP="00AD2554">
      <w:pPr>
        <w:pStyle w:val="BodyText2"/>
        <w:rPr>
          <w:rFonts w:ascii="Arial" w:hAnsi="Arial" w:cs="Arial"/>
          <w:sz w:val="22"/>
          <w:szCs w:val="22"/>
        </w:rPr>
      </w:pPr>
    </w:p>
    <w:p w14:paraId="6914FA20" w14:textId="64CC9655" w:rsidR="00A720BE" w:rsidRDefault="00A720BE" w:rsidP="00AD2554">
      <w:pPr>
        <w:pStyle w:val="BodyText2"/>
        <w:rPr>
          <w:rFonts w:ascii="Arial" w:hAnsi="Arial" w:cs="Arial"/>
          <w:sz w:val="22"/>
          <w:szCs w:val="22"/>
        </w:rPr>
      </w:pPr>
    </w:p>
    <w:p w14:paraId="17B02C9F" w14:textId="5CAC9F42" w:rsidR="00A720BE" w:rsidRDefault="00A720BE" w:rsidP="00AD2554">
      <w:pPr>
        <w:pStyle w:val="BodyText2"/>
        <w:rPr>
          <w:rFonts w:ascii="Arial" w:hAnsi="Arial" w:cs="Arial"/>
          <w:sz w:val="22"/>
          <w:szCs w:val="22"/>
        </w:rPr>
      </w:pPr>
    </w:p>
    <w:p w14:paraId="65669C76" w14:textId="2C8D53E1" w:rsidR="00A720BE" w:rsidRDefault="00A720BE" w:rsidP="00AD2554">
      <w:pPr>
        <w:pStyle w:val="BodyText2"/>
        <w:rPr>
          <w:rFonts w:ascii="Arial" w:hAnsi="Arial" w:cs="Arial"/>
          <w:sz w:val="22"/>
          <w:szCs w:val="22"/>
        </w:rPr>
      </w:pPr>
    </w:p>
    <w:p w14:paraId="44D79FA0" w14:textId="162C0FEC" w:rsidR="00A720BE" w:rsidRPr="00A720BE" w:rsidRDefault="00A720BE" w:rsidP="00AD2554">
      <w:pPr>
        <w:pStyle w:val="BodyText2"/>
        <w:rPr>
          <w:rFonts w:ascii="Arial" w:hAnsi="Arial" w:cs="Arial"/>
          <w:i/>
          <w:iCs/>
          <w:color w:val="1F3864" w:themeColor="accent1" w:themeShade="80"/>
          <w:sz w:val="22"/>
          <w:szCs w:val="22"/>
        </w:rPr>
      </w:pPr>
      <w:r w:rsidRPr="00A720BE">
        <w:rPr>
          <w:rFonts w:ascii="Arial" w:hAnsi="Arial" w:cs="Arial"/>
          <w:i/>
          <w:iCs/>
          <w:color w:val="1F3864" w:themeColor="accent1" w:themeShade="80"/>
          <w:sz w:val="22"/>
          <w:szCs w:val="22"/>
        </w:rPr>
        <w:t>Figure 7: Domains of information security</w:t>
      </w:r>
    </w:p>
    <w:p w14:paraId="7FB15F51" w14:textId="77777777" w:rsidR="00AD2554" w:rsidRPr="000F2520" w:rsidRDefault="00AD2554" w:rsidP="00AD2554">
      <w:pPr>
        <w:pStyle w:val="BodyText2"/>
        <w:jc w:val="center"/>
      </w:pPr>
      <w:r w:rsidRPr="001A461D">
        <w:rPr>
          <w:noProof/>
        </w:rPr>
        <w:drawing>
          <wp:inline distT="0" distB="0" distL="0" distR="0" wp14:anchorId="5F12C127" wp14:editId="0035FFAC">
            <wp:extent cx="4831080" cy="6172200"/>
            <wp:effectExtent l="0" t="0" r="7620" b="0"/>
            <wp:docPr id="50" name="Picture 2" descr="Implementer Blueprint framework - rev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plementer Blueprint framework - rev 0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31080" cy="6172200"/>
                    </a:xfrm>
                    <a:prstGeom prst="rect">
                      <a:avLst/>
                    </a:prstGeom>
                    <a:noFill/>
                    <a:ln>
                      <a:noFill/>
                    </a:ln>
                  </pic:spPr>
                </pic:pic>
              </a:graphicData>
            </a:graphic>
          </wp:inline>
        </w:drawing>
      </w:r>
    </w:p>
    <w:p w14:paraId="52A2A5E1" w14:textId="77777777" w:rsidR="00AD2554" w:rsidRPr="000F2520" w:rsidRDefault="00AD2554" w:rsidP="003D2BA6">
      <w:pPr>
        <w:pStyle w:val="Heading2"/>
      </w:pPr>
      <w:bookmarkStart w:id="84" w:name="_Toc106613910"/>
      <w:r w:rsidRPr="000F2520">
        <w:t>Information Security Policy</w:t>
      </w:r>
      <w:bookmarkEnd w:id="84"/>
    </w:p>
    <w:p w14:paraId="44C28187" w14:textId="77777777" w:rsidR="00AD2554" w:rsidRPr="000F2520" w:rsidRDefault="00AD2554" w:rsidP="00AD2554">
      <w:pPr>
        <w:pStyle w:val="Heading3"/>
        <w:numPr>
          <w:ilvl w:val="2"/>
          <w:numId w:val="21"/>
        </w:numPr>
        <w:tabs>
          <w:tab w:val="clear" w:pos="1276"/>
          <w:tab w:val="num" w:pos="2223"/>
        </w:tabs>
        <w:ind w:left="2223" w:hanging="180"/>
      </w:pPr>
      <w:bookmarkStart w:id="85" w:name="_Ref318358446"/>
      <w:bookmarkStart w:id="86" w:name="_Toc106613911"/>
      <w:r w:rsidRPr="000F2520">
        <w:t>Information Security Policy</w:t>
      </w:r>
      <w:bookmarkEnd w:id="85"/>
      <w:bookmarkEnd w:id="86"/>
    </w:p>
    <w:p w14:paraId="74EFFB3F" w14:textId="77777777" w:rsidR="00AD2554" w:rsidRPr="000F2520" w:rsidRDefault="00AD2554" w:rsidP="00AD2554">
      <w:pPr>
        <w:pStyle w:val="BodyText"/>
      </w:pPr>
      <w:r w:rsidRPr="000F2520">
        <w:rPr>
          <w:b/>
        </w:rPr>
        <w:t>Objective:</w:t>
      </w:r>
      <w:r w:rsidRPr="000F2520">
        <w:t xml:space="preserve"> To provide management direction and support for information security in accordance with CQR business requirements and relevant laws and regulations.</w:t>
      </w:r>
    </w:p>
    <w:p w14:paraId="35868C9C" w14:textId="77777777" w:rsidR="00AD2554" w:rsidRPr="000F2520" w:rsidRDefault="00AD2554" w:rsidP="00AD2554">
      <w:pPr>
        <w:pStyle w:val="BodyText"/>
      </w:pPr>
      <w:r w:rsidRPr="000F2520">
        <w:rPr>
          <w:b/>
        </w:rPr>
        <w:t xml:space="preserve">Guidance: </w:t>
      </w:r>
      <w:r w:rsidRPr="000F2520">
        <w:t>Security policies are the foundation of a CQR’s security infrastructure. They provide direction and support for CQR information security; identify the security and access controls that will be implemented within the CQR at a high level and serve as a point of reference for all CQR staff, staff in participating institutions and external service providers in relation to their information security responsibilities.</w:t>
      </w:r>
    </w:p>
    <w:p w14:paraId="05CD05BB" w14:textId="77777777" w:rsidR="00AD2554" w:rsidRPr="000F2520" w:rsidRDefault="00AD2554" w:rsidP="00AD2554">
      <w:pPr>
        <w:pStyle w:val="BodyText"/>
      </w:pPr>
      <w:r w:rsidRPr="000F2520">
        <w:lastRenderedPageBreak/>
        <w:t>Changes made to the CQR, ICT systems or other internal or external factors that may affect the CQR’s risk profile may need to be reflected in the policy.</w:t>
      </w:r>
    </w:p>
    <w:p w14:paraId="25618E3C" w14:textId="77777777" w:rsidR="00AD2554" w:rsidRPr="000F2520" w:rsidRDefault="00AD2554" w:rsidP="00AD2554">
      <w:pPr>
        <w:pStyle w:val="BodyText"/>
      </w:pPr>
      <w:r w:rsidRPr="000F2520">
        <w:t xml:space="preserve">Reviews of the usefulness of the policy (through reviews or regular feedback) should be undertaken and changes made where required. </w:t>
      </w:r>
    </w:p>
    <w:p w14:paraId="2A9A4939" w14:textId="77777777" w:rsidR="00AD2554" w:rsidRPr="000F2520" w:rsidRDefault="00AD2554" w:rsidP="00AD2554">
      <w:pPr>
        <w:pStyle w:val="BodyText"/>
      </w:pPr>
      <w:r w:rsidRPr="000F2520">
        <w:t>Useful references for obtaining guidance for developing an Information Security and Access policy is included in Appendix A of the NESAF Business Blueprint</w:t>
      </w:r>
      <w:r w:rsidRPr="000F2520">
        <w:rPr>
          <w:rStyle w:val="FootnoteReference"/>
        </w:rPr>
        <w:footnoteReference w:id="13"/>
      </w:r>
      <w:r w:rsidRPr="000F2520">
        <w:t xml:space="preserve">, and the RACGP Computer Security Standards. </w:t>
      </w:r>
    </w:p>
    <w:p w14:paraId="7BF7D6BC" w14:textId="77777777" w:rsidR="00AD2554" w:rsidRPr="000F2520" w:rsidRDefault="00AD2554" w:rsidP="00AD2554">
      <w:pPr>
        <w:pStyle w:val="BodyText"/>
        <w:rPr>
          <w:sz w:val="16"/>
        </w:rPr>
      </w:pPr>
      <w:r w:rsidRPr="000F2520">
        <w:rPr>
          <w:b/>
        </w:rPr>
        <w:t>Architectural Impact:</w:t>
      </w:r>
      <w:r w:rsidRPr="000F2520">
        <w:t xml:space="preserve"> All aspects of a CQR’s architecture.</w:t>
      </w:r>
    </w:p>
    <w:p w14:paraId="6DF5F1FD" w14:textId="77777777" w:rsidR="00AD2554" w:rsidRPr="000F2520" w:rsidRDefault="00AD2554" w:rsidP="00AD2554">
      <w:pPr>
        <w:pStyle w:val="BodyText"/>
        <w:rPr>
          <w:b/>
        </w:rPr>
      </w:pPr>
    </w:p>
    <w:p w14:paraId="0F517551" w14:textId="77777777" w:rsidR="00AD2554" w:rsidRPr="000F2520" w:rsidRDefault="00AD2554" w:rsidP="003D2BA6">
      <w:pPr>
        <w:pStyle w:val="Heading2"/>
      </w:pPr>
      <w:bookmarkStart w:id="87" w:name="_Toc106613912"/>
      <w:r w:rsidRPr="000F2520">
        <w:t>Organising information security</w:t>
      </w:r>
      <w:bookmarkEnd w:id="87"/>
    </w:p>
    <w:p w14:paraId="430E6863" w14:textId="25EDB9FD" w:rsidR="00AD2554" w:rsidRPr="000F2520" w:rsidRDefault="00AD2554" w:rsidP="00AD2554">
      <w:pPr>
        <w:pStyle w:val="Heading3"/>
        <w:numPr>
          <w:ilvl w:val="2"/>
          <w:numId w:val="21"/>
        </w:numPr>
        <w:tabs>
          <w:tab w:val="clear" w:pos="1276"/>
          <w:tab w:val="num" w:pos="2223"/>
        </w:tabs>
        <w:ind w:left="2223" w:hanging="180"/>
      </w:pPr>
      <w:bookmarkStart w:id="88" w:name="_Toc106613913"/>
      <w:r w:rsidRPr="000F2520">
        <w:t>Internal</w:t>
      </w:r>
      <w:r w:rsidR="006B0A92">
        <w:t xml:space="preserve"> and/or external</w:t>
      </w:r>
      <w:r w:rsidRPr="000F2520">
        <w:t xml:space="preserve"> </w:t>
      </w:r>
      <w:r w:rsidR="006B0A92">
        <w:t>o</w:t>
      </w:r>
      <w:r w:rsidRPr="000F2520">
        <w:t>rganisation</w:t>
      </w:r>
      <w:bookmarkEnd w:id="88"/>
    </w:p>
    <w:p w14:paraId="1AC76E24" w14:textId="724C94F2" w:rsidR="00AD2554" w:rsidRPr="000F2520" w:rsidRDefault="00AD2554" w:rsidP="00AD2554">
      <w:pPr>
        <w:pStyle w:val="BodyText"/>
      </w:pPr>
      <w:r w:rsidRPr="000F2520">
        <w:rPr>
          <w:b/>
        </w:rPr>
        <w:t>Objective:</w:t>
      </w:r>
      <w:r w:rsidRPr="000F2520">
        <w:t xml:space="preserve"> To manage information security within the CQR and its </w:t>
      </w:r>
      <w:r w:rsidR="006B0A92">
        <w:t xml:space="preserve">internal and/or </w:t>
      </w:r>
      <w:r w:rsidRPr="000F2520">
        <w:t>external data hosting infrastructure providers.</w:t>
      </w:r>
    </w:p>
    <w:p w14:paraId="6FD91C30" w14:textId="45A80F1A" w:rsidR="00AD2554" w:rsidRPr="000F2520" w:rsidRDefault="00AD2554" w:rsidP="00AD2554">
      <w:pPr>
        <w:pStyle w:val="BodyText"/>
      </w:pPr>
      <w:r w:rsidRPr="000F2520">
        <w:rPr>
          <w:b/>
        </w:rPr>
        <w:t xml:space="preserve">Guidance: </w:t>
      </w:r>
      <w:r w:rsidRPr="000F2520">
        <w:t xml:space="preserve">Responsibilities for information security governance and operations should be clearly documented within the information security policy (refer to Section </w:t>
      </w:r>
      <w:r w:rsidRPr="00BC6D21">
        <w:fldChar w:fldCharType="begin"/>
      </w:r>
      <w:r w:rsidRPr="000F2520">
        <w:instrText xml:space="preserve"> REF _Ref318358446 \r \h </w:instrText>
      </w:r>
      <w:r w:rsidRPr="00BC6D21">
        <w:fldChar w:fldCharType="separate"/>
      </w:r>
      <w:r>
        <w:t>6.1.1</w:t>
      </w:r>
      <w:r w:rsidRPr="00BC6D21">
        <w:fldChar w:fldCharType="end"/>
      </w:r>
      <w:r w:rsidRPr="000F2520">
        <w:t xml:space="preserve">). CQRs and </w:t>
      </w:r>
      <w:r w:rsidR="006B0A92">
        <w:t xml:space="preserve">internal and/or </w:t>
      </w:r>
      <w:r w:rsidRPr="000F2520">
        <w:t>external data hosting infrastructure providers may assign a role for managing information security to one of the positions within their organisation.</w:t>
      </w:r>
      <w:r w:rsidR="006B0A92">
        <w:t xml:space="preserve"> Internal and/or </w:t>
      </w:r>
      <w:r w:rsidRPr="000F2520">
        <w:t xml:space="preserve">external data hosting infrastructure providers should seek guidance and support from qualified external information security experts as required. </w:t>
      </w:r>
    </w:p>
    <w:p w14:paraId="771B57B8" w14:textId="77777777" w:rsidR="00AD2554" w:rsidRPr="000F2520" w:rsidRDefault="00AD2554" w:rsidP="00AD2554">
      <w:pPr>
        <w:pStyle w:val="BodyText"/>
      </w:pPr>
      <w:r w:rsidRPr="000F2520">
        <w:t>A sample of Role Descriptions within a health organisation is contained in</w:t>
      </w:r>
      <w:r w:rsidRPr="000F2520">
        <w:rPr>
          <w:b/>
        </w:rPr>
        <w:t xml:space="preserve"> </w:t>
      </w:r>
      <w:r w:rsidRPr="000F2520">
        <w:t>the NESAF Business Blueprint</w:t>
      </w:r>
      <w:r w:rsidRPr="000F2520">
        <w:rPr>
          <w:rStyle w:val="FootnoteReference"/>
        </w:rPr>
        <w:footnoteReference w:id="14"/>
      </w:r>
      <w:r w:rsidRPr="000F2520">
        <w:t xml:space="preserve">. </w:t>
      </w:r>
    </w:p>
    <w:p w14:paraId="6F011877" w14:textId="77777777" w:rsidR="00AD2554" w:rsidRPr="000F2520" w:rsidRDefault="00AD2554" w:rsidP="00AD2554">
      <w:pPr>
        <w:pStyle w:val="BodyText"/>
      </w:pPr>
      <w:r w:rsidRPr="000F2520">
        <w:t>All new software, applications and hardware should be authorised by an approved management representative prior to connection of any new system to existing ICT systems or networks.</w:t>
      </w:r>
    </w:p>
    <w:p w14:paraId="1814795B" w14:textId="77777777" w:rsidR="00AD2554" w:rsidRPr="000F2520" w:rsidRDefault="00AD2554" w:rsidP="00AD2554">
      <w:pPr>
        <w:pStyle w:val="BodyText"/>
      </w:pPr>
      <w:r w:rsidRPr="000F2520">
        <w:t xml:space="preserve">Managers should ensure that all employees and third parties, that may access health or personal information as part of their job, sign confidentiality agreements and are aware of the penalties that are possible for a breach of the agreement or the information security policy. </w:t>
      </w:r>
    </w:p>
    <w:p w14:paraId="64804FBA" w14:textId="77777777" w:rsidR="00AD2554" w:rsidRPr="000F2520" w:rsidRDefault="00AD2554" w:rsidP="00AD2554">
      <w:pPr>
        <w:pStyle w:val="BodyText"/>
      </w:pPr>
      <w:r w:rsidRPr="000F2520">
        <w:t>Agreements should include, but not be limited to:</w:t>
      </w:r>
    </w:p>
    <w:p w14:paraId="297F9133" w14:textId="77777777" w:rsidR="00AD2554" w:rsidRPr="000F2520" w:rsidRDefault="00AD2554" w:rsidP="00AD2554">
      <w:pPr>
        <w:pStyle w:val="BodyText"/>
        <w:numPr>
          <w:ilvl w:val="0"/>
          <w:numId w:val="50"/>
        </w:numPr>
      </w:pPr>
      <w:r w:rsidRPr="000F2520">
        <w:t>definition of the information is to be protected (e.g., all patient information).</w:t>
      </w:r>
    </w:p>
    <w:p w14:paraId="1DF22A52" w14:textId="77777777" w:rsidR="00AD2554" w:rsidRPr="000F2520" w:rsidRDefault="00AD2554" w:rsidP="00AD2554">
      <w:pPr>
        <w:pStyle w:val="BodyText"/>
        <w:numPr>
          <w:ilvl w:val="0"/>
          <w:numId w:val="50"/>
        </w:numPr>
      </w:pPr>
      <w:r w:rsidRPr="000F2520">
        <w:t>duration and termination of agreement.</w:t>
      </w:r>
    </w:p>
    <w:p w14:paraId="6E4E48A1" w14:textId="77777777" w:rsidR="00AD2554" w:rsidRPr="000F2520" w:rsidRDefault="00AD2554" w:rsidP="00AD2554">
      <w:pPr>
        <w:pStyle w:val="BodyText"/>
        <w:numPr>
          <w:ilvl w:val="0"/>
          <w:numId w:val="50"/>
        </w:numPr>
      </w:pPr>
      <w:r w:rsidRPr="000F2520">
        <w:t>responsibilities of the signatories to the agreement.</w:t>
      </w:r>
    </w:p>
    <w:p w14:paraId="4C453535" w14:textId="77777777" w:rsidR="00AD2554" w:rsidRPr="000F2520" w:rsidRDefault="00AD2554" w:rsidP="00AD2554">
      <w:pPr>
        <w:pStyle w:val="BodyText"/>
        <w:numPr>
          <w:ilvl w:val="0"/>
          <w:numId w:val="50"/>
        </w:numPr>
      </w:pPr>
      <w:r w:rsidRPr="000F2520">
        <w:t>permitted use of information protected under the agreement.</w:t>
      </w:r>
    </w:p>
    <w:p w14:paraId="161721AD" w14:textId="77777777" w:rsidR="00AD2554" w:rsidRPr="000F2520" w:rsidRDefault="00AD2554" w:rsidP="00AD2554">
      <w:pPr>
        <w:pStyle w:val="BodyText"/>
        <w:numPr>
          <w:ilvl w:val="0"/>
          <w:numId w:val="50"/>
        </w:numPr>
        <w:rPr>
          <w:sz w:val="16"/>
        </w:rPr>
      </w:pPr>
      <w:r w:rsidRPr="000F2520">
        <w:t>the right to audit and monitor the signatory's access to the protected information.</w:t>
      </w:r>
    </w:p>
    <w:p w14:paraId="1073A126" w14:textId="02774625" w:rsidR="00AD2554" w:rsidRPr="000F2520" w:rsidRDefault="00AD2554" w:rsidP="00AD2554">
      <w:pPr>
        <w:pStyle w:val="BodyText"/>
      </w:pPr>
      <w:r w:rsidRPr="000F2520">
        <w:t>The R</w:t>
      </w:r>
      <w:r>
        <w:t xml:space="preserve">oyal </w:t>
      </w:r>
      <w:r w:rsidRPr="000F2520">
        <w:t>A</w:t>
      </w:r>
      <w:r>
        <w:t xml:space="preserve">ustralian College </w:t>
      </w:r>
      <w:r w:rsidRPr="000F2520">
        <w:t>G</w:t>
      </w:r>
      <w:r>
        <w:t xml:space="preserve">eneral </w:t>
      </w:r>
      <w:r w:rsidRPr="000F2520">
        <w:t>P</w:t>
      </w:r>
      <w:r>
        <w:t xml:space="preserve">ractitioners </w:t>
      </w:r>
      <w:r w:rsidRPr="000F2520">
        <w:t>Computer and Information Security Standards</w:t>
      </w:r>
      <w:r w:rsidR="00B72A2C">
        <w:rPr>
          <w:rStyle w:val="FootnoteReference"/>
        </w:rPr>
        <w:footnoteReference w:id="15"/>
      </w:r>
      <w:r w:rsidRPr="000F2520">
        <w:t xml:space="preserve"> contain a sample Confidentiality Agreement.  </w:t>
      </w:r>
    </w:p>
    <w:p w14:paraId="3EF9E43B" w14:textId="77777777" w:rsidR="00AD2554" w:rsidRPr="000F2520" w:rsidRDefault="00AD2554" w:rsidP="00AD2554">
      <w:pPr>
        <w:pStyle w:val="BodyText"/>
      </w:pPr>
      <w:r w:rsidRPr="000F2520">
        <w:t xml:space="preserve">Organisations should have procedures in place that specify when and by whom authorities (e.g., law enforcement, Privacy or Health Services Commissioners) should be contacted, and how </w:t>
      </w:r>
      <w:r w:rsidRPr="000F2520">
        <w:lastRenderedPageBreak/>
        <w:t xml:space="preserve">information security incidents should be reported in a timely manner if it is suspected that laws may have been broken. </w:t>
      </w:r>
    </w:p>
    <w:p w14:paraId="13B57278" w14:textId="77777777" w:rsidR="00AD2554" w:rsidRPr="000F2520" w:rsidRDefault="00AD2554" w:rsidP="00AD2554">
      <w:pPr>
        <w:pStyle w:val="BodyText"/>
      </w:pPr>
      <w:r w:rsidRPr="000F2520">
        <w:t xml:space="preserve">Channels with external, reputable user groups (for example, the Australian Information Security Association) should be established by the person responsible for information security within an organisation </w:t>
      </w:r>
      <w:proofErr w:type="gramStart"/>
      <w:r w:rsidRPr="000F2520">
        <w:t>so as to</w:t>
      </w:r>
      <w:proofErr w:type="gramEnd"/>
      <w:r w:rsidRPr="000F2520">
        <w:t xml:space="preserve"> stay up to date with relevant information security practices. </w:t>
      </w:r>
    </w:p>
    <w:p w14:paraId="32F52090" w14:textId="77777777" w:rsidR="00AD2554" w:rsidRPr="000F2520" w:rsidRDefault="00AD2554" w:rsidP="00AD2554">
      <w:pPr>
        <w:pStyle w:val="BodyText"/>
      </w:pPr>
      <w:r w:rsidRPr="000F2520">
        <w:t xml:space="preserve">External, reputable information security sources should be used for information on current vulnerabilities and patches (for example, vendors or </w:t>
      </w:r>
      <w:proofErr w:type="spellStart"/>
      <w:r w:rsidRPr="000F2520">
        <w:t>AusCERT</w:t>
      </w:r>
      <w:proofErr w:type="spellEnd"/>
      <w:r w:rsidRPr="000F2520">
        <w:t>).</w:t>
      </w:r>
    </w:p>
    <w:p w14:paraId="00EF0C48" w14:textId="77777777" w:rsidR="00AD2554" w:rsidRPr="000F2520" w:rsidRDefault="00AD2554" w:rsidP="00AD2554">
      <w:pPr>
        <w:pStyle w:val="BodyText"/>
      </w:pPr>
      <w:r w:rsidRPr="000F2520">
        <w:t xml:space="preserve">Periodic independent reviews of the CQR and external data hosting infrastructure providers’ approach to managing information security should be conducted. The review may be by an external information security assessor, the organisation's internal audit function or other party not directly involved with the information security function. </w:t>
      </w:r>
    </w:p>
    <w:p w14:paraId="6DB6E312" w14:textId="77777777" w:rsidR="00AD2554" w:rsidRPr="000F2520" w:rsidRDefault="00AD2554" w:rsidP="00AD2554">
      <w:pPr>
        <w:pStyle w:val="BodyText"/>
      </w:pPr>
      <w:r w:rsidRPr="000F2520">
        <w:t xml:space="preserve">The review should be </w:t>
      </w:r>
      <w:proofErr w:type="gramStart"/>
      <w:r w:rsidRPr="000F2520">
        <w:t>documented</w:t>
      </w:r>
      <w:proofErr w:type="gramEnd"/>
      <w:r w:rsidRPr="000F2520">
        <w:t xml:space="preserve"> and a report provided to the person responsible for the organisation's information security with recommendations on any improvements that need to be made. </w:t>
      </w:r>
    </w:p>
    <w:p w14:paraId="1C321D3B" w14:textId="77777777" w:rsidR="00AD2554" w:rsidRPr="000F2520" w:rsidRDefault="00AD2554" w:rsidP="00AD2554">
      <w:pPr>
        <w:pStyle w:val="BodyText"/>
        <w:rPr>
          <w:sz w:val="16"/>
        </w:rPr>
      </w:pPr>
      <w:r w:rsidRPr="000F2520">
        <w:rPr>
          <w:b/>
        </w:rPr>
        <w:t>Architectural Impact:</w:t>
      </w:r>
      <w:r w:rsidRPr="000F2520">
        <w:t xml:space="preserve"> All aspects of a CQR’s architecture.</w:t>
      </w:r>
    </w:p>
    <w:p w14:paraId="499830D5" w14:textId="77777777" w:rsidR="00AD2554" w:rsidRPr="000F2520" w:rsidRDefault="00AD2554" w:rsidP="00AD2554">
      <w:pPr>
        <w:pStyle w:val="Heading3"/>
        <w:numPr>
          <w:ilvl w:val="2"/>
          <w:numId w:val="21"/>
        </w:numPr>
        <w:tabs>
          <w:tab w:val="clear" w:pos="1276"/>
          <w:tab w:val="num" w:pos="2223"/>
        </w:tabs>
        <w:ind w:left="2223" w:hanging="180"/>
      </w:pPr>
      <w:bookmarkStart w:id="89" w:name="_Toc106613914"/>
      <w:r w:rsidRPr="000F2520">
        <w:t>Third parties</w:t>
      </w:r>
      <w:bookmarkEnd w:id="89"/>
    </w:p>
    <w:p w14:paraId="6E963165" w14:textId="77777777" w:rsidR="00AD2554" w:rsidRPr="000F2520" w:rsidRDefault="00AD2554" w:rsidP="00AD2554">
      <w:pPr>
        <w:pStyle w:val="BodyText"/>
      </w:pPr>
      <w:r w:rsidRPr="000F2520">
        <w:rPr>
          <w:b/>
        </w:rPr>
        <w:t>Objective:</w:t>
      </w:r>
      <w:r w:rsidRPr="000F2520">
        <w:t xml:space="preserve"> To maintain the security of the CQR’s information and information processing facilities that are accessed, processed, communicated to, or managed by third parties (for example access by participating institutions/units/clinicians, third party hosting services).</w:t>
      </w:r>
    </w:p>
    <w:p w14:paraId="12F1DD9D" w14:textId="77777777" w:rsidR="00AD2554" w:rsidRPr="000F2520" w:rsidRDefault="00AD2554" w:rsidP="00AD2554">
      <w:pPr>
        <w:pStyle w:val="BodyText"/>
      </w:pPr>
      <w:r w:rsidRPr="000F2520">
        <w:rPr>
          <w:b/>
        </w:rPr>
        <w:t xml:space="preserve">Guidance: </w:t>
      </w:r>
      <w:r w:rsidRPr="000F2520">
        <w:t xml:space="preserve">The risks of giving external, often untrusted, parties access to health information should be identified so that a CQR can implement appropriate protection mechanisms. </w:t>
      </w:r>
    </w:p>
    <w:p w14:paraId="63CF957E" w14:textId="77777777" w:rsidR="00AD2554" w:rsidRPr="000F2520" w:rsidRDefault="00AD2554" w:rsidP="00AD2554">
      <w:pPr>
        <w:pStyle w:val="BodyText"/>
      </w:pPr>
      <w:r w:rsidRPr="000F2520">
        <w:t xml:space="preserve">Importantly, an assessment of any externally hosted service should be undertaken, as there may be legislative restrictions on the hosting of information - for example, the Privacy Act currently restricts personal information from being transmitted outside of Australia.  </w:t>
      </w:r>
    </w:p>
    <w:p w14:paraId="2DA6EB3A" w14:textId="558C9012" w:rsidR="00AD2554" w:rsidRPr="000F2520" w:rsidRDefault="00AD2554" w:rsidP="00AD2554">
      <w:pPr>
        <w:pStyle w:val="BodyText"/>
      </w:pPr>
      <w:r w:rsidRPr="000F2520">
        <w:t>Risks assessed when third parties (including information providers,</w:t>
      </w:r>
      <w:r w:rsidR="008C5979">
        <w:t xml:space="preserve"> researchers, </w:t>
      </w:r>
      <w:r w:rsidRPr="000F2520">
        <w:t>data recipients – clinicians, clinical colleges, government agencies and funders, vendors, integrators) request access to information or when information is hosted externally should be treated before any access is granted. Specific considerations should include, but not be limited to:</w:t>
      </w:r>
    </w:p>
    <w:p w14:paraId="779ACB7C" w14:textId="3CD15B35" w:rsidR="00AD2554" w:rsidRPr="000F2520" w:rsidRDefault="008C5979" w:rsidP="001C2482">
      <w:pPr>
        <w:pStyle w:val="BodyText"/>
        <w:numPr>
          <w:ilvl w:val="0"/>
          <w:numId w:val="50"/>
        </w:numPr>
        <w:spacing w:before="0" w:after="0"/>
        <w:ind w:hanging="357"/>
      </w:pPr>
      <w:r>
        <w:t>D</w:t>
      </w:r>
      <w:r w:rsidR="00AD2554" w:rsidRPr="000F2520">
        <w:t>escription of the reason for the access</w:t>
      </w:r>
    </w:p>
    <w:p w14:paraId="087D55D4" w14:textId="3C4FC7E7" w:rsidR="00AD2554" w:rsidRPr="000F2520" w:rsidRDefault="008C5979" w:rsidP="001C2482">
      <w:pPr>
        <w:pStyle w:val="BodyText"/>
        <w:numPr>
          <w:ilvl w:val="0"/>
          <w:numId w:val="50"/>
        </w:numPr>
        <w:spacing w:before="0" w:after="0"/>
        <w:ind w:hanging="357"/>
      </w:pPr>
      <w:r>
        <w:t>E</w:t>
      </w:r>
      <w:r w:rsidR="00AD2554" w:rsidRPr="000F2520">
        <w:t>nsuring third parties only receive access to that which they require and no more</w:t>
      </w:r>
    </w:p>
    <w:p w14:paraId="4B524A35" w14:textId="3E085C06" w:rsidR="00AD2554" w:rsidRPr="000F2520" w:rsidRDefault="008C5979" w:rsidP="001C2482">
      <w:pPr>
        <w:pStyle w:val="BodyText"/>
        <w:numPr>
          <w:ilvl w:val="0"/>
          <w:numId w:val="50"/>
        </w:numPr>
        <w:spacing w:before="0" w:after="0"/>
        <w:ind w:hanging="357"/>
      </w:pPr>
      <w:r>
        <w:t>A</w:t>
      </w:r>
      <w:r w:rsidR="00AD2554" w:rsidRPr="000F2520">
        <w:t>ccess control methods</w:t>
      </w:r>
    </w:p>
    <w:p w14:paraId="2EF5A2D4" w14:textId="7CE63A8C" w:rsidR="00AD2554" w:rsidRPr="000F2520" w:rsidRDefault="008C5979" w:rsidP="001C2482">
      <w:pPr>
        <w:pStyle w:val="BodyText"/>
        <w:numPr>
          <w:ilvl w:val="0"/>
          <w:numId w:val="50"/>
        </w:numPr>
        <w:spacing w:before="0" w:after="0"/>
        <w:ind w:hanging="357"/>
      </w:pPr>
      <w:r>
        <w:t>R</w:t>
      </w:r>
      <w:r w:rsidR="00AD2554" w:rsidRPr="000F2520">
        <w:t>esponsibilities for support (include in Service Level Agreements)</w:t>
      </w:r>
    </w:p>
    <w:p w14:paraId="2074751C" w14:textId="50505B38" w:rsidR="00AD2554" w:rsidRPr="000F2520" w:rsidRDefault="008C5979" w:rsidP="001C2482">
      <w:pPr>
        <w:pStyle w:val="BodyText"/>
        <w:numPr>
          <w:ilvl w:val="0"/>
          <w:numId w:val="50"/>
        </w:numPr>
        <w:spacing w:before="0" w:after="0"/>
        <w:ind w:hanging="357"/>
      </w:pPr>
      <w:r>
        <w:t>A</w:t>
      </w:r>
      <w:r w:rsidR="00AD2554" w:rsidRPr="000F2520">
        <w:t>greements (confidentiality and penalties etc)</w:t>
      </w:r>
    </w:p>
    <w:p w14:paraId="2EBD81B3" w14:textId="5FB8FC15" w:rsidR="00AD2554" w:rsidRPr="000F2520" w:rsidRDefault="008C5979" w:rsidP="001C2482">
      <w:pPr>
        <w:pStyle w:val="BodyText"/>
        <w:numPr>
          <w:ilvl w:val="0"/>
          <w:numId w:val="50"/>
        </w:numPr>
        <w:spacing w:before="0" w:after="0"/>
        <w:ind w:hanging="357"/>
      </w:pPr>
      <w:r>
        <w:t>I</w:t>
      </w:r>
      <w:r w:rsidR="00AD2554" w:rsidRPr="000F2520">
        <w:t>dentification of external users</w:t>
      </w:r>
    </w:p>
    <w:p w14:paraId="3725714A" w14:textId="0F851B96" w:rsidR="00AD2554" w:rsidRPr="000F2520" w:rsidRDefault="008C5979" w:rsidP="001C2482">
      <w:pPr>
        <w:pStyle w:val="BodyText"/>
        <w:numPr>
          <w:ilvl w:val="0"/>
          <w:numId w:val="50"/>
        </w:numPr>
        <w:spacing w:before="0" w:after="0"/>
        <w:ind w:hanging="357"/>
      </w:pPr>
      <w:r>
        <w:t>A</w:t>
      </w:r>
      <w:r w:rsidR="00AD2554" w:rsidRPr="000F2520">
        <w:t>uditing of third-party access.</w:t>
      </w:r>
    </w:p>
    <w:p w14:paraId="327805BE" w14:textId="77777777" w:rsidR="00AD2554" w:rsidRPr="000F2520" w:rsidRDefault="00AD2554" w:rsidP="00AD2554">
      <w:pPr>
        <w:pStyle w:val="BodyText"/>
      </w:pPr>
      <w:r w:rsidRPr="000F2520">
        <w:t>An efficient method of providing access to third parties may be to group like third parties together and develop procedures and protocols for implementing access for each.</w:t>
      </w:r>
    </w:p>
    <w:p w14:paraId="53AFF57E" w14:textId="2069C71B" w:rsidR="008C5979" w:rsidRPr="000F2520" w:rsidRDefault="00AD2554" w:rsidP="00AD2554">
      <w:pPr>
        <w:pStyle w:val="BodyText"/>
      </w:pPr>
      <w:r w:rsidRPr="000F2520">
        <w:t>CQRs should assure themselves that suitability checks have been undertaken by third party organisations in relation to anyone that will be granted access to CQR information.  The granting of CQR system access by third parties to their employees/contractors (</w:t>
      </w:r>
      <w:proofErr w:type="gramStart"/>
      <w:r w:rsidRPr="000F2520">
        <w:t>e.g.</w:t>
      </w:r>
      <w:proofErr w:type="gramEnd"/>
      <w:r w:rsidRPr="000F2520">
        <w:t xml:space="preserve"> information providers, data recipients – clinicians, clinical colleges, government agencies and funders) should be revoked following termination or change of employment/contract as soon as system access is no longer required.</w:t>
      </w:r>
    </w:p>
    <w:p w14:paraId="0DD19A6F" w14:textId="41F3A870" w:rsidR="00AD2554" w:rsidRDefault="00AD2554" w:rsidP="00AD2554">
      <w:pPr>
        <w:pStyle w:val="BodyText"/>
      </w:pPr>
      <w:r w:rsidRPr="000F2520">
        <w:rPr>
          <w:b/>
        </w:rPr>
        <w:t>Architectural Impact:</w:t>
      </w:r>
      <w:r w:rsidRPr="000F2520">
        <w:t xml:space="preserve"> All aspects of a CQR’s architecture.</w:t>
      </w:r>
    </w:p>
    <w:p w14:paraId="1D2B9D6B" w14:textId="38F7D202" w:rsidR="006E4DC8" w:rsidRDefault="00B400E6" w:rsidP="006E4DC8">
      <w:pPr>
        <w:pStyle w:val="BodyText"/>
      </w:pPr>
      <w:proofErr w:type="gramStart"/>
      <w:r w:rsidRPr="006F06AA">
        <w:t>A number of</w:t>
      </w:r>
      <w:proofErr w:type="gramEnd"/>
      <w:r w:rsidRPr="006F06AA">
        <w:t xml:space="preserve"> organisations with data custodianship responsibilities have adopted the “Five Safes Framework”. The </w:t>
      </w:r>
      <w:r>
        <w:t xml:space="preserve">Fives Safe Framework </w:t>
      </w:r>
      <w:r w:rsidRPr="006F06AA">
        <w:t xml:space="preserve">is an internationally recognised approach to considering strategic, privacy, security, ethical and operational risks as part of a holistic assessment of the </w:t>
      </w:r>
      <w:r w:rsidRPr="006F06AA">
        <w:lastRenderedPageBreak/>
        <w:t xml:space="preserve">risks associated with data sharing or release. The </w:t>
      </w:r>
      <w:r w:rsidRPr="006F06AA">
        <w:rPr>
          <w:i/>
        </w:rPr>
        <w:t xml:space="preserve">Data Availability and Transparency </w:t>
      </w:r>
      <w:r>
        <w:rPr>
          <w:i/>
        </w:rPr>
        <w:t>Act 2022</w:t>
      </w:r>
      <w:r w:rsidRPr="006F06AA">
        <w:t xml:space="preserve"> </w:t>
      </w:r>
      <w:r>
        <w:t>references the</w:t>
      </w:r>
      <w:r w:rsidRPr="006F06AA">
        <w:t xml:space="preserve"> Data Sharing Principles based on the Five Safes Framework</w:t>
      </w:r>
      <w:r>
        <w:rPr>
          <w:rStyle w:val="FootnoteReference"/>
        </w:rPr>
        <w:footnoteReference w:id="16"/>
      </w:r>
      <w:r>
        <w:t>.</w:t>
      </w:r>
    </w:p>
    <w:p w14:paraId="341A6327" w14:textId="77777777" w:rsidR="00B400E6" w:rsidRPr="006F06AA" w:rsidRDefault="00B400E6" w:rsidP="00B400E6">
      <w:pPr>
        <w:spacing w:before="120" w:after="120" w:line="240" w:lineRule="auto"/>
      </w:pPr>
      <w:r w:rsidRPr="006F06AA">
        <w:t>The Five Safes Framework considers five dimensions:</w:t>
      </w:r>
    </w:p>
    <w:p w14:paraId="735A90BA" w14:textId="77777777" w:rsidR="00B400E6" w:rsidRPr="000F6D3B" w:rsidRDefault="00B400E6" w:rsidP="00B400E6">
      <w:pPr>
        <w:pStyle w:val="ListParagraph"/>
        <w:numPr>
          <w:ilvl w:val="0"/>
          <w:numId w:val="92"/>
        </w:numPr>
        <w:tabs>
          <w:tab w:val="left" w:pos="357"/>
          <w:tab w:val="num" w:pos="720"/>
        </w:tabs>
        <w:spacing w:before="120" w:after="120" w:line="240" w:lineRule="auto"/>
        <w:rPr>
          <w:rFonts w:ascii="Arial" w:hAnsi="Arial" w:cs="Arial"/>
        </w:rPr>
      </w:pPr>
      <w:r w:rsidRPr="000F6D3B">
        <w:rPr>
          <w:rFonts w:ascii="Arial" w:hAnsi="Arial" w:cs="Arial"/>
        </w:rPr>
        <w:t>Project – is the use of data appropriate?</w:t>
      </w:r>
    </w:p>
    <w:p w14:paraId="746F2D4C" w14:textId="77777777" w:rsidR="00B400E6" w:rsidRPr="000F6D3B" w:rsidRDefault="00B400E6" w:rsidP="00B400E6">
      <w:pPr>
        <w:pStyle w:val="ListParagraph"/>
        <w:numPr>
          <w:ilvl w:val="0"/>
          <w:numId w:val="92"/>
        </w:numPr>
        <w:tabs>
          <w:tab w:val="left" w:pos="357"/>
          <w:tab w:val="num" w:pos="720"/>
        </w:tabs>
        <w:spacing w:before="120" w:after="120" w:line="240" w:lineRule="auto"/>
        <w:rPr>
          <w:rFonts w:ascii="Arial" w:hAnsi="Arial" w:cs="Arial"/>
        </w:rPr>
      </w:pPr>
      <w:r w:rsidRPr="000F6D3B">
        <w:rPr>
          <w:rFonts w:ascii="Arial" w:hAnsi="Arial" w:cs="Arial"/>
        </w:rPr>
        <w:t>People – can the users be trusted to use it in an appropriate manner?</w:t>
      </w:r>
    </w:p>
    <w:p w14:paraId="6829B504" w14:textId="77777777" w:rsidR="00B400E6" w:rsidRPr="000F6D3B" w:rsidRDefault="00B400E6" w:rsidP="00B400E6">
      <w:pPr>
        <w:pStyle w:val="ListParagraph"/>
        <w:numPr>
          <w:ilvl w:val="0"/>
          <w:numId w:val="92"/>
        </w:numPr>
        <w:tabs>
          <w:tab w:val="left" w:pos="357"/>
          <w:tab w:val="num" w:pos="720"/>
        </w:tabs>
        <w:spacing w:before="120" w:after="120" w:line="240" w:lineRule="auto"/>
        <w:rPr>
          <w:rFonts w:ascii="Arial" w:hAnsi="Arial" w:cs="Arial"/>
        </w:rPr>
      </w:pPr>
      <w:r w:rsidRPr="000F6D3B">
        <w:rPr>
          <w:rFonts w:ascii="Arial" w:hAnsi="Arial" w:cs="Arial"/>
        </w:rPr>
        <w:t>Data – is there a disclosure risk in the data itself?</w:t>
      </w:r>
    </w:p>
    <w:p w14:paraId="231256C3" w14:textId="77777777" w:rsidR="00B400E6" w:rsidRPr="000F6D3B" w:rsidRDefault="00B400E6" w:rsidP="00B400E6">
      <w:pPr>
        <w:pStyle w:val="ListParagraph"/>
        <w:keepNext/>
        <w:numPr>
          <w:ilvl w:val="0"/>
          <w:numId w:val="92"/>
        </w:numPr>
        <w:tabs>
          <w:tab w:val="left" w:pos="357"/>
          <w:tab w:val="num" w:pos="720"/>
        </w:tabs>
        <w:spacing w:before="120" w:after="120" w:line="240" w:lineRule="auto"/>
        <w:rPr>
          <w:rFonts w:ascii="Arial" w:hAnsi="Arial" w:cs="Arial"/>
        </w:rPr>
      </w:pPr>
      <w:r w:rsidRPr="000F6D3B">
        <w:rPr>
          <w:rFonts w:ascii="Arial" w:hAnsi="Arial" w:cs="Arial"/>
        </w:rPr>
        <w:t>Settings – does the access facility prevent unauthorised use?</w:t>
      </w:r>
    </w:p>
    <w:p w14:paraId="1197376E" w14:textId="77777777" w:rsidR="00B400E6" w:rsidRPr="000F6D3B" w:rsidRDefault="00B400E6" w:rsidP="00B400E6">
      <w:pPr>
        <w:pStyle w:val="ListParagraph"/>
        <w:numPr>
          <w:ilvl w:val="0"/>
          <w:numId w:val="92"/>
        </w:numPr>
        <w:tabs>
          <w:tab w:val="left" w:pos="357"/>
          <w:tab w:val="num" w:pos="720"/>
        </w:tabs>
        <w:spacing w:before="120" w:after="120" w:line="240" w:lineRule="auto"/>
        <w:rPr>
          <w:rFonts w:ascii="Arial" w:hAnsi="Arial" w:cs="Arial"/>
        </w:rPr>
      </w:pPr>
      <w:r w:rsidRPr="000F6D3B">
        <w:rPr>
          <w:rFonts w:ascii="Arial" w:hAnsi="Arial" w:cs="Arial"/>
        </w:rPr>
        <w:t>Output – are the statistical results non-disclosive.</w:t>
      </w:r>
    </w:p>
    <w:p w14:paraId="0EBAA35E" w14:textId="77777777" w:rsidR="00895D3E" w:rsidRDefault="00B400E6" w:rsidP="00B400E6">
      <w:pPr>
        <w:rPr>
          <w:i/>
          <w:iCs/>
        </w:rPr>
        <w:sectPr w:rsidR="00895D3E" w:rsidSect="00E9663B">
          <w:headerReference w:type="even" r:id="rId52"/>
          <w:headerReference w:type="default" r:id="rId53"/>
          <w:footerReference w:type="default" r:id="rId54"/>
          <w:headerReference w:type="first" r:id="rId55"/>
          <w:pgSz w:w="11906" w:h="16838" w:code="9"/>
          <w:pgMar w:top="1219" w:right="726" w:bottom="1086" w:left="1650" w:header="709" w:footer="0" w:gutter="0"/>
          <w:cols w:space="708"/>
          <w:docGrid w:linePitch="360"/>
        </w:sectPr>
      </w:pPr>
      <w:r w:rsidRPr="006F06AA">
        <w:t xml:space="preserve">The Five Safes Framework should be used in conjunction with the detailed guidance provided </w:t>
      </w:r>
      <w:r>
        <w:t xml:space="preserve">in Attachment 2 </w:t>
      </w:r>
      <w:r w:rsidRPr="006F06AA">
        <w:rPr>
          <w:i/>
          <w:iCs/>
        </w:rPr>
        <w:t>Security Compliance Guideline</w:t>
      </w:r>
      <w:r>
        <w:rPr>
          <w:i/>
          <w:iCs/>
        </w:rPr>
        <w:t>.</w:t>
      </w:r>
    </w:p>
    <w:p w14:paraId="71364077" w14:textId="5ACD3D6F" w:rsidR="00B400E6" w:rsidRPr="006F06AA" w:rsidRDefault="00B400E6" w:rsidP="00B400E6">
      <w:pPr>
        <w:rPr>
          <w:rFonts w:asciiTheme="minorHAnsi" w:eastAsiaTheme="minorHAnsi" w:hAnsiTheme="minorHAnsi" w:cstheme="minorBidi"/>
          <w:szCs w:val="22"/>
          <w:lang w:eastAsia="en-US"/>
        </w:rPr>
      </w:pPr>
      <w:r>
        <w:rPr>
          <w:i/>
          <w:iCs/>
        </w:rPr>
        <w:lastRenderedPageBreak/>
        <w:t xml:space="preserve"> </w:t>
      </w:r>
    </w:p>
    <w:p w14:paraId="2D42C0C7" w14:textId="4CBBCA4E" w:rsidR="006E4DC8" w:rsidRPr="009F68CE" w:rsidRDefault="006E4DC8" w:rsidP="006E4DC8">
      <w:pPr>
        <w:pStyle w:val="BodyText"/>
        <w:rPr>
          <w:i/>
          <w:iCs/>
          <w:color w:val="1F3864" w:themeColor="accent1" w:themeShade="80"/>
        </w:rPr>
      </w:pPr>
      <w:r w:rsidRPr="009F68CE">
        <w:rPr>
          <w:i/>
          <w:iCs/>
          <w:color w:val="1F3864" w:themeColor="accent1" w:themeShade="80"/>
        </w:rPr>
        <w:t xml:space="preserve">Table </w:t>
      </w:r>
      <w:r w:rsidR="009F68CE" w:rsidRPr="009F68CE">
        <w:rPr>
          <w:i/>
          <w:iCs/>
          <w:color w:val="1F3864" w:themeColor="accent1" w:themeShade="80"/>
        </w:rPr>
        <w:t xml:space="preserve">5 List of national and state/territory data governance guidance  </w:t>
      </w:r>
      <w:r w:rsidRPr="009F68CE">
        <w:rPr>
          <w:i/>
          <w:iCs/>
          <w:color w:val="1F3864" w:themeColor="accent1" w:themeShade="80"/>
        </w:rPr>
        <w:t xml:space="preserve"> </w:t>
      </w:r>
    </w:p>
    <w:tbl>
      <w:tblPr>
        <w:tblStyle w:val="TableGrid"/>
        <w:tblW w:w="12465" w:type="dxa"/>
        <w:tblLayout w:type="fixed"/>
        <w:tblLook w:val="04A0" w:firstRow="1" w:lastRow="0" w:firstColumn="1" w:lastColumn="0" w:noHBand="0" w:noVBand="1"/>
      </w:tblPr>
      <w:tblGrid>
        <w:gridCol w:w="3822"/>
        <w:gridCol w:w="2550"/>
        <w:gridCol w:w="6093"/>
      </w:tblGrid>
      <w:tr w:rsidR="006E4DC8" w:rsidRPr="006E4DC8" w14:paraId="483A1342" w14:textId="77777777" w:rsidTr="006E4DC8">
        <w:trPr>
          <w:tblHeader/>
        </w:trPr>
        <w:tc>
          <w:tcPr>
            <w:tcW w:w="38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EA60E4" w14:textId="77777777" w:rsidR="006E4DC8" w:rsidRPr="006E4DC8" w:rsidRDefault="006E4DC8" w:rsidP="006E4DC8">
            <w:pPr>
              <w:pStyle w:val="BodyText"/>
              <w:rPr>
                <w:b/>
                <w:bCs/>
              </w:rPr>
            </w:pPr>
            <w:r w:rsidRPr="006E4DC8">
              <w:rPr>
                <w:b/>
                <w:bCs/>
              </w:rPr>
              <w:t>Document</w:t>
            </w:r>
          </w:p>
        </w:tc>
        <w:tc>
          <w:tcPr>
            <w:tcW w:w="2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E93F96C" w14:textId="77777777" w:rsidR="006E4DC8" w:rsidRPr="006E4DC8" w:rsidRDefault="006E4DC8" w:rsidP="006E4DC8">
            <w:pPr>
              <w:pStyle w:val="BodyText"/>
              <w:rPr>
                <w:b/>
                <w:bCs/>
              </w:rPr>
            </w:pPr>
            <w:r w:rsidRPr="006E4DC8">
              <w:rPr>
                <w:b/>
                <w:bCs/>
              </w:rPr>
              <w:t xml:space="preserve">Author </w:t>
            </w:r>
          </w:p>
        </w:tc>
        <w:tc>
          <w:tcPr>
            <w:tcW w:w="60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D481F8" w14:textId="77777777" w:rsidR="006E4DC8" w:rsidRPr="006E4DC8" w:rsidRDefault="006E4DC8" w:rsidP="006E4DC8">
            <w:pPr>
              <w:pStyle w:val="BodyText"/>
              <w:rPr>
                <w:b/>
                <w:bCs/>
              </w:rPr>
            </w:pPr>
            <w:r w:rsidRPr="006E4DC8">
              <w:rPr>
                <w:b/>
                <w:bCs/>
              </w:rPr>
              <w:t xml:space="preserve">Reference </w:t>
            </w:r>
          </w:p>
          <w:p w14:paraId="0C8AE9DA" w14:textId="77777777" w:rsidR="006E4DC8" w:rsidRPr="006E4DC8" w:rsidRDefault="006E4DC8" w:rsidP="006E4DC8">
            <w:pPr>
              <w:pStyle w:val="BodyText"/>
              <w:rPr>
                <w:b/>
                <w:bCs/>
              </w:rPr>
            </w:pPr>
          </w:p>
        </w:tc>
      </w:tr>
      <w:tr w:rsidR="006E4DC8" w:rsidRPr="006E4DC8" w14:paraId="56F2D835" w14:textId="77777777" w:rsidTr="006E4DC8">
        <w:tc>
          <w:tcPr>
            <w:tcW w:w="12465"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7019441" w14:textId="77777777" w:rsidR="006E4DC8" w:rsidRPr="006E4DC8" w:rsidRDefault="006E4DC8" w:rsidP="006E4DC8">
            <w:pPr>
              <w:pStyle w:val="BodyText"/>
            </w:pPr>
            <w:r w:rsidRPr="006E4DC8">
              <w:t xml:space="preserve">National guidance </w:t>
            </w:r>
          </w:p>
          <w:p w14:paraId="12A1742F" w14:textId="77777777" w:rsidR="006E4DC8" w:rsidRPr="006E4DC8" w:rsidRDefault="006E4DC8" w:rsidP="006E4DC8">
            <w:pPr>
              <w:pStyle w:val="BodyText"/>
            </w:pPr>
          </w:p>
        </w:tc>
      </w:tr>
      <w:tr w:rsidR="006E4DC8" w:rsidRPr="006E4DC8" w14:paraId="54D30EA8" w14:textId="77777777" w:rsidTr="006E4DC8">
        <w:tc>
          <w:tcPr>
            <w:tcW w:w="3822" w:type="dxa"/>
            <w:tcBorders>
              <w:top w:val="single" w:sz="4" w:space="0" w:color="auto"/>
              <w:left w:val="single" w:sz="4" w:space="0" w:color="auto"/>
              <w:bottom w:val="single" w:sz="4" w:space="0" w:color="auto"/>
              <w:right w:val="single" w:sz="4" w:space="0" w:color="auto"/>
            </w:tcBorders>
            <w:hideMark/>
          </w:tcPr>
          <w:p w14:paraId="3D5D5EBE" w14:textId="77777777" w:rsidR="006E4DC8" w:rsidRPr="006E4DC8" w:rsidRDefault="006E4DC8" w:rsidP="006E4DC8">
            <w:pPr>
              <w:pStyle w:val="BodyText"/>
              <w:rPr>
                <w:b/>
                <w:bCs/>
              </w:rPr>
            </w:pPr>
            <w:r w:rsidRPr="006E4DC8">
              <w:rPr>
                <w:b/>
                <w:bCs/>
              </w:rPr>
              <w:t>Australian Government Public Data Policy Statement</w:t>
            </w:r>
          </w:p>
          <w:p w14:paraId="58FD945F" w14:textId="4AB91CBC" w:rsidR="006E4DC8" w:rsidRPr="006E4DC8" w:rsidRDefault="006E4DC8" w:rsidP="006E4DC8">
            <w:pPr>
              <w:pStyle w:val="BodyText"/>
              <w:numPr>
                <w:ilvl w:val="0"/>
                <w:numId w:val="74"/>
              </w:numPr>
            </w:pPr>
            <w:r w:rsidRPr="006E4DC8">
              <w:t xml:space="preserve">data held by the Australian Government is a strategic national resource that holds considerable value for growing the economy, improving service </w:t>
            </w:r>
            <w:proofErr w:type="gramStart"/>
            <w:r w:rsidRPr="006E4DC8">
              <w:t>delivery</w:t>
            </w:r>
            <w:proofErr w:type="gramEnd"/>
            <w:r w:rsidRPr="006E4DC8">
              <w:t xml:space="preserve"> and transforming policy</w:t>
            </w:r>
            <w:r w:rsidR="005851BB">
              <w:t xml:space="preserve"> </w:t>
            </w:r>
            <w:r w:rsidRPr="006E4DC8">
              <w:t>outcomes for the Nation.</w:t>
            </w:r>
          </w:p>
        </w:tc>
        <w:tc>
          <w:tcPr>
            <w:tcW w:w="2550" w:type="dxa"/>
            <w:tcBorders>
              <w:top w:val="single" w:sz="4" w:space="0" w:color="auto"/>
              <w:left w:val="single" w:sz="4" w:space="0" w:color="auto"/>
              <w:bottom w:val="single" w:sz="4" w:space="0" w:color="auto"/>
              <w:right w:val="single" w:sz="4" w:space="0" w:color="auto"/>
            </w:tcBorders>
            <w:hideMark/>
          </w:tcPr>
          <w:p w14:paraId="1331E5E5" w14:textId="77777777" w:rsidR="006E4DC8" w:rsidRPr="006E4DC8" w:rsidRDefault="006E4DC8" w:rsidP="006E4DC8">
            <w:pPr>
              <w:pStyle w:val="BodyText"/>
            </w:pPr>
            <w:r w:rsidRPr="006E4DC8">
              <w:t>Australian Government</w:t>
            </w:r>
          </w:p>
        </w:tc>
        <w:tc>
          <w:tcPr>
            <w:tcW w:w="6093" w:type="dxa"/>
            <w:tcBorders>
              <w:top w:val="single" w:sz="4" w:space="0" w:color="auto"/>
              <w:left w:val="single" w:sz="4" w:space="0" w:color="auto"/>
              <w:bottom w:val="single" w:sz="4" w:space="0" w:color="auto"/>
              <w:right w:val="single" w:sz="4" w:space="0" w:color="auto"/>
            </w:tcBorders>
          </w:tcPr>
          <w:p w14:paraId="7C4D2C73" w14:textId="77777777" w:rsidR="006E4DC8" w:rsidRPr="006E4DC8" w:rsidRDefault="006E4DC8" w:rsidP="006E4DC8">
            <w:pPr>
              <w:pStyle w:val="BodyText"/>
            </w:pPr>
            <w:r w:rsidRPr="006E4DC8">
              <w:t xml:space="preserve">Australian Government. Australian government public data policy statement [Internet]. Canberra: Australian Government; [2015 Dec 12; cited 2022 May 30]. Available from: </w:t>
            </w:r>
            <w:hyperlink r:id="rId56" w:history="1">
              <w:r w:rsidRPr="006E4DC8">
                <w:rPr>
                  <w:rStyle w:val="Hyperlink"/>
                </w:rPr>
                <w:t>https://www.pmc.gov.au/sites/default/files/publications/aust_govt_public_data_policy_statement_1.pdf</w:t>
              </w:r>
            </w:hyperlink>
          </w:p>
          <w:p w14:paraId="37AF22B3" w14:textId="77777777" w:rsidR="006E4DC8" w:rsidRPr="006E4DC8" w:rsidRDefault="006E4DC8" w:rsidP="006E4DC8">
            <w:pPr>
              <w:pStyle w:val="BodyText"/>
            </w:pPr>
          </w:p>
        </w:tc>
      </w:tr>
      <w:tr w:rsidR="006E4DC8" w:rsidRPr="006E4DC8" w14:paraId="7F78C103" w14:textId="77777777" w:rsidTr="006E4DC8">
        <w:tc>
          <w:tcPr>
            <w:tcW w:w="3822" w:type="dxa"/>
            <w:tcBorders>
              <w:top w:val="single" w:sz="4" w:space="0" w:color="auto"/>
              <w:left w:val="single" w:sz="4" w:space="0" w:color="auto"/>
              <w:bottom w:val="single" w:sz="4" w:space="0" w:color="auto"/>
              <w:right w:val="single" w:sz="4" w:space="0" w:color="auto"/>
            </w:tcBorders>
          </w:tcPr>
          <w:p w14:paraId="3FE636DF" w14:textId="77777777" w:rsidR="006E4DC8" w:rsidRPr="006E4DC8" w:rsidRDefault="006E4DC8" w:rsidP="006E4DC8">
            <w:pPr>
              <w:pStyle w:val="BodyText"/>
            </w:pPr>
            <w:r w:rsidRPr="006E4DC8">
              <w:rPr>
                <w:b/>
                <w:bCs/>
                <w:i/>
                <w:iCs/>
              </w:rPr>
              <w:t xml:space="preserve">The Data Availability and Transparency Act 2022 (DATA) </w:t>
            </w:r>
            <w:r w:rsidRPr="006E4DC8">
              <w:rPr>
                <w:b/>
                <w:bCs/>
              </w:rPr>
              <w:t>Scheme</w:t>
            </w:r>
          </w:p>
          <w:p w14:paraId="7DD3DBCE" w14:textId="77777777" w:rsidR="006E4DC8" w:rsidRPr="006E4DC8" w:rsidRDefault="006E4DC8" w:rsidP="006E4DC8">
            <w:pPr>
              <w:pStyle w:val="BodyText"/>
              <w:numPr>
                <w:ilvl w:val="0"/>
                <w:numId w:val="74"/>
              </w:numPr>
            </w:pPr>
            <w:r w:rsidRPr="006E4DC8">
              <w:t>commended on 1 April 2022</w:t>
            </w:r>
          </w:p>
          <w:p w14:paraId="43A46306" w14:textId="77777777" w:rsidR="006E4DC8" w:rsidRPr="006E4DC8" w:rsidRDefault="006E4DC8" w:rsidP="006E4DC8">
            <w:pPr>
              <w:pStyle w:val="BodyText"/>
            </w:pPr>
          </w:p>
        </w:tc>
        <w:tc>
          <w:tcPr>
            <w:tcW w:w="2550" w:type="dxa"/>
            <w:tcBorders>
              <w:top w:val="single" w:sz="4" w:space="0" w:color="auto"/>
              <w:left w:val="single" w:sz="4" w:space="0" w:color="auto"/>
              <w:bottom w:val="single" w:sz="4" w:space="0" w:color="auto"/>
              <w:right w:val="single" w:sz="4" w:space="0" w:color="auto"/>
            </w:tcBorders>
            <w:hideMark/>
          </w:tcPr>
          <w:p w14:paraId="1477BA52" w14:textId="77777777" w:rsidR="006E4DC8" w:rsidRPr="006E4DC8" w:rsidRDefault="006E4DC8" w:rsidP="006E4DC8">
            <w:pPr>
              <w:pStyle w:val="BodyText"/>
            </w:pPr>
            <w:r w:rsidRPr="006E4DC8">
              <w:t>Australian Government</w:t>
            </w:r>
          </w:p>
          <w:p w14:paraId="503386CC" w14:textId="77777777" w:rsidR="006E4DC8" w:rsidRPr="006E4DC8" w:rsidRDefault="006E4DC8" w:rsidP="006E4DC8">
            <w:pPr>
              <w:pStyle w:val="BodyText"/>
            </w:pPr>
            <w:r w:rsidRPr="006E4DC8">
              <w:t xml:space="preserve">Prime Minister and Cabinet </w:t>
            </w:r>
          </w:p>
        </w:tc>
        <w:tc>
          <w:tcPr>
            <w:tcW w:w="6093" w:type="dxa"/>
            <w:tcBorders>
              <w:top w:val="single" w:sz="4" w:space="0" w:color="auto"/>
              <w:left w:val="single" w:sz="4" w:space="0" w:color="auto"/>
              <w:bottom w:val="single" w:sz="4" w:space="0" w:color="auto"/>
              <w:right w:val="single" w:sz="4" w:space="0" w:color="auto"/>
            </w:tcBorders>
          </w:tcPr>
          <w:p w14:paraId="63C723FD" w14:textId="77777777" w:rsidR="006E4DC8" w:rsidRPr="006E4DC8" w:rsidRDefault="006E4DC8" w:rsidP="006E4DC8">
            <w:pPr>
              <w:pStyle w:val="BodyText"/>
            </w:pPr>
            <w:r w:rsidRPr="006E4DC8">
              <w:t xml:space="preserve">Australian Government. </w:t>
            </w:r>
            <w:r w:rsidRPr="006E4DC8">
              <w:rPr>
                <w:i/>
                <w:iCs/>
              </w:rPr>
              <w:t>Data Availability and Transparency Act 2022</w:t>
            </w:r>
            <w:r w:rsidRPr="006E4DC8">
              <w:t xml:space="preserve"> [Internet]. Canberra: Australian Government; [2022 Apr 11; cited 2022 May 30]. Available from: </w:t>
            </w:r>
            <w:hyperlink r:id="rId57" w:history="1">
              <w:r w:rsidRPr="006E4DC8">
                <w:rPr>
                  <w:rStyle w:val="Hyperlink"/>
                </w:rPr>
                <w:t>https://www.legislation.gov.au/Details/C2022A00011</w:t>
              </w:r>
            </w:hyperlink>
          </w:p>
          <w:p w14:paraId="69BC7F9E" w14:textId="77777777" w:rsidR="006E4DC8" w:rsidRPr="006E4DC8" w:rsidRDefault="006E4DC8" w:rsidP="006E4DC8">
            <w:pPr>
              <w:pStyle w:val="BodyText"/>
            </w:pPr>
          </w:p>
        </w:tc>
      </w:tr>
      <w:tr w:rsidR="006E4DC8" w:rsidRPr="006E4DC8" w14:paraId="4FA49693" w14:textId="77777777" w:rsidTr="006E4DC8">
        <w:tc>
          <w:tcPr>
            <w:tcW w:w="3822" w:type="dxa"/>
            <w:tcBorders>
              <w:top w:val="single" w:sz="4" w:space="0" w:color="auto"/>
              <w:left w:val="single" w:sz="4" w:space="0" w:color="auto"/>
              <w:bottom w:val="single" w:sz="4" w:space="0" w:color="auto"/>
              <w:right w:val="single" w:sz="4" w:space="0" w:color="auto"/>
            </w:tcBorders>
            <w:hideMark/>
          </w:tcPr>
          <w:p w14:paraId="56919084" w14:textId="77777777" w:rsidR="006E4DC8" w:rsidRPr="006E4DC8" w:rsidRDefault="006E4DC8" w:rsidP="006E4DC8">
            <w:pPr>
              <w:pStyle w:val="BodyText"/>
              <w:rPr>
                <w:b/>
                <w:bCs/>
              </w:rPr>
            </w:pPr>
            <w:r w:rsidRPr="006E4DC8">
              <w:rPr>
                <w:b/>
                <w:bCs/>
              </w:rPr>
              <w:t>The Foundational Four</w:t>
            </w:r>
          </w:p>
          <w:p w14:paraId="2961FEAE" w14:textId="77777777" w:rsidR="006E4DC8" w:rsidRPr="006E4DC8" w:rsidRDefault="006E4DC8" w:rsidP="006E4DC8">
            <w:pPr>
              <w:pStyle w:val="BodyText"/>
              <w:numPr>
                <w:ilvl w:val="0"/>
                <w:numId w:val="75"/>
              </w:numPr>
            </w:pPr>
            <w:r w:rsidRPr="006E4DC8">
              <w:t xml:space="preserve">To get the most out of the data they hold, government agencies need to look after and manage their data assets in the same way they look after their people, </w:t>
            </w:r>
            <w:r w:rsidRPr="006E4DC8">
              <w:lastRenderedPageBreak/>
              <w:t xml:space="preserve">physical </w:t>
            </w:r>
            <w:proofErr w:type="gramStart"/>
            <w:r w:rsidRPr="006E4DC8">
              <w:t>property</w:t>
            </w:r>
            <w:proofErr w:type="gramEnd"/>
            <w:r w:rsidRPr="006E4DC8">
              <w:t xml:space="preserve"> and IT systems.</w:t>
            </w:r>
          </w:p>
          <w:p w14:paraId="2F74342D" w14:textId="77777777" w:rsidR="006E4DC8" w:rsidRPr="006E4DC8" w:rsidRDefault="006E4DC8" w:rsidP="006E4DC8">
            <w:pPr>
              <w:pStyle w:val="BodyText"/>
              <w:numPr>
                <w:ilvl w:val="0"/>
                <w:numId w:val="75"/>
              </w:numPr>
            </w:pPr>
            <w:r w:rsidRPr="006E4DC8">
              <w:t>The Foundational Four provides guidance for agencies on how they can start improving their data practices and address the technical and cultural challenges that can limit their ability to get the most out of their data.</w:t>
            </w:r>
          </w:p>
        </w:tc>
        <w:tc>
          <w:tcPr>
            <w:tcW w:w="2550" w:type="dxa"/>
            <w:tcBorders>
              <w:top w:val="single" w:sz="4" w:space="0" w:color="auto"/>
              <w:left w:val="single" w:sz="4" w:space="0" w:color="auto"/>
              <w:bottom w:val="single" w:sz="4" w:space="0" w:color="auto"/>
              <w:right w:val="single" w:sz="4" w:space="0" w:color="auto"/>
            </w:tcBorders>
            <w:hideMark/>
          </w:tcPr>
          <w:p w14:paraId="18026975" w14:textId="77777777" w:rsidR="006E4DC8" w:rsidRPr="006E4DC8" w:rsidRDefault="006E4DC8" w:rsidP="006E4DC8">
            <w:pPr>
              <w:pStyle w:val="BodyText"/>
            </w:pPr>
            <w:r w:rsidRPr="006E4DC8">
              <w:lastRenderedPageBreak/>
              <w:t>Australian Government</w:t>
            </w:r>
          </w:p>
          <w:p w14:paraId="2F946F71" w14:textId="77777777" w:rsidR="006E4DC8" w:rsidRPr="006E4DC8" w:rsidRDefault="006E4DC8" w:rsidP="006E4DC8">
            <w:pPr>
              <w:pStyle w:val="BodyText"/>
            </w:pPr>
            <w:r w:rsidRPr="006E4DC8">
              <w:t>Office of the National Data Commissioner</w:t>
            </w:r>
          </w:p>
        </w:tc>
        <w:tc>
          <w:tcPr>
            <w:tcW w:w="6093" w:type="dxa"/>
            <w:tcBorders>
              <w:top w:val="single" w:sz="4" w:space="0" w:color="auto"/>
              <w:left w:val="single" w:sz="4" w:space="0" w:color="auto"/>
              <w:bottom w:val="single" w:sz="4" w:space="0" w:color="auto"/>
              <w:right w:val="single" w:sz="4" w:space="0" w:color="auto"/>
            </w:tcBorders>
          </w:tcPr>
          <w:p w14:paraId="6C8415E5" w14:textId="77777777" w:rsidR="006E4DC8" w:rsidRPr="006E4DC8" w:rsidRDefault="006E4DC8" w:rsidP="006E4DC8">
            <w:pPr>
              <w:pStyle w:val="BodyText"/>
            </w:pPr>
            <w:r w:rsidRPr="006E4DC8">
              <w:t xml:space="preserve">Australian Government. The foundational four [Internet]. Canberra: Office of the National Data Commissioner; [2022; cited 2022 May 30]. Available from: </w:t>
            </w:r>
            <w:hyperlink r:id="rId58" w:history="1">
              <w:r w:rsidRPr="006E4DC8">
                <w:rPr>
                  <w:rStyle w:val="Hyperlink"/>
                </w:rPr>
                <w:t>https://www.datacommissioner.gov.au/sites/default/files/2020-06/foundational-four.pdf</w:t>
              </w:r>
            </w:hyperlink>
          </w:p>
          <w:p w14:paraId="2248D5D9" w14:textId="77777777" w:rsidR="006E4DC8" w:rsidRPr="006E4DC8" w:rsidRDefault="006E4DC8" w:rsidP="006E4DC8">
            <w:pPr>
              <w:pStyle w:val="BodyText"/>
            </w:pPr>
          </w:p>
          <w:p w14:paraId="5F40AFC9" w14:textId="77777777" w:rsidR="006E4DC8" w:rsidRPr="006E4DC8" w:rsidRDefault="006E4DC8" w:rsidP="006E4DC8">
            <w:pPr>
              <w:pStyle w:val="BodyText"/>
            </w:pPr>
          </w:p>
        </w:tc>
      </w:tr>
      <w:tr w:rsidR="006E4DC8" w:rsidRPr="006E4DC8" w14:paraId="39E8B6E0" w14:textId="77777777" w:rsidTr="006E4DC8">
        <w:tc>
          <w:tcPr>
            <w:tcW w:w="3822" w:type="dxa"/>
            <w:tcBorders>
              <w:top w:val="single" w:sz="4" w:space="0" w:color="auto"/>
              <w:left w:val="single" w:sz="4" w:space="0" w:color="auto"/>
              <w:bottom w:val="single" w:sz="4" w:space="0" w:color="auto"/>
              <w:right w:val="single" w:sz="4" w:space="0" w:color="auto"/>
            </w:tcBorders>
            <w:hideMark/>
          </w:tcPr>
          <w:p w14:paraId="78315619" w14:textId="77777777" w:rsidR="006E4DC8" w:rsidRPr="006E4DC8" w:rsidRDefault="006E4DC8" w:rsidP="006E4DC8">
            <w:pPr>
              <w:pStyle w:val="BodyText"/>
              <w:rPr>
                <w:b/>
                <w:bCs/>
              </w:rPr>
            </w:pPr>
            <w:r w:rsidRPr="006E4DC8">
              <w:rPr>
                <w:b/>
                <w:bCs/>
              </w:rPr>
              <w:lastRenderedPageBreak/>
              <w:t>Data Governance Framework 2021 (Public edition)</w:t>
            </w:r>
          </w:p>
          <w:p w14:paraId="17C0EEFA" w14:textId="77777777" w:rsidR="006E4DC8" w:rsidRPr="006E4DC8" w:rsidRDefault="006E4DC8" w:rsidP="006E4DC8">
            <w:pPr>
              <w:pStyle w:val="BodyText"/>
              <w:numPr>
                <w:ilvl w:val="0"/>
                <w:numId w:val="75"/>
              </w:numPr>
            </w:pPr>
            <w:r w:rsidRPr="006E4DC8">
              <w:t xml:space="preserve">This Framework lists the elements that comprise the AIHW approach to data </w:t>
            </w:r>
            <w:proofErr w:type="gramStart"/>
            <w:r w:rsidRPr="006E4DC8">
              <w:t>governance, and</w:t>
            </w:r>
            <w:proofErr w:type="gramEnd"/>
            <w:r w:rsidRPr="006E4DC8">
              <w:t xml:space="preserve"> describes in detail how they work together to support the legal, ethical and safe management of our data holdings. </w:t>
            </w:r>
          </w:p>
          <w:p w14:paraId="5F9CA3E4" w14:textId="77777777" w:rsidR="006E4DC8" w:rsidRPr="006E4DC8" w:rsidRDefault="006E4DC8" w:rsidP="006E4DC8">
            <w:pPr>
              <w:pStyle w:val="BodyText"/>
              <w:numPr>
                <w:ilvl w:val="0"/>
                <w:numId w:val="75"/>
              </w:numPr>
            </w:pPr>
            <w:r w:rsidRPr="006E4DC8">
              <w:t xml:space="preserve">It recognises that a combination of supporting legislation, roles, policies, practices, standards, </w:t>
            </w:r>
            <w:proofErr w:type="gramStart"/>
            <w:r w:rsidRPr="006E4DC8">
              <w:t>tools</w:t>
            </w:r>
            <w:proofErr w:type="gramEnd"/>
            <w:r w:rsidRPr="006E4DC8">
              <w:t xml:space="preserve"> and technologies is required to deliver effective data governance arrangements at AIHW.</w:t>
            </w:r>
          </w:p>
        </w:tc>
        <w:tc>
          <w:tcPr>
            <w:tcW w:w="2550" w:type="dxa"/>
            <w:tcBorders>
              <w:top w:val="single" w:sz="4" w:space="0" w:color="auto"/>
              <w:left w:val="single" w:sz="4" w:space="0" w:color="auto"/>
              <w:bottom w:val="single" w:sz="4" w:space="0" w:color="auto"/>
              <w:right w:val="single" w:sz="4" w:space="0" w:color="auto"/>
            </w:tcBorders>
            <w:hideMark/>
          </w:tcPr>
          <w:p w14:paraId="17484F14" w14:textId="77777777" w:rsidR="006E4DC8" w:rsidRPr="006E4DC8" w:rsidRDefault="006E4DC8" w:rsidP="006E4DC8">
            <w:pPr>
              <w:pStyle w:val="BodyText"/>
            </w:pPr>
            <w:r w:rsidRPr="006E4DC8">
              <w:t>Australian Institute of Health and Welfare</w:t>
            </w:r>
          </w:p>
        </w:tc>
        <w:tc>
          <w:tcPr>
            <w:tcW w:w="6093" w:type="dxa"/>
            <w:tcBorders>
              <w:top w:val="single" w:sz="4" w:space="0" w:color="auto"/>
              <w:left w:val="single" w:sz="4" w:space="0" w:color="auto"/>
              <w:bottom w:val="single" w:sz="4" w:space="0" w:color="auto"/>
              <w:right w:val="single" w:sz="4" w:space="0" w:color="auto"/>
            </w:tcBorders>
          </w:tcPr>
          <w:p w14:paraId="4C0E5F4C" w14:textId="77777777" w:rsidR="006E4DC8" w:rsidRPr="006E4DC8" w:rsidRDefault="006E4DC8" w:rsidP="006E4DC8">
            <w:pPr>
              <w:pStyle w:val="BodyText"/>
            </w:pPr>
            <w:r w:rsidRPr="006E4DC8">
              <w:t xml:space="preserve">Australian Institute of Health and Welfare. Data governance framework 2021 [Internet]. Canberra: Australian Institute of Health and Welfare; [2021 Apr 6; cited 2022 May 30]. Available from: </w:t>
            </w:r>
            <w:hyperlink r:id="rId59" w:history="1">
              <w:r w:rsidRPr="006E4DC8">
                <w:rPr>
                  <w:rStyle w:val="Hyperlink"/>
                </w:rPr>
                <w:t>https://www.aihw.gov.au/getmedia/c3e00f60-c40d-4989-ad22-de1be3ab5380/Data-Governance-Framework-2021.pdf.aspx</w:t>
              </w:r>
            </w:hyperlink>
          </w:p>
          <w:p w14:paraId="5E6AC6D1" w14:textId="77777777" w:rsidR="006E4DC8" w:rsidRPr="006E4DC8" w:rsidRDefault="006E4DC8" w:rsidP="006E4DC8">
            <w:pPr>
              <w:pStyle w:val="BodyText"/>
            </w:pPr>
          </w:p>
          <w:p w14:paraId="415A2275" w14:textId="77777777" w:rsidR="006E4DC8" w:rsidRPr="006E4DC8" w:rsidRDefault="006E4DC8" w:rsidP="006E4DC8">
            <w:pPr>
              <w:pStyle w:val="BodyText"/>
            </w:pPr>
          </w:p>
        </w:tc>
      </w:tr>
      <w:tr w:rsidR="006E4DC8" w:rsidRPr="006E4DC8" w14:paraId="4BFAC971" w14:textId="77777777" w:rsidTr="006E4DC8">
        <w:tc>
          <w:tcPr>
            <w:tcW w:w="3822" w:type="dxa"/>
            <w:tcBorders>
              <w:top w:val="single" w:sz="4" w:space="0" w:color="auto"/>
              <w:left w:val="single" w:sz="4" w:space="0" w:color="auto"/>
              <w:bottom w:val="single" w:sz="4" w:space="0" w:color="auto"/>
              <w:right w:val="single" w:sz="4" w:space="0" w:color="auto"/>
            </w:tcBorders>
            <w:hideMark/>
          </w:tcPr>
          <w:p w14:paraId="2FBC7715" w14:textId="77777777" w:rsidR="006E4DC8" w:rsidRPr="006E4DC8" w:rsidRDefault="006E4DC8" w:rsidP="006E4DC8">
            <w:pPr>
              <w:pStyle w:val="BodyText"/>
              <w:rPr>
                <w:b/>
                <w:bCs/>
              </w:rPr>
            </w:pPr>
            <w:r w:rsidRPr="006E4DC8">
              <w:rPr>
                <w:b/>
                <w:bCs/>
              </w:rPr>
              <w:t>The Five Safes framework</w:t>
            </w:r>
          </w:p>
          <w:p w14:paraId="6C3133F2" w14:textId="77777777" w:rsidR="006E4DC8" w:rsidRPr="006E4DC8" w:rsidRDefault="006E4DC8" w:rsidP="006E4DC8">
            <w:pPr>
              <w:pStyle w:val="BodyText"/>
              <w:numPr>
                <w:ilvl w:val="0"/>
                <w:numId w:val="75"/>
              </w:numPr>
            </w:pPr>
            <w:r w:rsidRPr="006E4DC8">
              <w:t xml:space="preserve">an internationally recognised approach to considering </w:t>
            </w:r>
            <w:r w:rsidRPr="006E4DC8">
              <w:lastRenderedPageBreak/>
              <w:t>strategic, privacy, security, ethical and operational risks as part of a holistic assessment of the risks associated with data sharing or release.</w:t>
            </w:r>
          </w:p>
        </w:tc>
        <w:tc>
          <w:tcPr>
            <w:tcW w:w="2550" w:type="dxa"/>
            <w:tcBorders>
              <w:top w:val="single" w:sz="4" w:space="0" w:color="auto"/>
              <w:left w:val="single" w:sz="4" w:space="0" w:color="auto"/>
              <w:bottom w:val="single" w:sz="4" w:space="0" w:color="auto"/>
              <w:right w:val="single" w:sz="4" w:space="0" w:color="auto"/>
            </w:tcBorders>
            <w:hideMark/>
          </w:tcPr>
          <w:p w14:paraId="36A2CA85" w14:textId="77777777" w:rsidR="006E4DC8" w:rsidRPr="006E4DC8" w:rsidRDefault="006E4DC8" w:rsidP="006E4DC8">
            <w:pPr>
              <w:pStyle w:val="BodyText"/>
            </w:pPr>
            <w:r w:rsidRPr="006E4DC8">
              <w:lastRenderedPageBreak/>
              <w:t>Australian Institute of Health and Welfare</w:t>
            </w:r>
          </w:p>
        </w:tc>
        <w:tc>
          <w:tcPr>
            <w:tcW w:w="6093" w:type="dxa"/>
            <w:tcBorders>
              <w:top w:val="single" w:sz="4" w:space="0" w:color="auto"/>
              <w:left w:val="single" w:sz="4" w:space="0" w:color="auto"/>
              <w:bottom w:val="single" w:sz="4" w:space="0" w:color="auto"/>
              <w:right w:val="single" w:sz="4" w:space="0" w:color="auto"/>
            </w:tcBorders>
          </w:tcPr>
          <w:p w14:paraId="1E4010AF" w14:textId="77777777" w:rsidR="006E4DC8" w:rsidRPr="006E4DC8" w:rsidRDefault="006E4DC8" w:rsidP="006E4DC8">
            <w:pPr>
              <w:pStyle w:val="BodyText"/>
            </w:pPr>
            <w:r w:rsidRPr="006E4DC8">
              <w:t xml:space="preserve">Australian Institute of Health and Welfare. The five safes framework [Internet]. Canberra: Australian Institute of Health and Welfare; [updated 2021 Sep 1; cited 2022 May 30]. </w:t>
            </w:r>
            <w:r w:rsidRPr="006E4DC8">
              <w:lastRenderedPageBreak/>
              <w:t xml:space="preserve">Available from: </w:t>
            </w:r>
            <w:hyperlink r:id="rId60" w:history="1">
              <w:r w:rsidRPr="006E4DC8">
                <w:rPr>
                  <w:rStyle w:val="Hyperlink"/>
                </w:rPr>
                <w:t>https://www.aihw.gov.au/about-our-data/data-governance/the-five-safes-framework</w:t>
              </w:r>
            </w:hyperlink>
          </w:p>
          <w:p w14:paraId="1ACCBE2D" w14:textId="77777777" w:rsidR="006E4DC8" w:rsidRPr="006E4DC8" w:rsidRDefault="006E4DC8" w:rsidP="006E4DC8">
            <w:pPr>
              <w:pStyle w:val="BodyText"/>
            </w:pPr>
          </w:p>
          <w:p w14:paraId="3BA88B75" w14:textId="77777777" w:rsidR="006E4DC8" w:rsidRPr="006E4DC8" w:rsidRDefault="006E4DC8" w:rsidP="006E4DC8">
            <w:pPr>
              <w:pStyle w:val="BodyText"/>
            </w:pPr>
          </w:p>
        </w:tc>
      </w:tr>
      <w:tr w:rsidR="006E4DC8" w:rsidRPr="006E4DC8" w14:paraId="49CAE5C3" w14:textId="77777777" w:rsidTr="006E4DC8">
        <w:tc>
          <w:tcPr>
            <w:tcW w:w="3822" w:type="dxa"/>
            <w:tcBorders>
              <w:top w:val="single" w:sz="4" w:space="0" w:color="auto"/>
              <w:left w:val="single" w:sz="4" w:space="0" w:color="auto"/>
              <w:bottom w:val="single" w:sz="4" w:space="0" w:color="auto"/>
              <w:right w:val="single" w:sz="4" w:space="0" w:color="auto"/>
            </w:tcBorders>
          </w:tcPr>
          <w:p w14:paraId="6F0EC7E5" w14:textId="77777777" w:rsidR="006E4DC8" w:rsidRPr="006E4DC8" w:rsidRDefault="006E4DC8" w:rsidP="006E4DC8">
            <w:pPr>
              <w:pStyle w:val="BodyText"/>
              <w:rPr>
                <w:b/>
                <w:bCs/>
              </w:rPr>
            </w:pPr>
            <w:r w:rsidRPr="006E4DC8">
              <w:rPr>
                <w:b/>
                <w:bCs/>
              </w:rPr>
              <w:lastRenderedPageBreak/>
              <w:t>Data.gov.au</w:t>
            </w:r>
          </w:p>
          <w:p w14:paraId="25177FD9" w14:textId="77777777" w:rsidR="006E4DC8" w:rsidRPr="006E4DC8" w:rsidRDefault="006E4DC8" w:rsidP="006E4DC8">
            <w:pPr>
              <w:pStyle w:val="BodyText"/>
              <w:numPr>
                <w:ilvl w:val="0"/>
                <w:numId w:val="76"/>
              </w:numPr>
            </w:pPr>
            <w:r w:rsidRPr="006E4DC8">
              <w:t xml:space="preserve">is the central source of Australian open government data. Anyone can access the anonymised public data published by federal, </w:t>
            </w:r>
            <w:proofErr w:type="gramStart"/>
            <w:r w:rsidRPr="006E4DC8">
              <w:t>state</w:t>
            </w:r>
            <w:proofErr w:type="gramEnd"/>
            <w:r w:rsidRPr="006E4DC8">
              <w:t xml:space="preserve"> and local government agencies</w:t>
            </w:r>
          </w:p>
          <w:p w14:paraId="119071CA" w14:textId="77777777" w:rsidR="006E4DC8" w:rsidRPr="006E4DC8" w:rsidRDefault="006E4DC8" w:rsidP="006E4DC8">
            <w:pPr>
              <w:pStyle w:val="BodyText"/>
            </w:pPr>
          </w:p>
        </w:tc>
        <w:tc>
          <w:tcPr>
            <w:tcW w:w="2550" w:type="dxa"/>
            <w:tcBorders>
              <w:top w:val="single" w:sz="4" w:space="0" w:color="auto"/>
              <w:left w:val="single" w:sz="4" w:space="0" w:color="auto"/>
              <w:bottom w:val="single" w:sz="4" w:space="0" w:color="auto"/>
              <w:right w:val="single" w:sz="4" w:space="0" w:color="auto"/>
            </w:tcBorders>
            <w:hideMark/>
          </w:tcPr>
          <w:p w14:paraId="6D6A1092" w14:textId="77777777" w:rsidR="006E4DC8" w:rsidRPr="006E4DC8" w:rsidRDefault="006E4DC8" w:rsidP="006E4DC8">
            <w:pPr>
              <w:pStyle w:val="BodyText"/>
            </w:pPr>
            <w:r w:rsidRPr="006E4DC8">
              <w:t xml:space="preserve">Australian Government; supported by the Australian Bureau of Statistics </w:t>
            </w:r>
          </w:p>
        </w:tc>
        <w:tc>
          <w:tcPr>
            <w:tcW w:w="6093" w:type="dxa"/>
            <w:tcBorders>
              <w:top w:val="single" w:sz="4" w:space="0" w:color="auto"/>
              <w:left w:val="single" w:sz="4" w:space="0" w:color="auto"/>
              <w:bottom w:val="single" w:sz="4" w:space="0" w:color="auto"/>
              <w:right w:val="single" w:sz="4" w:space="0" w:color="auto"/>
            </w:tcBorders>
          </w:tcPr>
          <w:p w14:paraId="190AA81A" w14:textId="77777777" w:rsidR="006E4DC8" w:rsidRPr="006E4DC8" w:rsidRDefault="006E4DC8" w:rsidP="006E4DC8">
            <w:pPr>
              <w:pStyle w:val="BodyText"/>
            </w:pPr>
            <w:r w:rsidRPr="006E4DC8">
              <w:t xml:space="preserve">Australian Government. Data.gov.au [Internet]. Canberra: Australian Bureau of Statistics; [cited 2022 May 30]. Available from: </w:t>
            </w:r>
            <w:hyperlink r:id="rId61" w:history="1">
              <w:r w:rsidRPr="006E4DC8">
                <w:rPr>
                  <w:rStyle w:val="Hyperlink"/>
                </w:rPr>
                <w:t>https://data.gov.au/page/about</w:t>
              </w:r>
            </w:hyperlink>
          </w:p>
          <w:p w14:paraId="48DFB90C" w14:textId="77777777" w:rsidR="006E4DC8" w:rsidRPr="006E4DC8" w:rsidRDefault="006E4DC8" w:rsidP="006E4DC8">
            <w:pPr>
              <w:pStyle w:val="BodyText"/>
            </w:pPr>
          </w:p>
        </w:tc>
      </w:tr>
      <w:tr w:rsidR="006E4DC8" w:rsidRPr="006E4DC8" w14:paraId="1D5E03B2" w14:textId="77777777" w:rsidTr="006E4DC8">
        <w:tc>
          <w:tcPr>
            <w:tcW w:w="3822" w:type="dxa"/>
            <w:tcBorders>
              <w:top w:val="single" w:sz="4" w:space="0" w:color="auto"/>
              <w:left w:val="single" w:sz="4" w:space="0" w:color="auto"/>
              <w:bottom w:val="single" w:sz="4" w:space="0" w:color="auto"/>
              <w:right w:val="single" w:sz="4" w:space="0" w:color="auto"/>
            </w:tcBorders>
          </w:tcPr>
          <w:p w14:paraId="07DD52F8" w14:textId="77777777" w:rsidR="006E4DC8" w:rsidRPr="006E4DC8" w:rsidRDefault="006E4DC8" w:rsidP="006E4DC8">
            <w:pPr>
              <w:pStyle w:val="BodyText"/>
              <w:rPr>
                <w:b/>
                <w:bCs/>
              </w:rPr>
            </w:pPr>
            <w:r w:rsidRPr="006E4DC8">
              <w:rPr>
                <w:b/>
                <w:bCs/>
              </w:rPr>
              <w:t xml:space="preserve">Establishing an information governance framework </w:t>
            </w:r>
          </w:p>
          <w:p w14:paraId="50C4A180" w14:textId="77777777" w:rsidR="006E4DC8" w:rsidRPr="006E4DC8" w:rsidRDefault="006E4DC8" w:rsidP="006E4DC8">
            <w:pPr>
              <w:pStyle w:val="BodyText"/>
              <w:numPr>
                <w:ilvl w:val="0"/>
                <w:numId w:val="76"/>
              </w:numPr>
            </w:pPr>
            <w:r w:rsidRPr="006E4DC8">
              <w:t xml:space="preserve">includes a link to a Data Interoperability Maturity Model </w:t>
            </w:r>
            <w:hyperlink r:id="rId62" w:history="1">
              <w:r w:rsidRPr="006E4DC8">
                <w:rPr>
                  <w:rStyle w:val="Hyperlink"/>
                </w:rPr>
                <w:t>https://www.naa.gov.au/sites/default/files/2019-12/IM-Infographic-interoperatability-maturity-model-V2.pdf</w:t>
              </w:r>
            </w:hyperlink>
          </w:p>
          <w:p w14:paraId="22748830" w14:textId="77777777" w:rsidR="006E4DC8" w:rsidRPr="006E4DC8" w:rsidRDefault="006E4DC8" w:rsidP="006E4DC8">
            <w:pPr>
              <w:pStyle w:val="BodyText"/>
            </w:pPr>
          </w:p>
        </w:tc>
        <w:tc>
          <w:tcPr>
            <w:tcW w:w="2550" w:type="dxa"/>
            <w:tcBorders>
              <w:top w:val="single" w:sz="4" w:space="0" w:color="auto"/>
              <w:left w:val="single" w:sz="4" w:space="0" w:color="auto"/>
              <w:bottom w:val="single" w:sz="4" w:space="0" w:color="auto"/>
              <w:right w:val="single" w:sz="4" w:space="0" w:color="auto"/>
            </w:tcBorders>
            <w:hideMark/>
          </w:tcPr>
          <w:p w14:paraId="6B99675C" w14:textId="77777777" w:rsidR="006E4DC8" w:rsidRPr="006E4DC8" w:rsidRDefault="006E4DC8" w:rsidP="006E4DC8">
            <w:pPr>
              <w:pStyle w:val="BodyText"/>
            </w:pPr>
            <w:r w:rsidRPr="006E4DC8">
              <w:t>National Archives of Australia</w:t>
            </w:r>
          </w:p>
        </w:tc>
        <w:tc>
          <w:tcPr>
            <w:tcW w:w="6093" w:type="dxa"/>
            <w:tcBorders>
              <w:top w:val="single" w:sz="4" w:space="0" w:color="auto"/>
              <w:left w:val="single" w:sz="4" w:space="0" w:color="auto"/>
              <w:bottom w:val="single" w:sz="4" w:space="0" w:color="auto"/>
              <w:right w:val="single" w:sz="4" w:space="0" w:color="auto"/>
            </w:tcBorders>
          </w:tcPr>
          <w:p w14:paraId="771F3106" w14:textId="77777777" w:rsidR="006E4DC8" w:rsidRPr="006E4DC8" w:rsidRDefault="006E4DC8" w:rsidP="006E4DC8">
            <w:pPr>
              <w:pStyle w:val="BodyText"/>
            </w:pPr>
            <w:r w:rsidRPr="006E4DC8">
              <w:t xml:space="preserve">National Archives of Australia. Establishing an information governance framework [Internet]. Canberra: National Archives of Australia; [cited 2022 May 30]. Available from: </w:t>
            </w:r>
            <w:hyperlink r:id="rId63" w:history="1">
              <w:r w:rsidRPr="006E4DC8">
                <w:rPr>
                  <w:rStyle w:val="Hyperlink"/>
                </w:rPr>
                <w:t>https://www.naa.gov.au/information-management/information-governance/establishing-information-governance-framework</w:t>
              </w:r>
            </w:hyperlink>
          </w:p>
          <w:p w14:paraId="02A8B615" w14:textId="77777777" w:rsidR="006E4DC8" w:rsidRPr="006E4DC8" w:rsidRDefault="006E4DC8" w:rsidP="006E4DC8">
            <w:pPr>
              <w:pStyle w:val="BodyText"/>
            </w:pPr>
          </w:p>
        </w:tc>
      </w:tr>
      <w:tr w:rsidR="006E4DC8" w:rsidRPr="006E4DC8" w14:paraId="6ED8417D" w14:textId="77777777" w:rsidTr="006E4DC8">
        <w:tc>
          <w:tcPr>
            <w:tcW w:w="12465" w:type="dxa"/>
            <w:gridSpan w:val="3"/>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AC082C2" w14:textId="5D2EF8C0" w:rsidR="006E4DC8" w:rsidRPr="006E4DC8" w:rsidRDefault="006E4DC8" w:rsidP="006E4DC8">
            <w:pPr>
              <w:pStyle w:val="BodyText"/>
            </w:pPr>
            <w:r w:rsidRPr="006E4DC8">
              <w:t>State and territory guidance (</w:t>
            </w:r>
            <w:r w:rsidR="006B0A92">
              <w:t xml:space="preserve">add </w:t>
            </w:r>
            <w:r w:rsidRPr="006E4DC8">
              <w:t>other jurisdictional frameworks)</w:t>
            </w:r>
          </w:p>
          <w:p w14:paraId="066514B6" w14:textId="77777777" w:rsidR="006E4DC8" w:rsidRPr="006E4DC8" w:rsidRDefault="006E4DC8" w:rsidP="006E4DC8">
            <w:pPr>
              <w:pStyle w:val="BodyText"/>
            </w:pPr>
          </w:p>
        </w:tc>
      </w:tr>
      <w:tr w:rsidR="006E4DC8" w:rsidRPr="006E4DC8" w14:paraId="61B9A16D" w14:textId="77777777" w:rsidTr="006E4DC8">
        <w:tc>
          <w:tcPr>
            <w:tcW w:w="3822" w:type="dxa"/>
            <w:tcBorders>
              <w:top w:val="single" w:sz="4" w:space="0" w:color="auto"/>
              <w:left w:val="single" w:sz="4" w:space="0" w:color="auto"/>
              <w:bottom w:val="single" w:sz="4" w:space="0" w:color="auto"/>
              <w:right w:val="single" w:sz="4" w:space="0" w:color="auto"/>
            </w:tcBorders>
            <w:hideMark/>
          </w:tcPr>
          <w:p w14:paraId="79553B2A" w14:textId="77777777" w:rsidR="006E4DC8" w:rsidRPr="006E4DC8" w:rsidRDefault="006E4DC8" w:rsidP="006E4DC8">
            <w:pPr>
              <w:pStyle w:val="BodyText"/>
              <w:rPr>
                <w:b/>
                <w:bCs/>
              </w:rPr>
            </w:pPr>
            <w:r w:rsidRPr="006E4DC8">
              <w:rPr>
                <w:b/>
                <w:bCs/>
              </w:rPr>
              <w:t xml:space="preserve">NSW Health Data Governance Framework </w:t>
            </w:r>
          </w:p>
          <w:p w14:paraId="55CBA3AE" w14:textId="77777777" w:rsidR="006E4DC8" w:rsidRPr="006E4DC8" w:rsidRDefault="006E4DC8" w:rsidP="006E4DC8">
            <w:pPr>
              <w:pStyle w:val="BodyText"/>
              <w:numPr>
                <w:ilvl w:val="0"/>
                <w:numId w:val="76"/>
              </w:numPr>
            </w:pPr>
            <w:r w:rsidRPr="006E4DC8">
              <w:lastRenderedPageBreak/>
              <w:t xml:space="preserve">applies to </w:t>
            </w:r>
            <w:proofErr w:type="gramStart"/>
            <w:r w:rsidRPr="006E4DC8">
              <w:t>state wide</w:t>
            </w:r>
            <w:proofErr w:type="gramEnd"/>
            <w:r w:rsidRPr="006E4DC8">
              <w:t xml:space="preserve"> data assets that support the delivery of high quality safe patient care, enable timely response to population health issues, and promote the prevention and control of disease. </w:t>
            </w:r>
          </w:p>
        </w:tc>
        <w:tc>
          <w:tcPr>
            <w:tcW w:w="2550" w:type="dxa"/>
            <w:tcBorders>
              <w:top w:val="single" w:sz="4" w:space="0" w:color="auto"/>
              <w:left w:val="single" w:sz="4" w:space="0" w:color="auto"/>
              <w:bottom w:val="single" w:sz="4" w:space="0" w:color="auto"/>
              <w:right w:val="single" w:sz="4" w:space="0" w:color="auto"/>
            </w:tcBorders>
            <w:hideMark/>
          </w:tcPr>
          <w:p w14:paraId="005339EF" w14:textId="77777777" w:rsidR="006E4DC8" w:rsidRPr="006E4DC8" w:rsidRDefault="006E4DC8" w:rsidP="006E4DC8">
            <w:pPr>
              <w:pStyle w:val="BodyText"/>
            </w:pPr>
            <w:r w:rsidRPr="006E4DC8">
              <w:lastRenderedPageBreak/>
              <w:t xml:space="preserve">NSW Ministry of Health </w:t>
            </w:r>
          </w:p>
        </w:tc>
        <w:tc>
          <w:tcPr>
            <w:tcW w:w="6093" w:type="dxa"/>
            <w:tcBorders>
              <w:top w:val="single" w:sz="4" w:space="0" w:color="auto"/>
              <w:left w:val="single" w:sz="4" w:space="0" w:color="auto"/>
              <w:bottom w:val="single" w:sz="4" w:space="0" w:color="auto"/>
              <w:right w:val="single" w:sz="4" w:space="0" w:color="auto"/>
            </w:tcBorders>
          </w:tcPr>
          <w:p w14:paraId="13E232A2" w14:textId="77777777" w:rsidR="006E4DC8" w:rsidRPr="006E4DC8" w:rsidRDefault="006E4DC8" w:rsidP="006E4DC8">
            <w:pPr>
              <w:pStyle w:val="BodyText"/>
            </w:pPr>
            <w:r w:rsidRPr="006E4DC8">
              <w:t xml:space="preserve">NSW Health. Health Data Governance Framework 2019. [Internet]. Sydney: NSW Health; [cited 2022 May 30]. </w:t>
            </w:r>
            <w:r w:rsidRPr="006E4DC8">
              <w:lastRenderedPageBreak/>
              <w:t xml:space="preserve">Available from: </w:t>
            </w:r>
            <w:hyperlink r:id="rId64" w:history="1">
              <w:r w:rsidRPr="006E4DC8">
                <w:rPr>
                  <w:rStyle w:val="Hyperlink"/>
                </w:rPr>
                <w:t>https://www1.health.nsw.gov.au/pds/ActivePDSDocuments/GL2019_002.pdf</w:t>
              </w:r>
            </w:hyperlink>
          </w:p>
          <w:p w14:paraId="67BD3C27" w14:textId="77777777" w:rsidR="006E4DC8" w:rsidRPr="006E4DC8" w:rsidRDefault="006E4DC8" w:rsidP="006E4DC8">
            <w:pPr>
              <w:pStyle w:val="BodyText"/>
            </w:pPr>
          </w:p>
        </w:tc>
      </w:tr>
    </w:tbl>
    <w:p w14:paraId="7F1F45A3" w14:textId="77777777" w:rsidR="00514A54" w:rsidRDefault="00514A54" w:rsidP="00AD2554">
      <w:pPr>
        <w:pStyle w:val="BodyText"/>
        <w:rPr>
          <w:sz w:val="16"/>
        </w:rPr>
        <w:sectPr w:rsidR="00514A54" w:rsidSect="00895D3E">
          <w:pgSz w:w="16838" w:h="11906" w:orient="landscape" w:code="9"/>
          <w:pgMar w:top="1650" w:right="1219" w:bottom="726" w:left="1086" w:header="709" w:footer="0" w:gutter="0"/>
          <w:cols w:space="708"/>
          <w:docGrid w:linePitch="360"/>
        </w:sectPr>
      </w:pPr>
    </w:p>
    <w:p w14:paraId="0DB1E783" w14:textId="34676F22" w:rsidR="006E4DC8" w:rsidRPr="000F2520" w:rsidRDefault="006E4DC8" w:rsidP="00AD2554">
      <w:pPr>
        <w:pStyle w:val="BodyText"/>
        <w:rPr>
          <w:sz w:val="16"/>
        </w:rPr>
      </w:pPr>
    </w:p>
    <w:p w14:paraId="3D1E3DE9" w14:textId="77777777" w:rsidR="00AD2554" w:rsidRPr="000F2520" w:rsidRDefault="00AD2554" w:rsidP="003D2BA6">
      <w:pPr>
        <w:pStyle w:val="Heading2"/>
      </w:pPr>
      <w:bookmarkStart w:id="90" w:name="_Toc106613915"/>
      <w:r w:rsidRPr="000F2520">
        <w:t>Asset Management</w:t>
      </w:r>
      <w:bookmarkEnd w:id="90"/>
    </w:p>
    <w:p w14:paraId="4C39E637" w14:textId="77777777" w:rsidR="00AD2554" w:rsidRPr="000F2520" w:rsidRDefault="00AD2554" w:rsidP="00AD2554">
      <w:pPr>
        <w:pStyle w:val="Heading3"/>
        <w:numPr>
          <w:ilvl w:val="2"/>
          <w:numId w:val="21"/>
        </w:numPr>
        <w:tabs>
          <w:tab w:val="clear" w:pos="1276"/>
          <w:tab w:val="num" w:pos="2223"/>
        </w:tabs>
        <w:ind w:left="2223" w:hanging="180"/>
      </w:pPr>
      <w:bookmarkStart w:id="91" w:name="_Toc106613916"/>
      <w:r w:rsidRPr="000F2520">
        <w:t>Responsibility for health information assets</w:t>
      </w:r>
      <w:bookmarkEnd w:id="91"/>
    </w:p>
    <w:p w14:paraId="6441AC43" w14:textId="77777777" w:rsidR="00AD2554" w:rsidRPr="000F2520" w:rsidRDefault="00AD2554" w:rsidP="00AD2554">
      <w:pPr>
        <w:pStyle w:val="BodyText"/>
      </w:pPr>
      <w:r w:rsidRPr="000F2520">
        <w:rPr>
          <w:b/>
        </w:rPr>
        <w:t>Objective:</w:t>
      </w:r>
      <w:r w:rsidRPr="000F2520">
        <w:t xml:space="preserve"> To achieve and maintain appropriate protection of CQR and external data hosting infrastructure provider information assets.</w:t>
      </w:r>
    </w:p>
    <w:p w14:paraId="467A6FD7" w14:textId="77777777" w:rsidR="00AD2554" w:rsidRPr="000F2520" w:rsidRDefault="00AD2554" w:rsidP="00AD2554">
      <w:pPr>
        <w:pStyle w:val="BodyText"/>
      </w:pPr>
      <w:r w:rsidRPr="000F2520">
        <w:rPr>
          <w:b/>
        </w:rPr>
        <w:t xml:space="preserve">Guidance: </w:t>
      </w:r>
      <w:r w:rsidRPr="000F2520">
        <w:t xml:space="preserve">Information assets describe any information, or set of information, which has value to the organisation. </w:t>
      </w:r>
    </w:p>
    <w:p w14:paraId="62215B5A" w14:textId="77777777" w:rsidR="00AD2554" w:rsidRPr="000F2520" w:rsidRDefault="00AD2554" w:rsidP="00AD2554">
      <w:pPr>
        <w:pStyle w:val="BodyText"/>
      </w:pPr>
      <w:r w:rsidRPr="000F2520">
        <w:t>An information asset in a CQR context may include, but not be limited to:</w:t>
      </w:r>
    </w:p>
    <w:p w14:paraId="34BA7A24" w14:textId="77777777" w:rsidR="00AD2554" w:rsidRPr="000F2520" w:rsidRDefault="00AD2554" w:rsidP="00AD2554">
      <w:pPr>
        <w:pStyle w:val="BodyText"/>
        <w:numPr>
          <w:ilvl w:val="0"/>
          <w:numId w:val="50"/>
        </w:numPr>
      </w:pPr>
      <w:r w:rsidRPr="000F2520">
        <w:t>CQR databases</w:t>
      </w:r>
    </w:p>
    <w:p w14:paraId="70EC86E0" w14:textId="77777777" w:rsidR="00AD2554" w:rsidRPr="000F2520" w:rsidRDefault="00AD2554" w:rsidP="00AD2554">
      <w:pPr>
        <w:pStyle w:val="BodyText"/>
        <w:numPr>
          <w:ilvl w:val="0"/>
          <w:numId w:val="50"/>
        </w:numPr>
      </w:pPr>
      <w:r w:rsidRPr="000F2520">
        <w:t>IT hardware</w:t>
      </w:r>
    </w:p>
    <w:p w14:paraId="3CFF2A60" w14:textId="77777777" w:rsidR="00AD2554" w:rsidRPr="000F2520" w:rsidRDefault="00AD2554" w:rsidP="00AD2554">
      <w:pPr>
        <w:pStyle w:val="BodyText"/>
        <w:numPr>
          <w:ilvl w:val="0"/>
          <w:numId w:val="50"/>
        </w:numPr>
      </w:pPr>
      <w:r w:rsidRPr="000F2520">
        <w:t>internet connection software</w:t>
      </w:r>
    </w:p>
    <w:p w14:paraId="2409670A" w14:textId="77777777" w:rsidR="00AD2554" w:rsidRPr="000F2520" w:rsidRDefault="00AD2554" w:rsidP="00AD2554">
      <w:pPr>
        <w:pStyle w:val="BodyText"/>
        <w:numPr>
          <w:ilvl w:val="0"/>
          <w:numId w:val="50"/>
        </w:numPr>
      </w:pPr>
      <w:r w:rsidRPr="000F2520">
        <w:t>staff information</w:t>
      </w:r>
    </w:p>
    <w:p w14:paraId="17C2AD06" w14:textId="77777777" w:rsidR="00AD2554" w:rsidRPr="000F2520" w:rsidRDefault="00AD2554" w:rsidP="00AD2554">
      <w:pPr>
        <w:pStyle w:val="BodyText"/>
        <w:numPr>
          <w:ilvl w:val="0"/>
          <w:numId w:val="50"/>
        </w:numPr>
      </w:pPr>
      <w:r w:rsidRPr="000F2520">
        <w:t>participating institution/unit/clinician information.</w:t>
      </w:r>
    </w:p>
    <w:p w14:paraId="2274701C" w14:textId="77777777" w:rsidR="00AD2554" w:rsidRPr="000F2520" w:rsidRDefault="00AD2554" w:rsidP="00AD2554">
      <w:pPr>
        <w:pStyle w:val="BodyText"/>
      </w:pPr>
      <w:r w:rsidRPr="000F2520">
        <w:t xml:space="preserve">The information asset custodian should be a </w:t>
      </w:r>
      <w:proofErr w:type="gramStart"/>
      <w:r w:rsidRPr="000F2520">
        <w:t>Manager</w:t>
      </w:r>
      <w:proofErr w:type="gramEnd"/>
      <w:r w:rsidRPr="000F2520">
        <w:t xml:space="preserve"> or other stakeholder with a designated responsibility for maintaining the asset's currency and security. </w:t>
      </w:r>
    </w:p>
    <w:p w14:paraId="67FDAD19" w14:textId="77777777" w:rsidR="00AD2554" w:rsidRPr="000F2520" w:rsidRDefault="00AD2554" w:rsidP="00AD2554">
      <w:pPr>
        <w:pStyle w:val="BodyText"/>
      </w:pPr>
      <w:r w:rsidRPr="000F2520">
        <w:rPr>
          <w:b/>
        </w:rPr>
        <w:t>Architectural Impact:</w:t>
      </w:r>
      <w:r w:rsidRPr="000F2520">
        <w:t xml:space="preserve"> This domain is linked to the business function of data custodianship and affects all aspects of a CQR’s architecture.</w:t>
      </w:r>
    </w:p>
    <w:p w14:paraId="09E68A80" w14:textId="77777777" w:rsidR="00AD2554" w:rsidRPr="000F2520" w:rsidRDefault="00AD2554" w:rsidP="00AD2554">
      <w:pPr>
        <w:pStyle w:val="Heading3"/>
        <w:numPr>
          <w:ilvl w:val="2"/>
          <w:numId w:val="21"/>
        </w:numPr>
        <w:tabs>
          <w:tab w:val="clear" w:pos="1276"/>
          <w:tab w:val="num" w:pos="2223"/>
        </w:tabs>
        <w:ind w:left="2223" w:hanging="180"/>
      </w:pPr>
      <w:bookmarkStart w:id="92" w:name="_Toc106613917"/>
      <w:r w:rsidRPr="000F2520">
        <w:t>Health information classification</w:t>
      </w:r>
      <w:bookmarkEnd w:id="92"/>
    </w:p>
    <w:p w14:paraId="6C5C11FC" w14:textId="77777777" w:rsidR="00AD2554" w:rsidRPr="000F2520" w:rsidRDefault="00AD2554" w:rsidP="00AD2554">
      <w:pPr>
        <w:pStyle w:val="BodyText"/>
      </w:pPr>
      <w:r w:rsidRPr="000F2520">
        <w:rPr>
          <w:b/>
        </w:rPr>
        <w:t>Objective:</w:t>
      </w:r>
      <w:r w:rsidRPr="000F2520">
        <w:t xml:space="preserve"> To ensure that information receives an appropriate level of protection.</w:t>
      </w:r>
    </w:p>
    <w:p w14:paraId="232AE74F" w14:textId="77777777" w:rsidR="00AD2554" w:rsidRPr="000F2520" w:rsidRDefault="00AD2554" w:rsidP="00AD2554">
      <w:pPr>
        <w:pStyle w:val="BodyText"/>
      </w:pPr>
      <w:r w:rsidRPr="000F2520">
        <w:rPr>
          <w:b/>
        </w:rPr>
        <w:t xml:space="preserve">Guidance: </w:t>
      </w:r>
      <w:r w:rsidRPr="000F2520">
        <w:t xml:space="preserve">All personal health information is confidential and should be treated accordingly. </w:t>
      </w:r>
    </w:p>
    <w:p w14:paraId="3FF897CB" w14:textId="77777777" w:rsidR="00AD2554" w:rsidRPr="000F2520" w:rsidRDefault="00AD2554" w:rsidP="00AD2554">
      <w:pPr>
        <w:pStyle w:val="BodyText"/>
      </w:pPr>
      <w:r w:rsidRPr="000F2520">
        <w:t xml:space="preserve">Subjects of care that may be at elevated risk of unauthorised access (for example, CQR staff; heads of government; celebrities) may have their records tagged accordingly so that access can be closely monitored. However, their personal health information is not innately more confidential than that of other subjects of care.  </w:t>
      </w:r>
    </w:p>
    <w:p w14:paraId="3EE41545" w14:textId="77777777" w:rsidR="00AD2554" w:rsidRPr="000F2520" w:rsidRDefault="00AD2554" w:rsidP="00AD2554">
      <w:pPr>
        <w:pStyle w:val="BodyText"/>
      </w:pPr>
      <w:r w:rsidRPr="000F2520">
        <w:t>Not all health information is confidential and not all health information systems provide users with access to personal health information. Users of health information systems need to know when the data they are accessing contains personal health information.  The Technical Standard (ISO/TS 14265:2011) Health Informatics – Classification of purposes for processing personal health information provides a guideline for the classification and consistent management of information in the delivery of health care services and for the communication of electronic health records across organisational and jurisdictional boundaries.</w:t>
      </w:r>
      <w:r w:rsidRPr="000F2520">
        <w:rPr>
          <w:rStyle w:val="FootnoteReference"/>
        </w:rPr>
        <w:footnoteReference w:id="17"/>
      </w:r>
    </w:p>
    <w:p w14:paraId="4F10DFB1" w14:textId="77777777" w:rsidR="00AD2554" w:rsidRPr="000F2520" w:rsidRDefault="00AD2554" w:rsidP="00AD2554">
      <w:pPr>
        <w:pStyle w:val="BodyText"/>
      </w:pPr>
      <w:r w:rsidRPr="00A814FF">
        <w:rPr>
          <w:iCs/>
        </w:rPr>
        <w:t>The privacy of personal information or health information should be maintained in accordance with any requirements under applicable privacy law when used for purposes other than clinical care, for instance, research or statistical purposes.</w:t>
      </w:r>
    </w:p>
    <w:p w14:paraId="55626B28" w14:textId="3B00DFB2" w:rsidR="00AD2554" w:rsidRPr="000F2520" w:rsidRDefault="00AD2554" w:rsidP="00AD2554">
      <w:pPr>
        <w:pStyle w:val="BodyText"/>
      </w:pPr>
      <w:r w:rsidRPr="000F2520">
        <w:t xml:space="preserve">De-identification of personal health information is more than simply removing the patient's name. Whenever the information is in the form of individual data sets, there is a risk that the data set could be linked to a particular individual </w:t>
      </w:r>
      <w:proofErr w:type="gramStart"/>
      <w:r w:rsidRPr="000F2520">
        <w:t>on the basis of</w:t>
      </w:r>
      <w:proofErr w:type="gramEnd"/>
      <w:r w:rsidRPr="000F2520">
        <w:t xml:space="preserve"> details of age, postcode and medical condition. The more information included in the data set, the greater the risk of identification. Even where data </w:t>
      </w:r>
      <w:r w:rsidR="00200C6A">
        <w:t>are</w:t>
      </w:r>
      <w:r w:rsidRPr="000F2520">
        <w:t xml:space="preserve"> aggregated, care should be taken that the number of people in each ‘cell’ or sub-group is sufficient to ensure that the privacy of the individuals involved is not compromised.</w:t>
      </w:r>
    </w:p>
    <w:p w14:paraId="3BB5BFEA" w14:textId="77777777" w:rsidR="00AD2554" w:rsidRPr="000F2520" w:rsidRDefault="00AD2554" w:rsidP="00AD2554">
      <w:pPr>
        <w:pStyle w:val="BodyText"/>
      </w:pPr>
      <w:r w:rsidRPr="000F2520">
        <w:lastRenderedPageBreak/>
        <w:t xml:space="preserve">If de-identification is not possible or impractical, the </w:t>
      </w:r>
      <w:r w:rsidRPr="000F2520">
        <w:rPr>
          <w:rStyle w:val="Italchar"/>
          <w:iCs/>
        </w:rPr>
        <w:t>NHMRC Guidelines approved under Section 95A of the Privacy Act 1988,</w:t>
      </w:r>
      <w:r w:rsidRPr="000F2520">
        <w:t xml:space="preserve"> should be used.</w:t>
      </w:r>
    </w:p>
    <w:p w14:paraId="46903A71" w14:textId="77777777" w:rsidR="00AD2554" w:rsidRPr="000F2520" w:rsidRDefault="00AD2554" w:rsidP="00AD2554">
      <w:pPr>
        <w:pStyle w:val="BodyText"/>
      </w:pPr>
      <w:r w:rsidRPr="000F2520">
        <w:rPr>
          <w:b/>
        </w:rPr>
        <w:t>Architectural Impact:</w:t>
      </w:r>
      <w:r w:rsidRPr="000F2520">
        <w:t xml:space="preserve"> Data Extraction Service; Information Publishing Service; Reporting Service; Ad Hoc Query Service.</w:t>
      </w:r>
    </w:p>
    <w:p w14:paraId="261ED100" w14:textId="77777777" w:rsidR="00AD2554" w:rsidRPr="000F2520" w:rsidRDefault="00AD2554" w:rsidP="003D2BA6">
      <w:pPr>
        <w:pStyle w:val="Heading2"/>
      </w:pPr>
      <w:bookmarkStart w:id="93" w:name="_Toc106613918"/>
      <w:r w:rsidRPr="000F2520">
        <w:t>Human resources security</w:t>
      </w:r>
      <w:bookmarkEnd w:id="93"/>
    </w:p>
    <w:p w14:paraId="0744BF93" w14:textId="77777777" w:rsidR="00AD2554" w:rsidRPr="000F2520" w:rsidRDefault="00AD2554" w:rsidP="00AD2554">
      <w:pPr>
        <w:pStyle w:val="Heading3"/>
        <w:numPr>
          <w:ilvl w:val="2"/>
          <w:numId w:val="21"/>
        </w:numPr>
        <w:tabs>
          <w:tab w:val="clear" w:pos="1276"/>
          <w:tab w:val="num" w:pos="2223"/>
        </w:tabs>
        <w:ind w:left="2223" w:hanging="180"/>
      </w:pPr>
      <w:bookmarkStart w:id="94" w:name="_Toc106613919"/>
      <w:r w:rsidRPr="000F2520">
        <w:t>Prior to employment</w:t>
      </w:r>
      <w:bookmarkEnd w:id="94"/>
      <w:r w:rsidRPr="000F2520">
        <w:t xml:space="preserve"> </w:t>
      </w:r>
    </w:p>
    <w:p w14:paraId="73762452" w14:textId="77777777" w:rsidR="00AD2554" w:rsidRPr="000F2520" w:rsidRDefault="00AD2554" w:rsidP="00AD2554">
      <w:pPr>
        <w:pStyle w:val="BodyText"/>
      </w:pPr>
      <w:r w:rsidRPr="000F2520">
        <w:rPr>
          <w:b/>
        </w:rPr>
        <w:t>Objective:</w:t>
      </w:r>
      <w:r w:rsidRPr="000F2520">
        <w:t xml:space="preserve"> To ensure that employees, </w:t>
      </w:r>
      <w:proofErr w:type="gramStart"/>
      <w:r w:rsidRPr="000F2520">
        <w:t>contractors</w:t>
      </w:r>
      <w:proofErr w:type="gramEnd"/>
      <w:r w:rsidRPr="000F2520">
        <w:t xml:space="preserve"> and third-party users understand their responsibilities and are suitable for the roles they are considered for, and to reduce the risk of theft, fraud or misuse of facilities.</w:t>
      </w:r>
    </w:p>
    <w:p w14:paraId="165C474A" w14:textId="1202A408" w:rsidR="00AD2554" w:rsidRPr="000F2520" w:rsidRDefault="00AD2554" w:rsidP="00AD2554">
      <w:pPr>
        <w:pStyle w:val="BodyText"/>
      </w:pPr>
      <w:r w:rsidRPr="000F2520">
        <w:rPr>
          <w:b/>
        </w:rPr>
        <w:t xml:space="preserve">Guidance: </w:t>
      </w:r>
      <w:r w:rsidRPr="000F2520">
        <w:t>Involvement in processing personal health information, and security roles and responsibilities, should be documented in relevant job descriptions within CQRs</w:t>
      </w:r>
      <w:r w:rsidR="00895D3E">
        <w:t>.</w:t>
      </w:r>
    </w:p>
    <w:p w14:paraId="6D27B221" w14:textId="77777777" w:rsidR="00AD2554" w:rsidRPr="000F2520" w:rsidRDefault="00AD2554" w:rsidP="00AD2554">
      <w:pPr>
        <w:pStyle w:val="BodyText"/>
      </w:pPr>
      <w:r w:rsidRPr="000F2520">
        <w:t>Position Descriptions should include general responsibilities for information security, including, but not limited to, maintaining the confidentiality of health and personal information.</w:t>
      </w:r>
    </w:p>
    <w:p w14:paraId="26E98A6F" w14:textId="77777777" w:rsidR="00AD2554" w:rsidRPr="000F2520" w:rsidRDefault="00AD2554" w:rsidP="00AD2554">
      <w:pPr>
        <w:pStyle w:val="BodyText"/>
      </w:pPr>
      <w:r w:rsidRPr="000F2520">
        <w:t xml:space="preserve">Special attention should be placed on the position descriptions of temporary, </w:t>
      </w:r>
      <w:proofErr w:type="gramStart"/>
      <w:r w:rsidRPr="000F2520">
        <w:t>casual</w:t>
      </w:r>
      <w:proofErr w:type="gramEnd"/>
      <w:r w:rsidRPr="000F2520">
        <w:t xml:space="preserve"> and other short-term staff.</w:t>
      </w:r>
    </w:p>
    <w:p w14:paraId="68709445" w14:textId="0A5B8327" w:rsidR="00AD2554" w:rsidRPr="000F2520" w:rsidRDefault="00AD2554" w:rsidP="00AD2554">
      <w:pPr>
        <w:pStyle w:val="BodyText"/>
      </w:pPr>
      <w:r w:rsidRPr="000F2520">
        <w:t>CQRs should conduct criminal history checks and confirm professional qualifications for all employees, contractors and third parties (</w:t>
      </w:r>
      <w:proofErr w:type="gramStart"/>
      <w:r w:rsidRPr="000F2520">
        <w:t>e.g.</w:t>
      </w:r>
      <w:proofErr w:type="gramEnd"/>
      <w:r w:rsidRPr="000F2520">
        <w:t xml:space="preserve"> external data hosting infrastructure providers) requiring access to the CQR’s information.  </w:t>
      </w:r>
    </w:p>
    <w:p w14:paraId="41F51400" w14:textId="77777777" w:rsidR="00AD2554" w:rsidRPr="000F2520" w:rsidRDefault="00AD2554" w:rsidP="00AD2554">
      <w:pPr>
        <w:pStyle w:val="BodyText"/>
      </w:pPr>
      <w:r w:rsidRPr="000F2520">
        <w:t>The terms and conditions of employment should include the penalties incurred if the information security policy is breached and specify the rights that the employee/user will have to access health information and information systems.</w:t>
      </w:r>
    </w:p>
    <w:p w14:paraId="720D2448" w14:textId="77777777" w:rsidR="00AD2554" w:rsidRPr="000F2520" w:rsidRDefault="00AD2554" w:rsidP="00AD2554">
      <w:pPr>
        <w:pStyle w:val="BodyText"/>
        <w:rPr>
          <w:sz w:val="16"/>
        </w:rPr>
      </w:pPr>
      <w:r w:rsidRPr="000F2520">
        <w:rPr>
          <w:b/>
        </w:rPr>
        <w:t>Architectural Impact:</w:t>
      </w:r>
      <w:r w:rsidRPr="000F2520">
        <w:t xml:space="preserve"> Authentication Service; Authorisation Service; External User Management Service.</w:t>
      </w:r>
    </w:p>
    <w:p w14:paraId="7D35C7A7" w14:textId="77777777" w:rsidR="00AD2554" w:rsidRPr="000F2520" w:rsidRDefault="00AD2554" w:rsidP="00AD2554">
      <w:pPr>
        <w:pStyle w:val="Heading3"/>
        <w:numPr>
          <w:ilvl w:val="2"/>
          <w:numId w:val="21"/>
        </w:numPr>
        <w:tabs>
          <w:tab w:val="clear" w:pos="1276"/>
          <w:tab w:val="num" w:pos="2223"/>
        </w:tabs>
        <w:ind w:left="2223" w:hanging="180"/>
      </w:pPr>
      <w:bookmarkStart w:id="95" w:name="_Toc106613920"/>
      <w:r w:rsidRPr="000F2520">
        <w:t>During employment</w:t>
      </w:r>
      <w:bookmarkEnd w:id="95"/>
      <w:r w:rsidRPr="000F2520">
        <w:t xml:space="preserve"> </w:t>
      </w:r>
    </w:p>
    <w:p w14:paraId="13394848" w14:textId="77777777" w:rsidR="00AD2554" w:rsidRPr="000F2520" w:rsidRDefault="00AD2554" w:rsidP="00AD2554">
      <w:pPr>
        <w:pStyle w:val="BodyText"/>
      </w:pPr>
      <w:r w:rsidRPr="000F2520">
        <w:rPr>
          <w:b/>
        </w:rPr>
        <w:t>Objective:</w:t>
      </w:r>
      <w:r w:rsidRPr="000F2520">
        <w:t xml:space="preserve"> To ensure that employees, </w:t>
      </w:r>
      <w:proofErr w:type="gramStart"/>
      <w:r w:rsidRPr="000F2520">
        <w:t>contractors</w:t>
      </w:r>
      <w:proofErr w:type="gramEnd"/>
      <w:r w:rsidRPr="000F2520">
        <w:t xml:space="preserve"> and third-party users are aware of information security threats and concerns, their responsibilities and liabilities, are equipped to support organisational security policy in the course of their normal work, and to reduce the risk of human error.</w:t>
      </w:r>
    </w:p>
    <w:p w14:paraId="1796BA51" w14:textId="73C32424" w:rsidR="00AD2554" w:rsidRPr="000F2520" w:rsidRDefault="00AD2554" w:rsidP="00AD2554">
      <w:pPr>
        <w:pStyle w:val="BodyText"/>
      </w:pPr>
      <w:r w:rsidRPr="000F2520">
        <w:rPr>
          <w:b/>
        </w:rPr>
        <w:t xml:space="preserve">Guidance: </w:t>
      </w:r>
      <w:r w:rsidRPr="000F2520">
        <w:t xml:space="preserve">Managers within a CQR should ensure that employees and third-party users are: </w:t>
      </w:r>
    </w:p>
    <w:p w14:paraId="0C7665D5" w14:textId="77777777" w:rsidR="00AD2554" w:rsidRPr="000F2520" w:rsidRDefault="00AD2554" w:rsidP="00AD2554">
      <w:pPr>
        <w:pStyle w:val="BodyText"/>
        <w:numPr>
          <w:ilvl w:val="0"/>
          <w:numId w:val="50"/>
        </w:numPr>
      </w:pPr>
      <w:r w:rsidRPr="000F2520">
        <w:t>properly briefed on their information security roles and responsibilities prior to being granted access to the system</w:t>
      </w:r>
    </w:p>
    <w:p w14:paraId="352D5CE5" w14:textId="77777777" w:rsidR="00AD2554" w:rsidRPr="000F2520" w:rsidRDefault="00AD2554" w:rsidP="00AD2554">
      <w:pPr>
        <w:pStyle w:val="BodyText"/>
        <w:numPr>
          <w:ilvl w:val="0"/>
          <w:numId w:val="50"/>
        </w:numPr>
      </w:pPr>
      <w:r w:rsidRPr="000F2520">
        <w:t>provided with guidelines to state security expectations of their role within the CQR or in accessing CQR systems</w:t>
      </w:r>
    </w:p>
    <w:p w14:paraId="28517FBB" w14:textId="77777777" w:rsidR="00AD2554" w:rsidRPr="000F2520" w:rsidRDefault="00AD2554" w:rsidP="00AD2554">
      <w:pPr>
        <w:pStyle w:val="BodyText"/>
        <w:numPr>
          <w:ilvl w:val="0"/>
          <w:numId w:val="50"/>
        </w:numPr>
      </w:pPr>
      <w:r w:rsidRPr="000F2520">
        <w:t>motivated to fulfil the security policies of the CQR or external data hosting infrastructure provider to the CQR.</w:t>
      </w:r>
    </w:p>
    <w:p w14:paraId="599DE7CC" w14:textId="77777777" w:rsidR="00AD2554" w:rsidRPr="000F2520" w:rsidRDefault="00AD2554" w:rsidP="00AD2554">
      <w:pPr>
        <w:pStyle w:val="BodyText"/>
      </w:pPr>
      <w:r w:rsidRPr="000F2520">
        <w:t xml:space="preserve">Management should implement security awareness training programs for all employees of the organisation and third parties that access health or personal information. Plans to review the effectiveness of the training should be developed and implemented by management.  </w:t>
      </w:r>
    </w:p>
    <w:p w14:paraId="19D26629" w14:textId="77777777" w:rsidR="00AD2554" w:rsidRPr="000F2520" w:rsidRDefault="00AD2554" w:rsidP="00AD2554">
      <w:pPr>
        <w:pStyle w:val="BodyText"/>
      </w:pPr>
      <w:r w:rsidRPr="000F2520">
        <w:t xml:space="preserve">Management should develop the disciplinary process and ensure that all employees are aware of the penalties for breaching the information security policy. Users should also be aware of legislative penalties due to breaches of the Privacy or other Health Act/s.  </w:t>
      </w:r>
    </w:p>
    <w:p w14:paraId="37A5FFB2" w14:textId="77777777" w:rsidR="00AD2554" w:rsidRPr="000F2520" w:rsidRDefault="00AD2554" w:rsidP="00AD2554">
      <w:pPr>
        <w:pStyle w:val="BodyText"/>
        <w:rPr>
          <w:sz w:val="16"/>
        </w:rPr>
      </w:pPr>
      <w:r w:rsidRPr="000F2520">
        <w:rPr>
          <w:b/>
        </w:rPr>
        <w:t>Architectural Impact:</w:t>
      </w:r>
      <w:r w:rsidRPr="000F2520">
        <w:t xml:space="preserve"> Authentication Service; Authorisation Service; External User Management Service</w:t>
      </w:r>
    </w:p>
    <w:p w14:paraId="764F3078" w14:textId="77777777" w:rsidR="00AD2554" w:rsidRPr="000F2520" w:rsidRDefault="00AD2554" w:rsidP="00AD2554">
      <w:pPr>
        <w:pStyle w:val="Heading3"/>
        <w:numPr>
          <w:ilvl w:val="2"/>
          <w:numId w:val="21"/>
        </w:numPr>
        <w:tabs>
          <w:tab w:val="clear" w:pos="1276"/>
          <w:tab w:val="num" w:pos="2223"/>
        </w:tabs>
        <w:ind w:left="2223" w:hanging="180"/>
      </w:pPr>
      <w:bookmarkStart w:id="96" w:name="_Toc106613921"/>
      <w:r w:rsidRPr="000F2520">
        <w:lastRenderedPageBreak/>
        <w:t>Termination or change of employment</w:t>
      </w:r>
      <w:bookmarkEnd w:id="96"/>
      <w:r w:rsidRPr="000F2520">
        <w:t xml:space="preserve"> </w:t>
      </w:r>
    </w:p>
    <w:p w14:paraId="57035F82" w14:textId="77777777" w:rsidR="00AD2554" w:rsidRPr="000F2520" w:rsidRDefault="00AD2554" w:rsidP="00AD2554">
      <w:pPr>
        <w:pStyle w:val="BodyText"/>
      </w:pPr>
      <w:r w:rsidRPr="000F2520">
        <w:rPr>
          <w:b/>
        </w:rPr>
        <w:t>Objective:</w:t>
      </w:r>
      <w:r w:rsidRPr="000F2520">
        <w:t xml:space="preserve"> To ensure that employees, </w:t>
      </w:r>
      <w:proofErr w:type="gramStart"/>
      <w:r w:rsidRPr="000F2520">
        <w:t>contractors</w:t>
      </w:r>
      <w:proofErr w:type="gramEnd"/>
      <w:r w:rsidRPr="000F2520">
        <w:t xml:space="preserve"> and third-party users exit an organisation or change employment in an orderly manner.</w:t>
      </w:r>
    </w:p>
    <w:p w14:paraId="3773D811" w14:textId="204E6307" w:rsidR="00AD2554" w:rsidRPr="000F2520" w:rsidRDefault="00AD2554" w:rsidP="00AD2554">
      <w:pPr>
        <w:pStyle w:val="BodyText"/>
      </w:pPr>
      <w:r w:rsidRPr="000F2520">
        <w:rPr>
          <w:b/>
        </w:rPr>
        <w:t xml:space="preserve">Guidance: </w:t>
      </w:r>
      <w:r w:rsidRPr="000F2520">
        <w:t xml:space="preserve">Changes in employment </w:t>
      </w:r>
      <w:proofErr w:type="gramStart"/>
      <w:r w:rsidRPr="000F2520">
        <w:t>e.g.</w:t>
      </w:r>
      <w:proofErr w:type="gramEnd"/>
      <w:r w:rsidRPr="000F2520">
        <w:t xml:space="preserve"> progression through training programs and other 'rotations' where access rights can change fundamentally, should be processed in the same way as for individuals leaving the CQR employment.</w:t>
      </w:r>
    </w:p>
    <w:p w14:paraId="7234D5D8" w14:textId="77777777" w:rsidR="00AD2554" w:rsidRPr="000F2520" w:rsidRDefault="00AD2554" w:rsidP="00AD2554">
      <w:pPr>
        <w:pStyle w:val="BodyText"/>
      </w:pPr>
      <w:r w:rsidRPr="000F2520">
        <w:t xml:space="preserve">Consider linking the information security termination process with the human resource termination process to minimise delay with the return of assets and disabling employee or third-party credentials. </w:t>
      </w:r>
    </w:p>
    <w:p w14:paraId="6FFCBF38" w14:textId="7D2D8646" w:rsidR="00AD2554" w:rsidRPr="000F2520" w:rsidRDefault="00AD2554" w:rsidP="00AD2554">
      <w:pPr>
        <w:pStyle w:val="BodyText"/>
      </w:pPr>
      <w:r w:rsidRPr="000F2520">
        <w:t>Terminated CQR or</w:t>
      </w:r>
      <w:r w:rsidR="00EB5B0F">
        <w:t xml:space="preserve"> </w:t>
      </w:r>
      <w:r w:rsidR="006D4E4E">
        <w:t>centrally hosted jurisdictional CQR</w:t>
      </w:r>
      <w:r w:rsidRPr="000F2520">
        <w:t xml:space="preserve"> employees should not have access to health or personal information after leaving the organisation. </w:t>
      </w:r>
    </w:p>
    <w:p w14:paraId="4E40BC02" w14:textId="77777777" w:rsidR="00AD2554" w:rsidRPr="000F2520" w:rsidRDefault="00AD2554" w:rsidP="00AD2554">
      <w:pPr>
        <w:pStyle w:val="BodyText"/>
      </w:pPr>
      <w:r w:rsidRPr="000F2520">
        <w:t xml:space="preserve">Transferred or rotated employees or third parties should not have access to health or personal information, beyond that which is required for their current role in relation to accessing CQR information. </w:t>
      </w:r>
    </w:p>
    <w:p w14:paraId="24796B86" w14:textId="77777777" w:rsidR="00AD2554" w:rsidRPr="000F2520" w:rsidRDefault="00AD2554" w:rsidP="00AD2554">
      <w:pPr>
        <w:pStyle w:val="BodyText"/>
      </w:pPr>
      <w:r w:rsidRPr="000F2520">
        <w:t>Access credentials should not be deleted in case of future creation. It is important to not re-issue credentials (</w:t>
      </w:r>
      <w:proofErr w:type="gramStart"/>
      <w:r w:rsidRPr="000F2520">
        <w:t>e.g.</w:t>
      </w:r>
      <w:proofErr w:type="gramEnd"/>
      <w:r w:rsidRPr="000F2520">
        <w:t xml:space="preserve"> user names) of an employee that has been terminated to another employee.  </w:t>
      </w:r>
    </w:p>
    <w:p w14:paraId="611EC281" w14:textId="77777777" w:rsidR="00AD2554" w:rsidRPr="000F2520" w:rsidRDefault="00AD2554" w:rsidP="00AD2554">
      <w:pPr>
        <w:pStyle w:val="BodyText"/>
        <w:rPr>
          <w:sz w:val="16"/>
        </w:rPr>
      </w:pPr>
      <w:r w:rsidRPr="000F2520">
        <w:rPr>
          <w:b/>
        </w:rPr>
        <w:t>Architectural Impact:</w:t>
      </w:r>
      <w:r w:rsidRPr="000F2520">
        <w:t xml:space="preserve"> Authentication Service; Authorisation Service; External User Management Service</w:t>
      </w:r>
    </w:p>
    <w:p w14:paraId="7418ABFF" w14:textId="77777777" w:rsidR="00AD2554" w:rsidRPr="000F2520" w:rsidRDefault="00AD2554" w:rsidP="003D2BA6">
      <w:pPr>
        <w:pStyle w:val="Heading2"/>
      </w:pPr>
      <w:bookmarkStart w:id="97" w:name="_Toc106613922"/>
      <w:r w:rsidRPr="000F2520">
        <w:t>Physical and environmental security</w:t>
      </w:r>
      <w:bookmarkEnd w:id="97"/>
    </w:p>
    <w:p w14:paraId="718B4D5F" w14:textId="77777777" w:rsidR="00AD2554" w:rsidRPr="000F2520" w:rsidRDefault="00AD2554" w:rsidP="00AD2554">
      <w:pPr>
        <w:pStyle w:val="Heading3"/>
        <w:numPr>
          <w:ilvl w:val="2"/>
          <w:numId w:val="21"/>
        </w:numPr>
        <w:tabs>
          <w:tab w:val="clear" w:pos="1276"/>
          <w:tab w:val="num" w:pos="2223"/>
        </w:tabs>
        <w:ind w:left="2223" w:hanging="180"/>
      </w:pPr>
      <w:bookmarkStart w:id="98" w:name="_Toc106613923"/>
      <w:r w:rsidRPr="000F2520">
        <w:t>Secure areas</w:t>
      </w:r>
      <w:bookmarkEnd w:id="98"/>
    </w:p>
    <w:p w14:paraId="0824198B" w14:textId="77777777" w:rsidR="00AD2554" w:rsidRPr="000F2520" w:rsidRDefault="00AD2554" w:rsidP="00AD2554">
      <w:pPr>
        <w:pStyle w:val="BodyText"/>
      </w:pPr>
      <w:r w:rsidRPr="000F2520">
        <w:rPr>
          <w:b/>
        </w:rPr>
        <w:t>Objective:</w:t>
      </w:r>
      <w:r w:rsidRPr="000F2520">
        <w:t xml:space="preserve"> To prevent unauthorised physical access, damage, and interference to the organisation's premises and information.</w:t>
      </w:r>
    </w:p>
    <w:p w14:paraId="6BF4AFDA" w14:textId="77777777" w:rsidR="00AD2554" w:rsidRPr="000F2520" w:rsidRDefault="00AD2554" w:rsidP="00AD2554">
      <w:pPr>
        <w:pStyle w:val="BodyText"/>
      </w:pPr>
      <w:r w:rsidRPr="000F2520">
        <w:rPr>
          <w:b/>
        </w:rPr>
        <w:t xml:space="preserve">Guidance: </w:t>
      </w:r>
      <w:r w:rsidRPr="000F2520">
        <w:t>Central information and communications facilities within a CQR or external data hosting infrastructure provider to a CQR (computer or communications rooms) should house file servers and core network infrastructure equipment and have a defined perimeter with entry controls (</w:t>
      </w:r>
      <w:proofErr w:type="gramStart"/>
      <w:r w:rsidRPr="000F2520">
        <w:t>e.g.</w:t>
      </w:r>
      <w:proofErr w:type="gramEnd"/>
      <w:r w:rsidRPr="000F2520">
        <w:t xml:space="preserve"> locks on doors). </w:t>
      </w:r>
    </w:p>
    <w:p w14:paraId="250B2D8A" w14:textId="77777777" w:rsidR="00AD2554" w:rsidRPr="000F2520" w:rsidRDefault="00AD2554" w:rsidP="00AD2554">
      <w:pPr>
        <w:pStyle w:val="BodyText"/>
      </w:pPr>
      <w:r w:rsidRPr="000F2520">
        <w:t>CQRs and their external data hosting infrastructure providers should take sensible steps to ensure that unauthorised personnel are only as accessible to IT equipment (servers, storage device, terminals and displays) as physical constraints demand.</w:t>
      </w:r>
    </w:p>
    <w:p w14:paraId="38DEDDFA" w14:textId="77777777" w:rsidR="00AD2554" w:rsidRPr="000F2520" w:rsidRDefault="00AD2554" w:rsidP="00AD2554">
      <w:pPr>
        <w:pStyle w:val="BodyText"/>
      </w:pPr>
      <w:r w:rsidRPr="000F2520">
        <w:t xml:space="preserve">When employees or external data hosting infrastructure providers are working in secure areas (computer or communications rooms), access to these rooms should be monitored and auditable. </w:t>
      </w:r>
    </w:p>
    <w:p w14:paraId="58F6874D" w14:textId="77777777" w:rsidR="00AD2554" w:rsidRPr="000F2520" w:rsidRDefault="00AD2554" w:rsidP="00AD2554">
      <w:pPr>
        <w:pStyle w:val="BodyText"/>
      </w:pPr>
      <w:r w:rsidRPr="000F2520">
        <w:t xml:space="preserve">Public areas within participating institutions where CQR information is gathered through interview or that contain systems where CQR data are entered or viewed on screen should take sensible steps to ensure that the public are only as accessible to terminals and displays as physical constraints and clinical processes demand. For example, placing notices in these areas that remind employees to curtail discussion of patient cases in public areas. </w:t>
      </w:r>
    </w:p>
    <w:p w14:paraId="04B179C1" w14:textId="77777777" w:rsidR="00AD2554" w:rsidRPr="000F2520" w:rsidRDefault="00AD2554" w:rsidP="00AD2554">
      <w:pPr>
        <w:pStyle w:val="BodyText"/>
        <w:rPr>
          <w:sz w:val="16"/>
        </w:rPr>
      </w:pPr>
      <w:r w:rsidRPr="000F2520">
        <w:rPr>
          <w:b/>
        </w:rPr>
        <w:t>Architectural Impact:</w:t>
      </w:r>
      <w:r w:rsidRPr="000F2520">
        <w:t xml:space="preserve"> Hosting Service</w:t>
      </w:r>
    </w:p>
    <w:p w14:paraId="2798A05B" w14:textId="77777777" w:rsidR="00AD2554" w:rsidRPr="000F2520" w:rsidRDefault="00AD2554" w:rsidP="00AD2554">
      <w:pPr>
        <w:pStyle w:val="Heading3"/>
        <w:numPr>
          <w:ilvl w:val="2"/>
          <w:numId w:val="21"/>
        </w:numPr>
        <w:tabs>
          <w:tab w:val="clear" w:pos="1276"/>
          <w:tab w:val="num" w:pos="2223"/>
        </w:tabs>
        <w:ind w:left="2223" w:hanging="180"/>
      </w:pPr>
      <w:bookmarkStart w:id="99" w:name="_Toc310418884"/>
      <w:bookmarkStart w:id="100" w:name="_Toc106613924"/>
      <w:r w:rsidRPr="000F2520">
        <w:t>Equipment Security</w:t>
      </w:r>
      <w:bookmarkEnd w:id="99"/>
      <w:bookmarkEnd w:id="100"/>
    </w:p>
    <w:p w14:paraId="254C823A" w14:textId="77777777" w:rsidR="00AD2554" w:rsidRPr="000F2520" w:rsidRDefault="00AD2554" w:rsidP="00AD2554">
      <w:pPr>
        <w:pStyle w:val="BodyText"/>
      </w:pPr>
      <w:r w:rsidRPr="000F2520">
        <w:rPr>
          <w:b/>
        </w:rPr>
        <w:t>Objective:</w:t>
      </w:r>
      <w:r w:rsidRPr="000F2520">
        <w:t xml:space="preserve"> To prevent loss, damage, theft or compromise of assets and interruption to the CQR’s activities</w:t>
      </w:r>
    </w:p>
    <w:p w14:paraId="032CA345" w14:textId="77777777" w:rsidR="00AD2554" w:rsidRPr="000F2520" w:rsidRDefault="00AD2554" w:rsidP="00AD2554">
      <w:pPr>
        <w:pStyle w:val="BodyText"/>
      </w:pPr>
      <w:r w:rsidRPr="000F2520">
        <w:rPr>
          <w:b/>
        </w:rPr>
        <w:t xml:space="preserve">Guidance: </w:t>
      </w:r>
      <w:r w:rsidRPr="000F2520">
        <w:t>CQRs or their external data hosting infrastructure providers should situate any workstations allowing access to personal health information in a way that prevents unintended viewing or access by unauthorised personnel. Organisations should ensure that the siting and protection guidelines for IT equipment minimise exposure of health and personal information, for example through the attaching a privacy filter to screens that may be viewable by unauthorised personnel.</w:t>
      </w:r>
    </w:p>
    <w:p w14:paraId="62804A62" w14:textId="77777777" w:rsidR="00AD2554" w:rsidRPr="000F2520" w:rsidRDefault="00AD2554" w:rsidP="00AD2554">
      <w:pPr>
        <w:pStyle w:val="BodyText"/>
      </w:pPr>
      <w:r w:rsidRPr="000F2520">
        <w:lastRenderedPageBreak/>
        <w:t xml:space="preserve">Some geographic areas susceptible to power failures or loss should consider the use of generated power as a backup.  </w:t>
      </w:r>
    </w:p>
    <w:p w14:paraId="6EB273E8" w14:textId="77777777" w:rsidR="00AD2554" w:rsidRPr="000F2520" w:rsidRDefault="00AD2554" w:rsidP="00AD2554">
      <w:pPr>
        <w:pStyle w:val="BodyText"/>
      </w:pPr>
      <w:r w:rsidRPr="000F2520">
        <w:t xml:space="preserve">CQRs, or their external data hosting infrastructure providers, that regularly utilise equipment containing health or personal information off-premises should consider developing a Portable Device Policy and procedures to guide employees in the use and security of such equipment. </w:t>
      </w:r>
    </w:p>
    <w:p w14:paraId="4F15881C" w14:textId="77777777" w:rsidR="00AD2554" w:rsidRPr="000F2520" w:rsidRDefault="00AD2554" w:rsidP="00AD2554">
      <w:pPr>
        <w:pStyle w:val="BodyText"/>
      </w:pPr>
      <w:r w:rsidRPr="000F2520">
        <w:t xml:space="preserve">Only approved, reputable organisations should be used to resell or dispose of any equipment that may contain or has transmitted health or personal information. </w:t>
      </w:r>
    </w:p>
    <w:p w14:paraId="08138BB1" w14:textId="77777777" w:rsidR="00AD2554" w:rsidRPr="000F2520" w:rsidRDefault="00AD2554" w:rsidP="00AD2554">
      <w:pPr>
        <w:pStyle w:val="BodyText"/>
      </w:pPr>
      <w:r w:rsidRPr="000F2520">
        <w:t>Electronic records that are no longer needed should be deleted. However, it is very difficult to reliably remove all traces of electronically stored information. Organisations will need to be aware that deletion may only remove the file-reference but leave all the other information intact.</w:t>
      </w:r>
    </w:p>
    <w:p w14:paraId="70E2BFE4" w14:textId="77777777" w:rsidR="00AD2554" w:rsidRPr="000F2520" w:rsidRDefault="00AD2554" w:rsidP="00AD2554">
      <w:pPr>
        <w:pStyle w:val="BodyText"/>
        <w:rPr>
          <w:sz w:val="16"/>
        </w:rPr>
      </w:pPr>
      <w:r w:rsidRPr="000F2520">
        <w:rPr>
          <w:b/>
        </w:rPr>
        <w:t>Architectural Impact:</w:t>
      </w:r>
      <w:r w:rsidRPr="000F2520">
        <w:t xml:space="preserve"> Hosting Service; Hardware Service</w:t>
      </w:r>
    </w:p>
    <w:p w14:paraId="45E88FAE" w14:textId="77777777" w:rsidR="00AD2554" w:rsidRPr="000F2520" w:rsidRDefault="00AD2554" w:rsidP="00AD2554">
      <w:pPr>
        <w:pStyle w:val="BodyText"/>
      </w:pPr>
    </w:p>
    <w:p w14:paraId="05DCD7D0" w14:textId="77777777" w:rsidR="00AD2554" w:rsidRPr="000F2520" w:rsidRDefault="00AD2554" w:rsidP="003D2BA6">
      <w:pPr>
        <w:pStyle w:val="Heading2"/>
      </w:pPr>
      <w:bookmarkStart w:id="101" w:name="_Toc106613925"/>
      <w:r w:rsidRPr="000F2520">
        <w:t>Communications and Operations Management</w:t>
      </w:r>
      <w:bookmarkEnd w:id="101"/>
    </w:p>
    <w:p w14:paraId="044FF2A0" w14:textId="77777777" w:rsidR="00AD2554" w:rsidRPr="000F2520" w:rsidRDefault="00AD2554" w:rsidP="00AD2554">
      <w:pPr>
        <w:pStyle w:val="Heading3"/>
        <w:numPr>
          <w:ilvl w:val="2"/>
          <w:numId w:val="21"/>
        </w:numPr>
        <w:tabs>
          <w:tab w:val="clear" w:pos="1276"/>
          <w:tab w:val="num" w:pos="2223"/>
        </w:tabs>
        <w:ind w:left="2223" w:hanging="180"/>
      </w:pPr>
      <w:bookmarkStart w:id="102" w:name="_Toc106613926"/>
      <w:r w:rsidRPr="000F2520">
        <w:t>Operational procedures and Responsibilities</w:t>
      </w:r>
      <w:bookmarkEnd w:id="102"/>
    </w:p>
    <w:p w14:paraId="0A1B901D" w14:textId="77777777" w:rsidR="00AD2554" w:rsidRPr="000F2520" w:rsidRDefault="00AD2554" w:rsidP="00AD2554">
      <w:pPr>
        <w:pStyle w:val="BodyText"/>
        <w:rPr>
          <w:b/>
        </w:rPr>
      </w:pPr>
      <w:r w:rsidRPr="000F2520">
        <w:rPr>
          <w:b/>
        </w:rPr>
        <w:t xml:space="preserve">Objective: </w:t>
      </w:r>
      <w:r w:rsidRPr="000F2520">
        <w:t>To ensure the correct and secure operation of information processing facilities</w:t>
      </w:r>
    </w:p>
    <w:p w14:paraId="5E744D8C" w14:textId="77777777" w:rsidR="00AD2554" w:rsidRPr="000F2520" w:rsidRDefault="00AD2554" w:rsidP="00AD2554">
      <w:pPr>
        <w:pStyle w:val="BodyText"/>
      </w:pPr>
      <w:r w:rsidRPr="000F2520">
        <w:rPr>
          <w:b/>
        </w:rPr>
        <w:t xml:space="preserve">Guidance: </w:t>
      </w:r>
      <w:r w:rsidRPr="000F2520">
        <w:t>CQRs and external data hosting infrastructure providers should have documented and maintained operating procedures.  These should specify the instructions for the detailed execution of each job, including scheduling and any interdependencies, special data processing, specific backup requirements, error handling, specialised support team where available, start-up and stop processes and handling of log information including audit trails.</w:t>
      </w:r>
    </w:p>
    <w:p w14:paraId="2ECFE9B9" w14:textId="77777777" w:rsidR="00AD2554" w:rsidRPr="000F2520" w:rsidRDefault="00AD2554" w:rsidP="00AD2554">
      <w:pPr>
        <w:pStyle w:val="BodyText"/>
      </w:pPr>
      <w:r w:rsidRPr="000F2520">
        <w:t>Inadequate or inappropriate testing of changes to information processing facilities and systems is a common cause of system or security failures and can have disastrous consequences for CQRs.</w:t>
      </w:r>
    </w:p>
    <w:p w14:paraId="79462D54" w14:textId="77777777" w:rsidR="00AD2554" w:rsidRPr="000F2520" w:rsidRDefault="00AD2554" w:rsidP="00AD2554">
      <w:pPr>
        <w:pStyle w:val="BodyText"/>
      </w:pPr>
      <w:r w:rsidRPr="000F2520">
        <w:t>Organisations should document change management processes that describe how to assess and identify the risks to the operational environment, especially when transferring a system from development to operational stage.</w:t>
      </w:r>
    </w:p>
    <w:p w14:paraId="1445E887" w14:textId="77777777" w:rsidR="00AD2554" w:rsidRPr="000F2520" w:rsidRDefault="00AD2554" w:rsidP="00AD2554">
      <w:pPr>
        <w:pStyle w:val="BodyText"/>
      </w:pPr>
      <w:r w:rsidRPr="000F2520">
        <w:t>Large organisations commonly use a service management guideline such as ITIL (the IT Infrastructure Library).  These guidelines will commonly describe a robust change management process that can support the effective management of the information processing environment as business needs require.</w:t>
      </w:r>
    </w:p>
    <w:p w14:paraId="58F64401" w14:textId="77777777" w:rsidR="00AD2554" w:rsidRPr="000F2520" w:rsidRDefault="00AD2554" w:rsidP="00AD2554">
      <w:pPr>
        <w:pStyle w:val="BodyText"/>
      </w:pPr>
      <w:r w:rsidRPr="000F2520">
        <w:t xml:space="preserve">CQRs and external data hosting infrastructure providers should, where possible, segregate areas of responsibility to reduce the possibility of unauthorised access, </w:t>
      </w:r>
      <w:proofErr w:type="gramStart"/>
      <w:r w:rsidRPr="000F2520">
        <w:t>modification</w:t>
      </w:r>
      <w:proofErr w:type="gramEnd"/>
      <w:r w:rsidRPr="000F2520">
        <w:t xml:space="preserve"> or misuse of personal information.</w:t>
      </w:r>
    </w:p>
    <w:p w14:paraId="7A9BC6B5" w14:textId="77777777" w:rsidR="00AD2554" w:rsidRPr="000F2520" w:rsidRDefault="00AD2554" w:rsidP="00AD2554">
      <w:pPr>
        <w:pStyle w:val="BodyText"/>
      </w:pPr>
      <w:r w:rsidRPr="000F2520">
        <w:t>Standalone CQRs may find segregation of duties difficult to achieve, but the principle should be applied as far as is possible and practicable. Whenever it is difficult to segregate duties, other controls including monitoring of activities, audit trails and management supervision should be considered. It is important that security audit remains independent.</w:t>
      </w:r>
    </w:p>
    <w:p w14:paraId="4523009E" w14:textId="77777777" w:rsidR="00AD2554" w:rsidRPr="000F2520" w:rsidRDefault="00AD2554" w:rsidP="00AD2554">
      <w:pPr>
        <w:pStyle w:val="BodyText"/>
      </w:pPr>
      <w:r w:rsidRPr="000F2520">
        <w:t>Although implementing this control area may commonly be realised by using more than one person in a role to ensure that operations can be monitored, the control needed is often finer-grained.  For example, it is good practice to prevent database administrators from being able to also administer the system that audits access to the database.  A malicious attacker who might gain access to the database would seek to hide their activities by altering log files or access logs; separating these roles (and systems) is prudent and can provide additional detection capabilities in the event of an attack.</w:t>
      </w:r>
    </w:p>
    <w:p w14:paraId="6ADB98C5" w14:textId="77777777" w:rsidR="00AD2554" w:rsidRPr="000F2520" w:rsidRDefault="00AD2554" w:rsidP="00AD2554">
      <w:pPr>
        <w:pStyle w:val="BodyText"/>
        <w:rPr>
          <w:sz w:val="16"/>
        </w:rPr>
      </w:pPr>
      <w:r w:rsidRPr="000F2520">
        <w:rPr>
          <w:b/>
        </w:rPr>
        <w:t>Architectural Impact:</w:t>
      </w:r>
      <w:r w:rsidRPr="000F2520">
        <w:t xml:space="preserve"> All aspects of a CQR’s architecture.</w:t>
      </w:r>
    </w:p>
    <w:p w14:paraId="0580A293" w14:textId="77777777" w:rsidR="00AD2554" w:rsidRPr="000F2520" w:rsidRDefault="00AD2554" w:rsidP="00AD2554">
      <w:pPr>
        <w:pStyle w:val="Heading3"/>
        <w:numPr>
          <w:ilvl w:val="2"/>
          <w:numId w:val="21"/>
        </w:numPr>
        <w:tabs>
          <w:tab w:val="clear" w:pos="1276"/>
          <w:tab w:val="num" w:pos="2223"/>
        </w:tabs>
        <w:ind w:left="2223" w:hanging="180"/>
      </w:pPr>
      <w:bookmarkStart w:id="103" w:name="_Toc106613927"/>
      <w:r w:rsidRPr="000F2520">
        <w:lastRenderedPageBreak/>
        <w:t>Third party service delivery management</w:t>
      </w:r>
      <w:bookmarkEnd w:id="103"/>
    </w:p>
    <w:p w14:paraId="32E98F2F" w14:textId="77777777" w:rsidR="00AD2554" w:rsidRPr="000F2520" w:rsidRDefault="00AD2554" w:rsidP="00AD2554">
      <w:pPr>
        <w:pStyle w:val="BodyText"/>
        <w:rPr>
          <w:b/>
        </w:rPr>
      </w:pPr>
      <w:r w:rsidRPr="000F2520">
        <w:rPr>
          <w:b/>
        </w:rPr>
        <w:t xml:space="preserve">Objective: </w:t>
      </w:r>
      <w:r w:rsidRPr="000F2520">
        <w:t>To implement and maintain the appropriate level of information security and service delivery in line with third-party service delivery agreements.</w:t>
      </w:r>
    </w:p>
    <w:p w14:paraId="4526D73D" w14:textId="77777777" w:rsidR="00AD2554" w:rsidRPr="000F2520" w:rsidRDefault="00AD2554" w:rsidP="00AD2554">
      <w:pPr>
        <w:pStyle w:val="BodyText"/>
      </w:pPr>
      <w:r w:rsidRPr="000F2520">
        <w:rPr>
          <w:b/>
        </w:rPr>
        <w:t xml:space="preserve">Guidance:  </w:t>
      </w:r>
      <w:r w:rsidRPr="000F2520">
        <w:t>Any contract that describes a service delivery by a third party should include the agreed security arrangements, service definitions, and aspects of service management. It should also describe how the third party will maintain sufficient service capability to ensure that agreed service continuity levels are maintained following major service failures or disaster</w:t>
      </w:r>
    </w:p>
    <w:p w14:paraId="7E1C1ED7" w14:textId="77777777" w:rsidR="00AD2554" w:rsidRPr="000F2520" w:rsidRDefault="00AD2554" w:rsidP="00AD2554">
      <w:pPr>
        <w:pStyle w:val="BodyText"/>
      </w:pPr>
      <w:r w:rsidRPr="000F2520">
        <w:t>When outsourcing CQR information or ICT systems to an external data hosting infrastructure provider, CQRs should ensure that the security and integrity of CQR information is maintained throughout the transition period and during the outsourcing contract.</w:t>
      </w:r>
    </w:p>
    <w:p w14:paraId="17D81C96" w14:textId="77777777" w:rsidR="00AD2554" w:rsidRPr="000F2520" w:rsidRDefault="00AD2554" w:rsidP="00AD2554">
      <w:pPr>
        <w:pStyle w:val="BodyText"/>
      </w:pPr>
      <w:r w:rsidRPr="000F2520">
        <w:t xml:space="preserve">CQRs or service providers should assign a designated individual or service management team the responsibility for managing the third-party. The third party should assign responsibilities for checking for compliance and enforcing the requirements of the contractual agreements. Resources should be made available to monitor </w:t>
      </w:r>
      <w:proofErr w:type="gramStart"/>
      <w:r w:rsidRPr="000F2520">
        <w:t>that requirements of the contractual agreement</w:t>
      </w:r>
      <w:proofErr w:type="gramEnd"/>
      <w:r w:rsidRPr="000F2520">
        <w:t>, in particular the information security requirements, are being met. Appropriate action should be taken when deficiencies are identified.</w:t>
      </w:r>
    </w:p>
    <w:p w14:paraId="58CD7158" w14:textId="77777777" w:rsidR="00AD2554" w:rsidRPr="000F2520" w:rsidRDefault="00AD2554" w:rsidP="00AD2554">
      <w:pPr>
        <w:pStyle w:val="BodyText"/>
      </w:pPr>
      <w:r w:rsidRPr="000F2520">
        <w:t>CQRs should maintain overall control and visibility into all security aspects for information processed or managed by a third party and ensure they have tools and resources to maintain control of change management, identification of vulnerabilities, and information security incident reporting/response.</w:t>
      </w:r>
    </w:p>
    <w:p w14:paraId="5C82286A" w14:textId="77777777" w:rsidR="00AD2554" w:rsidRPr="000F2520" w:rsidRDefault="00AD2554" w:rsidP="00AD2554">
      <w:pPr>
        <w:pStyle w:val="BodyText"/>
      </w:pPr>
      <w:r w:rsidRPr="000F2520">
        <w:t>The ultimate responsibility for health information processed by an outsourcing party remains with the CQR.</w:t>
      </w:r>
    </w:p>
    <w:p w14:paraId="0855567C" w14:textId="77777777" w:rsidR="00AD2554" w:rsidRPr="000F2520" w:rsidRDefault="00AD2554" w:rsidP="00AD2554">
      <w:pPr>
        <w:pStyle w:val="BodyText"/>
        <w:rPr>
          <w:sz w:val="16"/>
        </w:rPr>
      </w:pPr>
      <w:r w:rsidRPr="000F2520">
        <w:rPr>
          <w:b/>
        </w:rPr>
        <w:t>Architectural Impact:</w:t>
      </w:r>
      <w:r w:rsidRPr="000F2520">
        <w:t xml:space="preserve"> All aspects of a CQR’s architecture.</w:t>
      </w:r>
    </w:p>
    <w:p w14:paraId="4CE37CB5" w14:textId="5BA03D88" w:rsidR="00AD2554" w:rsidRPr="000F2520" w:rsidRDefault="00AD2554" w:rsidP="00AD2554">
      <w:pPr>
        <w:pStyle w:val="Heading3"/>
        <w:numPr>
          <w:ilvl w:val="2"/>
          <w:numId w:val="21"/>
        </w:numPr>
        <w:tabs>
          <w:tab w:val="clear" w:pos="1276"/>
          <w:tab w:val="num" w:pos="2223"/>
        </w:tabs>
        <w:ind w:left="2223" w:hanging="180"/>
      </w:pPr>
      <w:bookmarkStart w:id="104" w:name="_Toc106613928"/>
      <w:r w:rsidRPr="000F2520">
        <w:t xml:space="preserve">System </w:t>
      </w:r>
      <w:r w:rsidR="008C5979">
        <w:t>p</w:t>
      </w:r>
      <w:r w:rsidRPr="000F2520">
        <w:t xml:space="preserve">lanning and </w:t>
      </w:r>
      <w:r w:rsidR="008C5979">
        <w:t>a</w:t>
      </w:r>
      <w:r w:rsidRPr="000F2520">
        <w:t>cceptance</w:t>
      </w:r>
      <w:bookmarkEnd w:id="104"/>
    </w:p>
    <w:p w14:paraId="4E34054B" w14:textId="77777777" w:rsidR="00AD2554" w:rsidRPr="000F2520" w:rsidRDefault="00AD2554" w:rsidP="00AD2554">
      <w:pPr>
        <w:pStyle w:val="BodyText"/>
        <w:rPr>
          <w:b/>
        </w:rPr>
      </w:pPr>
      <w:r w:rsidRPr="000F2520">
        <w:rPr>
          <w:b/>
        </w:rPr>
        <w:t xml:space="preserve">Objective: </w:t>
      </w:r>
      <w:r w:rsidRPr="000F2520">
        <w:t>To minimise the risk of systems failures.</w:t>
      </w:r>
    </w:p>
    <w:p w14:paraId="3CBBEA69" w14:textId="77777777" w:rsidR="00AD2554" w:rsidRPr="000F2520" w:rsidRDefault="00AD2554" w:rsidP="00AD2554">
      <w:pPr>
        <w:pStyle w:val="BodyText"/>
      </w:pPr>
      <w:r w:rsidRPr="000F2520">
        <w:rPr>
          <w:b/>
        </w:rPr>
        <w:t xml:space="preserve">Guidance: </w:t>
      </w:r>
      <w:r w:rsidRPr="000F2520">
        <w:t>Systems should be monitored to ensure the availability of systems and to plan for system upgrades. Key system components, especially those with specialist or extended procurement processes, should have regular updates to future projections of requirements, identifying trends in usage.</w:t>
      </w:r>
    </w:p>
    <w:p w14:paraId="101C81A8" w14:textId="77777777" w:rsidR="00AD2554" w:rsidRPr="000F2520" w:rsidRDefault="00AD2554" w:rsidP="00AD2554">
      <w:pPr>
        <w:pStyle w:val="BodyText"/>
      </w:pPr>
      <w:r w:rsidRPr="000F2520">
        <w:t>CQRs and service providers should have documented acceptance criteria including the formal testing that must be performed and formal sign-off processes.  Testing should exercise all aspects of the new system or upgrade and include the operation, user, business continuity and security functions. The extent and rigour of the testing should reflect the risks identified in the risk assessment associated with the change.</w:t>
      </w:r>
    </w:p>
    <w:p w14:paraId="30A6D6C2" w14:textId="77777777" w:rsidR="00AD2554" w:rsidRPr="000F2520" w:rsidRDefault="00AD2554" w:rsidP="00AD2554">
      <w:pPr>
        <w:pStyle w:val="BodyText"/>
      </w:pPr>
      <w:r w:rsidRPr="000F2520">
        <w:t>Acceptance criteria should also ensure that there are agreed and documented security controls, business continuity plan and operations/user manuals.</w:t>
      </w:r>
    </w:p>
    <w:p w14:paraId="0B89AA52" w14:textId="77777777" w:rsidR="00AD2554" w:rsidRPr="000F2520" w:rsidRDefault="00AD2554" w:rsidP="00AD2554">
      <w:pPr>
        <w:pStyle w:val="BodyText"/>
      </w:pPr>
      <w:r w:rsidRPr="000F2520">
        <w:t>[Source for guidance: NESAF]</w:t>
      </w:r>
    </w:p>
    <w:p w14:paraId="3B57B719" w14:textId="77777777" w:rsidR="00AD2554" w:rsidRPr="000F2520" w:rsidRDefault="00AD2554" w:rsidP="00AD2554">
      <w:pPr>
        <w:pStyle w:val="BodyText"/>
        <w:rPr>
          <w:sz w:val="16"/>
        </w:rPr>
      </w:pPr>
      <w:r w:rsidRPr="000F2520">
        <w:rPr>
          <w:b/>
        </w:rPr>
        <w:t>Architectural Impact:</w:t>
      </w:r>
      <w:r w:rsidRPr="000F2520">
        <w:t xml:space="preserve"> All aspects of a CQR’s architecture.</w:t>
      </w:r>
    </w:p>
    <w:p w14:paraId="2F181379" w14:textId="77777777" w:rsidR="00AD2554" w:rsidRPr="000F2520" w:rsidRDefault="00AD2554" w:rsidP="00AD2554">
      <w:pPr>
        <w:pStyle w:val="BodyText"/>
      </w:pPr>
    </w:p>
    <w:p w14:paraId="49AFD72F" w14:textId="77777777" w:rsidR="00AD2554" w:rsidRPr="000F2520" w:rsidRDefault="00AD2554" w:rsidP="00AD2554">
      <w:pPr>
        <w:pStyle w:val="Heading3"/>
        <w:numPr>
          <w:ilvl w:val="2"/>
          <w:numId w:val="21"/>
        </w:numPr>
        <w:tabs>
          <w:tab w:val="clear" w:pos="1276"/>
          <w:tab w:val="num" w:pos="2223"/>
        </w:tabs>
        <w:ind w:left="2223" w:hanging="180"/>
      </w:pPr>
      <w:bookmarkStart w:id="105" w:name="_Toc106613929"/>
      <w:r w:rsidRPr="000F2520">
        <w:t>Protection against malicious and mobile code</w:t>
      </w:r>
      <w:bookmarkEnd w:id="105"/>
    </w:p>
    <w:p w14:paraId="79DEF1D3" w14:textId="77777777" w:rsidR="00AD2554" w:rsidRPr="000F2520" w:rsidRDefault="00AD2554" w:rsidP="00AD2554">
      <w:pPr>
        <w:pStyle w:val="BodyText"/>
        <w:rPr>
          <w:b/>
        </w:rPr>
      </w:pPr>
      <w:r w:rsidRPr="000F2520">
        <w:rPr>
          <w:b/>
        </w:rPr>
        <w:t xml:space="preserve">Objective: </w:t>
      </w:r>
      <w:r w:rsidRPr="000F2520">
        <w:t>To protect the integrity of software and information.</w:t>
      </w:r>
    </w:p>
    <w:p w14:paraId="78F01DFD" w14:textId="77777777" w:rsidR="00AD2554" w:rsidRPr="000F2520" w:rsidRDefault="00AD2554" w:rsidP="00AD2554">
      <w:pPr>
        <w:pStyle w:val="BodyText"/>
      </w:pPr>
      <w:r w:rsidRPr="000F2520">
        <w:rPr>
          <w:b/>
        </w:rPr>
        <w:t xml:space="preserve">Guidance: </w:t>
      </w:r>
      <w:r w:rsidRPr="000F2520">
        <w:t xml:space="preserve">CQRs and service providers should ensure they have anti-malware software running on all devices as well as any network boundary; and </w:t>
      </w:r>
      <w:proofErr w:type="gramStart"/>
      <w:r w:rsidRPr="000F2520">
        <w:t>that processes</w:t>
      </w:r>
      <w:proofErr w:type="gramEnd"/>
      <w:r w:rsidRPr="000F2520">
        <w:t xml:space="preserve"> are in place to ensure that the anti-malware software and signatures are kept up to date, preferably by automated procedures. The anti-malware software should scan the computer hard disk on a regular basis (</w:t>
      </w:r>
      <w:proofErr w:type="gramStart"/>
      <w:r w:rsidRPr="000F2520">
        <w:t>i.e.</w:t>
      </w:r>
      <w:proofErr w:type="gramEnd"/>
      <w:r w:rsidRPr="000F2520">
        <w:t xml:space="preserve"> once per week); as well as any removable storage devices (e.g. USB drives, optical media, etc). It should also monitor other ingress point such as email, and web browsing.</w:t>
      </w:r>
    </w:p>
    <w:p w14:paraId="2EBB7A4F" w14:textId="77777777" w:rsidR="00AD2554" w:rsidRPr="000F2520" w:rsidRDefault="00AD2554" w:rsidP="00AD2554">
      <w:pPr>
        <w:pStyle w:val="BodyText"/>
      </w:pPr>
      <w:r w:rsidRPr="000F2520">
        <w:lastRenderedPageBreak/>
        <w:t xml:space="preserve">CQRs should document clear policies prohibiting the download and/or installation of unauthorised software, and the use of the organisation’s computers for accessing Internet sites for </w:t>
      </w:r>
      <w:proofErr w:type="spellStart"/>
      <w:proofErr w:type="gramStart"/>
      <w:r w:rsidRPr="000F2520">
        <w:t>non work-related</w:t>
      </w:r>
      <w:proofErr w:type="spellEnd"/>
      <w:proofErr w:type="gramEnd"/>
      <w:r w:rsidRPr="000F2520">
        <w:t xml:space="preserve"> activities, as this could expose the computer to malicious code. Users should be trained and made aware of the policies.</w:t>
      </w:r>
    </w:p>
    <w:p w14:paraId="694FE4DD" w14:textId="77777777" w:rsidR="00AD2554" w:rsidRPr="000F2520" w:rsidRDefault="00AD2554" w:rsidP="00AD2554">
      <w:pPr>
        <w:pStyle w:val="BodyText"/>
      </w:pPr>
      <w:r w:rsidRPr="000F2520">
        <w:t>CQRs and service providers should have documented procedures for how to deal with an infected computer, including business continuity plans and how to recover any log files or audit records to determine if there was any compromise.</w:t>
      </w:r>
    </w:p>
    <w:p w14:paraId="390BED05" w14:textId="77777777" w:rsidR="00AD2554" w:rsidRPr="000F2520" w:rsidRDefault="00AD2554" w:rsidP="00AD2554">
      <w:pPr>
        <w:pStyle w:val="BodyText"/>
      </w:pPr>
      <w:r w:rsidRPr="000F2520">
        <w:t>Mobile code is software code which transfers from one computer to another and then executes automatically. It normally performs a specific function without any user interaction and is often associated with middleware services.</w:t>
      </w:r>
    </w:p>
    <w:p w14:paraId="1990A087" w14:textId="77777777" w:rsidR="00AD2554" w:rsidRPr="000F2520" w:rsidRDefault="00AD2554" w:rsidP="00AD2554">
      <w:pPr>
        <w:pStyle w:val="BodyText"/>
      </w:pPr>
      <w:r w:rsidRPr="000F2520">
        <w:t>CQRs and service providers should ensure that any legitimate mobile code that is used within their environment is signed by a trusted code-signing certificate. They should then disable the download and execution of all other mobile code; and should enforce a policy on an exception basis.</w:t>
      </w:r>
    </w:p>
    <w:p w14:paraId="5C6B0800" w14:textId="77777777" w:rsidR="00AD2554" w:rsidRPr="000F2520" w:rsidRDefault="00AD2554" w:rsidP="00AD2554">
      <w:pPr>
        <w:pStyle w:val="BodyText"/>
      </w:pPr>
      <w:r w:rsidRPr="000F2520">
        <w:rPr>
          <w:b/>
        </w:rPr>
        <w:t xml:space="preserve">Architectural Impacts: </w:t>
      </w:r>
      <w:r w:rsidRPr="000F2520">
        <w:t>Presentation Service; Application Service; Infrastructure Security Service</w:t>
      </w:r>
    </w:p>
    <w:p w14:paraId="111EC13E" w14:textId="77777777" w:rsidR="00AD2554" w:rsidRPr="000F2520" w:rsidRDefault="00AD2554" w:rsidP="00AD2554">
      <w:pPr>
        <w:pStyle w:val="Heading3"/>
        <w:numPr>
          <w:ilvl w:val="2"/>
          <w:numId w:val="21"/>
        </w:numPr>
        <w:tabs>
          <w:tab w:val="clear" w:pos="1276"/>
          <w:tab w:val="num" w:pos="2223"/>
        </w:tabs>
        <w:ind w:left="2223" w:hanging="180"/>
      </w:pPr>
      <w:bookmarkStart w:id="106" w:name="_Toc106613930"/>
      <w:r w:rsidRPr="000F2520">
        <w:t>Health information backup</w:t>
      </w:r>
      <w:bookmarkEnd w:id="106"/>
    </w:p>
    <w:p w14:paraId="63E827CF" w14:textId="77777777" w:rsidR="00AD2554" w:rsidRPr="000F2520" w:rsidRDefault="00AD2554" w:rsidP="00AD2554">
      <w:pPr>
        <w:pStyle w:val="BodyText"/>
        <w:rPr>
          <w:b/>
        </w:rPr>
      </w:pPr>
      <w:r w:rsidRPr="000F2520">
        <w:rPr>
          <w:b/>
        </w:rPr>
        <w:t xml:space="preserve">Objective: </w:t>
      </w:r>
      <w:r w:rsidRPr="000F2520">
        <w:t>To maintain the integrity and availability of information and information processing facilities.</w:t>
      </w:r>
    </w:p>
    <w:p w14:paraId="5C4C2A8E" w14:textId="77777777" w:rsidR="00AD2554" w:rsidRPr="000F2520" w:rsidRDefault="00AD2554" w:rsidP="00AD2554">
      <w:pPr>
        <w:pStyle w:val="BodyText"/>
      </w:pPr>
      <w:r w:rsidRPr="000F2520">
        <w:rPr>
          <w:b/>
        </w:rPr>
        <w:t>Guidance:</w:t>
      </w:r>
      <w:r w:rsidRPr="000F2520">
        <w:t xml:space="preserve"> Processes that support the back-up of CQR information and essential software so that it can be recovered in the event of a disaster or system failure should be documented and tested. These processes should include what items are to be backed-up; how often the back-up is run; what media is used and how it is to be rotated; and where the back-ups are to be stored.</w:t>
      </w:r>
    </w:p>
    <w:p w14:paraId="71097B2D" w14:textId="77777777" w:rsidR="00AD2554" w:rsidRPr="000F2520" w:rsidRDefault="00AD2554" w:rsidP="00AD2554">
      <w:pPr>
        <w:pStyle w:val="BodyText"/>
      </w:pPr>
      <w:r w:rsidRPr="000F2520">
        <w:t>The information that is backed-up should be encrypted to ensure its confidentiality. The keys used for the back-up should be changed on a regular basis and should be secured at a separate location to the back-up media.</w:t>
      </w:r>
    </w:p>
    <w:p w14:paraId="13C75547" w14:textId="77777777" w:rsidR="00AD2554" w:rsidRPr="000F2520" w:rsidRDefault="00AD2554" w:rsidP="00AD2554">
      <w:pPr>
        <w:pStyle w:val="BodyText"/>
      </w:pPr>
      <w:r w:rsidRPr="000F2520">
        <w:t>The physical and environmental protection features implemented at the storage site should be consistent with those at the main data centre.</w:t>
      </w:r>
    </w:p>
    <w:p w14:paraId="611F35DF" w14:textId="77777777" w:rsidR="00AD2554" w:rsidRPr="000F2520" w:rsidRDefault="00AD2554" w:rsidP="00AD2554">
      <w:pPr>
        <w:pStyle w:val="BodyText"/>
        <w:rPr>
          <w:b/>
        </w:rPr>
      </w:pPr>
      <w:r w:rsidRPr="000F2520">
        <w:rPr>
          <w:b/>
        </w:rPr>
        <w:t xml:space="preserve">Architectural Impacts: </w:t>
      </w:r>
      <w:r w:rsidRPr="000F2520">
        <w:t>System Management Service; Repository Service</w:t>
      </w:r>
    </w:p>
    <w:p w14:paraId="056284E1" w14:textId="77777777" w:rsidR="00AD2554" w:rsidRPr="000F2520" w:rsidRDefault="00AD2554" w:rsidP="00AD2554">
      <w:pPr>
        <w:pStyle w:val="Heading3"/>
        <w:numPr>
          <w:ilvl w:val="2"/>
          <w:numId w:val="21"/>
        </w:numPr>
        <w:tabs>
          <w:tab w:val="clear" w:pos="1276"/>
          <w:tab w:val="num" w:pos="2223"/>
        </w:tabs>
        <w:ind w:left="2223" w:hanging="180"/>
      </w:pPr>
      <w:bookmarkStart w:id="107" w:name="_Toc106613931"/>
      <w:r w:rsidRPr="000F2520">
        <w:t>Network Security Management</w:t>
      </w:r>
      <w:bookmarkEnd w:id="107"/>
    </w:p>
    <w:p w14:paraId="2F906F8D" w14:textId="77777777" w:rsidR="00AD2554" w:rsidRPr="000F2520" w:rsidRDefault="00AD2554" w:rsidP="00AD2554">
      <w:pPr>
        <w:pStyle w:val="BodyText"/>
      </w:pPr>
      <w:r w:rsidRPr="000F2520">
        <w:rPr>
          <w:b/>
        </w:rPr>
        <w:t xml:space="preserve">Objective: </w:t>
      </w:r>
      <w:r w:rsidRPr="000F2520">
        <w:t>To ensure the protection of information in networks and the protection of the supporting infrastructure</w:t>
      </w:r>
    </w:p>
    <w:p w14:paraId="53143675" w14:textId="77777777" w:rsidR="00AD2554" w:rsidRPr="000F2520" w:rsidRDefault="00AD2554" w:rsidP="00AD2554">
      <w:pPr>
        <w:pStyle w:val="BodyText"/>
      </w:pPr>
      <w:r w:rsidRPr="000F2520">
        <w:rPr>
          <w:b/>
        </w:rPr>
        <w:t xml:space="preserve">Guidance: </w:t>
      </w:r>
      <w:r w:rsidRPr="000F2520">
        <w:t>CQRs or service providers should document clear procedures and responsibilities on the management of network equipment and services including controls to ensure the confidentiality and integrity of data passing over the network, especially public and wireless networks; appropriate monitoring and logging to enable clear auditing of events on the network; and clearly defined operational responsibilities, especially if part of the network is provided by a third-party.</w:t>
      </w:r>
    </w:p>
    <w:p w14:paraId="497A1639" w14:textId="77777777" w:rsidR="00AD2554" w:rsidRPr="000F2520" w:rsidRDefault="00AD2554" w:rsidP="00AD2554">
      <w:pPr>
        <w:pStyle w:val="BodyText"/>
      </w:pPr>
      <w:r w:rsidRPr="000F2520">
        <w:t>CQRs should ensure business continuity plans are in place in case of extended network failure.</w:t>
      </w:r>
    </w:p>
    <w:p w14:paraId="6BB35BE0" w14:textId="77777777" w:rsidR="00AD2554" w:rsidRPr="000F2520" w:rsidRDefault="00AD2554" w:rsidP="00AD2554">
      <w:pPr>
        <w:pStyle w:val="BodyText"/>
      </w:pPr>
      <w:r w:rsidRPr="000F2520">
        <w:t>CQRs should ensure they have documented agreed service features including the security features, service levels and management of the network service. They should have the ability to monitor the network service and should have clearly defined escalation paths if issues are identified.</w:t>
      </w:r>
    </w:p>
    <w:p w14:paraId="5AD8920A" w14:textId="77777777" w:rsidR="00AD2554" w:rsidRPr="000F2520" w:rsidRDefault="00AD2554" w:rsidP="00AD2554">
      <w:pPr>
        <w:pStyle w:val="BodyText"/>
      </w:pPr>
      <w:r w:rsidRPr="000F2520">
        <w:t>The security features that are identified should include controls for accessing the network, maintaining confidentiality and integrity across the network, and monitoring and reporting on network activity.</w:t>
      </w:r>
    </w:p>
    <w:p w14:paraId="4167789A" w14:textId="77777777" w:rsidR="00AD2554" w:rsidRPr="000F2520" w:rsidRDefault="00AD2554" w:rsidP="00AD2554">
      <w:pPr>
        <w:pStyle w:val="BodyText"/>
      </w:pPr>
      <w:r w:rsidRPr="000F2520">
        <w:rPr>
          <w:b/>
        </w:rPr>
        <w:t xml:space="preserve">Architectural Impacts: </w:t>
      </w:r>
      <w:r w:rsidRPr="000F2520">
        <w:t>Network Service</w:t>
      </w:r>
    </w:p>
    <w:p w14:paraId="398A8629" w14:textId="77777777" w:rsidR="00AD2554" w:rsidRPr="000F2520" w:rsidRDefault="00AD2554" w:rsidP="00AD2554">
      <w:pPr>
        <w:pStyle w:val="Heading3"/>
        <w:numPr>
          <w:ilvl w:val="2"/>
          <w:numId w:val="21"/>
        </w:numPr>
        <w:tabs>
          <w:tab w:val="clear" w:pos="1276"/>
          <w:tab w:val="num" w:pos="2223"/>
        </w:tabs>
        <w:ind w:left="2223" w:hanging="180"/>
      </w:pPr>
      <w:bookmarkStart w:id="108" w:name="_Toc106613932"/>
      <w:r w:rsidRPr="000F2520">
        <w:lastRenderedPageBreak/>
        <w:t>Media Handling</w:t>
      </w:r>
      <w:bookmarkEnd w:id="108"/>
    </w:p>
    <w:p w14:paraId="1249A10C" w14:textId="77777777" w:rsidR="00AD2554" w:rsidRPr="000F2520" w:rsidRDefault="00AD2554" w:rsidP="00AD2554">
      <w:pPr>
        <w:pStyle w:val="BodyText"/>
      </w:pPr>
      <w:r w:rsidRPr="000F2520">
        <w:rPr>
          <w:b/>
        </w:rPr>
        <w:t xml:space="preserve">Objective: </w:t>
      </w:r>
      <w:r w:rsidRPr="000F2520">
        <w:t>To prevent unauthorised disclosure, modification, removal or destruction of assets, and interruption to business activities.</w:t>
      </w:r>
    </w:p>
    <w:p w14:paraId="2DB40E25" w14:textId="77777777" w:rsidR="00AD2554" w:rsidRPr="000F2520" w:rsidRDefault="00AD2554" w:rsidP="00AD2554">
      <w:pPr>
        <w:pStyle w:val="BodyText"/>
      </w:pPr>
      <w:r w:rsidRPr="000F2520">
        <w:rPr>
          <w:b/>
        </w:rPr>
        <w:t xml:space="preserve">Guidance: </w:t>
      </w:r>
      <w:r w:rsidRPr="000F2520">
        <w:t xml:space="preserve">CQRs and service providers should have documented processes for the management of removable media (including tapes, floppy disks, USB and flash drives, removable hard-disk drives, and optical disks (CDs and DVDs). </w:t>
      </w:r>
    </w:p>
    <w:p w14:paraId="6F8F718A" w14:textId="77777777" w:rsidR="00AD2554" w:rsidRPr="000F2520" w:rsidRDefault="00AD2554" w:rsidP="00AD2554">
      <w:pPr>
        <w:pStyle w:val="BodyText"/>
      </w:pPr>
      <w:r w:rsidRPr="000F2520">
        <w:t>When media is no longer required it should be destroyed so that the information is un-recoverable. All media should be used and stored in accordance with the manufacturers' recommendations; and where necessary media should be refreshed if the storage period exceeds the manufacturers' recommendation.</w:t>
      </w:r>
    </w:p>
    <w:p w14:paraId="6D039BA3" w14:textId="77777777" w:rsidR="00AD2554" w:rsidRPr="000F2520" w:rsidRDefault="00AD2554" w:rsidP="00AD2554">
      <w:pPr>
        <w:pStyle w:val="BodyText"/>
      </w:pPr>
      <w:r w:rsidRPr="000F2520">
        <w:t xml:space="preserve">Disable the use of removable media on computers where there is no business need. </w:t>
      </w:r>
    </w:p>
    <w:p w14:paraId="3E76BA9F" w14:textId="77777777" w:rsidR="00AD2554" w:rsidRPr="000F2520" w:rsidRDefault="00AD2554" w:rsidP="00AD2554">
      <w:pPr>
        <w:pStyle w:val="BodyText"/>
      </w:pPr>
      <w:r w:rsidRPr="000F2520">
        <w:t>A process to control the disposal of unwanted or expired media should be in place. All media containing health information, including storage media within a computer or medical device; should be disposed of in a manner which maintains the security of the data.</w:t>
      </w:r>
    </w:p>
    <w:p w14:paraId="6BE229B8" w14:textId="77777777" w:rsidR="00AD2554" w:rsidRPr="000F2520" w:rsidRDefault="00AD2554" w:rsidP="00AD2554">
      <w:pPr>
        <w:pStyle w:val="BodyText"/>
      </w:pPr>
      <w:r w:rsidRPr="000F2520">
        <w:t>There are programs that can be used to securely remove the information from computer media. These should be used on media before it is removed from the computer device. Organisations should destroy media so that it can no longer be used (</w:t>
      </w:r>
      <w:proofErr w:type="gramStart"/>
      <w:r w:rsidRPr="000F2520">
        <w:t>e.g.</w:t>
      </w:r>
      <w:proofErr w:type="gramEnd"/>
      <w:r w:rsidRPr="000F2520">
        <w:t xml:space="preserve"> incinerate or shred) before it is securely disposed of.</w:t>
      </w:r>
    </w:p>
    <w:p w14:paraId="5E676E61" w14:textId="77777777" w:rsidR="00AD2554" w:rsidRPr="000F2520" w:rsidRDefault="00AD2554" w:rsidP="00AD2554">
      <w:pPr>
        <w:pStyle w:val="BodyText"/>
      </w:pPr>
      <w:r w:rsidRPr="000F2520">
        <w:t>Some organisations offer services to collect and securely dispose of media that could be used.</w:t>
      </w:r>
    </w:p>
    <w:p w14:paraId="410266DD" w14:textId="77777777" w:rsidR="00AD2554" w:rsidRPr="000F2520" w:rsidRDefault="00AD2554" w:rsidP="00AD2554">
      <w:pPr>
        <w:pStyle w:val="BodyText"/>
      </w:pPr>
      <w:r w:rsidRPr="000F2520">
        <w:t>When accumulating media of a less sensitive nature, organisations should consider that the aggregation of the less sensitive information can have a significant impact. Organisations should consider whether the better approach might be to securely dispose of all media.</w:t>
      </w:r>
    </w:p>
    <w:p w14:paraId="14310E25" w14:textId="77777777" w:rsidR="00AD2554" w:rsidRPr="000F2520" w:rsidRDefault="00AD2554" w:rsidP="00AD2554">
      <w:pPr>
        <w:pStyle w:val="BodyText"/>
      </w:pPr>
      <w:r w:rsidRPr="000F2520">
        <w:t xml:space="preserve">Procedures for the storage, handling, </w:t>
      </w:r>
      <w:proofErr w:type="gramStart"/>
      <w:r w:rsidRPr="000F2520">
        <w:t>processing</w:t>
      </w:r>
      <w:proofErr w:type="gramEnd"/>
      <w:r w:rsidRPr="000F2520">
        <w:t xml:space="preserve"> and communication of information should be documented. Where health information is stored electronically, either permanently or temporarily it should be </w:t>
      </w:r>
      <w:proofErr w:type="gramStart"/>
      <w:r w:rsidRPr="000F2520">
        <w:t>encrypted</w:t>
      </w:r>
      <w:proofErr w:type="gramEnd"/>
      <w:r w:rsidRPr="000F2520">
        <w:t xml:space="preserve"> or physical protections should be in place to prevent unauthorised access.</w:t>
      </w:r>
    </w:p>
    <w:p w14:paraId="38F85D76" w14:textId="77777777" w:rsidR="00AD2554" w:rsidRPr="000F2520" w:rsidRDefault="00AD2554" w:rsidP="00AD2554">
      <w:pPr>
        <w:pStyle w:val="BodyText"/>
      </w:pPr>
      <w:r w:rsidRPr="000F2520">
        <w:t>Removable media should be marked with the classification and type of data, identified with a unique reference, and if appropriate the recipient's name. Records should be kept of where the media is stored and who/when the media was accessed.</w:t>
      </w:r>
    </w:p>
    <w:p w14:paraId="2B263E4D" w14:textId="77777777" w:rsidR="00AD2554" w:rsidRPr="000F2520" w:rsidRDefault="00AD2554" w:rsidP="00AD2554">
      <w:pPr>
        <w:pStyle w:val="BodyText"/>
      </w:pPr>
      <w:r w:rsidRPr="000F2520">
        <w:t>Unencrypted health information, including printed copies, should be clearly marked with the authorised recipient's name, date; and be monitored, including a receipt from the recipient acknowledging acceptance of the media.</w:t>
      </w:r>
    </w:p>
    <w:p w14:paraId="7530DFEB" w14:textId="77777777" w:rsidR="00AD2554" w:rsidRPr="000F2520" w:rsidRDefault="00AD2554" w:rsidP="00AD2554">
      <w:pPr>
        <w:pStyle w:val="BodyText"/>
      </w:pPr>
      <w:r w:rsidRPr="000F2520">
        <w:t>When the media is no longer required or expired it should be securely destroyed.</w:t>
      </w:r>
    </w:p>
    <w:p w14:paraId="6F0B334E" w14:textId="77777777" w:rsidR="00AD2554" w:rsidRPr="000F2520" w:rsidRDefault="00AD2554" w:rsidP="00AD2554">
      <w:pPr>
        <w:pStyle w:val="BodyText"/>
      </w:pPr>
      <w:r w:rsidRPr="000F2520">
        <w:t xml:space="preserve">System documentation may contain a range of sensitive information, </w:t>
      </w:r>
      <w:proofErr w:type="gramStart"/>
      <w:r w:rsidRPr="000F2520">
        <w:t>e.g.</w:t>
      </w:r>
      <w:proofErr w:type="gramEnd"/>
      <w:r w:rsidRPr="000F2520">
        <w:t xml:space="preserve"> descriptions of applications processes, procedures, data structures, authorisation processes. System documentation should be securely stored, and access should be kept to a minimum and authorised by the application owner.</w:t>
      </w:r>
    </w:p>
    <w:p w14:paraId="1BBC17C5" w14:textId="77777777" w:rsidR="00AD2554" w:rsidRPr="000F2520" w:rsidRDefault="00AD2554" w:rsidP="00AD2554">
      <w:pPr>
        <w:pStyle w:val="BodyText"/>
      </w:pPr>
      <w:r w:rsidRPr="000F2520">
        <w:t>System documentation held on a public network, or supplied via a public network, should be appropriately protected from unauthorised access.</w:t>
      </w:r>
    </w:p>
    <w:p w14:paraId="19E8B1B7" w14:textId="77777777" w:rsidR="00AD2554" w:rsidRPr="000F2520" w:rsidRDefault="00AD2554" w:rsidP="00AD2554">
      <w:pPr>
        <w:pStyle w:val="BodyText"/>
      </w:pPr>
      <w:r w:rsidRPr="000F2520">
        <w:rPr>
          <w:b/>
        </w:rPr>
        <w:t xml:space="preserve">Architectural Impacts: </w:t>
      </w:r>
      <w:r w:rsidRPr="000F2520">
        <w:t>All aspects of a CQR’s architecture.</w:t>
      </w:r>
    </w:p>
    <w:p w14:paraId="0EF68875" w14:textId="28501934" w:rsidR="00AD2554" w:rsidRPr="000F2520" w:rsidRDefault="00AD2554" w:rsidP="00AD2554">
      <w:pPr>
        <w:pStyle w:val="Heading3"/>
        <w:numPr>
          <w:ilvl w:val="2"/>
          <w:numId w:val="21"/>
        </w:numPr>
        <w:tabs>
          <w:tab w:val="clear" w:pos="1276"/>
          <w:tab w:val="num" w:pos="2223"/>
        </w:tabs>
        <w:ind w:left="2223" w:hanging="180"/>
      </w:pPr>
      <w:bookmarkStart w:id="109" w:name="_Toc106613933"/>
      <w:r w:rsidRPr="000F2520">
        <w:t xml:space="preserve">Exchanges of </w:t>
      </w:r>
      <w:r w:rsidR="008C5979">
        <w:t>i</w:t>
      </w:r>
      <w:r w:rsidRPr="000F2520">
        <w:t>nformation</w:t>
      </w:r>
      <w:bookmarkEnd w:id="109"/>
    </w:p>
    <w:p w14:paraId="22DDB537" w14:textId="77777777" w:rsidR="00AD2554" w:rsidRPr="000F2520" w:rsidRDefault="00AD2554" w:rsidP="00AD2554">
      <w:pPr>
        <w:pStyle w:val="BodyText"/>
      </w:pPr>
      <w:r w:rsidRPr="000F2520">
        <w:rPr>
          <w:b/>
        </w:rPr>
        <w:t xml:space="preserve">Objective: </w:t>
      </w:r>
      <w:r w:rsidRPr="000F2520">
        <w:t xml:space="preserve">To maintain the security of information and software exchanged within an organisation and with any external entity. </w:t>
      </w:r>
    </w:p>
    <w:p w14:paraId="2E7DC81D" w14:textId="77777777" w:rsidR="00AD2554" w:rsidRPr="000F2520" w:rsidRDefault="00AD2554" w:rsidP="00AD2554">
      <w:pPr>
        <w:pStyle w:val="BodyText"/>
        <w:rPr>
          <w:b/>
        </w:rPr>
      </w:pPr>
      <w:r w:rsidRPr="000F2520">
        <w:rPr>
          <w:b/>
        </w:rPr>
        <w:t>Guidance:</w:t>
      </w:r>
      <w:r w:rsidRPr="000F2520">
        <w:t xml:space="preserve"> CQRs and service providers should ensure that all information exchanges are done in accordance with agreed policies and are subject to audit controls. The security of information exchanges should be documented in mutually agreed information exchange agreements.</w:t>
      </w:r>
    </w:p>
    <w:p w14:paraId="2A72BECD" w14:textId="77777777" w:rsidR="00AD2554" w:rsidRPr="000F2520" w:rsidRDefault="00AD2554" w:rsidP="00AD2554">
      <w:pPr>
        <w:pStyle w:val="BodyText"/>
        <w:rPr>
          <w:b/>
        </w:rPr>
      </w:pPr>
      <w:r w:rsidRPr="000F2520">
        <w:t>All personnel that have access to sensitive information should understand their responsibilities for ensuring the confidentiality and integrity of that data, including:</w:t>
      </w:r>
    </w:p>
    <w:p w14:paraId="0F0E9624" w14:textId="77777777" w:rsidR="00AD2554" w:rsidRPr="000F2520" w:rsidRDefault="00AD2554" w:rsidP="00AD2554">
      <w:pPr>
        <w:pStyle w:val="ListBullet2"/>
        <w:numPr>
          <w:ilvl w:val="0"/>
          <w:numId w:val="51"/>
        </w:numPr>
        <w:spacing w:before="120" w:after="120" w:line="240" w:lineRule="auto"/>
        <w:contextualSpacing w:val="0"/>
        <w:rPr>
          <w:b/>
        </w:rPr>
      </w:pPr>
      <w:r w:rsidRPr="000F2520">
        <w:lastRenderedPageBreak/>
        <w:t>not divulging information to unauthorised parties by means of conversation in a public place, or misplacing or misdirecting media such as print outs or email communications</w:t>
      </w:r>
    </w:p>
    <w:p w14:paraId="3DA2AA7C" w14:textId="77777777" w:rsidR="00AD2554" w:rsidRPr="000F2520" w:rsidRDefault="00AD2554" w:rsidP="00AD2554">
      <w:pPr>
        <w:pStyle w:val="ListBullet2"/>
        <w:numPr>
          <w:ilvl w:val="0"/>
          <w:numId w:val="51"/>
        </w:numPr>
        <w:spacing w:before="120" w:after="120" w:line="240" w:lineRule="auto"/>
        <w:contextualSpacing w:val="0"/>
        <w:rPr>
          <w:b/>
        </w:rPr>
      </w:pPr>
      <w:r w:rsidRPr="000F2520">
        <w:t>not opening of unsolicited or SPAM emails which may contain malicious code</w:t>
      </w:r>
    </w:p>
    <w:p w14:paraId="247334DC" w14:textId="77777777" w:rsidR="00AD2554" w:rsidRPr="000F2520" w:rsidRDefault="00AD2554" w:rsidP="00AD2554">
      <w:pPr>
        <w:pStyle w:val="ListBullet2"/>
        <w:numPr>
          <w:ilvl w:val="0"/>
          <w:numId w:val="51"/>
        </w:numPr>
        <w:spacing w:before="120" w:after="120" w:line="240" w:lineRule="auto"/>
        <w:contextualSpacing w:val="0"/>
        <w:rPr>
          <w:b/>
        </w:rPr>
      </w:pPr>
      <w:r w:rsidRPr="000F2520">
        <w:t>not using insecure communication methods, such as facsimile, voicemail, instant messaging.</w:t>
      </w:r>
    </w:p>
    <w:p w14:paraId="72BF9F48" w14:textId="77777777" w:rsidR="00AD2554" w:rsidRPr="000F2520" w:rsidRDefault="00AD2554" w:rsidP="00AD2554">
      <w:pPr>
        <w:pStyle w:val="BodyText"/>
      </w:pPr>
      <w:r w:rsidRPr="000F2520">
        <w:t xml:space="preserve">Information could be vulnerable to unauthorised access, misuse, </w:t>
      </w:r>
      <w:proofErr w:type="gramStart"/>
      <w:r w:rsidRPr="000F2520">
        <w:t>loss</w:t>
      </w:r>
      <w:proofErr w:type="gramEnd"/>
      <w:r w:rsidRPr="000F2520">
        <w:t xml:space="preserve"> or corruption during physical transport. A list of approved and reliable couriers that meet their security requirements should be created.</w:t>
      </w:r>
    </w:p>
    <w:p w14:paraId="3C4E724F" w14:textId="77777777" w:rsidR="00AD2554" w:rsidRPr="000F2520" w:rsidRDefault="00AD2554" w:rsidP="00AD2554">
      <w:pPr>
        <w:pStyle w:val="BodyText"/>
      </w:pPr>
      <w:r w:rsidRPr="000F2520">
        <w:t>Only approved couriers should be used to transport media that contains sensitive information. Couriers should be identified before the package is handed over and when the package is received.</w:t>
      </w:r>
    </w:p>
    <w:p w14:paraId="288422EF" w14:textId="77777777" w:rsidR="00AD2554" w:rsidRPr="000F2520" w:rsidRDefault="00AD2554" w:rsidP="00AD2554">
      <w:pPr>
        <w:pStyle w:val="BodyText"/>
      </w:pPr>
      <w:r w:rsidRPr="000F2520">
        <w:t>Media should be transported in secure containers that are tamper evident and should protect the media from any damage that might occur during transit, including environmental factors (</w:t>
      </w:r>
      <w:proofErr w:type="gramStart"/>
      <w:r w:rsidRPr="000F2520">
        <w:t>e.g.</w:t>
      </w:r>
      <w:proofErr w:type="gramEnd"/>
      <w:r w:rsidRPr="000F2520">
        <w:t xml:space="preserve"> moisture, heat, sunlight, electromagnetic fields).</w:t>
      </w:r>
    </w:p>
    <w:p w14:paraId="703CE351" w14:textId="77777777" w:rsidR="00AD2554" w:rsidRPr="000F2520" w:rsidRDefault="00AD2554" w:rsidP="00AD2554">
      <w:pPr>
        <w:pStyle w:val="BodyText"/>
      </w:pPr>
      <w:r w:rsidRPr="000F2520">
        <w:t>Electronic messaging has different risks to paper-based messaging because of the ease and speed of dissemination.</w:t>
      </w:r>
    </w:p>
    <w:p w14:paraId="6AE998FA" w14:textId="77777777" w:rsidR="00AD2554" w:rsidRPr="000F2520" w:rsidRDefault="00AD2554" w:rsidP="00AD2554">
      <w:pPr>
        <w:pStyle w:val="BodyText"/>
      </w:pPr>
      <w:r w:rsidRPr="000F2520">
        <w:t xml:space="preserve">When messages are sent electronically, CQRs and service providers should ensure that there are sufficient systems and user education to prevent any sensitive information from being disclosed to an unauthorised party. This should include ensuring that only authorised users can send sensitive information by approved services; </w:t>
      </w:r>
      <w:proofErr w:type="gramStart"/>
      <w:r w:rsidRPr="000F2520">
        <w:t>and also</w:t>
      </w:r>
      <w:proofErr w:type="gramEnd"/>
      <w:r w:rsidRPr="000F2520">
        <w:t xml:space="preserve"> putting in place systems and processes to ensure correct addressing. Any unapproved messaging services should be disabled, either at the computer or at the network level. Steps should be in place to ensure the confidentiality and integrity of the information within the message.</w:t>
      </w:r>
    </w:p>
    <w:p w14:paraId="1E9EA715" w14:textId="77777777" w:rsidR="00AD2554" w:rsidRPr="000F2520" w:rsidRDefault="00AD2554" w:rsidP="00AD2554">
      <w:pPr>
        <w:pStyle w:val="BodyText"/>
      </w:pPr>
      <w:r w:rsidRPr="000F2520">
        <w:t>CQRs should consider whether there is any requirement for authentication of the sender, by using a digital signature for example.</w:t>
      </w:r>
    </w:p>
    <w:p w14:paraId="477C98A3" w14:textId="77777777" w:rsidR="00AD2554" w:rsidRPr="000F2520" w:rsidRDefault="00AD2554" w:rsidP="00AD2554">
      <w:pPr>
        <w:pStyle w:val="BodyText"/>
      </w:pPr>
      <w:r w:rsidRPr="000F2520">
        <w:t xml:space="preserve">Systems should have the ability to restrict access to some records or information when transferring information to another system. All interconnected systems should maintain the same level of protection of the information that has been ascertained in the risk assessment. CQRs and service providers should consider whether different levels of access to information is required for different categories of user (consumer, administrative staff, nurse, health practitioner) and also different types of </w:t>
      </w:r>
      <w:proofErr w:type="gramStart"/>
      <w:r w:rsidRPr="000F2520">
        <w:t>employee</w:t>
      </w:r>
      <w:proofErr w:type="gramEnd"/>
      <w:r w:rsidRPr="000F2520">
        <w:t xml:space="preserve"> (employee, temporary employee, contractor, vendor etc).</w:t>
      </w:r>
    </w:p>
    <w:p w14:paraId="11F86E0C" w14:textId="77777777" w:rsidR="00AD2554" w:rsidRPr="000F2520" w:rsidRDefault="00AD2554" w:rsidP="00AD2554">
      <w:pPr>
        <w:pStyle w:val="BodyText"/>
        <w:rPr>
          <w:b/>
        </w:rPr>
      </w:pPr>
      <w:r w:rsidRPr="000F2520">
        <w:rPr>
          <w:b/>
        </w:rPr>
        <w:t xml:space="preserve">Architectural Impacts: </w:t>
      </w:r>
      <w:r w:rsidRPr="000F2520">
        <w:t>Data Load Service</w:t>
      </w:r>
    </w:p>
    <w:p w14:paraId="02A28B1E" w14:textId="77777777" w:rsidR="00AD2554" w:rsidRPr="000F2520" w:rsidRDefault="00AD2554" w:rsidP="00AD2554">
      <w:pPr>
        <w:pStyle w:val="Heading3"/>
        <w:numPr>
          <w:ilvl w:val="2"/>
          <w:numId w:val="21"/>
        </w:numPr>
        <w:tabs>
          <w:tab w:val="clear" w:pos="1276"/>
          <w:tab w:val="num" w:pos="2223"/>
        </w:tabs>
        <w:ind w:left="2223" w:hanging="180"/>
      </w:pPr>
      <w:bookmarkStart w:id="110" w:name="_Toc106613934"/>
      <w:r w:rsidRPr="000F2520">
        <w:t>Electronic health information services</w:t>
      </w:r>
      <w:bookmarkEnd w:id="110"/>
    </w:p>
    <w:p w14:paraId="30BFBFB0" w14:textId="77777777" w:rsidR="00AD2554" w:rsidRPr="000F2520" w:rsidRDefault="00AD2554" w:rsidP="00AD2554">
      <w:pPr>
        <w:pStyle w:val="BodyText"/>
      </w:pPr>
      <w:r w:rsidRPr="000F2520">
        <w:rPr>
          <w:b/>
        </w:rPr>
        <w:t xml:space="preserve">Objective: </w:t>
      </w:r>
      <w:r w:rsidRPr="000F2520">
        <w:t>To ensure the security of web publishing services, and their secure use.</w:t>
      </w:r>
    </w:p>
    <w:p w14:paraId="472988D9" w14:textId="77777777" w:rsidR="00AD2554" w:rsidRPr="000F2520" w:rsidRDefault="00AD2554" w:rsidP="00AD2554">
      <w:pPr>
        <w:pStyle w:val="BodyText"/>
        <w:rPr>
          <w:b/>
        </w:rPr>
      </w:pPr>
      <w:r w:rsidRPr="000F2520">
        <w:rPr>
          <w:b/>
        </w:rPr>
        <w:t xml:space="preserve">Guidance: </w:t>
      </w:r>
      <w:r w:rsidRPr="000F2520">
        <w:t>Any web publishing system should be implemented so as not to divulge health information unless it is determined necessary. If health information is divulged, then the systems should implement controls to maintain the confidentiality and integrity of the health information. Systems that this may affect include billing, invoicing and requisitions.</w:t>
      </w:r>
    </w:p>
    <w:p w14:paraId="1F73C95F" w14:textId="77777777" w:rsidR="00AD2554" w:rsidRPr="000F2520" w:rsidRDefault="00AD2554" w:rsidP="00AD2554">
      <w:pPr>
        <w:pStyle w:val="BodyText"/>
        <w:rPr>
          <w:b/>
        </w:rPr>
      </w:pPr>
      <w:r w:rsidRPr="000F2520">
        <w:t>Consideration should also be given as to whether there is a requirement that the originator and/or recipient of the transaction is authenticated, and how authorisations are checked.</w:t>
      </w:r>
    </w:p>
    <w:p w14:paraId="38010180" w14:textId="77777777" w:rsidR="00AD2554" w:rsidRPr="000F2520" w:rsidRDefault="00AD2554" w:rsidP="00AD2554">
      <w:pPr>
        <w:pStyle w:val="BodyText"/>
      </w:pPr>
      <w:r w:rsidRPr="000F2520">
        <w:t>CQRs should have formal approval processes before information can be published publicly. There should also be processes that review the publication to ensure that it does not divulge protected information and that it is accurate.</w:t>
      </w:r>
    </w:p>
    <w:p w14:paraId="19A369FD" w14:textId="77777777" w:rsidR="00AD2554" w:rsidRPr="000F2520" w:rsidRDefault="00AD2554" w:rsidP="00AD2554">
      <w:pPr>
        <w:pStyle w:val="BodyText"/>
      </w:pPr>
      <w:r w:rsidRPr="000F2520">
        <w:t>Once published processes should ensure the integrity of the publication and identify the author(s).</w:t>
      </w:r>
    </w:p>
    <w:p w14:paraId="2D25C443" w14:textId="77777777" w:rsidR="00AD2554" w:rsidRPr="000F2520" w:rsidRDefault="00AD2554" w:rsidP="00AD2554">
      <w:pPr>
        <w:pStyle w:val="BodyText"/>
      </w:pPr>
      <w:r w:rsidRPr="000F2520">
        <w:t>Any sensitive information should be de-identified within the publication.</w:t>
      </w:r>
    </w:p>
    <w:p w14:paraId="1CE6FE68" w14:textId="77777777" w:rsidR="00AD2554" w:rsidRPr="000F2520" w:rsidRDefault="00AD2554" w:rsidP="00AD2554">
      <w:pPr>
        <w:pStyle w:val="BodyText"/>
      </w:pPr>
      <w:r w:rsidRPr="000F2520">
        <w:rPr>
          <w:b/>
        </w:rPr>
        <w:t xml:space="preserve">Architectural Impacts: </w:t>
      </w:r>
      <w:r w:rsidRPr="000F2520">
        <w:t>Information Publishing Service</w:t>
      </w:r>
    </w:p>
    <w:p w14:paraId="64BA9ADE" w14:textId="77777777" w:rsidR="00AD2554" w:rsidRPr="000F2520" w:rsidRDefault="00AD2554" w:rsidP="00AD2554">
      <w:pPr>
        <w:pStyle w:val="Heading4"/>
        <w:numPr>
          <w:ilvl w:val="3"/>
          <w:numId w:val="21"/>
        </w:numPr>
        <w:tabs>
          <w:tab w:val="clear" w:pos="1276"/>
          <w:tab w:val="num" w:pos="2943"/>
        </w:tabs>
        <w:ind w:left="2943" w:hanging="360"/>
      </w:pPr>
      <w:bookmarkStart w:id="111" w:name="_Toc106613935"/>
      <w:r w:rsidRPr="000F2520">
        <w:lastRenderedPageBreak/>
        <w:t>Monitoring</w:t>
      </w:r>
      <w:bookmarkEnd w:id="111"/>
    </w:p>
    <w:p w14:paraId="65D4349A" w14:textId="77777777" w:rsidR="00AD2554" w:rsidRPr="000F2520" w:rsidRDefault="00AD2554" w:rsidP="00AD2554">
      <w:pPr>
        <w:pStyle w:val="BodyText"/>
        <w:rPr>
          <w:b/>
        </w:rPr>
      </w:pPr>
      <w:r w:rsidRPr="000F2520">
        <w:rPr>
          <w:b/>
        </w:rPr>
        <w:t xml:space="preserve">Objective: </w:t>
      </w:r>
      <w:r w:rsidRPr="000F2520">
        <w:t>To detect unauthorised information processing activities</w:t>
      </w:r>
    </w:p>
    <w:p w14:paraId="18F2DEC0" w14:textId="77777777" w:rsidR="00AD2554" w:rsidRPr="000F2520" w:rsidRDefault="00AD2554" w:rsidP="00AD2554">
      <w:pPr>
        <w:pStyle w:val="BodyText"/>
        <w:rPr>
          <w:b/>
        </w:rPr>
      </w:pPr>
      <w:r w:rsidRPr="000F2520">
        <w:rPr>
          <w:b/>
        </w:rPr>
        <w:t>Guidance:</w:t>
      </w:r>
      <w:r w:rsidRPr="000F2520">
        <w:t xml:space="preserve"> An audit log should uniquely identify the user, date, </w:t>
      </w:r>
      <w:proofErr w:type="gramStart"/>
      <w:r w:rsidRPr="000F2520">
        <w:t>time</w:t>
      </w:r>
      <w:proofErr w:type="gramEnd"/>
      <w:r w:rsidRPr="000F2520">
        <w:t xml:space="preserve"> and details of the event. Events that should be recorded in an audit log include successful and unsuccessful access attempts, changes to system configurations, use of privileges, activation of alarms or alerts (</w:t>
      </w:r>
      <w:proofErr w:type="gramStart"/>
      <w:r w:rsidRPr="000F2520">
        <w:t>e.g.</w:t>
      </w:r>
      <w:proofErr w:type="gramEnd"/>
      <w:r w:rsidRPr="000F2520">
        <w:t xml:space="preserve"> anti-virus, intrusion detection systems), and access, creation, update or archive of personal health information.</w:t>
      </w:r>
    </w:p>
    <w:p w14:paraId="38582752" w14:textId="77777777" w:rsidR="00AD2554" w:rsidRPr="000F2520" w:rsidRDefault="00AD2554" w:rsidP="00AD2554">
      <w:pPr>
        <w:pStyle w:val="BodyText"/>
        <w:rPr>
          <w:b/>
        </w:rPr>
      </w:pPr>
      <w:r w:rsidRPr="000F2520">
        <w:t xml:space="preserve">When the audit log event is related to access, creation, </w:t>
      </w:r>
      <w:proofErr w:type="gramStart"/>
      <w:r w:rsidRPr="000F2520">
        <w:t>update</w:t>
      </w:r>
      <w:proofErr w:type="gramEnd"/>
      <w:r w:rsidRPr="000F2520">
        <w:t xml:space="preserve"> or archive of a personal health record the log should also uniquely identify the subject of care; and if appropriate a record of the former information.</w:t>
      </w:r>
    </w:p>
    <w:p w14:paraId="28E937C7" w14:textId="77777777" w:rsidR="00AD2554" w:rsidRPr="000F2520" w:rsidRDefault="00AD2554" w:rsidP="00AD2554">
      <w:pPr>
        <w:pStyle w:val="BodyText"/>
        <w:rPr>
          <w:b/>
        </w:rPr>
      </w:pPr>
      <w:r w:rsidRPr="000F2520">
        <w:t>Audit logs may contain personal information and should therefore be protected from unauthorised access. It is also important that the integrity of the audit log should be maintained.</w:t>
      </w:r>
    </w:p>
    <w:p w14:paraId="160D8F9B" w14:textId="77777777" w:rsidR="00AD2554" w:rsidRPr="000F2520" w:rsidRDefault="00AD2554" w:rsidP="00AD2554">
      <w:pPr>
        <w:pStyle w:val="BodyText"/>
      </w:pPr>
      <w:r w:rsidRPr="000F2520">
        <w:t>Systems should be able to provide an easy-to-understand report containing the required information whom to identify when and by whom a healthcare record was accessed.</w:t>
      </w:r>
    </w:p>
    <w:p w14:paraId="214AFDA2" w14:textId="77777777" w:rsidR="00AD2554" w:rsidRPr="000F2520" w:rsidRDefault="00AD2554" w:rsidP="00AD2554">
      <w:pPr>
        <w:pStyle w:val="BodyText"/>
      </w:pPr>
      <w:r w:rsidRPr="000F2520">
        <w:t>Monitoring systems should include details of information systems, such as when the system was started and stopped, use of privileged system accounts, configuration changes, operating system and application alerts, access to system files, installation (or removal) of software, I/O device attachment/removal, access violations and alerts from network gateways, firewalls, intrusion detection systems and other security systems.</w:t>
      </w:r>
    </w:p>
    <w:p w14:paraId="54F0FEE6" w14:textId="77777777" w:rsidR="00AD2554" w:rsidRPr="000F2520" w:rsidRDefault="00AD2554" w:rsidP="00AD2554">
      <w:pPr>
        <w:pStyle w:val="BodyText"/>
      </w:pPr>
      <w:r w:rsidRPr="000F2520">
        <w:t>CQRs and service providers should have documented processes for how often the monitoring log files are reviewed, which should be related to the risks identified in the information system.</w:t>
      </w:r>
    </w:p>
    <w:p w14:paraId="3C6FAF99" w14:textId="77777777" w:rsidR="00AD2554" w:rsidRPr="000F2520" w:rsidRDefault="00AD2554" w:rsidP="00AD2554">
      <w:pPr>
        <w:pStyle w:val="BodyText"/>
      </w:pPr>
      <w:r w:rsidRPr="000F2520">
        <w:t>CQR information systems should be able to present monitoring log information so that the following can be determined:</w:t>
      </w:r>
    </w:p>
    <w:p w14:paraId="23B04598" w14:textId="77777777" w:rsidR="00AD2554" w:rsidRPr="000F2520" w:rsidRDefault="00AD2554" w:rsidP="00AD2554">
      <w:pPr>
        <w:pStyle w:val="ListBullet2"/>
        <w:numPr>
          <w:ilvl w:val="0"/>
          <w:numId w:val="51"/>
        </w:numPr>
        <w:spacing w:before="120" w:after="120" w:line="240" w:lineRule="auto"/>
        <w:contextualSpacing w:val="0"/>
      </w:pPr>
      <w:r w:rsidRPr="000F2520">
        <w:t>the identification of all users who have accessed or modified a particular subject of care's health record(s)</w:t>
      </w:r>
    </w:p>
    <w:p w14:paraId="3C6A96DC" w14:textId="77777777" w:rsidR="00AD2554" w:rsidRPr="000F2520" w:rsidRDefault="00AD2554" w:rsidP="00AD2554">
      <w:pPr>
        <w:pStyle w:val="ListBullet2"/>
        <w:numPr>
          <w:ilvl w:val="0"/>
          <w:numId w:val="51"/>
        </w:numPr>
        <w:spacing w:before="120" w:after="120" w:line="240" w:lineRule="auto"/>
        <w:contextualSpacing w:val="0"/>
      </w:pPr>
      <w:r w:rsidRPr="000F2520">
        <w:t>the identification of all subjects of care whose records have been accessed by a particular user.</w:t>
      </w:r>
    </w:p>
    <w:p w14:paraId="602A4A11" w14:textId="77777777" w:rsidR="00AD2554" w:rsidRPr="000F2520" w:rsidRDefault="00AD2554" w:rsidP="00AD2554">
      <w:pPr>
        <w:pStyle w:val="BodyText"/>
      </w:pPr>
      <w:r w:rsidRPr="000F2520">
        <w:t xml:space="preserve">Audit logs should be </w:t>
      </w:r>
      <w:proofErr w:type="spellStart"/>
      <w:r w:rsidRPr="000F2520">
        <w:t>tam</w:t>
      </w:r>
      <w:r>
        <w:t>Fi</w:t>
      </w:r>
      <w:r w:rsidRPr="000F2520">
        <w:t>per</w:t>
      </w:r>
      <w:proofErr w:type="spellEnd"/>
      <w:r w:rsidRPr="000F2520">
        <w:t xml:space="preserve"> evident, to ensure that log entries cannot be added or deleted or modified. The logs should also be backed up. Systems should also monitor the space available on storage media for the audit log and manage the storage capacity for the audit log file(s).</w:t>
      </w:r>
    </w:p>
    <w:p w14:paraId="51684757" w14:textId="77777777" w:rsidR="00AD2554" w:rsidRPr="000F2520" w:rsidRDefault="00AD2554" w:rsidP="00AD2554">
      <w:pPr>
        <w:pStyle w:val="BodyText"/>
      </w:pPr>
      <w:r w:rsidRPr="000F2520">
        <w:t xml:space="preserve">Audit records related to personal health records could be used for evidentiary purposes. Therefore, such logs should be recorded </w:t>
      </w:r>
      <w:proofErr w:type="gramStart"/>
      <w:r w:rsidRPr="000F2520">
        <w:t>so as to</w:t>
      </w:r>
      <w:proofErr w:type="gramEnd"/>
      <w:r w:rsidRPr="000F2520">
        <w:t xml:space="preserve"> provide integrity of the log and all of the required data. These logs should also be archived.</w:t>
      </w:r>
    </w:p>
    <w:p w14:paraId="2885B44A" w14:textId="77777777" w:rsidR="00AD2554" w:rsidRPr="000F2520" w:rsidRDefault="00AD2554" w:rsidP="00AD2554">
      <w:pPr>
        <w:pStyle w:val="BodyText"/>
        <w:rPr>
          <w:i/>
        </w:rPr>
      </w:pPr>
      <w:r w:rsidRPr="000F2520">
        <w:rPr>
          <w:i/>
        </w:rPr>
        <w:t>Useful reference: ISO/DIS 27789 Audit Trails for electronic health records.</w:t>
      </w:r>
    </w:p>
    <w:p w14:paraId="2C625300" w14:textId="77777777" w:rsidR="00AD2554" w:rsidRPr="000F2520" w:rsidRDefault="00AD2554" w:rsidP="00AD2554">
      <w:pPr>
        <w:pStyle w:val="BodyText"/>
      </w:pPr>
      <w:r w:rsidRPr="000F2520">
        <w:t xml:space="preserve">These logs should contain the user account, time of the event, information about the event and which processes were involved. The logs should be </w:t>
      </w:r>
      <w:proofErr w:type="gramStart"/>
      <w:r w:rsidRPr="000F2520">
        <w:t>tamper</w:t>
      </w:r>
      <w:proofErr w:type="gramEnd"/>
      <w:r w:rsidRPr="000F2520">
        <w:t xml:space="preserve"> evident and should be monitored by a party outside of the normal operations team (e.g. IT security team or internal audit).</w:t>
      </w:r>
    </w:p>
    <w:p w14:paraId="5316F1DA" w14:textId="77777777" w:rsidR="00AD2554" w:rsidRPr="000F2520" w:rsidRDefault="00AD2554" w:rsidP="00AD2554">
      <w:pPr>
        <w:pStyle w:val="BodyText"/>
      </w:pPr>
      <w:r w:rsidRPr="000F2520">
        <w:t>System logs can monitor automatically for certain known events and alerts raised to specific teams and individuals; larger organisations should consider implementing such a system.</w:t>
      </w:r>
    </w:p>
    <w:p w14:paraId="324923A5" w14:textId="77777777" w:rsidR="00AD2554" w:rsidRPr="000F2520" w:rsidRDefault="00AD2554" w:rsidP="00AD2554">
      <w:pPr>
        <w:pStyle w:val="BodyText"/>
      </w:pPr>
      <w:r w:rsidRPr="000F2520">
        <w:t>Faults detected by system programs or reported by users related to information systems should be logged. The organisation should have processes that identify how the fault is managed, including how the fault was corrected to ensure that no controls have been compromised; and what state the reported fault is in (</w:t>
      </w:r>
      <w:proofErr w:type="gramStart"/>
      <w:r w:rsidRPr="000F2520">
        <w:t>e.g.</w:t>
      </w:r>
      <w:proofErr w:type="gramEnd"/>
      <w:r w:rsidRPr="000F2520">
        <w:t xml:space="preserve"> open, resolved, awaiting vendor patch).</w:t>
      </w:r>
    </w:p>
    <w:p w14:paraId="3AE9368D" w14:textId="77777777" w:rsidR="00AD2554" w:rsidRPr="000F2520" w:rsidRDefault="00AD2554" w:rsidP="00AD2554">
      <w:pPr>
        <w:pStyle w:val="BodyText"/>
      </w:pPr>
      <w:r w:rsidRPr="000F2520">
        <w:t xml:space="preserve">Where an information system utilises a real timeclock, this clock should be synchronised to a recognised time source and set to an agreed time standard, Coordinated Universal Time (UTC) is recommended. </w:t>
      </w:r>
    </w:p>
    <w:p w14:paraId="1FDE8F40" w14:textId="77777777" w:rsidR="00AD2554" w:rsidRPr="000F2520" w:rsidRDefault="00AD2554" w:rsidP="00AD2554">
      <w:pPr>
        <w:pStyle w:val="BodyText"/>
      </w:pPr>
      <w:r w:rsidRPr="000F2520">
        <w:lastRenderedPageBreak/>
        <w:t>Time is a key part in the audit records system, which for personal health records access could be used for evidential purposes. Therefore, systems should ensure that the clocks utilised by such systems are synchronised regularly.</w:t>
      </w:r>
    </w:p>
    <w:p w14:paraId="382A3D6D" w14:textId="77777777" w:rsidR="00AD2554" w:rsidRPr="000F2520" w:rsidRDefault="00AD2554" w:rsidP="00AD2554">
      <w:pPr>
        <w:pStyle w:val="BodyText"/>
      </w:pPr>
      <w:r w:rsidRPr="000F2520">
        <w:rPr>
          <w:b/>
        </w:rPr>
        <w:t xml:space="preserve">Architectural Impacts: </w:t>
      </w:r>
      <w:r w:rsidRPr="000F2520">
        <w:t>All aspects of a CQR’s architecture.</w:t>
      </w:r>
    </w:p>
    <w:p w14:paraId="47835AC2" w14:textId="77777777" w:rsidR="00AD2554" w:rsidRPr="000F2520" w:rsidRDefault="00AD2554" w:rsidP="003D2BA6">
      <w:pPr>
        <w:pStyle w:val="Heading2"/>
      </w:pPr>
      <w:bookmarkStart w:id="112" w:name="_Toc106613936"/>
      <w:r w:rsidRPr="000F2520">
        <w:t>Access Control</w:t>
      </w:r>
      <w:bookmarkEnd w:id="112"/>
    </w:p>
    <w:p w14:paraId="153DAE5A" w14:textId="2E575B3E" w:rsidR="00AD2554" w:rsidRPr="000F2520" w:rsidRDefault="00AD2554" w:rsidP="00AD2554">
      <w:pPr>
        <w:pStyle w:val="Heading3"/>
        <w:numPr>
          <w:ilvl w:val="2"/>
          <w:numId w:val="21"/>
        </w:numPr>
        <w:tabs>
          <w:tab w:val="clear" w:pos="1276"/>
          <w:tab w:val="num" w:pos="2223"/>
        </w:tabs>
        <w:ind w:left="2223" w:hanging="180"/>
      </w:pPr>
      <w:bookmarkStart w:id="113" w:name="_Toc106613937"/>
      <w:r w:rsidRPr="000F2520">
        <w:t xml:space="preserve">Requirements for </w:t>
      </w:r>
      <w:r w:rsidR="008C5979">
        <w:t>a</w:t>
      </w:r>
      <w:r w:rsidRPr="000F2520">
        <w:t xml:space="preserve">ccess </w:t>
      </w:r>
      <w:r w:rsidR="008C5979">
        <w:t>c</w:t>
      </w:r>
      <w:r w:rsidRPr="000F2520">
        <w:t>ontrol in Health</w:t>
      </w:r>
      <w:bookmarkEnd w:id="113"/>
    </w:p>
    <w:p w14:paraId="7A567F6B" w14:textId="77777777" w:rsidR="00AD2554" w:rsidRPr="000F2520" w:rsidRDefault="00AD2554" w:rsidP="00AD2554">
      <w:pPr>
        <w:pStyle w:val="BodyText"/>
      </w:pPr>
      <w:r w:rsidRPr="000F2520">
        <w:rPr>
          <w:b/>
        </w:rPr>
        <w:t xml:space="preserve">Objective: </w:t>
      </w:r>
      <w:r w:rsidRPr="000F2520">
        <w:t>To control access to information.</w:t>
      </w:r>
    </w:p>
    <w:p w14:paraId="63632C12" w14:textId="77777777" w:rsidR="00AD2554" w:rsidRPr="000F2520" w:rsidRDefault="00AD2554" w:rsidP="00AD2554">
      <w:pPr>
        <w:pStyle w:val="BodyText"/>
      </w:pPr>
      <w:r w:rsidRPr="000F2520">
        <w:rPr>
          <w:b/>
        </w:rPr>
        <w:t xml:space="preserve">Guidance: </w:t>
      </w:r>
      <w:r w:rsidRPr="000F2520">
        <w:t>Access control rules for healthcare practitioners accessing health information systems should be identified to mitigate the risks identified to the health information. These access control rules should consider both the logical and physical controls.</w:t>
      </w:r>
    </w:p>
    <w:p w14:paraId="6E9EA6A6" w14:textId="77777777" w:rsidR="00AD2554" w:rsidRPr="000F2520" w:rsidRDefault="00AD2554" w:rsidP="00AD2554">
      <w:pPr>
        <w:pStyle w:val="BodyText"/>
      </w:pPr>
      <w:r w:rsidRPr="000F2520">
        <w:t>CQRs and service providers should have documented policies that include the requirements for registration of new users, the assigning (and removal) of authorisations, and roles within the organisation.</w:t>
      </w:r>
    </w:p>
    <w:p w14:paraId="576C0EA9" w14:textId="77777777" w:rsidR="00AD2554" w:rsidRPr="000F2520" w:rsidRDefault="00AD2554" w:rsidP="00AD2554">
      <w:pPr>
        <w:pStyle w:val="BodyText"/>
      </w:pPr>
      <w:r w:rsidRPr="000F2520">
        <w:t>Segregation of the roles that perform the registration of users and assign the authorisations should be considered.</w:t>
      </w:r>
    </w:p>
    <w:p w14:paraId="677B5A02" w14:textId="77777777" w:rsidR="00AD2554" w:rsidRPr="000F2520" w:rsidRDefault="00AD2554" w:rsidP="00AD2554">
      <w:pPr>
        <w:pStyle w:val="BodyText"/>
      </w:pPr>
      <w:r w:rsidRPr="000F2520">
        <w:t>Access control rules should identify rules that must always be enforced and guidelines that are optional. The policy should identify the rules that govern the monitoring of access control rule enforcement.</w:t>
      </w:r>
    </w:p>
    <w:p w14:paraId="0238FF28" w14:textId="77777777" w:rsidR="00AD2554" w:rsidRPr="000F2520" w:rsidRDefault="00AD2554" w:rsidP="00AD2554">
      <w:pPr>
        <w:pStyle w:val="BodyText"/>
      </w:pPr>
      <w:r w:rsidRPr="000F2520">
        <w:rPr>
          <w:b/>
        </w:rPr>
        <w:t xml:space="preserve">Architectural Impacts: </w:t>
      </w:r>
      <w:r w:rsidRPr="000F2520">
        <w:t>External User Management Service; Authentication Service; Authorisation Service.</w:t>
      </w:r>
    </w:p>
    <w:p w14:paraId="5FA161BE" w14:textId="6D8EFE5E" w:rsidR="00AD2554" w:rsidRPr="000F2520" w:rsidRDefault="00AD2554" w:rsidP="00AD2554">
      <w:pPr>
        <w:pStyle w:val="Heading3"/>
        <w:numPr>
          <w:ilvl w:val="2"/>
          <w:numId w:val="21"/>
        </w:numPr>
        <w:tabs>
          <w:tab w:val="clear" w:pos="1276"/>
          <w:tab w:val="num" w:pos="2223"/>
        </w:tabs>
        <w:ind w:left="2223" w:hanging="180"/>
      </w:pPr>
      <w:bookmarkStart w:id="114" w:name="_Toc106613938"/>
      <w:r w:rsidRPr="000F2520">
        <w:t xml:space="preserve">User </w:t>
      </w:r>
      <w:r w:rsidR="008C5979">
        <w:t>a</w:t>
      </w:r>
      <w:r w:rsidRPr="000F2520">
        <w:t xml:space="preserve">ccess </w:t>
      </w:r>
      <w:r w:rsidR="008C5979">
        <w:t>m</w:t>
      </w:r>
      <w:r w:rsidRPr="000F2520">
        <w:t>anagement</w:t>
      </w:r>
      <w:bookmarkEnd w:id="114"/>
    </w:p>
    <w:p w14:paraId="4D2FA96A" w14:textId="77777777" w:rsidR="00AD2554" w:rsidRPr="000F2520" w:rsidRDefault="00AD2554" w:rsidP="00AD2554">
      <w:pPr>
        <w:pStyle w:val="BodyText"/>
        <w:rPr>
          <w:b/>
        </w:rPr>
      </w:pPr>
      <w:r w:rsidRPr="000F2520">
        <w:rPr>
          <w:b/>
        </w:rPr>
        <w:t xml:space="preserve">Objective: </w:t>
      </w:r>
      <w:r w:rsidRPr="000F2520">
        <w:t>To ensure authorised user access and to prevent unauthorised access to information systems.</w:t>
      </w:r>
    </w:p>
    <w:p w14:paraId="38832DDC" w14:textId="77777777" w:rsidR="00AD2554" w:rsidRPr="000F2520" w:rsidRDefault="00AD2554" w:rsidP="00AD2554">
      <w:pPr>
        <w:pStyle w:val="BodyText"/>
      </w:pPr>
      <w:r w:rsidRPr="000F2520">
        <w:rPr>
          <w:b/>
        </w:rPr>
        <w:t xml:space="preserve">Guidance: </w:t>
      </w:r>
      <w:r w:rsidRPr="000F2520">
        <w:t>All healthcare professionals who require access to healthcare information about patients must be uniquely identifiable either by an HPI-I or the relevant HPI-O and local ubiquitous identifier. The local registration process should issue a user with a unique user ID after they have satisfied an evidence of identity check. The registration process should also assign the user ID authorisations to access information and perform functions within applications and services.</w:t>
      </w:r>
    </w:p>
    <w:p w14:paraId="1B832F69" w14:textId="77777777" w:rsidR="00AD2554" w:rsidRPr="000F2520" w:rsidRDefault="00AD2554" w:rsidP="00AD2554">
      <w:pPr>
        <w:pStyle w:val="BodyText"/>
      </w:pPr>
      <w:r w:rsidRPr="000F2520">
        <w:t>The registration process should also ensure that the user is aware of any specific organisational access policies and should include a record of the user’s acceptance of such policies, possibly by recording a signed statement. It should also maintain formal records of approved users, and include processes to revoke registration, when a user leaves the organisation for example.</w:t>
      </w:r>
    </w:p>
    <w:p w14:paraId="12BE847F" w14:textId="77777777" w:rsidR="00AD2554" w:rsidRPr="000F2520" w:rsidRDefault="00AD2554" w:rsidP="00AD2554">
      <w:pPr>
        <w:pStyle w:val="BodyText"/>
      </w:pPr>
      <w:r w:rsidRPr="000F2520">
        <w:t>CQRs and service providers should consider grouping users into access roles and assigning authorisations to the roles, as opposed to the individual user.</w:t>
      </w:r>
    </w:p>
    <w:p w14:paraId="31EDBC34" w14:textId="77777777" w:rsidR="00AD2554" w:rsidRPr="000F2520" w:rsidRDefault="00AD2554" w:rsidP="00AD2554">
      <w:pPr>
        <w:pStyle w:val="BodyText"/>
      </w:pPr>
      <w:r w:rsidRPr="000F2520">
        <w:t>National Privacy Principle 8. Anonymity, states that 'Wherever it is lawful and practicable, individuals must have the option of not identifying themselves when entering transactions with an organisation'.</w:t>
      </w:r>
    </w:p>
    <w:p w14:paraId="0859D5FC" w14:textId="77777777" w:rsidR="00AD2554" w:rsidRPr="000F2520" w:rsidRDefault="00AD2554" w:rsidP="00AD2554">
      <w:pPr>
        <w:pStyle w:val="BodyText"/>
        <w:rPr>
          <w:i/>
        </w:rPr>
      </w:pPr>
      <w:r w:rsidRPr="000F2520">
        <w:rPr>
          <w:i/>
        </w:rPr>
        <w:t>Useful reference: ISO/TS 25237:2008 Pseudonymisation</w:t>
      </w:r>
    </w:p>
    <w:p w14:paraId="7972D5C6" w14:textId="77777777" w:rsidR="00AD2554" w:rsidRPr="000F2520" w:rsidRDefault="00AD2554" w:rsidP="00AD2554">
      <w:pPr>
        <w:pStyle w:val="BodyText"/>
      </w:pPr>
      <w:r w:rsidRPr="000F2520">
        <w:t>Clinical quality registry systems should have the allocation of privileges controlled through a formal authorisation process, including the access privileges associated with each component of the system (operating system, database, application); privileges should only be granted when needed; and use of privilege should be monitored and recorded.</w:t>
      </w:r>
    </w:p>
    <w:p w14:paraId="457FF3BB" w14:textId="77777777" w:rsidR="00AD2554" w:rsidRPr="000F2520" w:rsidRDefault="00AD2554" w:rsidP="00AD2554">
      <w:pPr>
        <w:pStyle w:val="BodyText"/>
      </w:pPr>
      <w:r w:rsidRPr="000F2520">
        <w:t xml:space="preserve">Where possible systems should utilise routines and programs that do not require the use of privilege. </w:t>
      </w:r>
    </w:p>
    <w:p w14:paraId="58B62EDD" w14:textId="77777777" w:rsidR="00AD2554" w:rsidRPr="000F2520" w:rsidRDefault="00AD2554" w:rsidP="00AD2554">
      <w:pPr>
        <w:pStyle w:val="BodyText"/>
      </w:pPr>
      <w:r w:rsidRPr="000F2520">
        <w:lastRenderedPageBreak/>
        <w:t>Inappropriate use of system privileges can assist in the breach of system security controls and therefore should be actively discouraged.</w:t>
      </w:r>
    </w:p>
    <w:p w14:paraId="6030BDA2" w14:textId="77777777" w:rsidR="00AD2554" w:rsidRPr="000F2520" w:rsidRDefault="00AD2554" w:rsidP="00AD2554">
      <w:pPr>
        <w:pStyle w:val="BodyText"/>
      </w:pPr>
      <w:r w:rsidRPr="000F2520">
        <w:t>When users are first registered, they should be given in a secure manner a temporary password that is unique to them. The user should be forced to change the temporary password at first use.</w:t>
      </w:r>
    </w:p>
    <w:p w14:paraId="48E7D887" w14:textId="77777777" w:rsidR="00AD2554" w:rsidRPr="000F2520" w:rsidRDefault="00AD2554" w:rsidP="00AD2554">
      <w:pPr>
        <w:pStyle w:val="BodyText"/>
      </w:pPr>
      <w:r w:rsidRPr="000F2520">
        <w:t>If a user is to be issued with another temporary password, (</w:t>
      </w:r>
      <w:proofErr w:type="gramStart"/>
      <w:r w:rsidRPr="000F2520">
        <w:t>e.g.</w:t>
      </w:r>
      <w:proofErr w:type="gramEnd"/>
      <w:r w:rsidRPr="000F2520">
        <w:t xml:space="preserve"> when they forget their password), then the user’s identity should be validated prior to the issuance of the new password.</w:t>
      </w:r>
    </w:p>
    <w:p w14:paraId="016A835F" w14:textId="77777777" w:rsidR="00AD2554" w:rsidRPr="000F2520" w:rsidRDefault="00AD2554" w:rsidP="00AD2554">
      <w:pPr>
        <w:pStyle w:val="BodyText"/>
      </w:pPr>
      <w:r w:rsidRPr="000F2520">
        <w:t>Passwords should never be stored on a computer system in an unprotected form. Default application passwords should never be used and should be changed as soon after implementation as possible.</w:t>
      </w:r>
    </w:p>
    <w:p w14:paraId="6E3E7C32" w14:textId="77777777" w:rsidR="00AD2554" w:rsidRPr="000F2520" w:rsidRDefault="00AD2554" w:rsidP="00AD2554">
      <w:pPr>
        <w:pStyle w:val="BodyText"/>
      </w:pPr>
      <w:r w:rsidRPr="000F2520">
        <w:t xml:space="preserve">User access right should be reviewed at frequent periods, </w:t>
      </w:r>
      <w:proofErr w:type="gramStart"/>
      <w:r w:rsidRPr="000F2520">
        <w:t>e.g.</w:t>
      </w:r>
      <w:proofErr w:type="gramEnd"/>
      <w:r w:rsidRPr="000F2520">
        <w:t xml:space="preserve"> yearly, and after any major change such as change of role or termination of employment. User access right should be reviewed and re-allocated if the user changes roles within the same organisation.</w:t>
      </w:r>
    </w:p>
    <w:p w14:paraId="6E2F7C34" w14:textId="77777777" w:rsidR="00AD2554" w:rsidRPr="000F2520" w:rsidRDefault="00AD2554" w:rsidP="00AD2554">
      <w:pPr>
        <w:pStyle w:val="BodyText"/>
      </w:pPr>
      <w:r w:rsidRPr="000F2520">
        <w:t xml:space="preserve">Authorisations for higher privileged access should be reviewed more often, </w:t>
      </w:r>
      <w:proofErr w:type="gramStart"/>
      <w:r w:rsidRPr="000F2520">
        <w:t>e.g.</w:t>
      </w:r>
      <w:proofErr w:type="gramEnd"/>
      <w:r w:rsidRPr="000F2520">
        <w:t xml:space="preserve"> monthly, and allocations should be checked to ensure that unauthorised privileged rights have not been obtained.</w:t>
      </w:r>
    </w:p>
    <w:p w14:paraId="2EBCCDCE" w14:textId="77777777" w:rsidR="00AD2554" w:rsidRPr="000F2520" w:rsidRDefault="00AD2554" w:rsidP="00AD2554">
      <w:pPr>
        <w:pStyle w:val="BodyText"/>
      </w:pPr>
      <w:r w:rsidRPr="000F2520">
        <w:rPr>
          <w:b/>
        </w:rPr>
        <w:t xml:space="preserve">Architectural Impacts: </w:t>
      </w:r>
      <w:r w:rsidRPr="000F2520">
        <w:t>External User Management Service; Authentication Service; Authorisation Service.</w:t>
      </w:r>
    </w:p>
    <w:p w14:paraId="1C301581" w14:textId="77777777" w:rsidR="00AD2554" w:rsidRPr="000F2520" w:rsidRDefault="00AD2554" w:rsidP="00AD2554">
      <w:pPr>
        <w:pStyle w:val="Heading3"/>
        <w:numPr>
          <w:ilvl w:val="2"/>
          <w:numId w:val="21"/>
        </w:numPr>
        <w:tabs>
          <w:tab w:val="clear" w:pos="1276"/>
          <w:tab w:val="num" w:pos="2223"/>
        </w:tabs>
        <w:ind w:left="2223" w:hanging="180"/>
      </w:pPr>
      <w:bookmarkStart w:id="115" w:name="_Toc106613939"/>
      <w:r w:rsidRPr="000F2520">
        <w:t>User responsibilities</w:t>
      </w:r>
      <w:bookmarkEnd w:id="115"/>
    </w:p>
    <w:p w14:paraId="7BB5BC25" w14:textId="77777777" w:rsidR="00AD2554" w:rsidRPr="000F2520" w:rsidRDefault="00AD2554" w:rsidP="00AD2554">
      <w:pPr>
        <w:pStyle w:val="BodyText"/>
      </w:pPr>
      <w:r w:rsidRPr="000F2520">
        <w:rPr>
          <w:b/>
        </w:rPr>
        <w:t xml:space="preserve">Objective: </w:t>
      </w:r>
      <w:r w:rsidRPr="000F2520">
        <w:t>To prevent unauthorised user access, and compromise or theft of information and information processing facilities.</w:t>
      </w:r>
    </w:p>
    <w:p w14:paraId="05FFBFD2" w14:textId="77777777" w:rsidR="00AD2554" w:rsidRPr="000F2520" w:rsidRDefault="00AD2554" w:rsidP="00AD2554">
      <w:pPr>
        <w:pStyle w:val="BodyText"/>
      </w:pPr>
      <w:r w:rsidRPr="000F2520">
        <w:rPr>
          <w:b/>
        </w:rPr>
        <w:t xml:space="preserve">Guidance: </w:t>
      </w:r>
      <w:r w:rsidRPr="000F2520">
        <w:t>All users should be advised to keep their passwords secret and not keep a record. CQRs and service providers should have a policy that identifies how often a password should be changed and the complexity of the password. Care should be taken to ensure that the policy does not place undue burden upon the user which may cause them to record their passwords.</w:t>
      </w:r>
    </w:p>
    <w:p w14:paraId="3F6E8FD0" w14:textId="77777777" w:rsidR="00AD2554" w:rsidRPr="000F2520" w:rsidRDefault="00AD2554" w:rsidP="00AD2554">
      <w:pPr>
        <w:pStyle w:val="BodyText"/>
      </w:pPr>
      <w:r w:rsidRPr="000F2520">
        <w:t>Password rules should encourage longer passwords, which utilise special characters and numbers, and cannot be recycled.</w:t>
      </w:r>
    </w:p>
    <w:p w14:paraId="0F900511" w14:textId="77777777" w:rsidR="00AD2554" w:rsidRPr="000F2520" w:rsidRDefault="00AD2554" w:rsidP="00AD2554">
      <w:pPr>
        <w:pStyle w:val="BodyText"/>
      </w:pPr>
      <w:r w:rsidRPr="000F2520">
        <w:t>Users should be made aware that computer equipment should not be left unattended with an active user session still logged in.</w:t>
      </w:r>
    </w:p>
    <w:p w14:paraId="231F233C" w14:textId="77777777" w:rsidR="00AD2554" w:rsidRPr="000F2520" w:rsidRDefault="00AD2554" w:rsidP="00AD2554">
      <w:pPr>
        <w:pStyle w:val="BodyText"/>
      </w:pPr>
      <w:r w:rsidRPr="000F2520">
        <w:t xml:space="preserve">Users should be encouraged to log off the computer system or utilise an appropriate locking mechanism, </w:t>
      </w:r>
      <w:proofErr w:type="gramStart"/>
      <w:r w:rsidRPr="000F2520">
        <w:t>e.g.</w:t>
      </w:r>
      <w:proofErr w:type="gramEnd"/>
      <w:r w:rsidRPr="000F2520">
        <w:t xml:space="preserve"> screen lock.</w:t>
      </w:r>
    </w:p>
    <w:p w14:paraId="7C978843" w14:textId="77777777" w:rsidR="00AD2554" w:rsidRPr="000F2520" w:rsidRDefault="00AD2554" w:rsidP="00AD2554">
      <w:pPr>
        <w:pStyle w:val="BodyText"/>
      </w:pPr>
      <w:r w:rsidRPr="000F2520">
        <w:t xml:space="preserve">Screen locks should enable an override by another user </w:t>
      </w:r>
      <w:proofErr w:type="gramStart"/>
      <w:r w:rsidRPr="000F2520">
        <w:t>in the event that</w:t>
      </w:r>
      <w:proofErr w:type="gramEnd"/>
      <w:r w:rsidRPr="000F2520">
        <w:t xml:space="preserve"> the computer is required by another user.</w:t>
      </w:r>
    </w:p>
    <w:p w14:paraId="5C537FE1" w14:textId="77777777" w:rsidR="00AD2554" w:rsidRPr="000F2520" w:rsidRDefault="00AD2554" w:rsidP="00AD2554">
      <w:pPr>
        <w:pStyle w:val="BodyText"/>
      </w:pPr>
      <w:r w:rsidRPr="000F2520">
        <w:t>CQRs and service providers should ensure that no identifying information is left unattended, either in printed form or electronic form. All printed media should be securely destroyed or locked away. All electronic storage media should be secured when not being used, and healthcare information should be removed securely from the media as soon as it is no longer required.</w:t>
      </w:r>
    </w:p>
    <w:p w14:paraId="0A5DB93A" w14:textId="77777777" w:rsidR="00AD2554" w:rsidRPr="000F2520" w:rsidRDefault="00AD2554" w:rsidP="00AD2554">
      <w:pPr>
        <w:pStyle w:val="BodyText"/>
      </w:pPr>
      <w:r w:rsidRPr="000F2520">
        <w:t>Computer screens should be angled so that they are not visible from public areas, privacy guards should be used to reduce the ability for someone to overlook the screen.</w:t>
      </w:r>
    </w:p>
    <w:p w14:paraId="48979B6B" w14:textId="77777777" w:rsidR="00AD2554" w:rsidRPr="000F2520" w:rsidRDefault="00AD2554" w:rsidP="00AD2554">
      <w:pPr>
        <w:pStyle w:val="BodyText"/>
      </w:pPr>
      <w:r w:rsidRPr="000F2520">
        <w:rPr>
          <w:b/>
        </w:rPr>
        <w:t>Architectural Impacts:</w:t>
      </w:r>
      <w:r w:rsidRPr="000F2520">
        <w:t xml:space="preserve"> External User Management Service; Authentication Service.</w:t>
      </w:r>
    </w:p>
    <w:p w14:paraId="7B323E4B" w14:textId="77777777" w:rsidR="00AD2554" w:rsidRPr="000F2520" w:rsidRDefault="00AD2554" w:rsidP="00AD2554">
      <w:pPr>
        <w:pStyle w:val="Heading3"/>
        <w:numPr>
          <w:ilvl w:val="2"/>
          <w:numId w:val="21"/>
        </w:numPr>
        <w:tabs>
          <w:tab w:val="clear" w:pos="1276"/>
          <w:tab w:val="num" w:pos="2223"/>
        </w:tabs>
        <w:ind w:left="2223" w:hanging="180"/>
      </w:pPr>
      <w:bookmarkStart w:id="116" w:name="_Toc106613940"/>
      <w:r w:rsidRPr="000F2520">
        <w:t>Network and operating system access control</w:t>
      </w:r>
      <w:bookmarkEnd w:id="116"/>
    </w:p>
    <w:p w14:paraId="518CCF10" w14:textId="77777777" w:rsidR="00AD2554" w:rsidRPr="000F2520" w:rsidRDefault="00AD2554" w:rsidP="00AD2554">
      <w:pPr>
        <w:pStyle w:val="BodyText"/>
      </w:pPr>
      <w:r w:rsidRPr="000F2520">
        <w:rPr>
          <w:b/>
        </w:rPr>
        <w:t xml:space="preserve">Objective: </w:t>
      </w:r>
      <w:r w:rsidRPr="000F2520">
        <w:t>To prevent unauthorised access to networked services.</w:t>
      </w:r>
    </w:p>
    <w:p w14:paraId="21F0708E" w14:textId="77777777" w:rsidR="00AD2554" w:rsidRPr="000F2520" w:rsidRDefault="00AD2554" w:rsidP="00AD2554">
      <w:pPr>
        <w:pStyle w:val="BodyText"/>
      </w:pPr>
      <w:r w:rsidRPr="000F2520">
        <w:rPr>
          <w:b/>
        </w:rPr>
        <w:t xml:space="preserve">Guidance: </w:t>
      </w:r>
      <w:r w:rsidRPr="000F2520">
        <w:t>An organisation should have a policy concerning the use of networks and network services. This policy should identify:</w:t>
      </w:r>
    </w:p>
    <w:p w14:paraId="201AC5F7" w14:textId="77777777" w:rsidR="00AD2554" w:rsidRPr="000F2520" w:rsidRDefault="00AD2554" w:rsidP="00AD2554">
      <w:pPr>
        <w:pStyle w:val="ListBullet2"/>
        <w:numPr>
          <w:ilvl w:val="0"/>
          <w:numId w:val="51"/>
        </w:numPr>
        <w:spacing w:before="120" w:after="120" w:line="240" w:lineRule="auto"/>
        <w:contextualSpacing w:val="0"/>
      </w:pPr>
      <w:r w:rsidRPr="000F2520">
        <w:t>the networks and network services which are allowed to be accessed</w:t>
      </w:r>
    </w:p>
    <w:p w14:paraId="3E29480F" w14:textId="77777777" w:rsidR="00AD2554" w:rsidRPr="000F2520" w:rsidRDefault="00AD2554" w:rsidP="00AD2554">
      <w:pPr>
        <w:pStyle w:val="ListBullet2"/>
        <w:numPr>
          <w:ilvl w:val="0"/>
          <w:numId w:val="51"/>
        </w:numPr>
        <w:spacing w:before="120" w:after="120" w:line="240" w:lineRule="auto"/>
        <w:contextualSpacing w:val="0"/>
      </w:pPr>
      <w:r w:rsidRPr="000F2520">
        <w:lastRenderedPageBreak/>
        <w:t>authentication and authorisation procedures for determining who is allowed to access networks and networked services</w:t>
      </w:r>
    </w:p>
    <w:p w14:paraId="50BE2B2F" w14:textId="77777777" w:rsidR="00AD2554" w:rsidRPr="000F2520" w:rsidRDefault="00AD2554" w:rsidP="00AD2554">
      <w:pPr>
        <w:pStyle w:val="ListBullet2"/>
        <w:numPr>
          <w:ilvl w:val="0"/>
          <w:numId w:val="51"/>
        </w:numPr>
        <w:spacing w:before="120" w:after="120" w:line="240" w:lineRule="auto"/>
        <w:contextualSpacing w:val="0"/>
      </w:pPr>
      <w:r w:rsidRPr="000F2520">
        <w:t>management controls and procedures to protect access to network connections and network services</w:t>
      </w:r>
    </w:p>
    <w:p w14:paraId="2A8B8BB5" w14:textId="77777777" w:rsidR="00AD2554" w:rsidRPr="000F2520" w:rsidRDefault="00AD2554" w:rsidP="00AD2554">
      <w:pPr>
        <w:pStyle w:val="ListBullet2"/>
        <w:numPr>
          <w:ilvl w:val="0"/>
          <w:numId w:val="51"/>
        </w:numPr>
        <w:spacing w:before="120" w:after="120" w:line="240" w:lineRule="auto"/>
        <w:contextualSpacing w:val="0"/>
      </w:pPr>
      <w:r w:rsidRPr="000F2520">
        <w:t>Any remote methods to access the network (</w:t>
      </w:r>
      <w:proofErr w:type="gramStart"/>
      <w:r w:rsidRPr="000F2520">
        <w:t>e.g.</w:t>
      </w:r>
      <w:proofErr w:type="gramEnd"/>
      <w:r w:rsidRPr="000F2520">
        <w:t xml:space="preserve"> virtual private network).</w:t>
      </w:r>
    </w:p>
    <w:p w14:paraId="467B6C3B" w14:textId="77777777" w:rsidR="00AD2554" w:rsidRPr="000F2520" w:rsidRDefault="00AD2554" w:rsidP="00AD2554">
      <w:pPr>
        <w:pStyle w:val="BodyText"/>
      </w:pPr>
      <w:r w:rsidRPr="000F2520">
        <w:t xml:space="preserve">This control is particularly important for network connections to applications or services that process health information and to users accessing from high-risk locations, </w:t>
      </w:r>
      <w:proofErr w:type="gramStart"/>
      <w:r w:rsidRPr="000F2520">
        <w:t>e.g.</w:t>
      </w:r>
      <w:proofErr w:type="gramEnd"/>
      <w:r w:rsidRPr="000F2520">
        <w:t xml:space="preserve"> public Internet, which is outside the organisation’s security management and control.</w:t>
      </w:r>
    </w:p>
    <w:p w14:paraId="07F3E63C" w14:textId="77777777" w:rsidR="00AD2554" w:rsidRPr="000F2520" w:rsidRDefault="00AD2554" w:rsidP="00AD2554">
      <w:pPr>
        <w:pStyle w:val="BodyText"/>
      </w:pPr>
      <w:r w:rsidRPr="000F2520">
        <w:t>The connection should use a virtual private network (VPN) or dedicated private lines to provide assurance of the source of connections.</w:t>
      </w:r>
    </w:p>
    <w:p w14:paraId="32D43442" w14:textId="77777777" w:rsidR="00AD2554" w:rsidRPr="000F2520" w:rsidRDefault="00AD2554" w:rsidP="00AD2554">
      <w:pPr>
        <w:pStyle w:val="BodyText"/>
      </w:pPr>
      <w:r w:rsidRPr="000F2520">
        <w:t>Authentication of the end-point device should be used if only permitted devices are allowed to connect to the network. The device should be issued with a credential that is unique to it. Once the device is successfully authenticated and connected to the network the user should be authenticated and authorised access to the application or service.</w:t>
      </w:r>
    </w:p>
    <w:p w14:paraId="11E5A51E" w14:textId="77777777" w:rsidR="00AD2554" w:rsidRPr="000F2520" w:rsidRDefault="00AD2554" w:rsidP="00AD2554">
      <w:pPr>
        <w:pStyle w:val="BodyText"/>
      </w:pPr>
      <w:r w:rsidRPr="000F2520">
        <w:t xml:space="preserve">Diagnostic and configuration ports should only be available to authorised users and by approval from the manager of the computer service. Ports, services, and similar facilities installed on a computer or network device, which are not specifically required for business functionality, should be </w:t>
      </w:r>
      <w:proofErr w:type="gramStart"/>
      <w:r w:rsidRPr="000F2520">
        <w:t>disabled</w:t>
      </w:r>
      <w:proofErr w:type="gramEnd"/>
      <w:r w:rsidRPr="000F2520">
        <w:t xml:space="preserve"> or removed.</w:t>
      </w:r>
    </w:p>
    <w:p w14:paraId="31FC1AE9" w14:textId="77777777" w:rsidR="00AD2554" w:rsidRPr="000F2520" w:rsidRDefault="00AD2554" w:rsidP="00AD2554">
      <w:pPr>
        <w:pStyle w:val="BodyText"/>
      </w:pPr>
      <w:r w:rsidRPr="000F2520">
        <w:t>Many computer systems, network systems, and communication systems are installed with a remote diagnostic or configuration facility for use by maintenance engineers. If unprotected, these diagnostic ports could provide a means of unauthorised access.</w:t>
      </w:r>
    </w:p>
    <w:p w14:paraId="2FA11A29" w14:textId="77777777" w:rsidR="00AD2554" w:rsidRPr="000F2520" w:rsidRDefault="00AD2554" w:rsidP="00AD2554">
      <w:pPr>
        <w:pStyle w:val="BodyText"/>
      </w:pPr>
      <w:r w:rsidRPr="000F2520">
        <w:t xml:space="preserve">Networks should be segregated into domains based on the access control policy and access requirements and should also </w:t>
      </w:r>
      <w:proofErr w:type="gramStart"/>
      <w:r w:rsidRPr="000F2520">
        <w:t>take into account</w:t>
      </w:r>
      <w:proofErr w:type="gramEnd"/>
      <w:r w:rsidRPr="000F2520">
        <w:t xml:space="preserve"> the relative cost and performance impact of incorporating additional network routing or gateway technology.</w:t>
      </w:r>
    </w:p>
    <w:p w14:paraId="5275759A" w14:textId="77777777" w:rsidR="00AD2554" w:rsidRPr="000F2520" w:rsidRDefault="00AD2554" w:rsidP="00AD2554">
      <w:pPr>
        <w:pStyle w:val="BodyText"/>
      </w:pPr>
      <w:r w:rsidRPr="000F2520">
        <w:t xml:space="preserve">In addition, segregation of networks should be based on the value and classification of information stored or processed in the network, levels of trust, or lines of business, </w:t>
      </w:r>
      <w:proofErr w:type="gramStart"/>
      <w:r w:rsidRPr="000F2520">
        <w:t>in order to</w:t>
      </w:r>
      <w:proofErr w:type="gramEnd"/>
      <w:r w:rsidRPr="000F2520">
        <w:t xml:space="preserve"> reduce the total impact of a service disruption. Networks processing health information should be segregated from those networks used for operational purposes (</w:t>
      </w:r>
      <w:proofErr w:type="gramStart"/>
      <w:r w:rsidRPr="000F2520">
        <w:t>e.g.</w:t>
      </w:r>
      <w:proofErr w:type="gramEnd"/>
      <w:r w:rsidRPr="000F2520">
        <w:t xml:space="preserve"> back-up).</w:t>
      </w:r>
    </w:p>
    <w:p w14:paraId="7F2D858F" w14:textId="77777777" w:rsidR="00AD2554" w:rsidRPr="000F2520" w:rsidRDefault="00AD2554" w:rsidP="00AD2554">
      <w:pPr>
        <w:pStyle w:val="BodyText"/>
      </w:pPr>
      <w:r w:rsidRPr="000F2520">
        <w:t>Consideration should be given to the segregation of wireless networks from internal and private networks. As the perimeters of wireless networks are not well defined, a risk assessment should be carried out in such cases to identify controls (</w:t>
      </w:r>
      <w:proofErr w:type="gramStart"/>
      <w:r w:rsidRPr="000F2520">
        <w:t>e.g.</w:t>
      </w:r>
      <w:proofErr w:type="gramEnd"/>
      <w:r w:rsidRPr="000F2520">
        <w:t xml:space="preserve"> strong authentication, cryptographic methods, and frequency selection) to maintain network segregation.</w:t>
      </w:r>
    </w:p>
    <w:p w14:paraId="1069BF61" w14:textId="77777777" w:rsidR="00AD2554" w:rsidRPr="000F2520" w:rsidRDefault="00AD2554" w:rsidP="00AD2554">
      <w:pPr>
        <w:pStyle w:val="BodyText"/>
      </w:pPr>
      <w:r w:rsidRPr="000F2520">
        <w:t>The access control policy should identify what services should be available to users on a network, and from where the user can access the service.</w:t>
      </w:r>
    </w:p>
    <w:p w14:paraId="43DFAC9A" w14:textId="77777777" w:rsidR="00AD2554" w:rsidRPr="000F2520" w:rsidRDefault="00AD2554" w:rsidP="00AD2554">
      <w:pPr>
        <w:pStyle w:val="BodyText"/>
      </w:pPr>
      <w:r w:rsidRPr="000F2520">
        <w:t xml:space="preserve">Any un-necessary or unauthorised services should be blocked at the network gateway, </w:t>
      </w:r>
      <w:proofErr w:type="gramStart"/>
      <w:r w:rsidRPr="000F2520">
        <w:t>e.g.</w:t>
      </w:r>
      <w:proofErr w:type="gramEnd"/>
      <w:r w:rsidRPr="000F2520">
        <w:t xml:space="preserve"> file transfer services, by closing the network port.</w:t>
      </w:r>
    </w:p>
    <w:p w14:paraId="76ED6AE8" w14:textId="77777777" w:rsidR="00AD2554" w:rsidRPr="000F2520" w:rsidRDefault="00AD2554" w:rsidP="00AD2554">
      <w:pPr>
        <w:pStyle w:val="BodyText"/>
      </w:pPr>
      <w:r w:rsidRPr="000F2520">
        <w:t xml:space="preserve">The access control policy should identify networks that can be connected to </w:t>
      </w:r>
      <w:proofErr w:type="gramStart"/>
      <w:r w:rsidRPr="000F2520">
        <w:t>particular applications</w:t>
      </w:r>
      <w:proofErr w:type="gramEnd"/>
      <w:r w:rsidRPr="000F2520">
        <w:t xml:space="preserve"> and which functions on that application can utilise or connect to that network.</w:t>
      </w:r>
    </w:p>
    <w:p w14:paraId="0D2B33C1" w14:textId="77777777" w:rsidR="00AD2554" w:rsidRPr="000F2520" w:rsidRDefault="00AD2554" w:rsidP="00AD2554">
      <w:pPr>
        <w:pStyle w:val="BodyText"/>
      </w:pPr>
      <w:r w:rsidRPr="000F2520">
        <w:t>For example, if a segregated back-up network is identified, then no users should be connecting to the application from that network.</w:t>
      </w:r>
    </w:p>
    <w:p w14:paraId="4D6D3520" w14:textId="77777777" w:rsidR="00AD2554" w:rsidRPr="000F2520" w:rsidRDefault="00AD2554" w:rsidP="00AD2554">
      <w:pPr>
        <w:pStyle w:val="BodyText"/>
      </w:pPr>
      <w:r w:rsidRPr="000F2520">
        <w:t xml:space="preserve">The procedure for logging into a system should be designed to limit unauthorised access. The log-on procedure should therefore disclose the minimum of information about the system, </w:t>
      </w:r>
      <w:proofErr w:type="gramStart"/>
      <w:r w:rsidRPr="000F2520">
        <w:t>in order to</w:t>
      </w:r>
      <w:proofErr w:type="gramEnd"/>
      <w:r w:rsidRPr="000F2520">
        <w:t xml:space="preserve"> avoid providing an unauthorised user with any assistance. A log-on procedure should not display system or application identifiers until the log-on process has been successfully completed and display a general notice warning that the computer should only be accessed by authorised users.</w:t>
      </w:r>
    </w:p>
    <w:p w14:paraId="719BE76F" w14:textId="270A2F79" w:rsidR="00AD2554" w:rsidRPr="000F2520" w:rsidRDefault="00AD2554" w:rsidP="00AD2554">
      <w:pPr>
        <w:pStyle w:val="BodyText"/>
      </w:pPr>
      <w:r w:rsidRPr="000F2520">
        <w:t xml:space="preserve">The log-on procedure should not provide any messages during the log-on procedure that might aid an unauthorised user and should only validate the log-on information upon completion of all </w:t>
      </w:r>
      <w:r w:rsidRPr="000F2520">
        <w:lastRenderedPageBreak/>
        <w:t xml:space="preserve">input data. If an error condition arises, the system should not indicate which part of the data </w:t>
      </w:r>
      <w:r w:rsidR="00200C6A">
        <w:t>are</w:t>
      </w:r>
      <w:r w:rsidRPr="000F2520">
        <w:t xml:space="preserve"> correct or incorrect.</w:t>
      </w:r>
    </w:p>
    <w:p w14:paraId="050A933A" w14:textId="77777777" w:rsidR="00AD2554" w:rsidRPr="000F2520" w:rsidRDefault="00AD2554" w:rsidP="00AD2554">
      <w:pPr>
        <w:pStyle w:val="BodyText"/>
      </w:pPr>
      <w:r w:rsidRPr="000F2520">
        <w:t>The log-on procedure should limit the number of unsuccessful log-on attempts allowed and should record unsuccessful and successful attempts. Consideration should be given to enforcing a time delay before further log-on attempts are allowed or rejecting any further attempts without specific authorisation.</w:t>
      </w:r>
    </w:p>
    <w:p w14:paraId="01BEBBF7" w14:textId="77777777" w:rsidR="00AD2554" w:rsidRPr="000F2520" w:rsidRDefault="00AD2554" w:rsidP="00AD2554">
      <w:pPr>
        <w:pStyle w:val="BodyText"/>
      </w:pPr>
      <w:r w:rsidRPr="000F2520">
        <w:t>Consideration should be given as to display the following information on completion of a successful log-on:</w:t>
      </w:r>
    </w:p>
    <w:p w14:paraId="0D3DA66F" w14:textId="77777777" w:rsidR="00AD2554" w:rsidRPr="000F2520" w:rsidRDefault="00AD2554" w:rsidP="00AD2554">
      <w:pPr>
        <w:pStyle w:val="ListBullet2"/>
        <w:numPr>
          <w:ilvl w:val="0"/>
          <w:numId w:val="51"/>
        </w:numPr>
        <w:spacing w:before="120" w:after="120" w:line="240" w:lineRule="auto"/>
        <w:contextualSpacing w:val="0"/>
      </w:pPr>
      <w:r w:rsidRPr="000F2520">
        <w:t>date and time of the previous successful log-on</w:t>
      </w:r>
    </w:p>
    <w:p w14:paraId="1126B08B" w14:textId="77777777" w:rsidR="00AD2554" w:rsidRPr="000F2520" w:rsidRDefault="00AD2554" w:rsidP="00AD2554">
      <w:pPr>
        <w:pStyle w:val="ListBullet2"/>
        <w:numPr>
          <w:ilvl w:val="0"/>
          <w:numId w:val="51"/>
        </w:numPr>
        <w:spacing w:before="120" w:after="120" w:line="240" w:lineRule="auto"/>
        <w:contextualSpacing w:val="0"/>
      </w:pPr>
      <w:r w:rsidRPr="000F2520">
        <w:t>details of any unsuccessful log-on attempts since the last successful log-on.</w:t>
      </w:r>
    </w:p>
    <w:p w14:paraId="144F8228" w14:textId="77777777" w:rsidR="00AD2554" w:rsidRPr="000F2520" w:rsidRDefault="00AD2554" w:rsidP="00AD2554">
      <w:pPr>
        <w:pStyle w:val="BodyText"/>
      </w:pPr>
      <w:r w:rsidRPr="000F2520">
        <w:t>All users that need to access an information system should have their own unique user ID. This includes privileged users, such as technical support teams, operators, system administrators and application users. The user ID should be able to assist with tracing the activities to an individual. Users should not log-on to systems using privilege accounts and should use their own user ID and temporarily uplift their session to the privilege account.</w:t>
      </w:r>
    </w:p>
    <w:p w14:paraId="4940EF91" w14:textId="77777777" w:rsidR="00AD2554" w:rsidRPr="000F2520" w:rsidRDefault="00AD2554" w:rsidP="00AD2554">
      <w:pPr>
        <w:pStyle w:val="BodyText"/>
      </w:pPr>
      <w:r w:rsidRPr="000F2520">
        <w:t>Users accessing health information should be uniquely identified by a user ID.</w:t>
      </w:r>
    </w:p>
    <w:p w14:paraId="5B336441" w14:textId="77777777" w:rsidR="00AD2554" w:rsidRPr="000F2520" w:rsidRDefault="00AD2554" w:rsidP="00AD2554">
      <w:pPr>
        <w:pStyle w:val="BodyText"/>
      </w:pPr>
      <w:r w:rsidRPr="000F2520">
        <w:t>In exceptional circumstances where there is a clear business benefit the use of a shared user ID for a small, defined group of users, can be used. This should be documented, and the members of the group should be reviewed and if necessary, the password changed to ensure that the shared user ID is not compromised. Additional controls to maintain accountability to an individual may be required.</w:t>
      </w:r>
    </w:p>
    <w:p w14:paraId="5D99FA36" w14:textId="77777777" w:rsidR="00AD2554" w:rsidRPr="000F2520" w:rsidRDefault="00AD2554" w:rsidP="00AD2554">
      <w:pPr>
        <w:pStyle w:val="BodyText"/>
      </w:pPr>
      <w:r w:rsidRPr="000F2520">
        <w:t>Generic or anonymous access should only be used where the functions being used do not need to be traced, (</w:t>
      </w:r>
      <w:proofErr w:type="gramStart"/>
      <w:r w:rsidRPr="000F2520">
        <w:t>e.g.</w:t>
      </w:r>
      <w:proofErr w:type="gramEnd"/>
      <w:r w:rsidRPr="000F2520">
        <w:t xml:space="preserve"> read only access to public health information).</w:t>
      </w:r>
    </w:p>
    <w:p w14:paraId="7720D955" w14:textId="77777777" w:rsidR="00AD2554" w:rsidRPr="000F2520" w:rsidRDefault="00AD2554" w:rsidP="00AD2554">
      <w:pPr>
        <w:pStyle w:val="BodyText"/>
      </w:pPr>
      <w:r w:rsidRPr="000F2520">
        <w:t>If privileged user IDs are to be used, then they should only be issued to a known individual one user at a time and a record should be kept of the time and date when the individual used the privilege user ID. The password should be changed after each use so that the record is an accurate copy of when the specific individual used the privilege user ID</w:t>
      </w:r>
    </w:p>
    <w:p w14:paraId="423E8B6A" w14:textId="77777777" w:rsidR="00AD2554" w:rsidRPr="000F2520" w:rsidRDefault="00AD2554" w:rsidP="00AD2554">
      <w:pPr>
        <w:pStyle w:val="BodyText"/>
      </w:pPr>
      <w:r w:rsidRPr="000F2520">
        <w:t>A password management system should:</w:t>
      </w:r>
    </w:p>
    <w:p w14:paraId="74772CF5" w14:textId="77777777" w:rsidR="00AD2554" w:rsidRPr="000F2520" w:rsidRDefault="00AD2554" w:rsidP="00AD2554">
      <w:pPr>
        <w:pStyle w:val="ListBullet2"/>
        <w:numPr>
          <w:ilvl w:val="0"/>
          <w:numId w:val="51"/>
        </w:numPr>
        <w:spacing w:before="120" w:after="120" w:line="240" w:lineRule="auto"/>
        <w:contextualSpacing w:val="0"/>
      </w:pPr>
      <w:r w:rsidRPr="000F2520">
        <w:t>enforce the use of individual user IDs and passwords to maintain accountability</w:t>
      </w:r>
    </w:p>
    <w:p w14:paraId="1B04AFD6" w14:textId="77777777" w:rsidR="00AD2554" w:rsidRPr="000F2520" w:rsidRDefault="00AD2554" w:rsidP="00AD2554">
      <w:pPr>
        <w:pStyle w:val="ListBullet2"/>
        <w:numPr>
          <w:ilvl w:val="0"/>
          <w:numId w:val="51"/>
        </w:numPr>
        <w:spacing w:before="120" w:after="120" w:line="240" w:lineRule="auto"/>
        <w:contextualSpacing w:val="0"/>
      </w:pPr>
      <w:r w:rsidRPr="000F2520">
        <w:t>allow users to select and change their own passwords and include a confirmation procedure to allow for input errors</w:t>
      </w:r>
    </w:p>
    <w:p w14:paraId="1DDA6FE6" w14:textId="77777777" w:rsidR="00AD2554" w:rsidRPr="000F2520" w:rsidRDefault="00AD2554" w:rsidP="00AD2554">
      <w:pPr>
        <w:pStyle w:val="ListBullet2"/>
        <w:numPr>
          <w:ilvl w:val="0"/>
          <w:numId w:val="51"/>
        </w:numPr>
        <w:spacing w:before="120" w:after="120" w:line="240" w:lineRule="auto"/>
        <w:contextualSpacing w:val="0"/>
      </w:pPr>
      <w:r w:rsidRPr="000F2520">
        <w:t>enforce a choice of quality passwords (see NESAF Framework and Controls</w:t>
      </w:r>
      <w:r w:rsidRPr="000F2520">
        <w:rPr>
          <w:rStyle w:val="FootnoteReference"/>
        </w:rPr>
        <w:footnoteReference w:id="18"/>
      </w:r>
      <w:r w:rsidRPr="000F2520">
        <w:t>)</w:t>
      </w:r>
    </w:p>
    <w:p w14:paraId="60038526" w14:textId="77777777" w:rsidR="00AD2554" w:rsidRPr="000F2520" w:rsidRDefault="00AD2554" w:rsidP="00AD2554">
      <w:pPr>
        <w:pStyle w:val="ListBullet2"/>
        <w:numPr>
          <w:ilvl w:val="0"/>
          <w:numId w:val="51"/>
        </w:numPr>
        <w:spacing w:before="120" w:after="120" w:line="240" w:lineRule="auto"/>
        <w:contextualSpacing w:val="0"/>
      </w:pPr>
      <w:r w:rsidRPr="000F2520">
        <w:t>enforce password changes (see NESAF Framework and Controls)</w:t>
      </w:r>
    </w:p>
    <w:p w14:paraId="0217DE4C" w14:textId="77777777" w:rsidR="00AD2554" w:rsidRPr="000F2520" w:rsidRDefault="00AD2554" w:rsidP="00AD2554">
      <w:pPr>
        <w:pStyle w:val="ListBullet2"/>
        <w:numPr>
          <w:ilvl w:val="0"/>
          <w:numId w:val="51"/>
        </w:numPr>
        <w:spacing w:before="120" w:after="120" w:line="240" w:lineRule="auto"/>
        <w:contextualSpacing w:val="0"/>
      </w:pPr>
      <w:r w:rsidRPr="000F2520">
        <w:t>force users to change temporary passwords at the first log-on (see NESAF Framework and Controls)</w:t>
      </w:r>
    </w:p>
    <w:p w14:paraId="68B7B4C4" w14:textId="77777777" w:rsidR="00AD2554" w:rsidRPr="000F2520" w:rsidRDefault="00AD2554" w:rsidP="00AD2554">
      <w:pPr>
        <w:pStyle w:val="ListBullet2"/>
        <w:numPr>
          <w:ilvl w:val="0"/>
          <w:numId w:val="51"/>
        </w:numPr>
        <w:spacing w:before="120" w:after="120" w:line="240" w:lineRule="auto"/>
        <w:contextualSpacing w:val="0"/>
      </w:pPr>
      <w:r w:rsidRPr="000F2520">
        <w:t>maintain a record of previous user passwords and prevent re-use</w:t>
      </w:r>
    </w:p>
    <w:p w14:paraId="6A9EB505" w14:textId="77777777" w:rsidR="00AD2554" w:rsidRPr="000F2520" w:rsidRDefault="00AD2554" w:rsidP="00AD2554">
      <w:pPr>
        <w:pStyle w:val="ListBullet2"/>
        <w:numPr>
          <w:ilvl w:val="0"/>
          <w:numId w:val="51"/>
        </w:numPr>
        <w:spacing w:before="120" w:after="120" w:line="240" w:lineRule="auto"/>
        <w:contextualSpacing w:val="0"/>
      </w:pPr>
      <w:r w:rsidRPr="000F2520">
        <w:t>not display passwords on the screen when being entered</w:t>
      </w:r>
    </w:p>
    <w:p w14:paraId="65936E49" w14:textId="77777777" w:rsidR="00AD2554" w:rsidRPr="000F2520" w:rsidRDefault="00AD2554" w:rsidP="00AD2554">
      <w:pPr>
        <w:pStyle w:val="ListBullet2"/>
        <w:numPr>
          <w:ilvl w:val="0"/>
          <w:numId w:val="51"/>
        </w:numPr>
        <w:spacing w:before="120" w:after="120" w:line="240" w:lineRule="auto"/>
        <w:contextualSpacing w:val="0"/>
      </w:pPr>
      <w:r w:rsidRPr="000F2520">
        <w:t>store password files separately from application system data</w:t>
      </w:r>
    </w:p>
    <w:p w14:paraId="63FACED1" w14:textId="77777777" w:rsidR="00AD2554" w:rsidRPr="000F2520" w:rsidRDefault="00AD2554" w:rsidP="00AD2554">
      <w:pPr>
        <w:pStyle w:val="ListBullet2"/>
        <w:numPr>
          <w:ilvl w:val="0"/>
          <w:numId w:val="51"/>
        </w:numPr>
        <w:spacing w:before="120" w:after="120" w:line="240" w:lineRule="auto"/>
        <w:contextualSpacing w:val="0"/>
      </w:pPr>
      <w:r w:rsidRPr="000F2520">
        <w:t>store and transmit passwords in protected (</w:t>
      </w:r>
      <w:proofErr w:type="gramStart"/>
      <w:r w:rsidRPr="000F2520">
        <w:t>e.g.</w:t>
      </w:r>
      <w:proofErr w:type="gramEnd"/>
      <w:r w:rsidRPr="000F2520">
        <w:t xml:space="preserve"> encrypted or hashed) form.</w:t>
      </w:r>
    </w:p>
    <w:p w14:paraId="27DD2223" w14:textId="77777777" w:rsidR="00AD2554" w:rsidRPr="000F2520" w:rsidRDefault="00AD2554" w:rsidP="00AD2554">
      <w:pPr>
        <w:pStyle w:val="BodyText"/>
      </w:pPr>
      <w:r w:rsidRPr="000F2520">
        <w:lastRenderedPageBreak/>
        <w:t>System utilities should be limited to the minimum practical number of trusted authorised users. All system utility use should be monitored and recorded and should require authentication of the user.</w:t>
      </w:r>
    </w:p>
    <w:p w14:paraId="69735601" w14:textId="77777777" w:rsidR="00AD2554" w:rsidRPr="000F2520" w:rsidRDefault="00AD2554" w:rsidP="00AD2554">
      <w:pPr>
        <w:pStyle w:val="BodyText"/>
      </w:pPr>
      <w:r w:rsidRPr="000F2520">
        <w:t>CQRs and service providers should document the policy and procedures for authorising ad-hoc use of system utilities. Ad-hoc use of a system utility is required then it should be authorised by a responsible authority and the authorisation should be recorded. The user should only have access to the utility for the duration that has been authorised.</w:t>
      </w:r>
    </w:p>
    <w:p w14:paraId="08B75489" w14:textId="77777777" w:rsidR="00AD2554" w:rsidRPr="000F2520" w:rsidRDefault="00AD2554" w:rsidP="00AD2554">
      <w:pPr>
        <w:pStyle w:val="BodyText"/>
      </w:pPr>
      <w:r w:rsidRPr="000F2520">
        <w:t>System utilities should be segregated from applications software and where segregation of duties is required, they should not be available to application users.</w:t>
      </w:r>
    </w:p>
    <w:p w14:paraId="7C32BC05" w14:textId="77777777" w:rsidR="00AD2554" w:rsidRPr="000F2520" w:rsidRDefault="00AD2554" w:rsidP="00AD2554">
      <w:pPr>
        <w:pStyle w:val="BodyText"/>
      </w:pPr>
      <w:r w:rsidRPr="000F2520">
        <w:t>All unnecessary software utilities should be removed or disabled.</w:t>
      </w:r>
    </w:p>
    <w:p w14:paraId="41640B1F" w14:textId="77777777" w:rsidR="00AD2554" w:rsidRPr="000F2520" w:rsidRDefault="00AD2554" w:rsidP="00AD2554">
      <w:pPr>
        <w:pStyle w:val="BodyText"/>
      </w:pPr>
      <w:r w:rsidRPr="000F2520">
        <w:t xml:space="preserve">A time-out facility that clears the screen, and possibly closes the application after a defined </w:t>
      </w:r>
      <w:proofErr w:type="gramStart"/>
      <w:r w:rsidRPr="000F2520">
        <w:t>period of time</w:t>
      </w:r>
      <w:proofErr w:type="gramEnd"/>
      <w:r w:rsidRPr="000F2520">
        <w:t xml:space="preserve"> should be implemented on computers that are in insecure environments and have access to health information.</w:t>
      </w:r>
    </w:p>
    <w:p w14:paraId="360B6F1E" w14:textId="77777777" w:rsidR="00AD2554" w:rsidRPr="000F2520" w:rsidRDefault="00AD2554" w:rsidP="00AD2554">
      <w:pPr>
        <w:pStyle w:val="BodyText"/>
      </w:pPr>
      <w:r w:rsidRPr="000F2520">
        <w:t>Consideration should be given to the type of use and environment that the computer is in, for example this control may be less appropriate in the emergency department.</w:t>
      </w:r>
    </w:p>
    <w:p w14:paraId="6FB296FB" w14:textId="77777777" w:rsidR="00AD2554" w:rsidRPr="000F2520" w:rsidRDefault="00AD2554" w:rsidP="00AD2554">
      <w:pPr>
        <w:pStyle w:val="BodyText"/>
      </w:pPr>
      <w:r w:rsidRPr="000F2520">
        <w:t>Connection time controls should be considered for information systems that access health information, especially if access is from a remote connection. The types of restrictions that should be considered are:</w:t>
      </w:r>
    </w:p>
    <w:p w14:paraId="31570728" w14:textId="77777777" w:rsidR="00AD2554" w:rsidRPr="000F2520" w:rsidRDefault="00AD2554" w:rsidP="00AD2554">
      <w:pPr>
        <w:pStyle w:val="ListBullet2"/>
        <w:numPr>
          <w:ilvl w:val="0"/>
          <w:numId w:val="51"/>
        </w:numPr>
        <w:spacing w:before="120" w:after="120" w:line="240" w:lineRule="auto"/>
        <w:contextualSpacing w:val="0"/>
      </w:pPr>
      <w:r w:rsidRPr="000F2520">
        <w:t xml:space="preserve">using predetermined time slots, </w:t>
      </w:r>
      <w:proofErr w:type="gramStart"/>
      <w:r w:rsidRPr="000F2520">
        <w:t>e.g.</w:t>
      </w:r>
      <w:proofErr w:type="gramEnd"/>
      <w:r w:rsidRPr="000F2520">
        <w:t xml:space="preserve"> for batch file transmissions, or regular interactive sessions of short duration</w:t>
      </w:r>
    </w:p>
    <w:p w14:paraId="72BA59A0" w14:textId="77777777" w:rsidR="00AD2554" w:rsidRPr="000F2520" w:rsidRDefault="00AD2554" w:rsidP="00AD2554">
      <w:pPr>
        <w:pStyle w:val="ListBullet2"/>
        <w:numPr>
          <w:ilvl w:val="0"/>
          <w:numId w:val="51"/>
        </w:numPr>
        <w:spacing w:before="120" w:after="120" w:line="240" w:lineRule="auto"/>
        <w:contextualSpacing w:val="0"/>
      </w:pPr>
      <w:r w:rsidRPr="000F2520">
        <w:t>restricting connection times to normal office hours if there is no requirement for overtime or extended-hours operation</w:t>
      </w:r>
    </w:p>
    <w:p w14:paraId="720D55FE" w14:textId="77777777" w:rsidR="00AD2554" w:rsidRPr="000F2520" w:rsidRDefault="00AD2554" w:rsidP="00AD2554">
      <w:pPr>
        <w:pStyle w:val="ListBullet2"/>
        <w:numPr>
          <w:ilvl w:val="0"/>
          <w:numId w:val="51"/>
        </w:numPr>
        <w:spacing w:before="120" w:after="120" w:line="240" w:lineRule="auto"/>
        <w:contextualSpacing w:val="0"/>
      </w:pPr>
      <w:r w:rsidRPr="000F2520">
        <w:t>considering re-authentication at timed intervals.</w:t>
      </w:r>
    </w:p>
    <w:p w14:paraId="04A8EFAE" w14:textId="77777777" w:rsidR="00AD2554" w:rsidRPr="000F2520" w:rsidRDefault="00AD2554" w:rsidP="00AD2554">
      <w:pPr>
        <w:pStyle w:val="BodyText"/>
      </w:pPr>
      <w:r w:rsidRPr="000F2520">
        <w:rPr>
          <w:b/>
        </w:rPr>
        <w:t xml:space="preserve">Architectural Impacts: </w:t>
      </w:r>
      <w:r w:rsidRPr="000F2520">
        <w:t xml:space="preserve">External User Management Service; </w:t>
      </w:r>
    </w:p>
    <w:p w14:paraId="5FFFAA2B" w14:textId="77777777" w:rsidR="00AD2554" w:rsidRPr="000F2520" w:rsidRDefault="00AD2554" w:rsidP="00AD2554">
      <w:pPr>
        <w:pStyle w:val="BodyText"/>
      </w:pPr>
      <w:r w:rsidRPr="000F2520">
        <w:t>Authentication Service; Authorisation Service; Network Service</w:t>
      </w:r>
    </w:p>
    <w:p w14:paraId="6E302A28" w14:textId="77777777" w:rsidR="00AD2554" w:rsidRPr="000F2520" w:rsidRDefault="00AD2554" w:rsidP="00AD2554">
      <w:pPr>
        <w:pStyle w:val="Heading3"/>
        <w:numPr>
          <w:ilvl w:val="2"/>
          <w:numId w:val="21"/>
        </w:numPr>
        <w:tabs>
          <w:tab w:val="clear" w:pos="1276"/>
          <w:tab w:val="num" w:pos="2223"/>
        </w:tabs>
        <w:ind w:left="2223" w:hanging="180"/>
      </w:pPr>
      <w:bookmarkStart w:id="117" w:name="_Toc106613941"/>
      <w:r w:rsidRPr="000F2520">
        <w:t>Application and information access control</w:t>
      </w:r>
      <w:bookmarkEnd w:id="117"/>
    </w:p>
    <w:p w14:paraId="48CE2802" w14:textId="77777777" w:rsidR="00AD2554" w:rsidRPr="000F2520" w:rsidRDefault="00AD2554" w:rsidP="00AD2554">
      <w:pPr>
        <w:pStyle w:val="BodyText"/>
        <w:rPr>
          <w:b/>
        </w:rPr>
      </w:pPr>
      <w:r w:rsidRPr="000F2520">
        <w:rPr>
          <w:b/>
        </w:rPr>
        <w:t xml:space="preserve">Objective: </w:t>
      </w:r>
      <w:r w:rsidRPr="000F2520">
        <w:t>To prevent unauthorised access to information held in application systems</w:t>
      </w:r>
    </w:p>
    <w:p w14:paraId="27E1A8B9" w14:textId="77777777" w:rsidR="00AD2554" w:rsidRPr="000F2520" w:rsidRDefault="00AD2554" w:rsidP="00AD2554">
      <w:pPr>
        <w:pStyle w:val="BodyText"/>
      </w:pPr>
      <w:r w:rsidRPr="000F2520">
        <w:rPr>
          <w:b/>
        </w:rPr>
        <w:t xml:space="preserve">Guidance: </w:t>
      </w:r>
      <w:r w:rsidRPr="000F2520">
        <w:t>Restrictions to health information should be based upon the role the individual plays within the information system and the consent settings that have been set by the health record owner.</w:t>
      </w:r>
    </w:p>
    <w:p w14:paraId="17128C70" w14:textId="77777777" w:rsidR="00AD2554" w:rsidRPr="000F2520" w:rsidRDefault="00AD2554" w:rsidP="00AD2554">
      <w:pPr>
        <w:pStyle w:val="BodyText"/>
      </w:pPr>
      <w:r w:rsidRPr="000F2520">
        <w:t>Applications should only output health information that is relevant and authorised for the user. Access restrictions may also differ depending upon from where (and even what device) the user is access the application from.</w:t>
      </w:r>
    </w:p>
    <w:p w14:paraId="3DA26640" w14:textId="77777777" w:rsidR="00AD2554" w:rsidRPr="000F2520" w:rsidRDefault="00AD2554" w:rsidP="00AD2554">
      <w:pPr>
        <w:pStyle w:val="BodyText"/>
      </w:pPr>
      <w:r w:rsidRPr="000F2520">
        <w:t>If an information system manages sensitive health information, then it may be necessary to isolate it from other information system at the discretion of the system owner after a risk analysis. Additional controls should put into place to control access and monitor activity.</w:t>
      </w:r>
    </w:p>
    <w:p w14:paraId="1A397C9E" w14:textId="77777777" w:rsidR="00AD2554" w:rsidRPr="000F2520" w:rsidRDefault="00AD2554" w:rsidP="00AD2554">
      <w:pPr>
        <w:pStyle w:val="BodyText"/>
      </w:pPr>
      <w:r w:rsidRPr="000F2520">
        <w:rPr>
          <w:b/>
        </w:rPr>
        <w:t xml:space="preserve">Architectural Impacts: </w:t>
      </w:r>
      <w:r w:rsidRPr="000F2520">
        <w:t>Application Service; Authorisation Service</w:t>
      </w:r>
    </w:p>
    <w:p w14:paraId="2A6E8B4C" w14:textId="77777777" w:rsidR="00AD2554" w:rsidRPr="000F2520" w:rsidRDefault="00AD2554" w:rsidP="00AD2554">
      <w:pPr>
        <w:pStyle w:val="Heading3"/>
        <w:numPr>
          <w:ilvl w:val="2"/>
          <w:numId w:val="21"/>
        </w:numPr>
        <w:tabs>
          <w:tab w:val="clear" w:pos="1276"/>
          <w:tab w:val="num" w:pos="2223"/>
        </w:tabs>
        <w:ind w:left="2223" w:hanging="180"/>
      </w:pPr>
      <w:bookmarkStart w:id="118" w:name="_Toc106613942"/>
      <w:r w:rsidRPr="000F2520">
        <w:t>Mobile Computing and Teleworking</w:t>
      </w:r>
      <w:bookmarkEnd w:id="118"/>
    </w:p>
    <w:p w14:paraId="6DE2AA8A" w14:textId="77777777" w:rsidR="00AD2554" w:rsidRPr="000F2520" w:rsidRDefault="00AD2554" w:rsidP="00AD2554">
      <w:pPr>
        <w:pStyle w:val="BodyText"/>
        <w:rPr>
          <w:b/>
        </w:rPr>
      </w:pPr>
      <w:r w:rsidRPr="000F2520">
        <w:rPr>
          <w:b/>
        </w:rPr>
        <w:t xml:space="preserve">Objective: </w:t>
      </w:r>
      <w:r w:rsidRPr="000F2520">
        <w:t>To ensure information security when using mobile computing and teleworking facilities</w:t>
      </w:r>
    </w:p>
    <w:p w14:paraId="2BB5585C" w14:textId="77777777" w:rsidR="00AD2554" w:rsidRPr="000F2520" w:rsidRDefault="00AD2554" w:rsidP="00AD2554">
      <w:pPr>
        <w:pStyle w:val="BodyText"/>
      </w:pPr>
      <w:r w:rsidRPr="000F2520">
        <w:rPr>
          <w:b/>
        </w:rPr>
        <w:t xml:space="preserve">Guidance: </w:t>
      </w:r>
      <w:r w:rsidRPr="000F2520">
        <w:t>CQRs and external data hosting infrastructure providers should have a documented mobile computing policy that identifies requirements that users of such devices should consider. These additional requirements should include physical security of the mobile device; access controls on the mobile device; health information data protection; and anti-malware protection.</w:t>
      </w:r>
    </w:p>
    <w:p w14:paraId="670B8E5F" w14:textId="77777777" w:rsidR="00AD2554" w:rsidRPr="000F2520" w:rsidRDefault="00AD2554" w:rsidP="00AD2554">
      <w:pPr>
        <w:pStyle w:val="BodyText"/>
      </w:pPr>
      <w:r w:rsidRPr="000F2520">
        <w:t>The policy should outline when and where mobile devices should be used and should give advice to the user in how to ensure that the health information accessed is not compromised.</w:t>
      </w:r>
    </w:p>
    <w:p w14:paraId="4161C142" w14:textId="77777777" w:rsidR="00AD2554" w:rsidRPr="000F2520" w:rsidRDefault="00AD2554" w:rsidP="00AD2554">
      <w:pPr>
        <w:pStyle w:val="BodyText"/>
      </w:pPr>
      <w:r w:rsidRPr="000F2520">
        <w:lastRenderedPageBreak/>
        <w:t>Teleworking should only be authorised if it is believed that sufficient controls are in place to secure the health information being accessed and that a legitimate business benefit is realised.</w:t>
      </w:r>
    </w:p>
    <w:p w14:paraId="5E3FC649" w14:textId="77777777" w:rsidR="00AD2554" w:rsidRPr="000F2520" w:rsidRDefault="00AD2554" w:rsidP="00AD2554">
      <w:pPr>
        <w:pStyle w:val="BodyText"/>
      </w:pPr>
      <w:r w:rsidRPr="000F2520">
        <w:t xml:space="preserve">Teleworking can cross national borders, </w:t>
      </w:r>
      <w:proofErr w:type="gramStart"/>
      <w:r w:rsidRPr="000F2520">
        <w:t>e.g.</w:t>
      </w:r>
      <w:proofErr w:type="gramEnd"/>
      <w:r w:rsidRPr="000F2520">
        <w:t xml:space="preserve"> a health practitioner could be connecting from a hotel in a foreign country, and these legal and ethical considerations need to be taken into account when designing and deploying CQR information systems.</w:t>
      </w:r>
    </w:p>
    <w:p w14:paraId="4FA6B908" w14:textId="77777777" w:rsidR="00AD2554" w:rsidRPr="000F2520" w:rsidRDefault="00AD2554" w:rsidP="00AD2554">
      <w:pPr>
        <w:pStyle w:val="BodyText"/>
      </w:pPr>
      <w:r w:rsidRPr="000F2520">
        <w:rPr>
          <w:b/>
        </w:rPr>
        <w:t xml:space="preserve">Architectural Impacts: </w:t>
      </w:r>
      <w:r w:rsidRPr="000F2520">
        <w:t>Infrastructure Security Service; System Management Service</w:t>
      </w:r>
    </w:p>
    <w:p w14:paraId="4A1551EE" w14:textId="77777777" w:rsidR="00AD2554" w:rsidRPr="000F2520" w:rsidRDefault="00AD2554" w:rsidP="003D2BA6">
      <w:pPr>
        <w:pStyle w:val="Heading2"/>
      </w:pPr>
      <w:bookmarkStart w:id="119" w:name="_Toc106613943"/>
      <w:r w:rsidRPr="000F2520">
        <w:t xml:space="preserve">Information systems acquisition, </w:t>
      </w:r>
      <w:proofErr w:type="gramStart"/>
      <w:r w:rsidRPr="000F2520">
        <w:t>development</w:t>
      </w:r>
      <w:proofErr w:type="gramEnd"/>
      <w:r w:rsidRPr="000F2520">
        <w:t xml:space="preserve"> and maintenance</w:t>
      </w:r>
      <w:bookmarkEnd w:id="119"/>
    </w:p>
    <w:p w14:paraId="2EF4F220" w14:textId="77777777" w:rsidR="00AD2554" w:rsidRPr="000F2520" w:rsidRDefault="00AD2554" w:rsidP="00AD2554">
      <w:pPr>
        <w:pStyle w:val="Heading3"/>
        <w:numPr>
          <w:ilvl w:val="2"/>
          <w:numId w:val="21"/>
        </w:numPr>
        <w:tabs>
          <w:tab w:val="clear" w:pos="1276"/>
          <w:tab w:val="num" w:pos="2223"/>
        </w:tabs>
        <w:ind w:left="2223" w:hanging="180"/>
      </w:pPr>
      <w:bookmarkStart w:id="120" w:name="_Toc106613944"/>
      <w:r w:rsidRPr="000F2520">
        <w:t>Security requirements of information systems</w:t>
      </w:r>
      <w:bookmarkEnd w:id="120"/>
    </w:p>
    <w:p w14:paraId="05F9873A" w14:textId="77777777" w:rsidR="00AD2554" w:rsidRPr="000F2520" w:rsidRDefault="00AD2554" w:rsidP="00AD2554">
      <w:pPr>
        <w:pStyle w:val="BodyText"/>
        <w:rPr>
          <w:b/>
        </w:rPr>
      </w:pPr>
      <w:r w:rsidRPr="000F2520">
        <w:rPr>
          <w:b/>
        </w:rPr>
        <w:t xml:space="preserve">Objective: </w:t>
      </w:r>
      <w:r w:rsidRPr="000F2520">
        <w:t>To ensure that security is an integral part of information systems.</w:t>
      </w:r>
    </w:p>
    <w:p w14:paraId="50C56821" w14:textId="77777777" w:rsidR="00AD2554" w:rsidRPr="000F2520" w:rsidRDefault="00AD2554" w:rsidP="00AD2554">
      <w:pPr>
        <w:pStyle w:val="BodyText"/>
      </w:pPr>
      <w:r w:rsidRPr="000F2520">
        <w:rPr>
          <w:b/>
        </w:rPr>
        <w:t xml:space="preserve">Guidance: </w:t>
      </w:r>
      <w:r w:rsidRPr="000F2520">
        <w:t>Security requirements should be addressed in the specifications, analysis and/or design phases and expert advisors should be consulted when implementing new or significant changes to health information systems.</w:t>
      </w:r>
    </w:p>
    <w:p w14:paraId="40388C56" w14:textId="77777777" w:rsidR="00AD2554" w:rsidRPr="000F2520" w:rsidRDefault="00AD2554" w:rsidP="00AD2554">
      <w:pPr>
        <w:pStyle w:val="BodyText"/>
      </w:pPr>
      <w:r w:rsidRPr="000F2520">
        <w:t>Accurate records should be maintained to show traceability from original business requirements to actual configuration and implementation, including appropriate justification and authorisation.</w:t>
      </w:r>
    </w:p>
    <w:p w14:paraId="546C8A9E" w14:textId="77777777" w:rsidR="00AD2554" w:rsidRPr="000F2520" w:rsidRDefault="00AD2554" w:rsidP="00AD2554">
      <w:pPr>
        <w:pStyle w:val="BodyText"/>
      </w:pPr>
      <w:r w:rsidRPr="000F2520">
        <w:t>System requirements for information security and processes for implementing security should be integrated in the early stages of information system projects. Controls introduced at the design stage are significantly cheaper to implement and maintain than those included during or after implementation.</w:t>
      </w:r>
    </w:p>
    <w:p w14:paraId="630EC542" w14:textId="77777777" w:rsidR="00AD2554" w:rsidRPr="000F2520" w:rsidRDefault="00AD2554" w:rsidP="00AD2554">
      <w:pPr>
        <w:pStyle w:val="BodyText"/>
      </w:pPr>
      <w:r w:rsidRPr="000F2520">
        <w:rPr>
          <w:b/>
        </w:rPr>
        <w:t xml:space="preserve">Architectural Impacts: </w:t>
      </w:r>
      <w:r w:rsidRPr="000F2520">
        <w:t>Application Service; Channel Service; Software Service.</w:t>
      </w:r>
    </w:p>
    <w:p w14:paraId="48B26A77" w14:textId="77777777" w:rsidR="00AD2554" w:rsidRPr="000F2520" w:rsidRDefault="00AD2554" w:rsidP="00AD2554">
      <w:pPr>
        <w:pStyle w:val="Heading3"/>
        <w:numPr>
          <w:ilvl w:val="2"/>
          <w:numId w:val="21"/>
        </w:numPr>
        <w:tabs>
          <w:tab w:val="clear" w:pos="1276"/>
          <w:tab w:val="num" w:pos="2223"/>
        </w:tabs>
        <w:ind w:left="2223" w:hanging="180"/>
      </w:pPr>
      <w:bookmarkStart w:id="121" w:name="_Toc106613945"/>
      <w:r w:rsidRPr="000F2520">
        <w:t>Correct processing in applications</w:t>
      </w:r>
      <w:bookmarkEnd w:id="121"/>
    </w:p>
    <w:p w14:paraId="7FAB29DF" w14:textId="77777777" w:rsidR="00AD2554" w:rsidRPr="000F2520" w:rsidRDefault="00AD2554" w:rsidP="00AD2554">
      <w:pPr>
        <w:pStyle w:val="BodyText"/>
        <w:rPr>
          <w:b/>
        </w:rPr>
      </w:pPr>
      <w:r w:rsidRPr="000F2520">
        <w:rPr>
          <w:b/>
        </w:rPr>
        <w:t>Objective:</w:t>
      </w:r>
      <w:r w:rsidRPr="000F2520">
        <w:t xml:space="preserve"> To prevent errors, loss, unauthorised </w:t>
      </w:r>
      <w:proofErr w:type="gramStart"/>
      <w:r w:rsidRPr="000F2520">
        <w:t>modification</w:t>
      </w:r>
      <w:proofErr w:type="gramEnd"/>
      <w:r w:rsidRPr="000F2520">
        <w:t xml:space="preserve"> or misuse of information in applications.</w:t>
      </w:r>
    </w:p>
    <w:p w14:paraId="64725DA0" w14:textId="77777777" w:rsidR="00AD2554" w:rsidRPr="000F2520" w:rsidRDefault="00AD2554" w:rsidP="00AD2554">
      <w:pPr>
        <w:pStyle w:val="BodyText"/>
      </w:pPr>
      <w:r w:rsidRPr="000F2520">
        <w:rPr>
          <w:b/>
        </w:rPr>
        <w:t>Guidance:</w:t>
      </w:r>
      <w:r w:rsidRPr="000F2520">
        <w:t xml:space="preserve"> There may be cases when duplicate records have been created for a subject of care. For future -heath purposes, it is best to merge these records. Merging of records must be performed with the greatest of care so should use skilled personnel to do so, and it is preferred if the systems used support tools that facilitate merging with low susceptibility to error.</w:t>
      </w:r>
    </w:p>
    <w:p w14:paraId="127EA8A8" w14:textId="77777777" w:rsidR="00AD2554" w:rsidRPr="000F2520" w:rsidRDefault="00AD2554" w:rsidP="00AD2554">
      <w:pPr>
        <w:pStyle w:val="BodyText"/>
      </w:pPr>
      <w:r w:rsidRPr="000F2520">
        <w:t>Software applications used in a health organisation need to be capable of providing automatic validation of input. For example, a date field should be defined to only contain dates, and the format of the date should be defined; a name field should not be capable of having numeric characters. The actual validation required for each health organisation may vary and should be defined through the analysis phase of an implementation project.</w:t>
      </w:r>
    </w:p>
    <w:p w14:paraId="2018ED3B" w14:textId="77777777" w:rsidR="00AD2554" w:rsidRPr="000F2520" w:rsidRDefault="00AD2554" w:rsidP="00AD2554">
      <w:pPr>
        <w:pStyle w:val="BodyText"/>
      </w:pPr>
      <w:r w:rsidRPr="000F2520">
        <w:t>As well as providing an ongoing record of client care, medical records are an important legal document.  Consequently, documentation errors should be identified, but information should not be deleted from a healthcare record.</w:t>
      </w:r>
    </w:p>
    <w:p w14:paraId="7751ACBF" w14:textId="77777777" w:rsidR="00AD2554" w:rsidRPr="000F2520" w:rsidRDefault="00AD2554" w:rsidP="00AD2554">
      <w:pPr>
        <w:pStyle w:val="BodyText"/>
      </w:pPr>
      <w:r w:rsidRPr="000F2520">
        <w:t>National Privacy Principle 6. Access and Correction states that:</w:t>
      </w:r>
    </w:p>
    <w:p w14:paraId="135D240F" w14:textId="77777777" w:rsidR="00AD2554" w:rsidRPr="000F2520" w:rsidRDefault="00AD2554" w:rsidP="00AD2554">
      <w:pPr>
        <w:pStyle w:val="ListBullet2"/>
        <w:numPr>
          <w:ilvl w:val="0"/>
          <w:numId w:val="51"/>
        </w:numPr>
        <w:spacing w:before="120" w:after="120" w:line="240" w:lineRule="auto"/>
        <w:contextualSpacing w:val="0"/>
      </w:pPr>
      <w:r w:rsidRPr="000F2520">
        <w:t xml:space="preserve">If an organisation holds personal information about an individual and the individual is able to establish that the information is not accurate, complete and </w:t>
      </w:r>
      <w:proofErr w:type="gramStart"/>
      <w:r w:rsidRPr="000F2520">
        <w:t>up-to-date</w:t>
      </w:r>
      <w:proofErr w:type="gramEnd"/>
      <w:r w:rsidRPr="000F2520">
        <w:t>, the organisation must take reasonable steps to correct the information so that it is accurate, complete and up-to-date</w:t>
      </w:r>
    </w:p>
    <w:p w14:paraId="773D12E9" w14:textId="77777777" w:rsidR="00AD2554" w:rsidRPr="000F2520" w:rsidRDefault="00AD2554" w:rsidP="00AD2554">
      <w:pPr>
        <w:pStyle w:val="ListBullet2"/>
        <w:numPr>
          <w:ilvl w:val="0"/>
          <w:numId w:val="51"/>
        </w:numPr>
        <w:spacing w:before="120" w:after="120" w:line="240" w:lineRule="auto"/>
        <w:contextualSpacing w:val="0"/>
      </w:pPr>
      <w:r w:rsidRPr="000F2520">
        <w:t xml:space="preserve">If the individual and the organisation disagree about whether the information is accurate, complete and up-to-date, and the individual asks the organisation to associate with the information a statement claiming that the information is not accurate, complete or </w:t>
      </w:r>
      <w:proofErr w:type="gramStart"/>
      <w:r w:rsidRPr="000F2520">
        <w:t>up-to-date</w:t>
      </w:r>
      <w:proofErr w:type="gramEnd"/>
      <w:r w:rsidRPr="000F2520">
        <w:t>, the organisation must take reasonable steps to do so</w:t>
      </w:r>
    </w:p>
    <w:p w14:paraId="7D0B6F13" w14:textId="77777777" w:rsidR="00AD2554" w:rsidRPr="000F2520" w:rsidRDefault="00AD2554" w:rsidP="00AD2554">
      <w:pPr>
        <w:pStyle w:val="ListBullet2"/>
        <w:numPr>
          <w:ilvl w:val="0"/>
          <w:numId w:val="51"/>
        </w:numPr>
        <w:spacing w:before="120" w:after="120" w:line="240" w:lineRule="auto"/>
        <w:contextualSpacing w:val="0"/>
      </w:pPr>
      <w:r w:rsidRPr="000F2520">
        <w:lastRenderedPageBreak/>
        <w:t>An organisation must provide reasons for denial of access or a refusal to correct personal information.</w:t>
      </w:r>
    </w:p>
    <w:p w14:paraId="3AB1249D" w14:textId="77777777" w:rsidR="00AD2554" w:rsidRPr="000F2520" w:rsidRDefault="00AD2554" w:rsidP="00AD2554">
      <w:pPr>
        <w:pStyle w:val="BodyText"/>
      </w:pPr>
      <w:r w:rsidRPr="000F2520">
        <w:t>The design and implementation of applications should ensure that the risks of processing failures leading to a loss of integrity are minimized. Specific areas to consider include:</w:t>
      </w:r>
    </w:p>
    <w:p w14:paraId="38D6667D" w14:textId="77777777" w:rsidR="00AD2554" w:rsidRPr="000F2520" w:rsidRDefault="00AD2554" w:rsidP="00AD2554">
      <w:pPr>
        <w:pStyle w:val="ListBullet2"/>
        <w:numPr>
          <w:ilvl w:val="0"/>
          <w:numId w:val="51"/>
        </w:numPr>
        <w:spacing w:before="120" w:after="120" w:line="240" w:lineRule="auto"/>
        <w:contextualSpacing w:val="0"/>
      </w:pPr>
      <w:r w:rsidRPr="000F2520">
        <w:t>the use of add, modify, and delete functions to implement changes to data</w:t>
      </w:r>
    </w:p>
    <w:p w14:paraId="14269FE1" w14:textId="77777777" w:rsidR="00AD2554" w:rsidRPr="000F2520" w:rsidRDefault="00AD2554" w:rsidP="00AD2554">
      <w:pPr>
        <w:pStyle w:val="ListBullet2"/>
        <w:numPr>
          <w:ilvl w:val="0"/>
          <w:numId w:val="51"/>
        </w:numPr>
        <w:spacing w:before="120" w:after="120" w:line="240" w:lineRule="auto"/>
        <w:contextualSpacing w:val="0"/>
      </w:pPr>
      <w:r w:rsidRPr="000F2520">
        <w:t>the procedures to prevent programs running in the wrong order or running after failure of prior processing</w:t>
      </w:r>
    </w:p>
    <w:p w14:paraId="28D045BE" w14:textId="77777777" w:rsidR="00AD2554" w:rsidRPr="000F2520" w:rsidRDefault="00AD2554" w:rsidP="00AD2554">
      <w:pPr>
        <w:pStyle w:val="ListBullet2"/>
        <w:numPr>
          <w:ilvl w:val="0"/>
          <w:numId w:val="51"/>
        </w:numPr>
        <w:spacing w:before="120" w:after="120" w:line="240" w:lineRule="auto"/>
        <w:contextualSpacing w:val="0"/>
      </w:pPr>
      <w:r w:rsidRPr="000F2520">
        <w:t>the use of appropriate programs to recover from failures to ensure the correct processing of data</w:t>
      </w:r>
    </w:p>
    <w:p w14:paraId="59105D0B" w14:textId="77777777" w:rsidR="00AD2554" w:rsidRPr="000F2520" w:rsidRDefault="00AD2554" w:rsidP="00AD2554">
      <w:pPr>
        <w:pStyle w:val="ListBullet2"/>
        <w:numPr>
          <w:ilvl w:val="0"/>
          <w:numId w:val="51"/>
        </w:numPr>
        <w:spacing w:before="120" w:after="120" w:line="240" w:lineRule="auto"/>
        <w:contextualSpacing w:val="0"/>
      </w:pPr>
      <w:r w:rsidRPr="000F2520">
        <w:t>protection against attacks using buffer overruns/overflows.</w:t>
      </w:r>
    </w:p>
    <w:p w14:paraId="63CE52B9" w14:textId="77777777" w:rsidR="00AD2554" w:rsidRPr="000F2520" w:rsidRDefault="00AD2554" w:rsidP="00AD2554">
      <w:pPr>
        <w:pStyle w:val="BodyText"/>
      </w:pPr>
      <w:r w:rsidRPr="000F2520">
        <w:t>An assessment of security risks should be carried out to determine if message integrity is required and to identify the most appropriate method of implementation.</w:t>
      </w:r>
    </w:p>
    <w:p w14:paraId="7D487A57" w14:textId="77777777" w:rsidR="00AD2554" w:rsidRPr="000F2520" w:rsidRDefault="00AD2554" w:rsidP="00AD2554">
      <w:pPr>
        <w:pStyle w:val="BodyText"/>
      </w:pPr>
      <w:r w:rsidRPr="000F2520">
        <w:t>At a minimum, message integrity should be used when transferring health information between organisations or other untrusted entities.</w:t>
      </w:r>
    </w:p>
    <w:p w14:paraId="608A5477" w14:textId="77777777" w:rsidR="00AD2554" w:rsidRPr="000F2520" w:rsidRDefault="00AD2554" w:rsidP="00AD2554">
      <w:pPr>
        <w:pStyle w:val="BodyText"/>
      </w:pPr>
      <w:r w:rsidRPr="000F2520">
        <w:t xml:space="preserve">Before relying on information presented by a health information system, health professionals should be shown sufficient information to ensure that the subject of care they are treating matches the information displayed. </w:t>
      </w:r>
    </w:p>
    <w:p w14:paraId="35D7329F" w14:textId="77777777" w:rsidR="00AD2554" w:rsidRPr="000F2520" w:rsidRDefault="00AD2554" w:rsidP="00AD2554">
      <w:pPr>
        <w:pStyle w:val="BodyText"/>
      </w:pPr>
      <w:r w:rsidRPr="000F2520">
        <w:t xml:space="preserve">Specific requirements for identifying subjects of care should be based on the assessment of risk. </w:t>
      </w:r>
    </w:p>
    <w:p w14:paraId="1BBDCBFD" w14:textId="77777777" w:rsidR="00AD2554" w:rsidRPr="000F2520" w:rsidRDefault="00AD2554" w:rsidP="00AD2554">
      <w:pPr>
        <w:pStyle w:val="BodyText"/>
      </w:pPr>
      <w:r w:rsidRPr="000F2520">
        <w:t xml:space="preserve">Health information hard copies should make it possible to confirm that the printout is complete - </w:t>
      </w:r>
      <w:proofErr w:type="gramStart"/>
      <w:r w:rsidRPr="000F2520">
        <w:t>e.g.</w:t>
      </w:r>
      <w:proofErr w:type="gramEnd"/>
      <w:r w:rsidRPr="000F2520">
        <w:t xml:space="preserve"> printing the number of pages expected "Page 3 of 5".</w:t>
      </w:r>
    </w:p>
    <w:p w14:paraId="5B4774A9" w14:textId="77777777" w:rsidR="00AD2554" w:rsidRPr="000F2520" w:rsidRDefault="00AD2554" w:rsidP="00AD2554">
      <w:pPr>
        <w:pStyle w:val="BodyText"/>
      </w:pPr>
      <w:r w:rsidRPr="000F2520">
        <w:t xml:space="preserve">In providing data for non-clinical care purposes, organisations should ensure that they have an appropriate authority for doing so.  Healthcare organisations should also consider stipulating the terms and conditions of use, </w:t>
      </w:r>
      <w:proofErr w:type="gramStart"/>
      <w:r w:rsidRPr="000F2520">
        <w:t>storage</w:t>
      </w:r>
      <w:proofErr w:type="gramEnd"/>
      <w:r w:rsidRPr="000F2520">
        <w:t xml:space="preserve"> and destruction of the data.</w:t>
      </w:r>
    </w:p>
    <w:p w14:paraId="5F5369BC" w14:textId="77777777" w:rsidR="00AD2554" w:rsidRPr="000F2520" w:rsidRDefault="00AD2554" w:rsidP="00AD2554">
      <w:pPr>
        <w:pStyle w:val="BodyText"/>
      </w:pPr>
      <w:r w:rsidRPr="000F2520">
        <w:rPr>
          <w:b/>
        </w:rPr>
        <w:t xml:space="preserve">Architectural Impacts: </w:t>
      </w:r>
      <w:r w:rsidRPr="000F2520">
        <w:t>Application Service; Channel Service; Software Service</w:t>
      </w:r>
    </w:p>
    <w:p w14:paraId="1E0C322E" w14:textId="77777777" w:rsidR="00AD2554" w:rsidRPr="000F2520" w:rsidRDefault="00AD2554" w:rsidP="00AD2554">
      <w:pPr>
        <w:pStyle w:val="Heading3"/>
        <w:numPr>
          <w:ilvl w:val="2"/>
          <w:numId w:val="21"/>
        </w:numPr>
        <w:tabs>
          <w:tab w:val="clear" w:pos="1276"/>
          <w:tab w:val="num" w:pos="2223"/>
        </w:tabs>
        <w:ind w:left="2223" w:hanging="180"/>
      </w:pPr>
      <w:bookmarkStart w:id="122" w:name="_Toc106613946"/>
      <w:r w:rsidRPr="000F2520">
        <w:t>Cryptographic Controls</w:t>
      </w:r>
      <w:bookmarkEnd w:id="122"/>
    </w:p>
    <w:p w14:paraId="54EDE33B" w14:textId="77777777" w:rsidR="00AD2554" w:rsidRPr="000F2520" w:rsidRDefault="00AD2554" w:rsidP="00AD2554">
      <w:pPr>
        <w:pStyle w:val="BodyText"/>
        <w:rPr>
          <w:b/>
        </w:rPr>
      </w:pPr>
      <w:r w:rsidRPr="000F2520">
        <w:rPr>
          <w:b/>
        </w:rPr>
        <w:t>Objective:</w:t>
      </w:r>
      <w:r w:rsidRPr="000F2520">
        <w:t xml:space="preserve"> To protect the confidentiality, </w:t>
      </w:r>
      <w:proofErr w:type="gramStart"/>
      <w:r w:rsidRPr="000F2520">
        <w:t>authenticity</w:t>
      </w:r>
      <w:proofErr w:type="gramEnd"/>
      <w:r w:rsidRPr="000F2520">
        <w:t xml:space="preserve"> or integrity of information by cryptographic means.</w:t>
      </w:r>
    </w:p>
    <w:p w14:paraId="45332414" w14:textId="77777777" w:rsidR="00AD2554" w:rsidRPr="000F2520" w:rsidRDefault="00AD2554" w:rsidP="00AD2554">
      <w:pPr>
        <w:pStyle w:val="BodyText"/>
      </w:pPr>
      <w:r w:rsidRPr="000F2520">
        <w:rPr>
          <w:b/>
        </w:rPr>
        <w:t xml:space="preserve">Guidance: </w:t>
      </w:r>
      <w:r w:rsidRPr="000F2520">
        <w:t>A policy on the use of cryptographic controls for protection of information should be developed and implemented. This should include, but not be limited to, guidance on the use of digital certificates in healthcare and the management of cryptographic keys.</w:t>
      </w:r>
    </w:p>
    <w:p w14:paraId="55FBDE58" w14:textId="77777777" w:rsidR="00AD2554" w:rsidRPr="000F2520" w:rsidRDefault="00AD2554" w:rsidP="00AD2554">
      <w:pPr>
        <w:pStyle w:val="BodyText"/>
      </w:pPr>
      <w:r w:rsidRPr="000F2520">
        <w:t>Keys to digital certificate should be protected. If the key is compromised, it is possible to obtain access to health information secured by any certificate.</w:t>
      </w:r>
    </w:p>
    <w:p w14:paraId="3A8DAFF5" w14:textId="77777777" w:rsidR="00AD2554" w:rsidRPr="000F2520" w:rsidRDefault="00AD2554" w:rsidP="00AD2554">
      <w:pPr>
        <w:pStyle w:val="BodyText"/>
      </w:pPr>
      <w:r w:rsidRPr="000F2520">
        <w:t>Certificate issuing authorities or holders of private keys should ensure keys are protected accordingly. The following are examples of considerations:</w:t>
      </w:r>
    </w:p>
    <w:p w14:paraId="68A4299C" w14:textId="77777777" w:rsidR="00AD2554" w:rsidRPr="000F2520" w:rsidRDefault="00AD2554" w:rsidP="00AD2554">
      <w:pPr>
        <w:pStyle w:val="ListBullet2"/>
        <w:numPr>
          <w:ilvl w:val="0"/>
          <w:numId w:val="51"/>
        </w:numPr>
        <w:spacing w:before="120" w:after="120" w:line="240" w:lineRule="auto"/>
        <w:contextualSpacing w:val="0"/>
      </w:pPr>
      <w:r w:rsidRPr="000F2520">
        <w:t>audit logs</w:t>
      </w:r>
    </w:p>
    <w:p w14:paraId="7CDD3D2E" w14:textId="77777777" w:rsidR="00AD2554" w:rsidRPr="000F2520" w:rsidRDefault="00AD2554" w:rsidP="00AD2554">
      <w:pPr>
        <w:pStyle w:val="ListBullet2"/>
        <w:numPr>
          <w:ilvl w:val="0"/>
          <w:numId w:val="51"/>
        </w:numPr>
        <w:spacing w:before="120" w:after="120" w:line="240" w:lineRule="auto"/>
        <w:contextualSpacing w:val="0"/>
      </w:pPr>
      <w:r w:rsidRPr="000F2520">
        <w:t>key management - how keys are stored, revoked, transferred, installed</w:t>
      </w:r>
    </w:p>
    <w:p w14:paraId="4E81030C" w14:textId="77777777" w:rsidR="00AD2554" w:rsidRPr="000F2520" w:rsidRDefault="00AD2554" w:rsidP="00AD2554">
      <w:pPr>
        <w:pStyle w:val="ListBullet2"/>
        <w:numPr>
          <w:ilvl w:val="0"/>
          <w:numId w:val="51"/>
        </w:numPr>
        <w:spacing w:before="120" w:after="120" w:line="240" w:lineRule="auto"/>
        <w:contextualSpacing w:val="0"/>
      </w:pPr>
      <w:r w:rsidRPr="000F2520">
        <w:t xml:space="preserve">maintenance </w:t>
      </w:r>
    </w:p>
    <w:p w14:paraId="465ECE95" w14:textId="77777777" w:rsidR="00AD2554" w:rsidRPr="000F2520" w:rsidRDefault="00AD2554" w:rsidP="00AD2554">
      <w:pPr>
        <w:pStyle w:val="ListBullet2"/>
        <w:numPr>
          <w:ilvl w:val="0"/>
          <w:numId w:val="51"/>
        </w:numPr>
        <w:spacing w:before="120" w:after="120" w:line="240" w:lineRule="auto"/>
        <w:contextualSpacing w:val="0"/>
      </w:pPr>
      <w:r w:rsidRPr="000F2520">
        <w:t>objectives of the keys and their use</w:t>
      </w:r>
    </w:p>
    <w:p w14:paraId="3E280132" w14:textId="77777777" w:rsidR="00AD2554" w:rsidRPr="000F2520" w:rsidRDefault="00AD2554" w:rsidP="00AD2554">
      <w:pPr>
        <w:pStyle w:val="ListBullet2"/>
        <w:numPr>
          <w:ilvl w:val="0"/>
          <w:numId w:val="51"/>
        </w:numPr>
        <w:spacing w:before="120" w:after="120" w:line="240" w:lineRule="auto"/>
        <w:contextualSpacing w:val="0"/>
      </w:pPr>
      <w:r w:rsidRPr="000F2520">
        <w:t xml:space="preserve">system description </w:t>
      </w:r>
    </w:p>
    <w:p w14:paraId="1FC2B78E" w14:textId="77777777" w:rsidR="00AD2554" w:rsidRPr="000F2520" w:rsidRDefault="00AD2554" w:rsidP="00AD2554">
      <w:pPr>
        <w:pStyle w:val="ListBullet2"/>
        <w:numPr>
          <w:ilvl w:val="0"/>
          <w:numId w:val="51"/>
        </w:numPr>
        <w:spacing w:before="120" w:after="120" w:line="240" w:lineRule="auto"/>
        <w:contextualSpacing w:val="0"/>
      </w:pPr>
      <w:r w:rsidRPr="000F2520">
        <w:t>topology.</w:t>
      </w:r>
    </w:p>
    <w:p w14:paraId="0C0874A4" w14:textId="77777777" w:rsidR="00AD2554" w:rsidRPr="000F2520" w:rsidRDefault="00AD2554" w:rsidP="00AD2554">
      <w:pPr>
        <w:pStyle w:val="BodyText"/>
        <w:rPr>
          <w:i/>
        </w:rPr>
      </w:pPr>
      <w:r w:rsidRPr="000F2520">
        <w:rPr>
          <w:i/>
        </w:rPr>
        <w:t>For further information, see the Secure Messaging Component of the NESAF Implementer Blueprint.</w:t>
      </w:r>
    </w:p>
    <w:p w14:paraId="3B6F77F1" w14:textId="77777777" w:rsidR="00AD2554" w:rsidRPr="000F2520" w:rsidRDefault="00AD2554" w:rsidP="00AD2554">
      <w:pPr>
        <w:pStyle w:val="BodyText"/>
      </w:pPr>
      <w:r w:rsidRPr="000F2520">
        <w:rPr>
          <w:b/>
        </w:rPr>
        <w:t xml:space="preserve">Architectural Impacts: </w:t>
      </w:r>
      <w:r w:rsidRPr="000F2520">
        <w:t>Data Encryption Service</w:t>
      </w:r>
    </w:p>
    <w:p w14:paraId="3E593384" w14:textId="77777777" w:rsidR="00AD2554" w:rsidRPr="000F2520" w:rsidRDefault="00AD2554" w:rsidP="00AD2554">
      <w:pPr>
        <w:pStyle w:val="Heading3"/>
        <w:numPr>
          <w:ilvl w:val="2"/>
          <w:numId w:val="21"/>
        </w:numPr>
        <w:tabs>
          <w:tab w:val="clear" w:pos="1276"/>
          <w:tab w:val="num" w:pos="2223"/>
        </w:tabs>
        <w:ind w:left="2223" w:hanging="180"/>
      </w:pPr>
      <w:bookmarkStart w:id="123" w:name="_Toc106613947"/>
      <w:r w:rsidRPr="000F2520">
        <w:lastRenderedPageBreak/>
        <w:t>Security of system files</w:t>
      </w:r>
      <w:bookmarkEnd w:id="123"/>
    </w:p>
    <w:p w14:paraId="7F1A160E" w14:textId="77777777" w:rsidR="00AD2554" w:rsidRPr="000F2520" w:rsidRDefault="00AD2554" w:rsidP="00AD2554">
      <w:pPr>
        <w:pStyle w:val="BodyText"/>
      </w:pPr>
      <w:r w:rsidRPr="000F2520">
        <w:rPr>
          <w:b/>
        </w:rPr>
        <w:t xml:space="preserve">Objective: </w:t>
      </w:r>
      <w:r w:rsidRPr="000F2520">
        <w:t>To ensure the security of system files.</w:t>
      </w:r>
    </w:p>
    <w:p w14:paraId="26CD25C0" w14:textId="77777777" w:rsidR="00AD2554" w:rsidRPr="000F2520" w:rsidRDefault="00AD2554" w:rsidP="00AD2554">
      <w:pPr>
        <w:pStyle w:val="BodyText"/>
      </w:pPr>
      <w:r w:rsidRPr="000F2520">
        <w:rPr>
          <w:b/>
        </w:rPr>
        <w:t xml:space="preserve">Guidance: </w:t>
      </w:r>
      <w:r w:rsidRPr="000F2520">
        <w:t>There should be procedures in place to control the installation of software on operational systems. Procedures should include, but not be limited to:</w:t>
      </w:r>
    </w:p>
    <w:p w14:paraId="272E0A99" w14:textId="77777777" w:rsidR="00AD2554" w:rsidRPr="000F2520" w:rsidRDefault="00AD2554" w:rsidP="00AD2554">
      <w:pPr>
        <w:pStyle w:val="ListBullet2"/>
        <w:numPr>
          <w:ilvl w:val="0"/>
          <w:numId w:val="51"/>
        </w:numPr>
        <w:spacing w:before="120" w:after="120" w:line="240" w:lineRule="auto"/>
        <w:contextualSpacing w:val="0"/>
      </w:pPr>
      <w:r w:rsidRPr="000F2520">
        <w:t>testing before implementing into production</w:t>
      </w:r>
    </w:p>
    <w:p w14:paraId="2C594CE0" w14:textId="77777777" w:rsidR="00AD2554" w:rsidRPr="000F2520" w:rsidRDefault="00AD2554" w:rsidP="00AD2554">
      <w:pPr>
        <w:pStyle w:val="ListBullet2"/>
        <w:numPr>
          <w:ilvl w:val="0"/>
          <w:numId w:val="51"/>
        </w:numPr>
        <w:spacing w:before="120" w:after="120" w:line="240" w:lineRule="auto"/>
        <w:contextualSpacing w:val="0"/>
      </w:pPr>
      <w:r w:rsidRPr="000F2520">
        <w:t>a rollback strategy in case of error in the software release</w:t>
      </w:r>
    </w:p>
    <w:p w14:paraId="78E6F72D" w14:textId="77777777" w:rsidR="00AD2554" w:rsidRPr="000F2520" w:rsidRDefault="00AD2554" w:rsidP="00AD2554">
      <w:pPr>
        <w:pStyle w:val="ListBullet2"/>
        <w:numPr>
          <w:ilvl w:val="0"/>
          <w:numId w:val="51"/>
        </w:numPr>
        <w:spacing w:before="120" w:after="120" w:line="240" w:lineRule="auto"/>
        <w:contextualSpacing w:val="0"/>
      </w:pPr>
      <w:r w:rsidRPr="000F2520">
        <w:t>documentation of software versions</w:t>
      </w:r>
    </w:p>
    <w:p w14:paraId="4FA57654" w14:textId="77777777" w:rsidR="00AD2554" w:rsidRPr="000F2520" w:rsidRDefault="00AD2554" w:rsidP="00AD2554">
      <w:pPr>
        <w:pStyle w:val="ListBullet2"/>
        <w:numPr>
          <w:ilvl w:val="0"/>
          <w:numId w:val="51"/>
        </w:numPr>
        <w:spacing w:before="120" w:after="120" w:line="240" w:lineRule="auto"/>
        <w:contextualSpacing w:val="0"/>
      </w:pPr>
      <w:r w:rsidRPr="000F2520">
        <w:t>authorisation to install.</w:t>
      </w:r>
    </w:p>
    <w:p w14:paraId="19B94D75" w14:textId="77777777" w:rsidR="00AD2554" w:rsidRPr="000F2520" w:rsidRDefault="00AD2554" w:rsidP="00AD2554">
      <w:pPr>
        <w:pStyle w:val="BodyText"/>
      </w:pPr>
      <w:r w:rsidRPr="000F2520">
        <w:t>Where possible, identifying information should be de-identified prior to being used for testing purposes. If personal or health information is used for testing purposes, all sensitive details and content should be removed or modified beyond recognition before use. The following guidelines should be applied to protect health or personal information, when used for testing purposes:</w:t>
      </w:r>
    </w:p>
    <w:p w14:paraId="74DD4C48" w14:textId="77777777" w:rsidR="00AD2554" w:rsidRPr="000F2520" w:rsidRDefault="00AD2554" w:rsidP="00AD2554">
      <w:pPr>
        <w:pStyle w:val="ListAlpha2"/>
        <w:numPr>
          <w:ilvl w:val="0"/>
          <w:numId w:val="45"/>
        </w:numPr>
      </w:pPr>
      <w:r w:rsidRPr="000F2520">
        <w:t>the access control procedures, which apply to operational health information systems, should also apply to test application systems</w:t>
      </w:r>
    </w:p>
    <w:p w14:paraId="68C44AA2" w14:textId="77777777" w:rsidR="00AD2554" w:rsidRPr="000F2520" w:rsidRDefault="00AD2554" w:rsidP="00AD2554">
      <w:pPr>
        <w:pStyle w:val="ListAlpha2"/>
        <w:numPr>
          <w:ilvl w:val="0"/>
          <w:numId w:val="45"/>
        </w:numPr>
      </w:pPr>
      <w:r w:rsidRPr="000F2520">
        <w:t>there should be separate authorisation each time operational information is copied to a test application system</w:t>
      </w:r>
    </w:p>
    <w:p w14:paraId="4D701905" w14:textId="77777777" w:rsidR="00AD2554" w:rsidRPr="000F2520" w:rsidRDefault="00AD2554" w:rsidP="00AD2554">
      <w:pPr>
        <w:pStyle w:val="ListAlpha2"/>
        <w:numPr>
          <w:ilvl w:val="0"/>
          <w:numId w:val="45"/>
        </w:numPr>
      </w:pPr>
      <w:r w:rsidRPr="000F2520">
        <w:t>operational information should be erased from a test application system immediately after the testing is complete</w:t>
      </w:r>
    </w:p>
    <w:p w14:paraId="607CAB6F" w14:textId="77777777" w:rsidR="00AD2554" w:rsidRPr="000F2520" w:rsidRDefault="00AD2554" w:rsidP="00AD2554">
      <w:pPr>
        <w:pStyle w:val="ListAlpha2"/>
        <w:numPr>
          <w:ilvl w:val="0"/>
          <w:numId w:val="45"/>
        </w:numPr>
      </w:pPr>
      <w:r w:rsidRPr="000F2520">
        <w:t>the copying and use of operational information should be logged to provide an audit trail.</w:t>
      </w:r>
    </w:p>
    <w:p w14:paraId="29C99A44" w14:textId="77777777" w:rsidR="00AD2554" w:rsidRPr="000F2520" w:rsidRDefault="00AD2554" w:rsidP="00AD2554">
      <w:pPr>
        <w:pStyle w:val="BodyText"/>
      </w:pPr>
      <w:r w:rsidRPr="000F2520">
        <w:t>To prevent the introduction of unauthorised functionality and to avoid unintentional changes to applications, source code of an application should be controlled. For program source code, this can be achieved by controlled central storage of such code, preferably in program source libraries on secured storage.</w:t>
      </w:r>
    </w:p>
    <w:p w14:paraId="362FED7C" w14:textId="77777777" w:rsidR="00AD2554" w:rsidRPr="000F2520" w:rsidRDefault="00AD2554" w:rsidP="00AD2554">
      <w:pPr>
        <w:pStyle w:val="BodyText"/>
      </w:pPr>
      <w:r w:rsidRPr="000F2520">
        <w:rPr>
          <w:b/>
        </w:rPr>
        <w:t xml:space="preserve">Architectural Impacts: </w:t>
      </w:r>
      <w:r w:rsidRPr="000F2520">
        <w:t>Application Service; Channel Service; Software Service</w:t>
      </w:r>
    </w:p>
    <w:p w14:paraId="67B66C29" w14:textId="77777777" w:rsidR="00AD2554" w:rsidRPr="000F2520" w:rsidRDefault="00AD2554" w:rsidP="00AD2554">
      <w:pPr>
        <w:pStyle w:val="Heading3"/>
        <w:numPr>
          <w:ilvl w:val="2"/>
          <w:numId w:val="21"/>
        </w:numPr>
        <w:tabs>
          <w:tab w:val="clear" w:pos="1276"/>
          <w:tab w:val="num" w:pos="2223"/>
        </w:tabs>
        <w:ind w:left="2223" w:hanging="180"/>
      </w:pPr>
      <w:bookmarkStart w:id="124" w:name="_Toc106613948"/>
      <w:r w:rsidRPr="000F2520">
        <w:t>Security in development and support processes, and technical vulnerability management</w:t>
      </w:r>
      <w:bookmarkEnd w:id="124"/>
    </w:p>
    <w:p w14:paraId="5C6050FC" w14:textId="77777777" w:rsidR="00AD2554" w:rsidRPr="000F2520" w:rsidRDefault="00AD2554" w:rsidP="00AD2554">
      <w:pPr>
        <w:pStyle w:val="BodyText"/>
      </w:pPr>
      <w:r w:rsidRPr="000F2520">
        <w:rPr>
          <w:b/>
        </w:rPr>
        <w:t xml:space="preserve">Objective: </w:t>
      </w:r>
      <w:r w:rsidRPr="000F2520">
        <w:t>To maintain the security of application system software and information and to reduce risks resulting from exploitation of published technical vulnerabilities.</w:t>
      </w:r>
    </w:p>
    <w:p w14:paraId="760FC98E" w14:textId="77777777" w:rsidR="00AD2554" w:rsidRPr="000F2520" w:rsidRDefault="00AD2554" w:rsidP="00AD2554">
      <w:pPr>
        <w:pStyle w:val="BodyText"/>
      </w:pPr>
      <w:r w:rsidRPr="000F2520">
        <w:rPr>
          <w:b/>
        </w:rPr>
        <w:t xml:space="preserve">Guidance: </w:t>
      </w:r>
      <w:r w:rsidRPr="000F2520">
        <w:t xml:space="preserve">Changes to CQR or external data hosting infrastructure provider information or ICT systems should be managed through formal processes which include an assessment of the impact (positive or negative) that the change may have on the organisation, the responsibilities and method of approval. </w:t>
      </w:r>
    </w:p>
    <w:p w14:paraId="56B45002" w14:textId="77777777" w:rsidR="00AD2554" w:rsidRPr="000F2520" w:rsidRDefault="00AD2554" w:rsidP="00AD2554">
      <w:pPr>
        <w:pStyle w:val="BodyText"/>
      </w:pPr>
      <w:r w:rsidRPr="000F2520">
        <w:t>Without change management, it may be possible for inexperienced employees or third parties to make an unauthorised change to a system that has unknown disastrous impacts.</w:t>
      </w:r>
    </w:p>
    <w:p w14:paraId="5E6E4DA4" w14:textId="77777777" w:rsidR="00AD2554" w:rsidRPr="000F2520" w:rsidRDefault="00AD2554" w:rsidP="00AD2554">
      <w:pPr>
        <w:pStyle w:val="BodyText"/>
      </w:pPr>
      <w:r w:rsidRPr="000F2520">
        <w:t xml:space="preserve">The change management process described previously should also include a post-implementation review of the status of the change prior to confirmation of the change's success. </w:t>
      </w:r>
    </w:p>
    <w:p w14:paraId="48A58284" w14:textId="77777777" w:rsidR="00AD2554" w:rsidRPr="000F2520" w:rsidRDefault="00AD2554" w:rsidP="00AD2554">
      <w:pPr>
        <w:pStyle w:val="BodyText"/>
      </w:pPr>
      <w:r w:rsidRPr="000F2520">
        <w:t>One or several user representatives should be assigned to test the availability and performance of the system.</w:t>
      </w:r>
    </w:p>
    <w:p w14:paraId="108CD80D" w14:textId="77777777" w:rsidR="00AD2554" w:rsidRPr="000F2520" w:rsidRDefault="00AD2554" w:rsidP="00AD2554">
      <w:pPr>
        <w:pStyle w:val="BodyText"/>
      </w:pPr>
      <w:r w:rsidRPr="000F2520">
        <w:t>If the change does not pass the technical review, it should be rolled back to the previous state.</w:t>
      </w:r>
    </w:p>
    <w:p w14:paraId="064912E3" w14:textId="77777777" w:rsidR="00AD2554" w:rsidRPr="000F2520" w:rsidRDefault="00AD2554" w:rsidP="00AD2554">
      <w:pPr>
        <w:pStyle w:val="BodyText"/>
      </w:pPr>
      <w:r w:rsidRPr="000F2520">
        <w:t>Except for specifically customisable fields and configuration settings, other modifications to software are discouraged. If an application does need to be modified then strict quality and security testing should be implemented to ensure the same, or higher level of quality as the original software. All original software should be retained in its original version in case of rollback.</w:t>
      </w:r>
    </w:p>
    <w:p w14:paraId="3C664FBA" w14:textId="77777777" w:rsidR="00AD2554" w:rsidRPr="000F2520" w:rsidRDefault="00AD2554" w:rsidP="00AD2554">
      <w:pPr>
        <w:pStyle w:val="BodyText"/>
      </w:pPr>
      <w:r w:rsidRPr="000F2520">
        <w:t>The following should be considered to limit the risk of information leakage</w:t>
      </w:r>
    </w:p>
    <w:p w14:paraId="3C0D746D" w14:textId="77777777" w:rsidR="00AD2554" w:rsidRPr="000F2520" w:rsidRDefault="00AD2554" w:rsidP="00AD2554">
      <w:pPr>
        <w:pStyle w:val="ListBullet2"/>
        <w:numPr>
          <w:ilvl w:val="0"/>
          <w:numId w:val="51"/>
        </w:numPr>
        <w:spacing w:before="120" w:after="120" w:line="240" w:lineRule="auto"/>
        <w:contextualSpacing w:val="0"/>
      </w:pPr>
      <w:r w:rsidRPr="000F2520">
        <w:lastRenderedPageBreak/>
        <w:t>scanning of outbound media and communications for health information</w:t>
      </w:r>
    </w:p>
    <w:p w14:paraId="6B385BFA" w14:textId="77777777" w:rsidR="00AD2554" w:rsidRPr="000F2520" w:rsidRDefault="00AD2554" w:rsidP="00AD2554">
      <w:pPr>
        <w:pStyle w:val="ListBullet2"/>
        <w:numPr>
          <w:ilvl w:val="0"/>
          <w:numId w:val="51"/>
        </w:numPr>
        <w:spacing w:before="120" w:after="120" w:line="240" w:lineRule="auto"/>
        <w:contextualSpacing w:val="0"/>
      </w:pPr>
      <w:r w:rsidRPr="000F2520">
        <w:t>making use of reputable systems and software</w:t>
      </w:r>
    </w:p>
    <w:p w14:paraId="6C2D729D" w14:textId="77777777" w:rsidR="00AD2554" w:rsidRPr="000F2520" w:rsidRDefault="00AD2554" w:rsidP="00AD2554">
      <w:pPr>
        <w:pStyle w:val="ListBullet2"/>
        <w:numPr>
          <w:ilvl w:val="0"/>
          <w:numId w:val="51"/>
        </w:numPr>
        <w:spacing w:before="120" w:after="120" w:line="240" w:lineRule="auto"/>
        <w:contextualSpacing w:val="0"/>
      </w:pPr>
      <w:r w:rsidRPr="000F2520">
        <w:t>regular monitoring of personnel and system activities, where permitted under existing legislation or regulation</w:t>
      </w:r>
    </w:p>
    <w:p w14:paraId="2692E759" w14:textId="77777777" w:rsidR="00AD2554" w:rsidRPr="000F2520" w:rsidRDefault="00AD2554" w:rsidP="00AD2554">
      <w:pPr>
        <w:pStyle w:val="ListBullet2"/>
        <w:numPr>
          <w:ilvl w:val="0"/>
          <w:numId w:val="51"/>
        </w:numPr>
        <w:spacing w:before="120" w:after="120" w:line="240" w:lineRule="auto"/>
        <w:contextualSpacing w:val="0"/>
      </w:pPr>
      <w:r w:rsidRPr="000F2520">
        <w:t>monitoring resource usage in computer systems.</w:t>
      </w:r>
    </w:p>
    <w:p w14:paraId="6CC213FA" w14:textId="77777777" w:rsidR="00AD2554" w:rsidRPr="000F2520" w:rsidRDefault="00AD2554" w:rsidP="00AD2554">
      <w:pPr>
        <w:pStyle w:val="BodyText"/>
      </w:pPr>
      <w:r w:rsidRPr="000F2520">
        <w:t>CQRs should consider the following points when using external data hosting infrastructure providers:</w:t>
      </w:r>
    </w:p>
    <w:p w14:paraId="6C854512" w14:textId="77777777" w:rsidR="00AD2554" w:rsidRPr="000F2520" w:rsidRDefault="00AD2554" w:rsidP="00AD2554">
      <w:pPr>
        <w:pStyle w:val="ListBullet2"/>
        <w:numPr>
          <w:ilvl w:val="0"/>
          <w:numId w:val="51"/>
        </w:numPr>
        <w:spacing w:before="120" w:after="120" w:line="240" w:lineRule="auto"/>
        <w:contextualSpacing w:val="0"/>
      </w:pPr>
      <w:r w:rsidRPr="000F2520">
        <w:t xml:space="preserve">licensing arrangements, code ownership, and intellectual property rights </w:t>
      </w:r>
    </w:p>
    <w:p w14:paraId="4FB7A911" w14:textId="77777777" w:rsidR="00AD2554" w:rsidRPr="000F2520" w:rsidRDefault="00AD2554" w:rsidP="00AD2554">
      <w:pPr>
        <w:pStyle w:val="ListBullet2"/>
        <w:numPr>
          <w:ilvl w:val="0"/>
          <w:numId w:val="51"/>
        </w:numPr>
        <w:spacing w:before="120" w:after="120" w:line="240" w:lineRule="auto"/>
        <w:contextualSpacing w:val="0"/>
      </w:pPr>
      <w:r w:rsidRPr="000F2520">
        <w:t>certification of the quality and accuracy of the work carried out</w:t>
      </w:r>
    </w:p>
    <w:p w14:paraId="53DDCFCF" w14:textId="77777777" w:rsidR="00AD2554" w:rsidRPr="000F2520" w:rsidRDefault="00AD2554" w:rsidP="00AD2554">
      <w:pPr>
        <w:pStyle w:val="ListBullet2"/>
        <w:numPr>
          <w:ilvl w:val="0"/>
          <w:numId w:val="51"/>
        </w:numPr>
        <w:spacing w:before="120" w:after="120" w:line="240" w:lineRule="auto"/>
        <w:contextualSpacing w:val="0"/>
      </w:pPr>
      <w:r w:rsidRPr="000F2520">
        <w:t>escrow arrangements in the event of failure of the third party</w:t>
      </w:r>
    </w:p>
    <w:p w14:paraId="7F7A21D8" w14:textId="77777777" w:rsidR="00AD2554" w:rsidRPr="000F2520" w:rsidRDefault="00AD2554" w:rsidP="00AD2554">
      <w:pPr>
        <w:pStyle w:val="ListBullet2"/>
        <w:numPr>
          <w:ilvl w:val="0"/>
          <w:numId w:val="51"/>
        </w:numPr>
        <w:spacing w:before="120" w:after="120" w:line="240" w:lineRule="auto"/>
        <w:contextualSpacing w:val="0"/>
      </w:pPr>
      <w:r w:rsidRPr="000F2520">
        <w:t>rights of access for audit of the quality and accuracy of work done</w:t>
      </w:r>
    </w:p>
    <w:p w14:paraId="0B716005" w14:textId="77777777" w:rsidR="00AD2554" w:rsidRPr="000F2520" w:rsidRDefault="00AD2554" w:rsidP="00AD2554">
      <w:pPr>
        <w:pStyle w:val="ListBullet2"/>
        <w:numPr>
          <w:ilvl w:val="0"/>
          <w:numId w:val="51"/>
        </w:numPr>
        <w:spacing w:before="120" w:after="120" w:line="240" w:lineRule="auto"/>
        <w:contextualSpacing w:val="0"/>
      </w:pPr>
      <w:r w:rsidRPr="000F2520">
        <w:t>contractual requirements for quality and security functionality of code</w:t>
      </w:r>
    </w:p>
    <w:p w14:paraId="177D5FBC" w14:textId="77777777" w:rsidR="00AD2554" w:rsidRPr="000F2520" w:rsidRDefault="00AD2554" w:rsidP="00AD2554">
      <w:pPr>
        <w:pStyle w:val="ListBullet2"/>
        <w:numPr>
          <w:ilvl w:val="0"/>
          <w:numId w:val="51"/>
        </w:numPr>
        <w:spacing w:before="120" w:after="120" w:line="240" w:lineRule="auto"/>
        <w:contextualSpacing w:val="0"/>
      </w:pPr>
      <w:r w:rsidRPr="000F2520">
        <w:t>testing before installation to detect malicious and Trojan code.</w:t>
      </w:r>
    </w:p>
    <w:p w14:paraId="3FCE6073" w14:textId="77777777" w:rsidR="00AD2554" w:rsidRPr="000F2520" w:rsidRDefault="00AD2554" w:rsidP="00AD2554">
      <w:pPr>
        <w:pStyle w:val="BodyText"/>
      </w:pPr>
      <w:r w:rsidRPr="000F2520">
        <w:t>The management of vulnerabilities in a CQR’s infrastructure is an important part of the overall information security management guideline.  A CQR’s vulnerability management process should incorporate:</w:t>
      </w:r>
    </w:p>
    <w:p w14:paraId="6B56FB9C" w14:textId="77777777" w:rsidR="00AD2554" w:rsidRPr="000F2520" w:rsidRDefault="00AD2554" w:rsidP="00AD2554">
      <w:pPr>
        <w:pStyle w:val="ListBullet2"/>
        <w:numPr>
          <w:ilvl w:val="0"/>
          <w:numId w:val="51"/>
        </w:numPr>
        <w:spacing w:before="120" w:after="120" w:line="240" w:lineRule="auto"/>
        <w:contextualSpacing w:val="0"/>
      </w:pPr>
      <w:r w:rsidRPr="000F2520">
        <w:t>asset inventory and security baseline - identify the organisation's systems and define a baseline (minimum acceptable standard of security controls) for each group of assets or technology</w:t>
      </w:r>
    </w:p>
    <w:p w14:paraId="02FF75BA" w14:textId="77777777" w:rsidR="00AD2554" w:rsidRPr="000F2520" w:rsidRDefault="00AD2554" w:rsidP="00AD2554">
      <w:pPr>
        <w:pStyle w:val="ListBullet2"/>
        <w:numPr>
          <w:ilvl w:val="0"/>
          <w:numId w:val="51"/>
        </w:numPr>
        <w:spacing w:before="120" w:after="120" w:line="240" w:lineRule="auto"/>
        <w:contextualSpacing w:val="0"/>
      </w:pPr>
      <w:r w:rsidRPr="000F2520">
        <w:t>monitor for vulnerability announcements, patch updates and other remediations. This information can be obtained by subscribing to reputable sources such as the Australian Computer Emergency Response Team (</w:t>
      </w:r>
      <w:proofErr w:type="spellStart"/>
      <w:r w:rsidRPr="000F2520">
        <w:t>AusCERT</w:t>
      </w:r>
      <w:proofErr w:type="spellEnd"/>
      <w:r w:rsidRPr="000F2520">
        <w:t>) or the Common Vulnerabilities and Exposures (CVE) http://cve.mitre.org/)</w:t>
      </w:r>
    </w:p>
    <w:p w14:paraId="1D542355" w14:textId="77777777" w:rsidR="00AD2554" w:rsidRPr="000F2520" w:rsidRDefault="00AD2554" w:rsidP="00AD2554">
      <w:pPr>
        <w:pStyle w:val="ListBullet2"/>
        <w:numPr>
          <w:ilvl w:val="0"/>
          <w:numId w:val="51"/>
        </w:numPr>
        <w:spacing w:before="120" w:after="120" w:line="240" w:lineRule="auto"/>
        <w:contextualSpacing w:val="0"/>
      </w:pPr>
      <w:r w:rsidRPr="000F2520">
        <w:t xml:space="preserve">analyse and </w:t>
      </w:r>
      <w:proofErr w:type="gramStart"/>
      <w:r w:rsidRPr="000F2520">
        <w:t>Prioritise</w:t>
      </w:r>
      <w:proofErr w:type="gramEnd"/>
      <w:r w:rsidRPr="000F2520">
        <w:t xml:space="preserve"> the remediations for specific information systems. For instance, an internet facing system which has been determined to have a Critical vulnerability should be prioritised for remediation </w:t>
      </w:r>
    </w:p>
    <w:p w14:paraId="3FDC47A7" w14:textId="77777777" w:rsidR="00AD2554" w:rsidRPr="000F2520" w:rsidRDefault="00AD2554" w:rsidP="00AD2554">
      <w:pPr>
        <w:pStyle w:val="ListBullet2"/>
        <w:numPr>
          <w:ilvl w:val="0"/>
          <w:numId w:val="51"/>
        </w:numPr>
        <w:spacing w:before="120" w:after="120" w:line="240" w:lineRule="auto"/>
        <w:contextualSpacing w:val="0"/>
      </w:pPr>
      <w:r w:rsidRPr="000F2520">
        <w:t>remediate - apply the patch or other remediation and verify that the vulnerability has been remediated</w:t>
      </w:r>
    </w:p>
    <w:p w14:paraId="00B59F00" w14:textId="77777777" w:rsidR="00AD2554" w:rsidRPr="000F2520" w:rsidRDefault="00AD2554" w:rsidP="00AD2554">
      <w:pPr>
        <w:pStyle w:val="ListBullet2"/>
        <w:numPr>
          <w:ilvl w:val="0"/>
          <w:numId w:val="51"/>
        </w:numPr>
        <w:spacing w:before="120" w:after="120" w:line="240" w:lineRule="auto"/>
        <w:contextualSpacing w:val="0"/>
      </w:pPr>
      <w:r w:rsidRPr="000F2520">
        <w:t xml:space="preserve">report on the status to information security governors.   </w:t>
      </w:r>
    </w:p>
    <w:p w14:paraId="52A1617F" w14:textId="77777777" w:rsidR="00AD2554" w:rsidRPr="000F2520" w:rsidRDefault="00AD2554" w:rsidP="00AD2554">
      <w:pPr>
        <w:pStyle w:val="BodyText"/>
      </w:pPr>
      <w:r w:rsidRPr="000F2520">
        <w:rPr>
          <w:b/>
        </w:rPr>
        <w:t xml:space="preserve">Architectural Impacts: </w:t>
      </w:r>
      <w:r w:rsidRPr="000F2520">
        <w:t>Application Service; Channel Service; Software Service; Infrastructure Security Service</w:t>
      </w:r>
    </w:p>
    <w:p w14:paraId="14261C35" w14:textId="77777777" w:rsidR="00AD2554" w:rsidRPr="000F2520" w:rsidRDefault="00AD2554" w:rsidP="00AD2554">
      <w:pPr>
        <w:pStyle w:val="BodyText"/>
      </w:pPr>
    </w:p>
    <w:p w14:paraId="1514DEBF" w14:textId="77777777" w:rsidR="00AD2554" w:rsidRPr="000F2520" w:rsidRDefault="00AD2554" w:rsidP="003D2BA6">
      <w:pPr>
        <w:pStyle w:val="Heading2"/>
      </w:pPr>
      <w:bookmarkStart w:id="125" w:name="_Toc106613949"/>
      <w:r w:rsidRPr="000F2520">
        <w:t>Information Security Incident Management</w:t>
      </w:r>
      <w:bookmarkEnd w:id="125"/>
    </w:p>
    <w:p w14:paraId="5CB1EF6C" w14:textId="77777777" w:rsidR="00AD2554" w:rsidRPr="000F2520" w:rsidRDefault="00AD2554" w:rsidP="00AD2554">
      <w:pPr>
        <w:pStyle w:val="Heading3"/>
        <w:numPr>
          <w:ilvl w:val="2"/>
          <w:numId w:val="21"/>
        </w:numPr>
        <w:tabs>
          <w:tab w:val="clear" w:pos="1276"/>
          <w:tab w:val="num" w:pos="2223"/>
        </w:tabs>
        <w:ind w:left="2223" w:hanging="180"/>
      </w:pPr>
      <w:bookmarkStart w:id="126" w:name="_Toc106613950"/>
      <w:r w:rsidRPr="000F2520">
        <w:t>Reporting information security events and weaknesses</w:t>
      </w:r>
      <w:bookmarkEnd w:id="126"/>
    </w:p>
    <w:p w14:paraId="313AD841" w14:textId="77777777" w:rsidR="00AD2554" w:rsidRPr="000F2520" w:rsidRDefault="00AD2554" w:rsidP="00AD2554">
      <w:pPr>
        <w:pStyle w:val="BodyText"/>
        <w:rPr>
          <w:b/>
        </w:rPr>
      </w:pPr>
      <w:r w:rsidRPr="000F2520">
        <w:rPr>
          <w:b/>
        </w:rPr>
        <w:t xml:space="preserve">Objective: </w:t>
      </w:r>
      <w:r w:rsidRPr="000F2520">
        <w:t>To ensure that information security events and weaknesses associated with information systems are communicated in a manner allowing timely corrective action to be taken.</w:t>
      </w:r>
    </w:p>
    <w:p w14:paraId="3986FD2C" w14:textId="77777777" w:rsidR="00AD2554" w:rsidRPr="000F2520" w:rsidRDefault="00AD2554" w:rsidP="00AD2554">
      <w:pPr>
        <w:pStyle w:val="BodyText"/>
      </w:pPr>
      <w:r w:rsidRPr="000F2520">
        <w:rPr>
          <w:b/>
        </w:rPr>
        <w:t xml:space="preserve">Guidance: </w:t>
      </w:r>
      <w:r w:rsidRPr="000F2520">
        <w:t xml:space="preserve">Organisations should inform the subject of care whenever their personal information has been unintentionally disclosed. </w:t>
      </w:r>
    </w:p>
    <w:p w14:paraId="0AAB465F" w14:textId="77777777" w:rsidR="00AD2554" w:rsidRPr="000F2520" w:rsidRDefault="00AD2554" w:rsidP="00AD2554">
      <w:pPr>
        <w:pStyle w:val="BodyText"/>
      </w:pPr>
      <w:r w:rsidRPr="000F2520">
        <w:t>Amongst other areas of interest, Information Security Incident Management Procedures should cover:</w:t>
      </w:r>
    </w:p>
    <w:p w14:paraId="67B765A1" w14:textId="77777777" w:rsidR="00AD2554" w:rsidRPr="000F2520" w:rsidRDefault="00AD2554" w:rsidP="00AD2554">
      <w:pPr>
        <w:pStyle w:val="ListBullet2"/>
        <w:numPr>
          <w:ilvl w:val="0"/>
          <w:numId w:val="51"/>
        </w:numPr>
        <w:spacing w:before="120" w:after="120" w:line="240" w:lineRule="auto"/>
        <w:contextualSpacing w:val="0"/>
      </w:pPr>
      <w:r w:rsidRPr="000F2520">
        <w:t>planning and preparing for information security incidents</w:t>
      </w:r>
    </w:p>
    <w:p w14:paraId="01C2B765" w14:textId="77777777" w:rsidR="00AD2554" w:rsidRPr="000F2520" w:rsidRDefault="00AD2554" w:rsidP="00AD2554">
      <w:pPr>
        <w:pStyle w:val="ListBullet2"/>
        <w:numPr>
          <w:ilvl w:val="0"/>
          <w:numId w:val="51"/>
        </w:numPr>
        <w:spacing w:before="120" w:after="120" w:line="240" w:lineRule="auto"/>
        <w:contextualSpacing w:val="0"/>
      </w:pPr>
      <w:r w:rsidRPr="000F2520">
        <w:lastRenderedPageBreak/>
        <w:t>detection and reporting of information security events or weaknesses which may become incidents.</w:t>
      </w:r>
    </w:p>
    <w:p w14:paraId="2602525E" w14:textId="77777777" w:rsidR="00AD2554" w:rsidRPr="000F2520" w:rsidRDefault="00AD2554" w:rsidP="00AD2554">
      <w:pPr>
        <w:pStyle w:val="BodyText"/>
      </w:pPr>
      <w:r w:rsidRPr="000F2520">
        <w:t xml:space="preserve">Consider referring to </w:t>
      </w:r>
      <w:r w:rsidRPr="000F2520">
        <w:rPr>
          <w:i/>
        </w:rPr>
        <w:t>Australian Standard for Information Security Incident Management AS27035</w:t>
      </w:r>
      <w:r w:rsidRPr="000F2520">
        <w:t xml:space="preserve"> for further guidance.  </w:t>
      </w:r>
    </w:p>
    <w:p w14:paraId="421EAE3A" w14:textId="77777777" w:rsidR="00AD2554" w:rsidRPr="000F2520" w:rsidRDefault="00AD2554" w:rsidP="00AD2554">
      <w:pPr>
        <w:pStyle w:val="BodyText"/>
      </w:pPr>
      <w:r w:rsidRPr="000F2520">
        <w:rPr>
          <w:b/>
        </w:rPr>
        <w:t xml:space="preserve">Architectural Impacts: </w:t>
      </w:r>
      <w:r w:rsidRPr="000F2520">
        <w:t>Infrastructure Security Service; System Management Service</w:t>
      </w:r>
    </w:p>
    <w:p w14:paraId="2E0EBBE4" w14:textId="77777777" w:rsidR="00AD2554" w:rsidRPr="000F2520" w:rsidRDefault="00AD2554" w:rsidP="00AD2554">
      <w:pPr>
        <w:pStyle w:val="BodyText"/>
      </w:pPr>
    </w:p>
    <w:p w14:paraId="064AE4FC" w14:textId="77777777" w:rsidR="00AD2554" w:rsidRPr="000F2520" w:rsidRDefault="00AD2554" w:rsidP="00AD2554">
      <w:pPr>
        <w:pStyle w:val="Heading3"/>
        <w:numPr>
          <w:ilvl w:val="2"/>
          <w:numId w:val="21"/>
        </w:numPr>
        <w:tabs>
          <w:tab w:val="clear" w:pos="1276"/>
          <w:tab w:val="num" w:pos="2223"/>
        </w:tabs>
        <w:ind w:left="2223" w:hanging="180"/>
      </w:pPr>
      <w:bookmarkStart w:id="127" w:name="_Toc106613951"/>
      <w:r w:rsidRPr="000F2520">
        <w:t>Management of incidents and improvements</w:t>
      </w:r>
      <w:bookmarkEnd w:id="127"/>
    </w:p>
    <w:p w14:paraId="023F5225" w14:textId="77777777" w:rsidR="00AD2554" w:rsidRPr="000F2520" w:rsidRDefault="00AD2554" w:rsidP="00AD2554">
      <w:pPr>
        <w:pStyle w:val="BodyText"/>
        <w:rPr>
          <w:b/>
        </w:rPr>
      </w:pPr>
      <w:r w:rsidRPr="000F2520">
        <w:rPr>
          <w:b/>
        </w:rPr>
        <w:t>Objective:</w:t>
      </w:r>
      <w:r w:rsidRPr="000F2520">
        <w:t xml:space="preserve"> To ensure a consistent and effective approach is applied to the management of information security incidents.</w:t>
      </w:r>
    </w:p>
    <w:p w14:paraId="523F0A91" w14:textId="77777777" w:rsidR="00AD2554" w:rsidRPr="000F2520" w:rsidRDefault="00AD2554" w:rsidP="00AD2554">
      <w:pPr>
        <w:pStyle w:val="BodyText"/>
      </w:pPr>
      <w:r w:rsidRPr="000F2520">
        <w:rPr>
          <w:b/>
        </w:rPr>
        <w:t>Guidance:</w:t>
      </w:r>
      <w:r w:rsidRPr="000F2520">
        <w:t xml:space="preserve"> Information Security Incident Management Procedures should cover:</w:t>
      </w:r>
    </w:p>
    <w:p w14:paraId="57852E33" w14:textId="77777777" w:rsidR="00AD2554" w:rsidRPr="000F2520" w:rsidRDefault="00AD2554" w:rsidP="00AD2554">
      <w:pPr>
        <w:pStyle w:val="ListBullet2"/>
        <w:numPr>
          <w:ilvl w:val="0"/>
          <w:numId w:val="51"/>
        </w:numPr>
        <w:spacing w:before="120" w:after="120" w:line="240" w:lineRule="auto"/>
        <w:contextualSpacing w:val="0"/>
      </w:pPr>
      <w:r w:rsidRPr="000F2520">
        <w:t>planning and preparing for information security incidents</w:t>
      </w:r>
    </w:p>
    <w:p w14:paraId="2B4A3CFC" w14:textId="77777777" w:rsidR="00AD2554" w:rsidRPr="000F2520" w:rsidRDefault="00AD2554" w:rsidP="00AD2554">
      <w:pPr>
        <w:pStyle w:val="ListBullet2"/>
        <w:numPr>
          <w:ilvl w:val="0"/>
          <w:numId w:val="51"/>
        </w:numPr>
        <w:spacing w:before="120" w:after="120" w:line="240" w:lineRule="auto"/>
        <w:contextualSpacing w:val="0"/>
      </w:pPr>
      <w:r w:rsidRPr="000F2520">
        <w:t>detection and reporting of information security events or weaknesses which may become incidents</w:t>
      </w:r>
    </w:p>
    <w:p w14:paraId="5A125CF2" w14:textId="77777777" w:rsidR="00AD2554" w:rsidRPr="000F2520" w:rsidRDefault="00AD2554" w:rsidP="00AD2554">
      <w:pPr>
        <w:pStyle w:val="ListBullet2"/>
        <w:numPr>
          <w:ilvl w:val="0"/>
          <w:numId w:val="51"/>
        </w:numPr>
        <w:spacing w:before="120" w:after="120" w:line="240" w:lineRule="auto"/>
        <w:contextualSpacing w:val="0"/>
      </w:pPr>
      <w:r w:rsidRPr="000F2520">
        <w:t>assessment of the incident and decision making</w:t>
      </w:r>
    </w:p>
    <w:p w14:paraId="0D84A21C" w14:textId="77777777" w:rsidR="00AD2554" w:rsidRPr="000F2520" w:rsidRDefault="00AD2554" w:rsidP="00AD2554">
      <w:pPr>
        <w:pStyle w:val="ListBullet2"/>
        <w:numPr>
          <w:ilvl w:val="0"/>
          <w:numId w:val="51"/>
        </w:numPr>
        <w:spacing w:before="120" w:after="120" w:line="240" w:lineRule="auto"/>
        <w:contextualSpacing w:val="0"/>
      </w:pPr>
      <w:r w:rsidRPr="000F2520">
        <w:t xml:space="preserve">response - both immediate and later responses, which may include forensic analysis </w:t>
      </w:r>
    </w:p>
    <w:p w14:paraId="344BB8C1" w14:textId="77777777" w:rsidR="00AD2554" w:rsidRPr="000F2520" w:rsidRDefault="00AD2554" w:rsidP="00AD2554">
      <w:pPr>
        <w:pStyle w:val="ListBullet2"/>
        <w:numPr>
          <w:ilvl w:val="0"/>
          <w:numId w:val="51"/>
        </w:numPr>
        <w:spacing w:before="120" w:after="120" w:line="240" w:lineRule="auto"/>
        <w:contextualSpacing w:val="0"/>
      </w:pPr>
      <w:r w:rsidRPr="000F2520">
        <w:t xml:space="preserve">lessons learnt </w:t>
      </w:r>
    </w:p>
    <w:p w14:paraId="57FBA0E0" w14:textId="77777777" w:rsidR="00AD2554" w:rsidRPr="000F2520" w:rsidRDefault="00AD2554" w:rsidP="00AD2554">
      <w:pPr>
        <w:pStyle w:val="ListBullet2"/>
        <w:numPr>
          <w:ilvl w:val="0"/>
          <w:numId w:val="51"/>
        </w:numPr>
        <w:spacing w:before="120" w:after="120" w:line="240" w:lineRule="auto"/>
        <w:contextualSpacing w:val="0"/>
      </w:pPr>
      <w:r w:rsidRPr="000F2520">
        <w:t>reporting and review.</w:t>
      </w:r>
    </w:p>
    <w:p w14:paraId="6B578644" w14:textId="77777777" w:rsidR="00AD2554" w:rsidRPr="000F2520" w:rsidRDefault="00AD2554" w:rsidP="00AD2554">
      <w:pPr>
        <w:pStyle w:val="BodyText"/>
      </w:pPr>
      <w:r w:rsidRPr="000F2520">
        <w:t xml:space="preserve">Consider referring to Australian Standard for Information Security Incident Management AS27035 for further guidance.  </w:t>
      </w:r>
    </w:p>
    <w:p w14:paraId="17C6D731" w14:textId="77777777" w:rsidR="00AD2554" w:rsidRPr="000F2520" w:rsidRDefault="00AD2554" w:rsidP="00AD2554">
      <w:pPr>
        <w:pStyle w:val="BodyText"/>
      </w:pPr>
      <w:r w:rsidRPr="000F2520">
        <w:t>The analysis of "Lessons Learnt" should include:</w:t>
      </w:r>
    </w:p>
    <w:p w14:paraId="423A2946" w14:textId="77777777" w:rsidR="00AD2554" w:rsidRPr="000F2520" w:rsidRDefault="00AD2554" w:rsidP="00AD2554">
      <w:pPr>
        <w:pStyle w:val="ListBullet2"/>
        <w:numPr>
          <w:ilvl w:val="0"/>
          <w:numId w:val="51"/>
        </w:numPr>
        <w:spacing w:before="120" w:after="120" w:line="240" w:lineRule="auto"/>
        <w:contextualSpacing w:val="0"/>
      </w:pPr>
      <w:r w:rsidRPr="000F2520">
        <w:t>an analysis of the underlying (root) cause of the incident</w:t>
      </w:r>
    </w:p>
    <w:p w14:paraId="4C4E3E4B" w14:textId="77777777" w:rsidR="00AD2554" w:rsidRPr="000F2520" w:rsidRDefault="00AD2554" w:rsidP="00AD2554">
      <w:pPr>
        <w:pStyle w:val="ListBullet2"/>
        <w:numPr>
          <w:ilvl w:val="0"/>
          <w:numId w:val="51"/>
        </w:numPr>
        <w:spacing w:before="120" w:after="120" w:line="240" w:lineRule="auto"/>
        <w:contextualSpacing w:val="0"/>
      </w:pPr>
      <w:r w:rsidRPr="000F2520">
        <w:t>any requirements for new or changed information security controls (consider both technical and non-technical including policy guideline changes)</w:t>
      </w:r>
    </w:p>
    <w:p w14:paraId="70B8913E" w14:textId="77777777" w:rsidR="00AD2554" w:rsidRPr="000F2520" w:rsidRDefault="00AD2554" w:rsidP="00AD2554">
      <w:pPr>
        <w:pStyle w:val="ListBullet2"/>
        <w:numPr>
          <w:ilvl w:val="0"/>
          <w:numId w:val="51"/>
        </w:numPr>
        <w:spacing w:before="120" w:after="120" w:line="240" w:lineRule="auto"/>
        <w:contextualSpacing w:val="0"/>
      </w:pPr>
      <w:r w:rsidRPr="000F2520">
        <w:t>any required update to the Information Security Risk Register</w:t>
      </w:r>
    </w:p>
    <w:p w14:paraId="73A8FB18" w14:textId="77777777" w:rsidR="00AD2554" w:rsidRPr="000F2520" w:rsidRDefault="00AD2554" w:rsidP="00AD2554">
      <w:pPr>
        <w:pStyle w:val="ListBullet2"/>
        <w:numPr>
          <w:ilvl w:val="0"/>
          <w:numId w:val="51"/>
        </w:numPr>
        <w:spacing w:before="120" w:after="120" w:line="240" w:lineRule="auto"/>
        <w:contextualSpacing w:val="0"/>
      </w:pPr>
      <w:r w:rsidRPr="000F2520">
        <w:t>any required changes to the Incident Management Procedure including any required tools or capabilities.</w:t>
      </w:r>
    </w:p>
    <w:p w14:paraId="34B5C66C" w14:textId="77777777" w:rsidR="00AD2554" w:rsidRPr="000F2520" w:rsidRDefault="00AD2554" w:rsidP="00AD2554">
      <w:pPr>
        <w:pStyle w:val="BodyText"/>
      </w:pPr>
      <w:r w:rsidRPr="000F2520">
        <w:t xml:space="preserve">Where identified as required for forensic purposes, some further investigation may be required after the incident has been controlled. </w:t>
      </w:r>
    </w:p>
    <w:p w14:paraId="3C89FD11" w14:textId="0C7FDA5C" w:rsidR="00AD2554" w:rsidRPr="000F2520" w:rsidRDefault="00AD2554" w:rsidP="00AD2554">
      <w:pPr>
        <w:pStyle w:val="BodyText"/>
      </w:pPr>
      <w:r w:rsidRPr="000F2520">
        <w:t xml:space="preserve">The analysis should involve the use of IT-based investigative/monitoring techniques and tools, which are accompanied by supporting documented procedures. The aim of the forensic analysis is to review the designated information security event or incident in more depth. External assistance (through </w:t>
      </w:r>
      <w:r>
        <w:t xml:space="preserve">accredited </w:t>
      </w:r>
      <w:r w:rsidRPr="000F2520">
        <w:t xml:space="preserve">Forensic Analysts or law enforcement organisations) will usually be required to ensure that any chain of evidence is maintained. </w:t>
      </w:r>
    </w:p>
    <w:p w14:paraId="14BE5B3B" w14:textId="77777777" w:rsidR="00AD2554" w:rsidRPr="000F2520" w:rsidRDefault="00AD2554" w:rsidP="00AD2554">
      <w:pPr>
        <w:pStyle w:val="BodyText"/>
      </w:pPr>
      <w:r w:rsidRPr="000F2520">
        <w:rPr>
          <w:b/>
        </w:rPr>
        <w:t xml:space="preserve">Architectural Impacts: </w:t>
      </w:r>
      <w:r w:rsidRPr="000F2520">
        <w:t>Infrastructure Security Service; System Management Service.</w:t>
      </w:r>
    </w:p>
    <w:p w14:paraId="65BEA90B" w14:textId="77777777" w:rsidR="00AD2554" w:rsidRPr="000F2520" w:rsidRDefault="00AD2554" w:rsidP="003D2BA6">
      <w:pPr>
        <w:pStyle w:val="Heading2"/>
      </w:pPr>
      <w:bookmarkStart w:id="128" w:name="_Toc106613952"/>
      <w:r w:rsidRPr="000F2520">
        <w:t>Information security aspects of business continuity management</w:t>
      </w:r>
      <w:bookmarkEnd w:id="128"/>
    </w:p>
    <w:p w14:paraId="5E67F731" w14:textId="77777777" w:rsidR="00AD2554" w:rsidRPr="000F2520" w:rsidRDefault="00AD2554" w:rsidP="00AD2554">
      <w:pPr>
        <w:pStyle w:val="Heading3"/>
        <w:numPr>
          <w:ilvl w:val="2"/>
          <w:numId w:val="21"/>
        </w:numPr>
        <w:tabs>
          <w:tab w:val="clear" w:pos="1276"/>
          <w:tab w:val="num" w:pos="2223"/>
        </w:tabs>
        <w:ind w:left="2223" w:hanging="180"/>
      </w:pPr>
      <w:bookmarkStart w:id="129" w:name="_Toc106613953"/>
      <w:r w:rsidRPr="000F2520">
        <w:t>Including information security in the business continuity management process</w:t>
      </w:r>
      <w:bookmarkEnd w:id="129"/>
    </w:p>
    <w:p w14:paraId="5582F7BA" w14:textId="77777777" w:rsidR="00AD2554" w:rsidRPr="000F2520" w:rsidRDefault="00AD2554" w:rsidP="00AD2554">
      <w:pPr>
        <w:pStyle w:val="BodyText"/>
      </w:pPr>
      <w:r w:rsidRPr="000F2520">
        <w:rPr>
          <w:b/>
        </w:rPr>
        <w:t>Objective:</w:t>
      </w:r>
      <w:r w:rsidRPr="000F2520">
        <w:t xml:space="preserve"> To counteract interruptions to business activities and to protect critical business processes from the effects of major failures of information systems or disasters and to ensure their timely resumption.</w:t>
      </w:r>
    </w:p>
    <w:p w14:paraId="1C668E1D" w14:textId="77777777" w:rsidR="00AD2554" w:rsidRPr="000F2520" w:rsidRDefault="00AD2554" w:rsidP="00AD2554">
      <w:pPr>
        <w:pStyle w:val="BodyText"/>
      </w:pPr>
      <w:r w:rsidRPr="000F2520">
        <w:rPr>
          <w:b/>
        </w:rPr>
        <w:lastRenderedPageBreak/>
        <w:t xml:space="preserve">Guidance: </w:t>
      </w:r>
      <w:r w:rsidRPr="000F2520">
        <w:t xml:space="preserve">Business continuity management within CQRs may include health crisis management planning as appropriate. </w:t>
      </w:r>
    </w:p>
    <w:p w14:paraId="2566A576" w14:textId="77777777" w:rsidR="00AD2554" w:rsidRPr="000F2520" w:rsidRDefault="00AD2554" w:rsidP="00AD2554">
      <w:pPr>
        <w:pStyle w:val="BodyText"/>
      </w:pPr>
      <w:r w:rsidRPr="000F2520">
        <w:t>In an e-health environment, planning for the continuity of IT services becomes especially important. The organisation should look at any single points of failure of the electronic services and determine how they would conduct health care in the event of an IT outage. There are often manual workarounds in place which should be documented and tested regularly.</w:t>
      </w:r>
    </w:p>
    <w:p w14:paraId="6DE658CF" w14:textId="77777777" w:rsidR="00AD2554" w:rsidRPr="000F2520" w:rsidRDefault="00AD2554" w:rsidP="00AD2554">
      <w:pPr>
        <w:pStyle w:val="BodyText"/>
      </w:pPr>
      <w:r w:rsidRPr="000F2520">
        <w:t xml:space="preserve">Risks to business interruptions, specifically through the unavailability information or information systems, should be formally identified and assessed in accordance with the NESAF Business Blueprint. </w:t>
      </w:r>
    </w:p>
    <w:p w14:paraId="38E9FF33" w14:textId="77777777" w:rsidR="00AD2554" w:rsidRPr="000F2520" w:rsidRDefault="00AD2554" w:rsidP="00AD2554">
      <w:pPr>
        <w:pStyle w:val="BodyText"/>
      </w:pPr>
      <w:r w:rsidRPr="000F2520">
        <w:t>The Australian Standard for Risk Management, AS31000, contains further detailed guidance on Risk Management.</w:t>
      </w:r>
    </w:p>
    <w:p w14:paraId="03F02711" w14:textId="77777777" w:rsidR="00AD2554" w:rsidRPr="000F2520" w:rsidRDefault="00AD2554" w:rsidP="00AD2554">
      <w:pPr>
        <w:pStyle w:val="BodyText"/>
      </w:pPr>
      <w:r w:rsidRPr="000F2520">
        <w:t xml:space="preserve">The Australian Standard for Business Continuity - Managing Disruption Related Risk may provide further information.  </w:t>
      </w:r>
    </w:p>
    <w:p w14:paraId="2F175AFE" w14:textId="77777777" w:rsidR="00AD2554" w:rsidRPr="000F2520" w:rsidRDefault="00AD2554" w:rsidP="00AD2554">
      <w:pPr>
        <w:pStyle w:val="BodyText"/>
      </w:pPr>
      <w:r w:rsidRPr="000F2520">
        <w:t>The business continuity planning process should include:</w:t>
      </w:r>
    </w:p>
    <w:p w14:paraId="2E0A955F" w14:textId="77777777" w:rsidR="00AD2554" w:rsidRPr="000F2520" w:rsidRDefault="00AD2554" w:rsidP="00AD2554">
      <w:pPr>
        <w:pStyle w:val="ListAlpha2"/>
        <w:numPr>
          <w:ilvl w:val="0"/>
          <w:numId w:val="52"/>
        </w:numPr>
      </w:pPr>
      <w:r w:rsidRPr="000F2520">
        <w:t>identification and agreement of all responsibilities and business continuity procedures</w:t>
      </w:r>
    </w:p>
    <w:p w14:paraId="671121D8" w14:textId="77777777" w:rsidR="00AD2554" w:rsidRPr="000F2520" w:rsidRDefault="00AD2554" w:rsidP="00AD2554">
      <w:pPr>
        <w:pStyle w:val="ListAlpha2"/>
        <w:numPr>
          <w:ilvl w:val="0"/>
          <w:numId w:val="45"/>
        </w:numPr>
      </w:pPr>
      <w:r w:rsidRPr="000F2520">
        <w:t xml:space="preserve">identification of the acceptable loss of information, </w:t>
      </w:r>
      <w:proofErr w:type="gramStart"/>
      <w:r w:rsidRPr="000F2520">
        <w:t>services</w:t>
      </w:r>
      <w:proofErr w:type="gramEnd"/>
      <w:r w:rsidRPr="000F2520">
        <w:t xml:space="preserve"> or people</w:t>
      </w:r>
    </w:p>
    <w:p w14:paraId="174C4E7D" w14:textId="77777777" w:rsidR="00AD2554" w:rsidRPr="000F2520" w:rsidRDefault="00AD2554" w:rsidP="00AD2554">
      <w:pPr>
        <w:pStyle w:val="ListAlpha2"/>
        <w:numPr>
          <w:ilvl w:val="0"/>
          <w:numId w:val="45"/>
        </w:numPr>
      </w:pPr>
      <w:r w:rsidRPr="000F2520">
        <w:t>implementation of the procedures to allow recovery and restoration of CQR operations and availability of information in required timescales; particular attention needs to be given to the assessment of internal and external business dependencies and the contracts in place</w:t>
      </w:r>
    </w:p>
    <w:p w14:paraId="656BBDEA" w14:textId="77777777" w:rsidR="00AD2554" w:rsidRPr="000F2520" w:rsidRDefault="00AD2554" w:rsidP="00AD2554">
      <w:pPr>
        <w:pStyle w:val="ListAlpha2"/>
        <w:numPr>
          <w:ilvl w:val="0"/>
          <w:numId w:val="45"/>
        </w:numPr>
      </w:pPr>
      <w:r w:rsidRPr="000F2520">
        <w:t>operational procedures to follow pending completion of recovery and restoration</w:t>
      </w:r>
    </w:p>
    <w:p w14:paraId="7161B629" w14:textId="77777777" w:rsidR="00AD2554" w:rsidRPr="000F2520" w:rsidRDefault="00AD2554" w:rsidP="00AD2554">
      <w:pPr>
        <w:pStyle w:val="ListAlpha2"/>
        <w:numPr>
          <w:ilvl w:val="0"/>
          <w:numId w:val="45"/>
        </w:numPr>
      </w:pPr>
      <w:r w:rsidRPr="000F2520">
        <w:t>documentation of agreed procedures and processes</w:t>
      </w:r>
    </w:p>
    <w:p w14:paraId="4C964246" w14:textId="77777777" w:rsidR="00AD2554" w:rsidRPr="000F2520" w:rsidRDefault="00AD2554" w:rsidP="00AD2554">
      <w:pPr>
        <w:pStyle w:val="ListAlpha2"/>
        <w:numPr>
          <w:ilvl w:val="0"/>
          <w:numId w:val="45"/>
        </w:numPr>
      </w:pPr>
      <w:r w:rsidRPr="000F2520">
        <w:t>appropriate education of staff in the agreed procedures and processes, including crisis management</w:t>
      </w:r>
    </w:p>
    <w:p w14:paraId="3B79492D" w14:textId="77777777" w:rsidR="00AD2554" w:rsidRPr="000F2520" w:rsidRDefault="00AD2554" w:rsidP="00AD2554">
      <w:pPr>
        <w:pStyle w:val="ListAlpha2"/>
        <w:numPr>
          <w:ilvl w:val="0"/>
          <w:numId w:val="45"/>
        </w:numPr>
      </w:pPr>
      <w:r w:rsidRPr="000F2520">
        <w:t>testing and updating of the plans.</w:t>
      </w:r>
    </w:p>
    <w:p w14:paraId="36F923B5" w14:textId="77777777" w:rsidR="00AD2554" w:rsidRPr="000F2520" w:rsidRDefault="00AD2554" w:rsidP="00AD2554">
      <w:pPr>
        <w:pStyle w:val="BodyText"/>
      </w:pPr>
      <w:r w:rsidRPr="000F2520">
        <w:t>A business continuity guideline within a CQR would usually consist of:</w:t>
      </w:r>
    </w:p>
    <w:p w14:paraId="0EDBA0DC" w14:textId="77777777" w:rsidR="00AD2554" w:rsidRPr="006D4E4E" w:rsidRDefault="00AD2554" w:rsidP="00AD2554">
      <w:pPr>
        <w:pStyle w:val="ListNumber"/>
        <w:keepLines w:val="0"/>
        <w:numPr>
          <w:ilvl w:val="0"/>
          <w:numId w:val="54"/>
        </w:numPr>
        <w:rPr>
          <w:rFonts w:ascii="Arial" w:hAnsi="Arial" w:cs="Arial"/>
          <w:sz w:val="22"/>
          <w:szCs w:val="22"/>
        </w:rPr>
      </w:pPr>
      <w:r w:rsidRPr="006D4E4E">
        <w:rPr>
          <w:rFonts w:ascii="Arial" w:hAnsi="Arial" w:cs="Arial"/>
          <w:sz w:val="22"/>
          <w:szCs w:val="22"/>
        </w:rPr>
        <w:t>The organisation's Business Continuity Plan. This should be the main document and include when to activate the plan (disaster declaration) and other governance details.</w:t>
      </w:r>
    </w:p>
    <w:p w14:paraId="1AB6E40D" w14:textId="77777777" w:rsidR="00AD2554" w:rsidRPr="006D4E4E" w:rsidRDefault="00AD2554" w:rsidP="00AD2554">
      <w:pPr>
        <w:pStyle w:val="ListNumber"/>
        <w:keepLines w:val="0"/>
        <w:numPr>
          <w:ilvl w:val="0"/>
          <w:numId w:val="54"/>
        </w:numPr>
        <w:rPr>
          <w:rFonts w:ascii="Arial" w:hAnsi="Arial" w:cs="Arial"/>
          <w:sz w:val="22"/>
          <w:szCs w:val="22"/>
        </w:rPr>
      </w:pPr>
      <w:r w:rsidRPr="006D4E4E">
        <w:rPr>
          <w:rFonts w:ascii="Arial" w:hAnsi="Arial" w:cs="Arial"/>
          <w:sz w:val="22"/>
          <w:szCs w:val="22"/>
        </w:rPr>
        <w:t xml:space="preserve">Larger CQRs may also have specific BCP's for each division or unit, for instance IT Service Continuity Plan; HR Continuity Plan. </w:t>
      </w:r>
    </w:p>
    <w:p w14:paraId="75578F2D" w14:textId="77777777" w:rsidR="00AD2554" w:rsidRPr="006D4E4E" w:rsidRDefault="00AD2554" w:rsidP="00AD2554">
      <w:pPr>
        <w:pStyle w:val="ListNumber"/>
        <w:keepLines w:val="0"/>
        <w:numPr>
          <w:ilvl w:val="0"/>
          <w:numId w:val="54"/>
        </w:numPr>
        <w:rPr>
          <w:rFonts w:ascii="Arial" w:hAnsi="Arial" w:cs="Arial"/>
          <w:sz w:val="22"/>
          <w:szCs w:val="22"/>
        </w:rPr>
      </w:pPr>
      <w:r w:rsidRPr="006D4E4E">
        <w:rPr>
          <w:rFonts w:ascii="Arial" w:hAnsi="Arial" w:cs="Arial"/>
          <w:sz w:val="22"/>
          <w:szCs w:val="22"/>
        </w:rPr>
        <w:t>Emergency Response Procedures - this is a legislative requirement and includes evacuation and other facility specific information.</w:t>
      </w:r>
    </w:p>
    <w:p w14:paraId="3B1CA3FD" w14:textId="77777777" w:rsidR="00AD2554" w:rsidRPr="006D4E4E" w:rsidRDefault="00AD2554" w:rsidP="00AD2554">
      <w:pPr>
        <w:pStyle w:val="ListNumber"/>
        <w:keepLines w:val="0"/>
        <w:numPr>
          <w:ilvl w:val="0"/>
          <w:numId w:val="54"/>
        </w:numPr>
        <w:rPr>
          <w:rFonts w:ascii="Arial" w:hAnsi="Arial" w:cs="Arial"/>
          <w:sz w:val="22"/>
          <w:szCs w:val="22"/>
        </w:rPr>
      </w:pPr>
      <w:r w:rsidRPr="006D4E4E">
        <w:rPr>
          <w:rFonts w:ascii="Arial" w:hAnsi="Arial" w:cs="Arial"/>
          <w:sz w:val="22"/>
          <w:szCs w:val="22"/>
        </w:rPr>
        <w:t>Disaster Recovery Plans - usually IT specific, these are plans and procedures advising how to recover IT services in the event of a disaster.</w:t>
      </w:r>
    </w:p>
    <w:p w14:paraId="54CBF774" w14:textId="77777777" w:rsidR="00AD2554" w:rsidRPr="000F2520" w:rsidRDefault="00AD2554" w:rsidP="00AD2554">
      <w:pPr>
        <w:pStyle w:val="BodyText"/>
      </w:pPr>
      <w:r w:rsidRPr="000F2520">
        <w:t xml:space="preserve">CQRs need to make sure the plans are tested on a regular basis. The tests should build upon one another, starting from desktop testing (all test personnel sitting at a desk) to modular testing (testing individual components of the plan) to a full rehearsal (testing that the organisation, personnel, equipment, facilities, and processes can cope with interruptions). </w:t>
      </w:r>
    </w:p>
    <w:p w14:paraId="2FE0EF1D" w14:textId="77777777" w:rsidR="00AD2554" w:rsidRPr="000F2520" w:rsidRDefault="00AD2554" w:rsidP="00AD2554">
      <w:pPr>
        <w:pStyle w:val="BodyText"/>
      </w:pPr>
      <w:r w:rsidRPr="000F2520">
        <w:t>Results of the testing may result in an update of the plan/s.</w:t>
      </w:r>
    </w:p>
    <w:p w14:paraId="6341FA6F" w14:textId="77777777" w:rsidR="00AD2554" w:rsidRPr="000F2520" w:rsidRDefault="00AD2554" w:rsidP="00AD2554">
      <w:pPr>
        <w:pStyle w:val="BodyText"/>
      </w:pPr>
      <w:r w:rsidRPr="000F2520">
        <w:rPr>
          <w:b/>
        </w:rPr>
        <w:t xml:space="preserve">Architectural Impacts: </w:t>
      </w:r>
      <w:r w:rsidRPr="000F2520">
        <w:t>Infrastructure Security Service; System Management Service</w:t>
      </w:r>
    </w:p>
    <w:p w14:paraId="7531586D" w14:textId="77777777" w:rsidR="00AD2554" w:rsidRPr="000F2520" w:rsidRDefault="00AD2554" w:rsidP="003D2BA6">
      <w:pPr>
        <w:pStyle w:val="Heading2"/>
      </w:pPr>
      <w:bookmarkStart w:id="130" w:name="_Toc106613954"/>
      <w:r w:rsidRPr="000F2520">
        <w:lastRenderedPageBreak/>
        <w:t>Compliance</w:t>
      </w:r>
      <w:bookmarkEnd w:id="130"/>
    </w:p>
    <w:p w14:paraId="011A4137" w14:textId="77777777" w:rsidR="00AD2554" w:rsidRPr="000F2520" w:rsidRDefault="00AD2554" w:rsidP="00AD2554">
      <w:pPr>
        <w:pStyle w:val="Heading3"/>
        <w:numPr>
          <w:ilvl w:val="2"/>
          <w:numId w:val="21"/>
        </w:numPr>
        <w:tabs>
          <w:tab w:val="clear" w:pos="1276"/>
          <w:tab w:val="num" w:pos="2223"/>
        </w:tabs>
        <w:ind w:left="2223" w:hanging="180"/>
      </w:pPr>
      <w:bookmarkStart w:id="131" w:name="_Toc106613955"/>
      <w:r w:rsidRPr="000F2520">
        <w:t>General</w:t>
      </w:r>
      <w:bookmarkEnd w:id="131"/>
    </w:p>
    <w:p w14:paraId="674498F2" w14:textId="77777777" w:rsidR="00AD2554" w:rsidRPr="000F2520" w:rsidRDefault="00AD2554" w:rsidP="00AD2554">
      <w:pPr>
        <w:pStyle w:val="BodyText"/>
      </w:pPr>
      <w:r w:rsidRPr="000F2520">
        <w:rPr>
          <w:b/>
        </w:rPr>
        <w:t xml:space="preserve">Objective: </w:t>
      </w:r>
      <w:r w:rsidRPr="000F2520">
        <w:t>Establish a graduated compliance auditing guideline.</w:t>
      </w:r>
    </w:p>
    <w:p w14:paraId="4DAC5E12" w14:textId="77777777" w:rsidR="00AD2554" w:rsidRPr="000F2520" w:rsidRDefault="00AD2554" w:rsidP="00AD2554">
      <w:pPr>
        <w:pStyle w:val="BodyText"/>
      </w:pPr>
      <w:r w:rsidRPr="000F2520">
        <w:rPr>
          <w:b/>
        </w:rPr>
        <w:t xml:space="preserve">Guidance: </w:t>
      </w:r>
      <w:r w:rsidRPr="000F2520">
        <w:t>In the regulated and audited environment of CQR organisations, those responsible for the governance of information security should set a goal to establish a multi-tiered compliance guideline.</w:t>
      </w:r>
    </w:p>
    <w:p w14:paraId="68A1BBE4" w14:textId="77777777" w:rsidR="00AD2554" w:rsidRPr="000F2520" w:rsidRDefault="00AD2554" w:rsidP="00AD2554">
      <w:pPr>
        <w:pStyle w:val="BodyText"/>
      </w:pPr>
      <w:r w:rsidRPr="000F2520">
        <w:t xml:space="preserve">At the bottom layer is self-audit by process owners and managers. Thereafter, there should be an independent internal audit followed by external audits by qualified auditors or assessors.   </w:t>
      </w:r>
    </w:p>
    <w:p w14:paraId="1FB2147D" w14:textId="77777777" w:rsidR="00AD2554" w:rsidRPr="000F2520" w:rsidRDefault="00AD2554" w:rsidP="00AD2554">
      <w:pPr>
        <w:pStyle w:val="Heading3"/>
        <w:numPr>
          <w:ilvl w:val="2"/>
          <w:numId w:val="21"/>
        </w:numPr>
        <w:tabs>
          <w:tab w:val="clear" w:pos="1276"/>
          <w:tab w:val="num" w:pos="2223"/>
        </w:tabs>
        <w:ind w:left="2223" w:hanging="180"/>
      </w:pPr>
      <w:bookmarkStart w:id="132" w:name="_Toc106613956"/>
      <w:r w:rsidRPr="000F2520">
        <w:t>Compliance with legal requirements</w:t>
      </w:r>
      <w:bookmarkEnd w:id="132"/>
    </w:p>
    <w:p w14:paraId="0DC8C027" w14:textId="77777777" w:rsidR="00AD2554" w:rsidRPr="000F2520" w:rsidRDefault="00AD2554" w:rsidP="00AD2554">
      <w:pPr>
        <w:pStyle w:val="BodyText"/>
      </w:pPr>
      <w:r w:rsidRPr="000F2520">
        <w:rPr>
          <w:b/>
        </w:rPr>
        <w:t xml:space="preserve">Objective: </w:t>
      </w:r>
      <w:r w:rsidRPr="000F2520">
        <w:t xml:space="preserve">To avoid breaches of any law, statutory, </w:t>
      </w:r>
      <w:proofErr w:type="gramStart"/>
      <w:r w:rsidRPr="000F2520">
        <w:t>regulatory</w:t>
      </w:r>
      <w:proofErr w:type="gramEnd"/>
      <w:r w:rsidRPr="000F2520">
        <w:t xml:space="preserve"> or contractual obligations, and of any security requirements.</w:t>
      </w:r>
    </w:p>
    <w:p w14:paraId="6980493E" w14:textId="77777777" w:rsidR="00AD2554" w:rsidRPr="000F2520" w:rsidRDefault="00AD2554" w:rsidP="00AD2554">
      <w:pPr>
        <w:pStyle w:val="BodyText"/>
      </w:pPr>
      <w:r w:rsidRPr="000F2520">
        <w:rPr>
          <w:b/>
        </w:rPr>
        <w:t xml:space="preserve">Guidance: </w:t>
      </w:r>
      <w:r w:rsidRPr="000F2520">
        <w:t xml:space="preserve">As each state and territory may have differing legislative requirements, each health care organisation needs to specifically identify legislation or other regulatory or contractual requirements and procedures that support the organisation's compliance to such. </w:t>
      </w:r>
    </w:p>
    <w:p w14:paraId="7986CEC0" w14:textId="77777777" w:rsidR="00AD2554" w:rsidRPr="000F2520" w:rsidRDefault="00AD2554" w:rsidP="00AD2554">
      <w:pPr>
        <w:pStyle w:val="BodyText"/>
      </w:pPr>
      <w:r w:rsidRPr="00A814FF">
        <w:rPr>
          <w:iCs/>
        </w:rPr>
        <w:t xml:space="preserve">Health records should be protected from misuse and loss and from unauthorised access, </w:t>
      </w:r>
      <w:proofErr w:type="gramStart"/>
      <w:r w:rsidRPr="00A814FF">
        <w:rPr>
          <w:iCs/>
        </w:rPr>
        <w:t>modification</w:t>
      </w:r>
      <w:proofErr w:type="gramEnd"/>
      <w:r w:rsidRPr="00A814FF">
        <w:rPr>
          <w:iCs/>
        </w:rPr>
        <w:t xml:space="preserve"> or disclosure.</w:t>
      </w:r>
    </w:p>
    <w:p w14:paraId="43B685EC" w14:textId="77777777" w:rsidR="00AD2554" w:rsidRPr="000F2520" w:rsidRDefault="00AD2554" w:rsidP="00AD2554">
      <w:pPr>
        <w:pStyle w:val="BodyText"/>
      </w:pPr>
      <w:r w:rsidRPr="000F2520">
        <w:t xml:space="preserve">The </w:t>
      </w:r>
      <w:r w:rsidRPr="000F2520">
        <w:rPr>
          <w:i/>
        </w:rPr>
        <w:t>NESAF Security and Access Guideline, Implementer Blueprint</w:t>
      </w:r>
      <w:r w:rsidRPr="000F2520">
        <w:t xml:space="preserve"> contains specific details around Compliance within each Service Component.  </w:t>
      </w:r>
    </w:p>
    <w:p w14:paraId="4C3C9769" w14:textId="77777777" w:rsidR="00AD2554" w:rsidRPr="000F2520" w:rsidRDefault="00AD2554" w:rsidP="00AD2554">
      <w:pPr>
        <w:pStyle w:val="BodyText"/>
      </w:pPr>
      <w:r w:rsidRPr="000F2520">
        <w:t xml:space="preserve">Relevant Privacy (state or federal) legislation should be </w:t>
      </w:r>
      <w:proofErr w:type="gramStart"/>
      <w:r w:rsidRPr="000F2520">
        <w:t>complied with at all times</w:t>
      </w:r>
      <w:proofErr w:type="gramEnd"/>
      <w:r w:rsidRPr="000F2520">
        <w:t xml:space="preserve"> by health organisations.   </w:t>
      </w:r>
    </w:p>
    <w:p w14:paraId="4B896778" w14:textId="77777777" w:rsidR="00AD2554" w:rsidRPr="000F2520" w:rsidRDefault="00AD2554" w:rsidP="00AD2554">
      <w:pPr>
        <w:pStyle w:val="BodyText"/>
        <w:rPr>
          <w:i/>
        </w:rPr>
      </w:pPr>
      <w:r w:rsidRPr="000F2520">
        <w:t xml:space="preserve">Refer </w:t>
      </w:r>
      <w:r w:rsidRPr="000F2520">
        <w:rPr>
          <w:i/>
        </w:rPr>
        <w:t>NESAF Implementer Blueprint for Consent Management Service Component.</w:t>
      </w:r>
    </w:p>
    <w:p w14:paraId="715335A4" w14:textId="77777777" w:rsidR="00AD2554" w:rsidRPr="000F2520" w:rsidRDefault="00AD2554" w:rsidP="00AD2554">
      <w:pPr>
        <w:pStyle w:val="BodyText"/>
      </w:pPr>
      <w:r w:rsidRPr="000F2520">
        <w:t>Management should approve the use of information processing facilities.</w:t>
      </w:r>
    </w:p>
    <w:p w14:paraId="203DC69F" w14:textId="77777777" w:rsidR="00AD2554" w:rsidRPr="000F2520" w:rsidRDefault="00AD2554" w:rsidP="00AD2554">
      <w:pPr>
        <w:pStyle w:val="BodyText"/>
      </w:pPr>
      <w:r w:rsidRPr="000F2520">
        <w:t>If any unauthorised activity is identified by monitoring or other means, this activity should be brought to the attention of the individual manager concerned for consideration of appropriate disciplinary and/or legal action.</w:t>
      </w:r>
    </w:p>
    <w:p w14:paraId="7CF986EB" w14:textId="77777777" w:rsidR="00AD2554" w:rsidRPr="000F2520" w:rsidRDefault="00AD2554" w:rsidP="00AD2554">
      <w:pPr>
        <w:pStyle w:val="BodyText"/>
      </w:pPr>
      <w:r w:rsidRPr="000F2520">
        <w:t xml:space="preserve">Consider seeking legal advice prior to implementing monitoring of employee activities. </w:t>
      </w:r>
    </w:p>
    <w:p w14:paraId="0BB9D851" w14:textId="77777777" w:rsidR="00AD2554" w:rsidRPr="000F2520" w:rsidRDefault="00AD2554" w:rsidP="00AD2554">
      <w:pPr>
        <w:pStyle w:val="BodyText"/>
      </w:pPr>
      <w:r w:rsidRPr="000F2520">
        <w:t>At log-on, a warning message should be presented to indicate that the information or information system being accessed is owned by the organisation and that unauthorised access is not permitted.</w:t>
      </w:r>
    </w:p>
    <w:p w14:paraId="73AC411D" w14:textId="77777777" w:rsidR="00AD2554" w:rsidRPr="000F2520" w:rsidRDefault="00AD2554" w:rsidP="00AD2554">
      <w:pPr>
        <w:pStyle w:val="Heading3"/>
        <w:numPr>
          <w:ilvl w:val="2"/>
          <w:numId w:val="21"/>
        </w:numPr>
        <w:tabs>
          <w:tab w:val="clear" w:pos="1276"/>
          <w:tab w:val="num" w:pos="2223"/>
        </w:tabs>
        <w:ind w:left="2223" w:hanging="180"/>
      </w:pPr>
      <w:bookmarkStart w:id="133" w:name="_Toc106613957"/>
      <w:r w:rsidRPr="000F2520">
        <w:t>Compliance with security policies and standards and technical compliance</w:t>
      </w:r>
      <w:bookmarkEnd w:id="133"/>
    </w:p>
    <w:p w14:paraId="324ADD63" w14:textId="77777777" w:rsidR="00AD2554" w:rsidRPr="000F2520" w:rsidRDefault="00AD2554" w:rsidP="00AD2554">
      <w:pPr>
        <w:pStyle w:val="BodyText"/>
        <w:rPr>
          <w:b/>
        </w:rPr>
      </w:pPr>
      <w:r w:rsidRPr="000F2520">
        <w:rPr>
          <w:b/>
        </w:rPr>
        <w:t>Objective:</w:t>
      </w:r>
      <w:r w:rsidRPr="000F2520">
        <w:t xml:space="preserve"> To ensure compliance of systems with organisational security policies and standards</w:t>
      </w:r>
    </w:p>
    <w:p w14:paraId="7D1BEF82" w14:textId="77777777" w:rsidR="00AD2554" w:rsidRPr="000F2520" w:rsidRDefault="00AD2554" w:rsidP="00AD2554">
      <w:pPr>
        <w:pStyle w:val="BodyText"/>
      </w:pPr>
      <w:r w:rsidRPr="000F2520">
        <w:rPr>
          <w:b/>
        </w:rPr>
        <w:t xml:space="preserve">Guidance: </w:t>
      </w:r>
      <w:r w:rsidRPr="000F2520">
        <w:t xml:space="preserve">Managers should be responsible for ensuring that the employees and third parties that report to them are compliant with information security policies. This should be both proactive (regular reviews) and reactive (reporting of weaknesses or events when they happen). </w:t>
      </w:r>
    </w:p>
    <w:p w14:paraId="33C0588C" w14:textId="77777777" w:rsidR="00AD2554" w:rsidRPr="000F2520" w:rsidRDefault="00AD2554" w:rsidP="00AD2554">
      <w:pPr>
        <w:pStyle w:val="BodyText"/>
      </w:pPr>
      <w:r w:rsidRPr="000F2520">
        <w:t xml:space="preserve">If any non-compliance is found </w:t>
      </w:r>
      <w:proofErr w:type="gramStart"/>
      <w:r w:rsidRPr="000F2520">
        <w:t>as a result of</w:t>
      </w:r>
      <w:proofErr w:type="gramEnd"/>
      <w:r w:rsidRPr="000F2520">
        <w:t xml:space="preserve"> a review, managers should:</w:t>
      </w:r>
    </w:p>
    <w:p w14:paraId="7511B252" w14:textId="77777777" w:rsidR="00AD2554" w:rsidRPr="000F2520" w:rsidRDefault="00AD2554" w:rsidP="00AD2554">
      <w:pPr>
        <w:pStyle w:val="ListAlpha2"/>
        <w:numPr>
          <w:ilvl w:val="0"/>
          <w:numId w:val="53"/>
        </w:numPr>
      </w:pPr>
      <w:r w:rsidRPr="000F2520">
        <w:t>determine the causes of the non-compliance</w:t>
      </w:r>
    </w:p>
    <w:p w14:paraId="42F2EE39" w14:textId="77777777" w:rsidR="00AD2554" w:rsidRPr="000F2520" w:rsidRDefault="00AD2554" w:rsidP="00AD2554">
      <w:pPr>
        <w:pStyle w:val="ListAlpha2"/>
        <w:numPr>
          <w:ilvl w:val="0"/>
          <w:numId w:val="53"/>
        </w:numPr>
      </w:pPr>
      <w:r w:rsidRPr="000F2520">
        <w:t>evaluate the need for actions to ensure that non-compliance do not reoccur</w:t>
      </w:r>
    </w:p>
    <w:p w14:paraId="7CA9D30D" w14:textId="77777777" w:rsidR="00AD2554" w:rsidRPr="000F2520" w:rsidRDefault="00AD2554" w:rsidP="00AD2554">
      <w:pPr>
        <w:pStyle w:val="ListAlpha2"/>
        <w:numPr>
          <w:ilvl w:val="0"/>
          <w:numId w:val="53"/>
        </w:numPr>
      </w:pPr>
      <w:r w:rsidRPr="000F2520">
        <w:t>determine and implement appropriate corrective action</w:t>
      </w:r>
    </w:p>
    <w:p w14:paraId="1A128B77" w14:textId="77777777" w:rsidR="00AD2554" w:rsidRPr="000F2520" w:rsidRDefault="00AD2554" w:rsidP="00AD2554">
      <w:pPr>
        <w:pStyle w:val="ListAlpha2"/>
        <w:numPr>
          <w:ilvl w:val="0"/>
          <w:numId w:val="53"/>
        </w:numPr>
      </w:pPr>
      <w:r w:rsidRPr="000F2520">
        <w:t>review the corrective action taken.</w:t>
      </w:r>
    </w:p>
    <w:p w14:paraId="547D23E1" w14:textId="77777777" w:rsidR="00AD2554" w:rsidRPr="000F2520" w:rsidRDefault="00AD2554" w:rsidP="00AD2554">
      <w:pPr>
        <w:pStyle w:val="BodyText"/>
      </w:pPr>
      <w:r w:rsidRPr="000F2520">
        <w:lastRenderedPageBreak/>
        <w:t xml:space="preserve">Employees or third parties responsible for the maintenance and operation of IT systems should ensure that checks are run regularly. Such testing may be performed internally or by external assessors, using automated tools or manually.  </w:t>
      </w:r>
    </w:p>
    <w:p w14:paraId="5FD64BCC" w14:textId="77777777" w:rsidR="00AD2554" w:rsidRPr="000F2520" w:rsidRDefault="00AD2554" w:rsidP="00AD2554">
      <w:pPr>
        <w:pStyle w:val="BodyText"/>
      </w:pPr>
      <w:r w:rsidRPr="000F2520">
        <w:t>Where vulnerability scanning or penetration testing techniques are used, the assessor should be qualified as damage may be caused if not used correctly</w:t>
      </w:r>
    </w:p>
    <w:p w14:paraId="3B26C1E1" w14:textId="77777777" w:rsidR="00AD2554" w:rsidRPr="000F2520" w:rsidRDefault="00AD2554" w:rsidP="00AD2554">
      <w:pPr>
        <w:pStyle w:val="Heading3"/>
        <w:numPr>
          <w:ilvl w:val="2"/>
          <w:numId w:val="21"/>
        </w:numPr>
        <w:tabs>
          <w:tab w:val="clear" w:pos="1276"/>
          <w:tab w:val="num" w:pos="2223"/>
        </w:tabs>
        <w:ind w:left="2223" w:hanging="180"/>
      </w:pPr>
      <w:bookmarkStart w:id="134" w:name="_Toc106613958"/>
      <w:r w:rsidRPr="000F2520">
        <w:t>Information systems audit considerations in a health environment</w:t>
      </w:r>
      <w:bookmarkEnd w:id="134"/>
    </w:p>
    <w:p w14:paraId="58E89660" w14:textId="77777777" w:rsidR="00AD2554" w:rsidRPr="000F2520" w:rsidRDefault="00AD2554" w:rsidP="00AD2554">
      <w:pPr>
        <w:pStyle w:val="BodyText"/>
        <w:rPr>
          <w:b/>
        </w:rPr>
      </w:pPr>
      <w:r w:rsidRPr="000F2520">
        <w:rPr>
          <w:b/>
        </w:rPr>
        <w:t>Objective:</w:t>
      </w:r>
      <w:r w:rsidRPr="000F2520">
        <w:t xml:space="preserve"> To maximise the effectiveness of and to minimise interference to or from the information systems audit process.</w:t>
      </w:r>
    </w:p>
    <w:p w14:paraId="6DDDBF35" w14:textId="77777777" w:rsidR="00AD2554" w:rsidRPr="000F2520" w:rsidRDefault="00AD2554" w:rsidP="00AD2554">
      <w:pPr>
        <w:pStyle w:val="BodyText"/>
      </w:pPr>
      <w:r w:rsidRPr="000F2520">
        <w:rPr>
          <w:b/>
        </w:rPr>
        <w:t xml:space="preserve">Guidance: </w:t>
      </w:r>
      <w:r w:rsidRPr="000F2520">
        <w:t>When a CQR’s systems are being audited, the following need to be considered to protect health or personal information.</w:t>
      </w:r>
    </w:p>
    <w:p w14:paraId="6EFD4864" w14:textId="77777777" w:rsidR="00AD2554" w:rsidRPr="000F2520" w:rsidRDefault="00AD2554" w:rsidP="00AD2554">
      <w:pPr>
        <w:pStyle w:val="ListBullet2"/>
        <w:numPr>
          <w:ilvl w:val="0"/>
          <w:numId w:val="51"/>
        </w:numPr>
        <w:spacing w:before="120" w:after="120" w:line="240" w:lineRule="auto"/>
        <w:contextualSpacing w:val="0"/>
      </w:pPr>
      <w:r w:rsidRPr="000F2520">
        <w:t>audit requirements and scope should be agreed with appropriate management</w:t>
      </w:r>
    </w:p>
    <w:p w14:paraId="05CF1327" w14:textId="77777777" w:rsidR="00AD2554" w:rsidRPr="000F2520" w:rsidRDefault="00AD2554" w:rsidP="00AD2554">
      <w:pPr>
        <w:pStyle w:val="ListBullet2"/>
        <w:numPr>
          <w:ilvl w:val="0"/>
          <w:numId w:val="51"/>
        </w:numPr>
        <w:spacing w:before="120" w:after="120" w:line="240" w:lineRule="auto"/>
        <w:contextualSpacing w:val="0"/>
      </w:pPr>
      <w:r w:rsidRPr="000F2520">
        <w:t>checks should be limited to read-only access to software and data</w:t>
      </w:r>
    </w:p>
    <w:p w14:paraId="741E6527" w14:textId="77777777" w:rsidR="00AD2554" w:rsidRPr="000F2520" w:rsidRDefault="00AD2554" w:rsidP="00AD2554">
      <w:pPr>
        <w:pStyle w:val="ListBullet2"/>
        <w:numPr>
          <w:ilvl w:val="0"/>
          <w:numId w:val="51"/>
        </w:numPr>
        <w:spacing w:before="120" w:after="120" w:line="240" w:lineRule="auto"/>
        <w:contextualSpacing w:val="0"/>
      </w:pPr>
      <w:r w:rsidRPr="000F2520">
        <w:t>access other than read-only should only be allowed for isolated copies of system files, which should be erased when the audit is completed, or given appropriate protection if there is an obligation to keep such files under audit documentation requirements</w:t>
      </w:r>
    </w:p>
    <w:p w14:paraId="4D1B8CE4" w14:textId="77777777" w:rsidR="00AD2554" w:rsidRPr="000F2520" w:rsidRDefault="00AD2554" w:rsidP="00AD2554">
      <w:pPr>
        <w:pStyle w:val="ListBullet2"/>
        <w:numPr>
          <w:ilvl w:val="0"/>
          <w:numId w:val="51"/>
        </w:numPr>
        <w:spacing w:before="120" w:after="120" w:line="240" w:lineRule="auto"/>
        <w:contextualSpacing w:val="0"/>
      </w:pPr>
      <w:r w:rsidRPr="000F2520">
        <w:t>resources for performing the checks should be explicitly identified, made available and authority documented and approved</w:t>
      </w:r>
    </w:p>
    <w:p w14:paraId="34F8ED42" w14:textId="77777777" w:rsidR="00AD2554" w:rsidRPr="000F2520" w:rsidRDefault="00AD2554" w:rsidP="00AD2554">
      <w:pPr>
        <w:pStyle w:val="ListBullet2"/>
        <w:numPr>
          <w:ilvl w:val="0"/>
          <w:numId w:val="51"/>
        </w:numPr>
        <w:spacing w:before="120" w:after="120" w:line="240" w:lineRule="auto"/>
        <w:contextualSpacing w:val="0"/>
      </w:pPr>
      <w:r w:rsidRPr="000F2520">
        <w:t>all access should be monitored and logged to produce a reference trail and the use of timestamped reference trails should be considered for critical data or systems</w:t>
      </w:r>
    </w:p>
    <w:p w14:paraId="4CB2BC11" w14:textId="77777777" w:rsidR="00AD2554" w:rsidRPr="000F2520" w:rsidRDefault="00AD2554" w:rsidP="00AD2554">
      <w:pPr>
        <w:pStyle w:val="ListBullet2"/>
        <w:numPr>
          <w:ilvl w:val="0"/>
          <w:numId w:val="51"/>
        </w:numPr>
        <w:spacing w:before="120" w:after="120" w:line="240" w:lineRule="auto"/>
        <w:contextualSpacing w:val="0"/>
      </w:pPr>
      <w:r w:rsidRPr="000F2520">
        <w:t>all procedures, requirements, and responsibilities should be documented</w:t>
      </w:r>
    </w:p>
    <w:p w14:paraId="7FE5AFC3" w14:textId="76BD0EA2" w:rsidR="006D4E4E" w:rsidRDefault="00AD2554" w:rsidP="00AD2554">
      <w:pPr>
        <w:pStyle w:val="ListBullet2"/>
        <w:numPr>
          <w:ilvl w:val="0"/>
          <w:numId w:val="51"/>
        </w:numPr>
        <w:spacing w:before="120" w:after="120" w:line="240" w:lineRule="auto"/>
        <w:contextualSpacing w:val="0"/>
      </w:pPr>
      <w:r w:rsidRPr="000F2520">
        <w:t>the person(s) carrying out the audit should be independent of the activities audited.</w:t>
      </w:r>
    </w:p>
    <w:p w14:paraId="4DE75F27" w14:textId="77777777" w:rsidR="006D4E4E" w:rsidRDefault="006D4E4E">
      <w:pPr>
        <w:spacing w:after="0" w:line="240" w:lineRule="auto"/>
      </w:pPr>
      <w:r>
        <w:br w:type="page"/>
      </w:r>
    </w:p>
    <w:p w14:paraId="39F49320" w14:textId="77777777" w:rsidR="00AD2554" w:rsidRPr="000F2520" w:rsidRDefault="00AD2554" w:rsidP="006D4E4E">
      <w:pPr>
        <w:pStyle w:val="ListBullet2"/>
        <w:numPr>
          <w:ilvl w:val="0"/>
          <w:numId w:val="0"/>
        </w:numPr>
        <w:spacing w:before="120" w:after="120" w:line="240" w:lineRule="auto"/>
        <w:ind w:left="1996"/>
        <w:contextualSpacing w:val="0"/>
      </w:pPr>
    </w:p>
    <w:p w14:paraId="2994D902" w14:textId="77777777" w:rsidR="00AD2554" w:rsidRPr="000F2520" w:rsidRDefault="00AD2554" w:rsidP="00AD2554">
      <w:pPr>
        <w:pStyle w:val="Heading1"/>
        <w:numPr>
          <w:ilvl w:val="0"/>
          <w:numId w:val="21"/>
        </w:numPr>
        <w:tabs>
          <w:tab w:val="clear" w:pos="1276"/>
          <w:tab w:val="num" w:pos="783"/>
        </w:tabs>
        <w:ind w:left="783" w:hanging="360"/>
      </w:pPr>
      <w:bookmarkStart w:id="135" w:name="_Toc106613959"/>
      <w:r w:rsidRPr="000F2520">
        <w:t>Glossary</w:t>
      </w:r>
      <w:r w:rsidRPr="000F2520">
        <w:rPr>
          <w:rStyle w:val="FootnoteReference"/>
        </w:rPr>
        <w:footnoteReference w:id="19"/>
      </w:r>
      <w:bookmarkEnd w:id="135"/>
    </w:p>
    <w:p w14:paraId="4E55DD4B" w14:textId="77777777" w:rsidR="00AD2554" w:rsidRPr="000F2520" w:rsidRDefault="00AD2554" w:rsidP="00AD2554">
      <w:pPr>
        <w:pStyle w:val="BodyTex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9" w:type="dxa"/>
        </w:tblCellMar>
        <w:tblLook w:val="00A0" w:firstRow="1" w:lastRow="0" w:firstColumn="1" w:lastColumn="0" w:noHBand="0" w:noVBand="0"/>
      </w:tblPr>
      <w:tblGrid>
        <w:gridCol w:w="2410"/>
        <w:gridCol w:w="7115"/>
      </w:tblGrid>
      <w:tr w:rsidR="00AD2554" w:rsidRPr="000F2520" w14:paraId="7A78DB83" w14:textId="77777777" w:rsidTr="006D4E4E">
        <w:trPr>
          <w:tblHeader/>
        </w:trPr>
        <w:tc>
          <w:tcPr>
            <w:tcW w:w="2410" w:type="dxa"/>
            <w:tcBorders>
              <w:top w:val="nil"/>
              <w:left w:val="nil"/>
              <w:bottom w:val="single" w:sz="6" w:space="0" w:color="000000"/>
              <w:right w:val="nil"/>
            </w:tcBorders>
            <w:shd w:val="clear" w:color="auto" w:fill="000000"/>
          </w:tcPr>
          <w:p w14:paraId="4F176F98" w14:textId="77777777" w:rsidR="00AD2554" w:rsidRPr="008D1D05" w:rsidRDefault="00AD2554" w:rsidP="00E9663B">
            <w:pPr>
              <w:keepLines/>
              <w:rPr>
                <w:b/>
                <w:bCs/>
              </w:rPr>
            </w:pPr>
            <w:r w:rsidRPr="008D1D05">
              <w:rPr>
                <w:b/>
                <w:bCs/>
              </w:rPr>
              <w:t>Term</w:t>
            </w:r>
          </w:p>
        </w:tc>
        <w:tc>
          <w:tcPr>
            <w:tcW w:w="7115" w:type="dxa"/>
            <w:tcBorders>
              <w:bottom w:val="single" w:sz="6" w:space="0" w:color="000000"/>
            </w:tcBorders>
            <w:shd w:val="clear" w:color="auto" w:fill="000000"/>
          </w:tcPr>
          <w:p w14:paraId="512102E5" w14:textId="77777777" w:rsidR="00AD2554" w:rsidRPr="008D1D05" w:rsidRDefault="00AD2554" w:rsidP="00E9663B">
            <w:pPr>
              <w:keepLines/>
              <w:rPr>
                <w:b/>
                <w:bCs/>
              </w:rPr>
            </w:pPr>
            <w:r w:rsidRPr="008D1D05">
              <w:rPr>
                <w:b/>
                <w:bCs/>
              </w:rPr>
              <w:t>Definition</w:t>
            </w:r>
          </w:p>
        </w:tc>
      </w:tr>
      <w:tr w:rsidR="00AD2554" w:rsidRPr="000F2520" w14:paraId="30370AE1" w14:textId="77777777" w:rsidTr="006D4E4E">
        <w:trPr>
          <w:cantSplit/>
        </w:trPr>
        <w:tc>
          <w:tcPr>
            <w:tcW w:w="2410" w:type="dxa"/>
            <w:tcBorders>
              <w:top w:val="nil"/>
              <w:left w:val="nil"/>
              <w:right w:val="nil"/>
            </w:tcBorders>
          </w:tcPr>
          <w:p w14:paraId="098A2602" w14:textId="77777777" w:rsidR="00AD2554" w:rsidRPr="008D1D05" w:rsidRDefault="00AD2554" w:rsidP="00E9663B">
            <w:pPr>
              <w:keepLines/>
            </w:pPr>
            <w:r w:rsidRPr="008D1D05">
              <w:t>Access Control</w:t>
            </w:r>
          </w:p>
        </w:tc>
        <w:tc>
          <w:tcPr>
            <w:tcW w:w="7115" w:type="dxa"/>
            <w:tcBorders>
              <w:top w:val="nil"/>
              <w:left w:val="nil"/>
              <w:right w:val="nil"/>
            </w:tcBorders>
          </w:tcPr>
          <w:p w14:paraId="13E0C01E" w14:textId="77777777" w:rsidR="00AD2554" w:rsidRPr="008D1D05" w:rsidRDefault="00AD2554" w:rsidP="00E9663B">
            <w:pPr>
              <w:keepLines/>
            </w:pPr>
            <w:r w:rsidRPr="008D1D05">
              <w:t>A means of controlling access by users to computer systems or to data on a computer system.</w:t>
            </w:r>
          </w:p>
        </w:tc>
      </w:tr>
      <w:tr w:rsidR="00AD2554" w:rsidRPr="000F2520" w14:paraId="303569C8" w14:textId="77777777" w:rsidTr="006D4E4E">
        <w:trPr>
          <w:cantSplit/>
        </w:trPr>
        <w:tc>
          <w:tcPr>
            <w:tcW w:w="2410" w:type="dxa"/>
            <w:tcBorders>
              <w:top w:val="nil"/>
              <w:left w:val="nil"/>
              <w:right w:val="nil"/>
            </w:tcBorders>
          </w:tcPr>
          <w:p w14:paraId="4AA91442" w14:textId="77777777" w:rsidR="00AD2554" w:rsidRPr="008D1D05" w:rsidRDefault="00AD2554" w:rsidP="00E9663B">
            <w:pPr>
              <w:keepLines/>
            </w:pPr>
            <w:r w:rsidRPr="008D1D05">
              <w:t>The Commission</w:t>
            </w:r>
          </w:p>
        </w:tc>
        <w:tc>
          <w:tcPr>
            <w:tcW w:w="7115" w:type="dxa"/>
            <w:tcBorders>
              <w:top w:val="nil"/>
              <w:left w:val="nil"/>
              <w:right w:val="nil"/>
            </w:tcBorders>
          </w:tcPr>
          <w:p w14:paraId="537AFC7F" w14:textId="77777777" w:rsidR="00AD2554" w:rsidRPr="008D1D05" w:rsidRDefault="00AD2554" w:rsidP="00E9663B">
            <w:pPr>
              <w:keepLines/>
            </w:pPr>
            <w:r w:rsidRPr="008D1D05">
              <w:t>Australian Commission on Safety and Quality in Health Care.</w:t>
            </w:r>
          </w:p>
        </w:tc>
      </w:tr>
      <w:tr w:rsidR="00AD2554" w:rsidRPr="000F2520" w14:paraId="29802621" w14:textId="77777777" w:rsidTr="006D4E4E">
        <w:trPr>
          <w:cantSplit/>
        </w:trPr>
        <w:tc>
          <w:tcPr>
            <w:tcW w:w="2410" w:type="dxa"/>
            <w:tcBorders>
              <w:top w:val="nil"/>
              <w:left w:val="nil"/>
              <w:right w:val="nil"/>
            </w:tcBorders>
          </w:tcPr>
          <w:p w14:paraId="0C27E8BD" w14:textId="77777777" w:rsidR="00AD2554" w:rsidRPr="008D1D05" w:rsidRDefault="00AD2554" w:rsidP="00E9663B">
            <w:pPr>
              <w:keepLines/>
            </w:pPr>
            <w:r w:rsidRPr="008D1D05">
              <w:t>Asset</w:t>
            </w:r>
          </w:p>
        </w:tc>
        <w:tc>
          <w:tcPr>
            <w:tcW w:w="7115" w:type="dxa"/>
            <w:tcBorders>
              <w:top w:val="nil"/>
              <w:left w:val="nil"/>
              <w:right w:val="nil"/>
            </w:tcBorders>
          </w:tcPr>
          <w:p w14:paraId="72184E48" w14:textId="77777777" w:rsidR="00AD2554" w:rsidRPr="008D1D05" w:rsidRDefault="00AD2554" w:rsidP="00E9663B">
            <w:pPr>
              <w:keepLines/>
            </w:pPr>
            <w:r w:rsidRPr="008D1D05">
              <w:t>Anything that has value to an organisation. AS ISO 27799-2011</w:t>
            </w:r>
          </w:p>
        </w:tc>
      </w:tr>
      <w:tr w:rsidR="00AD2554" w:rsidRPr="000F2520" w14:paraId="38BDDD03" w14:textId="77777777" w:rsidTr="006D4E4E">
        <w:trPr>
          <w:cantSplit/>
        </w:trPr>
        <w:tc>
          <w:tcPr>
            <w:tcW w:w="2410" w:type="dxa"/>
            <w:tcBorders>
              <w:top w:val="nil"/>
              <w:left w:val="nil"/>
              <w:right w:val="nil"/>
            </w:tcBorders>
          </w:tcPr>
          <w:p w14:paraId="34439123" w14:textId="77777777" w:rsidR="00AD2554" w:rsidRPr="008D1D05" w:rsidRDefault="00AD2554" w:rsidP="00E9663B">
            <w:pPr>
              <w:keepLines/>
            </w:pPr>
            <w:r w:rsidRPr="008D1D05">
              <w:t>Authentication</w:t>
            </w:r>
          </w:p>
        </w:tc>
        <w:tc>
          <w:tcPr>
            <w:tcW w:w="7115" w:type="dxa"/>
            <w:tcBorders>
              <w:top w:val="nil"/>
              <w:left w:val="nil"/>
              <w:right w:val="nil"/>
            </w:tcBorders>
          </w:tcPr>
          <w:p w14:paraId="1F23BAB1" w14:textId="3459A080" w:rsidR="00AD2554" w:rsidRPr="008D1D05" w:rsidRDefault="00AD2554" w:rsidP="00E9663B">
            <w:pPr>
              <w:keepLines/>
            </w:pPr>
            <w:r w:rsidRPr="008D1D05">
              <w:t>Means that one can verify whether the sender is who they say they are.</w:t>
            </w:r>
            <w:r w:rsidR="006D4E4E">
              <w:t xml:space="preserve"> [RACGP1] </w:t>
            </w:r>
          </w:p>
        </w:tc>
      </w:tr>
      <w:tr w:rsidR="00AD2554" w:rsidRPr="000F2520" w14:paraId="78AABD1F" w14:textId="77777777" w:rsidTr="006D4E4E">
        <w:trPr>
          <w:cantSplit/>
        </w:trPr>
        <w:tc>
          <w:tcPr>
            <w:tcW w:w="2410" w:type="dxa"/>
            <w:tcBorders>
              <w:top w:val="nil"/>
              <w:left w:val="nil"/>
              <w:right w:val="nil"/>
            </w:tcBorders>
          </w:tcPr>
          <w:p w14:paraId="66D48538" w14:textId="77777777" w:rsidR="00AD2554" w:rsidRPr="008D1D05" w:rsidRDefault="00AD2554" w:rsidP="00E9663B">
            <w:pPr>
              <w:keepLines/>
            </w:pPr>
            <w:r w:rsidRPr="008D1D05">
              <w:t>Availability</w:t>
            </w:r>
          </w:p>
        </w:tc>
        <w:tc>
          <w:tcPr>
            <w:tcW w:w="7115" w:type="dxa"/>
            <w:tcBorders>
              <w:top w:val="nil"/>
              <w:left w:val="nil"/>
              <w:right w:val="nil"/>
            </w:tcBorders>
          </w:tcPr>
          <w:p w14:paraId="020799FA" w14:textId="77777777" w:rsidR="00AD2554" w:rsidRPr="008D1D05" w:rsidRDefault="00AD2554" w:rsidP="00E9663B">
            <w:pPr>
              <w:keepLines/>
            </w:pPr>
            <w:r w:rsidRPr="008D1D05">
              <w:t>Refers to the property of being accessing and usable on demand by an authorised entity. [NESAF; 27799-2011]</w:t>
            </w:r>
          </w:p>
        </w:tc>
      </w:tr>
      <w:tr w:rsidR="00AD2554" w:rsidRPr="000F2520" w14:paraId="23F4D858" w14:textId="77777777" w:rsidTr="006D4E4E">
        <w:trPr>
          <w:cantSplit/>
        </w:trPr>
        <w:tc>
          <w:tcPr>
            <w:tcW w:w="2410" w:type="dxa"/>
            <w:tcBorders>
              <w:top w:val="nil"/>
              <w:left w:val="nil"/>
              <w:right w:val="nil"/>
            </w:tcBorders>
          </w:tcPr>
          <w:p w14:paraId="046AA67B" w14:textId="77777777" w:rsidR="00AD2554" w:rsidRPr="008D1D05" w:rsidRDefault="00AD2554" w:rsidP="00E9663B">
            <w:pPr>
              <w:keepLines/>
            </w:pPr>
            <w:r>
              <w:t xml:space="preserve">Centrally hosted </w:t>
            </w:r>
          </w:p>
        </w:tc>
        <w:tc>
          <w:tcPr>
            <w:tcW w:w="7115" w:type="dxa"/>
            <w:tcBorders>
              <w:top w:val="nil"/>
              <w:left w:val="nil"/>
              <w:right w:val="nil"/>
            </w:tcBorders>
          </w:tcPr>
          <w:p w14:paraId="0A817868" w14:textId="2FA2892A" w:rsidR="00AD2554" w:rsidRPr="008D1D05" w:rsidRDefault="00AD2554" w:rsidP="00E9663B">
            <w:pPr>
              <w:keepLines/>
            </w:pPr>
            <w:r>
              <w:t xml:space="preserve">Centrally hosted jurisdictional (Commonwealth, </w:t>
            </w:r>
            <w:proofErr w:type="gramStart"/>
            <w:r w:rsidR="006D4E4E">
              <w:t>s</w:t>
            </w:r>
            <w:r>
              <w:t>tate</w:t>
            </w:r>
            <w:proofErr w:type="gramEnd"/>
            <w:r>
              <w:t xml:space="preserve"> and territory infrastructure model) national infrastructure</w:t>
            </w:r>
          </w:p>
        </w:tc>
      </w:tr>
      <w:tr w:rsidR="00AD2554" w:rsidRPr="000F2520" w14:paraId="12DDE9C4" w14:textId="77777777" w:rsidTr="006D4E4E">
        <w:trPr>
          <w:cantSplit/>
        </w:trPr>
        <w:tc>
          <w:tcPr>
            <w:tcW w:w="2410" w:type="dxa"/>
            <w:tcBorders>
              <w:top w:val="nil"/>
              <w:left w:val="nil"/>
              <w:right w:val="nil"/>
            </w:tcBorders>
          </w:tcPr>
          <w:p w14:paraId="031C620B" w14:textId="77777777" w:rsidR="00AD2554" w:rsidRPr="008D1D05" w:rsidRDefault="00AD2554" w:rsidP="00E9663B">
            <w:pPr>
              <w:keepLines/>
            </w:pPr>
            <w:r w:rsidRPr="008D1D05">
              <w:t>Confidentiality</w:t>
            </w:r>
          </w:p>
        </w:tc>
        <w:tc>
          <w:tcPr>
            <w:tcW w:w="7115" w:type="dxa"/>
            <w:tcBorders>
              <w:top w:val="nil"/>
              <w:left w:val="nil"/>
              <w:right w:val="nil"/>
            </w:tcBorders>
          </w:tcPr>
          <w:p w14:paraId="72E9EAB4" w14:textId="77777777" w:rsidR="00AD2554" w:rsidRPr="008D1D05" w:rsidRDefault="00AD2554" w:rsidP="00E9663B">
            <w:pPr>
              <w:keepLines/>
            </w:pPr>
            <w:r w:rsidRPr="008D1D05">
              <w:t xml:space="preserve">The property that information is not made available or disclosed to unauthorised individuals, </w:t>
            </w:r>
            <w:proofErr w:type="gramStart"/>
            <w:r w:rsidRPr="008D1D05">
              <w:t>entities</w:t>
            </w:r>
            <w:proofErr w:type="gramEnd"/>
            <w:r w:rsidRPr="008D1D05">
              <w:t xml:space="preserve"> or processes.</w:t>
            </w:r>
          </w:p>
        </w:tc>
      </w:tr>
      <w:tr w:rsidR="00AD2554" w:rsidRPr="000F2520" w14:paraId="4CD851BE" w14:textId="77777777" w:rsidTr="006D4E4E">
        <w:trPr>
          <w:cantSplit/>
        </w:trPr>
        <w:tc>
          <w:tcPr>
            <w:tcW w:w="2410" w:type="dxa"/>
            <w:tcBorders>
              <w:top w:val="nil"/>
              <w:left w:val="nil"/>
              <w:right w:val="nil"/>
            </w:tcBorders>
          </w:tcPr>
          <w:p w14:paraId="665DBDAC" w14:textId="77777777" w:rsidR="00AD2554" w:rsidRPr="008D1D05" w:rsidRDefault="00AD2554" w:rsidP="00E9663B">
            <w:pPr>
              <w:keepLines/>
            </w:pPr>
            <w:r w:rsidRPr="008D1D05">
              <w:t>CQR</w:t>
            </w:r>
          </w:p>
        </w:tc>
        <w:tc>
          <w:tcPr>
            <w:tcW w:w="7115" w:type="dxa"/>
            <w:tcBorders>
              <w:top w:val="nil"/>
              <w:left w:val="nil"/>
              <w:right w:val="nil"/>
            </w:tcBorders>
          </w:tcPr>
          <w:p w14:paraId="3542558A" w14:textId="77777777" w:rsidR="00AD2554" w:rsidRPr="008D1D05" w:rsidRDefault="00AD2554" w:rsidP="00E9663B">
            <w:pPr>
              <w:keepLines/>
            </w:pPr>
            <w:r w:rsidRPr="008D1D05">
              <w:t>Clinical Quality Registry.</w:t>
            </w:r>
          </w:p>
        </w:tc>
      </w:tr>
      <w:tr w:rsidR="00AD2554" w:rsidRPr="000F2520" w14:paraId="1B3BB19C" w14:textId="77777777" w:rsidTr="006D4E4E">
        <w:trPr>
          <w:cantSplit/>
        </w:trPr>
        <w:tc>
          <w:tcPr>
            <w:tcW w:w="2410" w:type="dxa"/>
            <w:tcBorders>
              <w:top w:val="nil"/>
              <w:left w:val="nil"/>
              <w:right w:val="nil"/>
            </w:tcBorders>
          </w:tcPr>
          <w:p w14:paraId="21C4D239" w14:textId="77777777" w:rsidR="00AD2554" w:rsidRPr="008D1D05" w:rsidRDefault="00AD2554" w:rsidP="00E9663B">
            <w:pPr>
              <w:keepLines/>
            </w:pPr>
            <w:r w:rsidRPr="008D1D05">
              <w:t>Data Hosting Infrastructure</w:t>
            </w:r>
          </w:p>
        </w:tc>
        <w:tc>
          <w:tcPr>
            <w:tcW w:w="7115" w:type="dxa"/>
            <w:tcBorders>
              <w:top w:val="nil"/>
              <w:left w:val="nil"/>
              <w:right w:val="nil"/>
            </w:tcBorders>
          </w:tcPr>
          <w:p w14:paraId="16C19346" w14:textId="77777777" w:rsidR="00AD2554" w:rsidRPr="008D1D05" w:rsidRDefault="00AD2554" w:rsidP="00E9663B">
            <w:pPr>
              <w:keepLines/>
            </w:pPr>
            <w:proofErr w:type="gramStart"/>
            <w:r w:rsidRPr="008D1D05">
              <w:t>For the purpose of</w:t>
            </w:r>
            <w:proofErr w:type="gramEnd"/>
            <w:r w:rsidRPr="008D1D05">
              <w:t xml:space="preserve"> this document, data hosting infrastructure refers to capacity and/or capability of ICT infrastructure such as data hosting services, hardware and software applications.  </w:t>
            </w:r>
          </w:p>
        </w:tc>
      </w:tr>
      <w:tr w:rsidR="00AD2554" w:rsidRPr="000F2520" w14:paraId="6C7BE8AE" w14:textId="77777777" w:rsidTr="006D4E4E">
        <w:trPr>
          <w:cantSplit/>
        </w:trPr>
        <w:tc>
          <w:tcPr>
            <w:tcW w:w="2410" w:type="dxa"/>
            <w:tcBorders>
              <w:top w:val="nil"/>
              <w:left w:val="nil"/>
              <w:right w:val="nil"/>
            </w:tcBorders>
          </w:tcPr>
          <w:p w14:paraId="5C196498" w14:textId="77777777" w:rsidR="00AD2554" w:rsidRPr="008D1D05" w:rsidRDefault="00AD2554" w:rsidP="00E9663B">
            <w:pPr>
              <w:keepLines/>
            </w:pPr>
            <w:r w:rsidRPr="008D1D05">
              <w:t>Denial of service</w:t>
            </w:r>
          </w:p>
        </w:tc>
        <w:tc>
          <w:tcPr>
            <w:tcW w:w="7115" w:type="dxa"/>
            <w:tcBorders>
              <w:top w:val="nil"/>
              <w:left w:val="nil"/>
              <w:right w:val="nil"/>
            </w:tcBorders>
          </w:tcPr>
          <w:p w14:paraId="5534FA87" w14:textId="77777777" w:rsidR="00AD2554" w:rsidRPr="008D1D05" w:rsidRDefault="00AD2554" w:rsidP="00E9663B">
            <w:pPr>
              <w:keepLines/>
            </w:pPr>
            <w:r w:rsidRPr="008D1D05">
              <w:t>An attack that results in preventing authorised access and availability of organisational information/services/resources.</w:t>
            </w:r>
          </w:p>
        </w:tc>
      </w:tr>
      <w:tr w:rsidR="00AD2554" w:rsidRPr="000F2520" w14:paraId="746C929E" w14:textId="77777777" w:rsidTr="006D4E4E">
        <w:trPr>
          <w:cantSplit/>
        </w:trPr>
        <w:tc>
          <w:tcPr>
            <w:tcW w:w="2410" w:type="dxa"/>
            <w:tcBorders>
              <w:top w:val="nil"/>
              <w:left w:val="nil"/>
              <w:right w:val="nil"/>
            </w:tcBorders>
          </w:tcPr>
          <w:p w14:paraId="689A3AAB" w14:textId="77777777" w:rsidR="00AD2554" w:rsidRPr="008D1D05" w:rsidRDefault="00AD2554" w:rsidP="00E9663B">
            <w:pPr>
              <w:keepLines/>
            </w:pPr>
            <w:r w:rsidRPr="008D1D05">
              <w:t>External data hosting infrastructure provider</w:t>
            </w:r>
          </w:p>
        </w:tc>
        <w:tc>
          <w:tcPr>
            <w:tcW w:w="7115" w:type="dxa"/>
            <w:tcBorders>
              <w:top w:val="nil"/>
              <w:left w:val="nil"/>
              <w:right w:val="nil"/>
            </w:tcBorders>
          </w:tcPr>
          <w:p w14:paraId="7FC99BD7" w14:textId="291BFCBA" w:rsidR="00AD2554" w:rsidRPr="008D1D05" w:rsidRDefault="00AD2554" w:rsidP="00E9663B">
            <w:pPr>
              <w:keepLines/>
            </w:pPr>
            <w:r w:rsidRPr="008D1D05">
              <w:t xml:space="preserve">In the context of this document, an external data hosting infrastructure provider refers to organisations that provide technology infrastructure such as hosting services, hardware, or applications, to standalone </w:t>
            </w:r>
            <w:r w:rsidR="00895D3E">
              <w:t>CQRs</w:t>
            </w:r>
            <w:r w:rsidRPr="008D1D05">
              <w:t xml:space="preserve"> through a third-party service provider arrangement. </w:t>
            </w:r>
          </w:p>
        </w:tc>
      </w:tr>
      <w:tr w:rsidR="00AD2554" w:rsidRPr="000F2520" w14:paraId="6EB19A69" w14:textId="77777777" w:rsidTr="006D4E4E">
        <w:trPr>
          <w:cantSplit/>
        </w:trPr>
        <w:tc>
          <w:tcPr>
            <w:tcW w:w="2410" w:type="dxa"/>
            <w:tcBorders>
              <w:top w:val="nil"/>
              <w:left w:val="nil"/>
              <w:right w:val="nil"/>
            </w:tcBorders>
          </w:tcPr>
          <w:p w14:paraId="0441BFFF" w14:textId="77777777" w:rsidR="00AD2554" w:rsidRPr="008D1D05" w:rsidRDefault="00AD2554" w:rsidP="00E9663B">
            <w:pPr>
              <w:keepLines/>
            </w:pPr>
            <w:r w:rsidRPr="008D1D05">
              <w:lastRenderedPageBreak/>
              <w:t>Encryption</w:t>
            </w:r>
          </w:p>
        </w:tc>
        <w:tc>
          <w:tcPr>
            <w:tcW w:w="7115" w:type="dxa"/>
            <w:tcBorders>
              <w:top w:val="nil"/>
              <w:left w:val="nil"/>
              <w:right w:val="nil"/>
            </w:tcBorders>
          </w:tcPr>
          <w:p w14:paraId="696F5235" w14:textId="26F84567" w:rsidR="00AD2554" w:rsidRPr="008D1D05" w:rsidRDefault="00AD2554" w:rsidP="00E9663B">
            <w:pPr>
              <w:keepLines/>
            </w:pPr>
            <w:r w:rsidRPr="008D1D05">
              <w:t xml:space="preserve">Data </w:t>
            </w:r>
            <w:r w:rsidR="00200C6A">
              <w:t>are</w:t>
            </w:r>
            <w:r w:rsidRPr="008D1D05">
              <w:t xml:space="preserve"> electronically “scrambled” so that it cannot be read unless the information is decrypted. [RACGP1]</w:t>
            </w:r>
          </w:p>
        </w:tc>
      </w:tr>
      <w:tr w:rsidR="00AD2554" w:rsidRPr="000F2520" w14:paraId="29150356" w14:textId="77777777" w:rsidTr="006D4E4E">
        <w:trPr>
          <w:cantSplit/>
        </w:trPr>
        <w:tc>
          <w:tcPr>
            <w:tcW w:w="2410" w:type="dxa"/>
            <w:tcBorders>
              <w:top w:val="nil"/>
              <w:left w:val="nil"/>
              <w:right w:val="nil"/>
            </w:tcBorders>
          </w:tcPr>
          <w:p w14:paraId="2E7DA236" w14:textId="77777777" w:rsidR="00AD2554" w:rsidRPr="008D1D05" w:rsidRDefault="00AD2554" w:rsidP="00E9663B">
            <w:pPr>
              <w:keepLines/>
            </w:pPr>
            <w:r w:rsidRPr="008D1D05">
              <w:t>Firewall</w:t>
            </w:r>
          </w:p>
        </w:tc>
        <w:tc>
          <w:tcPr>
            <w:tcW w:w="7115" w:type="dxa"/>
            <w:tcBorders>
              <w:top w:val="nil"/>
              <w:left w:val="nil"/>
              <w:right w:val="nil"/>
            </w:tcBorders>
          </w:tcPr>
          <w:p w14:paraId="24C4B308" w14:textId="77777777" w:rsidR="00AD2554" w:rsidRPr="008D1D05" w:rsidRDefault="00AD2554" w:rsidP="00E9663B">
            <w:pPr>
              <w:keepLines/>
            </w:pPr>
            <w:r w:rsidRPr="008D1D05">
              <w:t>Device(s) designed to prevent unauthorised transmission to or from a private network based upon a set of rules. Used to protect networks from unauthorised access while permitting legitimate communications to pass through</w:t>
            </w:r>
          </w:p>
        </w:tc>
      </w:tr>
      <w:tr w:rsidR="00AD2554" w:rsidRPr="000F2520" w14:paraId="032839EE" w14:textId="77777777" w:rsidTr="006D4E4E">
        <w:trPr>
          <w:cantSplit/>
        </w:trPr>
        <w:tc>
          <w:tcPr>
            <w:tcW w:w="2410" w:type="dxa"/>
            <w:tcBorders>
              <w:top w:val="nil"/>
              <w:left w:val="nil"/>
              <w:right w:val="nil"/>
            </w:tcBorders>
          </w:tcPr>
          <w:p w14:paraId="262DD462" w14:textId="77777777" w:rsidR="00AD2554" w:rsidRPr="008D1D05" w:rsidRDefault="00AD2554" w:rsidP="00E9663B">
            <w:pPr>
              <w:keepLines/>
            </w:pPr>
            <w:r w:rsidRPr="008D1D05">
              <w:t>Health information system</w:t>
            </w:r>
          </w:p>
        </w:tc>
        <w:tc>
          <w:tcPr>
            <w:tcW w:w="7115" w:type="dxa"/>
            <w:tcBorders>
              <w:top w:val="nil"/>
              <w:left w:val="nil"/>
              <w:right w:val="nil"/>
            </w:tcBorders>
          </w:tcPr>
          <w:p w14:paraId="47397AC9" w14:textId="77777777" w:rsidR="00AD2554" w:rsidRPr="008D1D05" w:rsidRDefault="00AD2554" w:rsidP="00E9663B">
            <w:pPr>
              <w:keepLines/>
            </w:pPr>
            <w:r w:rsidRPr="008D1D05">
              <w:t>Repository of information regarding the health of a subject of care in computer-process-able form, stored and transmitted securely, and accessible by multiple authorised users. AS ISO 27799-2011</w:t>
            </w:r>
          </w:p>
        </w:tc>
      </w:tr>
      <w:tr w:rsidR="00AD2554" w:rsidRPr="000F2520" w14:paraId="7A67DB12" w14:textId="77777777" w:rsidTr="006D4E4E">
        <w:trPr>
          <w:cantSplit/>
        </w:trPr>
        <w:tc>
          <w:tcPr>
            <w:tcW w:w="2410" w:type="dxa"/>
            <w:tcBorders>
              <w:top w:val="nil"/>
              <w:left w:val="nil"/>
              <w:right w:val="nil"/>
            </w:tcBorders>
          </w:tcPr>
          <w:p w14:paraId="394308D2" w14:textId="77777777" w:rsidR="00AD2554" w:rsidRPr="008D1D05" w:rsidRDefault="00AD2554" w:rsidP="00E9663B">
            <w:pPr>
              <w:keepLines/>
            </w:pPr>
            <w:r w:rsidRPr="008D1D05">
              <w:t>Healthcare</w:t>
            </w:r>
          </w:p>
        </w:tc>
        <w:tc>
          <w:tcPr>
            <w:tcW w:w="7115" w:type="dxa"/>
            <w:tcBorders>
              <w:top w:val="nil"/>
              <w:left w:val="nil"/>
              <w:right w:val="nil"/>
            </w:tcBorders>
          </w:tcPr>
          <w:p w14:paraId="5BB64452" w14:textId="77777777" w:rsidR="00AD2554" w:rsidRPr="008D1D05" w:rsidRDefault="00AD2554" w:rsidP="00E9663B">
            <w:pPr>
              <w:keepLines/>
            </w:pPr>
            <w:r w:rsidRPr="008D1D05">
              <w:t>Any type of service provided by professionals or paraprofessionals with an impact on health status. AS ISO 27799-2011</w:t>
            </w:r>
          </w:p>
        </w:tc>
      </w:tr>
      <w:tr w:rsidR="00AD2554" w:rsidRPr="000F2520" w14:paraId="3813A326" w14:textId="77777777" w:rsidTr="006D4E4E">
        <w:trPr>
          <w:cantSplit/>
        </w:trPr>
        <w:tc>
          <w:tcPr>
            <w:tcW w:w="2410" w:type="dxa"/>
            <w:tcBorders>
              <w:top w:val="nil"/>
              <w:left w:val="nil"/>
              <w:right w:val="nil"/>
            </w:tcBorders>
          </w:tcPr>
          <w:p w14:paraId="7D4C4735" w14:textId="77777777" w:rsidR="00AD2554" w:rsidRPr="008D1D05" w:rsidRDefault="00AD2554" w:rsidP="00E9663B">
            <w:pPr>
              <w:keepLines/>
            </w:pPr>
            <w:r w:rsidRPr="008D1D05">
              <w:t>Healthcare organisation</w:t>
            </w:r>
          </w:p>
        </w:tc>
        <w:tc>
          <w:tcPr>
            <w:tcW w:w="7115" w:type="dxa"/>
            <w:tcBorders>
              <w:top w:val="nil"/>
              <w:left w:val="nil"/>
              <w:right w:val="nil"/>
            </w:tcBorders>
          </w:tcPr>
          <w:p w14:paraId="7254BE40" w14:textId="77777777" w:rsidR="00AD2554" w:rsidRPr="008D1D05" w:rsidRDefault="00AD2554" w:rsidP="00E9663B">
            <w:pPr>
              <w:keepLines/>
            </w:pPr>
            <w:r w:rsidRPr="008D1D05">
              <w:t>Generic term used to describe many types of organisations that provide healthcare services. AS ISO 27799-2011</w:t>
            </w:r>
          </w:p>
        </w:tc>
      </w:tr>
      <w:tr w:rsidR="00AD2554" w:rsidRPr="000F2520" w14:paraId="611C282A" w14:textId="77777777" w:rsidTr="006D4E4E">
        <w:trPr>
          <w:cantSplit/>
        </w:trPr>
        <w:tc>
          <w:tcPr>
            <w:tcW w:w="2410" w:type="dxa"/>
            <w:tcBorders>
              <w:top w:val="nil"/>
              <w:left w:val="nil"/>
              <w:right w:val="nil"/>
            </w:tcBorders>
          </w:tcPr>
          <w:p w14:paraId="6466B30F" w14:textId="77777777" w:rsidR="00AD2554" w:rsidRPr="008D1D05" w:rsidRDefault="00AD2554" w:rsidP="00E9663B">
            <w:pPr>
              <w:keepLines/>
            </w:pPr>
            <w:r w:rsidRPr="008D1D05">
              <w:t>Information security</w:t>
            </w:r>
          </w:p>
        </w:tc>
        <w:tc>
          <w:tcPr>
            <w:tcW w:w="7115" w:type="dxa"/>
            <w:tcBorders>
              <w:top w:val="nil"/>
              <w:left w:val="nil"/>
              <w:right w:val="nil"/>
            </w:tcBorders>
          </w:tcPr>
          <w:p w14:paraId="52F02083" w14:textId="77777777" w:rsidR="00AD2554" w:rsidRPr="008D1D05" w:rsidRDefault="00AD2554" w:rsidP="00E9663B">
            <w:pPr>
              <w:keepLines/>
            </w:pPr>
            <w:r w:rsidRPr="008D1D05">
              <w:t>Preservation of confidentiality, integrity, and availability of information.</w:t>
            </w:r>
          </w:p>
        </w:tc>
      </w:tr>
      <w:tr w:rsidR="00AD2554" w:rsidRPr="000F2520" w14:paraId="257EF739" w14:textId="77777777" w:rsidTr="006D4E4E">
        <w:trPr>
          <w:cantSplit/>
        </w:trPr>
        <w:tc>
          <w:tcPr>
            <w:tcW w:w="2410" w:type="dxa"/>
            <w:tcBorders>
              <w:top w:val="nil"/>
              <w:left w:val="nil"/>
              <w:right w:val="nil"/>
            </w:tcBorders>
          </w:tcPr>
          <w:p w14:paraId="103DC6A7" w14:textId="77777777" w:rsidR="00AD2554" w:rsidRPr="008D1D05" w:rsidRDefault="00AD2554" w:rsidP="00E9663B">
            <w:pPr>
              <w:keepLines/>
            </w:pPr>
            <w:r w:rsidRPr="008D1D05">
              <w:t>Integrity</w:t>
            </w:r>
          </w:p>
        </w:tc>
        <w:tc>
          <w:tcPr>
            <w:tcW w:w="7115" w:type="dxa"/>
            <w:tcBorders>
              <w:top w:val="nil"/>
              <w:left w:val="nil"/>
              <w:right w:val="nil"/>
            </w:tcBorders>
          </w:tcPr>
          <w:p w14:paraId="2CFA9DA8" w14:textId="77777777" w:rsidR="00AD2554" w:rsidRPr="008D1D05" w:rsidRDefault="00AD2554" w:rsidP="00E9663B">
            <w:pPr>
              <w:keepLines/>
            </w:pPr>
            <w:r w:rsidRPr="008D1D05">
              <w:t>Refers to the property that data has when it has not been altered or destroyed, or a system has when it can perform its intended function in an unimpaired manner, free from deliberate or accidental unauthorised manipulation of the system. AS ISO 27799-2011</w:t>
            </w:r>
          </w:p>
        </w:tc>
      </w:tr>
      <w:tr w:rsidR="00AD2554" w:rsidRPr="000F2520" w14:paraId="21C8B03F" w14:textId="77777777" w:rsidTr="006D4E4E">
        <w:trPr>
          <w:cantSplit/>
        </w:trPr>
        <w:tc>
          <w:tcPr>
            <w:tcW w:w="2410" w:type="dxa"/>
            <w:tcBorders>
              <w:top w:val="nil"/>
              <w:left w:val="nil"/>
              <w:right w:val="nil"/>
            </w:tcBorders>
          </w:tcPr>
          <w:p w14:paraId="12DEFA3C" w14:textId="77777777" w:rsidR="00AD2554" w:rsidRPr="008D1D05" w:rsidRDefault="00AD2554" w:rsidP="00E9663B">
            <w:pPr>
              <w:keepLines/>
            </w:pPr>
            <w:r w:rsidRPr="008D1D05">
              <w:t>NEHTA</w:t>
            </w:r>
          </w:p>
        </w:tc>
        <w:tc>
          <w:tcPr>
            <w:tcW w:w="7115" w:type="dxa"/>
            <w:tcBorders>
              <w:top w:val="nil"/>
              <w:left w:val="nil"/>
              <w:right w:val="nil"/>
            </w:tcBorders>
          </w:tcPr>
          <w:p w14:paraId="0F328FF0" w14:textId="77777777" w:rsidR="00AD2554" w:rsidRPr="008D1D05" w:rsidRDefault="00AD2554" w:rsidP="00E9663B">
            <w:pPr>
              <w:keepLines/>
            </w:pPr>
            <w:r w:rsidRPr="008D1D05">
              <w:t>National eHealth Transition Authority.</w:t>
            </w:r>
          </w:p>
        </w:tc>
      </w:tr>
      <w:tr w:rsidR="00AD2554" w:rsidRPr="000F2520" w14:paraId="5750D235" w14:textId="77777777" w:rsidTr="006D4E4E">
        <w:trPr>
          <w:cantSplit/>
        </w:trPr>
        <w:tc>
          <w:tcPr>
            <w:tcW w:w="2410" w:type="dxa"/>
            <w:tcBorders>
              <w:top w:val="nil"/>
              <w:left w:val="nil"/>
              <w:right w:val="nil"/>
            </w:tcBorders>
          </w:tcPr>
          <w:p w14:paraId="2B1E345C" w14:textId="77777777" w:rsidR="00AD2554" w:rsidRPr="008D1D05" w:rsidRDefault="00AD2554" w:rsidP="00E9663B">
            <w:pPr>
              <w:keepLines/>
            </w:pPr>
            <w:r w:rsidRPr="008D1D05">
              <w:t>NESAF</w:t>
            </w:r>
          </w:p>
        </w:tc>
        <w:tc>
          <w:tcPr>
            <w:tcW w:w="7115" w:type="dxa"/>
            <w:tcBorders>
              <w:top w:val="nil"/>
              <w:left w:val="nil"/>
              <w:right w:val="nil"/>
            </w:tcBorders>
          </w:tcPr>
          <w:p w14:paraId="40CB6E3C" w14:textId="77777777" w:rsidR="00AD2554" w:rsidRPr="008D1D05" w:rsidRDefault="00AD2554" w:rsidP="00E9663B">
            <w:pPr>
              <w:keepLines/>
            </w:pPr>
            <w:r w:rsidRPr="008D1D05">
              <w:t>National E-Health Security and Access Guideline.</w:t>
            </w:r>
          </w:p>
        </w:tc>
      </w:tr>
      <w:tr w:rsidR="00AD2554" w:rsidRPr="000F2520" w14:paraId="15F0B428" w14:textId="77777777" w:rsidTr="006D4E4E">
        <w:trPr>
          <w:cantSplit/>
        </w:trPr>
        <w:tc>
          <w:tcPr>
            <w:tcW w:w="2410" w:type="dxa"/>
            <w:tcBorders>
              <w:top w:val="nil"/>
              <w:left w:val="nil"/>
              <w:right w:val="nil"/>
            </w:tcBorders>
          </w:tcPr>
          <w:p w14:paraId="529D0FFF" w14:textId="77777777" w:rsidR="00AD2554" w:rsidRPr="008D1D05" w:rsidRDefault="00AD2554" w:rsidP="00E9663B">
            <w:pPr>
              <w:keepLines/>
            </w:pPr>
            <w:r w:rsidRPr="008D1D05">
              <w:t>Malicious code</w:t>
            </w:r>
          </w:p>
        </w:tc>
        <w:tc>
          <w:tcPr>
            <w:tcW w:w="7115" w:type="dxa"/>
            <w:tcBorders>
              <w:top w:val="nil"/>
              <w:left w:val="nil"/>
              <w:right w:val="nil"/>
            </w:tcBorders>
          </w:tcPr>
          <w:p w14:paraId="6E7B942F" w14:textId="77777777" w:rsidR="00AD2554" w:rsidRPr="008D1D05" w:rsidRDefault="00AD2554" w:rsidP="00E9663B">
            <w:pPr>
              <w:keepLines/>
            </w:pPr>
            <w:r w:rsidRPr="008D1D05">
              <w:t>Programs such as viruses and worms designed to exploit weaknesses in computer software and replicate and/or attach themselves to other software programs on a computer or a network.</w:t>
            </w:r>
          </w:p>
        </w:tc>
      </w:tr>
      <w:tr w:rsidR="00AD2554" w:rsidRPr="000F2520" w14:paraId="55B2C07A" w14:textId="77777777" w:rsidTr="006D4E4E">
        <w:trPr>
          <w:cantSplit/>
        </w:trPr>
        <w:tc>
          <w:tcPr>
            <w:tcW w:w="2410" w:type="dxa"/>
            <w:tcBorders>
              <w:top w:val="nil"/>
              <w:left w:val="nil"/>
              <w:right w:val="nil"/>
            </w:tcBorders>
          </w:tcPr>
          <w:p w14:paraId="4E3C175B" w14:textId="77777777" w:rsidR="00AD2554" w:rsidRPr="008D1D05" w:rsidRDefault="00AD2554" w:rsidP="00E9663B">
            <w:pPr>
              <w:keepLines/>
            </w:pPr>
            <w:r w:rsidRPr="008D1D05">
              <w:t>Personal health information</w:t>
            </w:r>
          </w:p>
        </w:tc>
        <w:tc>
          <w:tcPr>
            <w:tcW w:w="7115" w:type="dxa"/>
            <w:tcBorders>
              <w:top w:val="nil"/>
              <w:left w:val="nil"/>
              <w:right w:val="nil"/>
            </w:tcBorders>
          </w:tcPr>
          <w:p w14:paraId="7258DA11" w14:textId="77777777" w:rsidR="00AD2554" w:rsidRPr="008D1D05" w:rsidRDefault="00AD2554" w:rsidP="00E9663B">
            <w:pPr>
              <w:keepLines/>
            </w:pPr>
            <w:r w:rsidRPr="008D1D05">
              <w:t>Information about an identifiable person which relates to the physical or mental health of the individual or to provision of health services to the individual. AS ISO 27799-2011</w:t>
            </w:r>
          </w:p>
        </w:tc>
      </w:tr>
      <w:tr w:rsidR="00AD2554" w:rsidRPr="000F2520" w14:paraId="67F8EB10" w14:textId="77777777" w:rsidTr="006D4E4E">
        <w:trPr>
          <w:cantSplit/>
        </w:trPr>
        <w:tc>
          <w:tcPr>
            <w:tcW w:w="2410" w:type="dxa"/>
            <w:tcBorders>
              <w:top w:val="nil"/>
              <w:left w:val="nil"/>
              <w:right w:val="nil"/>
            </w:tcBorders>
          </w:tcPr>
          <w:p w14:paraId="458EDD5D" w14:textId="77777777" w:rsidR="00AD2554" w:rsidRPr="008D1D05" w:rsidRDefault="00AD2554" w:rsidP="00E9663B">
            <w:pPr>
              <w:keepLines/>
            </w:pPr>
            <w:r w:rsidRPr="008D1D05">
              <w:t>Register</w:t>
            </w:r>
          </w:p>
        </w:tc>
        <w:tc>
          <w:tcPr>
            <w:tcW w:w="7115" w:type="dxa"/>
            <w:tcBorders>
              <w:top w:val="nil"/>
              <w:left w:val="nil"/>
              <w:right w:val="nil"/>
            </w:tcBorders>
          </w:tcPr>
          <w:p w14:paraId="14CF18D9" w14:textId="77777777" w:rsidR="00AD2554" w:rsidRPr="008D1D05" w:rsidRDefault="00AD2554" w:rsidP="00E9663B">
            <w:pPr>
              <w:keepLines/>
            </w:pPr>
            <w:r w:rsidRPr="008D1D05">
              <w:t>The file of data concerning all cases of a particular disease or other health-relevant condition in a defined population such that the cases can be related to a population base. With this information, incidence rates can be calculated. If the cases are followed up, information on remission, exacerbation, prevalence, and survival can also be obtained.</w:t>
            </w:r>
          </w:p>
        </w:tc>
      </w:tr>
      <w:tr w:rsidR="00AD2554" w:rsidRPr="000F2520" w14:paraId="74A56483" w14:textId="77777777" w:rsidTr="006D4E4E">
        <w:trPr>
          <w:cantSplit/>
        </w:trPr>
        <w:tc>
          <w:tcPr>
            <w:tcW w:w="2410" w:type="dxa"/>
            <w:tcBorders>
              <w:top w:val="nil"/>
              <w:left w:val="nil"/>
              <w:right w:val="nil"/>
            </w:tcBorders>
          </w:tcPr>
          <w:p w14:paraId="535EA16C" w14:textId="77777777" w:rsidR="00AD2554" w:rsidRPr="008D1D05" w:rsidRDefault="00AD2554" w:rsidP="00E9663B">
            <w:pPr>
              <w:keepLines/>
            </w:pPr>
            <w:r w:rsidRPr="008D1D05">
              <w:lastRenderedPageBreak/>
              <w:t>Registration</w:t>
            </w:r>
          </w:p>
        </w:tc>
        <w:tc>
          <w:tcPr>
            <w:tcW w:w="7115" w:type="dxa"/>
            <w:tcBorders>
              <w:top w:val="nil"/>
              <w:left w:val="nil"/>
              <w:right w:val="nil"/>
            </w:tcBorders>
          </w:tcPr>
          <w:p w14:paraId="7063998D" w14:textId="77777777" w:rsidR="00AD2554" w:rsidRPr="008D1D05" w:rsidRDefault="00AD2554" w:rsidP="00E9663B">
            <w:pPr>
              <w:keepLines/>
            </w:pPr>
            <w:r w:rsidRPr="008D1D05">
              <w:t>The system of ongoing registration for individuals entered into a register.</w:t>
            </w:r>
          </w:p>
          <w:p w14:paraId="3806B6F3" w14:textId="77777777" w:rsidR="00AD2554" w:rsidRPr="008D1D05" w:rsidRDefault="00AD2554" w:rsidP="00E9663B">
            <w:pPr>
              <w:keepLines/>
            </w:pPr>
            <w:proofErr w:type="gramStart"/>
            <w:r w:rsidRPr="008D1D05">
              <w:t>For the purpose of</w:t>
            </w:r>
            <w:proofErr w:type="gramEnd"/>
            <w:r w:rsidRPr="008D1D05">
              <w:t xml:space="preserve"> this document, the functions performed by a CQR are defined in </w:t>
            </w:r>
            <w:r w:rsidRPr="008D1D05">
              <w:fldChar w:fldCharType="begin"/>
            </w:r>
            <w:r w:rsidRPr="008D1D05">
              <w:instrText xml:space="preserve"> REF _Ref320020462 \h </w:instrText>
            </w:r>
            <w:r>
              <w:instrText xml:space="preserve"> \* MERGEFORMAT </w:instrText>
            </w:r>
            <w:r w:rsidRPr="008D1D05">
              <w:fldChar w:fldCharType="separate"/>
            </w:r>
            <w:r>
              <w:rPr>
                <w:b/>
                <w:bCs/>
                <w:lang w:val="en-GB"/>
              </w:rPr>
              <w:t>Error! Reference source not found.</w:t>
            </w:r>
            <w:r w:rsidRPr="008D1D05">
              <w:fldChar w:fldCharType="end"/>
            </w:r>
            <w:r w:rsidRPr="008D1D05">
              <w:t xml:space="preserve"> in </w:t>
            </w:r>
            <w:r w:rsidRPr="008D1D05">
              <w:fldChar w:fldCharType="begin"/>
            </w:r>
            <w:r w:rsidRPr="008D1D05">
              <w:instrText xml:space="preserve"> REF _Ref320000697 \r \h </w:instrText>
            </w:r>
            <w:r>
              <w:instrText xml:space="preserve"> \* MERGEFORMAT </w:instrText>
            </w:r>
            <w:r w:rsidRPr="008D1D05">
              <w:fldChar w:fldCharType="separate"/>
            </w:r>
            <w:r>
              <w:rPr>
                <w:b/>
                <w:bCs/>
                <w:lang w:val="en-GB"/>
              </w:rPr>
              <w:t>Error! Reference source not found.</w:t>
            </w:r>
            <w:r w:rsidRPr="008D1D05">
              <w:fldChar w:fldCharType="end"/>
            </w:r>
            <w:r w:rsidRPr="008D1D05">
              <w:t xml:space="preserve"> and include data custodianship, provider enrolment, data collection, data quality management and data analysis and outcome reporting.</w:t>
            </w:r>
          </w:p>
        </w:tc>
      </w:tr>
      <w:tr w:rsidR="00AD2554" w:rsidRPr="000F2520" w14:paraId="02595C6C" w14:textId="77777777" w:rsidTr="006D4E4E">
        <w:trPr>
          <w:cantSplit/>
        </w:trPr>
        <w:tc>
          <w:tcPr>
            <w:tcW w:w="2410" w:type="dxa"/>
            <w:tcBorders>
              <w:top w:val="nil"/>
              <w:left w:val="nil"/>
              <w:right w:val="nil"/>
            </w:tcBorders>
          </w:tcPr>
          <w:p w14:paraId="080DE670" w14:textId="77777777" w:rsidR="00AD2554" w:rsidRPr="008D1D05" w:rsidRDefault="00AD2554" w:rsidP="00E9663B">
            <w:pPr>
              <w:keepLines/>
            </w:pPr>
            <w:r w:rsidRPr="008D1D05">
              <w:t>Risk</w:t>
            </w:r>
          </w:p>
        </w:tc>
        <w:tc>
          <w:tcPr>
            <w:tcW w:w="7115" w:type="dxa"/>
            <w:tcBorders>
              <w:top w:val="nil"/>
              <w:left w:val="nil"/>
              <w:right w:val="nil"/>
            </w:tcBorders>
          </w:tcPr>
          <w:p w14:paraId="184DF915" w14:textId="77777777" w:rsidR="00AD2554" w:rsidRPr="008D1D05" w:rsidRDefault="00AD2554" w:rsidP="00E9663B">
            <w:pPr>
              <w:keepLines/>
            </w:pPr>
            <w:r w:rsidRPr="008D1D05">
              <w:t>The probability that a given threat will exploit a given vulnerability. [HB174-2003]</w:t>
            </w:r>
          </w:p>
        </w:tc>
      </w:tr>
      <w:tr w:rsidR="00AD2554" w:rsidRPr="000F2520" w14:paraId="47FD1784" w14:textId="77777777" w:rsidTr="006D4E4E">
        <w:trPr>
          <w:cantSplit/>
        </w:trPr>
        <w:tc>
          <w:tcPr>
            <w:tcW w:w="2410" w:type="dxa"/>
            <w:tcBorders>
              <w:top w:val="nil"/>
              <w:left w:val="nil"/>
              <w:right w:val="nil"/>
            </w:tcBorders>
          </w:tcPr>
          <w:p w14:paraId="393B3AC8" w14:textId="77777777" w:rsidR="00AD2554" w:rsidRPr="008D1D05" w:rsidRDefault="00AD2554" w:rsidP="00E9663B">
            <w:pPr>
              <w:keepLines/>
            </w:pPr>
            <w:r w:rsidRPr="008D1D05">
              <w:t>Risk assessment</w:t>
            </w:r>
          </w:p>
        </w:tc>
        <w:tc>
          <w:tcPr>
            <w:tcW w:w="7115" w:type="dxa"/>
            <w:tcBorders>
              <w:top w:val="nil"/>
              <w:left w:val="nil"/>
              <w:right w:val="nil"/>
            </w:tcBorders>
          </w:tcPr>
          <w:p w14:paraId="304AD031" w14:textId="77777777" w:rsidR="00AD2554" w:rsidRPr="008D1D05" w:rsidRDefault="00AD2554" w:rsidP="00E9663B">
            <w:pPr>
              <w:keepLines/>
            </w:pPr>
            <w:r w:rsidRPr="008D1D05">
              <w:t>The process of identifying risks to a business and determining the probability of</w:t>
            </w:r>
          </w:p>
          <w:p w14:paraId="4121C7DC" w14:textId="77777777" w:rsidR="00AD2554" w:rsidRPr="008D1D05" w:rsidRDefault="00AD2554" w:rsidP="00E9663B">
            <w:pPr>
              <w:keepLines/>
            </w:pPr>
            <w:r w:rsidRPr="008D1D05">
              <w:t>occurrence, the resulting impact, and identifying actions that would treat the risk.</w:t>
            </w:r>
          </w:p>
        </w:tc>
      </w:tr>
      <w:tr w:rsidR="00AD2554" w:rsidRPr="000F2520" w14:paraId="6E723536" w14:textId="77777777" w:rsidTr="006D4E4E">
        <w:trPr>
          <w:cantSplit/>
        </w:trPr>
        <w:tc>
          <w:tcPr>
            <w:tcW w:w="2410" w:type="dxa"/>
            <w:tcBorders>
              <w:top w:val="nil"/>
              <w:left w:val="nil"/>
              <w:right w:val="nil"/>
            </w:tcBorders>
          </w:tcPr>
          <w:p w14:paraId="537BFF90" w14:textId="77777777" w:rsidR="00AD2554" w:rsidRPr="008D1D05" w:rsidRDefault="00AD2554" w:rsidP="00E9663B">
            <w:pPr>
              <w:keepLines/>
            </w:pPr>
            <w:r w:rsidRPr="008D1D05">
              <w:t>Threat</w:t>
            </w:r>
          </w:p>
        </w:tc>
        <w:tc>
          <w:tcPr>
            <w:tcW w:w="7115" w:type="dxa"/>
            <w:tcBorders>
              <w:top w:val="nil"/>
              <w:left w:val="nil"/>
              <w:right w:val="nil"/>
            </w:tcBorders>
          </w:tcPr>
          <w:p w14:paraId="570824A2" w14:textId="77777777" w:rsidR="00AD2554" w:rsidRPr="008D1D05" w:rsidRDefault="00AD2554" w:rsidP="00E9663B">
            <w:pPr>
              <w:keepLines/>
            </w:pPr>
            <w:r w:rsidRPr="008D1D05">
              <w:t>An action or event that may result in a detrimental outcome to a system or information asset. [HB 174-2003]</w:t>
            </w:r>
          </w:p>
        </w:tc>
      </w:tr>
      <w:tr w:rsidR="00AD2554" w:rsidRPr="000F2520" w14:paraId="088E9C5A" w14:textId="77777777" w:rsidTr="006D4E4E">
        <w:trPr>
          <w:cantSplit/>
        </w:trPr>
        <w:tc>
          <w:tcPr>
            <w:tcW w:w="2410" w:type="dxa"/>
            <w:tcBorders>
              <w:top w:val="nil"/>
              <w:left w:val="nil"/>
              <w:right w:val="nil"/>
            </w:tcBorders>
          </w:tcPr>
          <w:p w14:paraId="2E705B12" w14:textId="77777777" w:rsidR="00AD2554" w:rsidRPr="008D1D05" w:rsidRDefault="00AD2554" w:rsidP="00E9663B">
            <w:pPr>
              <w:keepLines/>
            </w:pPr>
            <w:r w:rsidRPr="008D1D05">
              <w:t>Vulnerability</w:t>
            </w:r>
          </w:p>
        </w:tc>
        <w:tc>
          <w:tcPr>
            <w:tcW w:w="7115" w:type="dxa"/>
            <w:tcBorders>
              <w:top w:val="nil"/>
              <w:left w:val="nil"/>
              <w:right w:val="nil"/>
            </w:tcBorders>
          </w:tcPr>
          <w:p w14:paraId="27627E28" w14:textId="77777777" w:rsidR="00AD2554" w:rsidRPr="008D1D05" w:rsidRDefault="00AD2554" w:rsidP="00E9663B">
            <w:pPr>
              <w:keepLines/>
            </w:pPr>
            <w:r w:rsidRPr="008D1D05">
              <w:t>A weakness that can be exploited that may cause damage to a system or information assets. [HB 174-2003]</w:t>
            </w:r>
          </w:p>
        </w:tc>
      </w:tr>
    </w:tbl>
    <w:p w14:paraId="6210D7AC" w14:textId="7D5AA16F" w:rsidR="006D4E4E" w:rsidRDefault="006D4E4E" w:rsidP="00AD2554"/>
    <w:p w14:paraId="18F012DE" w14:textId="77777777" w:rsidR="006D4E4E" w:rsidRDefault="006D4E4E">
      <w:pPr>
        <w:spacing w:after="0" w:line="240" w:lineRule="auto"/>
      </w:pPr>
      <w:r>
        <w:br w:type="page"/>
      </w:r>
    </w:p>
    <w:p w14:paraId="0463A26B" w14:textId="77777777" w:rsidR="00AD2554" w:rsidRPr="000F2520" w:rsidRDefault="00AD2554" w:rsidP="00AD2554"/>
    <w:p w14:paraId="3B2EDD6B" w14:textId="240A1375" w:rsidR="00AD2554" w:rsidRPr="000F2520" w:rsidRDefault="00AD2554" w:rsidP="00AD2554">
      <w:pPr>
        <w:pStyle w:val="Heading1"/>
        <w:numPr>
          <w:ilvl w:val="0"/>
          <w:numId w:val="21"/>
        </w:numPr>
        <w:tabs>
          <w:tab w:val="clear" w:pos="1276"/>
          <w:tab w:val="num" w:pos="783"/>
        </w:tabs>
        <w:ind w:left="783" w:hanging="360"/>
      </w:pPr>
      <w:bookmarkStart w:id="136" w:name="_Toc106613960"/>
      <w:bookmarkEnd w:id="3"/>
      <w:r>
        <w:t>References</w:t>
      </w:r>
      <w:bookmarkEnd w:id="13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9" w:type="dxa"/>
        </w:tblCellMar>
        <w:tblLook w:val="00A0" w:firstRow="1" w:lastRow="0" w:firstColumn="1" w:lastColumn="0" w:noHBand="0" w:noVBand="0"/>
      </w:tblPr>
      <w:tblGrid>
        <w:gridCol w:w="1532"/>
        <w:gridCol w:w="5272"/>
        <w:gridCol w:w="2721"/>
      </w:tblGrid>
      <w:tr w:rsidR="00AD2554" w:rsidRPr="000F2520" w14:paraId="62986B5A" w14:textId="77777777" w:rsidTr="00E9663B">
        <w:trPr>
          <w:tblHeader/>
        </w:trPr>
        <w:tc>
          <w:tcPr>
            <w:tcW w:w="1532" w:type="dxa"/>
            <w:tcBorders>
              <w:top w:val="nil"/>
              <w:left w:val="nil"/>
              <w:bottom w:val="single" w:sz="6" w:space="0" w:color="000000"/>
              <w:right w:val="nil"/>
            </w:tcBorders>
            <w:shd w:val="clear" w:color="auto" w:fill="000000"/>
          </w:tcPr>
          <w:p w14:paraId="0FF115FC" w14:textId="77777777" w:rsidR="00AD2554" w:rsidRPr="008D1D05" w:rsidRDefault="00AD2554" w:rsidP="00E9663B">
            <w:pPr>
              <w:keepLines/>
              <w:rPr>
                <w:b/>
                <w:bCs/>
              </w:rPr>
            </w:pPr>
            <w:r>
              <w:rPr>
                <w:b/>
                <w:bCs/>
              </w:rPr>
              <w:t>Tag</w:t>
            </w:r>
          </w:p>
        </w:tc>
        <w:tc>
          <w:tcPr>
            <w:tcW w:w="5272" w:type="dxa"/>
            <w:tcBorders>
              <w:bottom w:val="single" w:sz="6" w:space="0" w:color="000000"/>
            </w:tcBorders>
            <w:shd w:val="clear" w:color="auto" w:fill="000000"/>
          </w:tcPr>
          <w:p w14:paraId="2EE51C4B" w14:textId="77777777" w:rsidR="00AD2554" w:rsidRPr="008D1D05" w:rsidRDefault="00AD2554" w:rsidP="00E9663B">
            <w:pPr>
              <w:keepLines/>
              <w:rPr>
                <w:b/>
                <w:bCs/>
              </w:rPr>
            </w:pPr>
            <w:r>
              <w:rPr>
                <w:b/>
                <w:bCs/>
              </w:rPr>
              <w:t>Name</w:t>
            </w:r>
          </w:p>
        </w:tc>
        <w:tc>
          <w:tcPr>
            <w:tcW w:w="2721" w:type="dxa"/>
            <w:tcBorders>
              <w:bottom w:val="single" w:sz="6" w:space="0" w:color="000000"/>
            </w:tcBorders>
            <w:shd w:val="clear" w:color="auto" w:fill="000000"/>
          </w:tcPr>
          <w:p w14:paraId="267B487B" w14:textId="77777777" w:rsidR="00AD2554" w:rsidRPr="008D1D05" w:rsidRDefault="00AD2554" w:rsidP="00E9663B">
            <w:pPr>
              <w:keepLines/>
              <w:rPr>
                <w:b/>
                <w:bCs/>
              </w:rPr>
            </w:pPr>
            <w:r>
              <w:rPr>
                <w:b/>
                <w:bCs/>
              </w:rPr>
              <w:t>Version</w:t>
            </w:r>
          </w:p>
        </w:tc>
      </w:tr>
      <w:tr w:rsidR="00AD2554" w:rsidRPr="000F2520" w14:paraId="0E7409A4" w14:textId="77777777" w:rsidTr="00E9663B">
        <w:trPr>
          <w:cantSplit/>
        </w:trPr>
        <w:tc>
          <w:tcPr>
            <w:tcW w:w="1532" w:type="dxa"/>
            <w:tcBorders>
              <w:top w:val="nil"/>
              <w:left w:val="nil"/>
              <w:bottom w:val="nil"/>
              <w:right w:val="nil"/>
            </w:tcBorders>
          </w:tcPr>
          <w:p w14:paraId="0C5B3F47" w14:textId="77777777" w:rsidR="00AD2554" w:rsidRPr="008D1D05" w:rsidRDefault="00AD2554" w:rsidP="00E9663B">
            <w:pPr>
              <w:keepLines/>
            </w:pPr>
            <w:r>
              <w:t>[RACGP1]</w:t>
            </w:r>
          </w:p>
        </w:tc>
        <w:tc>
          <w:tcPr>
            <w:tcW w:w="5272" w:type="dxa"/>
            <w:tcBorders>
              <w:top w:val="nil"/>
              <w:left w:val="nil"/>
              <w:bottom w:val="nil"/>
              <w:right w:val="nil"/>
            </w:tcBorders>
          </w:tcPr>
          <w:p w14:paraId="239749A2" w14:textId="1A7F30DC" w:rsidR="00AD2554" w:rsidRPr="008D1D05" w:rsidRDefault="00AD2554" w:rsidP="00E9663B">
            <w:pPr>
              <w:keepLines/>
            </w:pPr>
            <w:r>
              <w:t>RACGP Computer and Information Security Standard</w:t>
            </w:r>
            <w:r w:rsidR="006D4E4E">
              <w:t xml:space="preserve"> </w:t>
            </w:r>
            <w:hyperlink r:id="rId65" w:history="1">
              <w:r w:rsidR="006D4E4E" w:rsidRPr="002152C4">
                <w:rPr>
                  <w:rStyle w:val="Hyperlink"/>
                  <w:rFonts w:cs="Arial"/>
                </w:rPr>
                <w:t>https://www.racgp.org.au/FSDEDEV/media/documents/Running%20a%20practice/Practice%20standards/Computer-and-information-security.pdf</w:t>
              </w:r>
            </w:hyperlink>
          </w:p>
        </w:tc>
        <w:tc>
          <w:tcPr>
            <w:tcW w:w="2721" w:type="dxa"/>
            <w:tcBorders>
              <w:top w:val="nil"/>
              <w:left w:val="nil"/>
              <w:bottom w:val="nil"/>
              <w:right w:val="nil"/>
            </w:tcBorders>
          </w:tcPr>
          <w:p w14:paraId="7DF08039" w14:textId="77777777" w:rsidR="00AD2554" w:rsidRPr="008D1D05" w:rsidRDefault="00AD2554" w:rsidP="00E9663B">
            <w:pPr>
              <w:keepLines/>
            </w:pPr>
            <w:r>
              <w:t>2</w:t>
            </w:r>
            <w:r w:rsidRPr="009044A1">
              <w:rPr>
                <w:vertAlign w:val="superscript"/>
              </w:rPr>
              <w:t>nd</w:t>
            </w:r>
            <w:r>
              <w:t xml:space="preserve"> Edition</w:t>
            </w:r>
          </w:p>
        </w:tc>
      </w:tr>
      <w:tr w:rsidR="00AD2554" w:rsidRPr="000F2520" w14:paraId="48A2680A" w14:textId="77777777" w:rsidTr="00E9663B">
        <w:trPr>
          <w:cantSplit/>
        </w:trPr>
        <w:tc>
          <w:tcPr>
            <w:tcW w:w="1532" w:type="dxa"/>
            <w:tcBorders>
              <w:top w:val="nil"/>
              <w:left w:val="nil"/>
              <w:bottom w:val="nil"/>
              <w:right w:val="nil"/>
            </w:tcBorders>
          </w:tcPr>
          <w:p w14:paraId="14A280AB" w14:textId="77777777" w:rsidR="00AD2554" w:rsidRDefault="00AD2554" w:rsidP="00E9663B">
            <w:pPr>
              <w:keepLines/>
            </w:pPr>
            <w:r w:rsidRPr="008D1D05">
              <w:t>[HB174-2003]</w:t>
            </w:r>
          </w:p>
        </w:tc>
        <w:tc>
          <w:tcPr>
            <w:tcW w:w="5272" w:type="dxa"/>
            <w:tcBorders>
              <w:top w:val="nil"/>
              <w:left w:val="nil"/>
              <w:bottom w:val="nil"/>
              <w:right w:val="nil"/>
            </w:tcBorders>
          </w:tcPr>
          <w:p w14:paraId="392EDA6B" w14:textId="77777777" w:rsidR="00AD2554" w:rsidRDefault="00AD2554" w:rsidP="00E9663B">
            <w:pPr>
              <w:keepLines/>
            </w:pPr>
            <w:r>
              <w:t>Information Security Handbook for Healthcare</w:t>
            </w:r>
          </w:p>
          <w:p w14:paraId="557DFA7C" w14:textId="77777777" w:rsidR="00AD2554" w:rsidRDefault="00AD2554" w:rsidP="00E9663B">
            <w:pPr>
              <w:keepLines/>
            </w:pPr>
            <w:r w:rsidRPr="00243EAE">
              <w:t>https://www.saiglobal.com/PDFTemp/Previews/OSH/as/misc/handbook/HB174.pdf</w:t>
            </w:r>
          </w:p>
        </w:tc>
        <w:tc>
          <w:tcPr>
            <w:tcW w:w="2721" w:type="dxa"/>
            <w:tcBorders>
              <w:top w:val="nil"/>
              <w:left w:val="nil"/>
              <w:bottom w:val="nil"/>
              <w:right w:val="nil"/>
            </w:tcBorders>
          </w:tcPr>
          <w:p w14:paraId="5CFF490D" w14:textId="77777777" w:rsidR="00AD2554" w:rsidRDefault="00AD2554" w:rsidP="00E9663B">
            <w:pPr>
              <w:keepLines/>
            </w:pPr>
            <w:r>
              <w:t>174-2003</w:t>
            </w:r>
          </w:p>
        </w:tc>
      </w:tr>
      <w:tr w:rsidR="00AD2554" w:rsidRPr="000F2520" w14:paraId="273D9F40" w14:textId="77777777" w:rsidTr="00E9663B">
        <w:trPr>
          <w:cantSplit/>
        </w:trPr>
        <w:tc>
          <w:tcPr>
            <w:tcW w:w="1532" w:type="dxa"/>
            <w:tcBorders>
              <w:top w:val="nil"/>
              <w:left w:val="nil"/>
              <w:right w:val="nil"/>
            </w:tcBorders>
          </w:tcPr>
          <w:p w14:paraId="197E2C30" w14:textId="77777777" w:rsidR="00AD2554" w:rsidRPr="008D1D05" w:rsidRDefault="00AD2554" w:rsidP="00E9663B">
            <w:pPr>
              <w:keepLines/>
            </w:pPr>
            <w:r w:rsidRPr="008D1D05">
              <w:t>[NESAF; 27799-2011]</w:t>
            </w:r>
          </w:p>
        </w:tc>
        <w:tc>
          <w:tcPr>
            <w:tcW w:w="5272" w:type="dxa"/>
            <w:tcBorders>
              <w:top w:val="nil"/>
              <w:left w:val="nil"/>
              <w:right w:val="nil"/>
            </w:tcBorders>
          </w:tcPr>
          <w:p w14:paraId="1871FE23" w14:textId="77777777" w:rsidR="00AD2554" w:rsidRPr="00243EAE" w:rsidRDefault="00AD2554" w:rsidP="00E9663B">
            <w:pPr>
              <w:keepLines/>
            </w:pPr>
            <w:r w:rsidRPr="00243EAE">
              <w:t xml:space="preserve">Information security management in health using ISO/IEC 27002 </w:t>
            </w:r>
          </w:p>
          <w:p w14:paraId="682F503E" w14:textId="77777777" w:rsidR="00AD2554" w:rsidRDefault="00AD2554" w:rsidP="00E9663B">
            <w:pPr>
              <w:keepLines/>
            </w:pPr>
          </w:p>
        </w:tc>
        <w:tc>
          <w:tcPr>
            <w:tcW w:w="2721" w:type="dxa"/>
            <w:tcBorders>
              <w:top w:val="nil"/>
              <w:left w:val="nil"/>
              <w:right w:val="nil"/>
            </w:tcBorders>
          </w:tcPr>
          <w:p w14:paraId="7A2637F5" w14:textId="77777777" w:rsidR="00AD2554" w:rsidRDefault="00AD2554" w:rsidP="00E9663B">
            <w:pPr>
              <w:keepLines/>
            </w:pPr>
            <w:r>
              <w:t>2011</w:t>
            </w:r>
          </w:p>
        </w:tc>
      </w:tr>
    </w:tbl>
    <w:p w14:paraId="02132DCD" w14:textId="77777777" w:rsidR="00AD2554" w:rsidRPr="000F2520" w:rsidRDefault="00AD2554" w:rsidP="00AD2554">
      <w:pPr>
        <w:jc w:val="center"/>
      </w:pPr>
    </w:p>
    <w:p w14:paraId="34D0B2E4" w14:textId="07E80B76" w:rsidR="005E4F90" w:rsidRDefault="005E4F90">
      <w:pPr>
        <w:spacing w:after="0" w:line="240" w:lineRule="auto"/>
        <w:rPr>
          <w:rFonts w:cs="Arial"/>
          <w:szCs w:val="22"/>
        </w:rPr>
      </w:pPr>
      <w:r>
        <w:rPr>
          <w:rFonts w:cs="Arial"/>
          <w:szCs w:val="22"/>
        </w:rPr>
        <w:br w:type="page"/>
      </w:r>
    </w:p>
    <w:p w14:paraId="6C0C67DC" w14:textId="1789CA8A" w:rsidR="004E2091" w:rsidRPr="00937684" w:rsidRDefault="005E4F90" w:rsidP="00917048">
      <w:pPr>
        <w:spacing w:after="120" w:line="240" w:lineRule="auto"/>
        <w:rPr>
          <w:rFonts w:cs="Arial"/>
          <w:szCs w:val="22"/>
        </w:rPr>
      </w:pPr>
      <w:r>
        <w:rPr>
          <w:rFonts w:cs="Arial"/>
          <w:noProof/>
          <w:szCs w:val="22"/>
        </w:rPr>
        <w:lastRenderedPageBreak/>
        <w:drawing>
          <wp:anchor distT="0" distB="0" distL="114300" distR="114300" simplePos="0" relativeHeight="251674624" behindDoc="0" locked="0" layoutInCell="1" allowOverlap="1" wp14:anchorId="1C2BC08A" wp14:editId="425C6F09">
            <wp:simplePos x="0" y="0"/>
            <wp:positionH relativeFrom="column">
              <wp:posOffset>-1048500</wp:posOffset>
            </wp:positionH>
            <wp:positionV relativeFrom="paragraph">
              <wp:posOffset>-881380</wp:posOffset>
            </wp:positionV>
            <wp:extent cx="7557664" cy="10690168"/>
            <wp:effectExtent l="0" t="0" r="571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557664" cy="10690168"/>
                    </a:xfrm>
                    <a:prstGeom prst="rect">
                      <a:avLst/>
                    </a:prstGeom>
                  </pic:spPr>
                </pic:pic>
              </a:graphicData>
            </a:graphic>
            <wp14:sizeRelH relativeFrom="page">
              <wp14:pctWidth>0</wp14:pctWidth>
            </wp14:sizeRelH>
            <wp14:sizeRelV relativeFrom="page">
              <wp14:pctHeight>0</wp14:pctHeight>
            </wp14:sizeRelV>
          </wp:anchor>
        </w:drawing>
      </w:r>
    </w:p>
    <w:sectPr w:rsidR="004E2091" w:rsidRPr="00937684" w:rsidSect="00514A54">
      <w:pgSz w:w="11906" w:h="16838" w:code="9"/>
      <w:pgMar w:top="1219" w:right="726" w:bottom="1086" w:left="165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9FB0E" w14:textId="77777777" w:rsidR="003F3AAA" w:rsidRDefault="003F3AAA">
      <w:r>
        <w:separator/>
      </w:r>
    </w:p>
  </w:endnote>
  <w:endnote w:type="continuationSeparator" w:id="0">
    <w:p w14:paraId="69DCB336" w14:textId="77777777" w:rsidR="003F3AAA" w:rsidRDefault="003F3AAA">
      <w:r>
        <w:continuationSeparator/>
      </w:r>
    </w:p>
  </w:endnote>
  <w:endnote w:type="continuationNotice" w:id="1">
    <w:p w14:paraId="2D677EB5" w14:textId="77777777" w:rsidR="003F3AAA" w:rsidRDefault="003F3A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Univers LightUltraCondensed">
    <w:altName w:val="Courier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useo Sans 300">
    <w:altName w:val="Times New Roman"/>
    <w:panose1 w:val="00000000000000000000"/>
    <w:charset w:val="00"/>
    <w:family w:val="modern"/>
    <w:notTrueType/>
    <w:pitch w:val="variable"/>
    <w:sig w:usb0="A00000AF" w:usb1="4000004A" w:usb2="00000000" w:usb3="00000000" w:csb0="00000093" w:csb1="00000000"/>
  </w:font>
  <w:font w:name="Times">
    <w:panose1 w:val="02020603050405020304"/>
    <w:charset w:val="00"/>
    <w:family w:val="auto"/>
    <w:pitch w:val="variable"/>
    <w:sig w:usb0="E00002FF" w:usb1="5000205A" w:usb2="00000000" w:usb3="00000000" w:csb0="0000019F" w:csb1="00000000"/>
  </w:font>
  <w:font w:name="Arial (W1)">
    <w:altName w:val="Arial"/>
    <w:charset w:val="00"/>
    <w:family w:val="swiss"/>
    <w:pitch w:val="variable"/>
    <w:sig w:usb0="20007A87" w:usb1="80000000" w:usb2="00000008"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8AF56" w14:textId="77777777" w:rsidR="00DD6E59" w:rsidRPr="007413CA" w:rsidRDefault="00DD6E59" w:rsidP="007413CA">
    <w:pPr>
      <w:pStyle w:val="Footer"/>
      <w:jc w:val="center"/>
      <w:rPr>
        <w:b/>
        <w:color w:val="808080"/>
        <w:sz w:val="16"/>
        <w:szCs w:val="16"/>
      </w:rPr>
    </w:pPr>
    <w:r w:rsidRPr="007413CA">
      <w:rPr>
        <w:b/>
        <w:color w:val="808080"/>
        <w:sz w:val="16"/>
        <w:szCs w:val="16"/>
      </w:rPr>
      <w:t xml:space="preserve">Page </w:t>
    </w:r>
    <w:r w:rsidRPr="007413CA">
      <w:rPr>
        <w:b/>
        <w:color w:val="808080"/>
        <w:sz w:val="16"/>
        <w:szCs w:val="16"/>
      </w:rPr>
      <w:fldChar w:fldCharType="begin"/>
    </w:r>
    <w:r w:rsidRPr="007413CA">
      <w:rPr>
        <w:b/>
        <w:color w:val="808080"/>
        <w:sz w:val="16"/>
        <w:szCs w:val="16"/>
      </w:rPr>
      <w:instrText xml:space="preserve"> PAGE </w:instrText>
    </w:r>
    <w:r w:rsidRPr="007413CA">
      <w:rPr>
        <w:b/>
        <w:color w:val="808080"/>
        <w:sz w:val="16"/>
        <w:szCs w:val="16"/>
      </w:rPr>
      <w:fldChar w:fldCharType="separate"/>
    </w:r>
    <w:r>
      <w:rPr>
        <w:b/>
        <w:noProof/>
        <w:color w:val="808080"/>
        <w:sz w:val="16"/>
        <w:szCs w:val="16"/>
      </w:rPr>
      <w:t>26</w:t>
    </w:r>
    <w:r w:rsidRPr="007413CA">
      <w:rPr>
        <w:b/>
        <w:color w:val="808080"/>
        <w:sz w:val="16"/>
        <w:szCs w:val="16"/>
      </w:rPr>
      <w:fldChar w:fldCharType="end"/>
    </w:r>
    <w:r w:rsidRPr="007413CA">
      <w:rPr>
        <w:b/>
        <w:color w:val="808080"/>
        <w:sz w:val="16"/>
        <w:szCs w:val="16"/>
      </w:rPr>
      <w:t xml:space="preserve"> of </w:t>
    </w:r>
    <w:r w:rsidRPr="007413CA">
      <w:rPr>
        <w:b/>
        <w:color w:val="808080"/>
        <w:sz w:val="16"/>
        <w:szCs w:val="16"/>
      </w:rPr>
      <w:fldChar w:fldCharType="begin"/>
    </w:r>
    <w:r w:rsidRPr="007413CA">
      <w:rPr>
        <w:b/>
        <w:color w:val="808080"/>
        <w:sz w:val="16"/>
        <w:szCs w:val="16"/>
      </w:rPr>
      <w:instrText xml:space="preserve"> NUMPAGES </w:instrText>
    </w:r>
    <w:r w:rsidRPr="007413CA">
      <w:rPr>
        <w:b/>
        <w:color w:val="808080"/>
        <w:sz w:val="16"/>
        <w:szCs w:val="16"/>
      </w:rPr>
      <w:fldChar w:fldCharType="separate"/>
    </w:r>
    <w:r>
      <w:rPr>
        <w:b/>
        <w:noProof/>
        <w:color w:val="808080"/>
        <w:sz w:val="16"/>
        <w:szCs w:val="16"/>
      </w:rPr>
      <w:t>26</w:t>
    </w:r>
    <w:r w:rsidRPr="007413CA">
      <w:rPr>
        <w:b/>
        <w:color w:val="80808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B4350" w14:textId="77777777" w:rsidR="00DD6E59" w:rsidRPr="007413CA" w:rsidRDefault="00DD6E59" w:rsidP="007413CA">
    <w:pPr>
      <w:pStyle w:val="Footer"/>
      <w:jc w:val="center"/>
      <w:rPr>
        <w:b/>
        <w:color w:val="808080"/>
        <w:sz w:val="16"/>
        <w:szCs w:val="16"/>
      </w:rPr>
    </w:pPr>
    <w:r w:rsidRPr="007413CA">
      <w:rPr>
        <w:b/>
        <w:color w:val="808080"/>
        <w:sz w:val="16"/>
        <w:szCs w:val="16"/>
      </w:rPr>
      <w:t xml:space="preserve">Page </w:t>
    </w:r>
    <w:r w:rsidRPr="007413CA">
      <w:rPr>
        <w:b/>
        <w:color w:val="808080"/>
        <w:sz w:val="16"/>
        <w:szCs w:val="16"/>
      </w:rPr>
      <w:fldChar w:fldCharType="begin"/>
    </w:r>
    <w:r w:rsidRPr="007413CA">
      <w:rPr>
        <w:b/>
        <w:color w:val="808080"/>
        <w:sz w:val="16"/>
        <w:szCs w:val="16"/>
      </w:rPr>
      <w:instrText xml:space="preserve"> PAGE </w:instrText>
    </w:r>
    <w:r w:rsidRPr="007413CA">
      <w:rPr>
        <w:b/>
        <w:color w:val="808080"/>
        <w:sz w:val="16"/>
        <w:szCs w:val="16"/>
      </w:rPr>
      <w:fldChar w:fldCharType="separate"/>
    </w:r>
    <w:r>
      <w:rPr>
        <w:b/>
        <w:noProof/>
        <w:color w:val="808080"/>
        <w:sz w:val="16"/>
        <w:szCs w:val="16"/>
      </w:rPr>
      <w:t>26</w:t>
    </w:r>
    <w:r w:rsidRPr="007413CA">
      <w:rPr>
        <w:b/>
        <w:color w:val="808080"/>
        <w:sz w:val="16"/>
        <w:szCs w:val="16"/>
      </w:rPr>
      <w:fldChar w:fldCharType="end"/>
    </w:r>
    <w:r w:rsidRPr="007413CA">
      <w:rPr>
        <w:b/>
        <w:color w:val="808080"/>
        <w:sz w:val="16"/>
        <w:szCs w:val="16"/>
      </w:rPr>
      <w:t xml:space="preserve"> of </w:t>
    </w:r>
    <w:r w:rsidRPr="007413CA">
      <w:rPr>
        <w:b/>
        <w:color w:val="808080"/>
        <w:sz w:val="16"/>
        <w:szCs w:val="16"/>
      </w:rPr>
      <w:fldChar w:fldCharType="begin"/>
    </w:r>
    <w:r w:rsidRPr="007413CA">
      <w:rPr>
        <w:b/>
        <w:color w:val="808080"/>
        <w:sz w:val="16"/>
        <w:szCs w:val="16"/>
      </w:rPr>
      <w:instrText xml:space="preserve"> NUMPAGES </w:instrText>
    </w:r>
    <w:r w:rsidRPr="007413CA">
      <w:rPr>
        <w:b/>
        <w:color w:val="808080"/>
        <w:sz w:val="16"/>
        <w:szCs w:val="16"/>
      </w:rPr>
      <w:fldChar w:fldCharType="separate"/>
    </w:r>
    <w:r>
      <w:rPr>
        <w:b/>
        <w:noProof/>
        <w:color w:val="808080"/>
        <w:sz w:val="16"/>
        <w:szCs w:val="16"/>
      </w:rPr>
      <w:t>26</w:t>
    </w:r>
    <w:r w:rsidRPr="007413CA">
      <w:rPr>
        <w:b/>
        <w:color w:val="80808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9743839"/>
      <w:docPartObj>
        <w:docPartGallery w:val="Page Numbers (Bottom of Page)"/>
        <w:docPartUnique/>
      </w:docPartObj>
    </w:sdtPr>
    <w:sdtEndPr>
      <w:rPr>
        <w:noProof/>
      </w:rPr>
    </w:sdtEndPr>
    <w:sdtContent>
      <w:p w14:paraId="74A29BEE" w14:textId="77777777" w:rsidR="00DD6E59" w:rsidRPr="009546CA" w:rsidRDefault="00DD6E59" w:rsidP="009546CA">
        <w:pPr>
          <w:pStyle w:val="Footer"/>
          <w:jc w:val="right"/>
        </w:pPr>
        <w:r>
          <w:fldChar w:fldCharType="begin"/>
        </w:r>
        <w:r>
          <w:instrText xml:space="preserve"> PAGE   \* MERGEFORMAT </w:instrText>
        </w:r>
        <w:r>
          <w:fldChar w:fldCharType="separate"/>
        </w:r>
        <w:r>
          <w:rPr>
            <w:noProof/>
          </w:rPr>
          <w:t>16</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25628" w14:textId="38D89359" w:rsidR="00DD6E59" w:rsidRPr="009F71E6" w:rsidRDefault="00DD6E59" w:rsidP="009F71E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4EEE6" w14:textId="77777777" w:rsidR="00DD6E59" w:rsidRDefault="00DD6E59" w:rsidP="00E9663B">
    <w:pPr>
      <w:pStyle w:val="Footer"/>
      <w:tabs>
        <w:tab w:val="center" w:pos="4536"/>
        <w:tab w:val="right" w:pos="8789"/>
        <w:tab w:val="right" w:pos="13467"/>
      </w:tabs>
    </w:pPr>
    <w:r>
      <w:tab/>
    </w:r>
    <w:r>
      <w:tab/>
    </w:r>
    <w:r>
      <w:fldChar w:fldCharType="begin"/>
    </w:r>
    <w:r>
      <w:instrText xml:space="preserve"> PAGE   \* MERGEFORMAT </w:instrText>
    </w:r>
    <w:r>
      <w:fldChar w:fldCharType="separate"/>
    </w:r>
    <w:r>
      <w:rPr>
        <w:noProof/>
      </w:rPr>
      <w:t>10</w:t>
    </w:r>
    <w:r>
      <w:fldChar w:fldCharType="end"/>
    </w:r>
    <w:r>
      <w:rPr>
        <w:noProof/>
      </w:rPr>
      <w:tab/>
    </w:r>
    <w:r>
      <w:rPr>
        <w:noProof/>
      </w:rPr>
      <w:tab/>
    </w:r>
  </w:p>
  <w:p w14:paraId="6A8DBB41" w14:textId="77777777" w:rsidR="00DD6E59" w:rsidRDefault="00DD6E59">
    <w:pPr>
      <w:pStyle w:val="Footer"/>
      <w:tabs>
        <w:tab w:val="center" w:pos="7371"/>
        <w:tab w:val="right" w:pos="13608"/>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B44D2" w14:textId="77777777" w:rsidR="00DD6E59" w:rsidRPr="00871A4D" w:rsidRDefault="00DD6E59" w:rsidP="00871A4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4F815" w14:textId="35EDFD3F" w:rsidR="00DD6E59" w:rsidRDefault="00DD6E59" w:rsidP="00E9663B">
    <w:pPr>
      <w:pStyle w:val="Footer"/>
      <w:tabs>
        <w:tab w:val="center" w:pos="7088"/>
        <w:tab w:val="right" w:pos="13467"/>
      </w:tabs>
    </w:pPr>
    <w:r>
      <w:tab/>
    </w:r>
    <w:r>
      <w:rPr>
        <w:noProof/>
      </w:rPr>
      <w:tab/>
    </w:r>
    <w:r>
      <w:fldChar w:fldCharType="begin"/>
    </w:r>
    <w:r>
      <w:instrText xml:space="preserve"> PAGE   \* MERGEFORMAT </w:instrText>
    </w:r>
    <w:r>
      <w:fldChar w:fldCharType="separate"/>
    </w:r>
    <w:r>
      <w:rPr>
        <w:noProof/>
      </w:rPr>
      <w:t>20</w:t>
    </w:r>
    <w:r>
      <w:fldChar w:fldCharType="end"/>
    </w:r>
  </w:p>
  <w:p w14:paraId="37AE4639" w14:textId="77777777" w:rsidR="00DD6E59" w:rsidRDefault="00DD6E59">
    <w:pPr>
      <w:pStyle w:val="Footer"/>
      <w:tabs>
        <w:tab w:val="center" w:pos="7371"/>
        <w:tab w:val="right" w:pos="13608"/>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77641" w14:textId="77777777" w:rsidR="00DD6E59" w:rsidRDefault="00DD6E59">
    <w:pPr>
      <w:pStyle w:val="Footer"/>
      <w:tabs>
        <w:tab w:val="center" w:pos="4395"/>
        <w:tab w:val="right" w:pos="8789"/>
        <w:tab w:val="right" w:pos="13467"/>
      </w:tabs>
    </w:pPr>
    <w:r>
      <w:tab/>
    </w:r>
    <w:r>
      <w:rPr>
        <w:noProof/>
      </w:rPr>
      <w:tab/>
    </w:r>
    <w:r>
      <w:fldChar w:fldCharType="begin"/>
    </w:r>
    <w:r>
      <w:instrText xml:space="preserve"> PAGE   \* MERGEFORMAT </w:instrText>
    </w:r>
    <w:r>
      <w:fldChar w:fldCharType="separate"/>
    </w:r>
    <w:r>
      <w:rPr>
        <w:noProof/>
      </w:rPr>
      <w:t>27</w:t>
    </w:r>
    <w:r>
      <w:fldChar w:fldCharType="end"/>
    </w:r>
  </w:p>
  <w:p w14:paraId="3AA02EAD" w14:textId="00A33B66" w:rsidR="00DD6E59" w:rsidRDefault="00DD6E59">
    <w:pPr>
      <w:pStyle w:val="Footer"/>
      <w:tabs>
        <w:tab w:val="center" w:pos="7371"/>
        <w:tab w:val="right" w:pos="13608"/>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BAD91" w14:textId="77777777" w:rsidR="00DD6E59" w:rsidRDefault="00DD6E59">
    <w:pPr>
      <w:pStyle w:val="Footer"/>
      <w:tabs>
        <w:tab w:val="center" w:pos="6946"/>
        <w:tab w:val="right" w:pos="13750"/>
      </w:tabs>
    </w:pPr>
    <w:r>
      <w:tab/>
    </w:r>
    <w:r>
      <w:rPr>
        <w:noProof/>
      </w:rPr>
      <w:tab/>
    </w:r>
    <w:r>
      <w:fldChar w:fldCharType="begin"/>
    </w:r>
    <w:r>
      <w:instrText xml:space="preserve"> PAGE   \* MERGEFORMAT </w:instrText>
    </w:r>
    <w:r>
      <w:fldChar w:fldCharType="separate"/>
    </w:r>
    <w:r>
      <w:rPr>
        <w:noProof/>
      </w:rPr>
      <w:t>58</w:t>
    </w:r>
    <w:r>
      <w:fldChar w:fldCharType="end"/>
    </w:r>
  </w:p>
  <w:p w14:paraId="4FFE43DB" w14:textId="77777777" w:rsidR="00DD6E59" w:rsidRDefault="00DD6E59">
    <w:pPr>
      <w:pStyle w:val="Footer"/>
      <w:tabs>
        <w:tab w:val="right" w:pos="878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27362" w14:textId="77777777" w:rsidR="003F3AAA" w:rsidRDefault="003F3AAA">
      <w:r>
        <w:separator/>
      </w:r>
    </w:p>
  </w:footnote>
  <w:footnote w:type="continuationSeparator" w:id="0">
    <w:p w14:paraId="06A90FF3" w14:textId="77777777" w:rsidR="003F3AAA" w:rsidRDefault="003F3AAA">
      <w:r>
        <w:continuationSeparator/>
      </w:r>
    </w:p>
  </w:footnote>
  <w:footnote w:type="continuationNotice" w:id="1">
    <w:p w14:paraId="0418F707" w14:textId="77777777" w:rsidR="003F3AAA" w:rsidRDefault="003F3AAA">
      <w:pPr>
        <w:spacing w:after="0" w:line="240" w:lineRule="auto"/>
      </w:pPr>
    </w:p>
  </w:footnote>
  <w:footnote w:id="2">
    <w:p w14:paraId="4FA6C72B" w14:textId="77777777" w:rsidR="00DD6E59" w:rsidRDefault="00DD6E59" w:rsidP="00AD2554">
      <w:pPr>
        <w:pStyle w:val="FootnoteText"/>
      </w:pPr>
      <w:r>
        <w:rPr>
          <w:rStyle w:val="FootnoteReference"/>
        </w:rPr>
        <w:footnoteRef/>
      </w:r>
      <w:r>
        <w:t xml:space="preserve"> Australian Digital Health Agency. </w:t>
      </w:r>
      <w:r w:rsidRPr="005639AC">
        <w:rPr>
          <w:i/>
          <w:iCs/>
        </w:rPr>
        <w:t xml:space="preserve">National E-Health Security </w:t>
      </w:r>
      <w:r>
        <w:rPr>
          <w:i/>
          <w:iCs/>
        </w:rPr>
        <w:t>and Access Framework – v4.0</w:t>
      </w:r>
      <w:r>
        <w:t xml:space="preserve">. </w:t>
      </w:r>
    </w:p>
  </w:footnote>
  <w:footnote w:id="3">
    <w:p w14:paraId="4C33A60B" w14:textId="77777777" w:rsidR="00DD6E59" w:rsidRPr="002D0880" w:rsidRDefault="00DD6E59" w:rsidP="00AD2554">
      <w:pPr>
        <w:pStyle w:val="FootnoteText"/>
      </w:pPr>
      <w:r>
        <w:rPr>
          <w:rStyle w:val="FootnoteReference"/>
        </w:rPr>
        <w:footnoteRef/>
      </w:r>
      <w:r>
        <w:t xml:space="preserve"> </w:t>
      </w:r>
      <w:r w:rsidRPr="00E37011">
        <w:t>https://www.oaic.gov.au/privacy/the-privacy-act</w:t>
      </w:r>
    </w:p>
  </w:footnote>
  <w:footnote w:id="4">
    <w:p w14:paraId="7475E3A3" w14:textId="77777777" w:rsidR="00DD6E59" w:rsidRDefault="00DD6E59" w:rsidP="00AD2554">
      <w:pPr>
        <w:pStyle w:val="FootnoteText"/>
      </w:pPr>
      <w:r>
        <w:rPr>
          <w:rStyle w:val="FootnoteReference"/>
        </w:rPr>
        <w:footnoteRef/>
      </w:r>
      <w:r>
        <w:t xml:space="preserve"> </w:t>
      </w:r>
      <w:r>
        <w:rPr>
          <w:lang w:val="en-US"/>
        </w:rPr>
        <w:t xml:space="preserve">Source: </w:t>
      </w:r>
      <w:hyperlink r:id="rId1" w:history="1">
        <w:r w:rsidRPr="00D170F5">
          <w:rPr>
            <w:rStyle w:val="Hyperlink"/>
            <w:lang w:val="en-US"/>
          </w:rPr>
          <w:t>NESAF Business Blueprint, NEHTA 2011</w:t>
        </w:r>
      </w:hyperlink>
    </w:p>
  </w:footnote>
  <w:footnote w:id="5">
    <w:p w14:paraId="69AAD6C7" w14:textId="77777777" w:rsidR="00DD6E59" w:rsidRDefault="00DD6E59" w:rsidP="00AD2554">
      <w:pPr>
        <w:pStyle w:val="FootnoteText"/>
      </w:pPr>
      <w:r>
        <w:rPr>
          <w:rStyle w:val="FootnoteReference"/>
        </w:rPr>
        <w:footnoteRef/>
      </w:r>
      <w:r>
        <w:t xml:space="preserve"> </w:t>
      </w:r>
      <w:r w:rsidRPr="003F2911">
        <w:t>Prioritised list of clinical domains for clinical quality registry development: Final report https://www.safetyandquality.gov.au/publications-and-resources/resource-library/prioritised-list-clinical-domains-clinical-quality-registry-development-final-report</w:t>
      </w:r>
    </w:p>
  </w:footnote>
  <w:footnote w:id="6">
    <w:p w14:paraId="59FE8627" w14:textId="77777777" w:rsidR="00DD6E59" w:rsidRDefault="00DD6E59" w:rsidP="00AD2554">
      <w:pPr>
        <w:pStyle w:val="FootnoteText"/>
      </w:pPr>
      <w:r>
        <w:rPr>
          <w:rStyle w:val="FootnoteReference"/>
        </w:rPr>
        <w:footnoteRef/>
      </w:r>
      <w:r>
        <w:t xml:space="preserve"> The Commonwealth of Australia and each state and territory is a jurisdiction. </w:t>
      </w:r>
    </w:p>
  </w:footnote>
  <w:footnote w:id="7">
    <w:p w14:paraId="146D7BA9" w14:textId="77777777" w:rsidR="00DD6E59" w:rsidRDefault="00DD6E59" w:rsidP="00AD2554">
      <w:pPr>
        <w:pStyle w:val="FootnoteText"/>
      </w:pPr>
      <w:r>
        <w:rPr>
          <w:rStyle w:val="FootnoteReference"/>
        </w:rPr>
        <w:footnoteRef/>
      </w:r>
      <w:r>
        <w:t xml:space="preserve"> ASD is now </w:t>
      </w:r>
      <w:hyperlink r:id="rId2" w:history="1">
        <w:r w:rsidRPr="008442FB">
          <w:rPr>
            <w:rStyle w:val="Hyperlink"/>
          </w:rPr>
          <w:t>cyber.gov.au</w:t>
        </w:r>
      </w:hyperlink>
      <w:r>
        <w:t xml:space="preserve"> and the Australian Cyber Security Centre (ACSC)</w:t>
      </w:r>
    </w:p>
  </w:footnote>
  <w:footnote w:id="8">
    <w:p w14:paraId="472DAEAD" w14:textId="77777777" w:rsidR="00DD6E59" w:rsidRDefault="00DD6E59" w:rsidP="00AD2554">
      <w:pPr>
        <w:pStyle w:val="FootnoteText"/>
      </w:pPr>
      <w:r>
        <w:rPr>
          <w:rStyle w:val="FootnoteReference"/>
        </w:rPr>
        <w:footnoteRef/>
      </w:r>
      <w:r>
        <w:t xml:space="preserve"> Source: Section 2.1 of NESAF v4 - </w:t>
      </w:r>
      <w:hyperlink r:id="rId3" w:history="1">
        <w:r w:rsidRPr="00020664">
          <w:rPr>
            <w:rStyle w:val="Hyperlink"/>
          </w:rPr>
          <w:t>Framework Model and Controls v1.0</w:t>
        </w:r>
      </w:hyperlink>
    </w:p>
  </w:footnote>
  <w:footnote w:id="9">
    <w:p w14:paraId="3E930A19" w14:textId="77777777" w:rsidR="00DD6E59" w:rsidRDefault="00DD6E59" w:rsidP="00AD2554">
      <w:pPr>
        <w:pStyle w:val="FootnoteText"/>
      </w:pPr>
      <w:r>
        <w:rPr>
          <w:rStyle w:val="FootnoteReference"/>
        </w:rPr>
        <w:footnoteRef/>
      </w:r>
      <w:r>
        <w:t xml:space="preserve"> Source: Section 6.1 of NESAF v4 - </w:t>
      </w:r>
      <w:hyperlink r:id="rId4" w:history="1">
        <w:r w:rsidRPr="00020664">
          <w:rPr>
            <w:rStyle w:val="Hyperlink"/>
          </w:rPr>
          <w:t>Framework Model and Controls v1.0</w:t>
        </w:r>
      </w:hyperlink>
    </w:p>
  </w:footnote>
  <w:footnote w:id="10">
    <w:p w14:paraId="29F74676" w14:textId="77777777" w:rsidR="00DD6E59" w:rsidRDefault="00DD6E59" w:rsidP="00AD2554">
      <w:pPr>
        <w:pStyle w:val="FootnoteText"/>
      </w:pPr>
      <w:r>
        <w:rPr>
          <w:rStyle w:val="FootnoteReference"/>
        </w:rPr>
        <w:footnoteRef/>
      </w:r>
      <w:r>
        <w:t xml:space="preserve"> Source: Section 2.1 of NESAF v4 - </w:t>
      </w:r>
      <w:hyperlink r:id="rId5" w:history="1">
        <w:r w:rsidRPr="00020664">
          <w:rPr>
            <w:rStyle w:val="Hyperlink"/>
          </w:rPr>
          <w:t>Framework Model and Controls v1.0</w:t>
        </w:r>
      </w:hyperlink>
    </w:p>
  </w:footnote>
  <w:footnote w:id="11">
    <w:p w14:paraId="0E56ED7E" w14:textId="77777777" w:rsidR="00DD6E59" w:rsidRDefault="00DD6E59" w:rsidP="00AD2554">
      <w:pPr>
        <w:pStyle w:val="FootnoteText"/>
      </w:pPr>
      <w:r>
        <w:rPr>
          <w:rStyle w:val="FootnoteReference"/>
        </w:rPr>
        <w:footnoteRef/>
      </w:r>
      <w:r>
        <w:t xml:space="preserve"> Refer to: Section 2 of NESAF v4 - </w:t>
      </w:r>
      <w:hyperlink r:id="rId6" w:history="1">
        <w:r w:rsidRPr="00020664">
          <w:rPr>
            <w:rStyle w:val="Hyperlink"/>
          </w:rPr>
          <w:t>Framework Model and Controls v1.0</w:t>
        </w:r>
      </w:hyperlink>
    </w:p>
  </w:footnote>
  <w:footnote w:id="12">
    <w:p w14:paraId="37E1BF55" w14:textId="77777777" w:rsidR="00DD6E59" w:rsidRDefault="00DD6E59" w:rsidP="00AD2554">
      <w:pPr>
        <w:pStyle w:val="FootnoteText"/>
      </w:pPr>
      <w:r>
        <w:rPr>
          <w:rStyle w:val="FootnoteReference"/>
        </w:rPr>
        <w:footnoteRef/>
      </w:r>
      <w:r>
        <w:t xml:space="preserve"> </w:t>
      </w:r>
      <w:r>
        <w:rPr>
          <w:lang w:val="en-US"/>
        </w:rPr>
        <w:t xml:space="preserve">Source: </w:t>
      </w:r>
      <w:hyperlink r:id="rId7" w:history="1">
        <w:r w:rsidRPr="0088718E">
          <w:rPr>
            <w:rStyle w:val="Hyperlink"/>
            <w:lang w:val="en-US"/>
          </w:rPr>
          <w:t>National eHealth Security and Access Framework v4.0</w:t>
        </w:r>
      </w:hyperlink>
      <w:r>
        <w:rPr>
          <w:lang w:val="en-US"/>
        </w:rPr>
        <w:t xml:space="preserve"> and ISO/IEC 27002.</w:t>
      </w:r>
    </w:p>
  </w:footnote>
  <w:footnote w:id="13">
    <w:p w14:paraId="6A76016F" w14:textId="77777777" w:rsidR="00DD6E59" w:rsidRPr="0078339B" w:rsidRDefault="00DD6E59" w:rsidP="00AD2554">
      <w:pPr>
        <w:pStyle w:val="FootnoteText"/>
        <w:rPr>
          <w:lang w:val="en-US"/>
        </w:rPr>
      </w:pPr>
      <w:r>
        <w:rPr>
          <w:rStyle w:val="FootnoteReference"/>
        </w:rPr>
        <w:footnoteRef/>
      </w:r>
      <w:r>
        <w:t xml:space="preserve"> </w:t>
      </w:r>
      <w:hyperlink r:id="rId8" w:history="1">
        <w:r w:rsidRPr="00D170F5">
          <w:rPr>
            <w:rStyle w:val="Hyperlink"/>
            <w:lang w:val="en-US"/>
          </w:rPr>
          <w:t>NESAF</w:t>
        </w:r>
        <w:r>
          <w:rPr>
            <w:rStyle w:val="Hyperlink"/>
            <w:lang w:val="en-US"/>
          </w:rPr>
          <w:t xml:space="preserve"> v4</w:t>
        </w:r>
        <w:r w:rsidRPr="00D170F5">
          <w:rPr>
            <w:rStyle w:val="Hyperlink"/>
            <w:lang w:val="en-US"/>
          </w:rPr>
          <w:t xml:space="preserve"> Business Blueprint, NEHTA 2011</w:t>
        </w:r>
      </w:hyperlink>
    </w:p>
  </w:footnote>
  <w:footnote w:id="14">
    <w:p w14:paraId="4C21EC32" w14:textId="77777777" w:rsidR="00DD6E59" w:rsidRPr="0078339B" w:rsidRDefault="00DD6E59" w:rsidP="00AD2554">
      <w:pPr>
        <w:pStyle w:val="FootnoteText"/>
        <w:rPr>
          <w:lang w:val="en-US"/>
        </w:rPr>
      </w:pPr>
      <w:r>
        <w:rPr>
          <w:rStyle w:val="FootnoteReference"/>
        </w:rPr>
        <w:footnoteRef/>
      </w:r>
      <w:r>
        <w:t xml:space="preserve"> </w:t>
      </w:r>
      <w:hyperlink r:id="rId9" w:history="1">
        <w:r w:rsidRPr="00D170F5">
          <w:rPr>
            <w:rStyle w:val="Hyperlink"/>
            <w:lang w:val="en-US"/>
          </w:rPr>
          <w:t>NESAF</w:t>
        </w:r>
        <w:r>
          <w:rPr>
            <w:rStyle w:val="Hyperlink"/>
            <w:lang w:val="en-US"/>
          </w:rPr>
          <w:t xml:space="preserve"> v4</w:t>
        </w:r>
        <w:r w:rsidRPr="00D170F5">
          <w:rPr>
            <w:rStyle w:val="Hyperlink"/>
            <w:lang w:val="en-US"/>
          </w:rPr>
          <w:t xml:space="preserve"> Business Blueprint, NEHTA 2011</w:t>
        </w:r>
      </w:hyperlink>
    </w:p>
  </w:footnote>
  <w:footnote w:id="15">
    <w:p w14:paraId="34CAA487" w14:textId="1EAE6F35" w:rsidR="00DD6E59" w:rsidRDefault="00DD6E59">
      <w:pPr>
        <w:pStyle w:val="FootnoteText"/>
      </w:pPr>
      <w:r>
        <w:rPr>
          <w:rStyle w:val="FootnoteReference"/>
        </w:rPr>
        <w:footnoteRef/>
      </w:r>
      <w:r>
        <w:t xml:space="preserve"> </w:t>
      </w:r>
      <w:hyperlink r:id="rId10" w:history="1">
        <w:r w:rsidRPr="002152C4">
          <w:rPr>
            <w:rStyle w:val="Hyperlink"/>
          </w:rPr>
          <w:t>https://www.racgp.org.au/FSDEDEV/media/documents/Running%20a%20practice/Practice%20standards/Computer-and-information-security.pdf</w:t>
        </w:r>
      </w:hyperlink>
    </w:p>
    <w:p w14:paraId="3402102E" w14:textId="77777777" w:rsidR="00DD6E59" w:rsidRDefault="00DD6E59">
      <w:pPr>
        <w:pStyle w:val="FootnoteText"/>
      </w:pPr>
    </w:p>
  </w:footnote>
  <w:footnote w:id="16">
    <w:p w14:paraId="3013B2D8" w14:textId="1AC31A7D" w:rsidR="00DD6E59" w:rsidRDefault="00DD6E59">
      <w:pPr>
        <w:pStyle w:val="FootnoteText"/>
      </w:pPr>
      <w:r>
        <w:rPr>
          <w:rStyle w:val="FootnoteReference"/>
        </w:rPr>
        <w:footnoteRef/>
      </w:r>
      <w:r>
        <w:t xml:space="preserve"> </w:t>
      </w:r>
      <w:hyperlink r:id="rId11" w:history="1">
        <w:r>
          <w:rPr>
            <w:rStyle w:val="Hyperlink"/>
          </w:rPr>
          <w:t>The Five Safes framework - Australian Institute of Health and Welfare (aihw.gov.au)</w:t>
        </w:r>
      </w:hyperlink>
    </w:p>
  </w:footnote>
  <w:footnote w:id="17">
    <w:p w14:paraId="4C6F1115" w14:textId="77777777" w:rsidR="00DD6E59" w:rsidRDefault="00DD6E59" w:rsidP="00AD2554">
      <w:pPr>
        <w:pStyle w:val="FootnoteText"/>
      </w:pPr>
      <w:r>
        <w:rPr>
          <w:rStyle w:val="FootnoteReference"/>
        </w:rPr>
        <w:footnoteRef/>
      </w:r>
      <w:r>
        <w:t xml:space="preserve"> </w:t>
      </w:r>
      <w:hyperlink r:id="rId12" w:history="1">
        <w:r>
          <w:rPr>
            <w:rStyle w:val="Hyperlink"/>
            <w:rFonts w:ascii="Calibri" w:hAnsi="Calibri" w:cs="Calibri"/>
          </w:rPr>
          <w:t>http://www.iso.org/iso/iso_catalogue/catalogue_tc/catalogue_detail.htm?csnumber=54547</w:t>
        </w:r>
      </w:hyperlink>
      <w:r>
        <w:rPr>
          <w:rFonts w:ascii="Calibri" w:hAnsi="Calibri" w:cs="Calibri"/>
          <w:sz w:val="22"/>
        </w:rPr>
        <w:br/>
      </w:r>
    </w:p>
  </w:footnote>
  <w:footnote w:id="18">
    <w:p w14:paraId="5BEF2114" w14:textId="77777777" w:rsidR="00DD6E59" w:rsidRPr="0078339B" w:rsidRDefault="00DD6E59" w:rsidP="00AD2554">
      <w:pPr>
        <w:pStyle w:val="FootnoteText"/>
      </w:pPr>
      <w:r>
        <w:rPr>
          <w:rStyle w:val="FootnoteReference"/>
        </w:rPr>
        <w:footnoteRef/>
      </w:r>
      <w:r>
        <w:t xml:space="preserve"> </w:t>
      </w:r>
      <w:r w:rsidRPr="0078339B">
        <w:t>http://www.</w:t>
      </w:r>
      <w:r>
        <w:t>NEHTA</w:t>
      </w:r>
      <w:r w:rsidRPr="0078339B">
        <w:t>.gov.au/implementation-resources/ehealth-foundations/EP-1005-2012/</w:t>
      </w:r>
      <w:r>
        <w:t>NEHTA</w:t>
      </w:r>
      <w:r w:rsidRPr="0078339B">
        <w:t>-1007-2012</w:t>
      </w:r>
    </w:p>
  </w:footnote>
  <w:footnote w:id="19">
    <w:p w14:paraId="7FD4DCEB" w14:textId="77777777" w:rsidR="00DD6E59" w:rsidRDefault="00DD6E59" w:rsidP="00AD2554">
      <w:pPr>
        <w:pStyle w:val="FootnoteText"/>
      </w:pPr>
      <w:r>
        <w:rPr>
          <w:rStyle w:val="FootnoteReference"/>
        </w:rPr>
        <w:footnoteRef/>
      </w:r>
      <w:r>
        <w:t xml:space="preserve"> Reference: Glossary in NESAF v4 - </w:t>
      </w:r>
      <w:hyperlink r:id="rId13" w:history="1">
        <w:r w:rsidRPr="00020664">
          <w:rPr>
            <w:rStyle w:val="Hyperlink"/>
          </w:rPr>
          <w:t>Framework Model and Controls v1.0</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0C7FA" w14:textId="7F90553C" w:rsidR="00DD6E59" w:rsidRDefault="00637BB5">
    <w:pPr>
      <w:pStyle w:val="Header"/>
    </w:pPr>
    <w:r>
      <w:rPr>
        <w:noProof/>
      </w:rPr>
      <w:pict w14:anchorId="3E68C1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80485" o:spid="_x0000_s2066" type="#_x0000_t136" alt="" style="position:absolute;left:0;text-align:left;margin-left:0;margin-top:0;width:612.9pt;height:72.1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sultation version"/>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06565" w14:textId="2DE4FEBF" w:rsidR="00DD6E59" w:rsidRDefault="00637BB5">
    <w:pPr>
      <w:pStyle w:val="Header"/>
    </w:pPr>
    <w:r>
      <w:rPr>
        <w:noProof/>
      </w:rPr>
      <w:pict w14:anchorId="57F557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80494" o:spid="_x0000_s2057" type="#_x0000_t136" alt="" style="position:absolute;left:0;text-align:left;margin-left:0;margin-top:0;width:612.9pt;height:72.1pt;rotation:315;z-index:-25163673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sultation version"/>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7A9E4" w14:textId="75D9C28A" w:rsidR="00DD6E59" w:rsidRDefault="00637BB5" w:rsidP="00E9663B">
    <w:pPr>
      <w:pStyle w:val="Header"/>
      <w:tabs>
        <w:tab w:val="left" w:pos="142"/>
        <w:tab w:val="right" w:pos="8505"/>
        <w:tab w:val="right" w:pos="13608"/>
      </w:tabs>
      <w:ind w:right="4625"/>
      <w:jc w:val="left"/>
    </w:pPr>
    <w:r>
      <w:rPr>
        <w:noProof/>
      </w:rPr>
      <w:pict w14:anchorId="7E2F96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80495" o:spid="_x0000_s2056" type="#_x0000_t136" alt="" style="position:absolute;margin-left:0;margin-top:0;width:612.9pt;height:72.1pt;rotation:315;z-index:-25163468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sultation version"/>
          <w10:wrap anchorx="margin" anchory="margin"/>
        </v:shape>
      </w:pict>
    </w:r>
    <w:r w:rsidR="00DD6E59">
      <w:tab/>
    </w:r>
  </w:p>
  <w:p w14:paraId="2CAD47BA" w14:textId="46074332" w:rsidR="00DD6E59" w:rsidRDefault="00DD6E59" w:rsidP="00E9663B">
    <w:pPr>
      <w:pStyle w:val="Header"/>
      <w:pBdr>
        <w:bottom w:val="single" w:sz="6" w:space="1" w:color="auto"/>
      </w:pBdr>
      <w:tabs>
        <w:tab w:val="left" w:pos="142"/>
        <w:tab w:val="right" w:pos="13608"/>
      </w:tabs>
      <w:jc w:val="left"/>
    </w:pPr>
    <w:r>
      <w:t xml:space="preserve">Attachment 2: Australian CQR security compliance guideline Second </w:t>
    </w:r>
    <w:r w:rsidR="0082567A">
      <w:t>E</w:t>
    </w:r>
    <w:r>
      <w:t>dition – consultation version</w:t>
    </w:r>
    <w:r w:rsidR="00F65897">
      <w:t xml:space="preserve"> December</w:t>
    </w:r>
    <w:r w:rsidR="00F428A6">
      <w:t xml:space="preserve"> </w:t>
    </w:r>
    <w:r>
      <w:t>2022</w:t>
    </w:r>
  </w:p>
  <w:p w14:paraId="0EA57162" w14:textId="77777777" w:rsidR="00DD6E59" w:rsidRPr="00C76D01" w:rsidRDefault="00DD6E59" w:rsidP="00E9663B">
    <w:pPr>
      <w:pStyle w:val="Header"/>
      <w:pBdr>
        <w:bottom w:val="single" w:sz="6" w:space="1" w:color="auto"/>
      </w:pBdr>
      <w:tabs>
        <w:tab w:val="left" w:pos="142"/>
        <w:tab w:val="right" w:pos="13608"/>
      </w:tabs>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49314" w14:textId="28CB4A22" w:rsidR="00DD6E59" w:rsidRDefault="00637BB5">
    <w:pPr>
      <w:pStyle w:val="Header"/>
    </w:pPr>
    <w:r>
      <w:rPr>
        <w:noProof/>
      </w:rPr>
      <w:pict w14:anchorId="33DCC8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80493" o:spid="_x0000_s2055" type="#_x0000_t136" alt="" style="position:absolute;left:0;text-align:left;margin-left:0;margin-top:0;width:612.9pt;height:72.1pt;rotation:315;z-index:-25163878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sultation version"/>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19ED4" w14:textId="6BE06E5B" w:rsidR="00DD6E59" w:rsidRDefault="00637BB5">
    <w:pPr>
      <w:pStyle w:val="Header"/>
    </w:pPr>
    <w:r>
      <w:rPr>
        <w:noProof/>
      </w:rPr>
      <w:pict w14:anchorId="2086D5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80497" o:spid="_x0000_s2054" type="#_x0000_t136" alt="" style="position:absolute;left:0;text-align:left;margin-left:0;margin-top:0;width:612.9pt;height:72.1pt;rotation:315;z-index:-25163059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sultation version"/>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58DBD" w14:textId="53385EBB" w:rsidR="00DD6E59" w:rsidRDefault="00637BB5" w:rsidP="00E9663B">
    <w:pPr>
      <w:pStyle w:val="Header"/>
      <w:tabs>
        <w:tab w:val="left" w:pos="142"/>
        <w:tab w:val="right" w:pos="8789"/>
        <w:tab w:val="right" w:pos="13608"/>
      </w:tabs>
      <w:jc w:val="left"/>
    </w:pPr>
    <w:r>
      <w:rPr>
        <w:noProof/>
      </w:rPr>
      <w:pict w14:anchorId="6AFE7F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80498" o:spid="_x0000_s2053" type="#_x0000_t136" alt="" style="position:absolute;margin-left:0;margin-top:0;width:612.9pt;height:72.1pt;rotation:315;z-index:-25162854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sultation version"/>
          <w10:wrap anchorx="margin" anchory="margin"/>
        </v:shape>
      </w:pict>
    </w:r>
    <w:r w:rsidR="00DD6E59">
      <w:tab/>
      <w:t xml:space="preserve">Attachment 2: Australian CQR security compliance guidance Second </w:t>
    </w:r>
    <w:r w:rsidR="0082567A">
      <w:t>E</w:t>
    </w:r>
    <w:r w:rsidR="00DD6E59">
      <w:t xml:space="preserve">dition – Consultation version </w:t>
    </w:r>
    <w:r w:rsidR="00F65897">
      <w:t>December</w:t>
    </w:r>
    <w:r w:rsidR="00DD6E59">
      <w:t xml:space="preserve"> 2022</w:t>
    </w:r>
  </w:p>
  <w:p w14:paraId="5F1B595C" w14:textId="77777777" w:rsidR="00DD6E59" w:rsidRDefault="00DD6E59" w:rsidP="00E9663B">
    <w:pPr>
      <w:pStyle w:val="Header"/>
      <w:pBdr>
        <w:bottom w:val="single" w:sz="6" w:space="1" w:color="auto"/>
      </w:pBdr>
      <w:tabs>
        <w:tab w:val="left" w:pos="142"/>
        <w:tab w:val="right" w:pos="8789"/>
        <w:tab w:val="right" w:pos="13608"/>
      </w:tabs>
      <w:jc w:val="left"/>
    </w:pPr>
    <w:r>
      <w:tab/>
    </w:r>
    <w: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6FBFE" w14:textId="7680AE8B" w:rsidR="00DD6E59" w:rsidRDefault="00637BB5">
    <w:pPr>
      <w:pStyle w:val="Header"/>
    </w:pPr>
    <w:r>
      <w:rPr>
        <w:noProof/>
      </w:rPr>
      <w:pict w14:anchorId="618D6D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80496" o:spid="_x0000_s2052" type="#_x0000_t136" alt="" style="position:absolute;left:0;text-align:left;margin-left:0;margin-top:0;width:612.9pt;height:72.1pt;rotation:315;z-index:-2516326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sultation version"/>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AAA63" w14:textId="41C5F6E9" w:rsidR="00DD6E59" w:rsidRDefault="00637BB5">
    <w:pPr>
      <w:pStyle w:val="Header"/>
    </w:pPr>
    <w:r>
      <w:rPr>
        <w:noProof/>
      </w:rPr>
      <w:pict w14:anchorId="4B3550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80500" o:spid="_x0000_s2051" type="#_x0000_t136" alt="" style="position:absolute;left:0;text-align:left;margin-left:0;margin-top:0;width:612.9pt;height:72.1pt;rotation:315;z-index:-25162444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sultation version"/>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A1957" w14:textId="07D89429" w:rsidR="00DD6E59" w:rsidRDefault="00637BB5" w:rsidP="00E9663B">
    <w:pPr>
      <w:pStyle w:val="Header"/>
      <w:tabs>
        <w:tab w:val="left" w:pos="142"/>
        <w:tab w:val="right" w:pos="8505"/>
        <w:tab w:val="right" w:pos="13608"/>
      </w:tabs>
      <w:jc w:val="left"/>
    </w:pPr>
    <w:r>
      <w:rPr>
        <w:noProof/>
      </w:rPr>
      <w:pict w14:anchorId="79B910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80501" o:spid="_x0000_s2050" type="#_x0000_t136" alt="" style="position:absolute;margin-left:0;margin-top:0;width:612.9pt;height:72.1pt;rotation:315;z-index:-25162240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sultation version"/>
          <w10:wrap anchorx="margin" anchory="margin"/>
        </v:shape>
      </w:pict>
    </w:r>
    <w:r w:rsidR="00DD6E59">
      <w:t xml:space="preserve">Attachment 2: Australian CQR security compliance guideline Second </w:t>
    </w:r>
    <w:r w:rsidR="0082567A">
      <w:t>E</w:t>
    </w:r>
    <w:r w:rsidR="00DD6E59">
      <w:t xml:space="preserve">dition – Consultation version </w:t>
    </w:r>
    <w:r w:rsidR="007E74F1">
      <w:t>December</w:t>
    </w:r>
    <w:r w:rsidR="00F428A6">
      <w:t xml:space="preserve"> </w:t>
    </w:r>
    <w:r w:rsidR="00DD6E59">
      <w:t>2022</w:t>
    </w:r>
    <w:r w:rsidR="00DD6E59">
      <w:tab/>
    </w:r>
  </w:p>
  <w:p w14:paraId="5F6B0974" w14:textId="77777777" w:rsidR="00DD6E59" w:rsidRPr="00C76D01" w:rsidRDefault="00DD6E59" w:rsidP="00E9663B">
    <w:pPr>
      <w:pStyle w:val="Header"/>
      <w:pBdr>
        <w:bottom w:val="single" w:sz="6" w:space="0" w:color="auto"/>
      </w:pBdr>
      <w:tabs>
        <w:tab w:val="left" w:pos="142"/>
        <w:tab w:val="right" w:pos="8505"/>
        <w:tab w:val="right" w:pos="13608"/>
      </w:tabs>
      <w:jc w:val="left"/>
    </w:pPr>
    <w:r>
      <w:tab/>
    </w:r>
    <w:r>
      <w:tab/>
    </w:r>
    <w: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3411D" w14:textId="04661256" w:rsidR="00DD6E59" w:rsidRDefault="00637BB5">
    <w:pPr>
      <w:pStyle w:val="Header"/>
    </w:pPr>
    <w:r>
      <w:rPr>
        <w:noProof/>
      </w:rPr>
      <w:pict w14:anchorId="16A2D2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80499" o:spid="_x0000_s2049" type="#_x0000_t136" alt="" style="position:absolute;left:0;text-align:left;margin-left:0;margin-top:0;width:612.9pt;height:72.1pt;rotation:315;z-index:-25162649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sultation vers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153E1" w14:textId="266E861B" w:rsidR="00DD6E59" w:rsidRDefault="00637BB5">
    <w:pPr>
      <w:pStyle w:val="Header"/>
    </w:pPr>
    <w:r>
      <w:rPr>
        <w:noProof/>
      </w:rPr>
      <w:pict w14:anchorId="6A78DB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80486" o:spid="_x0000_s2065" type="#_x0000_t136" alt="" style="position:absolute;left:0;text-align:left;margin-left:0;margin-top:0;width:612.9pt;height:72.1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sultation vers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171EC" w14:textId="61C3DF6F" w:rsidR="00DD6E59" w:rsidRDefault="00637BB5" w:rsidP="00B56D35">
    <w:pPr>
      <w:pStyle w:val="Header"/>
    </w:pPr>
    <w:r>
      <w:rPr>
        <w:noProof/>
      </w:rPr>
      <w:pict w14:anchorId="605BD9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80484" o:spid="_x0000_s2064" type="#_x0000_t136" alt="" style="position:absolute;left:0;text-align:left;margin-left:0;margin-top:0;width:612.9pt;height:72.1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sultation versio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74EE3" w14:textId="17C13663" w:rsidR="00DD6E59" w:rsidRDefault="00637BB5" w:rsidP="00B56D35">
    <w:pPr>
      <w:pStyle w:val="Header"/>
    </w:pPr>
    <w:r>
      <w:rPr>
        <w:noProof/>
      </w:rPr>
      <w:pict w14:anchorId="3A1B19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80488" o:spid="_x0000_s2063" type="#_x0000_t136" alt="" style="position:absolute;left:0;text-align:left;margin-left:0;margin-top:0;width:612.9pt;height:72.1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sultation version"/>
          <w10:wrap anchorx="margin" anchory="margin"/>
        </v:shape>
      </w:pict>
    </w:r>
    <w:r w:rsidR="00DD6E59" w:rsidRPr="00B56D35">
      <w:t>Framework for Australian clinical quality registries</w:t>
    </w:r>
  </w:p>
  <w:p w14:paraId="158A20D3" w14:textId="77777777" w:rsidR="00DD6E59" w:rsidRDefault="00DD6E59" w:rsidP="00B56D35">
    <w:pPr>
      <w:pStyle w:val="Header"/>
    </w:pPr>
    <w:r>
      <w:t>January 2022</w:t>
    </w:r>
  </w:p>
  <w:p w14:paraId="6F1A07A1" w14:textId="77777777" w:rsidR="00DD6E59" w:rsidRDefault="00DD6E59" w:rsidP="00B56D35">
    <w:pPr>
      <w:pStyle w:val="Header"/>
    </w:pPr>
  </w:p>
  <w:p w14:paraId="54A3A88B" w14:textId="77777777" w:rsidR="00DD6E59" w:rsidRDefault="00DD6E59" w:rsidP="00B56D3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8850" w14:textId="1580950B" w:rsidR="00DD6E59" w:rsidRDefault="00637BB5" w:rsidP="00B56D35">
    <w:pPr>
      <w:pStyle w:val="Header"/>
    </w:pPr>
    <w:r>
      <w:rPr>
        <w:noProof/>
      </w:rPr>
      <w:pict w14:anchorId="1F8B50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80489" o:spid="_x0000_s2062" type="#_x0000_t136" alt="" style="position:absolute;left:0;text-align:left;margin-left:0;margin-top:0;width:612.9pt;height:72.1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sultation version"/>
          <w10:wrap anchorx="margin" anchory="margin"/>
        </v:shape>
      </w:pict>
    </w:r>
    <w:r w:rsidR="00DD6E59">
      <w:t xml:space="preserve">Attachment 2: Australian CQR security compliance guideline Second </w:t>
    </w:r>
    <w:r w:rsidR="0082567A">
      <w:t>E</w:t>
    </w:r>
    <w:r w:rsidR="00DD6E59">
      <w:t>dition – consultation version</w:t>
    </w:r>
  </w:p>
  <w:p w14:paraId="0E261F6F" w14:textId="7656B57D" w:rsidR="00DD6E59" w:rsidRDefault="00F65897" w:rsidP="00B56D35">
    <w:pPr>
      <w:pStyle w:val="Header"/>
    </w:pPr>
    <w:r>
      <w:t>December</w:t>
    </w:r>
    <w:r w:rsidR="00A26D74">
      <w:t xml:space="preserve"> </w:t>
    </w:r>
    <w:r w:rsidR="00DD6E59">
      <w:t>2022</w:t>
    </w:r>
  </w:p>
  <w:p w14:paraId="6790ABE8" w14:textId="77777777" w:rsidR="00DD6E59" w:rsidRDefault="00DD6E59" w:rsidP="00B56D35">
    <w:pPr>
      <w:pStyle w:val="Header"/>
    </w:pPr>
  </w:p>
  <w:p w14:paraId="341FC12B" w14:textId="77777777" w:rsidR="00DD6E59" w:rsidRPr="00C2449D" w:rsidRDefault="00DD6E59" w:rsidP="00B56D3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1389C" w14:textId="177C5C75" w:rsidR="00DD6E59" w:rsidRDefault="00637BB5" w:rsidP="00B56D35">
    <w:pPr>
      <w:pStyle w:val="Header"/>
    </w:pPr>
    <w:r>
      <w:rPr>
        <w:noProof/>
      </w:rPr>
      <w:pict w14:anchorId="190548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80487" o:spid="_x0000_s2061" type="#_x0000_t136" alt="" style="position:absolute;left:0;text-align:left;margin-left:0;margin-top:0;width:612.9pt;height:72.1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sultation version"/>
          <w10:wrap anchorx="margin" anchory="margin"/>
        </v:shape>
      </w:pict>
    </w:r>
    <w:r w:rsidR="00DD6E59">
      <w:t xml:space="preserve">Framework </w:t>
    </w:r>
    <w:r w:rsidR="00DD6E59" w:rsidRPr="00A84A90">
      <w:t xml:space="preserve">for </w:t>
    </w:r>
    <w:r w:rsidR="00DD6E59">
      <w:t xml:space="preserve">Australian </w:t>
    </w:r>
    <w:r w:rsidR="00DD6E59" w:rsidRPr="00A84A90">
      <w:t>clinical quality registries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4CE97" w14:textId="41A6933F" w:rsidR="00DD6E59" w:rsidRDefault="00637BB5">
    <w:pPr>
      <w:pStyle w:val="Header"/>
    </w:pPr>
    <w:r>
      <w:rPr>
        <w:noProof/>
      </w:rPr>
      <w:pict w14:anchorId="16BCD9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80491" o:spid="_x0000_s2060" type="#_x0000_t136" alt="" style="position:absolute;left:0;text-align:left;margin-left:0;margin-top:0;width:612.9pt;height:72.1pt;rotation:315;z-index:-25164288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sultation version"/>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C1ADB" w14:textId="0A2B3506" w:rsidR="00DD6E59" w:rsidRDefault="00637BB5" w:rsidP="00871A4D">
    <w:pPr>
      <w:pStyle w:val="Header"/>
      <w:tabs>
        <w:tab w:val="left" w:pos="142"/>
        <w:tab w:val="right" w:pos="8910"/>
        <w:tab w:val="right" w:pos="13608"/>
      </w:tabs>
      <w:ind w:right="-51"/>
      <w:jc w:val="left"/>
    </w:pPr>
    <w:r>
      <w:rPr>
        <w:noProof/>
      </w:rPr>
      <w:pict w14:anchorId="625A20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80492" o:spid="_x0000_s2059" type="#_x0000_t136" alt="" style="position:absolute;margin-left:0;margin-top:0;width:612.9pt;height:72.1pt;rotation:315;z-index:-25164083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sultation version"/>
          <w10:wrap anchorx="margin" anchory="margin"/>
        </v:shape>
      </w:pict>
    </w:r>
    <w:r w:rsidR="00DD6E59">
      <w:t xml:space="preserve">Attachment 2: Australian CQR security compliance guideline Second </w:t>
    </w:r>
    <w:r w:rsidR="0082567A">
      <w:t>E</w:t>
    </w:r>
    <w:r w:rsidR="00DD6E59">
      <w:t xml:space="preserve">dition – consultation version </w:t>
    </w:r>
    <w:r w:rsidR="00DD6E59">
      <w:tab/>
    </w:r>
  </w:p>
  <w:p w14:paraId="1C5EFE9B" w14:textId="1EAF3D63" w:rsidR="00DD6E59" w:rsidRPr="00C76D01" w:rsidRDefault="00DD6E59" w:rsidP="00E9663B">
    <w:pPr>
      <w:pStyle w:val="Header"/>
      <w:tabs>
        <w:tab w:val="left" w:pos="142"/>
      </w:tabs>
      <w:jc w:val="left"/>
    </w:pPr>
    <w:r>
      <w:tab/>
    </w:r>
    <w:r>
      <w:tab/>
    </w:r>
    <w:r w:rsidR="00F65897">
      <w:t>December</w:t>
    </w:r>
    <w:r>
      <w:t xml:space="preserve"> 2022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6A8BB" w14:textId="7878F4E1" w:rsidR="00DD6E59" w:rsidRPr="00871A4D" w:rsidRDefault="00637BB5" w:rsidP="00871A4D">
    <w:pPr>
      <w:pStyle w:val="Header"/>
    </w:pPr>
    <w:r>
      <w:rPr>
        <w:noProof/>
      </w:rPr>
      <w:pict w14:anchorId="7F251D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80490" o:spid="_x0000_s2058" type="#_x0000_t136" alt="" style="position:absolute;left:0;text-align:left;margin-left:0;margin-top:0;width:612.9pt;height:72.1pt;rotation:315;z-index:-2516449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sultation vers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CA43C14"/>
    <w:lvl w:ilvl="0">
      <w:start w:val="1"/>
      <w:numFmt w:val="lowerLetter"/>
      <w:pStyle w:val="ListNumber5"/>
      <w:lvlText w:val="%1."/>
      <w:lvlJc w:val="left"/>
      <w:pPr>
        <w:tabs>
          <w:tab w:val="num" w:pos="2835"/>
        </w:tabs>
        <w:ind w:left="2835" w:hanging="397"/>
      </w:pPr>
      <w:rPr>
        <w:rFonts w:hint="default"/>
      </w:rPr>
    </w:lvl>
  </w:abstractNum>
  <w:abstractNum w:abstractNumId="1" w15:restartNumberingAfterBreak="0">
    <w:nsid w:val="FFFFFF7D"/>
    <w:multiLevelType w:val="singleLevel"/>
    <w:tmpl w:val="607842B2"/>
    <w:lvl w:ilvl="0">
      <w:start w:val="1"/>
      <w:numFmt w:val="decimal"/>
      <w:pStyle w:val="ListNumber4"/>
      <w:lvlText w:val="%1."/>
      <w:lvlJc w:val="left"/>
      <w:pPr>
        <w:tabs>
          <w:tab w:val="num" w:pos="2268"/>
        </w:tabs>
        <w:ind w:left="2268" w:hanging="397"/>
      </w:pPr>
      <w:rPr>
        <w:rFonts w:hint="default"/>
      </w:rPr>
    </w:lvl>
  </w:abstractNum>
  <w:abstractNum w:abstractNumId="2" w15:restartNumberingAfterBreak="0">
    <w:nsid w:val="FFFFFF7E"/>
    <w:multiLevelType w:val="singleLevel"/>
    <w:tmpl w:val="1F8A4414"/>
    <w:lvl w:ilvl="0">
      <w:start w:val="1"/>
      <w:numFmt w:val="lowerRoman"/>
      <w:pStyle w:val="ListNumber3"/>
      <w:lvlText w:val="%1."/>
      <w:lvlJc w:val="left"/>
      <w:pPr>
        <w:tabs>
          <w:tab w:val="num" w:pos="1701"/>
        </w:tabs>
        <w:ind w:left="1701" w:hanging="397"/>
      </w:pPr>
      <w:rPr>
        <w:rFonts w:hint="default"/>
      </w:rPr>
    </w:lvl>
  </w:abstractNum>
  <w:abstractNum w:abstractNumId="3" w15:restartNumberingAfterBreak="0">
    <w:nsid w:val="FFFFFF7F"/>
    <w:multiLevelType w:val="singleLevel"/>
    <w:tmpl w:val="EB9672CA"/>
    <w:lvl w:ilvl="0">
      <w:start w:val="1"/>
      <w:numFmt w:val="lowerLetter"/>
      <w:pStyle w:val="ListNumber2"/>
      <w:lvlText w:val="%1."/>
      <w:lvlJc w:val="left"/>
      <w:pPr>
        <w:tabs>
          <w:tab w:val="num" w:pos="1134"/>
        </w:tabs>
        <w:ind w:left="1134" w:hanging="397"/>
      </w:pPr>
      <w:rPr>
        <w:rFonts w:cs="Times New Roman" w:hint="default"/>
      </w:rPr>
    </w:lvl>
  </w:abstractNum>
  <w:abstractNum w:abstractNumId="4" w15:restartNumberingAfterBreak="0">
    <w:nsid w:val="FFFFFF80"/>
    <w:multiLevelType w:val="singleLevel"/>
    <w:tmpl w:val="E6FC189A"/>
    <w:lvl w:ilvl="0">
      <w:start w:val="1"/>
      <w:numFmt w:val="bullet"/>
      <w:pStyle w:val="ListBullet5"/>
      <w:lvlText w:val=""/>
      <w:lvlJc w:val="left"/>
      <w:pPr>
        <w:tabs>
          <w:tab w:val="num" w:pos="2835"/>
        </w:tabs>
        <w:ind w:left="2835" w:hanging="397"/>
      </w:pPr>
      <w:rPr>
        <w:rFonts w:ascii="Symbol" w:hAnsi="Symbol" w:hint="default"/>
      </w:rPr>
    </w:lvl>
  </w:abstractNum>
  <w:abstractNum w:abstractNumId="5" w15:restartNumberingAfterBreak="0">
    <w:nsid w:val="FFFFFF81"/>
    <w:multiLevelType w:val="singleLevel"/>
    <w:tmpl w:val="5E9C07DA"/>
    <w:lvl w:ilvl="0">
      <w:start w:val="1"/>
      <w:numFmt w:val="bullet"/>
      <w:pStyle w:val="ListBullet4"/>
      <w:lvlText w:val="–"/>
      <w:lvlJc w:val="left"/>
      <w:pPr>
        <w:tabs>
          <w:tab w:val="num" w:pos="2268"/>
        </w:tabs>
        <w:ind w:left="2268" w:hanging="397"/>
      </w:pPr>
      <w:rPr>
        <w:rFonts w:ascii="Verdana" w:hAnsi="Verdana" w:hint="default"/>
      </w:rPr>
    </w:lvl>
  </w:abstractNum>
  <w:abstractNum w:abstractNumId="6" w15:restartNumberingAfterBreak="0">
    <w:nsid w:val="FFFFFF82"/>
    <w:multiLevelType w:val="singleLevel"/>
    <w:tmpl w:val="EA3ED4B2"/>
    <w:lvl w:ilvl="0">
      <w:start w:val="1"/>
      <w:numFmt w:val="bullet"/>
      <w:pStyle w:val="ListBullet3"/>
      <w:lvlText w:val=""/>
      <w:lvlJc w:val="left"/>
      <w:pPr>
        <w:tabs>
          <w:tab w:val="num" w:pos="1701"/>
        </w:tabs>
        <w:ind w:left="1701" w:hanging="397"/>
      </w:pPr>
      <w:rPr>
        <w:rFonts w:ascii="Symbol" w:hAnsi="Symbol" w:hint="default"/>
      </w:rPr>
    </w:lvl>
  </w:abstractNum>
  <w:abstractNum w:abstractNumId="7" w15:restartNumberingAfterBreak="0">
    <w:nsid w:val="FFFFFF83"/>
    <w:multiLevelType w:val="singleLevel"/>
    <w:tmpl w:val="D480C2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FC496A"/>
    <w:lvl w:ilvl="0">
      <w:start w:val="1"/>
      <w:numFmt w:val="decimal"/>
      <w:pStyle w:val="ListNumber"/>
      <w:lvlText w:val="%1."/>
      <w:lvlJc w:val="left"/>
      <w:pPr>
        <w:tabs>
          <w:tab w:val="num" w:pos="567"/>
        </w:tabs>
        <w:ind w:left="567" w:hanging="397"/>
      </w:pPr>
      <w:rPr>
        <w:rFonts w:cs="Times New Roman" w:hint="default"/>
      </w:rPr>
    </w:lvl>
  </w:abstractNum>
  <w:abstractNum w:abstractNumId="9" w15:restartNumberingAfterBreak="0">
    <w:nsid w:val="FFFFFF89"/>
    <w:multiLevelType w:val="singleLevel"/>
    <w:tmpl w:val="23EEE0AC"/>
    <w:lvl w:ilvl="0">
      <w:start w:val="1"/>
      <w:numFmt w:val="bullet"/>
      <w:lvlText w:val=""/>
      <w:lvlJc w:val="left"/>
      <w:pPr>
        <w:tabs>
          <w:tab w:val="num" w:pos="567"/>
        </w:tabs>
        <w:ind w:left="567" w:hanging="397"/>
      </w:pPr>
      <w:rPr>
        <w:rFonts w:ascii="Symbol" w:hAnsi="Symbol" w:hint="default"/>
      </w:rPr>
    </w:lvl>
  </w:abstractNum>
  <w:abstractNum w:abstractNumId="10" w15:restartNumberingAfterBreak="0">
    <w:nsid w:val="00461EE1"/>
    <w:multiLevelType w:val="hybridMultilevel"/>
    <w:tmpl w:val="B2ECB79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02577F83"/>
    <w:multiLevelType w:val="hybridMultilevel"/>
    <w:tmpl w:val="A6D2784A"/>
    <w:lvl w:ilvl="0" w:tplc="C2084356">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2" w15:restartNumberingAfterBreak="0">
    <w:nsid w:val="039F08FE"/>
    <w:multiLevelType w:val="multilevel"/>
    <w:tmpl w:val="613E2218"/>
    <w:lvl w:ilvl="0">
      <w:start w:val="1"/>
      <w:numFmt w:val="decimal"/>
      <w:lvlText w:val="%1."/>
      <w:lvlJc w:val="left"/>
      <w:pPr>
        <w:tabs>
          <w:tab w:val="num" w:pos="720"/>
        </w:tabs>
        <w:ind w:left="720" w:hanging="360"/>
      </w:pPr>
      <w:rPr>
        <w:rFonts w:hint="default"/>
        <w:b/>
        <w:sz w:val="22"/>
        <w:szCs w:val="22"/>
      </w:rPr>
    </w:lvl>
    <w:lvl w:ilvl="1">
      <w:start w:val="1"/>
      <w:numFmt w:val="lowerLetter"/>
      <w:lvlText w:val="%2)"/>
      <w:lvlJc w:val="left"/>
      <w:pPr>
        <w:tabs>
          <w:tab w:val="num" w:pos="720"/>
        </w:tabs>
        <w:ind w:left="1287" w:hanging="567"/>
      </w:pPr>
      <w:rPr>
        <w:rFonts w:hint="default"/>
        <w:b w:val="0"/>
        <w:i w:val="0"/>
        <w:sz w:val="22"/>
        <w:szCs w:val="22"/>
      </w:rPr>
    </w:lvl>
    <w:lvl w:ilvl="2">
      <w:start w:val="1"/>
      <w:numFmt w:val="decimal"/>
      <w:lvlText w:val="%1.%2.%3"/>
      <w:lvlJc w:val="left"/>
      <w:pPr>
        <w:tabs>
          <w:tab w:val="num" w:pos="2061"/>
        </w:tabs>
        <w:ind w:left="2061" w:hanging="567"/>
      </w:pPr>
      <w:rPr>
        <w:rFonts w:hint="default"/>
      </w:rPr>
    </w:lvl>
    <w:lvl w:ilvl="3">
      <w:start w:val="1"/>
      <w:numFmt w:val="decimal"/>
      <w:lvlText w:val="%1.%2.%3.%4"/>
      <w:lvlJc w:val="left"/>
      <w:pPr>
        <w:tabs>
          <w:tab w:val="num" w:pos="2061"/>
        </w:tabs>
        <w:ind w:left="2061" w:hanging="85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2160"/>
        </w:tabs>
        <w:ind w:left="2160" w:hanging="1800"/>
      </w:pPr>
      <w:rPr>
        <w:rFonts w:hint="default"/>
      </w:rPr>
    </w:lvl>
  </w:abstractNum>
  <w:abstractNum w:abstractNumId="13" w15:restartNumberingAfterBreak="0">
    <w:nsid w:val="03BB4FFB"/>
    <w:multiLevelType w:val="hybridMultilevel"/>
    <w:tmpl w:val="2F36703C"/>
    <w:lvl w:ilvl="0" w:tplc="45A40A1E">
      <w:start w:val="1"/>
      <w:numFmt w:val="bullet"/>
      <w:pStyle w:val="Numstepbullet"/>
      <w:lvlText w:val=""/>
      <w:lvlJc w:val="left"/>
      <w:pPr>
        <w:tabs>
          <w:tab w:val="num" w:pos="2843"/>
        </w:tabs>
        <w:ind w:left="2840" w:hanging="357"/>
      </w:pPr>
      <w:rPr>
        <w:rFonts w:ascii="Wingdings 3" w:hAnsi="Wingdings 3" w:hint="default"/>
        <w:color w:val="336699"/>
      </w:rPr>
    </w:lvl>
    <w:lvl w:ilvl="1" w:tplc="04090003" w:tentative="1">
      <w:start w:val="1"/>
      <w:numFmt w:val="bullet"/>
      <w:lvlText w:val="o"/>
      <w:lvlJc w:val="left"/>
      <w:pPr>
        <w:tabs>
          <w:tab w:val="num" w:pos="3923"/>
        </w:tabs>
        <w:ind w:left="3923" w:hanging="360"/>
      </w:pPr>
      <w:rPr>
        <w:rFonts w:ascii="Courier New" w:hAnsi="Courier New" w:hint="default"/>
      </w:rPr>
    </w:lvl>
    <w:lvl w:ilvl="2" w:tplc="04090005" w:tentative="1">
      <w:start w:val="1"/>
      <w:numFmt w:val="bullet"/>
      <w:lvlText w:val=""/>
      <w:lvlJc w:val="left"/>
      <w:pPr>
        <w:tabs>
          <w:tab w:val="num" w:pos="4643"/>
        </w:tabs>
        <w:ind w:left="4643" w:hanging="360"/>
      </w:pPr>
      <w:rPr>
        <w:rFonts w:ascii="Wingdings" w:hAnsi="Wingdings" w:hint="default"/>
      </w:rPr>
    </w:lvl>
    <w:lvl w:ilvl="3" w:tplc="04090001" w:tentative="1">
      <w:start w:val="1"/>
      <w:numFmt w:val="bullet"/>
      <w:lvlText w:val=""/>
      <w:lvlJc w:val="left"/>
      <w:pPr>
        <w:tabs>
          <w:tab w:val="num" w:pos="5363"/>
        </w:tabs>
        <w:ind w:left="5363" w:hanging="360"/>
      </w:pPr>
      <w:rPr>
        <w:rFonts w:ascii="Symbol" w:hAnsi="Symbol" w:hint="default"/>
      </w:rPr>
    </w:lvl>
    <w:lvl w:ilvl="4" w:tplc="04090003" w:tentative="1">
      <w:start w:val="1"/>
      <w:numFmt w:val="bullet"/>
      <w:lvlText w:val="o"/>
      <w:lvlJc w:val="left"/>
      <w:pPr>
        <w:tabs>
          <w:tab w:val="num" w:pos="6083"/>
        </w:tabs>
        <w:ind w:left="6083" w:hanging="360"/>
      </w:pPr>
      <w:rPr>
        <w:rFonts w:ascii="Courier New" w:hAnsi="Courier New" w:hint="default"/>
      </w:rPr>
    </w:lvl>
    <w:lvl w:ilvl="5" w:tplc="04090005" w:tentative="1">
      <w:start w:val="1"/>
      <w:numFmt w:val="bullet"/>
      <w:lvlText w:val=""/>
      <w:lvlJc w:val="left"/>
      <w:pPr>
        <w:tabs>
          <w:tab w:val="num" w:pos="6803"/>
        </w:tabs>
        <w:ind w:left="6803" w:hanging="360"/>
      </w:pPr>
      <w:rPr>
        <w:rFonts w:ascii="Wingdings" w:hAnsi="Wingdings" w:hint="default"/>
      </w:rPr>
    </w:lvl>
    <w:lvl w:ilvl="6" w:tplc="04090001" w:tentative="1">
      <w:start w:val="1"/>
      <w:numFmt w:val="bullet"/>
      <w:lvlText w:val=""/>
      <w:lvlJc w:val="left"/>
      <w:pPr>
        <w:tabs>
          <w:tab w:val="num" w:pos="7523"/>
        </w:tabs>
        <w:ind w:left="7523" w:hanging="360"/>
      </w:pPr>
      <w:rPr>
        <w:rFonts w:ascii="Symbol" w:hAnsi="Symbol" w:hint="default"/>
      </w:rPr>
    </w:lvl>
    <w:lvl w:ilvl="7" w:tplc="04090003" w:tentative="1">
      <w:start w:val="1"/>
      <w:numFmt w:val="bullet"/>
      <w:lvlText w:val="o"/>
      <w:lvlJc w:val="left"/>
      <w:pPr>
        <w:tabs>
          <w:tab w:val="num" w:pos="8243"/>
        </w:tabs>
        <w:ind w:left="8243" w:hanging="360"/>
      </w:pPr>
      <w:rPr>
        <w:rFonts w:ascii="Courier New" w:hAnsi="Courier New" w:hint="default"/>
      </w:rPr>
    </w:lvl>
    <w:lvl w:ilvl="8" w:tplc="04090005" w:tentative="1">
      <w:start w:val="1"/>
      <w:numFmt w:val="bullet"/>
      <w:lvlText w:val=""/>
      <w:lvlJc w:val="left"/>
      <w:pPr>
        <w:tabs>
          <w:tab w:val="num" w:pos="8963"/>
        </w:tabs>
        <w:ind w:left="8963" w:hanging="360"/>
      </w:pPr>
      <w:rPr>
        <w:rFonts w:ascii="Wingdings" w:hAnsi="Wingdings" w:hint="default"/>
      </w:rPr>
    </w:lvl>
  </w:abstractNum>
  <w:abstractNum w:abstractNumId="14" w15:restartNumberingAfterBreak="0">
    <w:nsid w:val="04915ACA"/>
    <w:multiLevelType w:val="hybridMultilevel"/>
    <w:tmpl w:val="9052403E"/>
    <w:lvl w:ilvl="0" w:tplc="D45695D4">
      <w:start w:val="1"/>
      <w:numFmt w:val="lowerLetter"/>
      <w:lvlText w:val="%1)"/>
      <w:lvlJc w:val="left"/>
      <w:pPr>
        <w:tabs>
          <w:tab w:val="num" w:pos="2410"/>
        </w:tabs>
        <w:ind w:left="2410" w:hanging="567"/>
      </w:pPr>
      <w:rPr>
        <w:rFonts w:cs="Times New Roman" w:hint="default"/>
      </w:rPr>
    </w:lvl>
    <w:lvl w:ilvl="1" w:tplc="0C090019" w:tentative="1">
      <w:start w:val="1"/>
      <w:numFmt w:val="lowerLetter"/>
      <w:lvlText w:val="%2."/>
      <w:lvlJc w:val="left"/>
      <w:pPr>
        <w:ind w:left="2716" w:hanging="360"/>
      </w:pPr>
      <w:rPr>
        <w:rFonts w:cs="Times New Roman"/>
      </w:rPr>
    </w:lvl>
    <w:lvl w:ilvl="2" w:tplc="0C09001B">
      <w:start w:val="1"/>
      <w:numFmt w:val="lowerRoman"/>
      <w:lvlText w:val="%3."/>
      <w:lvlJc w:val="right"/>
      <w:pPr>
        <w:ind w:left="3436" w:hanging="180"/>
      </w:pPr>
      <w:rPr>
        <w:rFonts w:cs="Times New Roman"/>
      </w:rPr>
    </w:lvl>
    <w:lvl w:ilvl="3" w:tplc="0C09000F" w:tentative="1">
      <w:start w:val="1"/>
      <w:numFmt w:val="decimal"/>
      <w:lvlText w:val="%4."/>
      <w:lvlJc w:val="left"/>
      <w:pPr>
        <w:ind w:left="4156" w:hanging="360"/>
      </w:pPr>
      <w:rPr>
        <w:rFonts w:cs="Times New Roman"/>
      </w:rPr>
    </w:lvl>
    <w:lvl w:ilvl="4" w:tplc="0C090019" w:tentative="1">
      <w:start w:val="1"/>
      <w:numFmt w:val="lowerLetter"/>
      <w:lvlText w:val="%5."/>
      <w:lvlJc w:val="left"/>
      <w:pPr>
        <w:ind w:left="4876" w:hanging="360"/>
      </w:pPr>
      <w:rPr>
        <w:rFonts w:cs="Times New Roman"/>
      </w:rPr>
    </w:lvl>
    <w:lvl w:ilvl="5" w:tplc="0C09001B" w:tentative="1">
      <w:start w:val="1"/>
      <w:numFmt w:val="lowerRoman"/>
      <w:lvlText w:val="%6."/>
      <w:lvlJc w:val="right"/>
      <w:pPr>
        <w:ind w:left="5596" w:hanging="180"/>
      </w:pPr>
      <w:rPr>
        <w:rFonts w:cs="Times New Roman"/>
      </w:rPr>
    </w:lvl>
    <w:lvl w:ilvl="6" w:tplc="0C09000F" w:tentative="1">
      <w:start w:val="1"/>
      <w:numFmt w:val="decimal"/>
      <w:lvlText w:val="%7."/>
      <w:lvlJc w:val="left"/>
      <w:pPr>
        <w:ind w:left="6316" w:hanging="360"/>
      </w:pPr>
      <w:rPr>
        <w:rFonts w:cs="Times New Roman"/>
      </w:rPr>
    </w:lvl>
    <w:lvl w:ilvl="7" w:tplc="0C090019" w:tentative="1">
      <w:start w:val="1"/>
      <w:numFmt w:val="lowerLetter"/>
      <w:lvlText w:val="%8."/>
      <w:lvlJc w:val="left"/>
      <w:pPr>
        <w:ind w:left="7036" w:hanging="360"/>
      </w:pPr>
      <w:rPr>
        <w:rFonts w:cs="Times New Roman"/>
      </w:rPr>
    </w:lvl>
    <w:lvl w:ilvl="8" w:tplc="0C09001B" w:tentative="1">
      <w:start w:val="1"/>
      <w:numFmt w:val="lowerRoman"/>
      <w:lvlText w:val="%9."/>
      <w:lvlJc w:val="right"/>
      <w:pPr>
        <w:ind w:left="7756" w:hanging="180"/>
      </w:pPr>
      <w:rPr>
        <w:rFonts w:cs="Times New Roman"/>
      </w:rPr>
    </w:lvl>
  </w:abstractNum>
  <w:abstractNum w:abstractNumId="15" w15:restartNumberingAfterBreak="0">
    <w:nsid w:val="05B3483A"/>
    <w:multiLevelType w:val="hybridMultilevel"/>
    <w:tmpl w:val="693A320E"/>
    <w:lvl w:ilvl="0" w:tplc="09E4CFE6">
      <w:numFmt w:val="bullet"/>
      <w:lvlText w:val="-"/>
      <w:lvlJc w:val="left"/>
      <w:pPr>
        <w:ind w:left="420" w:hanging="360"/>
      </w:pPr>
      <w:rPr>
        <w:rFonts w:ascii="Arial" w:eastAsiaTheme="minorHAnsi" w:hAnsi="Arial" w:cs="Arial" w:hint="default"/>
      </w:rPr>
    </w:lvl>
    <w:lvl w:ilvl="1" w:tplc="0C090003">
      <w:start w:val="1"/>
      <w:numFmt w:val="bullet"/>
      <w:lvlText w:val="o"/>
      <w:lvlJc w:val="left"/>
      <w:pPr>
        <w:ind w:left="1140" w:hanging="360"/>
      </w:pPr>
      <w:rPr>
        <w:rFonts w:ascii="Courier New" w:hAnsi="Courier New" w:cs="Courier New" w:hint="default"/>
      </w:rPr>
    </w:lvl>
    <w:lvl w:ilvl="2" w:tplc="0C090005">
      <w:start w:val="1"/>
      <w:numFmt w:val="bullet"/>
      <w:lvlText w:val=""/>
      <w:lvlJc w:val="left"/>
      <w:pPr>
        <w:ind w:left="1860" w:hanging="360"/>
      </w:pPr>
      <w:rPr>
        <w:rFonts w:ascii="Wingdings" w:hAnsi="Wingdings" w:hint="default"/>
      </w:rPr>
    </w:lvl>
    <w:lvl w:ilvl="3" w:tplc="0C090001">
      <w:start w:val="1"/>
      <w:numFmt w:val="bullet"/>
      <w:lvlText w:val=""/>
      <w:lvlJc w:val="left"/>
      <w:pPr>
        <w:ind w:left="2580" w:hanging="360"/>
      </w:pPr>
      <w:rPr>
        <w:rFonts w:ascii="Symbol" w:hAnsi="Symbol" w:hint="default"/>
      </w:rPr>
    </w:lvl>
    <w:lvl w:ilvl="4" w:tplc="0C090003">
      <w:start w:val="1"/>
      <w:numFmt w:val="bullet"/>
      <w:lvlText w:val="o"/>
      <w:lvlJc w:val="left"/>
      <w:pPr>
        <w:ind w:left="3300" w:hanging="360"/>
      </w:pPr>
      <w:rPr>
        <w:rFonts w:ascii="Courier New" w:hAnsi="Courier New" w:cs="Courier New" w:hint="default"/>
      </w:rPr>
    </w:lvl>
    <w:lvl w:ilvl="5" w:tplc="0C090005">
      <w:start w:val="1"/>
      <w:numFmt w:val="bullet"/>
      <w:lvlText w:val=""/>
      <w:lvlJc w:val="left"/>
      <w:pPr>
        <w:ind w:left="4020" w:hanging="360"/>
      </w:pPr>
      <w:rPr>
        <w:rFonts w:ascii="Wingdings" w:hAnsi="Wingdings" w:hint="default"/>
      </w:rPr>
    </w:lvl>
    <w:lvl w:ilvl="6" w:tplc="0C090001">
      <w:start w:val="1"/>
      <w:numFmt w:val="bullet"/>
      <w:lvlText w:val=""/>
      <w:lvlJc w:val="left"/>
      <w:pPr>
        <w:ind w:left="4740" w:hanging="360"/>
      </w:pPr>
      <w:rPr>
        <w:rFonts w:ascii="Symbol" w:hAnsi="Symbol" w:hint="default"/>
      </w:rPr>
    </w:lvl>
    <w:lvl w:ilvl="7" w:tplc="0C090003">
      <w:start w:val="1"/>
      <w:numFmt w:val="bullet"/>
      <w:lvlText w:val="o"/>
      <w:lvlJc w:val="left"/>
      <w:pPr>
        <w:ind w:left="5460" w:hanging="360"/>
      </w:pPr>
      <w:rPr>
        <w:rFonts w:ascii="Courier New" w:hAnsi="Courier New" w:cs="Courier New" w:hint="default"/>
      </w:rPr>
    </w:lvl>
    <w:lvl w:ilvl="8" w:tplc="0C090005">
      <w:start w:val="1"/>
      <w:numFmt w:val="bullet"/>
      <w:lvlText w:val=""/>
      <w:lvlJc w:val="left"/>
      <w:pPr>
        <w:ind w:left="6180" w:hanging="360"/>
      </w:pPr>
      <w:rPr>
        <w:rFonts w:ascii="Wingdings" w:hAnsi="Wingdings" w:hint="default"/>
      </w:rPr>
    </w:lvl>
  </w:abstractNum>
  <w:abstractNum w:abstractNumId="16" w15:restartNumberingAfterBreak="0">
    <w:nsid w:val="06256FAB"/>
    <w:multiLevelType w:val="hybridMultilevel"/>
    <w:tmpl w:val="5F141E36"/>
    <w:lvl w:ilvl="0" w:tplc="069CDD90">
      <w:start w:val="1"/>
      <w:numFmt w:val="bullet"/>
      <w:pStyle w:val="Notice"/>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3141"/>
        </w:tabs>
        <w:ind w:left="3141" w:hanging="360"/>
      </w:pPr>
      <w:rPr>
        <w:rFonts w:ascii="Courier New" w:hAnsi="Courier New" w:cs="Courier New" w:hint="default"/>
      </w:rPr>
    </w:lvl>
    <w:lvl w:ilvl="2" w:tplc="04090005" w:tentative="1">
      <w:start w:val="1"/>
      <w:numFmt w:val="bullet"/>
      <w:lvlText w:val=""/>
      <w:lvlJc w:val="left"/>
      <w:pPr>
        <w:tabs>
          <w:tab w:val="num" w:pos="3861"/>
        </w:tabs>
        <w:ind w:left="3861" w:hanging="360"/>
      </w:pPr>
      <w:rPr>
        <w:rFonts w:ascii="Wingdings" w:hAnsi="Wingdings" w:hint="default"/>
      </w:rPr>
    </w:lvl>
    <w:lvl w:ilvl="3" w:tplc="04090001" w:tentative="1">
      <w:start w:val="1"/>
      <w:numFmt w:val="bullet"/>
      <w:lvlText w:val=""/>
      <w:lvlJc w:val="left"/>
      <w:pPr>
        <w:tabs>
          <w:tab w:val="num" w:pos="4581"/>
        </w:tabs>
        <w:ind w:left="4581" w:hanging="360"/>
      </w:pPr>
      <w:rPr>
        <w:rFonts w:ascii="Symbol" w:hAnsi="Symbol" w:hint="default"/>
      </w:rPr>
    </w:lvl>
    <w:lvl w:ilvl="4" w:tplc="04090003" w:tentative="1">
      <w:start w:val="1"/>
      <w:numFmt w:val="bullet"/>
      <w:lvlText w:val="o"/>
      <w:lvlJc w:val="left"/>
      <w:pPr>
        <w:tabs>
          <w:tab w:val="num" w:pos="5301"/>
        </w:tabs>
        <w:ind w:left="5301" w:hanging="360"/>
      </w:pPr>
      <w:rPr>
        <w:rFonts w:ascii="Courier New" w:hAnsi="Courier New" w:cs="Courier New" w:hint="default"/>
      </w:rPr>
    </w:lvl>
    <w:lvl w:ilvl="5" w:tplc="04090005" w:tentative="1">
      <w:start w:val="1"/>
      <w:numFmt w:val="bullet"/>
      <w:lvlText w:val=""/>
      <w:lvlJc w:val="left"/>
      <w:pPr>
        <w:tabs>
          <w:tab w:val="num" w:pos="6021"/>
        </w:tabs>
        <w:ind w:left="6021" w:hanging="360"/>
      </w:pPr>
      <w:rPr>
        <w:rFonts w:ascii="Wingdings" w:hAnsi="Wingdings" w:hint="default"/>
      </w:rPr>
    </w:lvl>
    <w:lvl w:ilvl="6" w:tplc="04090001" w:tentative="1">
      <w:start w:val="1"/>
      <w:numFmt w:val="bullet"/>
      <w:lvlText w:val=""/>
      <w:lvlJc w:val="left"/>
      <w:pPr>
        <w:tabs>
          <w:tab w:val="num" w:pos="6741"/>
        </w:tabs>
        <w:ind w:left="6741" w:hanging="360"/>
      </w:pPr>
      <w:rPr>
        <w:rFonts w:ascii="Symbol" w:hAnsi="Symbol" w:hint="default"/>
      </w:rPr>
    </w:lvl>
    <w:lvl w:ilvl="7" w:tplc="04090003" w:tentative="1">
      <w:start w:val="1"/>
      <w:numFmt w:val="bullet"/>
      <w:lvlText w:val="o"/>
      <w:lvlJc w:val="left"/>
      <w:pPr>
        <w:tabs>
          <w:tab w:val="num" w:pos="7461"/>
        </w:tabs>
        <w:ind w:left="7461" w:hanging="360"/>
      </w:pPr>
      <w:rPr>
        <w:rFonts w:ascii="Courier New" w:hAnsi="Courier New" w:cs="Courier New" w:hint="default"/>
      </w:rPr>
    </w:lvl>
    <w:lvl w:ilvl="8" w:tplc="04090005" w:tentative="1">
      <w:start w:val="1"/>
      <w:numFmt w:val="bullet"/>
      <w:lvlText w:val=""/>
      <w:lvlJc w:val="left"/>
      <w:pPr>
        <w:tabs>
          <w:tab w:val="num" w:pos="8181"/>
        </w:tabs>
        <w:ind w:left="8181" w:hanging="360"/>
      </w:pPr>
      <w:rPr>
        <w:rFonts w:ascii="Wingdings" w:hAnsi="Wingdings" w:hint="default"/>
      </w:rPr>
    </w:lvl>
  </w:abstractNum>
  <w:abstractNum w:abstractNumId="17" w15:restartNumberingAfterBreak="0">
    <w:nsid w:val="063D11BD"/>
    <w:multiLevelType w:val="hybridMultilevel"/>
    <w:tmpl w:val="5CF6A150"/>
    <w:lvl w:ilvl="0" w:tplc="8716E170">
      <w:start w:val="1"/>
      <w:numFmt w:val="bullet"/>
      <w:pStyle w:val="Writeitdown"/>
      <w:lvlText w:val=""/>
      <w:lvlJc w:val="left"/>
      <w:pPr>
        <w:tabs>
          <w:tab w:val="num" w:pos="2058"/>
        </w:tabs>
        <w:ind w:left="2058" w:hanging="357"/>
      </w:pPr>
      <w:rPr>
        <w:rFonts w:ascii="Wingdings" w:hAnsi="Wingdings" w:hint="default"/>
        <w:b/>
        <w:i w:val="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7DD5420"/>
    <w:multiLevelType w:val="hybridMultilevel"/>
    <w:tmpl w:val="1CE012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88D4057"/>
    <w:multiLevelType w:val="hybridMultilevel"/>
    <w:tmpl w:val="2FB6E80C"/>
    <w:lvl w:ilvl="0" w:tplc="1C7C0B2C">
      <w:start w:val="1"/>
      <w:numFmt w:val="none"/>
      <w:pStyle w:val="Editorialnote"/>
      <w:lvlText w:val="Editorial note:"/>
      <w:lvlJc w:val="left"/>
      <w:pPr>
        <w:tabs>
          <w:tab w:val="num" w:pos="4536"/>
        </w:tabs>
        <w:ind w:left="4536" w:hanging="1701"/>
      </w:pPr>
      <w:rPr>
        <w:rFonts w:hint="default"/>
        <w:b/>
        <w:i w:val="0"/>
      </w:rPr>
    </w:lvl>
    <w:lvl w:ilvl="1" w:tplc="0C090019" w:tentative="1">
      <w:start w:val="1"/>
      <w:numFmt w:val="lowerLetter"/>
      <w:lvlText w:val="%2."/>
      <w:lvlJc w:val="left"/>
      <w:pPr>
        <w:tabs>
          <w:tab w:val="num" w:pos="3141"/>
        </w:tabs>
        <w:ind w:left="3141" w:hanging="360"/>
      </w:pPr>
    </w:lvl>
    <w:lvl w:ilvl="2" w:tplc="0C09001B" w:tentative="1">
      <w:start w:val="1"/>
      <w:numFmt w:val="lowerRoman"/>
      <w:lvlText w:val="%3."/>
      <w:lvlJc w:val="right"/>
      <w:pPr>
        <w:tabs>
          <w:tab w:val="num" w:pos="3861"/>
        </w:tabs>
        <w:ind w:left="3861" w:hanging="180"/>
      </w:pPr>
    </w:lvl>
    <w:lvl w:ilvl="3" w:tplc="0C09000F" w:tentative="1">
      <w:start w:val="1"/>
      <w:numFmt w:val="decimal"/>
      <w:lvlText w:val="%4."/>
      <w:lvlJc w:val="left"/>
      <w:pPr>
        <w:tabs>
          <w:tab w:val="num" w:pos="4581"/>
        </w:tabs>
        <w:ind w:left="4581" w:hanging="360"/>
      </w:pPr>
    </w:lvl>
    <w:lvl w:ilvl="4" w:tplc="0C090019" w:tentative="1">
      <w:start w:val="1"/>
      <w:numFmt w:val="lowerLetter"/>
      <w:lvlText w:val="%5."/>
      <w:lvlJc w:val="left"/>
      <w:pPr>
        <w:tabs>
          <w:tab w:val="num" w:pos="5301"/>
        </w:tabs>
        <w:ind w:left="5301" w:hanging="360"/>
      </w:pPr>
    </w:lvl>
    <w:lvl w:ilvl="5" w:tplc="0C09001B" w:tentative="1">
      <w:start w:val="1"/>
      <w:numFmt w:val="lowerRoman"/>
      <w:lvlText w:val="%6."/>
      <w:lvlJc w:val="right"/>
      <w:pPr>
        <w:tabs>
          <w:tab w:val="num" w:pos="6021"/>
        </w:tabs>
        <w:ind w:left="6021" w:hanging="180"/>
      </w:pPr>
    </w:lvl>
    <w:lvl w:ilvl="6" w:tplc="0C09000F" w:tentative="1">
      <w:start w:val="1"/>
      <w:numFmt w:val="decimal"/>
      <w:lvlText w:val="%7."/>
      <w:lvlJc w:val="left"/>
      <w:pPr>
        <w:tabs>
          <w:tab w:val="num" w:pos="6741"/>
        </w:tabs>
        <w:ind w:left="6741" w:hanging="360"/>
      </w:pPr>
    </w:lvl>
    <w:lvl w:ilvl="7" w:tplc="0C090019" w:tentative="1">
      <w:start w:val="1"/>
      <w:numFmt w:val="lowerLetter"/>
      <w:lvlText w:val="%8."/>
      <w:lvlJc w:val="left"/>
      <w:pPr>
        <w:tabs>
          <w:tab w:val="num" w:pos="7461"/>
        </w:tabs>
        <w:ind w:left="7461" w:hanging="360"/>
      </w:pPr>
    </w:lvl>
    <w:lvl w:ilvl="8" w:tplc="0C09001B" w:tentative="1">
      <w:start w:val="1"/>
      <w:numFmt w:val="lowerRoman"/>
      <w:lvlText w:val="%9."/>
      <w:lvlJc w:val="right"/>
      <w:pPr>
        <w:tabs>
          <w:tab w:val="num" w:pos="8181"/>
        </w:tabs>
        <w:ind w:left="8181" w:hanging="180"/>
      </w:pPr>
    </w:lvl>
  </w:abstractNum>
  <w:abstractNum w:abstractNumId="20" w15:restartNumberingAfterBreak="0">
    <w:nsid w:val="0B03205F"/>
    <w:multiLevelType w:val="hybridMultilevel"/>
    <w:tmpl w:val="595A4704"/>
    <w:lvl w:ilvl="0" w:tplc="1C4AB962">
      <w:numFmt w:val="bullet"/>
      <w:lvlText w:val="-"/>
      <w:lvlJc w:val="left"/>
      <w:pPr>
        <w:ind w:left="420" w:hanging="360"/>
      </w:pPr>
      <w:rPr>
        <w:rFonts w:ascii="Arial" w:eastAsiaTheme="minorHAnsi" w:hAnsi="Arial" w:cs="Arial" w:hint="default"/>
      </w:rPr>
    </w:lvl>
    <w:lvl w:ilvl="1" w:tplc="0C090003">
      <w:start w:val="1"/>
      <w:numFmt w:val="bullet"/>
      <w:lvlText w:val="o"/>
      <w:lvlJc w:val="left"/>
      <w:pPr>
        <w:ind w:left="1140" w:hanging="360"/>
      </w:pPr>
      <w:rPr>
        <w:rFonts w:ascii="Courier New" w:hAnsi="Courier New" w:cs="Courier New" w:hint="default"/>
      </w:rPr>
    </w:lvl>
    <w:lvl w:ilvl="2" w:tplc="0C090005">
      <w:start w:val="1"/>
      <w:numFmt w:val="bullet"/>
      <w:lvlText w:val=""/>
      <w:lvlJc w:val="left"/>
      <w:pPr>
        <w:ind w:left="1860" w:hanging="360"/>
      </w:pPr>
      <w:rPr>
        <w:rFonts w:ascii="Wingdings" w:hAnsi="Wingdings" w:hint="default"/>
      </w:rPr>
    </w:lvl>
    <w:lvl w:ilvl="3" w:tplc="0C090001">
      <w:start w:val="1"/>
      <w:numFmt w:val="bullet"/>
      <w:lvlText w:val=""/>
      <w:lvlJc w:val="left"/>
      <w:pPr>
        <w:ind w:left="2580" w:hanging="360"/>
      </w:pPr>
      <w:rPr>
        <w:rFonts w:ascii="Symbol" w:hAnsi="Symbol" w:hint="default"/>
      </w:rPr>
    </w:lvl>
    <w:lvl w:ilvl="4" w:tplc="0C090003">
      <w:start w:val="1"/>
      <w:numFmt w:val="bullet"/>
      <w:lvlText w:val="o"/>
      <w:lvlJc w:val="left"/>
      <w:pPr>
        <w:ind w:left="3300" w:hanging="360"/>
      </w:pPr>
      <w:rPr>
        <w:rFonts w:ascii="Courier New" w:hAnsi="Courier New" w:cs="Courier New" w:hint="default"/>
      </w:rPr>
    </w:lvl>
    <w:lvl w:ilvl="5" w:tplc="0C090005">
      <w:start w:val="1"/>
      <w:numFmt w:val="bullet"/>
      <w:lvlText w:val=""/>
      <w:lvlJc w:val="left"/>
      <w:pPr>
        <w:ind w:left="4020" w:hanging="360"/>
      </w:pPr>
      <w:rPr>
        <w:rFonts w:ascii="Wingdings" w:hAnsi="Wingdings" w:hint="default"/>
      </w:rPr>
    </w:lvl>
    <w:lvl w:ilvl="6" w:tplc="0C090001">
      <w:start w:val="1"/>
      <w:numFmt w:val="bullet"/>
      <w:lvlText w:val=""/>
      <w:lvlJc w:val="left"/>
      <w:pPr>
        <w:ind w:left="4740" w:hanging="360"/>
      </w:pPr>
      <w:rPr>
        <w:rFonts w:ascii="Symbol" w:hAnsi="Symbol" w:hint="default"/>
      </w:rPr>
    </w:lvl>
    <w:lvl w:ilvl="7" w:tplc="0C090003">
      <w:start w:val="1"/>
      <w:numFmt w:val="bullet"/>
      <w:lvlText w:val="o"/>
      <w:lvlJc w:val="left"/>
      <w:pPr>
        <w:ind w:left="5460" w:hanging="360"/>
      </w:pPr>
      <w:rPr>
        <w:rFonts w:ascii="Courier New" w:hAnsi="Courier New" w:cs="Courier New" w:hint="default"/>
      </w:rPr>
    </w:lvl>
    <w:lvl w:ilvl="8" w:tplc="0C090005">
      <w:start w:val="1"/>
      <w:numFmt w:val="bullet"/>
      <w:lvlText w:val=""/>
      <w:lvlJc w:val="left"/>
      <w:pPr>
        <w:ind w:left="6180" w:hanging="360"/>
      </w:pPr>
      <w:rPr>
        <w:rFonts w:ascii="Wingdings" w:hAnsi="Wingdings" w:hint="default"/>
      </w:rPr>
    </w:lvl>
  </w:abstractNum>
  <w:abstractNum w:abstractNumId="21" w15:restartNumberingAfterBreak="0">
    <w:nsid w:val="111F7A2A"/>
    <w:multiLevelType w:val="hybridMultilevel"/>
    <w:tmpl w:val="F124A3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2BF5833"/>
    <w:multiLevelType w:val="multilevel"/>
    <w:tmpl w:val="CF4AEF0C"/>
    <w:name w:val="appendixNum22"/>
    <w:lvl w:ilvl="0">
      <w:start w:val="1"/>
      <w:numFmt w:val="upperLetter"/>
      <w:pStyle w:val="HeadingAppendix1"/>
      <w:suff w:val="space"/>
      <w:lvlText w:val="Appendix %1:"/>
      <w:lvlJc w:val="left"/>
      <w:pPr>
        <w:ind w:left="-1134" w:firstLine="0"/>
      </w:pPr>
      <w:rPr>
        <w:rFonts w:hint="default"/>
      </w:rPr>
    </w:lvl>
    <w:lvl w:ilvl="1">
      <w:start w:val="1"/>
      <w:numFmt w:val="decimal"/>
      <w:pStyle w:val="HeadingAppendix2"/>
      <w:lvlText w:val="%1.%2"/>
      <w:lvlJc w:val="left"/>
      <w:pPr>
        <w:tabs>
          <w:tab w:val="num" w:pos="833"/>
        </w:tabs>
        <w:ind w:left="833" w:hanging="833"/>
      </w:pPr>
      <w:rPr>
        <w:rFonts w:hint="default"/>
      </w:rPr>
    </w:lvl>
    <w:lvl w:ilvl="2">
      <w:start w:val="1"/>
      <w:numFmt w:val="decimal"/>
      <w:pStyle w:val="HeadingAppendix3"/>
      <w:lvlText w:val="%1.%2.%3"/>
      <w:lvlJc w:val="left"/>
      <w:pPr>
        <w:tabs>
          <w:tab w:val="num" w:pos="1134"/>
        </w:tabs>
        <w:ind w:left="1134" w:hanging="1134"/>
      </w:pPr>
      <w:rPr>
        <w:rFonts w:hint="default"/>
      </w:rPr>
    </w:lvl>
    <w:lvl w:ilvl="3">
      <w:start w:val="1"/>
      <w:numFmt w:val="decimal"/>
      <w:pStyle w:val="HeadingAppendix4"/>
      <w:lvlText w:val="%1.%2.%3.%4"/>
      <w:lvlJc w:val="left"/>
      <w:pPr>
        <w:tabs>
          <w:tab w:val="num" w:pos="1418"/>
        </w:tabs>
        <w:ind w:left="1418" w:hanging="1418"/>
      </w:pPr>
      <w:rPr>
        <w:rFonts w:hint="default"/>
      </w:rPr>
    </w:lvl>
    <w:lvl w:ilvl="4">
      <w:start w:val="1"/>
      <w:numFmt w:val="decimal"/>
      <w:pStyle w:val="HeadingAppendix5"/>
      <w:lvlText w:val="%1.%2.%3.%4.%5"/>
      <w:lvlJc w:val="left"/>
      <w:pPr>
        <w:tabs>
          <w:tab w:val="num" w:pos="1701"/>
        </w:tabs>
        <w:ind w:left="1701" w:hanging="1701"/>
      </w:pPr>
      <w:rPr>
        <w:rFonts w:hint="default"/>
      </w:rPr>
    </w:lvl>
    <w:lvl w:ilvl="5">
      <w:start w:val="1"/>
      <w:numFmt w:val="decimal"/>
      <w:lvlText w:val="%1.%2.%3.%4.%5.%6"/>
      <w:lvlJc w:val="left"/>
      <w:pPr>
        <w:tabs>
          <w:tab w:val="num" w:pos="-1116"/>
        </w:tabs>
        <w:ind w:left="-1116" w:hanging="1152"/>
      </w:pPr>
      <w:rPr>
        <w:rFonts w:hint="default"/>
      </w:rPr>
    </w:lvl>
    <w:lvl w:ilvl="6">
      <w:start w:val="1"/>
      <w:numFmt w:val="decimal"/>
      <w:lvlText w:val="%1.%2.%3.%4.%5.%6.%7"/>
      <w:lvlJc w:val="left"/>
      <w:pPr>
        <w:tabs>
          <w:tab w:val="num" w:pos="-972"/>
        </w:tabs>
        <w:ind w:left="-972" w:hanging="1296"/>
      </w:pPr>
      <w:rPr>
        <w:rFonts w:hint="default"/>
      </w:rPr>
    </w:lvl>
    <w:lvl w:ilvl="7">
      <w:start w:val="1"/>
      <w:numFmt w:val="decimal"/>
      <w:lvlText w:val="%1.%2.%3.%4.%5.%6.%7.%8"/>
      <w:lvlJc w:val="left"/>
      <w:pPr>
        <w:tabs>
          <w:tab w:val="num" w:pos="-828"/>
        </w:tabs>
        <w:ind w:left="-828" w:hanging="1440"/>
      </w:pPr>
      <w:rPr>
        <w:rFonts w:hint="default"/>
      </w:rPr>
    </w:lvl>
    <w:lvl w:ilvl="8">
      <w:start w:val="1"/>
      <w:numFmt w:val="decimal"/>
      <w:lvlText w:val="%1.%2.%3.%4.%5.%6.%7.%8.%9"/>
      <w:lvlJc w:val="left"/>
      <w:pPr>
        <w:tabs>
          <w:tab w:val="num" w:pos="-684"/>
        </w:tabs>
        <w:ind w:left="-684" w:hanging="1584"/>
      </w:pPr>
      <w:rPr>
        <w:rFonts w:hint="default"/>
      </w:rPr>
    </w:lvl>
  </w:abstractNum>
  <w:abstractNum w:abstractNumId="23" w15:restartNumberingAfterBreak="0">
    <w:nsid w:val="12C36664"/>
    <w:multiLevelType w:val="hybridMultilevel"/>
    <w:tmpl w:val="CDF84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6AE5212"/>
    <w:multiLevelType w:val="hybridMultilevel"/>
    <w:tmpl w:val="A2F41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6B72BBE"/>
    <w:multiLevelType w:val="hybridMultilevel"/>
    <w:tmpl w:val="9434F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7B65416"/>
    <w:multiLevelType w:val="hybridMultilevel"/>
    <w:tmpl w:val="0F3A982A"/>
    <w:lvl w:ilvl="0" w:tplc="6C14CFB0">
      <w:start w:val="1"/>
      <w:numFmt w:val="bullet"/>
      <w:pStyle w:val="Bullet"/>
      <w:lvlText w:val=""/>
      <w:lvlJc w:val="left"/>
      <w:pPr>
        <w:tabs>
          <w:tab w:val="num" w:pos="2061"/>
        </w:tabs>
        <w:ind w:left="2058" w:hanging="357"/>
      </w:pPr>
      <w:rPr>
        <w:rFonts w:ascii="Wingdings 3" w:hAnsi="Wingdings 3" w:hint="default"/>
        <w:color w:val="336699"/>
      </w:rPr>
    </w:lvl>
    <w:lvl w:ilvl="1" w:tplc="04090003">
      <w:start w:val="1"/>
      <w:numFmt w:val="bullet"/>
      <w:lvlText w:val="o"/>
      <w:lvlJc w:val="left"/>
      <w:pPr>
        <w:tabs>
          <w:tab w:val="num" w:pos="3141"/>
        </w:tabs>
        <w:ind w:left="3141" w:hanging="360"/>
      </w:pPr>
      <w:rPr>
        <w:rFonts w:ascii="Courier New" w:hAnsi="Courier New" w:hint="default"/>
      </w:rPr>
    </w:lvl>
    <w:lvl w:ilvl="2" w:tplc="04090005">
      <w:start w:val="1"/>
      <w:numFmt w:val="bullet"/>
      <w:lvlText w:val=""/>
      <w:lvlJc w:val="left"/>
      <w:pPr>
        <w:tabs>
          <w:tab w:val="num" w:pos="3861"/>
        </w:tabs>
        <w:ind w:left="3861" w:hanging="360"/>
      </w:pPr>
      <w:rPr>
        <w:rFonts w:ascii="Wingdings" w:hAnsi="Wingdings" w:hint="default"/>
      </w:rPr>
    </w:lvl>
    <w:lvl w:ilvl="3" w:tplc="04090001">
      <w:start w:val="1"/>
      <w:numFmt w:val="bullet"/>
      <w:lvlText w:val=""/>
      <w:lvlJc w:val="left"/>
      <w:pPr>
        <w:tabs>
          <w:tab w:val="num" w:pos="4581"/>
        </w:tabs>
        <w:ind w:left="4581" w:hanging="360"/>
      </w:pPr>
      <w:rPr>
        <w:rFonts w:ascii="Symbol" w:hAnsi="Symbol" w:hint="default"/>
      </w:rPr>
    </w:lvl>
    <w:lvl w:ilvl="4" w:tplc="04090003" w:tentative="1">
      <w:start w:val="1"/>
      <w:numFmt w:val="bullet"/>
      <w:lvlText w:val="o"/>
      <w:lvlJc w:val="left"/>
      <w:pPr>
        <w:tabs>
          <w:tab w:val="num" w:pos="5301"/>
        </w:tabs>
        <w:ind w:left="5301" w:hanging="360"/>
      </w:pPr>
      <w:rPr>
        <w:rFonts w:ascii="Courier New" w:hAnsi="Courier New" w:hint="default"/>
      </w:rPr>
    </w:lvl>
    <w:lvl w:ilvl="5" w:tplc="04090005" w:tentative="1">
      <w:start w:val="1"/>
      <w:numFmt w:val="bullet"/>
      <w:lvlText w:val=""/>
      <w:lvlJc w:val="left"/>
      <w:pPr>
        <w:tabs>
          <w:tab w:val="num" w:pos="6021"/>
        </w:tabs>
        <w:ind w:left="6021" w:hanging="360"/>
      </w:pPr>
      <w:rPr>
        <w:rFonts w:ascii="Wingdings" w:hAnsi="Wingdings" w:hint="default"/>
      </w:rPr>
    </w:lvl>
    <w:lvl w:ilvl="6" w:tplc="04090001" w:tentative="1">
      <w:start w:val="1"/>
      <w:numFmt w:val="bullet"/>
      <w:lvlText w:val=""/>
      <w:lvlJc w:val="left"/>
      <w:pPr>
        <w:tabs>
          <w:tab w:val="num" w:pos="6741"/>
        </w:tabs>
        <w:ind w:left="6741" w:hanging="360"/>
      </w:pPr>
      <w:rPr>
        <w:rFonts w:ascii="Symbol" w:hAnsi="Symbol" w:hint="default"/>
      </w:rPr>
    </w:lvl>
    <w:lvl w:ilvl="7" w:tplc="04090003" w:tentative="1">
      <w:start w:val="1"/>
      <w:numFmt w:val="bullet"/>
      <w:lvlText w:val="o"/>
      <w:lvlJc w:val="left"/>
      <w:pPr>
        <w:tabs>
          <w:tab w:val="num" w:pos="7461"/>
        </w:tabs>
        <w:ind w:left="7461" w:hanging="360"/>
      </w:pPr>
      <w:rPr>
        <w:rFonts w:ascii="Courier New" w:hAnsi="Courier New" w:hint="default"/>
      </w:rPr>
    </w:lvl>
    <w:lvl w:ilvl="8" w:tplc="04090005" w:tentative="1">
      <w:start w:val="1"/>
      <w:numFmt w:val="bullet"/>
      <w:lvlText w:val=""/>
      <w:lvlJc w:val="left"/>
      <w:pPr>
        <w:tabs>
          <w:tab w:val="num" w:pos="8181"/>
        </w:tabs>
        <w:ind w:left="8181" w:hanging="360"/>
      </w:pPr>
      <w:rPr>
        <w:rFonts w:ascii="Wingdings" w:hAnsi="Wingdings" w:hint="default"/>
      </w:rPr>
    </w:lvl>
  </w:abstractNum>
  <w:abstractNum w:abstractNumId="27" w15:restartNumberingAfterBreak="0">
    <w:nsid w:val="1B096344"/>
    <w:multiLevelType w:val="hybridMultilevel"/>
    <w:tmpl w:val="88940A66"/>
    <w:lvl w:ilvl="0" w:tplc="1C9E465C">
      <w:start w:val="1"/>
      <w:numFmt w:val="bullet"/>
      <w:pStyle w:val="Warning"/>
      <w:lvlText w:val=""/>
      <w:lvlJc w:val="left"/>
      <w:pPr>
        <w:tabs>
          <w:tab w:val="num" w:pos="2061"/>
        </w:tabs>
        <w:ind w:left="2058" w:hanging="357"/>
      </w:pPr>
      <w:rPr>
        <w:rFonts w:ascii="Wingdings" w:hAnsi="Wingdings" w:hint="default"/>
        <w:sz w:val="28"/>
        <w:szCs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CA228DB"/>
    <w:multiLevelType w:val="hybridMultilevel"/>
    <w:tmpl w:val="4B845C6C"/>
    <w:lvl w:ilvl="0" w:tplc="C2084356">
      <w:numFmt w:val="bullet"/>
      <w:lvlText w:val="-"/>
      <w:lvlJc w:val="left"/>
      <w:pPr>
        <w:ind w:left="720" w:hanging="360"/>
      </w:pPr>
      <w:rPr>
        <w:rFonts w:ascii="Calibri" w:eastAsiaTheme="minorHAnsi" w:hAnsi="Calibri" w:cs="Calibri"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1E002126"/>
    <w:multiLevelType w:val="multilevel"/>
    <w:tmpl w:val="FC2255C8"/>
    <w:lvl w:ilvl="0">
      <w:start w:val="1"/>
      <w:numFmt w:val="bullet"/>
      <w:lvlText w:val=""/>
      <w:lvlJc w:val="left"/>
      <w:pPr>
        <w:tabs>
          <w:tab w:val="num" w:pos="924"/>
        </w:tabs>
        <w:ind w:left="924" w:hanging="924"/>
      </w:pPr>
      <w:rPr>
        <w:rFonts w:ascii="Symbol" w:hAnsi="Symbol" w:hint="default"/>
        <w:b w:val="0"/>
        <w:i w:val="0"/>
        <w:color w:val="auto"/>
        <w:sz w:val="16"/>
      </w:rPr>
    </w:lvl>
    <w:lvl w:ilvl="1">
      <w:start w:val="1"/>
      <w:numFmt w:val="bullet"/>
      <w:lvlText w:val=""/>
      <w:lvlJc w:val="left"/>
      <w:pPr>
        <w:tabs>
          <w:tab w:val="num" w:pos="1848"/>
        </w:tabs>
        <w:ind w:left="1848" w:hanging="924"/>
      </w:pPr>
      <w:rPr>
        <w:rFonts w:ascii="Symbol" w:hAnsi="Symbol" w:hint="default"/>
        <w:b w:val="0"/>
        <w:i w:val="0"/>
        <w:color w:val="auto"/>
        <w:sz w:val="16"/>
      </w:rPr>
    </w:lvl>
    <w:lvl w:ilvl="2">
      <w:start w:val="1"/>
      <w:numFmt w:val="bullet"/>
      <w:pStyle w:val="PFBulletLevel1"/>
      <w:lvlText w:val=""/>
      <w:lvlJc w:val="left"/>
      <w:pPr>
        <w:tabs>
          <w:tab w:val="num" w:pos="2773"/>
        </w:tabs>
        <w:ind w:left="2773" w:hanging="925"/>
      </w:pPr>
      <w:rPr>
        <w:rFonts w:ascii="Symbol" w:hAnsi="Symbol" w:hint="default"/>
        <w:b w:val="0"/>
        <w:i w:val="0"/>
        <w:color w:val="auto"/>
        <w:sz w:val="16"/>
      </w:rPr>
    </w:lvl>
    <w:lvl w:ilvl="3">
      <w:start w:val="1"/>
      <w:numFmt w:val="bullet"/>
      <w:pStyle w:val="PFBulletLevel2"/>
      <w:lvlText w:val=""/>
      <w:lvlJc w:val="left"/>
      <w:pPr>
        <w:tabs>
          <w:tab w:val="num" w:pos="3697"/>
        </w:tabs>
        <w:ind w:left="3697" w:hanging="924"/>
      </w:pPr>
      <w:rPr>
        <w:rFonts w:ascii="Symbol" w:hAnsi="Symbol" w:hint="default"/>
        <w:b w:val="0"/>
        <w:i w:val="0"/>
        <w:color w:val="auto"/>
        <w:sz w:val="16"/>
      </w:rPr>
    </w:lvl>
    <w:lvl w:ilvl="4">
      <w:start w:val="1"/>
      <w:numFmt w:val="none"/>
      <w:suff w:val="nothing"/>
      <w:lvlText w:val=""/>
      <w:lvlJc w:val="left"/>
      <w:pPr>
        <w:ind w:left="3708" w:firstLine="0"/>
      </w:pPr>
      <w:rPr>
        <w:rFonts w:hint="default"/>
      </w:rPr>
    </w:lvl>
    <w:lvl w:ilvl="5">
      <w:start w:val="1"/>
      <w:numFmt w:val="none"/>
      <w:suff w:val="nothing"/>
      <w:lvlText w:val=""/>
      <w:lvlJc w:val="left"/>
      <w:pPr>
        <w:ind w:left="3708" w:firstLine="0"/>
      </w:pPr>
      <w:rPr>
        <w:rFonts w:hint="default"/>
      </w:rPr>
    </w:lvl>
    <w:lvl w:ilvl="6">
      <w:start w:val="1"/>
      <w:numFmt w:val="none"/>
      <w:lvlText w:val="%7."/>
      <w:lvlJc w:val="left"/>
      <w:pPr>
        <w:tabs>
          <w:tab w:val="num" w:pos="6228"/>
        </w:tabs>
        <w:ind w:left="6228" w:hanging="360"/>
      </w:pPr>
      <w:rPr>
        <w:rFonts w:hint="default"/>
      </w:rPr>
    </w:lvl>
    <w:lvl w:ilvl="7">
      <w:start w:val="1"/>
      <w:numFmt w:val="lowerLetter"/>
      <w:lvlText w:val="%8."/>
      <w:lvlJc w:val="left"/>
      <w:pPr>
        <w:tabs>
          <w:tab w:val="num" w:pos="6588"/>
        </w:tabs>
        <w:ind w:left="6588" w:hanging="360"/>
      </w:pPr>
      <w:rPr>
        <w:rFonts w:hint="default"/>
      </w:rPr>
    </w:lvl>
    <w:lvl w:ilvl="8">
      <w:start w:val="1"/>
      <w:numFmt w:val="lowerRoman"/>
      <w:lvlText w:val="%9."/>
      <w:lvlJc w:val="left"/>
      <w:pPr>
        <w:tabs>
          <w:tab w:val="num" w:pos="6948"/>
        </w:tabs>
        <w:ind w:left="6948" w:hanging="360"/>
      </w:pPr>
      <w:rPr>
        <w:rFonts w:hint="default"/>
      </w:rPr>
    </w:lvl>
  </w:abstractNum>
  <w:abstractNum w:abstractNumId="30" w15:restartNumberingAfterBreak="0">
    <w:nsid w:val="202D27F6"/>
    <w:multiLevelType w:val="hybridMultilevel"/>
    <w:tmpl w:val="92DC6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2166480"/>
    <w:multiLevelType w:val="multilevel"/>
    <w:tmpl w:val="482AFAFE"/>
    <w:lvl w:ilvl="0">
      <w:start w:val="1"/>
      <w:numFmt w:val="upperLetter"/>
      <w:pStyle w:val="Attachmentheading"/>
      <w:suff w:val="nothing"/>
      <w:lvlText w:val="Attachment %1"/>
      <w:lvlJc w:val="left"/>
      <w:pPr>
        <w:ind w:left="0" w:firstLine="0"/>
      </w:pPr>
      <w:rPr>
        <w:rFonts w:hint="default"/>
      </w:rPr>
    </w:lvl>
    <w:lvl w:ilvl="1">
      <w:start w:val="1"/>
      <w:numFmt w:val="decimal"/>
      <w:pStyle w:val="AttachmentHeading2"/>
      <w:lvlText w:val="%1.%2"/>
      <w:lvlJc w:val="left"/>
      <w:pPr>
        <w:tabs>
          <w:tab w:val="num" w:pos="833"/>
        </w:tabs>
        <w:ind w:left="833" w:hanging="833"/>
      </w:pPr>
      <w:rPr>
        <w:rFonts w:hint="default"/>
      </w:rPr>
    </w:lvl>
    <w:lvl w:ilvl="2">
      <w:start w:val="1"/>
      <w:numFmt w:val="decimal"/>
      <w:pStyle w:val="AttachmentHeading3"/>
      <w:lvlText w:val="%1.%2.%3"/>
      <w:lvlJc w:val="left"/>
      <w:pPr>
        <w:tabs>
          <w:tab w:val="num" w:pos="833"/>
        </w:tabs>
        <w:ind w:left="833" w:hanging="833"/>
      </w:pPr>
      <w:rPr>
        <w:rFonts w:hint="default"/>
      </w:rPr>
    </w:lvl>
    <w:lvl w:ilvl="3">
      <w:start w:val="1"/>
      <w:numFmt w:val="decimal"/>
      <w:pStyle w:val="AttachmentHeading4"/>
      <w:lvlText w:val="%1.%2.%3.%4"/>
      <w:lvlJc w:val="left"/>
      <w:pPr>
        <w:tabs>
          <w:tab w:val="num" w:pos="833"/>
        </w:tabs>
        <w:ind w:left="833" w:hanging="83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224C040C"/>
    <w:multiLevelType w:val="hybridMultilevel"/>
    <w:tmpl w:val="E550AC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2AE1A71"/>
    <w:multiLevelType w:val="hybridMultilevel"/>
    <w:tmpl w:val="115E8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4602DE3"/>
    <w:multiLevelType w:val="hybridMultilevel"/>
    <w:tmpl w:val="496660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25D62BD4"/>
    <w:multiLevelType w:val="multilevel"/>
    <w:tmpl w:val="8DB6DFBE"/>
    <w:lvl w:ilvl="0">
      <w:start w:val="1"/>
      <w:numFmt w:val="upperLetter"/>
      <w:pStyle w:val="Appendix1"/>
      <w:lvlText w:val="Appendix %1."/>
      <w:lvlJc w:val="left"/>
      <w:pPr>
        <w:tabs>
          <w:tab w:val="num" w:pos="4678"/>
        </w:tabs>
        <w:ind w:left="4678" w:hanging="1276"/>
      </w:pPr>
      <w:rPr>
        <w:rFonts w:cs="Times New Roman" w:hint="default"/>
      </w:rPr>
    </w:lvl>
    <w:lvl w:ilvl="1">
      <w:start w:val="1"/>
      <w:numFmt w:val="decimal"/>
      <w:pStyle w:val="Appendix2"/>
      <w:lvlText w:val="%1.%2."/>
      <w:lvlJc w:val="left"/>
      <w:pPr>
        <w:tabs>
          <w:tab w:val="num" w:pos="1276"/>
        </w:tabs>
        <w:ind w:left="1276" w:hanging="1276"/>
      </w:pPr>
      <w:rPr>
        <w:rFonts w:cs="Times New Roman"/>
        <w:b w:val="0"/>
        <w:bCs w:val="0"/>
        <w:i w:val="0"/>
        <w:iCs w:val="0"/>
        <w:caps w:val="0"/>
        <w:smallCaps w:val="0"/>
        <w:strike w:val="0"/>
        <w:dstrike w:val="0"/>
        <w:vanish w:val="0"/>
        <w:spacing w:val="0"/>
        <w:kern w:val="0"/>
        <w:position w:val="0"/>
        <w:u w:val="none"/>
        <w:vertAlign w:val="baseline"/>
      </w:rPr>
    </w:lvl>
    <w:lvl w:ilvl="2">
      <w:start w:val="1"/>
      <w:numFmt w:val="decimal"/>
      <w:pStyle w:val="Appendix3"/>
      <w:lvlText w:val="%1.%2.%3."/>
      <w:lvlJc w:val="left"/>
      <w:pPr>
        <w:tabs>
          <w:tab w:val="num" w:pos="1276"/>
        </w:tabs>
        <w:ind w:left="1276" w:hanging="1276"/>
      </w:pPr>
      <w:rPr>
        <w:rFonts w:cs="Times New Roman" w:hint="default"/>
      </w:rPr>
    </w:lvl>
    <w:lvl w:ilvl="3">
      <w:start w:val="1"/>
      <w:numFmt w:val="decimal"/>
      <w:pStyle w:val="Appendix4"/>
      <w:lvlText w:val="%1.%2.%3.%4."/>
      <w:lvlJc w:val="left"/>
      <w:pPr>
        <w:tabs>
          <w:tab w:val="num" w:pos="1276"/>
        </w:tabs>
        <w:ind w:left="1276" w:hanging="1276"/>
      </w:pPr>
      <w:rPr>
        <w:rFonts w:cs="Times New Roman" w:hint="default"/>
      </w:rPr>
    </w:lvl>
    <w:lvl w:ilvl="4">
      <w:start w:val="1"/>
      <w:numFmt w:val="decimal"/>
      <w:lvlText w:val="%1.%2.%3.%4.%5."/>
      <w:lvlJc w:val="left"/>
      <w:pPr>
        <w:tabs>
          <w:tab w:val="num" w:pos="1276"/>
        </w:tabs>
        <w:ind w:left="1276" w:hanging="1276"/>
      </w:pPr>
      <w:rPr>
        <w:rFonts w:cs="Times New Roman" w:hint="default"/>
      </w:rPr>
    </w:lvl>
    <w:lvl w:ilvl="5">
      <w:start w:val="1"/>
      <w:numFmt w:val="decimal"/>
      <w:lvlText w:val="%1.%2.%3.%4.%5.%6."/>
      <w:lvlJc w:val="left"/>
      <w:pPr>
        <w:tabs>
          <w:tab w:val="num" w:pos="1276"/>
        </w:tabs>
        <w:ind w:left="1276" w:hanging="127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6" w15:restartNumberingAfterBreak="0">
    <w:nsid w:val="281A2104"/>
    <w:multiLevelType w:val="hybridMultilevel"/>
    <w:tmpl w:val="A27284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282B2F17"/>
    <w:multiLevelType w:val="hybridMultilevel"/>
    <w:tmpl w:val="7BD04A86"/>
    <w:lvl w:ilvl="0" w:tplc="0C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38" w15:restartNumberingAfterBreak="0">
    <w:nsid w:val="29497EE4"/>
    <w:multiLevelType w:val="multilevel"/>
    <w:tmpl w:val="FF86645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i w:val="0"/>
      </w:rPr>
    </w:lvl>
    <w:lvl w:ilvl="2">
      <w:start w:val="1"/>
      <w:numFmt w:val="decimal"/>
      <w:pStyle w:val="Heading3"/>
      <w:lvlText w:val="%1.%2.%3"/>
      <w:lvlJc w:val="left"/>
      <w:pPr>
        <w:tabs>
          <w:tab w:val="num" w:pos="720"/>
        </w:tabs>
        <w:ind w:left="720" w:hanging="72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9" w15:restartNumberingAfterBreak="0">
    <w:nsid w:val="2A2335C7"/>
    <w:multiLevelType w:val="hybridMultilevel"/>
    <w:tmpl w:val="28DAA1EC"/>
    <w:lvl w:ilvl="0" w:tplc="CCE6416C">
      <w:start w:val="1"/>
      <w:numFmt w:val="decimal"/>
      <w:lvlText w:val="%1."/>
      <w:lvlJc w:val="left"/>
      <w:pPr>
        <w:tabs>
          <w:tab w:val="num" w:pos="777"/>
        </w:tabs>
        <w:ind w:left="777" w:hanging="360"/>
      </w:pPr>
      <w:rPr>
        <w:rFonts w:ascii="Arial" w:hAnsi="Arial" w:hint="default"/>
        <w:b w:val="0"/>
        <w:i w:val="0"/>
        <w:sz w:val="22"/>
      </w:rPr>
    </w:lvl>
    <w:lvl w:ilvl="1" w:tplc="65166098">
      <w:numFmt w:val="bullet"/>
      <w:lvlText w:val="-"/>
      <w:lvlJc w:val="left"/>
      <w:pPr>
        <w:ind w:left="1497" w:hanging="360"/>
      </w:pPr>
      <w:rPr>
        <w:rFonts w:ascii="Arial" w:eastAsia="Times New Roman" w:hAnsi="Arial" w:cs="Arial" w:hint="default"/>
      </w:r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abstractNum w:abstractNumId="40" w15:restartNumberingAfterBreak="0">
    <w:nsid w:val="2A2F1693"/>
    <w:multiLevelType w:val="hybridMultilevel"/>
    <w:tmpl w:val="71AC6610"/>
    <w:lvl w:ilvl="0" w:tplc="0C090001">
      <w:start w:val="1"/>
      <w:numFmt w:val="bullet"/>
      <w:lvlText w:val=""/>
      <w:lvlJc w:val="left"/>
      <w:pPr>
        <w:ind w:left="1996" w:hanging="360"/>
      </w:pPr>
      <w:rPr>
        <w:rFonts w:ascii="Symbol" w:hAnsi="Symbol" w:hint="default"/>
      </w:rPr>
    </w:lvl>
    <w:lvl w:ilvl="1" w:tplc="0C090003" w:tentative="1">
      <w:start w:val="1"/>
      <w:numFmt w:val="bullet"/>
      <w:lvlText w:val="o"/>
      <w:lvlJc w:val="left"/>
      <w:pPr>
        <w:ind w:left="2716" w:hanging="360"/>
      </w:pPr>
      <w:rPr>
        <w:rFonts w:ascii="Courier New" w:hAnsi="Courier New"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hint="default"/>
      </w:rPr>
    </w:lvl>
    <w:lvl w:ilvl="8" w:tplc="0C090005" w:tentative="1">
      <w:start w:val="1"/>
      <w:numFmt w:val="bullet"/>
      <w:lvlText w:val=""/>
      <w:lvlJc w:val="left"/>
      <w:pPr>
        <w:ind w:left="7756" w:hanging="360"/>
      </w:pPr>
      <w:rPr>
        <w:rFonts w:ascii="Wingdings" w:hAnsi="Wingdings" w:hint="default"/>
      </w:rPr>
    </w:lvl>
  </w:abstractNum>
  <w:abstractNum w:abstractNumId="41" w15:restartNumberingAfterBreak="0">
    <w:nsid w:val="2B343076"/>
    <w:multiLevelType w:val="hybridMultilevel"/>
    <w:tmpl w:val="26E69150"/>
    <w:lvl w:ilvl="0" w:tplc="584A9792">
      <w:start w:val="1"/>
      <w:numFmt w:val="bullet"/>
      <w:pStyle w:val="baresumeblackbullets"/>
      <w:lvlText w:val=""/>
      <w:lvlJc w:val="left"/>
      <w:pPr>
        <w:ind w:left="1636" w:hanging="360"/>
      </w:pPr>
      <w:rPr>
        <w:rFonts w:ascii="Symbol" w:hAnsi="Symbol" w:hint="default"/>
      </w:rPr>
    </w:lvl>
    <w:lvl w:ilvl="1" w:tplc="0C090003" w:tentative="1">
      <w:start w:val="1"/>
      <w:numFmt w:val="bullet"/>
      <w:lvlText w:val="o"/>
      <w:lvlJc w:val="left"/>
      <w:pPr>
        <w:ind w:left="2356" w:hanging="360"/>
      </w:pPr>
      <w:rPr>
        <w:rFonts w:ascii="Courier New" w:hAnsi="Courier New" w:hint="default"/>
      </w:rPr>
    </w:lvl>
    <w:lvl w:ilvl="2" w:tplc="0C090005" w:tentative="1">
      <w:start w:val="1"/>
      <w:numFmt w:val="bullet"/>
      <w:lvlText w:val=""/>
      <w:lvlJc w:val="left"/>
      <w:pPr>
        <w:ind w:left="3076" w:hanging="360"/>
      </w:pPr>
      <w:rPr>
        <w:rFonts w:ascii="Wingdings" w:hAnsi="Wingdings" w:hint="default"/>
      </w:rPr>
    </w:lvl>
    <w:lvl w:ilvl="3" w:tplc="0C090001" w:tentative="1">
      <w:start w:val="1"/>
      <w:numFmt w:val="bullet"/>
      <w:lvlText w:val=""/>
      <w:lvlJc w:val="left"/>
      <w:pPr>
        <w:ind w:left="3796" w:hanging="360"/>
      </w:pPr>
      <w:rPr>
        <w:rFonts w:ascii="Symbol" w:hAnsi="Symbol" w:hint="default"/>
      </w:rPr>
    </w:lvl>
    <w:lvl w:ilvl="4" w:tplc="0C090003" w:tentative="1">
      <w:start w:val="1"/>
      <w:numFmt w:val="bullet"/>
      <w:lvlText w:val="o"/>
      <w:lvlJc w:val="left"/>
      <w:pPr>
        <w:ind w:left="4516" w:hanging="360"/>
      </w:pPr>
      <w:rPr>
        <w:rFonts w:ascii="Courier New" w:hAnsi="Courier New" w:hint="default"/>
      </w:rPr>
    </w:lvl>
    <w:lvl w:ilvl="5" w:tplc="0C090005" w:tentative="1">
      <w:start w:val="1"/>
      <w:numFmt w:val="bullet"/>
      <w:lvlText w:val=""/>
      <w:lvlJc w:val="left"/>
      <w:pPr>
        <w:ind w:left="5236" w:hanging="360"/>
      </w:pPr>
      <w:rPr>
        <w:rFonts w:ascii="Wingdings" w:hAnsi="Wingdings" w:hint="default"/>
      </w:rPr>
    </w:lvl>
    <w:lvl w:ilvl="6" w:tplc="0C090001" w:tentative="1">
      <w:start w:val="1"/>
      <w:numFmt w:val="bullet"/>
      <w:lvlText w:val=""/>
      <w:lvlJc w:val="left"/>
      <w:pPr>
        <w:ind w:left="5956" w:hanging="360"/>
      </w:pPr>
      <w:rPr>
        <w:rFonts w:ascii="Symbol" w:hAnsi="Symbol" w:hint="default"/>
      </w:rPr>
    </w:lvl>
    <w:lvl w:ilvl="7" w:tplc="0C090003" w:tentative="1">
      <w:start w:val="1"/>
      <w:numFmt w:val="bullet"/>
      <w:lvlText w:val="o"/>
      <w:lvlJc w:val="left"/>
      <w:pPr>
        <w:ind w:left="6676" w:hanging="360"/>
      </w:pPr>
      <w:rPr>
        <w:rFonts w:ascii="Courier New" w:hAnsi="Courier New" w:hint="default"/>
      </w:rPr>
    </w:lvl>
    <w:lvl w:ilvl="8" w:tplc="0C090005" w:tentative="1">
      <w:start w:val="1"/>
      <w:numFmt w:val="bullet"/>
      <w:lvlText w:val=""/>
      <w:lvlJc w:val="left"/>
      <w:pPr>
        <w:ind w:left="7396" w:hanging="360"/>
      </w:pPr>
      <w:rPr>
        <w:rFonts w:ascii="Wingdings" w:hAnsi="Wingdings" w:hint="default"/>
      </w:rPr>
    </w:lvl>
  </w:abstractNum>
  <w:abstractNum w:abstractNumId="42" w15:restartNumberingAfterBreak="0">
    <w:nsid w:val="2E2C1678"/>
    <w:multiLevelType w:val="hybridMultilevel"/>
    <w:tmpl w:val="F1F279DC"/>
    <w:lvl w:ilvl="0" w:tplc="73A62D6A">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0206BC6"/>
    <w:multiLevelType w:val="hybridMultilevel"/>
    <w:tmpl w:val="A2202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2313B07"/>
    <w:multiLevelType w:val="multilevel"/>
    <w:tmpl w:val="5AD65F7C"/>
    <w:lvl w:ilvl="0">
      <w:start w:val="1"/>
      <w:numFmt w:val="decimal"/>
      <w:pStyle w:val="StyleHeading1Before6ptAfter12pt"/>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5" w15:restartNumberingAfterBreak="0">
    <w:nsid w:val="32EB1670"/>
    <w:multiLevelType w:val="hybridMultilevel"/>
    <w:tmpl w:val="0262C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40A1097"/>
    <w:multiLevelType w:val="hybridMultilevel"/>
    <w:tmpl w:val="2B34CD2E"/>
    <w:lvl w:ilvl="0" w:tplc="0C090003">
      <w:start w:val="1"/>
      <w:numFmt w:val="bullet"/>
      <w:lvlText w:val="o"/>
      <w:lvlJc w:val="left"/>
      <w:pPr>
        <w:ind w:left="1760" w:hanging="360"/>
      </w:pPr>
      <w:rPr>
        <w:rFonts w:ascii="Courier New" w:hAnsi="Courier New" w:cs="Courier New" w:hint="default"/>
      </w:rPr>
    </w:lvl>
    <w:lvl w:ilvl="1" w:tplc="0C090003" w:tentative="1">
      <w:start w:val="1"/>
      <w:numFmt w:val="bullet"/>
      <w:lvlText w:val="o"/>
      <w:lvlJc w:val="left"/>
      <w:pPr>
        <w:ind w:left="2480" w:hanging="360"/>
      </w:pPr>
      <w:rPr>
        <w:rFonts w:ascii="Courier New" w:hAnsi="Courier New" w:cs="Courier New" w:hint="default"/>
      </w:rPr>
    </w:lvl>
    <w:lvl w:ilvl="2" w:tplc="0C090005" w:tentative="1">
      <w:start w:val="1"/>
      <w:numFmt w:val="bullet"/>
      <w:lvlText w:val=""/>
      <w:lvlJc w:val="left"/>
      <w:pPr>
        <w:ind w:left="3200" w:hanging="360"/>
      </w:pPr>
      <w:rPr>
        <w:rFonts w:ascii="Wingdings" w:hAnsi="Wingdings" w:hint="default"/>
      </w:rPr>
    </w:lvl>
    <w:lvl w:ilvl="3" w:tplc="0C090001" w:tentative="1">
      <w:start w:val="1"/>
      <w:numFmt w:val="bullet"/>
      <w:lvlText w:val=""/>
      <w:lvlJc w:val="left"/>
      <w:pPr>
        <w:ind w:left="3920" w:hanging="360"/>
      </w:pPr>
      <w:rPr>
        <w:rFonts w:ascii="Symbol" w:hAnsi="Symbol" w:hint="default"/>
      </w:rPr>
    </w:lvl>
    <w:lvl w:ilvl="4" w:tplc="0C090003" w:tentative="1">
      <w:start w:val="1"/>
      <w:numFmt w:val="bullet"/>
      <w:lvlText w:val="o"/>
      <w:lvlJc w:val="left"/>
      <w:pPr>
        <w:ind w:left="4640" w:hanging="360"/>
      </w:pPr>
      <w:rPr>
        <w:rFonts w:ascii="Courier New" w:hAnsi="Courier New" w:cs="Courier New" w:hint="default"/>
      </w:rPr>
    </w:lvl>
    <w:lvl w:ilvl="5" w:tplc="0C090005" w:tentative="1">
      <w:start w:val="1"/>
      <w:numFmt w:val="bullet"/>
      <w:lvlText w:val=""/>
      <w:lvlJc w:val="left"/>
      <w:pPr>
        <w:ind w:left="5360" w:hanging="360"/>
      </w:pPr>
      <w:rPr>
        <w:rFonts w:ascii="Wingdings" w:hAnsi="Wingdings" w:hint="default"/>
      </w:rPr>
    </w:lvl>
    <w:lvl w:ilvl="6" w:tplc="0C090001" w:tentative="1">
      <w:start w:val="1"/>
      <w:numFmt w:val="bullet"/>
      <w:lvlText w:val=""/>
      <w:lvlJc w:val="left"/>
      <w:pPr>
        <w:ind w:left="6080" w:hanging="360"/>
      </w:pPr>
      <w:rPr>
        <w:rFonts w:ascii="Symbol" w:hAnsi="Symbol" w:hint="default"/>
      </w:rPr>
    </w:lvl>
    <w:lvl w:ilvl="7" w:tplc="0C090003" w:tentative="1">
      <w:start w:val="1"/>
      <w:numFmt w:val="bullet"/>
      <w:lvlText w:val="o"/>
      <w:lvlJc w:val="left"/>
      <w:pPr>
        <w:ind w:left="6800" w:hanging="360"/>
      </w:pPr>
      <w:rPr>
        <w:rFonts w:ascii="Courier New" w:hAnsi="Courier New" w:cs="Courier New" w:hint="default"/>
      </w:rPr>
    </w:lvl>
    <w:lvl w:ilvl="8" w:tplc="0C090005" w:tentative="1">
      <w:start w:val="1"/>
      <w:numFmt w:val="bullet"/>
      <w:lvlText w:val=""/>
      <w:lvlJc w:val="left"/>
      <w:pPr>
        <w:ind w:left="7520" w:hanging="360"/>
      </w:pPr>
      <w:rPr>
        <w:rFonts w:ascii="Wingdings" w:hAnsi="Wingdings" w:hint="default"/>
      </w:rPr>
    </w:lvl>
  </w:abstractNum>
  <w:abstractNum w:abstractNumId="47" w15:restartNumberingAfterBreak="0">
    <w:nsid w:val="34B07A80"/>
    <w:multiLevelType w:val="hybridMultilevel"/>
    <w:tmpl w:val="96E8B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728323C"/>
    <w:multiLevelType w:val="hybridMultilevel"/>
    <w:tmpl w:val="89F29FCA"/>
    <w:lvl w:ilvl="0" w:tplc="D598CC48">
      <w:numFmt w:val="bullet"/>
      <w:lvlText w:val="-"/>
      <w:lvlJc w:val="left"/>
      <w:pPr>
        <w:ind w:left="420" w:hanging="360"/>
      </w:pPr>
      <w:rPr>
        <w:rFonts w:ascii="Arial" w:eastAsiaTheme="minorHAnsi" w:hAnsi="Arial" w:cs="Arial" w:hint="default"/>
      </w:rPr>
    </w:lvl>
    <w:lvl w:ilvl="1" w:tplc="0C090003">
      <w:start w:val="1"/>
      <w:numFmt w:val="bullet"/>
      <w:lvlText w:val="o"/>
      <w:lvlJc w:val="left"/>
      <w:pPr>
        <w:ind w:left="1140" w:hanging="360"/>
      </w:pPr>
      <w:rPr>
        <w:rFonts w:ascii="Courier New" w:hAnsi="Courier New" w:cs="Courier New" w:hint="default"/>
      </w:rPr>
    </w:lvl>
    <w:lvl w:ilvl="2" w:tplc="0C090005">
      <w:start w:val="1"/>
      <w:numFmt w:val="bullet"/>
      <w:lvlText w:val=""/>
      <w:lvlJc w:val="left"/>
      <w:pPr>
        <w:ind w:left="1860" w:hanging="360"/>
      </w:pPr>
      <w:rPr>
        <w:rFonts w:ascii="Wingdings" w:hAnsi="Wingdings" w:hint="default"/>
      </w:rPr>
    </w:lvl>
    <w:lvl w:ilvl="3" w:tplc="0C090001">
      <w:start w:val="1"/>
      <w:numFmt w:val="bullet"/>
      <w:lvlText w:val=""/>
      <w:lvlJc w:val="left"/>
      <w:pPr>
        <w:ind w:left="2580" w:hanging="360"/>
      </w:pPr>
      <w:rPr>
        <w:rFonts w:ascii="Symbol" w:hAnsi="Symbol" w:hint="default"/>
      </w:rPr>
    </w:lvl>
    <w:lvl w:ilvl="4" w:tplc="0C090003">
      <w:start w:val="1"/>
      <w:numFmt w:val="bullet"/>
      <w:lvlText w:val="o"/>
      <w:lvlJc w:val="left"/>
      <w:pPr>
        <w:ind w:left="3300" w:hanging="360"/>
      </w:pPr>
      <w:rPr>
        <w:rFonts w:ascii="Courier New" w:hAnsi="Courier New" w:cs="Courier New" w:hint="default"/>
      </w:rPr>
    </w:lvl>
    <w:lvl w:ilvl="5" w:tplc="0C090005">
      <w:start w:val="1"/>
      <w:numFmt w:val="bullet"/>
      <w:lvlText w:val=""/>
      <w:lvlJc w:val="left"/>
      <w:pPr>
        <w:ind w:left="4020" w:hanging="360"/>
      </w:pPr>
      <w:rPr>
        <w:rFonts w:ascii="Wingdings" w:hAnsi="Wingdings" w:hint="default"/>
      </w:rPr>
    </w:lvl>
    <w:lvl w:ilvl="6" w:tplc="0C090001">
      <w:start w:val="1"/>
      <w:numFmt w:val="bullet"/>
      <w:lvlText w:val=""/>
      <w:lvlJc w:val="left"/>
      <w:pPr>
        <w:ind w:left="4740" w:hanging="360"/>
      </w:pPr>
      <w:rPr>
        <w:rFonts w:ascii="Symbol" w:hAnsi="Symbol" w:hint="default"/>
      </w:rPr>
    </w:lvl>
    <w:lvl w:ilvl="7" w:tplc="0C090003">
      <w:start w:val="1"/>
      <w:numFmt w:val="bullet"/>
      <w:lvlText w:val="o"/>
      <w:lvlJc w:val="left"/>
      <w:pPr>
        <w:ind w:left="5460" w:hanging="360"/>
      </w:pPr>
      <w:rPr>
        <w:rFonts w:ascii="Courier New" w:hAnsi="Courier New" w:cs="Courier New" w:hint="default"/>
      </w:rPr>
    </w:lvl>
    <w:lvl w:ilvl="8" w:tplc="0C090005">
      <w:start w:val="1"/>
      <w:numFmt w:val="bullet"/>
      <w:lvlText w:val=""/>
      <w:lvlJc w:val="left"/>
      <w:pPr>
        <w:ind w:left="6180" w:hanging="360"/>
      </w:pPr>
      <w:rPr>
        <w:rFonts w:ascii="Wingdings" w:hAnsi="Wingdings" w:hint="default"/>
      </w:rPr>
    </w:lvl>
  </w:abstractNum>
  <w:abstractNum w:abstractNumId="49" w15:restartNumberingAfterBreak="0">
    <w:nsid w:val="37993290"/>
    <w:multiLevelType w:val="multilevel"/>
    <w:tmpl w:val="C5606914"/>
    <w:lvl w:ilvl="0">
      <w:start w:val="1"/>
      <w:numFmt w:val="decimal"/>
      <w:pStyle w:val="Heading1"/>
      <w:lvlText w:val="%1"/>
      <w:lvlJc w:val="left"/>
      <w:pPr>
        <w:tabs>
          <w:tab w:val="num" w:pos="964"/>
        </w:tabs>
        <w:ind w:left="964" w:hanging="964"/>
      </w:pPr>
      <w:rPr>
        <w:rFonts w:hint="default"/>
      </w:rPr>
    </w:lvl>
    <w:lvl w:ilvl="1">
      <w:start w:val="1"/>
      <w:numFmt w:val="decimal"/>
      <w:lvlText w:val="%1.%2"/>
      <w:lvlJc w:val="left"/>
      <w:pPr>
        <w:tabs>
          <w:tab w:val="num" w:pos="964"/>
        </w:tabs>
        <w:ind w:left="964" w:hanging="964"/>
      </w:pPr>
      <w:rPr>
        <w:rFonts w:hint="default"/>
      </w:rPr>
    </w:lvl>
    <w:lvl w:ilvl="2">
      <w:start w:val="1"/>
      <w:numFmt w:val="decimal"/>
      <w:lvlText w:val="%1.%2.%3"/>
      <w:lvlJc w:val="left"/>
      <w:pPr>
        <w:tabs>
          <w:tab w:val="num" w:pos="1106"/>
        </w:tabs>
        <w:ind w:left="1106" w:hanging="964"/>
      </w:pPr>
      <w:rPr>
        <w:rFonts w:hint="default"/>
      </w:rPr>
    </w:lvl>
    <w:lvl w:ilvl="3">
      <w:start w:val="1"/>
      <w:numFmt w:val="decimal"/>
      <w:lvlText w:val="%1.%2.%3.%4"/>
      <w:lvlJc w:val="left"/>
      <w:pPr>
        <w:tabs>
          <w:tab w:val="num" w:pos="964"/>
        </w:tabs>
        <w:ind w:left="964" w:hanging="96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0" w15:restartNumberingAfterBreak="0">
    <w:nsid w:val="37A855C4"/>
    <w:multiLevelType w:val="hybridMultilevel"/>
    <w:tmpl w:val="F710DB3E"/>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51" w15:restartNumberingAfterBreak="0">
    <w:nsid w:val="380017D8"/>
    <w:multiLevelType w:val="hybridMultilevel"/>
    <w:tmpl w:val="EADC7D58"/>
    <w:lvl w:ilvl="0" w:tplc="39D4CF9C">
      <w:start w:val="1"/>
      <w:numFmt w:val="decimal"/>
      <w:lvlText w:val="%1."/>
      <w:lvlJc w:val="left"/>
      <w:pPr>
        <w:ind w:left="1996" w:hanging="360"/>
      </w:pPr>
      <w:rPr>
        <w:rFonts w:cs="Times New Roman" w:hint="default"/>
        <w:color w:val="auto"/>
      </w:rPr>
    </w:lvl>
    <w:lvl w:ilvl="1" w:tplc="0C090019" w:tentative="1">
      <w:start w:val="1"/>
      <w:numFmt w:val="lowerLetter"/>
      <w:lvlText w:val="%2."/>
      <w:lvlJc w:val="left"/>
      <w:pPr>
        <w:ind w:left="2716" w:hanging="360"/>
      </w:pPr>
      <w:rPr>
        <w:rFonts w:cs="Times New Roman"/>
      </w:rPr>
    </w:lvl>
    <w:lvl w:ilvl="2" w:tplc="0C09001B" w:tentative="1">
      <w:start w:val="1"/>
      <w:numFmt w:val="lowerRoman"/>
      <w:lvlText w:val="%3."/>
      <w:lvlJc w:val="right"/>
      <w:pPr>
        <w:ind w:left="3436" w:hanging="180"/>
      </w:pPr>
      <w:rPr>
        <w:rFonts w:cs="Times New Roman"/>
      </w:rPr>
    </w:lvl>
    <w:lvl w:ilvl="3" w:tplc="0C09000F" w:tentative="1">
      <w:start w:val="1"/>
      <w:numFmt w:val="decimal"/>
      <w:lvlText w:val="%4."/>
      <w:lvlJc w:val="left"/>
      <w:pPr>
        <w:ind w:left="4156" w:hanging="360"/>
      </w:pPr>
      <w:rPr>
        <w:rFonts w:cs="Times New Roman"/>
      </w:rPr>
    </w:lvl>
    <w:lvl w:ilvl="4" w:tplc="0C090019" w:tentative="1">
      <w:start w:val="1"/>
      <w:numFmt w:val="lowerLetter"/>
      <w:lvlText w:val="%5."/>
      <w:lvlJc w:val="left"/>
      <w:pPr>
        <w:ind w:left="4876" w:hanging="360"/>
      </w:pPr>
      <w:rPr>
        <w:rFonts w:cs="Times New Roman"/>
      </w:rPr>
    </w:lvl>
    <w:lvl w:ilvl="5" w:tplc="0C09001B" w:tentative="1">
      <w:start w:val="1"/>
      <w:numFmt w:val="lowerRoman"/>
      <w:lvlText w:val="%6."/>
      <w:lvlJc w:val="right"/>
      <w:pPr>
        <w:ind w:left="5596" w:hanging="180"/>
      </w:pPr>
      <w:rPr>
        <w:rFonts w:cs="Times New Roman"/>
      </w:rPr>
    </w:lvl>
    <w:lvl w:ilvl="6" w:tplc="0C09000F" w:tentative="1">
      <w:start w:val="1"/>
      <w:numFmt w:val="decimal"/>
      <w:lvlText w:val="%7."/>
      <w:lvlJc w:val="left"/>
      <w:pPr>
        <w:ind w:left="6316" w:hanging="360"/>
      </w:pPr>
      <w:rPr>
        <w:rFonts w:cs="Times New Roman"/>
      </w:rPr>
    </w:lvl>
    <w:lvl w:ilvl="7" w:tplc="0C090019" w:tentative="1">
      <w:start w:val="1"/>
      <w:numFmt w:val="lowerLetter"/>
      <w:lvlText w:val="%8."/>
      <w:lvlJc w:val="left"/>
      <w:pPr>
        <w:ind w:left="7036" w:hanging="360"/>
      </w:pPr>
      <w:rPr>
        <w:rFonts w:cs="Times New Roman"/>
      </w:rPr>
    </w:lvl>
    <w:lvl w:ilvl="8" w:tplc="0C09001B" w:tentative="1">
      <w:start w:val="1"/>
      <w:numFmt w:val="lowerRoman"/>
      <w:lvlText w:val="%9."/>
      <w:lvlJc w:val="right"/>
      <w:pPr>
        <w:ind w:left="7756" w:hanging="180"/>
      </w:pPr>
      <w:rPr>
        <w:rFonts w:cs="Times New Roman"/>
      </w:rPr>
    </w:lvl>
  </w:abstractNum>
  <w:abstractNum w:abstractNumId="52" w15:restartNumberingAfterBreak="0">
    <w:nsid w:val="3835779D"/>
    <w:multiLevelType w:val="hybridMultilevel"/>
    <w:tmpl w:val="5E9E3084"/>
    <w:lvl w:ilvl="0" w:tplc="04090003">
      <w:start w:val="1"/>
      <w:numFmt w:val="bullet"/>
      <w:lvlText w:val="o"/>
      <w:lvlJc w:val="left"/>
      <w:pPr>
        <w:tabs>
          <w:tab w:val="num" w:pos="720"/>
        </w:tabs>
        <w:ind w:left="720" w:hanging="360"/>
      </w:pPr>
      <w:rPr>
        <w:rFonts w:ascii="Courier New" w:hAnsi="Courier New" w:hint="default"/>
      </w:rPr>
    </w:lvl>
    <w:lvl w:ilvl="1" w:tplc="ADE8079E">
      <w:start w:val="1"/>
      <w:numFmt w:val="bullet"/>
      <w:pStyle w:val="BARESUMECLEARBULLETS"/>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A586FD7"/>
    <w:multiLevelType w:val="hybridMultilevel"/>
    <w:tmpl w:val="B81A4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CBC37D9"/>
    <w:multiLevelType w:val="hybridMultilevel"/>
    <w:tmpl w:val="60B214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5" w15:restartNumberingAfterBreak="0">
    <w:nsid w:val="3DE82169"/>
    <w:multiLevelType w:val="hybridMultilevel"/>
    <w:tmpl w:val="FEFCA172"/>
    <w:lvl w:ilvl="0" w:tplc="BFD6E81E">
      <w:start w:val="1"/>
      <w:numFmt w:val="bullet"/>
      <w:pStyle w:val="Tooltip"/>
      <w:lvlText w:val=""/>
      <w:lvlJc w:val="left"/>
      <w:pPr>
        <w:tabs>
          <w:tab w:val="num" w:pos="2058"/>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E306AC7"/>
    <w:multiLevelType w:val="hybridMultilevel"/>
    <w:tmpl w:val="6354FE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E976E9D"/>
    <w:multiLevelType w:val="hybridMultilevel"/>
    <w:tmpl w:val="41688884"/>
    <w:lvl w:ilvl="0" w:tplc="0C09000F">
      <w:start w:val="1"/>
      <w:numFmt w:val="decimal"/>
      <w:lvlText w:val="%1."/>
      <w:lvlJc w:val="left"/>
      <w:pPr>
        <w:tabs>
          <w:tab w:val="num" w:pos="783"/>
        </w:tabs>
        <w:ind w:left="783" w:hanging="360"/>
      </w:pPr>
      <w:rPr>
        <w:rFonts w:hint="default"/>
      </w:rPr>
    </w:lvl>
    <w:lvl w:ilvl="1" w:tplc="04090019" w:tentative="1">
      <w:start w:val="1"/>
      <w:numFmt w:val="lowerLetter"/>
      <w:lvlText w:val="%2."/>
      <w:lvlJc w:val="left"/>
      <w:pPr>
        <w:tabs>
          <w:tab w:val="num" w:pos="1503"/>
        </w:tabs>
        <w:ind w:left="1503" w:hanging="360"/>
      </w:pPr>
    </w:lvl>
    <w:lvl w:ilvl="2" w:tplc="0409001B" w:tentative="1">
      <w:start w:val="1"/>
      <w:numFmt w:val="lowerRoman"/>
      <w:lvlText w:val="%3."/>
      <w:lvlJc w:val="right"/>
      <w:pPr>
        <w:tabs>
          <w:tab w:val="num" w:pos="2223"/>
        </w:tabs>
        <w:ind w:left="2223" w:hanging="180"/>
      </w:pPr>
    </w:lvl>
    <w:lvl w:ilvl="3" w:tplc="0409000F" w:tentative="1">
      <w:start w:val="1"/>
      <w:numFmt w:val="decimal"/>
      <w:lvlText w:val="%4."/>
      <w:lvlJc w:val="left"/>
      <w:pPr>
        <w:tabs>
          <w:tab w:val="num" w:pos="2943"/>
        </w:tabs>
        <w:ind w:left="2943" w:hanging="360"/>
      </w:pPr>
    </w:lvl>
    <w:lvl w:ilvl="4" w:tplc="04090019" w:tentative="1">
      <w:start w:val="1"/>
      <w:numFmt w:val="lowerLetter"/>
      <w:lvlText w:val="%5."/>
      <w:lvlJc w:val="left"/>
      <w:pPr>
        <w:tabs>
          <w:tab w:val="num" w:pos="3663"/>
        </w:tabs>
        <w:ind w:left="3663" w:hanging="360"/>
      </w:pPr>
    </w:lvl>
    <w:lvl w:ilvl="5" w:tplc="0409001B" w:tentative="1">
      <w:start w:val="1"/>
      <w:numFmt w:val="lowerRoman"/>
      <w:lvlText w:val="%6."/>
      <w:lvlJc w:val="right"/>
      <w:pPr>
        <w:tabs>
          <w:tab w:val="num" w:pos="4383"/>
        </w:tabs>
        <w:ind w:left="4383" w:hanging="180"/>
      </w:pPr>
    </w:lvl>
    <w:lvl w:ilvl="6" w:tplc="0409000F" w:tentative="1">
      <w:start w:val="1"/>
      <w:numFmt w:val="decimal"/>
      <w:lvlText w:val="%7."/>
      <w:lvlJc w:val="left"/>
      <w:pPr>
        <w:tabs>
          <w:tab w:val="num" w:pos="5103"/>
        </w:tabs>
        <w:ind w:left="5103" w:hanging="360"/>
      </w:pPr>
    </w:lvl>
    <w:lvl w:ilvl="7" w:tplc="04090019" w:tentative="1">
      <w:start w:val="1"/>
      <w:numFmt w:val="lowerLetter"/>
      <w:lvlText w:val="%8."/>
      <w:lvlJc w:val="left"/>
      <w:pPr>
        <w:tabs>
          <w:tab w:val="num" w:pos="5823"/>
        </w:tabs>
        <w:ind w:left="5823" w:hanging="360"/>
      </w:pPr>
    </w:lvl>
    <w:lvl w:ilvl="8" w:tplc="0409001B" w:tentative="1">
      <w:start w:val="1"/>
      <w:numFmt w:val="lowerRoman"/>
      <w:lvlText w:val="%9."/>
      <w:lvlJc w:val="right"/>
      <w:pPr>
        <w:tabs>
          <w:tab w:val="num" w:pos="6543"/>
        </w:tabs>
        <w:ind w:left="6543" w:hanging="180"/>
      </w:pPr>
    </w:lvl>
  </w:abstractNum>
  <w:abstractNum w:abstractNumId="58" w15:restartNumberingAfterBreak="0">
    <w:nsid w:val="415A5FE1"/>
    <w:multiLevelType w:val="multilevel"/>
    <w:tmpl w:val="994225A6"/>
    <w:lvl w:ilvl="0">
      <w:start w:val="1"/>
      <w:numFmt w:val="decimal"/>
      <w:lvlText w:val="%1."/>
      <w:lvlJc w:val="left"/>
      <w:pPr>
        <w:tabs>
          <w:tab w:val="num" w:pos="1276"/>
        </w:tabs>
        <w:ind w:left="1276" w:hanging="1276"/>
      </w:pPr>
      <w:rPr>
        <w:rFonts w:cs="Times New Roman" w:hint="default"/>
      </w:rPr>
    </w:lvl>
    <w:lvl w:ilvl="1">
      <w:start w:val="1"/>
      <w:numFmt w:val="decimal"/>
      <w:pStyle w:val="Heading2"/>
      <w:lvlText w:val="%1.%2."/>
      <w:lvlJc w:val="left"/>
      <w:pPr>
        <w:tabs>
          <w:tab w:val="num" w:pos="1276"/>
        </w:tabs>
        <w:ind w:left="1276" w:hanging="1276"/>
      </w:pPr>
      <w:rPr>
        <w:rFonts w:cs="Times New Roman" w:hint="default"/>
      </w:rPr>
    </w:lvl>
    <w:lvl w:ilvl="2">
      <w:start w:val="1"/>
      <w:numFmt w:val="decimal"/>
      <w:lvlText w:val="%1.%2.%3."/>
      <w:lvlJc w:val="left"/>
      <w:pPr>
        <w:tabs>
          <w:tab w:val="num" w:pos="1276"/>
        </w:tabs>
        <w:ind w:left="1276" w:hanging="1276"/>
      </w:pPr>
      <w:rPr>
        <w:rFonts w:cs="Times New Roman" w:hint="default"/>
      </w:rPr>
    </w:lvl>
    <w:lvl w:ilvl="3">
      <w:start w:val="1"/>
      <w:numFmt w:val="decimal"/>
      <w:lvlText w:val="%1.%2.%3.%4."/>
      <w:lvlJc w:val="left"/>
      <w:pPr>
        <w:tabs>
          <w:tab w:val="num" w:pos="1276"/>
        </w:tabs>
        <w:ind w:left="1276" w:hanging="1276"/>
      </w:pPr>
      <w:rPr>
        <w:rFonts w:cs="Times New Roman" w:hint="default"/>
      </w:rPr>
    </w:lvl>
    <w:lvl w:ilvl="4">
      <w:start w:val="1"/>
      <w:numFmt w:val="decimal"/>
      <w:lvlText w:val="%1.%2.%3.%4.%5."/>
      <w:lvlJc w:val="left"/>
      <w:pPr>
        <w:tabs>
          <w:tab w:val="num" w:pos="1276"/>
        </w:tabs>
        <w:ind w:left="1276" w:hanging="1276"/>
      </w:pPr>
      <w:rPr>
        <w:rFonts w:cs="Times New Roman" w:hint="default"/>
      </w:rPr>
    </w:lvl>
    <w:lvl w:ilvl="5">
      <w:start w:val="1"/>
      <w:numFmt w:val="decimal"/>
      <w:lvlText w:val="%1.%2.%3.%4.%5.%6."/>
      <w:lvlJc w:val="left"/>
      <w:pPr>
        <w:tabs>
          <w:tab w:val="num" w:pos="1276"/>
        </w:tabs>
        <w:ind w:left="1276" w:hanging="127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9" w15:restartNumberingAfterBreak="0">
    <w:nsid w:val="43445B7B"/>
    <w:multiLevelType w:val="hybridMultilevel"/>
    <w:tmpl w:val="7EA86D9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0" w15:restartNumberingAfterBreak="0">
    <w:nsid w:val="43E0275D"/>
    <w:multiLevelType w:val="hybridMultilevel"/>
    <w:tmpl w:val="F360456C"/>
    <w:lvl w:ilvl="0" w:tplc="8B6C1192">
      <w:start w:val="1"/>
      <w:numFmt w:val="bullet"/>
      <w:pStyle w:val="Bullet1stlevel"/>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44DB3C25"/>
    <w:multiLevelType w:val="hybridMultilevel"/>
    <w:tmpl w:val="DD08125C"/>
    <w:lvl w:ilvl="0" w:tplc="5366EB28">
      <w:start w:val="17"/>
      <w:numFmt w:val="bullet"/>
      <w:lvlText w:val="-"/>
      <w:lvlJc w:val="left"/>
      <w:pPr>
        <w:ind w:left="720" w:hanging="360"/>
      </w:pPr>
      <w:rPr>
        <w:rFonts w:ascii="Arial" w:eastAsia="Times New Roman" w:hAnsi="Aria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510470F"/>
    <w:multiLevelType w:val="hybridMultilevel"/>
    <w:tmpl w:val="B8ECB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6AE54DB"/>
    <w:multiLevelType w:val="hybridMultilevel"/>
    <w:tmpl w:val="F93884E0"/>
    <w:lvl w:ilvl="0" w:tplc="9DF42F36">
      <w:start w:val="1"/>
      <w:numFmt w:val="lowerLetter"/>
      <w:lvlText w:val="%1."/>
      <w:lvlJc w:val="left"/>
      <w:pPr>
        <w:tabs>
          <w:tab w:val="num" w:pos="783"/>
        </w:tabs>
        <w:ind w:left="783" w:hanging="360"/>
      </w:pPr>
      <w:rPr>
        <w:rFonts w:hint="default"/>
      </w:rPr>
    </w:lvl>
    <w:lvl w:ilvl="1" w:tplc="04090019" w:tentative="1">
      <w:start w:val="1"/>
      <w:numFmt w:val="lowerLetter"/>
      <w:lvlText w:val="%2."/>
      <w:lvlJc w:val="left"/>
      <w:pPr>
        <w:tabs>
          <w:tab w:val="num" w:pos="1503"/>
        </w:tabs>
        <w:ind w:left="1503" w:hanging="360"/>
      </w:pPr>
    </w:lvl>
    <w:lvl w:ilvl="2" w:tplc="0409001B" w:tentative="1">
      <w:start w:val="1"/>
      <w:numFmt w:val="lowerRoman"/>
      <w:lvlText w:val="%3."/>
      <w:lvlJc w:val="right"/>
      <w:pPr>
        <w:tabs>
          <w:tab w:val="num" w:pos="2223"/>
        </w:tabs>
        <w:ind w:left="2223" w:hanging="180"/>
      </w:pPr>
    </w:lvl>
    <w:lvl w:ilvl="3" w:tplc="0409000F" w:tentative="1">
      <w:start w:val="1"/>
      <w:numFmt w:val="decimal"/>
      <w:lvlText w:val="%4."/>
      <w:lvlJc w:val="left"/>
      <w:pPr>
        <w:tabs>
          <w:tab w:val="num" w:pos="2943"/>
        </w:tabs>
        <w:ind w:left="2943" w:hanging="360"/>
      </w:pPr>
    </w:lvl>
    <w:lvl w:ilvl="4" w:tplc="04090019" w:tentative="1">
      <w:start w:val="1"/>
      <w:numFmt w:val="lowerLetter"/>
      <w:lvlText w:val="%5."/>
      <w:lvlJc w:val="left"/>
      <w:pPr>
        <w:tabs>
          <w:tab w:val="num" w:pos="3663"/>
        </w:tabs>
        <w:ind w:left="3663" w:hanging="360"/>
      </w:pPr>
    </w:lvl>
    <w:lvl w:ilvl="5" w:tplc="0409001B" w:tentative="1">
      <w:start w:val="1"/>
      <w:numFmt w:val="lowerRoman"/>
      <w:lvlText w:val="%6."/>
      <w:lvlJc w:val="right"/>
      <w:pPr>
        <w:tabs>
          <w:tab w:val="num" w:pos="4383"/>
        </w:tabs>
        <w:ind w:left="4383" w:hanging="180"/>
      </w:pPr>
    </w:lvl>
    <w:lvl w:ilvl="6" w:tplc="0409000F" w:tentative="1">
      <w:start w:val="1"/>
      <w:numFmt w:val="decimal"/>
      <w:lvlText w:val="%7."/>
      <w:lvlJc w:val="left"/>
      <w:pPr>
        <w:tabs>
          <w:tab w:val="num" w:pos="5103"/>
        </w:tabs>
        <w:ind w:left="5103" w:hanging="360"/>
      </w:pPr>
    </w:lvl>
    <w:lvl w:ilvl="7" w:tplc="04090019" w:tentative="1">
      <w:start w:val="1"/>
      <w:numFmt w:val="lowerLetter"/>
      <w:lvlText w:val="%8."/>
      <w:lvlJc w:val="left"/>
      <w:pPr>
        <w:tabs>
          <w:tab w:val="num" w:pos="5823"/>
        </w:tabs>
        <w:ind w:left="5823" w:hanging="360"/>
      </w:pPr>
    </w:lvl>
    <w:lvl w:ilvl="8" w:tplc="0409001B" w:tentative="1">
      <w:start w:val="1"/>
      <w:numFmt w:val="lowerRoman"/>
      <w:lvlText w:val="%9."/>
      <w:lvlJc w:val="right"/>
      <w:pPr>
        <w:tabs>
          <w:tab w:val="num" w:pos="6543"/>
        </w:tabs>
        <w:ind w:left="6543" w:hanging="180"/>
      </w:pPr>
    </w:lvl>
  </w:abstractNum>
  <w:abstractNum w:abstractNumId="64" w15:restartNumberingAfterBreak="0">
    <w:nsid w:val="4B7B718D"/>
    <w:multiLevelType w:val="hybridMultilevel"/>
    <w:tmpl w:val="E98C5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2043A3A"/>
    <w:multiLevelType w:val="hybridMultilevel"/>
    <w:tmpl w:val="EFC84C8C"/>
    <w:lvl w:ilvl="0" w:tplc="0C09000F">
      <w:start w:val="1"/>
      <w:numFmt w:val="lowerLetter"/>
      <w:pStyle w:val="ListAlpha"/>
      <w:lvlText w:val="%1)"/>
      <w:lvlJc w:val="left"/>
      <w:pPr>
        <w:tabs>
          <w:tab w:val="num" w:pos="1843"/>
        </w:tabs>
        <w:ind w:left="1843" w:hanging="567"/>
      </w:pPr>
      <w:rPr>
        <w:rFonts w:cs="Times New Roman" w:hint="default"/>
      </w:rPr>
    </w:lvl>
    <w:lvl w:ilvl="1" w:tplc="0C090003" w:tentative="1">
      <w:start w:val="1"/>
      <w:numFmt w:val="lowerLetter"/>
      <w:lvlText w:val="%2."/>
      <w:lvlJc w:val="left"/>
      <w:pPr>
        <w:ind w:left="2716" w:hanging="360"/>
      </w:pPr>
      <w:rPr>
        <w:rFonts w:cs="Times New Roman"/>
      </w:rPr>
    </w:lvl>
    <w:lvl w:ilvl="2" w:tplc="0C090005" w:tentative="1">
      <w:start w:val="1"/>
      <w:numFmt w:val="lowerRoman"/>
      <w:lvlText w:val="%3."/>
      <w:lvlJc w:val="right"/>
      <w:pPr>
        <w:ind w:left="3436" w:hanging="180"/>
      </w:pPr>
      <w:rPr>
        <w:rFonts w:cs="Times New Roman"/>
      </w:rPr>
    </w:lvl>
    <w:lvl w:ilvl="3" w:tplc="0C090001" w:tentative="1">
      <w:start w:val="1"/>
      <w:numFmt w:val="decimal"/>
      <w:lvlText w:val="%4."/>
      <w:lvlJc w:val="left"/>
      <w:pPr>
        <w:ind w:left="4156" w:hanging="360"/>
      </w:pPr>
      <w:rPr>
        <w:rFonts w:cs="Times New Roman"/>
      </w:rPr>
    </w:lvl>
    <w:lvl w:ilvl="4" w:tplc="0C090003" w:tentative="1">
      <w:start w:val="1"/>
      <w:numFmt w:val="lowerLetter"/>
      <w:lvlText w:val="%5."/>
      <w:lvlJc w:val="left"/>
      <w:pPr>
        <w:ind w:left="4876" w:hanging="360"/>
      </w:pPr>
      <w:rPr>
        <w:rFonts w:cs="Times New Roman"/>
      </w:rPr>
    </w:lvl>
    <w:lvl w:ilvl="5" w:tplc="0C090005" w:tentative="1">
      <w:start w:val="1"/>
      <w:numFmt w:val="lowerRoman"/>
      <w:lvlText w:val="%6."/>
      <w:lvlJc w:val="right"/>
      <w:pPr>
        <w:ind w:left="5596" w:hanging="180"/>
      </w:pPr>
      <w:rPr>
        <w:rFonts w:cs="Times New Roman"/>
      </w:rPr>
    </w:lvl>
    <w:lvl w:ilvl="6" w:tplc="0C090001" w:tentative="1">
      <w:start w:val="1"/>
      <w:numFmt w:val="decimal"/>
      <w:lvlText w:val="%7."/>
      <w:lvlJc w:val="left"/>
      <w:pPr>
        <w:ind w:left="6316" w:hanging="360"/>
      </w:pPr>
      <w:rPr>
        <w:rFonts w:cs="Times New Roman"/>
      </w:rPr>
    </w:lvl>
    <w:lvl w:ilvl="7" w:tplc="0C090003" w:tentative="1">
      <w:start w:val="1"/>
      <w:numFmt w:val="lowerLetter"/>
      <w:lvlText w:val="%8."/>
      <w:lvlJc w:val="left"/>
      <w:pPr>
        <w:ind w:left="7036" w:hanging="360"/>
      </w:pPr>
      <w:rPr>
        <w:rFonts w:cs="Times New Roman"/>
      </w:rPr>
    </w:lvl>
    <w:lvl w:ilvl="8" w:tplc="0C090005" w:tentative="1">
      <w:start w:val="1"/>
      <w:numFmt w:val="lowerRoman"/>
      <w:lvlText w:val="%9."/>
      <w:lvlJc w:val="right"/>
      <w:pPr>
        <w:ind w:left="7756" w:hanging="180"/>
      </w:pPr>
      <w:rPr>
        <w:rFonts w:cs="Times New Roman"/>
      </w:rPr>
    </w:lvl>
  </w:abstractNum>
  <w:abstractNum w:abstractNumId="66" w15:restartNumberingAfterBreak="0">
    <w:nsid w:val="549D4B9C"/>
    <w:multiLevelType w:val="hybridMultilevel"/>
    <w:tmpl w:val="D4229B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57C43C86"/>
    <w:multiLevelType w:val="hybridMultilevel"/>
    <w:tmpl w:val="5E569516"/>
    <w:lvl w:ilvl="0" w:tplc="A55AF8B0">
      <w:start w:val="1"/>
      <w:numFmt w:val="bullet"/>
      <w:pStyle w:val="Numsteplastbull"/>
      <w:lvlText w:val=""/>
      <w:lvlJc w:val="left"/>
      <w:pPr>
        <w:tabs>
          <w:tab w:val="num" w:pos="2486"/>
        </w:tabs>
        <w:ind w:left="2483" w:hanging="357"/>
      </w:pPr>
      <w:rPr>
        <w:rFonts w:ascii="Wingdings 3" w:hAnsi="Wingdings 3" w:hint="default"/>
        <w:color w:val="336699"/>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8352932"/>
    <w:multiLevelType w:val="hybridMultilevel"/>
    <w:tmpl w:val="F71A676A"/>
    <w:lvl w:ilvl="0" w:tplc="47F4C69A">
      <w:start w:val="1"/>
      <w:numFmt w:val="bullet"/>
      <w:pStyle w:val="CellBullet"/>
      <w:lvlText w:val=""/>
      <w:lvlJc w:val="left"/>
      <w:pPr>
        <w:tabs>
          <w:tab w:val="num" w:pos="284"/>
        </w:tabs>
        <w:ind w:left="284" w:hanging="284"/>
      </w:pPr>
      <w:rPr>
        <w:rFonts w:ascii="Wingdings" w:hAnsi="Wingdings" w:hint="default"/>
        <w:color w:val="800000"/>
        <w:sz w:val="24"/>
        <w:u w:color="0000CC"/>
      </w:rPr>
    </w:lvl>
    <w:lvl w:ilvl="1" w:tplc="A87E9C74" w:tentative="1">
      <w:start w:val="1"/>
      <w:numFmt w:val="bullet"/>
      <w:lvlText w:val="o"/>
      <w:lvlJc w:val="left"/>
      <w:pPr>
        <w:tabs>
          <w:tab w:val="num" w:pos="1440"/>
        </w:tabs>
        <w:ind w:left="1440" w:hanging="360"/>
      </w:pPr>
      <w:rPr>
        <w:rFonts w:ascii="Courier New" w:hAnsi="Courier New" w:hint="default"/>
      </w:rPr>
    </w:lvl>
    <w:lvl w:ilvl="2" w:tplc="A8B81E24" w:tentative="1">
      <w:start w:val="1"/>
      <w:numFmt w:val="bullet"/>
      <w:lvlText w:val=""/>
      <w:lvlJc w:val="left"/>
      <w:pPr>
        <w:tabs>
          <w:tab w:val="num" w:pos="2160"/>
        </w:tabs>
        <w:ind w:left="2160" w:hanging="360"/>
      </w:pPr>
      <w:rPr>
        <w:rFonts w:ascii="Wingdings" w:hAnsi="Wingdings" w:hint="default"/>
      </w:rPr>
    </w:lvl>
    <w:lvl w:ilvl="3" w:tplc="9C10C09C" w:tentative="1">
      <w:start w:val="1"/>
      <w:numFmt w:val="bullet"/>
      <w:lvlText w:val=""/>
      <w:lvlJc w:val="left"/>
      <w:pPr>
        <w:tabs>
          <w:tab w:val="num" w:pos="2880"/>
        </w:tabs>
        <w:ind w:left="2880" w:hanging="360"/>
      </w:pPr>
      <w:rPr>
        <w:rFonts w:ascii="Symbol" w:hAnsi="Symbol" w:hint="default"/>
      </w:rPr>
    </w:lvl>
    <w:lvl w:ilvl="4" w:tplc="A352F92E" w:tentative="1">
      <w:start w:val="1"/>
      <w:numFmt w:val="bullet"/>
      <w:lvlText w:val="o"/>
      <w:lvlJc w:val="left"/>
      <w:pPr>
        <w:tabs>
          <w:tab w:val="num" w:pos="3600"/>
        </w:tabs>
        <w:ind w:left="3600" w:hanging="360"/>
      </w:pPr>
      <w:rPr>
        <w:rFonts w:ascii="Courier New" w:hAnsi="Courier New" w:hint="default"/>
      </w:rPr>
    </w:lvl>
    <w:lvl w:ilvl="5" w:tplc="1B645044" w:tentative="1">
      <w:start w:val="1"/>
      <w:numFmt w:val="bullet"/>
      <w:lvlText w:val=""/>
      <w:lvlJc w:val="left"/>
      <w:pPr>
        <w:tabs>
          <w:tab w:val="num" w:pos="4320"/>
        </w:tabs>
        <w:ind w:left="4320" w:hanging="360"/>
      </w:pPr>
      <w:rPr>
        <w:rFonts w:ascii="Wingdings" w:hAnsi="Wingdings" w:hint="default"/>
      </w:rPr>
    </w:lvl>
    <w:lvl w:ilvl="6" w:tplc="C03E9C12" w:tentative="1">
      <w:start w:val="1"/>
      <w:numFmt w:val="bullet"/>
      <w:lvlText w:val=""/>
      <w:lvlJc w:val="left"/>
      <w:pPr>
        <w:tabs>
          <w:tab w:val="num" w:pos="5040"/>
        </w:tabs>
        <w:ind w:left="5040" w:hanging="360"/>
      </w:pPr>
      <w:rPr>
        <w:rFonts w:ascii="Symbol" w:hAnsi="Symbol" w:hint="default"/>
      </w:rPr>
    </w:lvl>
    <w:lvl w:ilvl="7" w:tplc="E716B880" w:tentative="1">
      <w:start w:val="1"/>
      <w:numFmt w:val="bullet"/>
      <w:lvlText w:val="o"/>
      <w:lvlJc w:val="left"/>
      <w:pPr>
        <w:tabs>
          <w:tab w:val="num" w:pos="5760"/>
        </w:tabs>
        <w:ind w:left="5760" w:hanging="360"/>
      </w:pPr>
      <w:rPr>
        <w:rFonts w:ascii="Courier New" w:hAnsi="Courier New" w:hint="default"/>
      </w:rPr>
    </w:lvl>
    <w:lvl w:ilvl="8" w:tplc="91FAB10C"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F006046"/>
    <w:multiLevelType w:val="hybridMultilevel"/>
    <w:tmpl w:val="4B1E437C"/>
    <w:lvl w:ilvl="0" w:tplc="09B0F8AE">
      <w:start w:val="1"/>
      <w:numFmt w:val="bullet"/>
      <w:pStyle w:val="Bullet2"/>
      <w:lvlText w:val="-"/>
      <w:lvlJc w:val="left"/>
      <w:pPr>
        <w:ind w:left="1400" w:hanging="360"/>
      </w:pPr>
      <w:rPr>
        <w:rFonts w:ascii="Arial" w:hAnsi="Arial"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70" w15:restartNumberingAfterBreak="0">
    <w:nsid w:val="61E31B74"/>
    <w:multiLevelType w:val="hybridMultilevel"/>
    <w:tmpl w:val="6960F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2B6340D"/>
    <w:multiLevelType w:val="hybridMultilevel"/>
    <w:tmpl w:val="077C7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40605F1"/>
    <w:multiLevelType w:val="hybridMultilevel"/>
    <w:tmpl w:val="7D8E24D8"/>
    <w:lvl w:ilvl="0" w:tplc="D6A290E2">
      <w:start w:val="1"/>
      <w:numFmt w:val="decimal"/>
      <w:pStyle w:val="Numstep"/>
      <w:lvlText w:val="%1."/>
      <w:lvlJc w:val="left"/>
      <w:pPr>
        <w:tabs>
          <w:tab w:val="num" w:pos="2058"/>
        </w:tabs>
        <w:ind w:left="2058" w:hanging="357"/>
      </w:pPr>
      <w:rPr>
        <w:rFonts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7F86DB3A">
      <w:start w:val="1"/>
      <w:numFmt w:val="upperRoman"/>
      <w:lvlText w:val="%5."/>
      <w:lvlJc w:val="left"/>
      <w:pPr>
        <w:tabs>
          <w:tab w:val="num" w:pos="3960"/>
        </w:tabs>
        <w:ind w:left="3960" w:hanging="720"/>
      </w:pPr>
      <w:rPr>
        <w:rFonts w:hint="default"/>
      </w:r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3" w15:restartNumberingAfterBreak="0">
    <w:nsid w:val="648874CE"/>
    <w:multiLevelType w:val="hybridMultilevel"/>
    <w:tmpl w:val="BF4EA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6191CB0"/>
    <w:multiLevelType w:val="hybridMultilevel"/>
    <w:tmpl w:val="85D6CB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620293D"/>
    <w:multiLevelType w:val="hybridMultilevel"/>
    <w:tmpl w:val="BDFE3992"/>
    <w:lvl w:ilvl="0" w:tplc="CEF060F0">
      <w:start w:val="1"/>
      <w:numFmt w:val="bullet"/>
      <w:pStyle w:val="BABullets"/>
      <w:lvlText w:val=""/>
      <w:lvlJc w:val="left"/>
      <w:pPr>
        <w:ind w:left="720" w:hanging="360"/>
      </w:pPr>
      <w:rPr>
        <w:rFonts w:ascii="Wingdings" w:hAnsi="Wingdings" w:hint="default"/>
        <w:color w:val="990033"/>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AB26AC9"/>
    <w:multiLevelType w:val="hybridMultilevel"/>
    <w:tmpl w:val="EF787042"/>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77" w15:restartNumberingAfterBreak="0">
    <w:nsid w:val="6AD959FA"/>
    <w:multiLevelType w:val="hybridMultilevel"/>
    <w:tmpl w:val="E766B7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6F503180"/>
    <w:multiLevelType w:val="hybridMultilevel"/>
    <w:tmpl w:val="3B42AE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6FB665CF"/>
    <w:multiLevelType w:val="hybridMultilevel"/>
    <w:tmpl w:val="7B3A0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11B5C67"/>
    <w:multiLevelType w:val="hybridMultilevel"/>
    <w:tmpl w:val="763A26EA"/>
    <w:lvl w:ilvl="0" w:tplc="30A8E2C2">
      <w:start w:val="1"/>
      <w:numFmt w:val="bullet"/>
      <w:pStyle w:val="Tips"/>
      <w:lvlText w:val=""/>
      <w:lvlJc w:val="left"/>
      <w:pPr>
        <w:tabs>
          <w:tab w:val="num" w:pos="2061"/>
        </w:tabs>
        <w:ind w:left="2058" w:hanging="357"/>
      </w:pPr>
      <w:rPr>
        <w:rFonts w:ascii="Webdings" w:hAnsi="Webdings" w:hint="default"/>
        <w:sz w:val="28"/>
        <w:szCs w:val="28"/>
      </w:rPr>
    </w:lvl>
    <w:lvl w:ilvl="1" w:tplc="04090003">
      <w:start w:val="1"/>
      <w:numFmt w:val="bullet"/>
      <w:lvlText w:val="o"/>
      <w:lvlJc w:val="left"/>
      <w:pPr>
        <w:tabs>
          <w:tab w:val="num" w:pos="1440"/>
        </w:tabs>
        <w:ind w:left="1440" w:hanging="360"/>
      </w:pPr>
      <w:rPr>
        <w:rFonts w:ascii="Courier New" w:hAnsi="Courier New" w:hint="default"/>
      </w:rPr>
    </w:lvl>
    <w:lvl w:ilvl="2" w:tplc="A568244C">
      <w:start w:val="1"/>
      <w:numFmt w:val="bullet"/>
      <w:pStyle w:val="Appendixbulletheading"/>
      <w:lvlText w:val=""/>
      <w:lvlJc w:val="left"/>
      <w:pPr>
        <w:tabs>
          <w:tab w:val="num" w:pos="2160"/>
        </w:tabs>
        <w:ind w:left="2160" w:hanging="360"/>
      </w:pPr>
      <w:rPr>
        <w:rFonts w:ascii="Wingdings" w:hAnsi="Wingdings" w:hint="default"/>
      </w:rPr>
    </w:lvl>
    <w:lvl w:ilvl="3" w:tplc="281E80B8">
      <w:start w:val="1"/>
      <w:numFmt w:val="bullet"/>
      <w:pStyle w:val="AppendixBulletHeading2"/>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48307D3"/>
    <w:multiLevelType w:val="hybridMultilevel"/>
    <w:tmpl w:val="C5DE4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77E5F97"/>
    <w:multiLevelType w:val="multilevel"/>
    <w:tmpl w:val="8D58E176"/>
    <w:lvl w:ilvl="0">
      <w:start w:val="1"/>
      <w:numFmt w:val="upperLetter"/>
      <w:lvlText w:val="%1"/>
      <w:lvlJc w:val="left"/>
      <w:pPr>
        <w:tabs>
          <w:tab w:val="num" w:pos="964"/>
        </w:tabs>
        <w:ind w:left="964" w:hanging="964"/>
      </w:pPr>
    </w:lvl>
    <w:lvl w:ilvl="1">
      <w:start w:val="1"/>
      <w:numFmt w:val="decimal"/>
      <w:lvlText w:val="%1.%2"/>
      <w:lvlJc w:val="left"/>
      <w:pPr>
        <w:tabs>
          <w:tab w:val="num" w:pos="0"/>
        </w:tabs>
        <w:ind w:left="0" w:hanging="964"/>
      </w:pPr>
    </w:lvl>
    <w:lvl w:ilvl="2">
      <w:start w:val="1"/>
      <w:numFmt w:val="decimal"/>
      <w:lvlText w:val="%1.%2.%3"/>
      <w:lvlJc w:val="left"/>
      <w:pPr>
        <w:tabs>
          <w:tab w:val="num" w:pos="0"/>
        </w:tabs>
        <w:ind w:left="0" w:hanging="964"/>
      </w:pPr>
    </w:lvl>
    <w:lvl w:ilvl="3">
      <w:start w:val="1"/>
      <w:numFmt w:val="decimal"/>
      <w:pStyle w:val="AppendixHeading4"/>
      <w:lvlText w:val="%1.%2.%3.%4"/>
      <w:lvlJc w:val="left"/>
      <w:pPr>
        <w:tabs>
          <w:tab w:val="num" w:pos="0"/>
        </w:tabs>
        <w:ind w:left="0" w:hanging="964"/>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3" w15:restartNumberingAfterBreak="0">
    <w:nsid w:val="7B315E50"/>
    <w:multiLevelType w:val="hybridMultilevel"/>
    <w:tmpl w:val="B6542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B86044F"/>
    <w:multiLevelType w:val="hybridMultilevel"/>
    <w:tmpl w:val="0B02CD5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7BF71022"/>
    <w:multiLevelType w:val="hybridMultilevel"/>
    <w:tmpl w:val="551A2ADA"/>
    <w:lvl w:ilvl="0" w:tplc="540829CA">
      <w:start w:val="1"/>
      <w:numFmt w:val="bullet"/>
      <w:pStyle w:val="Bulle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D840988"/>
    <w:multiLevelType w:val="hybridMultilevel"/>
    <w:tmpl w:val="8C426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9"/>
  </w:num>
  <w:num w:numId="3">
    <w:abstractNumId w:val="63"/>
  </w:num>
  <w:num w:numId="4">
    <w:abstractNumId w:val="3"/>
  </w:num>
  <w:num w:numId="5">
    <w:abstractNumId w:val="8"/>
    <w:lvlOverride w:ilvl="0">
      <w:startOverride w:val="1"/>
    </w:lvlOverride>
  </w:num>
  <w:num w:numId="6">
    <w:abstractNumId w:val="85"/>
  </w:num>
  <w:num w:numId="7">
    <w:abstractNumId w:val="13"/>
  </w:num>
  <w:num w:numId="8">
    <w:abstractNumId w:val="39"/>
  </w:num>
  <w:num w:numId="9">
    <w:abstractNumId w:val="12"/>
  </w:num>
  <w:num w:numId="10">
    <w:abstractNumId w:val="38"/>
  </w:num>
  <w:num w:numId="11">
    <w:abstractNumId w:val="61"/>
  </w:num>
  <w:num w:numId="12">
    <w:abstractNumId w:val="69"/>
  </w:num>
  <w:num w:numId="13">
    <w:abstractNumId w:val="31"/>
  </w:num>
  <w:num w:numId="14">
    <w:abstractNumId w:val="76"/>
  </w:num>
  <w:num w:numId="15">
    <w:abstractNumId w:val="81"/>
  </w:num>
  <w:num w:numId="16">
    <w:abstractNumId w:val="24"/>
  </w:num>
  <w:num w:numId="17">
    <w:abstractNumId w:val="30"/>
  </w:num>
  <w:num w:numId="18">
    <w:abstractNumId w:val="60"/>
  </w:num>
  <w:num w:numId="19">
    <w:abstractNumId w:val="19"/>
  </w:num>
  <w:num w:numId="20">
    <w:abstractNumId w:val="50"/>
  </w:num>
  <w:num w:numId="21">
    <w:abstractNumId w:val="58"/>
  </w:num>
  <w:num w:numId="22">
    <w:abstractNumId w:val="7"/>
  </w:num>
  <w:num w:numId="23">
    <w:abstractNumId w:val="49"/>
  </w:num>
  <w:num w:numId="24">
    <w:abstractNumId w:val="9"/>
  </w:num>
  <w:num w:numId="25">
    <w:abstractNumId w:val="6"/>
  </w:num>
  <w:num w:numId="26">
    <w:abstractNumId w:val="5"/>
  </w:num>
  <w:num w:numId="27">
    <w:abstractNumId w:val="4"/>
  </w:num>
  <w:num w:numId="28">
    <w:abstractNumId w:val="2"/>
  </w:num>
  <w:num w:numId="29">
    <w:abstractNumId w:val="1"/>
  </w:num>
  <w:num w:numId="30">
    <w:abstractNumId w:val="0"/>
  </w:num>
  <w:num w:numId="31">
    <w:abstractNumId w:val="22"/>
  </w:num>
  <w:num w:numId="32">
    <w:abstractNumId w:val="82"/>
  </w:num>
  <w:num w:numId="33">
    <w:abstractNumId w:val="80"/>
  </w:num>
  <w:num w:numId="34">
    <w:abstractNumId w:val="27"/>
  </w:num>
  <w:num w:numId="35">
    <w:abstractNumId w:val="67"/>
  </w:num>
  <w:num w:numId="36">
    <w:abstractNumId w:val="16"/>
  </w:num>
  <w:num w:numId="37">
    <w:abstractNumId w:val="55"/>
  </w:num>
  <w:num w:numId="38">
    <w:abstractNumId w:val="17"/>
  </w:num>
  <w:num w:numId="39">
    <w:abstractNumId w:val="72"/>
  </w:num>
  <w:num w:numId="40">
    <w:abstractNumId w:val="62"/>
  </w:num>
  <w:num w:numId="41">
    <w:abstractNumId w:val="45"/>
  </w:num>
  <w:num w:numId="42">
    <w:abstractNumId w:val="35"/>
  </w:num>
  <w:num w:numId="43">
    <w:abstractNumId w:val="68"/>
  </w:num>
  <w:num w:numId="44">
    <w:abstractNumId w:val="65"/>
  </w:num>
  <w:num w:numId="45">
    <w:abstractNumId w:val="14"/>
  </w:num>
  <w:num w:numId="46">
    <w:abstractNumId w:val="44"/>
  </w:num>
  <w:num w:numId="47">
    <w:abstractNumId w:val="41"/>
  </w:num>
  <w:num w:numId="48">
    <w:abstractNumId w:val="52"/>
  </w:num>
  <w:num w:numId="49">
    <w:abstractNumId w:val="75"/>
  </w:num>
  <w:num w:numId="50">
    <w:abstractNumId w:val="37"/>
  </w:num>
  <w:num w:numId="51">
    <w:abstractNumId w:val="40"/>
  </w:num>
  <w:num w:numId="52">
    <w:abstractNumId w:val="14"/>
    <w:lvlOverride w:ilvl="0">
      <w:startOverride w:val="1"/>
    </w:lvlOverride>
  </w:num>
  <w:num w:numId="53">
    <w:abstractNumId w:val="14"/>
    <w:lvlOverride w:ilvl="0">
      <w:startOverride w:val="1"/>
    </w:lvlOverride>
  </w:num>
  <w:num w:numId="54">
    <w:abstractNumId w:val="51"/>
  </w:num>
  <w:num w:numId="55">
    <w:abstractNumId w:val="56"/>
  </w:num>
  <w:num w:numId="56">
    <w:abstractNumId w:val="84"/>
  </w:num>
  <w:num w:numId="57">
    <w:abstractNumId w:val="66"/>
  </w:num>
  <w:num w:numId="58">
    <w:abstractNumId w:val="86"/>
  </w:num>
  <w:num w:numId="59">
    <w:abstractNumId w:val="77"/>
  </w:num>
  <w:num w:numId="60">
    <w:abstractNumId w:val="70"/>
  </w:num>
  <w:num w:numId="61">
    <w:abstractNumId w:val="53"/>
  </w:num>
  <w:num w:numId="62">
    <w:abstractNumId w:val="78"/>
  </w:num>
  <w:num w:numId="63">
    <w:abstractNumId w:val="21"/>
  </w:num>
  <w:num w:numId="64">
    <w:abstractNumId w:val="73"/>
  </w:num>
  <w:num w:numId="65">
    <w:abstractNumId w:val="11"/>
  </w:num>
  <w:num w:numId="66">
    <w:abstractNumId w:val="79"/>
  </w:num>
  <w:num w:numId="67">
    <w:abstractNumId w:val="57"/>
  </w:num>
  <w:num w:numId="68">
    <w:abstractNumId w:val="42"/>
  </w:num>
  <w:num w:numId="69">
    <w:abstractNumId w:val="71"/>
  </w:num>
  <w:num w:numId="70">
    <w:abstractNumId w:val="18"/>
  </w:num>
  <w:num w:numId="71">
    <w:abstractNumId w:val="34"/>
  </w:num>
  <w:num w:numId="72">
    <w:abstractNumId w:val="54"/>
  </w:num>
  <w:num w:numId="7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8"/>
  </w:num>
  <w:num w:numId="75">
    <w:abstractNumId w:val="15"/>
  </w:num>
  <w:num w:numId="76">
    <w:abstractNumId w:val="20"/>
  </w:num>
  <w:num w:numId="77">
    <w:abstractNumId w:val="83"/>
  </w:num>
  <w:num w:numId="78">
    <w:abstractNumId w:val="74"/>
  </w:num>
  <w:num w:numId="7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5"/>
  </w:num>
  <w:num w:numId="81">
    <w:abstractNumId w:val="64"/>
  </w:num>
  <w:num w:numId="82">
    <w:abstractNumId w:val="47"/>
  </w:num>
  <w:num w:numId="83">
    <w:abstractNumId w:val="46"/>
  </w:num>
  <w:num w:numId="84">
    <w:abstractNumId w:val="59"/>
  </w:num>
  <w:num w:numId="85">
    <w:abstractNumId w:val="25"/>
  </w:num>
  <w:num w:numId="86">
    <w:abstractNumId w:val="32"/>
  </w:num>
  <w:num w:numId="87">
    <w:abstractNumId w:val="43"/>
  </w:num>
  <w:num w:numId="88">
    <w:abstractNumId w:val="49"/>
    <w:lvlOverride w:ilvl="0">
      <w:startOverride w:val="10"/>
    </w:lvlOverride>
    <w:lvlOverride w:ilvl="1">
      <w:startOverride w:val="3"/>
    </w:lvlOverride>
  </w:num>
  <w:num w:numId="89">
    <w:abstractNumId w:val="10"/>
  </w:num>
  <w:num w:numId="90">
    <w:abstractNumId w:val="23"/>
  </w:num>
  <w:num w:numId="91">
    <w:abstractNumId w:val="33"/>
  </w:num>
  <w:num w:numId="92">
    <w:abstractNumId w:val="36"/>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ENInstantFormat&gt;"/>
    <w:docVar w:name="EN.Layout" w:val="&lt;ENLayout&gt;&lt;Style&gt;Modified Brit Medical J&lt;/Style&gt;&lt;LeftDelim&gt;{&lt;/LeftDelim&gt;&lt;RightDelim&gt;}&lt;/RightDelim&gt;&lt;FontName&gt;Arial&lt;/FontName&gt;&lt;FontSize&gt;11&lt;/FontSize&gt;&lt;ReflistTitle&gt;&lt;/ReflistTitle&gt;&lt;StartingRefnum&gt;1&lt;/StartingRefnum&gt;&lt;FirstLineIndent&gt;0&lt;/FirstLineIndent&gt;&lt;HangingIndent&gt;0&lt;/HangingIndent&gt;&lt;LineSpacing&gt;0&lt;/LineSpacing&gt;&lt;SpaceAfter&gt;1&lt;/SpaceAfter&gt;&lt;/ENLayout&gt;"/>
    <w:docVar w:name="EN.Libraries" w:val="&lt;ENLibraries&gt;&lt;Libraries&gt;&lt;item&gt;NHIA for CQR.enl&lt;/item&gt;&lt;/Libraries&gt;&lt;/ENLibraries&gt;"/>
  </w:docVars>
  <w:rsids>
    <w:rsidRoot w:val="000D0F10"/>
    <w:rsid w:val="0000023F"/>
    <w:rsid w:val="00000DC8"/>
    <w:rsid w:val="00001AF1"/>
    <w:rsid w:val="00001B57"/>
    <w:rsid w:val="00001C5B"/>
    <w:rsid w:val="00001FF3"/>
    <w:rsid w:val="000024B6"/>
    <w:rsid w:val="00003231"/>
    <w:rsid w:val="0000355A"/>
    <w:rsid w:val="00003D87"/>
    <w:rsid w:val="000040CB"/>
    <w:rsid w:val="0000493D"/>
    <w:rsid w:val="00005377"/>
    <w:rsid w:val="00006A05"/>
    <w:rsid w:val="00007164"/>
    <w:rsid w:val="00007239"/>
    <w:rsid w:val="000072BB"/>
    <w:rsid w:val="00007316"/>
    <w:rsid w:val="000101DB"/>
    <w:rsid w:val="000107DA"/>
    <w:rsid w:val="00010AF8"/>
    <w:rsid w:val="00010C50"/>
    <w:rsid w:val="00011A05"/>
    <w:rsid w:val="000135E4"/>
    <w:rsid w:val="00013D81"/>
    <w:rsid w:val="00014372"/>
    <w:rsid w:val="00015606"/>
    <w:rsid w:val="00015C72"/>
    <w:rsid w:val="00016250"/>
    <w:rsid w:val="00016889"/>
    <w:rsid w:val="00016E4E"/>
    <w:rsid w:val="00017387"/>
    <w:rsid w:val="0001762E"/>
    <w:rsid w:val="000204F2"/>
    <w:rsid w:val="00021360"/>
    <w:rsid w:val="0002204C"/>
    <w:rsid w:val="0002231E"/>
    <w:rsid w:val="00022512"/>
    <w:rsid w:val="0002256A"/>
    <w:rsid w:val="0002262A"/>
    <w:rsid w:val="000228DA"/>
    <w:rsid w:val="00022E1D"/>
    <w:rsid w:val="00022FB3"/>
    <w:rsid w:val="00023C20"/>
    <w:rsid w:val="00023C91"/>
    <w:rsid w:val="00023EC8"/>
    <w:rsid w:val="00024419"/>
    <w:rsid w:val="000253AD"/>
    <w:rsid w:val="00025DB5"/>
    <w:rsid w:val="00025FD7"/>
    <w:rsid w:val="00026531"/>
    <w:rsid w:val="00026D7B"/>
    <w:rsid w:val="00026DEB"/>
    <w:rsid w:val="000271EF"/>
    <w:rsid w:val="0002775D"/>
    <w:rsid w:val="00027B19"/>
    <w:rsid w:val="00027C57"/>
    <w:rsid w:val="00031911"/>
    <w:rsid w:val="00031F18"/>
    <w:rsid w:val="00032A4B"/>
    <w:rsid w:val="0003327F"/>
    <w:rsid w:val="000332C0"/>
    <w:rsid w:val="000340AF"/>
    <w:rsid w:val="00034AFB"/>
    <w:rsid w:val="000356D7"/>
    <w:rsid w:val="00035EA4"/>
    <w:rsid w:val="00036064"/>
    <w:rsid w:val="00036563"/>
    <w:rsid w:val="0003689A"/>
    <w:rsid w:val="000368D3"/>
    <w:rsid w:val="000371B8"/>
    <w:rsid w:val="0003731D"/>
    <w:rsid w:val="00037411"/>
    <w:rsid w:val="00037879"/>
    <w:rsid w:val="00037DAC"/>
    <w:rsid w:val="00040065"/>
    <w:rsid w:val="00040175"/>
    <w:rsid w:val="000407C6"/>
    <w:rsid w:val="000430A7"/>
    <w:rsid w:val="00043799"/>
    <w:rsid w:val="000437CB"/>
    <w:rsid w:val="00043EDE"/>
    <w:rsid w:val="0004412F"/>
    <w:rsid w:val="00044252"/>
    <w:rsid w:val="00044632"/>
    <w:rsid w:val="00044EF2"/>
    <w:rsid w:val="00045558"/>
    <w:rsid w:val="0004665C"/>
    <w:rsid w:val="00046CD9"/>
    <w:rsid w:val="00047747"/>
    <w:rsid w:val="00047F7A"/>
    <w:rsid w:val="00050001"/>
    <w:rsid w:val="000501E4"/>
    <w:rsid w:val="000503BA"/>
    <w:rsid w:val="000503EA"/>
    <w:rsid w:val="00051A1E"/>
    <w:rsid w:val="00051B14"/>
    <w:rsid w:val="00052615"/>
    <w:rsid w:val="00053A02"/>
    <w:rsid w:val="0005446F"/>
    <w:rsid w:val="00054B50"/>
    <w:rsid w:val="00055A1B"/>
    <w:rsid w:val="00055F5F"/>
    <w:rsid w:val="00056301"/>
    <w:rsid w:val="00056743"/>
    <w:rsid w:val="000567DD"/>
    <w:rsid w:val="0005707C"/>
    <w:rsid w:val="00057149"/>
    <w:rsid w:val="00057994"/>
    <w:rsid w:val="00057CF3"/>
    <w:rsid w:val="00057F20"/>
    <w:rsid w:val="000608BA"/>
    <w:rsid w:val="00060CE2"/>
    <w:rsid w:val="0006183E"/>
    <w:rsid w:val="00061C5A"/>
    <w:rsid w:val="0006209C"/>
    <w:rsid w:val="00062341"/>
    <w:rsid w:val="000625CB"/>
    <w:rsid w:val="00062692"/>
    <w:rsid w:val="000633E5"/>
    <w:rsid w:val="00064331"/>
    <w:rsid w:val="000647D4"/>
    <w:rsid w:val="00065046"/>
    <w:rsid w:val="0006521D"/>
    <w:rsid w:val="0006566B"/>
    <w:rsid w:val="00065D82"/>
    <w:rsid w:val="00066082"/>
    <w:rsid w:val="00066C5D"/>
    <w:rsid w:val="00067490"/>
    <w:rsid w:val="00067826"/>
    <w:rsid w:val="00067989"/>
    <w:rsid w:val="00067C9E"/>
    <w:rsid w:val="000703DF"/>
    <w:rsid w:val="000706DB"/>
    <w:rsid w:val="00070838"/>
    <w:rsid w:val="00070863"/>
    <w:rsid w:val="00070C9B"/>
    <w:rsid w:val="000713C0"/>
    <w:rsid w:val="00071946"/>
    <w:rsid w:val="00071C8B"/>
    <w:rsid w:val="00071CA8"/>
    <w:rsid w:val="00071ECB"/>
    <w:rsid w:val="00071F51"/>
    <w:rsid w:val="0007223F"/>
    <w:rsid w:val="00072524"/>
    <w:rsid w:val="000727C8"/>
    <w:rsid w:val="000734F6"/>
    <w:rsid w:val="00074F3A"/>
    <w:rsid w:val="00074FEA"/>
    <w:rsid w:val="00075316"/>
    <w:rsid w:val="000755A0"/>
    <w:rsid w:val="00075686"/>
    <w:rsid w:val="00075F39"/>
    <w:rsid w:val="000761F2"/>
    <w:rsid w:val="0007636E"/>
    <w:rsid w:val="00076712"/>
    <w:rsid w:val="00076D7B"/>
    <w:rsid w:val="00080833"/>
    <w:rsid w:val="00080BAA"/>
    <w:rsid w:val="00081E5B"/>
    <w:rsid w:val="00082917"/>
    <w:rsid w:val="0008300C"/>
    <w:rsid w:val="00083C28"/>
    <w:rsid w:val="000840B7"/>
    <w:rsid w:val="00084767"/>
    <w:rsid w:val="0008535F"/>
    <w:rsid w:val="00085415"/>
    <w:rsid w:val="0008552C"/>
    <w:rsid w:val="00086357"/>
    <w:rsid w:val="00086AAB"/>
    <w:rsid w:val="00086D28"/>
    <w:rsid w:val="00087333"/>
    <w:rsid w:val="00087C16"/>
    <w:rsid w:val="00087D3F"/>
    <w:rsid w:val="00087FBE"/>
    <w:rsid w:val="000901F6"/>
    <w:rsid w:val="00090485"/>
    <w:rsid w:val="000908E3"/>
    <w:rsid w:val="00091863"/>
    <w:rsid w:val="00091DE9"/>
    <w:rsid w:val="00091F86"/>
    <w:rsid w:val="00092317"/>
    <w:rsid w:val="00092C52"/>
    <w:rsid w:val="00092DD0"/>
    <w:rsid w:val="00093A0D"/>
    <w:rsid w:val="000942FD"/>
    <w:rsid w:val="0009452E"/>
    <w:rsid w:val="00094695"/>
    <w:rsid w:val="00094B22"/>
    <w:rsid w:val="00094EDF"/>
    <w:rsid w:val="00095A53"/>
    <w:rsid w:val="0009670E"/>
    <w:rsid w:val="000968A1"/>
    <w:rsid w:val="00097218"/>
    <w:rsid w:val="00097AD7"/>
    <w:rsid w:val="00097D29"/>
    <w:rsid w:val="000A03EE"/>
    <w:rsid w:val="000A042B"/>
    <w:rsid w:val="000A0C6F"/>
    <w:rsid w:val="000A0CCB"/>
    <w:rsid w:val="000A0FDB"/>
    <w:rsid w:val="000A17D5"/>
    <w:rsid w:val="000A19E5"/>
    <w:rsid w:val="000A249C"/>
    <w:rsid w:val="000A26BF"/>
    <w:rsid w:val="000A2CD5"/>
    <w:rsid w:val="000A3591"/>
    <w:rsid w:val="000A5078"/>
    <w:rsid w:val="000A5716"/>
    <w:rsid w:val="000A5B3D"/>
    <w:rsid w:val="000A6776"/>
    <w:rsid w:val="000A68DB"/>
    <w:rsid w:val="000A6E2F"/>
    <w:rsid w:val="000B05F7"/>
    <w:rsid w:val="000B0F95"/>
    <w:rsid w:val="000B1504"/>
    <w:rsid w:val="000B176E"/>
    <w:rsid w:val="000B214C"/>
    <w:rsid w:val="000B382C"/>
    <w:rsid w:val="000B3D28"/>
    <w:rsid w:val="000B3DC1"/>
    <w:rsid w:val="000B4365"/>
    <w:rsid w:val="000B55A9"/>
    <w:rsid w:val="000B5A0D"/>
    <w:rsid w:val="000B5CA6"/>
    <w:rsid w:val="000B5EBE"/>
    <w:rsid w:val="000B641E"/>
    <w:rsid w:val="000B67B8"/>
    <w:rsid w:val="000B6819"/>
    <w:rsid w:val="000B742B"/>
    <w:rsid w:val="000B74F8"/>
    <w:rsid w:val="000B77CF"/>
    <w:rsid w:val="000C087E"/>
    <w:rsid w:val="000C0F89"/>
    <w:rsid w:val="000C156C"/>
    <w:rsid w:val="000C1F7A"/>
    <w:rsid w:val="000C2994"/>
    <w:rsid w:val="000C2BC7"/>
    <w:rsid w:val="000C30E6"/>
    <w:rsid w:val="000C32D2"/>
    <w:rsid w:val="000C3AC3"/>
    <w:rsid w:val="000C3C45"/>
    <w:rsid w:val="000C3ED6"/>
    <w:rsid w:val="000C414C"/>
    <w:rsid w:val="000C495E"/>
    <w:rsid w:val="000C4DB5"/>
    <w:rsid w:val="000C4F58"/>
    <w:rsid w:val="000C512E"/>
    <w:rsid w:val="000C60F2"/>
    <w:rsid w:val="000C6298"/>
    <w:rsid w:val="000C62EB"/>
    <w:rsid w:val="000C68A0"/>
    <w:rsid w:val="000C6AB7"/>
    <w:rsid w:val="000C762B"/>
    <w:rsid w:val="000D0525"/>
    <w:rsid w:val="000D0CC3"/>
    <w:rsid w:val="000D0F10"/>
    <w:rsid w:val="000D13B4"/>
    <w:rsid w:val="000D28A3"/>
    <w:rsid w:val="000D29B8"/>
    <w:rsid w:val="000D3112"/>
    <w:rsid w:val="000D3318"/>
    <w:rsid w:val="000D354A"/>
    <w:rsid w:val="000D3D23"/>
    <w:rsid w:val="000D3EF7"/>
    <w:rsid w:val="000D3F0E"/>
    <w:rsid w:val="000D40FB"/>
    <w:rsid w:val="000D413C"/>
    <w:rsid w:val="000D436D"/>
    <w:rsid w:val="000D4784"/>
    <w:rsid w:val="000D6118"/>
    <w:rsid w:val="000D6256"/>
    <w:rsid w:val="000D6512"/>
    <w:rsid w:val="000D7257"/>
    <w:rsid w:val="000D7538"/>
    <w:rsid w:val="000E0815"/>
    <w:rsid w:val="000E08C3"/>
    <w:rsid w:val="000E0EE8"/>
    <w:rsid w:val="000E11D2"/>
    <w:rsid w:val="000E120B"/>
    <w:rsid w:val="000E1554"/>
    <w:rsid w:val="000E1A08"/>
    <w:rsid w:val="000E31BB"/>
    <w:rsid w:val="000E3D84"/>
    <w:rsid w:val="000E4B19"/>
    <w:rsid w:val="000E4D0E"/>
    <w:rsid w:val="000E6175"/>
    <w:rsid w:val="000E63AC"/>
    <w:rsid w:val="000E643C"/>
    <w:rsid w:val="000E65BC"/>
    <w:rsid w:val="000E6782"/>
    <w:rsid w:val="000E7068"/>
    <w:rsid w:val="000E7799"/>
    <w:rsid w:val="000E7AD7"/>
    <w:rsid w:val="000F0C9F"/>
    <w:rsid w:val="000F1EE3"/>
    <w:rsid w:val="000F23CC"/>
    <w:rsid w:val="000F3FA7"/>
    <w:rsid w:val="000F3FC7"/>
    <w:rsid w:val="000F4715"/>
    <w:rsid w:val="000F57F3"/>
    <w:rsid w:val="000F633C"/>
    <w:rsid w:val="000F6584"/>
    <w:rsid w:val="000F6E53"/>
    <w:rsid w:val="000F70CD"/>
    <w:rsid w:val="000F7120"/>
    <w:rsid w:val="000F727F"/>
    <w:rsid w:val="000F79E3"/>
    <w:rsid w:val="000F7D8E"/>
    <w:rsid w:val="00100636"/>
    <w:rsid w:val="001009BE"/>
    <w:rsid w:val="00100CD6"/>
    <w:rsid w:val="00100D9B"/>
    <w:rsid w:val="00101332"/>
    <w:rsid w:val="00101C38"/>
    <w:rsid w:val="00102297"/>
    <w:rsid w:val="00102B84"/>
    <w:rsid w:val="00103899"/>
    <w:rsid w:val="00104456"/>
    <w:rsid w:val="0010477D"/>
    <w:rsid w:val="001049B2"/>
    <w:rsid w:val="00105B2F"/>
    <w:rsid w:val="00105D61"/>
    <w:rsid w:val="00105D9B"/>
    <w:rsid w:val="00106104"/>
    <w:rsid w:val="00106223"/>
    <w:rsid w:val="00106260"/>
    <w:rsid w:val="0010642C"/>
    <w:rsid w:val="00106449"/>
    <w:rsid w:val="00106CDE"/>
    <w:rsid w:val="00107617"/>
    <w:rsid w:val="00107729"/>
    <w:rsid w:val="0010790F"/>
    <w:rsid w:val="00107E02"/>
    <w:rsid w:val="00107E19"/>
    <w:rsid w:val="00110804"/>
    <w:rsid w:val="00111C9F"/>
    <w:rsid w:val="00111CDC"/>
    <w:rsid w:val="00111F54"/>
    <w:rsid w:val="00112687"/>
    <w:rsid w:val="0011294B"/>
    <w:rsid w:val="00112ABC"/>
    <w:rsid w:val="00113447"/>
    <w:rsid w:val="001143EC"/>
    <w:rsid w:val="00114955"/>
    <w:rsid w:val="00114DC0"/>
    <w:rsid w:val="00115778"/>
    <w:rsid w:val="00115A29"/>
    <w:rsid w:val="00115BA3"/>
    <w:rsid w:val="00116299"/>
    <w:rsid w:val="00117D8F"/>
    <w:rsid w:val="00117ED3"/>
    <w:rsid w:val="00120116"/>
    <w:rsid w:val="0012155D"/>
    <w:rsid w:val="00121BA2"/>
    <w:rsid w:val="00121E9F"/>
    <w:rsid w:val="00123820"/>
    <w:rsid w:val="00123970"/>
    <w:rsid w:val="00123B32"/>
    <w:rsid w:val="001245A4"/>
    <w:rsid w:val="00124B45"/>
    <w:rsid w:val="00125930"/>
    <w:rsid w:val="001260FD"/>
    <w:rsid w:val="00126A6F"/>
    <w:rsid w:val="00126CE4"/>
    <w:rsid w:val="00126D29"/>
    <w:rsid w:val="00126F2F"/>
    <w:rsid w:val="00127972"/>
    <w:rsid w:val="0013001F"/>
    <w:rsid w:val="001302F6"/>
    <w:rsid w:val="001303FC"/>
    <w:rsid w:val="00130471"/>
    <w:rsid w:val="00130A0F"/>
    <w:rsid w:val="00131370"/>
    <w:rsid w:val="001313C2"/>
    <w:rsid w:val="00131601"/>
    <w:rsid w:val="00131812"/>
    <w:rsid w:val="0013192F"/>
    <w:rsid w:val="00132047"/>
    <w:rsid w:val="00132418"/>
    <w:rsid w:val="001328F2"/>
    <w:rsid w:val="00132E23"/>
    <w:rsid w:val="00133B04"/>
    <w:rsid w:val="001345BC"/>
    <w:rsid w:val="001347A6"/>
    <w:rsid w:val="00134FAE"/>
    <w:rsid w:val="00134FCE"/>
    <w:rsid w:val="001353D1"/>
    <w:rsid w:val="001354C4"/>
    <w:rsid w:val="001356C3"/>
    <w:rsid w:val="001358CF"/>
    <w:rsid w:val="001361B8"/>
    <w:rsid w:val="0013658A"/>
    <w:rsid w:val="00136658"/>
    <w:rsid w:val="0013735D"/>
    <w:rsid w:val="001374FD"/>
    <w:rsid w:val="001405B5"/>
    <w:rsid w:val="0014085C"/>
    <w:rsid w:val="00140980"/>
    <w:rsid w:val="00140C83"/>
    <w:rsid w:val="00140FA3"/>
    <w:rsid w:val="00141151"/>
    <w:rsid w:val="00141190"/>
    <w:rsid w:val="0014163D"/>
    <w:rsid w:val="00141B24"/>
    <w:rsid w:val="00141C6B"/>
    <w:rsid w:val="0014225D"/>
    <w:rsid w:val="00142F5C"/>
    <w:rsid w:val="00143283"/>
    <w:rsid w:val="001434F1"/>
    <w:rsid w:val="001437B9"/>
    <w:rsid w:val="00143C7E"/>
    <w:rsid w:val="001441C8"/>
    <w:rsid w:val="00144E2D"/>
    <w:rsid w:val="00145822"/>
    <w:rsid w:val="0014608B"/>
    <w:rsid w:val="00146A90"/>
    <w:rsid w:val="00146FDB"/>
    <w:rsid w:val="00147124"/>
    <w:rsid w:val="00147295"/>
    <w:rsid w:val="001473EF"/>
    <w:rsid w:val="0014783E"/>
    <w:rsid w:val="00147E08"/>
    <w:rsid w:val="0015008E"/>
    <w:rsid w:val="00150363"/>
    <w:rsid w:val="0015097D"/>
    <w:rsid w:val="001514D1"/>
    <w:rsid w:val="001516F8"/>
    <w:rsid w:val="001520FA"/>
    <w:rsid w:val="00152186"/>
    <w:rsid w:val="001528AB"/>
    <w:rsid w:val="00153903"/>
    <w:rsid w:val="00153B75"/>
    <w:rsid w:val="00153BFB"/>
    <w:rsid w:val="00154D9E"/>
    <w:rsid w:val="00154EEB"/>
    <w:rsid w:val="00156ACF"/>
    <w:rsid w:val="00156D1F"/>
    <w:rsid w:val="00157987"/>
    <w:rsid w:val="00157DB7"/>
    <w:rsid w:val="00157DEB"/>
    <w:rsid w:val="00160E4D"/>
    <w:rsid w:val="00161629"/>
    <w:rsid w:val="0016184A"/>
    <w:rsid w:val="00161AE8"/>
    <w:rsid w:val="00162988"/>
    <w:rsid w:val="001631BC"/>
    <w:rsid w:val="00163C43"/>
    <w:rsid w:val="00163FAB"/>
    <w:rsid w:val="001640F4"/>
    <w:rsid w:val="00164194"/>
    <w:rsid w:val="00164688"/>
    <w:rsid w:val="00164F1E"/>
    <w:rsid w:val="00165AC3"/>
    <w:rsid w:val="0016603A"/>
    <w:rsid w:val="00166189"/>
    <w:rsid w:val="00166729"/>
    <w:rsid w:val="00166799"/>
    <w:rsid w:val="0016683B"/>
    <w:rsid w:val="00166AC9"/>
    <w:rsid w:val="00166B68"/>
    <w:rsid w:val="00167587"/>
    <w:rsid w:val="0017026A"/>
    <w:rsid w:val="001702BF"/>
    <w:rsid w:val="0017031C"/>
    <w:rsid w:val="00170545"/>
    <w:rsid w:val="00171345"/>
    <w:rsid w:val="00172514"/>
    <w:rsid w:val="00172587"/>
    <w:rsid w:val="0017304E"/>
    <w:rsid w:val="0017307F"/>
    <w:rsid w:val="00173F5D"/>
    <w:rsid w:val="00174527"/>
    <w:rsid w:val="00174553"/>
    <w:rsid w:val="00174559"/>
    <w:rsid w:val="00174B87"/>
    <w:rsid w:val="00174C4E"/>
    <w:rsid w:val="00174D56"/>
    <w:rsid w:val="00174F54"/>
    <w:rsid w:val="00175447"/>
    <w:rsid w:val="00176632"/>
    <w:rsid w:val="00176B0D"/>
    <w:rsid w:val="00176B0E"/>
    <w:rsid w:val="00176D70"/>
    <w:rsid w:val="00176F54"/>
    <w:rsid w:val="00177344"/>
    <w:rsid w:val="00177972"/>
    <w:rsid w:val="001779AE"/>
    <w:rsid w:val="00180481"/>
    <w:rsid w:val="0018057C"/>
    <w:rsid w:val="0018070E"/>
    <w:rsid w:val="00182F36"/>
    <w:rsid w:val="0018338B"/>
    <w:rsid w:val="0018392B"/>
    <w:rsid w:val="00183FC9"/>
    <w:rsid w:val="001841BE"/>
    <w:rsid w:val="00184756"/>
    <w:rsid w:val="001854E7"/>
    <w:rsid w:val="00185846"/>
    <w:rsid w:val="00185C14"/>
    <w:rsid w:val="00185F59"/>
    <w:rsid w:val="00186255"/>
    <w:rsid w:val="0018632D"/>
    <w:rsid w:val="001866CD"/>
    <w:rsid w:val="00186907"/>
    <w:rsid w:val="00186B12"/>
    <w:rsid w:val="00186E0A"/>
    <w:rsid w:val="001874D3"/>
    <w:rsid w:val="001915DB"/>
    <w:rsid w:val="00192E84"/>
    <w:rsid w:val="00193112"/>
    <w:rsid w:val="0019325B"/>
    <w:rsid w:val="00193BE8"/>
    <w:rsid w:val="00194A0A"/>
    <w:rsid w:val="00195C41"/>
    <w:rsid w:val="00195D62"/>
    <w:rsid w:val="00196619"/>
    <w:rsid w:val="00197066"/>
    <w:rsid w:val="00197674"/>
    <w:rsid w:val="00197C3F"/>
    <w:rsid w:val="00197ED9"/>
    <w:rsid w:val="001A0206"/>
    <w:rsid w:val="001A030B"/>
    <w:rsid w:val="001A0757"/>
    <w:rsid w:val="001A106A"/>
    <w:rsid w:val="001A116B"/>
    <w:rsid w:val="001A1171"/>
    <w:rsid w:val="001A1515"/>
    <w:rsid w:val="001A1999"/>
    <w:rsid w:val="001A1F26"/>
    <w:rsid w:val="001A394F"/>
    <w:rsid w:val="001A43B3"/>
    <w:rsid w:val="001A486B"/>
    <w:rsid w:val="001A538A"/>
    <w:rsid w:val="001A71CD"/>
    <w:rsid w:val="001A75A5"/>
    <w:rsid w:val="001A7678"/>
    <w:rsid w:val="001A79E3"/>
    <w:rsid w:val="001A7C1C"/>
    <w:rsid w:val="001A7C83"/>
    <w:rsid w:val="001A7CEF"/>
    <w:rsid w:val="001A7F42"/>
    <w:rsid w:val="001B0524"/>
    <w:rsid w:val="001B05F8"/>
    <w:rsid w:val="001B063E"/>
    <w:rsid w:val="001B0AC2"/>
    <w:rsid w:val="001B0B53"/>
    <w:rsid w:val="001B0C03"/>
    <w:rsid w:val="001B274A"/>
    <w:rsid w:val="001B27A6"/>
    <w:rsid w:val="001B2DC4"/>
    <w:rsid w:val="001B2ECC"/>
    <w:rsid w:val="001B3555"/>
    <w:rsid w:val="001B3702"/>
    <w:rsid w:val="001B4423"/>
    <w:rsid w:val="001B54AF"/>
    <w:rsid w:val="001B5CF6"/>
    <w:rsid w:val="001B6B23"/>
    <w:rsid w:val="001B6BCA"/>
    <w:rsid w:val="001B6BFC"/>
    <w:rsid w:val="001B6C45"/>
    <w:rsid w:val="001B7EE4"/>
    <w:rsid w:val="001C0576"/>
    <w:rsid w:val="001C175B"/>
    <w:rsid w:val="001C1861"/>
    <w:rsid w:val="001C2482"/>
    <w:rsid w:val="001C295E"/>
    <w:rsid w:val="001C2DAB"/>
    <w:rsid w:val="001C2E9A"/>
    <w:rsid w:val="001C2F34"/>
    <w:rsid w:val="001C3168"/>
    <w:rsid w:val="001C3C54"/>
    <w:rsid w:val="001C46C8"/>
    <w:rsid w:val="001C4A83"/>
    <w:rsid w:val="001C4EB7"/>
    <w:rsid w:val="001C5099"/>
    <w:rsid w:val="001C5578"/>
    <w:rsid w:val="001C5764"/>
    <w:rsid w:val="001C60A1"/>
    <w:rsid w:val="001C7833"/>
    <w:rsid w:val="001C7EBD"/>
    <w:rsid w:val="001D041C"/>
    <w:rsid w:val="001D05AF"/>
    <w:rsid w:val="001D05B7"/>
    <w:rsid w:val="001D0761"/>
    <w:rsid w:val="001D081C"/>
    <w:rsid w:val="001D0995"/>
    <w:rsid w:val="001D0E20"/>
    <w:rsid w:val="001D1330"/>
    <w:rsid w:val="001D2C2D"/>
    <w:rsid w:val="001D2F42"/>
    <w:rsid w:val="001D302F"/>
    <w:rsid w:val="001D30F8"/>
    <w:rsid w:val="001D3820"/>
    <w:rsid w:val="001D44CC"/>
    <w:rsid w:val="001D498A"/>
    <w:rsid w:val="001D5F51"/>
    <w:rsid w:val="001D62CB"/>
    <w:rsid w:val="001D7080"/>
    <w:rsid w:val="001D7F99"/>
    <w:rsid w:val="001E13E1"/>
    <w:rsid w:val="001E18A0"/>
    <w:rsid w:val="001E2422"/>
    <w:rsid w:val="001E2B17"/>
    <w:rsid w:val="001E306E"/>
    <w:rsid w:val="001E412D"/>
    <w:rsid w:val="001E4E5F"/>
    <w:rsid w:val="001E5974"/>
    <w:rsid w:val="001E5B41"/>
    <w:rsid w:val="001E5C5A"/>
    <w:rsid w:val="001E5E93"/>
    <w:rsid w:val="001E625B"/>
    <w:rsid w:val="001E6DD7"/>
    <w:rsid w:val="001E72F3"/>
    <w:rsid w:val="001E7D8C"/>
    <w:rsid w:val="001F0358"/>
    <w:rsid w:val="001F0CC6"/>
    <w:rsid w:val="001F10FF"/>
    <w:rsid w:val="001F129D"/>
    <w:rsid w:val="001F1684"/>
    <w:rsid w:val="001F1CB9"/>
    <w:rsid w:val="001F3F95"/>
    <w:rsid w:val="001F4C67"/>
    <w:rsid w:val="001F50E1"/>
    <w:rsid w:val="001F59EC"/>
    <w:rsid w:val="001F657E"/>
    <w:rsid w:val="001F6F32"/>
    <w:rsid w:val="001F794F"/>
    <w:rsid w:val="001F7F4A"/>
    <w:rsid w:val="001F7F6B"/>
    <w:rsid w:val="0020033B"/>
    <w:rsid w:val="002007A4"/>
    <w:rsid w:val="00200C6A"/>
    <w:rsid w:val="002017C8"/>
    <w:rsid w:val="00201B50"/>
    <w:rsid w:val="00201B7A"/>
    <w:rsid w:val="0020250F"/>
    <w:rsid w:val="00202789"/>
    <w:rsid w:val="00203DA2"/>
    <w:rsid w:val="00204411"/>
    <w:rsid w:val="00204614"/>
    <w:rsid w:val="00204DB8"/>
    <w:rsid w:val="00205878"/>
    <w:rsid w:val="00205A7F"/>
    <w:rsid w:val="00206210"/>
    <w:rsid w:val="002064CD"/>
    <w:rsid w:val="00206FFF"/>
    <w:rsid w:val="0021042C"/>
    <w:rsid w:val="00210CF8"/>
    <w:rsid w:val="00210ECA"/>
    <w:rsid w:val="00211624"/>
    <w:rsid w:val="00211888"/>
    <w:rsid w:val="00212007"/>
    <w:rsid w:val="00212190"/>
    <w:rsid w:val="002124B2"/>
    <w:rsid w:val="00212A49"/>
    <w:rsid w:val="00212D0E"/>
    <w:rsid w:val="0021340A"/>
    <w:rsid w:val="00213684"/>
    <w:rsid w:val="00215692"/>
    <w:rsid w:val="00215695"/>
    <w:rsid w:val="002157E1"/>
    <w:rsid w:val="00215CD6"/>
    <w:rsid w:val="0021602A"/>
    <w:rsid w:val="002165DE"/>
    <w:rsid w:val="00216677"/>
    <w:rsid w:val="00216824"/>
    <w:rsid w:val="00216BA7"/>
    <w:rsid w:val="002176CF"/>
    <w:rsid w:val="00217797"/>
    <w:rsid w:val="00217991"/>
    <w:rsid w:val="00220DBE"/>
    <w:rsid w:val="002213B6"/>
    <w:rsid w:val="00222051"/>
    <w:rsid w:val="002221A8"/>
    <w:rsid w:val="00222827"/>
    <w:rsid w:val="00225181"/>
    <w:rsid w:val="002252D5"/>
    <w:rsid w:val="00225D01"/>
    <w:rsid w:val="002267C7"/>
    <w:rsid w:val="00226A5A"/>
    <w:rsid w:val="00227151"/>
    <w:rsid w:val="0022785F"/>
    <w:rsid w:val="00227DA7"/>
    <w:rsid w:val="00227E88"/>
    <w:rsid w:val="00227F0F"/>
    <w:rsid w:val="0023080C"/>
    <w:rsid w:val="00230952"/>
    <w:rsid w:val="00230BEA"/>
    <w:rsid w:val="0023154D"/>
    <w:rsid w:val="002318BA"/>
    <w:rsid w:val="00231EA2"/>
    <w:rsid w:val="00232640"/>
    <w:rsid w:val="00232681"/>
    <w:rsid w:val="00232D5D"/>
    <w:rsid w:val="00233CF4"/>
    <w:rsid w:val="00234030"/>
    <w:rsid w:val="002348B5"/>
    <w:rsid w:val="00234E83"/>
    <w:rsid w:val="0023559D"/>
    <w:rsid w:val="00236801"/>
    <w:rsid w:val="00236936"/>
    <w:rsid w:val="00236E69"/>
    <w:rsid w:val="00240236"/>
    <w:rsid w:val="00240640"/>
    <w:rsid w:val="0024273E"/>
    <w:rsid w:val="00242898"/>
    <w:rsid w:val="00242AAC"/>
    <w:rsid w:val="0024351B"/>
    <w:rsid w:val="002435D4"/>
    <w:rsid w:val="00243662"/>
    <w:rsid w:val="00243F95"/>
    <w:rsid w:val="0024486C"/>
    <w:rsid w:val="00244C0A"/>
    <w:rsid w:val="00244ED2"/>
    <w:rsid w:val="002451CA"/>
    <w:rsid w:val="00246270"/>
    <w:rsid w:val="00246712"/>
    <w:rsid w:val="0024721E"/>
    <w:rsid w:val="002475D7"/>
    <w:rsid w:val="00247F83"/>
    <w:rsid w:val="0025045A"/>
    <w:rsid w:val="0025098A"/>
    <w:rsid w:val="00250DF2"/>
    <w:rsid w:val="00251981"/>
    <w:rsid w:val="00252078"/>
    <w:rsid w:val="002520E3"/>
    <w:rsid w:val="0025248E"/>
    <w:rsid w:val="002529E3"/>
    <w:rsid w:val="00252BEC"/>
    <w:rsid w:val="002530BF"/>
    <w:rsid w:val="00253E8E"/>
    <w:rsid w:val="00254162"/>
    <w:rsid w:val="00254521"/>
    <w:rsid w:val="00254CB2"/>
    <w:rsid w:val="00254F58"/>
    <w:rsid w:val="002557BC"/>
    <w:rsid w:val="00255C86"/>
    <w:rsid w:val="00260F65"/>
    <w:rsid w:val="0026133C"/>
    <w:rsid w:val="002619FE"/>
    <w:rsid w:val="00262897"/>
    <w:rsid w:val="002629B4"/>
    <w:rsid w:val="00262E3A"/>
    <w:rsid w:val="00262E99"/>
    <w:rsid w:val="00263B9C"/>
    <w:rsid w:val="00263EEC"/>
    <w:rsid w:val="00264485"/>
    <w:rsid w:val="00264AC5"/>
    <w:rsid w:val="0026609A"/>
    <w:rsid w:val="00266713"/>
    <w:rsid w:val="00266DD2"/>
    <w:rsid w:val="002673C2"/>
    <w:rsid w:val="00267CD0"/>
    <w:rsid w:val="00267F35"/>
    <w:rsid w:val="00270184"/>
    <w:rsid w:val="002702A1"/>
    <w:rsid w:val="00270B56"/>
    <w:rsid w:val="002711EA"/>
    <w:rsid w:val="002717B2"/>
    <w:rsid w:val="0027199A"/>
    <w:rsid w:val="00271C29"/>
    <w:rsid w:val="002726AC"/>
    <w:rsid w:val="00272B18"/>
    <w:rsid w:val="00273E06"/>
    <w:rsid w:val="00274880"/>
    <w:rsid w:val="002748A9"/>
    <w:rsid w:val="0027516F"/>
    <w:rsid w:val="00276790"/>
    <w:rsid w:val="0027683F"/>
    <w:rsid w:val="002769C8"/>
    <w:rsid w:val="00276D97"/>
    <w:rsid w:val="00276DDD"/>
    <w:rsid w:val="00277561"/>
    <w:rsid w:val="00277C39"/>
    <w:rsid w:val="00277DFE"/>
    <w:rsid w:val="0028087C"/>
    <w:rsid w:val="0028102F"/>
    <w:rsid w:val="0028249E"/>
    <w:rsid w:val="002825B8"/>
    <w:rsid w:val="002839EC"/>
    <w:rsid w:val="00283A65"/>
    <w:rsid w:val="00284F37"/>
    <w:rsid w:val="0028597A"/>
    <w:rsid w:val="00285DDC"/>
    <w:rsid w:val="0028664B"/>
    <w:rsid w:val="00287177"/>
    <w:rsid w:val="00287CC2"/>
    <w:rsid w:val="00290C14"/>
    <w:rsid w:val="00291234"/>
    <w:rsid w:val="0029196E"/>
    <w:rsid w:val="00291FB9"/>
    <w:rsid w:val="0029219B"/>
    <w:rsid w:val="0029265C"/>
    <w:rsid w:val="00292DF0"/>
    <w:rsid w:val="0029312D"/>
    <w:rsid w:val="00293138"/>
    <w:rsid w:val="00293563"/>
    <w:rsid w:val="00293A83"/>
    <w:rsid w:val="00293F3A"/>
    <w:rsid w:val="0029472D"/>
    <w:rsid w:val="002958A9"/>
    <w:rsid w:val="00296571"/>
    <w:rsid w:val="00296A99"/>
    <w:rsid w:val="00296F89"/>
    <w:rsid w:val="0029701D"/>
    <w:rsid w:val="002971D0"/>
    <w:rsid w:val="0029795E"/>
    <w:rsid w:val="00297F41"/>
    <w:rsid w:val="00297FC1"/>
    <w:rsid w:val="002A00C7"/>
    <w:rsid w:val="002A0282"/>
    <w:rsid w:val="002A0C66"/>
    <w:rsid w:val="002A0DB3"/>
    <w:rsid w:val="002A1088"/>
    <w:rsid w:val="002A34FC"/>
    <w:rsid w:val="002A3972"/>
    <w:rsid w:val="002A529F"/>
    <w:rsid w:val="002A6254"/>
    <w:rsid w:val="002A6AA1"/>
    <w:rsid w:val="002A73F5"/>
    <w:rsid w:val="002A74A8"/>
    <w:rsid w:val="002A7588"/>
    <w:rsid w:val="002A7697"/>
    <w:rsid w:val="002B0737"/>
    <w:rsid w:val="002B1608"/>
    <w:rsid w:val="002B2CCA"/>
    <w:rsid w:val="002B2DFE"/>
    <w:rsid w:val="002B3409"/>
    <w:rsid w:val="002B39B2"/>
    <w:rsid w:val="002B3D17"/>
    <w:rsid w:val="002B4A73"/>
    <w:rsid w:val="002B4A9E"/>
    <w:rsid w:val="002B543F"/>
    <w:rsid w:val="002B555D"/>
    <w:rsid w:val="002B5697"/>
    <w:rsid w:val="002B5EC5"/>
    <w:rsid w:val="002B66FF"/>
    <w:rsid w:val="002B67B2"/>
    <w:rsid w:val="002B6A95"/>
    <w:rsid w:val="002B7E0E"/>
    <w:rsid w:val="002C0139"/>
    <w:rsid w:val="002C0236"/>
    <w:rsid w:val="002C030C"/>
    <w:rsid w:val="002C0AB5"/>
    <w:rsid w:val="002C0D7F"/>
    <w:rsid w:val="002C2B32"/>
    <w:rsid w:val="002C3226"/>
    <w:rsid w:val="002C3F1C"/>
    <w:rsid w:val="002C4948"/>
    <w:rsid w:val="002C4F02"/>
    <w:rsid w:val="002C53FE"/>
    <w:rsid w:val="002C5A49"/>
    <w:rsid w:val="002C6084"/>
    <w:rsid w:val="002C7313"/>
    <w:rsid w:val="002C7583"/>
    <w:rsid w:val="002C7B1B"/>
    <w:rsid w:val="002D002D"/>
    <w:rsid w:val="002D064A"/>
    <w:rsid w:val="002D0BF8"/>
    <w:rsid w:val="002D0FE5"/>
    <w:rsid w:val="002D17C9"/>
    <w:rsid w:val="002D2051"/>
    <w:rsid w:val="002D34ED"/>
    <w:rsid w:val="002D3719"/>
    <w:rsid w:val="002D371D"/>
    <w:rsid w:val="002D3D9B"/>
    <w:rsid w:val="002D511C"/>
    <w:rsid w:val="002D5577"/>
    <w:rsid w:val="002D6C88"/>
    <w:rsid w:val="002D6C94"/>
    <w:rsid w:val="002E0795"/>
    <w:rsid w:val="002E1024"/>
    <w:rsid w:val="002E16F2"/>
    <w:rsid w:val="002E1962"/>
    <w:rsid w:val="002E2899"/>
    <w:rsid w:val="002E2DA7"/>
    <w:rsid w:val="002E2F34"/>
    <w:rsid w:val="002E37AF"/>
    <w:rsid w:val="002E3B06"/>
    <w:rsid w:val="002E3D1B"/>
    <w:rsid w:val="002E445D"/>
    <w:rsid w:val="002E4559"/>
    <w:rsid w:val="002E4709"/>
    <w:rsid w:val="002E4717"/>
    <w:rsid w:val="002E51CF"/>
    <w:rsid w:val="002E52E9"/>
    <w:rsid w:val="002E532D"/>
    <w:rsid w:val="002E5760"/>
    <w:rsid w:val="002E5C42"/>
    <w:rsid w:val="002E5DFB"/>
    <w:rsid w:val="002E6852"/>
    <w:rsid w:val="002E6A3B"/>
    <w:rsid w:val="002E6E04"/>
    <w:rsid w:val="002E706C"/>
    <w:rsid w:val="002E782E"/>
    <w:rsid w:val="002F1A18"/>
    <w:rsid w:val="002F20F7"/>
    <w:rsid w:val="002F2811"/>
    <w:rsid w:val="002F296F"/>
    <w:rsid w:val="002F34D8"/>
    <w:rsid w:val="002F386E"/>
    <w:rsid w:val="002F4581"/>
    <w:rsid w:val="002F4702"/>
    <w:rsid w:val="002F4A37"/>
    <w:rsid w:val="002F4BE9"/>
    <w:rsid w:val="002F5082"/>
    <w:rsid w:val="002F5AA9"/>
    <w:rsid w:val="002F5D47"/>
    <w:rsid w:val="002F5E10"/>
    <w:rsid w:val="002F6162"/>
    <w:rsid w:val="002F7F1E"/>
    <w:rsid w:val="0030011B"/>
    <w:rsid w:val="003001F0"/>
    <w:rsid w:val="00301394"/>
    <w:rsid w:val="00301572"/>
    <w:rsid w:val="0030183F"/>
    <w:rsid w:val="00301902"/>
    <w:rsid w:val="003019DC"/>
    <w:rsid w:val="0030401E"/>
    <w:rsid w:val="00304767"/>
    <w:rsid w:val="003059D4"/>
    <w:rsid w:val="00305E93"/>
    <w:rsid w:val="00305EAC"/>
    <w:rsid w:val="00305FB1"/>
    <w:rsid w:val="003067DA"/>
    <w:rsid w:val="0031004E"/>
    <w:rsid w:val="0031141C"/>
    <w:rsid w:val="003122BD"/>
    <w:rsid w:val="0031306A"/>
    <w:rsid w:val="00313B8C"/>
    <w:rsid w:val="00313DFC"/>
    <w:rsid w:val="00314818"/>
    <w:rsid w:val="00314A87"/>
    <w:rsid w:val="003151CB"/>
    <w:rsid w:val="00315AD1"/>
    <w:rsid w:val="0031673A"/>
    <w:rsid w:val="00316FC5"/>
    <w:rsid w:val="00317C42"/>
    <w:rsid w:val="00317E0B"/>
    <w:rsid w:val="00320F3A"/>
    <w:rsid w:val="00320FFB"/>
    <w:rsid w:val="003219D4"/>
    <w:rsid w:val="00321A78"/>
    <w:rsid w:val="00322153"/>
    <w:rsid w:val="00322AA7"/>
    <w:rsid w:val="00322B8D"/>
    <w:rsid w:val="00322D0A"/>
    <w:rsid w:val="00323FFB"/>
    <w:rsid w:val="003242AC"/>
    <w:rsid w:val="0032475A"/>
    <w:rsid w:val="00324865"/>
    <w:rsid w:val="003248DA"/>
    <w:rsid w:val="00324CEE"/>
    <w:rsid w:val="00325211"/>
    <w:rsid w:val="0032528D"/>
    <w:rsid w:val="0032669C"/>
    <w:rsid w:val="00326721"/>
    <w:rsid w:val="00326980"/>
    <w:rsid w:val="003269A3"/>
    <w:rsid w:val="00326A38"/>
    <w:rsid w:val="00326D92"/>
    <w:rsid w:val="00326DA6"/>
    <w:rsid w:val="00326DC3"/>
    <w:rsid w:val="00327310"/>
    <w:rsid w:val="0032743E"/>
    <w:rsid w:val="00327E0C"/>
    <w:rsid w:val="00327E3E"/>
    <w:rsid w:val="00327F9A"/>
    <w:rsid w:val="00330216"/>
    <w:rsid w:val="00331557"/>
    <w:rsid w:val="00331BDE"/>
    <w:rsid w:val="00332050"/>
    <w:rsid w:val="00334168"/>
    <w:rsid w:val="0033460C"/>
    <w:rsid w:val="00334A7D"/>
    <w:rsid w:val="00334AC5"/>
    <w:rsid w:val="0033624F"/>
    <w:rsid w:val="003369FC"/>
    <w:rsid w:val="00336C05"/>
    <w:rsid w:val="003375FF"/>
    <w:rsid w:val="00337970"/>
    <w:rsid w:val="00337A73"/>
    <w:rsid w:val="00340240"/>
    <w:rsid w:val="00340A19"/>
    <w:rsid w:val="00341D2C"/>
    <w:rsid w:val="00341E1C"/>
    <w:rsid w:val="00342034"/>
    <w:rsid w:val="00343709"/>
    <w:rsid w:val="00343EC4"/>
    <w:rsid w:val="00344D42"/>
    <w:rsid w:val="003452CE"/>
    <w:rsid w:val="0034576F"/>
    <w:rsid w:val="00345796"/>
    <w:rsid w:val="00345E77"/>
    <w:rsid w:val="00345E95"/>
    <w:rsid w:val="00346C4D"/>
    <w:rsid w:val="003474DD"/>
    <w:rsid w:val="003505AB"/>
    <w:rsid w:val="00351653"/>
    <w:rsid w:val="00351E94"/>
    <w:rsid w:val="00352059"/>
    <w:rsid w:val="00352D28"/>
    <w:rsid w:val="003532C4"/>
    <w:rsid w:val="00353433"/>
    <w:rsid w:val="00354221"/>
    <w:rsid w:val="003547AD"/>
    <w:rsid w:val="0035499F"/>
    <w:rsid w:val="00354F50"/>
    <w:rsid w:val="0035532F"/>
    <w:rsid w:val="00355435"/>
    <w:rsid w:val="00355453"/>
    <w:rsid w:val="00355613"/>
    <w:rsid w:val="00356496"/>
    <w:rsid w:val="00356BD8"/>
    <w:rsid w:val="00356BE5"/>
    <w:rsid w:val="0035752C"/>
    <w:rsid w:val="00360C63"/>
    <w:rsid w:val="0036133D"/>
    <w:rsid w:val="00361D84"/>
    <w:rsid w:val="00362E6B"/>
    <w:rsid w:val="003633C0"/>
    <w:rsid w:val="003638DF"/>
    <w:rsid w:val="00363DAA"/>
    <w:rsid w:val="00364640"/>
    <w:rsid w:val="003649EC"/>
    <w:rsid w:val="00364B3C"/>
    <w:rsid w:val="00365041"/>
    <w:rsid w:val="00366E87"/>
    <w:rsid w:val="003676E4"/>
    <w:rsid w:val="003700EC"/>
    <w:rsid w:val="00370207"/>
    <w:rsid w:val="003702C7"/>
    <w:rsid w:val="00370495"/>
    <w:rsid w:val="003704D8"/>
    <w:rsid w:val="0037084D"/>
    <w:rsid w:val="00370BF4"/>
    <w:rsid w:val="00372188"/>
    <w:rsid w:val="00372C2A"/>
    <w:rsid w:val="0037302B"/>
    <w:rsid w:val="003730B3"/>
    <w:rsid w:val="00374652"/>
    <w:rsid w:val="00374DBF"/>
    <w:rsid w:val="00374FD2"/>
    <w:rsid w:val="0037555E"/>
    <w:rsid w:val="00375AA6"/>
    <w:rsid w:val="00375AE7"/>
    <w:rsid w:val="00375DFA"/>
    <w:rsid w:val="00375EA8"/>
    <w:rsid w:val="00375F73"/>
    <w:rsid w:val="0037624B"/>
    <w:rsid w:val="00376919"/>
    <w:rsid w:val="0037709A"/>
    <w:rsid w:val="003775FB"/>
    <w:rsid w:val="003779D9"/>
    <w:rsid w:val="00380D49"/>
    <w:rsid w:val="003813F6"/>
    <w:rsid w:val="0038244A"/>
    <w:rsid w:val="0038276D"/>
    <w:rsid w:val="00383912"/>
    <w:rsid w:val="00383B77"/>
    <w:rsid w:val="003842F8"/>
    <w:rsid w:val="00384500"/>
    <w:rsid w:val="00384A3C"/>
    <w:rsid w:val="00384C17"/>
    <w:rsid w:val="00384C2B"/>
    <w:rsid w:val="00384D21"/>
    <w:rsid w:val="00385077"/>
    <w:rsid w:val="00385375"/>
    <w:rsid w:val="00385630"/>
    <w:rsid w:val="00385848"/>
    <w:rsid w:val="00386595"/>
    <w:rsid w:val="0038669E"/>
    <w:rsid w:val="00386EC2"/>
    <w:rsid w:val="0038724D"/>
    <w:rsid w:val="003876E8"/>
    <w:rsid w:val="0038782F"/>
    <w:rsid w:val="00387938"/>
    <w:rsid w:val="00387D58"/>
    <w:rsid w:val="00390370"/>
    <w:rsid w:val="003906B9"/>
    <w:rsid w:val="003909FF"/>
    <w:rsid w:val="00390AE5"/>
    <w:rsid w:val="00390F03"/>
    <w:rsid w:val="00391358"/>
    <w:rsid w:val="00392215"/>
    <w:rsid w:val="00392227"/>
    <w:rsid w:val="00392685"/>
    <w:rsid w:val="003944DA"/>
    <w:rsid w:val="00394699"/>
    <w:rsid w:val="003950C1"/>
    <w:rsid w:val="003954A1"/>
    <w:rsid w:val="003961DA"/>
    <w:rsid w:val="00396953"/>
    <w:rsid w:val="00396ABC"/>
    <w:rsid w:val="0039784B"/>
    <w:rsid w:val="00397E09"/>
    <w:rsid w:val="003A1779"/>
    <w:rsid w:val="003A17DF"/>
    <w:rsid w:val="003A2421"/>
    <w:rsid w:val="003A2735"/>
    <w:rsid w:val="003A344C"/>
    <w:rsid w:val="003A392C"/>
    <w:rsid w:val="003A3E2B"/>
    <w:rsid w:val="003A3FA8"/>
    <w:rsid w:val="003A41FD"/>
    <w:rsid w:val="003A4892"/>
    <w:rsid w:val="003A48DE"/>
    <w:rsid w:val="003A4E36"/>
    <w:rsid w:val="003A5457"/>
    <w:rsid w:val="003A6199"/>
    <w:rsid w:val="003A6FB3"/>
    <w:rsid w:val="003A7038"/>
    <w:rsid w:val="003B0C29"/>
    <w:rsid w:val="003B0DB3"/>
    <w:rsid w:val="003B1589"/>
    <w:rsid w:val="003B16E3"/>
    <w:rsid w:val="003B2060"/>
    <w:rsid w:val="003B2B22"/>
    <w:rsid w:val="003B2C20"/>
    <w:rsid w:val="003B35B1"/>
    <w:rsid w:val="003B3748"/>
    <w:rsid w:val="003B429B"/>
    <w:rsid w:val="003B44F1"/>
    <w:rsid w:val="003B453E"/>
    <w:rsid w:val="003B459C"/>
    <w:rsid w:val="003B46FF"/>
    <w:rsid w:val="003B49D6"/>
    <w:rsid w:val="003B4FE1"/>
    <w:rsid w:val="003B505E"/>
    <w:rsid w:val="003B5669"/>
    <w:rsid w:val="003B58AE"/>
    <w:rsid w:val="003B5B8A"/>
    <w:rsid w:val="003B5CDA"/>
    <w:rsid w:val="003B65F5"/>
    <w:rsid w:val="003B6A8E"/>
    <w:rsid w:val="003B7117"/>
    <w:rsid w:val="003B758C"/>
    <w:rsid w:val="003B7913"/>
    <w:rsid w:val="003B791D"/>
    <w:rsid w:val="003C0427"/>
    <w:rsid w:val="003C1162"/>
    <w:rsid w:val="003C1814"/>
    <w:rsid w:val="003C1A29"/>
    <w:rsid w:val="003C2157"/>
    <w:rsid w:val="003C221B"/>
    <w:rsid w:val="003C2640"/>
    <w:rsid w:val="003C2869"/>
    <w:rsid w:val="003C296D"/>
    <w:rsid w:val="003C2D8C"/>
    <w:rsid w:val="003C2DE9"/>
    <w:rsid w:val="003C2EAB"/>
    <w:rsid w:val="003C4008"/>
    <w:rsid w:val="003C6940"/>
    <w:rsid w:val="003C70FF"/>
    <w:rsid w:val="003C71DF"/>
    <w:rsid w:val="003C766E"/>
    <w:rsid w:val="003C7738"/>
    <w:rsid w:val="003D0575"/>
    <w:rsid w:val="003D0A8E"/>
    <w:rsid w:val="003D0D0F"/>
    <w:rsid w:val="003D128F"/>
    <w:rsid w:val="003D174E"/>
    <w:rsid w:val="003D1F11"/>
    <w:rsid w:val="003D252E"/>
    <w:rsid w:val="003D2BA6"/>
    <w:rsid w:val="003D3CEC"/>
    <w:rsid w:val="003D5A67"/>
    <w:rsid w:val="003D5F2E"/>
    <w:rsid w:val="003D64A7"/>
    <w:rsid w:val="003D72A0"/>
    <w:rsid w:val="003D766C"/>
    <w:rsid w:val="003E0417"/>
    <w:rsid w:val="003E091E"/>
    <w:rsid w:val="003E0BB9"/>
    <w:rsid w:val="003E108A"/>
    <w:rsid w:val="003E2329"/>
    <w:rsid w:val="003E3297"/>
    <w:rsid w:val="003E3835"/>
    <w:rsid w:val="003E46A7"/>
    <w:rsid w:val="003E530D"/>
    <w:rsid w:val="003E5ABA"/>
    <w:rsid w:val="003E5B13"/>
    <w:rsid w:val="003E6E87"/>
    <w:rsid w:val="003E79B0"/>
    <w:rsid w:val="003E7D1C"/>
    <w:rsid w:val="003F0238"/>
    <w:rsid w:val="003F08B2"/>
    <w:rsid w:val="003F19C0"/>
    <w:rsid w:val="003F1B64"/>
    <w:rsid w:val="003F3AAA"/>
    <w:rsid w:val="003F3ACD"/>
    <w:rsid w:val="003F3F99"/>
    <w:rsid w:val="003F4D23"/>
    <w:rsid w:val="003F4D2B"/>
    <w:rsid w:val="003F4FA2"/>
    <w:rsid w:val="003F554A"/>
    <w:rsid w:val="003F5B3E"/>
    <w:rsid w:val="003F60EA"/>
    <w:rsid w:val="003F770D"/>
    <w:rsid w:val="003F7CD8"/>
    <w:rsid w:val="00400FDB"/>
    <w:rsid w:val="004016EC"/>
    <w:rsid w:val="00401908"/>
    <w:rsid w:val="00401C32"/>
    <w:rsid w:val="004023C5"/>
    <w:rsid w:val="00402799"/>
    <w:rsid w:val="00402F95"/>
    <w:rsid w:val="0040321D"/>
    <w:rsid w:val="0040337D"/>
    <w:rsid w:val="0040433B"/>
    <w:rsid w:val="004049C3"/>
    <w:rsid w:val="00405586"/>
    <w:rsid w:val="00407F73"/>
    <w:rsid w:val="00410038"/>
    <w:rsid w:val="004101CE"/>
    <w:rsid w:val="0041042E"/>
    <w:rsid w:val="004110C6"/>
    <w:rsid w:val="00411AC7"/>
    <w:rsid w:val="00411CA2"/>
    <w:rsid w:val="00412682"/>
    <w:rsid w:val="004126E4"/>
    <w:rsid w:val="00412846"/>
    <w:rsid w:val="00412A36"/>
    <w:rsid w:val="00414191"/>
    <w:rsid w:val="0041449F"/>
    <w:rsid w:val="004151F2"/>
    <w:rsid w:val="00415753"/>
    <w:rsid w:val="00415CED"/>
    <w:rsid w:val="0041642E"/>
    <w:rsid w:val="00416D18"/>
    <w:rsid w:val="00416F08"/>
    <w:rsid w:val="0041781E"/>
    <w:rsid w:val="0042045F"/>
    <w:rsid w:val="00420504"/>
    <w:rsid w:val="00420973"/>
    <w:rsid w:val="00421167"/>
    <w:rsid w:val="0042131A"/>
    <w:rsid w:val="004220C5"/>
    <w:rsid w:val="0042214A"/>
    <w:rsid w:val="0042242A"/>
    <w:rsid w:val="004226AF"/>
    <w:rsid w:val="00422D38"/>
    <w:rsid w:val="004239ED"/>
    <w:rsid w:val="00423F7B"/>
    <w:rsid w:val="00423FE6"/>
    <w:rsid w:val="0042428B"/>
    <w:rsid w:val="00424CE2"/>
    <w:rsid w:val="004260C3"/>
    <w:rsid w:val="004263E1"/>
    <w:rsid w:val="00426B2B"/>
    <w:rsid w:val="00426EDF"/>
    <w:rsid w:val="00427B6E"/>
    <w:rsid w:val="00427F01"/>
    <w:rsid w:val="00430182"/>
    <w:rsid w:val="004314D4"/>
    <w:rsid w:val="00431F1A"/>
    <w:rsid w:val="00431F9A"/>
    <w:rsid w:val="00432B93"/>
    <w:rsid w:val="0043384F"/>
    <w:rsid w:val="00434109"/>
    <w:rsid w:val="004349C0"/>
    <w:rsid w:val="00434AAC"/>
    <w:rsid w:val="0043567A"/>
    <w:rsid w:val="004362CE"/>
    <w:rsid w:val="0043666A"/>
    <w:rsid w:val="00437924"/>
    <w:rsid w:val="0044020B"/>
    <w:rsid w:val="0044064D"/>
    <w:rsid w:val="004413B0"/>
    <w:rsid w:val="00442167"/>
    <w:rsid w:val="00442B2F"/>
    <w:rsid w:val="00443076"/>
    <w:rsid w:val="00444833"/>
    <w:rsid w:val="00445397"/>
    <w:rsid w:val="00445663"/>
    <w:rsid w:val="00445A52"/>
    <w:rsid w:val="00446936"/>
    <w:rsid w:val="00446D07"/>
    <w:rsid w:val="004470C1"/>
    <w:rsid w:val="00447218"/>
    <w:rsid w:val="0044727C"/>
    <w:rsid w:val="00447A88"/>
    <w:rsid w:val="00447CDA"/>
    <w:rsid w:val="00447D1B"/>
    <w:rsid w:val="00447D5B"/>
    <w:rsid w:val="00450388"/>
    <w:rsid w:val="00451C67"/>
    <w:rsid w:val="00451F86"/>
    <w:rsid w:val="0045292B"/>
    <w:rsid w:val="00453231"/>
    <w:rsid w:val="004535CB"/>
    <w:rsid w:val="00453954"/>
    <w:rsid w:val="00453C2F"/>
    <w:rsid w:val="00453FB2"/>
    <w:rsid w:val="004554C7"/>
    <w:rsid w:val="004555A0"/>
    <w:rsid w:val="00455B48"/>
    <w:rsid w:val="004578D4"/>
    <w:rsid w:val="00457B20"/>
    <w:rsid w:val="0046016E"/>
    <w:rsid w:val="00460769"/>
    <w:rsid w:val="0046130D"/>
    <w:rsid w:val="0046134D"/>
    <w:rsid w:val="004613EF"/>
    <w:rsid w:val="00462648"/>
    <w:rsid w:val="00463797"/>
    <w:rsid w:val="00464B2F"/>
    <w:rsid w:val="004655C6"/>
    <w:rsid w:val="004657C4"/>
    <w:rsid w:val="004658AB"/>
    <w:rsid w:val="00465D2F"/>
    <w:rsid w:val="00465E76"/>
    <w:rsid w:val="0046653C"/>
    <w:rsid w:val="00466FE3"/>
    <w:rsid w:val="0047002F"/>
    <w:rsid w:val="0047011E"/>
    <w:rsid w:val="0047069D"/>
    <w:rsid w:val="00471023"/>
    <w:rsid w:val="00471C7D"/>
    <w:rsid w:val="00471F65"/>
    <w:rsid w:val="00471FC5"/>
    <w:rsid w:val="0047200B"/>
    <w:rsid w:val="0047202A"/>
    <w:rsid w:val="00472099"/>
    <w:rsid w:val="00472131"/>
    <w:rsid w:val="00472685"/>
    <w:rsid w:val="004728A3"/>
    <w:rsid w:val="00472901"/>
    <w:rsid w:val="00474504"/>
    <w:rsid w:val="0047475F"/>
    <w:rsid w:val="004751D9"/>
    <w:rsid w:val="00475743"/>
    <w:rsid w:val="00475767"/>
    <w:rsid w:val="00475797"/>
    <w:rsid w:val="00475A2C"/>
    <w:rsid w:val="00475CA3"/>
    <w:rsid w:val="004762FE"/>
    <w:rsid w:val="00476436"/>
    <w:rsid w:val="0047791F"/>
    <w:rsid w:val="00477CAF"/>
    <w:rsid w:val="0048050B"/>
    <w:rsid w:val="00480F38"/>
    <w:rsid w:val="004827D9"/>
    <w:rsid w:val="004829E3"/>
    <w:rsid w:val="00483CF6"/>
    <w:rsid w:val="00483E7F"/>
    <w:rsid w:val="00484F3D"/>
    <w:rsid w:val="00485016"/>
    <w:rsid w:val="0048565F"/>
    <w:rsid w:val="00486BEB"/>
    <w:rsid w:val="004871D4"/>
    <w:rsid w:val="00487BB0"/>
    <w:rsid w:val="00487F60"/>
    <w:rsid w:val="00490AFD"/>
    <w:rsid w:val="00490CA1"/>
    <w:rsid w:val="00490F25"/>
    <w:rsid w:val="00491018"/>
    <w:rsid w:val="00491AA7"/>
    <w:rsid w:val="00492FF6"/>
    <w:rsid w:val="00493090"/>
    <w:rsid w:val="004931C2"/>
    <w:rsid w:val="00493B8F"/>
    <w:rsid w:val="00494E96"/>
    <w:rsid w:val="004957CE"/>
    <w:rsid w:val="00495E7E"/>
    <w:rsid w:val="0049666E"/>
    <w:rsid w:val="00497262"/>
    <w:rsid w:val="0049777F"/>
    <w:rsid w:val="00497907"/>
    <w:rsid w:val="004A00C0"/>
    <w:rsid w:val="004A0744"/>
    <w:rsid w:val="004A0898"/>
    <w:rsid w:val="004A0BFB"/>
    <w:rsid w:val="004A0CB1"/>
    <w:rsid w:val="004A25AE"/>
    <w:rsid w:val="004A261E"/>
    <w:rsid w:val="004A2DD6"/>
    <w:rsid w:val="004A4055"/>
    <w:rsid w:val="004A42EE"/>
    <w:rsid w:val="004A47AC"/>
    <w:rsid w:val="004A5417"/>
    <w:rsid w:val="004A577C"/>
    <w:rsid w:val="004A5D20"/>
    <w:rsid w:val="004A5D37"/>
    <w:rsid w:val="004A5F55"/>
    <w:rsid w:val="004A61C3"/>
    <w:rsid w:val="004A62CE"/>
    <w:rsid w:val="004A6DC2"/>
    <w:rsid w:val="004A73BD"/>
    <w:rsid w:val="004A7B63"/>
    <w:rsid w:val="004B15D9"/>
    <w:rsid w:val="004B365C"/>
    <w:rsid w:val="004B3948"/>
    <w:rsid w:val="004B3F8A"/>
    <w:rsid w:val="004B41BB"/>
    <w:rsid w:val="004B41F1"/>
    <w:rsid w:val="004B42A5"/>
    <w:rsid w:val="004B50AE"/>
    <w:rsid w:val="004B53F3"/>
    <w:rsid w:val="004B5908"/>
    <w:rsid w:val="004B5A3F"/>
    <w:rsid w:val="004B5B30"/>
    <w:rsid w:val="004B6096"/>
    <w:rsid w:val="004B6C84"/>
    <w:rsid w:val="004B6D65"/>
    <w:rsid w:val="004B7727"/>
    <w:rsid w:val="004C0855"/>
    <w:rsid w:val="004C0C42"/>
    <w:rsid w:val="004C0DD1"/>
    <w:rsid w:val="004C0F04"/>
    <w:rsid w:val="004C0FE2"/>
    <w:rsid w:val="004C1BD4"/>
    <w:rsid w:val="004C26B0"/>
    <w:rsid w:val="004C2C60"/>
    <w:rsid w:val="004C2D01"/>
    <w:rsid w:val="004C3828"/>
    <w:rsid w:val="004C40F8"/>
    <w:rsid w:val="004C49D0"/>
    <w:rsid w:val="004C4D5B"/>
    <w:rsid w:val="004C56F9"/>
    <w:rsid w:val="004C59B6"/>
    <w:rsid w:val="004C5ADA"/>
    <w:rsid w:val="004C6887"/>
    <w:rsid w:val="004C726C"/>
    <w:rsid w:val="004D010B"/>
    <w:rsid w:val="004D03A2"/>
    <w:rsid w:val="004D085A"/>
    <w:rsid w:val="004D0B87"/>
    <w:rsid w:val="004D2136"/>
    <w:rsid w:val="004D22A7"/>
    <w:rsid w:val="004D2904"/>
    <w:rsid w:val="004D2C62"/>
    <w:rsid w:val="004D2FE7"/>
    <w:rsid w:val="004D328C"/>
    <w:rsid w:val="004D3771"/>
    <w:rsid w:val="004D45DD"/>
    <w:rsid w:val="004D486B"/>
    <w:rsid w:val="004D69E0"/>
    <w:rsid w:val="004D6EF5"/>
    <w:rsid w:val="004D70E2"/>
    <w:rsid w:val="004D7A7E"/>
    <w:rsid w:val="004D7AA0"/>
    <w:rsid w:val="004E004B"/>
    <w:rsid w:val="004E0257"/>
    <w:rsid w:val="004E085C"/>
    <w:rsid w:val="004E0B50"/>
    <w:rsid w:val="004E0FE8"/>
    <w:rsid w:val="004E2091"/>
    <w:rsid w:val="004E20A8"/>
    <w:rsid w:val="004E2855"/>
    <w:rsid w:val="004E2EA9"/>
    <w:rsid w:val="004E3E90"/>
    <w:rsid w:val="004E4782"/>
    <w:rsid w:val="004E4A96"/>
    <w:rsid w:val="004E4B56"/>
    <w:rsid w:val="004E56BF"/>
    <w:rsid w:val="004E5744"/>
    <w:rsid w:val="004E5C3C"/>
    <w:rsid w:val="004E5F94"/>
    <w:rsid w:val="004E625C"/>
    <w:rsid w:val="004E68B7"/>
    <w:rsid w:val="004E761C"/>
    <w:rsid w:val="004E7B43"/>
    <w:rsid w:val="004F0282"/>
    <w:rsid w:val="004F1130"/>
    <w:rsid w:val="004F12D9"/>
    <w:rsid w:val="004F15AE"/>
    <w:rsid w:val="004F25C6"/>
    <w:rsid w:val="004F25F3"/>
    <w:rsid w:val="004F28D5"/>
    <w:rsid w:val="004F2AA7"/>
    <w:rsid w:val="004F388F"/>
    <w:rsid w:val="004F3EED"/>
    <w:rsid w:val="004F3F17"/>
    <w:rsid w:val="004F44AB"/>
    <w:rsid w:val="004F517F"/>
    <w:rsid w:val="004F522D"/>
    <w:rsid w:val="004F5857"/>
    <w:rsid w:val="004F5B43"/>
    <w:rsid w:val="004F63D5"/>
    <w:rsid w:val="004F6601"/>
    <w:rsid w:val="004F6B3E"/>
    <w:rsid w:val="004F7EC9"/>
    <w:rsid w:val="00500A01"/>
    <w:rsid w:val="00500CB2"/>
    <w:rsid w:val="00500DEC"/>
    <w:rsid w:val="00500EB8"/>
    <w:rsid w:val="00501434"/>
    <w:rsid w:val="00502586"/>
    <w:rsid w:val="005032B5"/>
    <w:rsid w:val="00503D28"/>
    <w:rsid w:val="00503FF6"/>
    <w:rsid w:val="0050464B"/>
    <w:rsid w:val="00504E34"/>
    <w:rsid w:val="0050720B"/>
    <w:rsid w:val="00507312"/>
    <w:rsid w:val="0050755B"/>
    <w:rsid w:val="00510512"/>
    <w:rsid w:val="0051079A"/>
    <w:rsid w:val="00510939"/>
    <w:rsid w:val="00510B39"/>
    <w:rsid w:val="00512318"/>
    <w:rsid w:val="00512324"/>
    <w:rsid w:val="0051281A"/>
    <w:rsid w:val="0051297D"/>
    <w:rsid w:val="00512A62"/>
    <w:rsid w:val="00512FF6"/>
    <w:rsid w:val="005136B0"/>
    <w:rsid w:val="005136DD"/>
    <w:rsid w:val="00513CFF"/>
    <w:rsid w:val="00514508"/>
    <w:rsid w:val="0051496A"/>
    <w:rsid w:val="00514A54"/>
    <w:rsid w:val="00514B3C"/>
    <w:rsid w:val="00514DD7"/>
    <w:rsid w:val="0051570A"/>
    <w:rsid w:val="00515780"/>
    <w:rsid w:val="005157D6"/>
    <w:rsid w:val="005158F1"/>
    <w:rsid w:val="0051632A"/>
    <w:rsid w:val="00516CEC"/>
    <w:rsid w:val="00516E0F"/>
    <w:rsid w:val="00516EBA"/>
    <w:rsid w:val="00516FF3"/>
    <w:rsid w:val="0051737D"/>
    <w:rsid w:val="0051740C"/>
    <w:rsid w:val="005177B0"/>
    <w:rsid w:val="0051791B"/>
    <w:rsid w:val="00517EDB"/>
    <w:rsid w:val="0052010D"/>
    <w:rsid w:val="005204CF"/>
    <w:rsid w:val="00521513"/>
    <w:rsid w:val="00521933"/>
    <w:rsid w:val="005223C4"/>
    <w:rsid w:val="00522916"/>
    <w:rsid w:val="005236A2"/>
    <w:rsid w:val="00523C06"/>
    <w:rsid w:val="00523DAD"/>
    <w:rsid w:val="0052430B"/>
    <w:rsid w:val="0052511F"/>
    <w:rsid w:val="00525695"/>
    <w:rsid w:val="00525EF5"/>
    <w:rsid w:val="00527787"/>
    <w:rsid w:val="00531039"/>
    <w:rsid w:val="00531345"/>
    <w:rsid w:val="005315D3"/>
    <w:rsid w:val="00532235"/>
    <w:rsid w:val="005322FC"/>
    <w:rsid w:val="0053256C"/>
    <w:rsid w:val="00532591"/>
    <w:rsid w:val="00532838"/>
    <w:rsid w:val="00532A29"/>
    <w:rsid w:val="00532BD6"/>
    <w:rsid w:val="00532E66"/>
    <w:rsid w:val="00533285"/>
    <w:rsid w:val="00533DCC"/>
    <w:rsid w:val="00533F30"/>
    <w:rsid w:val="00533FF3"/>
    <w:rsid w:val="00535057"/>
    <w:rsid w:val="005358E0"/>
    <w:rsid w:val="00535CC0"/>
    <w:rsid w:val="00535FCA"/>
    <w:rsid w:val="00536A97"/>
    <w:rsid w:val="00536DF0"/>
    <w:rsid w:val="00536EDC"/>
    <w:rsid w:val="00536F08"/>
    <w:rsid w:val="005371C6"/>
    <w:rsid w:val="00541F93"/>
    <w:rsid w:val="005422C1"/>
    <w:rsid w:val="0054242A"/>
    <w:rsid w:val="005426FF"/>
    <w:rsid w:val="00542789"/>
    <w:rsid w:val="005439FD"/>
    <w:rsid w:val="00544484"/>
    <w:rsid w:val="005446ED"/>
    <w:rsid w:val="00544831"/>
    <w:rsid w:val="00544F43"/>
    <w:rsid w:val="005454F7"/>
    <w:rsid w:val="005465B8"/>
    <w:rsid w:val="00547AD0"/>
    <w:rsid w:val="00547C48"/>
    <w:rsid w:val="00550E76"/>
    <w:rsid w:val="00551407"/>
    <w:rsid w:val="00551716"/>
    <w:rsid w:val="005520D6"/>
    <w:rsid w:val="00552B65"/>
    <w:rsid w:val="00552BB2"/>
    <w:rsid w:val="00553180"/>
    <w:rsid w:val="00553D86"/>
    <w:rsid w:val="005540E9"/>
    <w:rsid w:val="00554ADA"/>
    <w:rsid w:val="00555BB4"/>
    <w:rsid w:val="00555C6D"/>
    <w:rsid w:val="00555DFD"/>
    <w:rsid w:val="00555EC8"/>
    <w:rsid w:val="005569EF"/>
    <w:rsid w:val="00556E4D"/>
    <w:rsid w:val="005570F8"/>
    <w:rsid w:val="00557514"/>
    <w:rsid w:val="0055790B"/>
    <w:rsid w:val="00557ACA"/>
    <w:rsid w:val="00557CCF"/>
    <w:rsid w:val="005615E2"/>
    <w:rsid w:val="005618D9"/>
    <w:rsid w:val="00562829"/>
    <w:rsid w:val="00563414"/>
    <w:rsid w:val="005646C0"/>
    <w:rsid w:val="005649BD"/>
    <w:rsid w:val="00564C28"/>
    <w:rsid w:val="0056567F"/>
    <w:rsid w:val="00565F3E"/>
    <w:rsid w:val="00566345"/>
    <w:rsid w:val="0056634C"/>
    <w:rsid w:val="005674B7"/>
    <w:rsid w:val="00567EE1"/>
    <w:rsid w:val="00570783"/>
    <w:rsid w:val="00570F12"/>
    <w:rsid w:val="00571061"/>
    <w:rsid w:val="005712F8"/>
    <w:rsid w:val="0057157C"/>
    <w:rsid w:val="005715FF"/>
    <w:rsid w:val="005719CB"/>
    <w:rsid w:val="00571FF5"/>
    <w:rsid w:val="00572374"/>
    <w:rsid w:val="00572824"/>
    <w:rsid w:val="00572DEE"/>
    <w:rsid w:val="005730C6"/>
    <w:rsid w:val="00573169"/>
    <w:rsid w:val="00573A72"/>
    <w:rsid w:val="00574F73"/>
    <w:rsid w:val="00576574"/>
    <w:rsid w:val="00576CAE"/>
    <w:rsid w:val="00577C39"/>
    <w:rsid w:val="00577D89"/>
    <w:rsid w:val="00581011"/>
    <w:rsid w:val="00581277"/>
    <w:rsid w:val="00581359"/>
    <w:rsid w:val="005813A0"/>
    <w:rsid w:val="00581621"/>
    <w:rsid w:val="00581C22"/>
    <w:rsid w:val="005827E4"/>
    <w:rsid w:val="0058285C"/>
    <w:rsid w:val="00582E65"/>
    <w:rsid w:val="00582F02"/>
    <w:rsid w:val="00582F42"/>
    <w:rsid w:val="00583097"/>
    <w:rsid w:val="0058334B"/>
    <w:rsid w:val="00583CD8"/>
    <w:rsid w:val="00583E01"/>
    <w:rsid w:val="005843FC"/>
    <w:rsid w:val="00584ACF"/>
    <w:rsid w:val="00584C0B"/>
    <w:rsid w:val="005851BB"/>
    <w:rsid w:val="00585A7E"/>
    <w:rsid w:val="00587AE4"/>
    <w:rsid w:val="005907DE"/>
    <w:rsid w:val="00590924"/>
    <w:rsid w:val="005910F5"/>
    <w:rsid w:val="00591373"/>
    <w:rsid w:val="00591EEE"/>
    <w:rsid w:val="00592077"/>
    <w:rsid w:val="005930AC"/>
    <w:rsid w:val="00593529"/>
    <w:rsid w:val="00594061"/>
    <w:rsid w:val="00594F4B"/>
    <w:rsid w:val="00595168"/>
    <w:rsid w:val="005951BF"/>
    <w:rsid w:val="0059664B"/>
    <w:rsid w:val="00596E5E"/>
    <w:rsid w:val="00596F4E"/>
    <w:rsid w:val="00597AE7"/>
    <w:rsid w:val="005A1B4A"/>
    <w:rsid w:val="005A1EDE"/>
    <w:rsid w:val="005A20A6"/>
    <w:rsid w:val="005A29B4"/>
    <w:rsid w:val="005A2F7A"/>
    <w:rsid w:val="005A3528"/>
    <w:rsid w:val="005A4144"/>
    <w:rsid w:val="005A4293"/>
    <w:rsid w:val="005A5397"/>
    <w:rsid w:val="005A5B9F"/>
    <w:rsid w:val="005A794E"/>
    <w:rsid w:val="005A7B39"/>
    <w:rsid w:val="005A7B97"/>
    <w:rsid w:val="005B0BDC"/>
    <w:rsid w:val="005B0DE9"/>
    <w:rsid w:val="005B0E96"/>
    <w:rsid w:val="005B0F97"/>
    <w:rsid w:val="005B1661"/>
    <w:rsid w:val="005B207D"/>
    <w:rsid w:val="005B3B15"/>
    <w:rsid w:val="005B40DA"/>
    <w:rsid w:val="005B4639"/>
    <w:rsid w:val="005B4AF5"/>
    <w:rsid w:val="005B4E07"/>
    <w:rsid w:val="005B5317"/>
    <w:rsid w:val="005B53CC"/>
    <w:rsid w:val="005B53EE"/>
    <w:rsid w:val="005B5D4F"/>
    <w:rsid w:val="005B63C6"/>
    <w:rsid w:val="005B6828"/>
    <w:rsid w:val="005B6A63"/>
    <w:rsid w:val="005B6ABB"/>
    <w:rsid w:val="005B73A6"/>
    <w:rsid w:val="005B7924"/>
    <w:rsid w:val="005B7AEA"/>
    <w:rsid w:val="005C0494"/>
    <w:rsid w:val="005C06F9"/>
    <w:rsid w:val="005C086A"/>
    <w:rsid w:val="005C0A5E"/>
    <w:rsid w:val="005C0A8A"/>
    <w:rsid w:val="005C0B29"/>
    <w:rsid w:val="005C1581"/>
    <w:rsid w:val="005C1769"/>
    <w:rsid w:val="005C1C8A"/>
    <w:rsid w:val="005C1DCD"/>
    <w:rsid w:val="005C2B0E"/>
    <w:rsid w:val="005C2FC8"/>
    <w:rsid w:val="005C3719"/>
    <w:rsid w:val="005C41B8"/>
    <w:rsid w:val="005C41BE"/>
    <w:rsid w:val="005C4A95"/>
    <w:rsid w:val="005C6097"/>
    <w:rsid w:val="005C641A"/>
    <w:rsid w:val="005C6607"/>
    <w:rsid w:val="005C6B6B"/>
    <w:rsid w:val="005C6CB9"/>
    <w:rsid w:val="005C6F15"/>
    <w:rsid w:val="005C739C"/>
    <w:rsid w:val="005C73ED"/>
    <w:rsid w:val="005D00AC"/>
    <w:rsid w:val="005D0912"/>
    <w:rsid w:val="005D0B7E"/>
    <w:rsid w:val="005D0DCF"/>
    <w:rsid w:val="005D10C9"/>
    <w:rsid w:val="005D15AE"/>
    <w:rsid w:val="005D1712"/>
    <w:rsid w:val="005D1C97"/>
    <w:rsid w:val="005D200B"/>
    <w:rsid w:val="005D22C2"/>
    <w:rsid w:val="005D2385"/>
    <w:rsid w:val="005D25E6"/>
    <w:rsid w:val="005D304E"/>
    <w:rsid w:val="005D4B49"/>
    <w:rsid w:val="005D4C48"/>
    <w:rsid w:val="005D69D2"/>
    <w:rsid w:val="005D7F62"/>
    <w:rsid w:val="005E03B1"/>
    <w:rsid w:val="005E1339"/>
    <w:rsid w:val="005E1A34"/>
    <w:rsid w:val="005E1C07"/>
    <w:rsid w:val="005E1F71"/>
    <w:rsid w:val="005E2142"/>
    <w:rsid w:val="005E2932"/>
    <w:rsid w:val="005E2A10"/>
    <w:rsid w:val="005E2C18"/>
    <w:rsid w:val="005E329D"/>
    <w:rsid w:val="005E3979"/>
    <w:rsid w:val="005E4319"/>
    <w:rsid w:val="005E4339"/>
    <w:rsid w:val="005E472E"/>
    <w:rsid w:val="005E4967"/>
    <w:rsid w:val="005E4F90"/>
    <w:rsid w:val="005E56E5"/>
    <w:rsid w:val="005E5B01"/>
    <w:rsid w:val="005E5D44"/>
    <w:rsid w:val="005E63A0"/>
    <w:rsid w:val="005E69A3"/>
    <w:rsid w:val="005E6A6C"/>
    <w:rsid w:val="005E7995"/>
    <w:rsid w:val="005E7A94"/>
    <w:rsid w:val="005E7CC3"/>
    <w:rsid w:val="005E7F99"/>
    <w:rsid w:val="005F0632"/>
    <w:rsid w:val="005F1916"/>
    <w:rsid w:val="005F3093"/>
    <w:rsid w:val="005F4DD4"/>
    <w:rsid w:val="005F52F2"/>
    <w:rsid w:val="005F5CB6"/>
    <w:rsid w:val="005F5DC2"/>
    <w:rsid w:val="005F6EBD"/>
    <w:rsid w:val="00600676"/>
    <w:rsid w:val="00600744"/>
    <w:rsid w:val="00600D89"/>
    <w:rsid w:val="00600FE4"/>
    <w:rsid w:val="00601545"/>
    <w:rsid w:val="0060161C"/>
    <w:rsid w:val="006025C3"/>
    <w:rsid w:val="00602A7A"/>
    <w:rsid w:val="006039BA"/>
    <w:rsid w:val="0060429B"/>
    <w:rsid w:val="006044F2"/>
    <w:rsid w:val="00604BCE"/>
    <w:rsid w:val="006050D3"/>
    <w:rsid w:val="006052DE"/>
    <w:rsid w:val="00605762"/>
    <w:rsid w:val="00605959"/>
    <w:rsid w:val="00606526"/>
    <w:rsid w:val="00606F0F"/>
    <w:rsid w:val="00607E1F"/>
    <w:rsid w:val="00607E84"/>
    <w:rsid w:val="00610F0A"/>
    <w:rsid w:val="0061228F"/>
    <w:rsid w:val="0061233A"/>
    <w:rsid w:val="006125B0"/>
    <w:rsid w:val="00612C2B"/>
    <w:rsid w:val="00613373"/>
    <w:rsid w:val="00613429"/>
    <w:rsid w:val="0061342A"/>
    <w:rsid w:val="00615124"/>
    <w:rsid w:val="0061566F"/>
    <w:rsid w:val="00615C4D"/>
    <w:rsid w:val="006166EB"/>
    <w:rsid w:val="006174F9"/>
    <w:rsid w:val="00620062"/>
    <w:rsid w:val="0062068B"/>
    <w:rsid w:val="00621771"/>
    <w:rsid w:val="00622A97"/>
    <w:rsid w:val="00622BB6"/>
    <w:rsid w:val="00622D55"/>
    <w:rsid w:val="00622D88"/>
    <w:rsid w:val="00623803"/>
    <w:rsid w:val="0062403F"/>
    <w:rsid w:val="006242B6"/>
    <w:rsid w:val="00624317"/>
    <w:rsid w:val="00624FA7"/>
    <w:rsid w:val="0062522E"/>
    <w:rsid w:val="006254B8"/>
    <w:rsid w:val="00625502"/>
    <w:rsid w:val="0062598D"/>
    <w:rsid w:val="006259A8"/>
    <w:rsid w:val="00625EF1"/>
    <w:rsid w:val="00626DC4"/>
    <w:rsid w:val="00626DD0"/>
    <w:rsid w:val="00626F95"/>
    <w:rsid w:val="00630182"/>
    <w:rsid w:val="00630C21"/>
    <w:rsid w:val="00631032"/>
    <w:rsid w:val="00631170"/>
    <w:rsid w:val="00631906"/>
    <w:rsid w:val="00631CE1"/>
    <w:rsid w:val="006321C8"/>
    <w:rsid w:val="00632300"/>
    <w:rsid w:val="00632DF0"/>
    <w:rsid w:val="0063344C"/>
    <w:rsid w:val="0063375D"/>
    <w:rsid w:val="00633F31"/>
    <w:rsid w:val="006342B4"/>
    <w:rsid w:val="00634C4C"/>
    <w:rsid w:val="00634DC8"/>
    <w:rsid w:val="0063532E"/>
    <w:rsid w:val="00635A0C"/>
    <w:rsid w:val="006360E2"/>
    <w:rsid w:val="00636466"/>
    <w:rsid w:val="0063647C"/>
    <w:rsid w:val="006412E3"/>
    <w:rsid w:val="0064134E"/>
    <w:rsid w:val="00641A22"/>
    <w:rsid w:val="00642B5A"/>
    <w:rsid w:val="00643600"/>
    <w:rsid w:val="00644226"/>
    <w:rsid w:val="0064447D"/>
    <w:rsid w:val="006444D7"/>
    <w:rsid w:val="00644DF2"/>
    <w:rsid w:val="00644EF2"/>
    <w:rsid w:val="00645E4A"/>
    <w:rsid w:val="00646C68"/>
    <w:rsid w:val="0064729E"/>
    <w:rsid w:val="00647A81"/>
    <w:rsid w:val="00647D0E"/>
    <w:rsid w:val="006502F7"/>
    <w:rsid w:val="006512E0"/>
    <w:rsid w:val="006512F2"/>
    <w:rsid w:val="00652519"/>
    <w:rsid w:val="0065268E"/>
    <w:rsid w:val="0065333A"/>
    <w:rsid w:val="006535BC"/>
    <w:rsid w:val="00653F91"/>
    <w:rsid w:val="0065410E"/>
    <w:rsid w:val="0065524C"/>
    <w:rsid w:val="0065622C"/>
    <w:rsid w:val="006562B0"/>
    <w:rsid w:val="00656835"/>
    <w:rsid w:val="00656D76"/>
    <w:rsid w:val="00656F95"/>
    <w:rsid w:val="00657126"/>
    <w:rsid w:val="006577EC"/>
    <w:rsid w:val="0066035F"/>
    <w:rsid w:val="0066057C"/>
    <w:rsid w:val="0066181E"/>
    <w:rsid w:val="006618E0"/>
    <w:rsid w:val="00661EF7"/>
    <w:rsid w:val="00661FD0"/>
    <w:rsid w:val="0066215B"/>
    <w:rsid w:val="0066229E"/>
    <w:rsid w:val="006623ED"/>
    <w:rsid w:val="006625A3"/>
    <w:rsid w:val="00663427"/>
    <w:rsid w:val="00663692"/>
    <w:rsid w:val="0066391A"/>
    <w:rsid w:val="00663EDD"/>
    <w:rsid w:val="006640B9"/>
    <w:rsid w:val="006640C5"/>
    <w:rsid w:val="006651A4"/>
    <w:rsid w:val="0066527B"/>
    <w:rsid w:val="0066556A"/>
    <w:rsid w:val="00665ABE"/>
    <w:rsid w:val="00665C17"/>
    <w:rsid w:val="00666AD6"/>
    <w:rsid w:val="00666B61"/>
    <w:rsid w:val="00667D51"/>
    <w:rsid w:val="006704E5"/>
    <w:rsid w:val="00670DBA"/>
    <w:rsid w:val="006711EE"/>
    <w:rsid w:val="006717C3"/>
    <w:rsid w:val="00671999"/>
    <w:rsid w:val="00671A2A"/>
    <w:rsid w:val="00671D4D"/>
    <w:rsid w:val="00671E58"/>
    <w:rsid w:val="00672757"/>
    <w:rsid w:val="00672E62"/>
    <w:rsid w:val="00673A82"/>
    <w:rsid w:val="00673C06"/>
    <w:rsid w:val="00674665"/>
    <w:rsid w:val="00674B10"/>
    <w:rsid w:val="00674B7C"/>
    <w:rsid w:val="00675046"/>
    <w:rsid w:val="006759D5"/>
    <w:rsid w:val="00676031"/>
    <w:rsid w:val="0067639A"/>
    <w:rsid w:val="00676501"/>
    <w:rsid w:val="006768FC"/>
    <w:rsid w:val="00676B30"/>
    <w:rsid w:val="00676EF0"/>
    <w:rsid w:val="00677B40"/>
    <w:rsid w:val="006802D0"/>
    <w:rsid w:val="006807DC"/>
    <w:rsid w:val="006827B3"/>
    <w:rsid w:val="006828A6"/>
    <w:rsid w:val="00682D51"/>
    <w:rsid w:val="00683DCD"/>
    <w:rsid w:val="0068410C"/>
    <w:rsid w:val="006842C4"/>
    <w:rsid w:val="006843CC"/>
    <w:rsid w:val="00684B16"/>
    <w:rsid w:val="00684E3D"/>
    <w:rsid w:val="00684E63"/>
    <w:rsid w:val="006852EC"/>
    <w:rsid w:val="00685A9E"/>
    <w:rsid w:val="00685B41"/>
    <w:rsid w:val="00686409"/>
    <w:rsid w:val="0068679C"/>
    <w:rsid w:val="0068689C"/>
    <w:rsid w:val="00686972"/>
    <w:rsid w:val="006870DF"/>
    <w:rsid w:val="00687A5C"/>
    <w:rsid w:val="00687BF8"/>
    <w:rsid w:val="006912EC"/>
    <w:rsid w:val="00691A23"/>
    <w:rsid w:val="00691A73"/>
    <w:rsid w:val="00691B76"/>
    <w:rsid w:val="006921DE"/>
    <w:rsid w:val="006923D7"/>
    <w:rsid w:val="006927AF"/>
    <w:rsid w:val="0069306B"/>
    <w:rsid w:val="006931D6"/>
    <w:rsid w:val="00693B5B"/>
    <w:rsid w:val="0069403F"/>
    <w:rsid w:val="006949D8"/>
    <w:rsid w:val="00694AF6"/>
    <w:rsid w:val="00694C53"/>
    <w:rsid w:val="006964C4"/>
    <w:rsid w:val="00696688"/>
    <w:rsid w:val="00697033"/>
    <w:rsid w:val="006976E1"/>
    <w:rsid w:val="006976F3"/>
    <w:rsid w:val="00697CC9"/>
    <w:rsid w:val="00697EAF"/>
    <w:rsid w:val="006A0256"/>
    <w:rsid w:val="006A09F2"/>
    <w:rsid w:val="006A1572"/>
    <w:rsid w:val="006A166E"/>
    <w:rsid w:val="006A1EB8"/>
    <w:rsid w:val="006A21B9"/>
    <w:rsid w:val="006A2272"/>
    <w:rsid w:val="006A29A6"/>
    <w:rsid w:val="006A2B40"/>
    <w:rsid w:val="006A37C5"/>
    <w:rsid w:val="006A3821"/>
    <w:rsid w:val="006A3C36"/>
    <w:rsid w:val="006A44E3"/>
    <w:rsid w:val="006A4F34"/>
    <w:rsid w:val="006A5732"/>
    <w:rsid w:val="006A5939"/>
    <w:rsid w:val="006A5A48"/>
    <w:rsid w:val="006A5D24"/>
    <w:rsid w:val="006A6D23"/>
    <w:rsid w:val="006A762E"/>
    <w:rsid w:val="006A7B4D"/>
    <w:rsid w:val="006B09AC"/>
    <w:rsid w:val="006B0A26"/>
    <w:rsid w:val="006B0A92"/>
    <w:rsid w:val="006B0F5E"/>
    <w:rsid w:val="006B265B"/>
    <w:rsid w:val="006B2B41"/>
    <w:rsid w:val="006B2BE8"/>
    <w:rsid w:val="006B3568"/>
    <w:rsid w:val="006B4023"/>
    <w:rsid w:val="006B4220"/>
    <w:rsid w:val="006B4993"/>
    <w:rsid w:val="006B4A51"/>
    <w:rsid w:val="006B502F"/>
    <w:rsid w:val="006B5CF7"/>
    <w:rsid w:val="006B6296"/>
    <w:rsid w:val="006B6385"/>
    <w:rsid w:val="006B64EE"/>
    <w:rsid w:val="006B7F14"/>
    <w:rsid w:val="006C1018"/>
    <w:rsid w:val="006C1804"/>
    <w:rsid w:val="006C22E3"/>
    <w:rsid w:val="006C25FE"/>
    <w:rsid w:val="006C2B24"/>
    <w:rsid w:val="006C2BEF"/>
    <w:rsid w:val="006C2C23"/>
    <w:rsid w:val="006C2F7C"/>
    <w:rsid w:val="006C32FD"/>
    <w:rsid w:val="006C33B5"/>
    <w:rsid w:val="006C3ADF"/>
    <w:rsid w:val="006C3BA7"/>
    <w:rsid w:val="006C417B"/>
    <w:rsid w:val="006C4BBE"/>
    <w:rsid w:val="006C4DFE"/>
    <w:rsid w:val="006C59B2"/>
    <w:rsid w:val="006C67AF"/>
    <w:rsid w:val="006C67D9"/>
    <w:rsid w:val="006C69C6"/>
    <w:rsid w:val="006C7657"/>
    <w:rsid w:val="006C782C"/>
    <w:rsid w:val="006D0BE8"/>
    <w:rsid w:val="006D10EB"/>
    <w:rsid w:val="006D26FA"/>
    <w:rsid w:val="006D30FA"/>
    <w:rsid w:val="006D3A0B"/>
    <w:rsid w:val="006D3BB8"/>
    <w:rsid w:val="006D4272"/>
    <w:rsid w:val="006D48FF"/>
    <w:rsid w:val="006D490A"/>
    <w:rsid w:val="006D4C1A"/>
    <w:rsid w:val="006D4E4E"/>
    <w:rsid w:val="006D4EB5"/>
    <w:rsid w:val="006D54A6"/>
    <w:rsid w:val="006D5948"/>
    <w:rsid w:val="006D5B83"/>
    <w:rsid w:val="006D61C5"/>
    <w:rsid w:val="006D68D2"/>
    <w:rsid w:val="006D721C"/>
    <w:rsid w:val="006D78F8"/>
    <w:rsid w:val="006E0B5C"/>
    <w:rsid w:val="006E1223"/>
    <w:rsid w:val="006E1698"/>
    <w:rsid w:val="006E1950"/>
    <w:rsid w:val="006E1E8A"/>
    <w:rsid w:val="006E1F21"/>
    <w:rsid w:val="006E1F8A"/>
    <w:rsid w:val="006E200C"/>
    <w:rsid w:val="006E2904"/>
    <w:rsid w:val="006E2F8E"/>
    <w:rsid w:val="006E367F"/>
    <w:rsid w:val="006E38DE"/>
    <w:rsid w:val="006E3A58"/>
    <w:rsid w:val="006E3C34"/>
    <w:rsid w:val="006E4374"/>
    <w:rsid w:val="006E4BFA"/>
    <w:rsid w:val="006E4DC8"/>
    <w:rsid w:val="006E646C"/>
    <w:rsid w:val="006E6749"/>
    <w:rsid w:val="006E6E33"/>
    <w:rsid w:val="006E6FAD"/>
    <w:rsid w:val="006E7AD0"/>
    <w:rsid w:val="006F06AA"/>
    <w:rsid w:val="006F0F40"/>
    <w:rsid w:val="006F1024"/>
    <w:rsid w:val="006F1828"/>
    <w:rsid w:val="006F1DC5"/>
    <w:rsid w:val="006F25E0"/>
    <w:rsid w:val="006F2E22"/>
    <w:rsid w:val="006F339F"/>
    <w:rsid w:val="006F3567"/>
    <w:rsid w:val="006F384E"/>
    <w:rsid w:val="006F388B"/>
    <w:rsid w:val="006F39D8"/>
    <w:rsid w:val="006F4118"/>
    <w:rsid w:val="006F4748"/>
    <w:rsid w:val="006F4B1E"/>
    <w:rsid w:val="006F555F"/>
    <w:rsid w:val="006F5CA2"/>
    <w:rsid w:val="006F61B7"/>
    <w:rsid w:val="006F6600"/>
    <w:rsid w:val="006F6633"/>
    <w:rsid w:val="006F6749"/>
    <w:rsid w:val="006F74E5"/>
    <w:rsid w:val="00700423"/>
    <w:rsid w:val="007005D1"/>
    <w:rsid w:val="0070083E"/>
    <w:rsid w:val="0070105A"/>
    <w:rsid w:val="00702FC6"/>
    <w:rsid w:val="00703185"/>
    <w:rsid w:val="00703D2D"/>
    <w:rsid w:val="00705071"/>
    <w:rsid w:val="00705C24"/>
    <w:rsid w:val="00706269"/>
    <w:rsid w:val="0070636C"/>
    <w:rsid w:val="00706B0A"/>
    <w:rsid w:val="00706C6C"/>
    <w:rsid w:val="0070711A"/>
    <w:rsid w:val="00707C33"/>
    <w:rsid w:val="00707C5E"/>
    <w:rsid w:val="007100E2"/>
    <w:rsid w:val="0071078A"/>
    <w:rsid w:val="00711384"/>
    <w:rsid w:val="007114FF"/>
    <w:rsid w:val="00711A9A"/>
    <w:rsid w:val="00711EF9"/>
    <w:rsid w:val="007121BD"/>
    <w:rsid w:val="00712547"/>
    <w:rsid w:val="00712C37"/>
    <w:rsid w:val="00713915"/>
    <w:rsid w:val="00713E96"/>
    <w:rsid w:val="007140BF"/>
    <w:rsid w:val="007154CB"/>
    <w:rsid w:val="00715643"/>
    <w:rsid w:val="00715B79"/>
    <w:rsid w:val="007164CA"/>
    <w:rsid w:val="0071699E"/>
    <w:rsid w:val="00720375"/>
    <w:rsid w:val="00720892"/>
    <w:rsid w:val="00720D86"/>
    <w:rsid w:val="0072100A"/>
    <w:rsid w:val="007216C3"/>
    <w:rsid w:val="0072171B"/>
    <w:rsid w:val="00721EB4"/>
    <w:rsid w:val="00722342"/>
    <w:rsid w:val="007228CB"/>
    <w:rsid w:val="00722BC1"/>
    <w:rsid w:val="007230CA"/>
    <w:rsid w:val="00723474"/>
    <w:rsid w:val="00723671"/>
    <w:rsid w:val="00723A12"/>
    <w:rsid w:val="00723CCF"/>
    <w:rsid w:val="00724761"/>
    <w:rsid w:val="00725292"/>
    <w:rsid w:val="00725ECF"/>
    <w:rsid w:val="0072638C"/>
    <w:rsid w:val="00726715"/>
    <w:rsid w:val="007268CC"/>
    <w:rsid w:val="007277AE"/>
    <w:rsid w:val="007277DC"/>
    <w:rsid w:val="00727D95"/>
    <w:rsid w:val="00727F2C"/>
    <w:rsid w:val="00730DC9"/>
    <w:rsid w:val="00730FE9"/>
    <w:rsid w:val="00731113"/>
    <w:rsid w:val="0073126F"/>
    <w:rsid w:val="0073159D"/>
    <w:rsid w:val="007317A0"/>
    <w:rsid w:val="00732195"/>
    <w:rsid w:val="00732565"/>
    <w:rsid w:val="007327E7"/>
    <w:rsid w:val="00732992"/>
    <w:rsid w:val="00732DDE"/>
    <w:rsid w:val="00733776"/>
    <w:rsid w:val="00733EDC"/>
    <w:rsid w:val="007345F3"/>
    <w:rsid w:val="00734653"/>
    <w:rsid w:val="00734CAD"/>
    <w:rsid w:val="00734FDA"/>
    <w:rsid w:val="007354E4"/>
    <w:rsid w:val="007356B2"/>
    <w:rsid w:val="00735969"/>
    <w:rsid w:val="0073667E"/>
    <w:rsid w:val="00736B66"/>
    <w:rsid w:val="00736E17"/>
    <w:rsid w:val="0073780B"/>
    <w:rsid w:val="00737C6E"/>
    <w:rsid w:val="00737D53"/>
    <w:rsid w:val="0074031C"/>
    <w:rsid w:val="007408C2"/>
    <w:rsid w:val="007409C0"/>
    <w:rsid w:val="00740E89"/>
    <w:rsid w:val="007412F0"/>
    <w:rsid w:val="007413A1"/>
    <w:rsid w:val="007413CA"/>
    <w:rsid w:val="00741BD2"/>
    <w:rsid w:val="00741CBF"/>
    <w:rsid w:val="007423C6"/>
    <w:rsid w:val="0074260D"/>
    <w:rsid w:val="00742BA0"/>
    <w:rsid w:val="00742F33"/>
    <w:rsid w:val="00743705"/>
    <w:rsid w:val="00743908"/>
    <w:rsid w:val="00743CD2"/>
    <w:rsid w:val="007443F1"/>
    <w:rsid w:val="007447B2"/>
    <w:rsid w:val="007447E3"/>
    <w:rsid w:val="00745637"/>
    <w:rsid w:val="00745A34"/>
    <w:rsid w:val="00746A69"/>
    <w:rsid w:val="00747E45"/>
    <w:rsid w:val="0075004D"/>
    <w:rsid w:val="00750777"/>
    <w:rsid w:val="00750BA2"/>
    <w:rsid w:val="00751063"/>
    <w:rsid w:val="00751074"/>
    <w:rsid w:val="00751920"/>
    <w:rsid w:val="00751DF2"/>
    <w:rsid w:val="00751F13"/>
    <w:rsid w:val="00752182"/>
    <w:rsid w:val="00752583"/>
    <w:rsid w:val="00752785"/>
    <w:rsid w:val="007527E8"/>
    <w:rsid w:val="00752E2F"/>
    <w:rsid w:val="0075409F"/>
    <w:rsid w:val="00754DB6"/>
    <w:rsid w:val="00754E58"/>
    <w:rsid w:val="00755321"/>
    <w:rsid w:val="0075657F"/>
    <w:rsid w:val="00756E60"/>
    <w:rsid w:val="00757172"/>
    <w:rsid w:val="0075770C"/>
    <w:rsid w:val="0076018E"/>
    <w:rsid w:val="0076028F"/>
    <w:rsid w:val="007608B1"/>
    <w:rsid w:val="007613E4"/>
    <w:rsid w:val="007617EE"/>
    <w:rsid w:val="0076217D"/>
    <w:rsid w:val="00762C81"/>
    <w:rsid w:val="00762CFB"/>
    <w:rsid w:val="00762F8B"/>
    <w:rsid w:val="00762FF0"/>
    <w:rsid w:val="0076351B"/>
    <w:rsid w:val="00763D86"/>
    <w:rsid w:val="00764487"/>
    <w:rsid w:val="00764725"/>
    <w:rsid w:val="00765DC1"/>
    <w:rsid w:val="0076651E"/>
    <w:rsid w:val="00766A9C"/>
    <w:rsid w:val="00766FEF"/>
    <w:rsid w:val="00767E14"/>
    <w:rsid w:val="00770036"/>
    <w:rsid w:val="00770437"/>
    <w:rsid w:val="00770729"/>
    <w:rsid w:val="0077087F"/>
    <w:rsid w:val="00771BD4"/>
    <w:rsid w:val="00771FE6"/>
    <w:rsid w:val="00772A3E"/>
    <w:rsid w:val="007731E3"/>
    <w:rsid w:val="007738F6"/>
    <w:rsid w:val="00773A62"/>
    <w:rsid w:val="00773C26"/>
    <w:rsid w:val="00774241"/>
    <w:rsid w:val="007751D1"/>
    <w:rsid w:val="00775C52"/>
    <w:rsid w:val="00775F54"/>
    <w:rsid w:val="007760B5"/>
    <w:rsid w:val="007760D3"/>
    <w:rsid w:val="007761D3"/>
    <w:rsid w:val="007777BC"/>
    <w:rsid w:val="0077787D"/>
    <w:rsid w:val="007801C4"/>
    <w:rsid w:val="007803AD"/>
    <w:rsid w:val="007819FB"/>
    <w:rsid w:val="0078241A"/>
    <w:rsid w:val="00782AF7"/>
    <w:rsid w:val="00782FC7"/>
    <w:rsid w:val="00783B85"/>
    <w:rsid w:val="0078459E"/>
    <w:rsid w:val="007854FC"/>
    <w:rsid w:val="007869D7"/>
    <w:rsid w:val="00786EF0"/>
    <w:rsid w:val="007870A5"/>
    <w:rsid w:val="007872F6"/>
    <w:rsid w:val="00787817"/>
    <w:rsid w:val="00790824"/>
    <w:rsid w:val="00790CF8"/>
    <w:rsid w:val="00790DAB"/>
    <w:rsid w:val="00791791"/>
    <w:rsid w:val="007918E8"/>
    <w:rsid w:val="0079206C"/>
    <w:rsid w:val="007928F6"/>
    <w:rsid w:val="007933E7"/>
    <w:rsid w:val="007937C1"/>
    <w:rsid w:val="0079390D"/>
    <w:rsid w:val="00793A12"/>
    <w:rsid w:val="00793AC1"/>
    <w:rsid w:val="0079425F"/>
    <w:rsid w:val="007946A3"/>
    <w:rsid w:val="0079531B"/>
    <w:rsid w:val="00795AFD"/>
    <w:rsid w:val="00795F18"/>
    <w:rsid w:val="00795F63"/>
    <w:rsid w:val="00796EA9"/>
    <w:rsid w:val="00796EEA"/>
    <w:rsid w:val="00796F6D"/>
    <w:rsid w:val="007974EC"/>
    <w:rsid w:val="007979EB"/>
    <w:rsid w:val="007A0137"/>
    <w:rsid w:val="007A03AF"/>
    <w:rsid w:val="007A086C"/>
    <w:rsid w:val="007A0E1C"/>
    <w:rsid w:val="007A17A2"/>
    <w:rsid w:val="007A19D5"/>
    <w:rsid w:val="007A1B63"/>
    <w:rsid w:val="007A1FF0"/>
    <w:rsid w:val="007A2FF4"/>
    <w:rsid w:val="007A355D"/>
    <w:rsid w:val="007A3C68"/>
    <w:rsid w:val="007A43AA"/>
    <w:rsid w:val="007A5F79"/>
    <w:rsid w:val="007A6126"/>
    <w:rsid w:val="007A62FA"/>
    <w:rsid w:val="007A6B80"/>
    <w:rsid w:val="007A71C1"/>
    <w:rsid w:val="007A7261"/>
    <w:rsid w:val="007A73FF"/>
    <w:rsid w:val="007A74BC"/>
    <w:rsid w:val="007A7630"/>
    <w:rsid w:val="007B0586"/>
    <w:rsid w:val="007B06E2"/>
    <w:rsid w:val="007B0C8A"/>
    <w:rsid w:val="007B1BC2"/>
    <w:rsid w:val="007B1C80"/>
    <w:rsid w:val="007B1F7A"/>
    <w:rsid w:val="007B2092"/>
    <w:rsid w:val="007B2173"/>
    <w:rsid w:val="007B2434"/>
    <w:rsid w:val="007B293A"/>
    <w:rsid w:val="007B2E1B"/>
    <w:rsid w:val="007B2E67"/>
    <w:rsid w:val="007B303C"/>
    <w:rsid w:val="007B306A"/>
    <w:rsid w:val="007B32C1"/>
    <w:rsid w:val="007B36C9"/>
    <w:rsid w:val="007B3D66"/>
    <w:rsid w:val="007B40E9"/>
    <w:rsid w:val="007B4393"/>
    <w:rsid w:val="007B48B6"/>
    <w:rsid w:val="007B4D9F"/>
    <w:rsid w:val="007B5208"/>
    <w:rsid w:val="007B5663"/>
    <w:rsid w:val="007B5763"/>
    <w:rsid w:val="007B59C5"/>
    <w:rsid w:val="007B5A8F"/>
    <w:rsid w:val="007B602E"/>
    <w:rsid w:val="007B6308"/>
    <w:rsid w:val="007B63E8"/>
    <w:rsid w:val="007B69C4"/>
    <w:rsid w:val="007B6FCD"/>
    <w:rsid w:val="007B737C"/>
    <w:rsid w:val="007B751E"/>
    <w:rsid w:val="007B77ED"/>
    <w:rsid w:val="007B7D8D"/>
    <w:rsid w:val="007B7FE3"/>
    <w:rsid w:val="007C09E6"/>
    <w:rsid w:val="007C1117"/>
    <w:rsid w:val="007C166E"/>
    <w:rsid w:val="007C25FE"/>
    <w:rsid w:val="007C2A28"/>
    <w:rsid w:val="007C2F42"/>
    <w:rsid w:val="007C2FC0"/>
    <w:rsid w:val="007C3172"/>
    <w:rsid w:val="007C3725"/>
    <w:rsid w:val="007C3FAE"/>
    <w:rsid w:val="007C4175"/>
    <w:rsid w:val="007C4216"/>
    <w:rsid w:val="007C4456"/>
    <w:rsid w:val="007C4841"/>
    <w:rsid w:val="007C571F"/>
    <w:rsid w:val="007C57A7"/>
    <w:rsid w:val="007C5B71"/>
    <w:rsid w:val="007C66F9"/>
    <w:rsid w:val="007C6CC1"/>
    <w:rsid w:val="007C6CF9"/>
    <w:rsid w:val="007C6D1D"/>
    <w:rsid w:val="007C718A"/>
    <w:rsid w:val="007C7639"/>
    <w:rsid w:val="007D0CA9"/>
    <w:rsid w:val="007D15D6"/>
    <w:rsid w:val="007D190C"/>
    <w:rsid w:val="007D1BB7"/>
    <w:rsid w:val="007D1CFF"/>
    <w:rsid w:val="007D213E"/>
    <w:rsid w:val="007D218B"/>
    <w:rsid w:val="007D251F"/>
    <w:rsid w:val="007D3973"/>
    <w:rsid w:val="007D4592"/>
    <w:rsid w:val="007D49E8"/>
    <w:rsid w:val="007D4AFC"/>
    <w:rsid w:val="007D531A"/>
    <w:rsid w:val="007D5D80"/>
    <w:rsid w:val="007D60CE"/>
    <w:rsid w:val="007D6512"/>
    <w:rsid w:val="007D6F9F"/>
    <w:rsid w:val="007E0966"/>
    <w:rsid w:val="007E09AF"/>
    <w:rsid w:val="007E18B9"/>
    <w:rsid w:val="007E1FE0"/>
    <w:rsid w:val="007E1FF3"/>
    <w:rsid w:val="007E2A28"/>
    <w:rsid w:val="007E2E82"/>
    <w:rsid w:val="007E2FAB"/>
    <w:rsid w:val="007E3637"/>
    <w:rsid w:val="007E393A"/>
    <w:rsid w:val="007E3C4F"/>
    <w:rsid w:val="007E4320"/>
    <w:rsid w:val="007E477C"/>
    <w:rsid w:val="007E4CBB"/>
    <w:rsid w:val="007E4DAF"/>
    <w:rsid w:val="007E5541"/>
    <w:rsid w:val="007E5563"/>
    <w:rsid w:val="007E59AF"/>
    <w:rsid w:val="007E610B"/>
    <w:rsid w:val="007E6220"/>
    <w:rsid w:val="007E6563"/>
    <w:rsid w:val="007E72B1"/>
    <w:rsid w:val="007E74F1"/>
    <w:rsid w:val="007E75C1"/>
    <w:rsid w:val="007E7884"/>
    <w:rsid w:val="007F029E"/>
    <w:rsid w:val="007F0406"/>
    <w:rsid w:val="007F0627"/>
    <w:rsid w:val="007F0675"/>
    <w:rsid w:val="007F0E7A"/>
    <w:rsid w:val="007F1498"/>
    <w:rsid w:val="007F253F"/>
    <w:rsid w:val="007F265B"/>
    <w:rsid w:val="007F2FB7"/>
    <w:rsid w:val="007F319A"/>
    <w:rsid w:val="007F457B"/>
    <w:rsid w:val="007F49A0"/>
    <w:rsid w:val="007F4BCF"/>
    <w:rsid w:val="007F5080"/>
    <w:rsid w:val="007F50C8"/>
    <w:rsid w:val="007F6342"/>
    <w:rsid w:val="00800041"/>
    <w:rsid w:val="0080100C"/>
    <w:rsid w:val="00801131"/>
    <w:rsid w:val="00801853"/>
    <w:rsid w:val="00801C8B"/>
    <w:rsid w:val="00802BE0"/>
    <w:rsid w:val="00802C7D"/>
    <w:rsid w:val="00802E2D"/>
    <w:rsid w:val="00802E79"/>
    <w:rsid w:val="00803143"/>
    <w:rsid w:val="008031E4"/>
    <w:rsid w:val="008036F5"/>
    <w:rsid w:val="00805326"/>
    <w:rsid w:val="008056C7"/>
    <w:rsid w:val="008056F5"/>
    <w:rsid w:val="008057B8"/>
    <w:rsid w:val="00805AC7"/>
    <w:rsid w:val="00805F21"/>
    <w:rsid w:val="00806D72"/>
    <w:rsid w:val="008072CF"/>
    <w:rsid w:val="00807360"/>
    <w:rsid w:val="00807F94"/>
    <w:rsid w:val="00810109"/>
    <w:rsid w:val="008102AF"/>
    <w:rsid w:val="008112BD"/>
    <w:rsid w:val="0081139B"/>
    <w:rsid w:val="008116B6"/>
    <w:rsid w:val="008120F5"/>
    <w:rsid w:val="00812224"/>
    <w:rsid w:val="00812438"/>
    <w:rsid w:val="0081258C"/>
    <w:rsid w:val="00813272"/>
    <w:rsid w:val="00813CAA"/>
    <w:rsid w:val="0081420B"/>
    <w:rsid w:val="00814387"/>
    <w:rsid w:val="00814C8E"/>
    <w:rsid w:val="0081524F"/>
    <w:rsid w:val="008154BA"/>
    <w:rsid w:val="00815D83"/>
    <w:rsid w:val="00816136"/>
    <w:rsid w:val="008162FE"/>
    <w:rsid w:val="0081767B"/>
    <w:rsid w:val="0081779C"/>
    <w:rsid w:val="00822B4D"/>
    <w:rsid w:val="00823850"/>
    <w:rsid w:val="00823F24"/>
    <w:rsid w:val="008249AB"/>
    <w:rsid w:val="008251C3"/>
    <w:rsid w:val="0082567A"/>
    <w:rsid w:val="0082583B"/>
    <w:rsid w:val="00826594"/>
    <w:rsid w:val="008266F2"/>
    <w:rsid w:val="00826ECC"/>
    <w:rsid w:val="0082755E"/>
    <w:rsid w:val="00827682"/>
    <w:rsid w:val="00827DC2"/>
    <w:rsid w:val="00830388"/>
    <w:rsid w:val="008303A7"/>
    <w:rsid w:val="008305AD"/>
    <w:rsid w:val="00830750"/>
    <w:rsid w:val="008309E4"/>
    <w:rsid w:val="00831E6A"/>
    <w:rsid w:val="00832112"/>
    <w:rsid w:val="0083261A"/>
    <w:rsid w:val="0083312D"/>
    <w:rsid w:val="008332FE"/>
    <w:rsid w:val="00833DCA"/>
    <w:rsid w:val="008342A8"/>
    <w:rsid w:val="00834403"/>
    <w:rsid w:val="00835326"/>
    <w:rsid w:val="00836275"/>
    <w:rsid w:val="00836E01"/>
    <w:rsid w:val="00837653"/>
    <w:rsid w:val="00837658"/>
    <w:rsid w:val="0084047D"/>
    <w:rsid w:val="00840E21"/>
    <w:rsid w:val="0084163C"/>
    <w:rsid w:val="00842190"/>
    <w:rsid w:val="008423B0"/>
    <w:rsid w:val="00842DB6"/>
    <w:rsid w:val="00843553"/>
    <w:rsid w:val="008438B8"/>
    <w:rsid w:val="00843A0C"/>
    <w:rsid w:val="008441E7"/>
    <w:rsid w:val="00844A57"/>
    <w:rsid w:val="00844E51"/>
    <w:rsid w:val="008456BE"/>
    <w:rsid w:val="00845D13"/>
    <w:rsid w:val="008461CA"/>
    <w:rsid w:val="00846247"/>
    <w:rsid w:val="0084654F"/>
    <w:rsid w:val="00846DB0"/>
    <w:rsid w:val="00847321"/>
    <w:rsid w:val="00847987"/>
    <w:rsid w:val="008506E3"/>
    <w:rsid w:val="00850FEF"/>
    <w:rsid w:val="008510B5"/>
    <w:rsid w:val="008527ED"/>
    <w:rsid w:val="00853057"/>
    <w:rsid w:val="00854664"/>
    <w:rsid w:val="00854F42"/>
    <w:rsid w:val="00855A56"/>
    <w:rsid w:val="00855D9F"/>
    <w:rsid w:val="008567D8"/>
    <w:rsid w:val="00857208"/>
    <w:rsid w:val="00860398"/>
    <w:rsid w:val="00860E64"/>
    <w:rsid w:val="00860F9D"/>
    <w:rsid w:val="00861A3B"/>
    <w:rsid w:val="00862DF1"/>
    <w:rsid w:val="00864195"/>
    <w:rsid w:val="008643BC"/>
    <w:rsid w:val="00864EBD"/>
    <w:rsid w:val="008651F5"/>
    <w:rsid w:val="00865808"/>
    <w:rsid w:val="00866A2F"/>
    <w:rsid w:val="00866AFC"/>
    <w:rsid w:val="00866C90"/>
    <w:rsid w:val="00867DB7"/>
    <w:rsid w:val="008701CD"/>
    <w:rsid w:val="00870937"/>
    <w:rsid w:val="00870979"/>
    <w:rsid w:val="008710A7"/>
    <w:rsid w:val="008714CF"/>
    <w:rsid w:val="0087176E"/>
    <w:rsid w:val="00871A4D"/>
    <w:rsid w:val="00872040"/>
    <w:rsid w:val="00872520"/>
    <w:rsid w:val="00872966"/>
    <w:rsid w:val="00872B7B"/>
    <w:rsid w:val="00873F99"/>
    <w:rsid w:val="0087459B"/>
    <w:rsid w:val="00875105"/>
    <w:rsid w:val="008757F4"/>
    <w:rsid w:val="00875BA7"/>
    <w:rsid w:val="00875C16"/>
    <w:rsid w:val="008761CB"/>
    <w:rsid w:val="00876872"/>
    <w:rsid w:val="00876BA2"/>
    <w:rsid w:val="00877047"/>
    <w:rsid w:val="00877868"/>
    <w:rsid w:val="00877977"/>
    <w:rsid w:val="00880350"/>
    <w:rsid w:val="008811E5"/>
    <w:rsid w:val="00881F7A"/>
    <w:rsid w:val="00882273"/>
    <w:rsid w:val="00882C7D"/>
    <w:rsid w:val="00882CB0"/>
    <w:rsid w:val="00882F3B"/>
    <w:rsid w:val="008840CE"/>
    <w:rsid w:val="00884F53"/>
    <w:rsid w:val="00885136"/>
    <w:rsid w:val="00885278"/>
    <w:rsid w:val="00885579"/>
    <w:rsid w:val="008856A8"/>
    <w:rsid w:val="00885B07"/>
    <w:rsid w:val="008862B4"/>
    <w:rsid w:val="008863D2"/>
    <w:rsid w:val="0088647F"/>
    <w:rsid w:val="0088670F"/>
    <w:rsid w:val="00886EE2"/>
    <w:rsid w:val="00887324"/>
    <w:rsid w:val="008873F6"/>
    <w:rsid w:val="0088764A"/>
    <w:rsid w:val="008901A0"/>
    <w:rsid w:val="00890463"/>
    <w:rsid w:val="00890A9F"/>
    <w:rsid w:val="00890C8E"/>
    <w:rsid w:val="00891245"/>
    <w:rsid w:val="00891606"/>
    <w:rsid w:val="00892262"/>
    <w:rsid w:val="008925DE"/>
    <w:rsid w:val="0089268A"/>
    <w:rsid w:val="00892F70"/>
    <w:rsid w:val="00893AE1"/>
    <w:rsid w:val="00893AEB"/>
    <w:rsid w:val="00894155"/>
    <w:rsid w:val="00894B2B"/>
    <w:rsid w:val="00894B49"/>
    <w:rsid w:val="00894FF3"/>
    <w:rsid w:val="00895462"/>
    <w:rsid w:val="00895D3E"/>
    <w:rsid w:val="00895E33"/>
    <w:rsid w:val="00895FC3"/>
    <w:rsid w:val="00896392"/>
    <w:rsid w:val="00896B1A"/>
    <w:rsid w:val="0089726B"/>
    <w:rsid w:val="00897355"/>
    <w:rsid w:val="00897738"/>
    <w:rsid w:val="00897B44"/>
    <w:rsid w:val="00897B65"/>
    <w:rsid w:val="008A0425"/>
    <w:rsid w:val="008A0AF0"/>
    <w:rsid w:val="008A0D3B"/>
    <w:rsid w:val="008A0DFE"/>
    <w:rsid w:val="008A25D9"/>
    <w:rsid w:val="008A2861"/>
    <w:rsid w:val="008A29BB"/>
    <w:rsid w:val="008A305E"/>
    <w:rsid w:val="008A416D"/>
    <w:rsid w:val="008A4280"/>
    <w:rsid w:val="008A5219"/>
    <w:rsid w:val="008A53B9"/>
    <w:rsid w:val="008A564F"/>
    <w:rsid w:val="008A56BD"/>
    <w:rsid w:val="008A5C9E"/>
    <w:rsid w:val="008A60A7"/>
    <w:rsid w:val="008A6AD4"/>
    <w:rsid w:val="008A73FF"/>
    <w:rsid w:val="008B062B"/>
    <w:rsid w:val="008B06DD"/>
    <w:rsid w:val="008B0A04"/>
    <w:rsid w:val="008B0B3F"/>
    <w:rsid w:val="008B0C3B"/>
    <w:rsid w:val="008B0DFE"/>
    <w:rsid w:val="008B116E"/>
    <w:rsid w:val="008B1284"/>
    <w:rsid w:val="008B1290"/>
    <w:rsid w:val="008B1726"/>
    <w:rsid w:val="008B19F7"/>
    <w:rsid w:val="008B1B33"/>
    <w:rsid w:val="008B22A9"/>
    <w:rsid w:val="008B2776"/>
    <w:rsid w:val="008B297A"/>
    <w:rsid w:val="008B2996"/>
    <w:rsid w:val="008B2DFA"/>
    <w:rsid w:val="008B3B3C"/>
    <w:rsid w:val="008B4560"/>
    <w:rsid w:val="008B5522"/>
    <w:rsid w:val="008B5B09"/>
    <w:rsid w:val="008B731D"/>
    <w:rsid w:val="008B7757"/>
    <w:rsid w:val="008B77A1"/>
    <w:rsid w:val="008B79FE"/>
    <w:rsid w:val="008C066B"/>
    <w:rsid w:val="008C0746"/>
    <w:rsid w:val="008C0AC7"/>
    <w:rsid w:val="008C1C07"/>
    <w:rsid w:val="008C31A2"/>
    <w:rsid w:val="008C3EB2"/>
    <w:rsid w:val="008C44DC"/>
    <w:rsid w:val="008C4927"/>
    <w:rsid w:val="008C4FB4"/>
    <w:rsid w:val="008C53BC"/>
    <w:rsid w:val="008C53FF"/>
    <w:rsid w:val="008C5872"/>
    <w:rsid w:val="008C5979"/>
    <w:rsid w:val="008C5AEF"/>
    <w:rsid w:val="008C5F60"/>
    <w:rsid w:val="008C614F"/>
    <w:rsid w:val="008C6434"/>
    <w:rsid w:val="008C6735"/>
    <w:rsid w:val="008C7A08"/>
    <w:rsid w:val="008D020D"/>
    <w:rsid w:val="008D0745"/>
    <w:rsid w:val="008D07A3"/>
    <w:rsid w:val="008D0A7A"/>
    <w:rsid w:val="008D0D1E"/>
    <w:rsid w:val="008D10F1"/>
    <w:rsid w:val="008D1278"/>
    <w:rsid w:val="008D1AF8"/>
    <w:rsid w:val="008D24B2"/>
    <w:rsid w:val="008D326B"/>
    <w:rsid w:val="008D3BB8"/>
    <w:rsid w:val="008D3C3A"/>
    <w:rsid w:val="008D52CF"/>
    <w:rsid w:val="008D5885"/>
    <w:rsid w:val="008D5B0F"/>
    <w:rsid w:val="008D6C4D"/>
    <w:rsid w:val="008D6CC4"/>
    <w:rsid w:val="008D72F4"/>
    <w:rsid w:val="008D7570"/>
    <w:rsid w:val="008D79A2"/>
    <w:rsid w:val="008D7DD1"/>
    <w:rsid w:val="008E0D20"/>
    <w:rsid w:val="008E14E7"/>
    <w:rsid w:val="008E18EC"/>
    <w:rsid w:val="008E19EA"/>
    <w:rsid w:val="008E1C7F"/>
    <w:rsid w:val="008E2A61"/>
    <w:rsid w:val="008E2BCE"/>
    <w:rsid w:val="008E3197"/>
    <w:rsid w:val="008E4338"/>
    <w:rsid w:val="008E46B0"/>
    <w:rsid w:val="008E4A8A"/>
    <w:rsid w:val="008E5005"/>
    <w:rsid w:val="008E50FE"/>
    <w:rsid w:val="008E51E4"/>
    <w:rsid w:val="008E550D"/>
    <w:rsid w:val="008E69C1"/>
    <w:rsid w:val="008E6DC0"/>
    <w:rsid w:val="008E7B01"/>
    <w:rsid w:val="008E7E34"/>
    <w:rsid w:val="008E7F92"/>
    <w:rsid w:val="008F12C8"/>
    <w:rsid w:val="008F185B"/>
    <w:rsid w:val="008F2914"/>
    <w:rsid w:val="008F2CF4"/>
    <w:rsid w:val="008F30AE"/>
    <w:rsid w:val="008F364E"/>
    <w:rsid w:val="008F3EF4"/>
    <w:rsid w:val="008F40F0"/>
    <w:rsid w:val="008F4190"/>
    <w:rsid w:val="008F46B4"/>
    <w:rsid w:val="008F53DB"/>
    <w:rsid w:val="008F540C"/>
    <w:rsid w:val="008F5A1E"/>
    <w:rsid w:val="008F65D7"/>
    <w:rsid w:val="008F6DB1"/>
    <w:rsid w:val="008F70A0"/>
    <w:rsid w:val="008F7838"/>
    <w:rsid w:val="008F7C01"/>
    <w:rsid w:val="0090031E"/>
    <w:rsid w:val="00900905"/>
    <w:rsid w:val="00901AB3"/>
    <w:rsid w:val="00902E63"/>
    <w:rsid w:val="00903440"/>
    <w:rsid w:val="00903A06"/>
    <w:rsid w:val="009047B8"/>
    <w:rsid w:val="00904F2B"/>
    <w:rsid w:val="00904FDA"/>
    <w:rsid w:val="0090585D"/>
    <w:rsid w:val="00905D55"/>
    <w:rsid w:val="0090611F"/>
    <w:rsid w:val="00906184"/>
    <w:rsid w:val="009061E3"/>
    <w:rsid w:val="00906498"/>
    <w:rsid w:val="00906AF0"/>
    <w:rsid w:val="00906C97"/>
    <w:rsid w:val="00906CAD"/>
    <w:rsid w:val="0090711A"/>
    <w:rsid w:val="009077FD"/>
    <w:rsid w:val="0091038D"/>
    <w:rsid w:val="009117E0"/>
    <w:rsid w:val="00911CEF"/>
    <w:rsid w:val="00912A03"/>
    <w:rsid w:val="009146DD"/>
    <w:rsid w:val="0091485E"/>
    <w:rsid w:val="00916384"/>
    <w:rsid w:val="0091671F"/>
    <w:rsid w:val="00916BDE"/>
    <w:rsid w:val="00916DE8"/>
    <w:rsid w:val="00917048"/>
    <w:rsid w:val="009177EC"/>
    <w:rsid w:val="009211E9"/>
    <w:rsid w:val="00921D1B"/>
    <w:rsid w:val="009229ED"/>
    <w:rsid w:val="009232C7"/>
    <w:rsid w:val="009236B4"/>
    <w:rsid w:val="00923872"/>
    <w:rsid w:val="009238FB"/>
    <w:rsid w:val="00923B49"/>
    <w:rsid w:val="0092413F"/>
    <w:rsid w:val="00924AA9"/>
    <w:rsid w:val="00925283"/>
    <w:rsid w:val="009258A8"/>
    <w:rsid w:val="009259E2"/>
    <w:rsid w:val="00926119"/>
    <w:rsid w:val="009261D8"/>
    <w:rsid w:val="00926709"/>
    <w:rsid w:val="00926A23"/>
    <w:rsid w:val="00926D0A"/>
    <w:rsid w:val="009277FF"/>
    <w:rsid w:val="00930585"/>
    <w:rsid w:val="00931808"/>
    <w:rsid w:val="0093196A"/>
    <w:rsid w:val="009321EC"/>
    <w:rsid w:val="00932368"/>
    <w:rsid w:val="00934483"/>
    <w:rsid w:val="00934D2C"/>
    <w:rsid w:val="00935437"/>
    <w:rsid w:val="009357FE"/>
    <w:rsid w:val="00935ECE"/>
    <w:rsid w:val="00935FEC"/>
    <w:rsid w:val="00937684"/>
    <w:rsid w:val="00937A05"/>
    <w:rsid w:val="0094094F"/>
    <w:rsid w:val="0094119F"/>
    <w:rsid w:val="00941560"/>
    <w:rsid w:val="0094175B"/>
    <w:rsid w:val="009419E1"/>
    <w:rsid w:val="00941D97"/>
    <w:rsid w:val="00943521"/>
    <w:rsid w:val="00943958"/>
    <w:rsid w:val="0094493D"/>
    <w:rsid w:val="0094517E"/>
    <w:rsid w:val="0094533D"/>
    <w:rsid w:val="009456A5"/>
    <w:rsid w:val="00946153"/>
    <w:rsid w:val="00946ED7"/>
    <w:rsid w:val="00946EEF"/>
    <w:rsid w:val="00947B73"/>
    <w:rsid w:val="0095026C"/>
    <w:rsid w:val="0095045C"/>
    <w:rsid w:val="009510D2"/>
    <w:rsid w:val="0095122D"/>
    <w:rsid w:val="00951696"/>
    <w:rsid w:val="00951C5D"/>
    <w:rsid w:val="0095280D"/>
    <w:rsid w:val="00952E49"/>
    <w:rsid w:val="009533E8"/>
    <w:rsid w:val="0095383C"/>
    <w:rsid w:val="00954486"/>
    <w:rsid w:val="00954592"/>
    <w:rsid w:val="009545CB"/>
    <w:rsid w:val="009546CA"/>
    <w:rsid w:val="00954709"/>
    <w:rsid w:val="00954CDC"/>
    <w:rsid w:val="009553E6"/>
    <w:rsid w:val="00955479"/>
    <w:rsid w:val="0095552D"/>
    <w:rsid w:val="009558B1"/>
    <w:rsid w:val="00955B2F"/>
    <w:rsid w:val="00955C19"/>
    <w:rsid w:val="00956D47"/>
    <w:rsid w:val="00956FE2"/>
    <w:rsid w:val="00957173"/>
    <w:rsid w:val="00957261"/>
    <w:rsid w:val="00957D64"/>
    <w:rsid w:val="00957F87"/>
    <w:rsid w:val="009622EA"/>
    <w:rsid w:val="00962CB7"/>
    <w:rsid w:val="00963826"/>
    <w:rsid w:val="00964191"/>
    <w:rsid w:val="009641E5"/>
    <w:rsid w:val="00964282"/>
    <w:rsid w:val="009646E0"/>
    <w:rsid w:val="0096477D"/>
    <w:rsid w:val="00964D00"/>
    <w:rsid w:val="00964E8B"/>
    <w:rsid w:val="00965C6D"/>
    <w:rsid w:val="00965CCF"/>
    <w:rsid w:val="00965F40"/>
    <w:rsid w:val="009660C1"/>
    <w:rsid w:val="0097054F"/>
    <w:rsid w:val="0097132F"/>
    <w:rsid w:val="00971515"/>
    <w:rsid w:val="00971E2E"/>
    <w:rsid w:val="00973197"/>
    <w:rsid w:val="009732A6"/>
    <w:rsid w:val="00974221"/>
    <w:rsid w:val="009746A9"/>
    <w:rsid w:val="00974EB3"/>
    <w:rsid w:val="009754BF"/>
    <w:rsid w:val="00975945"/>
    <w:rsid w:val="00975CD4"/>
    <w:rsid w:val="009765C5"/>
    <w:rsid w:val="00976B24"/>
    <w:rsid w:val="00976E8F"/>
    <w:rsid w:val="0097734B"/>
    <w:rsid w:val="00977357"/>
    <w:rsid w:val="009774B3"/>
    <w:rsid w:val="00977A67"/>
    <w:rsid w:val="00980812"/>
    <w:rsid w:val="00980F48"/>
    <w:rsid w:val="009815E3"/>
    <w:rsid w:val="009822F5"/>
    <w:rsid w:val="00982AD1"/>
    <w:rsid w:val="00982C63"/>
    <w:rsid w:val="00983233"/>
    <w:rsid w:val="009832A4"/>
    <w:rsid w:val="009835D8"/>
    <w:rsid w:val="009837A0"/>
    <w:rsid w:val="00983B30"/>
    <w:rsid w:val="00983CFA"/>
    <w:rsid w:val="0098494B"/>
    <w:rsid w:val="009859A7"/>
    <w:rsid w:val="00985A86"/>
    <w:rsid w:val="00986F90"/>
    <w:rsid w:val="00987429"/>
    <w:rsid w:val="0098745E"/>
    <w:rsid w:val="00987970"/>
    <w:rsid w:val="009901E3"/>
    <w:rsid w:val="0099029E"/>
    <w:rsid w:val="00990698"/>
    <w:rsid w:val="00990E43"/>
    <w:rsid w:val="00991076"/>
    <w:rsid w:val="00992612"/>
    <w:rsid w:val="00992648"/>
    <w:rsid w:val="00992C8F"/>
    <w:rsid w:val="00992F49"/>
    <w:rsid w:val="00994932"/>
    <w:rsid w:val="00994D01"/>
    <w:rsid w:val="00994E73"/>
    <w:rsid w:val="00995779"/>
    <w:rsid w:val="00995A33"/>
    <w:rsid w:val="00995F26"/>
    <w:rsid w:val="00996F5D"/>
    <w:rsid w:val="0099700A"/>
    <w:rsid w:val="0099733B"/>
    <w:rsid w:val="009974B9"/>
    <w:rsid w:val="009974DC"/>
    <w:rsid w:val="00997A78"/>
    <w:rsid w:val="009A0640"/>
    <w:rsid w:val="009A0654"/>
    <w:rsid w:val="009A167D"/>
    <w:rsid w:val="009A18D1"/>
    <w:rsid w:val="009A1A21"/>
    <w:rsid w:val="009A1EF3"/>
    <w:rsid w:val="009A2374"/>
    <w:rsid w:val="009A2388"/>
    <w:rsid w:val="009A2500"/>
    <w:rsid w:val="009A2ED5"/>
    <w:rsid w:val="009A32A7"/>
    <w:rsid w:val="009A3540"/>
    <w:rsid w:val="009A35DE"/>
    <w:rsid w:val="009A3929"/>
    <w:rsid w:val="009A4E76"/>
    <w:rsid w:val="009A50FB"/>
    <w:rsid w:val="009A5807"/>
    <w:rsid w:val="009A6158"/>
    <w:rsid w:val="009A62EF"/>
    <w:rsid w:val="009A635D"/>
    <w:rsid w:val="009A690F"/>
    <w:rsid w:val="009A6AAD"/>
    <w:rsid w:val="009A6AB8"/>
    <w:rsid w:val="009A7260"/>
    <w:rsid w:val="009A737C"/>
    <w:rsid w:val="009A772A"/>
    <w:rsid w:val="009A7E5B"/>
    <w:rsid w:val="009B00F9"/>
    <w:rsid w:val="009B0248"/>
    <w:rsid w:val="009B10A1"/>
    <w:rsid w:val="009B1175"/>
    <w:rsid w:val="009B1EF9"/>
    <w:rsid w:val="009B2105"/>
    <w:rsid w:val="009B25DB"/>
    <w:rsid w:val="009B2886"/>
    <w:rsid w:val="009B29ED"/>
    <w:rsid w:val="009B33D2"/>
    <w:rsid w:val="009B347B"/>
    <w:rsid w:val="009B3E2D"/>
    <w:rsid w:val="009B40C0"/>
    <w:rsid w:val="009B520B"/>
    <w:rsid w:val="009B6107"/>
    <w:rsid w:val="009B6712"/>
    <w:rsid w:val="009B6C8F"/>
    <w:rsid w:val="009B6E42"/>
    <w:rsid w:val="009B7078"/>
    <w:rsid w:val="009B740E"/>
    <w:rsid w:val="009B746A"/>
    <w:rsid w:val="009B794E"/>
    <w:rsid w:val="009C00B5"/>
    <w:rsid w:val="009C06AD"/>
    <w:rsid w:val="009C101B"/>
    <w:rsid w:val="009C1CA4"/>
    <w:rsid w:val="009C1E26"/>
    <w:rsid w:val="009C25CE"/>
    <w:rsid w:val="009C3369"/>
    <w:rsid w:val="009C41D5"/>
    <w:rsid w:val="009C482F"/>
    <w:rsid w:val="009C635E"/>
    <w:rsid w:val="009C6A42"/>
    <w:rsid w:val="009C70D7"/>
    <w:rsid w:val="009C7212"/>
    <w:rsid w:val="009C7F9E"/>
    <w:rsid w:val="009C7FA1"/>
    <w:rsid w:val="009D19EF"/>
    <w:rsid w:val="009D23DE"/>
    <w:rsid w:val="009D28A7"/>
    <w:rsid w:val="009D28FC"/>
    <w:rsid w:val="009D2A29"/>
    <w:rsid w:val="009D3021"/>
    <w:rsid w:val="009D3403"/>
    <w:rsid w:val="009D3A15"/>
    <w:rsid w:val="009D3BEB"/>
    <w:rsid w:val="009D41F4"/>
    <w:rsid w:val="009D4832"/>
    <w:rsid w:val="009D503D"/>
    <w:rsid w:val="009D5C28"/>
    <w:rsid w:val="009D5F48"/>
    <w:rsid w:val="009D6191"/>
    <w:rsid w:val="009D6304"/>
    <w:rsid w:val="009D63AB"/>
    <w:rsid w:val="009D6BCC"/>
    <w:rsid w:val="009D6D87"/>
    <w:rsid w:val="009D6DD9"/>
    <w:rsid w:val="009D6E71"/>
    <w:rsid w:val="009D7A5A"/>
    <w:rsid w:val="009D7EDC"/>
    <w:rsid w:val="009E01F3"/>
    <w:rsid w:val="009E22D7"/>
    <w:rsid w:val="009E265C"/>
    <w:rsid w:val="009E2CF3"/>
    <w:rsid w:val="009E309E"/>
    <w:rsid w:val="009E340D"/>
    <w:rsid w:val="009E38D0"/>
    <w:rsid w:val="009E3A82"/>
    <w:rsid w:val="009E4720"/>
    <w:rsid w:val="009E57BA"/>
    <w:rsid w:val="009E5ADB"/>
    <w:rsid w:val="009E68A0"/>
    <w:rsid w:val="009E6BB9"/>
    <w:rsid w:val="009E6F55"/>
    <w:rsid w:val="009F02DD"/>
    <w:rsid w:val="009F1176"/>
    <w:rsid w:val="009F15DD"/>
    <w:rsid w:val="009F1A6F"/>
    <w:rsid w:val="009F1A83"/>
    <w:rsid w:val="009F1B30"/>
    <w:rsid w:val="009F1D45"/>
    <w:rsid w:val="009F2007"/>
    <w:rsid w:val="009F21B7"/>
    <w:rsid w:val="009F28D7"/>
    <w:rsid w:val="009F2A23"/>
    <w:rsid w:val="009F2A29"/>
    <w:rsid w:val="009F33C2"/>
    <w:rsid w:val="009F393A"/>
    <w:rsid w:val="009F4369"/>
    <w:rsid w:val="009F45AA"/>
    <w:rsid w:val="009F49B9"/>
    <w:rsid w:val="009F5215"/>
    <w:rsid w:val="009F5967"/>
    <w:rsid w:val="009F678D"/>
    <w:rsid w:val="009F68CE"/>
    <w:rsid w:val="009F6BDA"/>
    <w:rsid w:val="009F714E"/>
    <w:rsid w:val="009F71E6"/>
    <w:rsid w:val="009F77FA"/>
    <w:rsid w:val="00A010A0"/>
    <w:rsid w:val="00A025C5"/>
    <w:rsid w:val="00A027D0"/>
    <w:rsid w:val="00A02FD3"/>
    <w:rsid w:val="00A03D44"/>
    <w:rsid w:val="00A044FD"/>
    <w:rsid w:val="00A0502C"/>
    <w:rsid w:val="00A05FE0"/>
    <w:rsid w:val="00A06168"/>
    <w:rsid w:val="00A0719B"/>
    <w:rsid w:val="00A07715"/>
    <w:rsid w:val="00A079E1"/>
    <w:rsid w:val="00A10867"/>
    <w:rsid w:val="00A10EDF"/>
    <w:rsid w:val="00A1122D"/>
    <w:rsid w:val="00A116BF"/>
    <w:rsid w:val="00A132CC"/>
    <w:rsid w:val="00A134C6"/>
    <w:rsid w:val="00A13B9C"/>
    <w:rsid w:val="00A13BB1"/>
    <w:rsid w:val="00A148A9"/>
    <w:rsid w:val="00A14F82"/>
    <w:rsid w:val="00A1529B"/>
    <w:rsid w:val="00A15669"/>
    <w:rsid w:val="00A15B1A"/>
    <w:rsid w:val="00A161DA"/>
    <w:rsid w:val="00A165B8"/>
    <w:rsid w:val="00A167EB"/>
    <w:rsid w:val="00A17007"/>
    <w:rsid w:val="00A179C3"/>
    <w:rsid w:val="00A21165"/>
    <w:rsid w:val="00A213B3"/>
    <w:rsid w:val="00A215E1"/>
    <w:rsid w:val="00A220C6"/>
    <w:rsid w:val="00A2251D"/>
    <w:rsid w:val="00A233F9"/>
    <w:rsid w:val="00A2358E"/>
    <w:rsid w:val="00A236C9"/>
    <w:rsid w:val="00A246E3"/>
    <w:rsid w:val="00A2485D"/>
    <w:rsid w:val="00A24DEB"/>
    <w:rsid w:val="00A24F21"/>
    <w:rsid w:val="00A24F9D"/>
    <w:rsid w:val="00A256E5"/>
    <w:rsid w:val="00A25BEF"/>
    <w:rsid w:val="00A25D3E"/>
    <w:rsid w:val="00A25F05"/>
    <w:rsid w:val="00A263F8"/>
    <w:rsid w:val="00A26AB9"/>
    <w:rsid w:val="00A26D74"/>
    <w:rsid w:val="00A27317"/>
    <w:rsid w:val="00A27387"/>
    <w:rsid w:val="00A27682"/>
    <w:rsid w:val="00A30457"/>
    <w:rsid w:val="00A30769"/>
    <w:rsid w:val="00A30878"/>
    <w:rsid w:val="00A30F0B"/>
    <w:rsid w:val="00A3107C"/>
    <w:rsid w:val="00A31FDC"/>
    <w:rsid w:val="00A32DC9"/>
    <w:rsid w:val="00A332C0"/>
    <w:rsid w:val="00A34D3E"/>
    <w:rsid w:val="00A35D62"/>
    <w:rsid w:val="00A364DD"/>
    <w:rsid w:val="00A36559"/>
    <w:rsid w:val="00A36719"/>
    <w:rsid w:val="00A36773"/>
    <w:rsid w:val="00A371F0"/>
    <w:rsid w:val="00A3745B"/>
    <w:rsid w:val="00A37E2B"/>
    <w:rsid w:val="00A409F7"/>
    <w:rsid w:val="00A40F95"/>
    <w:rsid w:val="00A40FA7"/>
    <w:rsid w:val="00A41C5E"/>
    <w:rsid w:val="00A420D3"/>
    <w:rsid w:val="00A421F1"/>
    <w:rsid w:val="00A42234"/>
    <w:rsid w:val="00A428C4"/>
    <w:rsid w:val="00A43B4A"/>
    <w:rsid w:val="00A43BB5"/>
    <w:rsid w:val="00A4501C"/>
    <w:rsid w:val="00A45667"/>
    <w:rsid w:val="00A45711"/>
    <w:rsid w:val="00A45AEF"/>
    <w:rsid w:val="00A46D0F"/>
    <w:rsid w:val="00A470EC"/>
    <w:rsid w:val="00A47A9A"/>
    <w:rsid w:val="00A5008D"/>
    <w:rsid w:val="00A502A0"/>
    <w:rsid w:val="00A507E4"/>
    <w:rsid w:val="00A5090D"/>
    <w:rsid w:val="00A51520"/>
    <w:rsid w:val="00A51AC0"/>
    <w:rsid w:val="00A52482"/>
    <w:rsid w:val="00A5291D"/>
    <w:rsid w:val="00A52E31"/>
    <w:rsid w:val="00A54472"/>
    <w:rsid w:val="00A545FA"/>
    <w:rsid w:val="00A55DAE"/>
    <w:rsid w:val="00A5605B"/>
    <w:rsid w:val="00A56DCB"/>
    <w:rsid w:val="00A57453"/>
    <w:rsid w:val="00A57591"/>
    <w:rsid w:val="00A57C2C"/>
    <w:rsid w:val="00A607F3"/>
    <w:rsid w:val="00A60AD4"/>
    <w:rsid w:val="00A60BD1"/>
    <w:rsid w:val="00A61276"/>
    <w:rsid w:val="00A6151C"/>
    <w:rsid w:val="00A626CA"/>
    <w:rsid w:val="00A62797"/>
    <w:rsid w:val="00A62938"/>
    <w:rsid w:val="00A62B36"/>
    <w:rsid w:val="00A62CA2"/>
    <w:rsid w:val="00A62D32"/>
    <w:rsid w:val="00A63C95"/>
    <w:rsid w:val="00A63DEF"/>
    <w:rsid w:val="00A63F67"/>
    <w:rsid w:val="00A6451C"/>
    <w:rsid w:val="00A64B81"/>
    <w:rsid w:val="00A652EF"/>
    <w:rsid w:val="00A657D0"/>
    <w:rsid w:val="00A66516"/>
    <w:rsid w:val="00A665D4"/>
    <w:rsid w:val="00A67AD0"/>
    <w:rsid w:val="00A67D53"/>
    <w:rsid w:val="00A67F4D"/>
    <w:rsid w:val="00A707EF"/>
    <w:rsid w:val="00A70D60"/>
    <w:rsid w:val="00A71B49"/>
    <w:rsid w:val="00A720BE"/>
    <w:rsid w:val="00A7241A"/>
    <w:rsid w:val="00A73581"/>
    <w:rsid w:val="00A73A25"/>
    <w:rsid w:val="00A73E34"/>
    <w:rsid w:val="00A74B7E"/>
    <w:rsid w:val="00A74B84"/>
    <w:rsid w:val="00A74C4C"/>
    <w:rsid w:val="00A75BC8"/>
    <w:rsid w:val="00A7624B"/>
    <w:rsid w:val="00A76497"/>
    <w:rsid w:val="00A76B84"/>
    <w:rsid w:val="00A775CA"/>
    <w:rsid w:val="00A77E26"/>
    <w:rsid w:val="00A82307"/>
    <w:rsid w:val="00A8307C"/>
    <w:rsid w:val="00A83D72"/>
    <w:rsid w:val="00A83E42"/>
    <w:rsid w:val="00A83FC5"/>
    <w:rsid w:val="00A84A90"/>
    <w:rsid w:val="00A85138"/>
    <w:rsid w:val="00A86647"/>
    <w:rsid w:val="00A9013A"/>
    <w:rsid w:val="00A91848"/>
    <w:rsid w:val="00A91DE8"/>
    <w:rsid w:val="00A927CB"/>
    <w:rsid w:val="00A92ABF"/>
    <w:rsid w:val="00A93065"/>
    <w:rsid w:val="00A93D5A"/>
    <w:rsid w:val="00A94143"/>
    <w:rsid w:val="00A941B5"/>
    <w:rsid w:val="00A944E3"/>
    <w:rsid w:val="00A9523E"/>
    <w:rsid w:val="00A95863"/>
    <w:rsid w:val="00A9685E"/>
    <w:rsid w:val="00A968AE"/>
    <w:rsid w:val="00A96C0F"/>
    <w:rsid w:val="00A96C22"/>
    <w:rsid w:val="00A97209"/>
    <w:rsid w:val="00A97F76"/>
    <w:rsid w:val="00AA081D"/>
    <w:rsid w:val="00AA0F90"/>
    <w:rsid w:val="00AA12E7"/>
    <w:rsid w:val="00AA1CC5"/>
    <w:rsid w:val="00AA2DB5"/>
    <w:rsid w:val="00AA2E05"/>
    <w:rsid w:val="00AA4829"/>
    <w:rsid w:val="00AA52A8"/>
    <w:rsid w:val="00AA58AC"/>
    <w:rsid w:val="00AA58DA"/>
    <w:rsid w:val="00AA6E19"/>
    <w:rsid w:val="00AA707D"/>
    <w:rsid w:val="00AA7626"/>
    <w:rsid w:val="00AA786F"/>
    <w:rsid w:val="00AB0EBB"/>
    <w:rsid w:val="00AB1238"/>
    <w:rsid w:val="00AB15FE"/>
    <w:rsid w:val="00AB2094"/>
    <w:rsid w:val="00AB3034"/>
    <w:rsid w:val="00AB3B58"/>
    <w:rsid w:val="00AB4287"/>
    <w:rsid w:val="00AB43EE"/>
    <w:rsid w:val="00AB52C6"/>
    <w:rsid w:val="00AB53BA"/>
    <w:rsid w:val="00AB6F12"/>
    <w:rsid w:val="00AB7095"/>
    <w:rsid w:val="00AB7342"/>
    <w:rsid w:val="00AB7967"/>
    <w:rsid w:val="00AB7BD2"/>
    <w:rsid w:val="00AB7FF4"/>
    <w:rsid w:val="00AC0A57"/>
    <w:rsid w:val="00AC109E"/>
    <w:rsid w:val="00AC1ABC"/>
    <w:rsid w:val="00AC1CD6"/>
    <w:rsid w:val="00AC211B"/>
    <w:rsid w:val="00AC220C"/>
    <w:rsid w:val="00AC2411"/>
    <w:rsid w:val="00AC2494"/>
    <w:rsid w:val="00AC2B23"/>
    <w:rsid w:val="00AC2F5E"/>
    <w:rsid w:val="00AC3ADA"/>
    <w:rsid w:val="00AC3D68"/>
    <w:rsid w:val="00AC3F60"/>
    <w:rsid w:val="00AC3F64"/>
    <w:rsid w:val="00AC43A2"/>
    <w:rsid w:val="00AC514D"/>
    <w:rsid w:val="00AC515A"/>
    <w:rsid w:val="00AC6291"/>
    <w:rsid w:val="00AC66DC"/>
    <w:rsid w:val="00AC728C"/>
    <w:rsid w:val="00AC7344"/>
    <w:rsid w:val="00AD0766"/>
    <w:rsid w:val="00AD0879"/>
    <w:rsid w:val="00AD0A5E"/>
    <w:rsid w:val="00AD0EF7"/>
    <w:rsid w:val="00AD119C"/>
    <w:rsid w:val="00AD1675"/>
    <w:rsid w:val="00AD1F23"/>
    <w:rsid w:val="00AD2120"/>
    <w:rsid w:val="00AD2554"/>
    <w:rsid w:val="00AD29DA"/>
    <w:rsid w:val="00AD31D5"/>
    <w:rsid w:val="00AD363B"/>
    <w:rsid w:val="00AD38B4"/>
    <w:rsid w:val="00AD3DA9"/>
    <w:rsid w:val="00AD42B9"/>
    <w:rsid w:val="00AD48E4"/>
    <w:rsid w:val="00AD4AB9"/>
    <w:rsid w:val="00AD51AF"/>
    <w:rsid w:val="00AD55C4"/>
    <w:rsid w:val="00AD5D08"/>
    <w:rsid w:val="00AD6F3C"/>
    <w:rsid w:val="00AD74B9"/>
    <w:rsid w:val="00AD7C81"/>
    <w:rsid w:val="00AE0B1F"/>
    <w:rsid w:val="00AE11F1"/>
    <w:rsid w:val="00AE1358"/>
    <w:rsid w:val="00AE15DE"/>
    <w:rsid w:val="00AE18F6"/>
    <w:rsid w:val="00AE1A2B"/>
    <w:rsid w:val="00AE1ABF"/>
    <w:rsid w:val="00AE2465"/>
    <w:rsid w:val="00AE28FB"/>
    <w:rsid w:val="00AE2B41"/>
    <w:rsid w:val="00AE3028"/>
    <w:rsid w:val="00AE3187"/>
    <w:rsid w:val="00AE379F"/>
    <w:rsid w:val="00AE3FCC"/>
    <w:rsid w:val="00AE414F"/>
    <w:rsid w:val="00AE439F"/>
    <w:rsid w:val="00AE5042"/>
    <w:rsid w:val="00AE5188"/>
    <w:rsid w:val="00AF03F1"/>
    <w:rsid w:val="00AF0429"/>
    <w:rsid w:val="00AF0D29"/>
    <w:rsid w:val="00AF1456"/>
    <w:rsid w:val="00AF1519"/>
    <w:rsid w:val="00AF166C"/>
    <w:rsid w:val="00AF2276"/>
    <w:rsid w:val="00AF2762"/>
    <w:rsid w:val="00AF28D6"/>
    <w:rsid w:val="00AF2A91"/>
    <w:rsid w:val="00AF4197"/>
    <w:rsid w:val="00AF4543"/>
    <w:rsid w:val="00AF471D"/>
    <w:rsid w:val="00AF4A79"/>
    <w:rsid w:val="00AF59F3"/>
    <w:rsid w:val="00AF5ADC"/>
    <w:rsid w:val="00AF5FB6"/>
    <w:rsid w:val="00AF61ED"/>
    <w:rsid w:val="00AF63BB"/>
    <w:rsid w:val="00AF65AF"/>
    <w:rsid w:val="00AF74BC"/>
    <w:rsid w:val="00AF7C4F"/>
    <w:rsid w:val="00AF7E34"/>
    <w:rsid w:val="00B002EC"/>
    <w:rsid w:val="00B00B29"/>
    <w:rsid w:val="00B00D8F"/>
    <w:rsid w:val="00B01A30"/>
    <w:rsid w:val="00B02886"/>
    <w:rsid w:val="00B02AFC"/>
    <w:rsid w:val="00B02BF8"/>
    <w:rsid w:val="00B03111"/>
    <w:rsid w:val="00B03A53"/>
    <w:rsid w:val="00B0403B"/>
    <w:rsid w:val="00B05B69"/>
    <w:rsid w:val="00B0647C"/>
    <w:rsid w:val="00B065E9"/>
    <w:rsid w:val="00B06717"/>
    <w:rsid w:val="00B06D08"/>
    <w:rsid w:val="00B070BA"/>
    <w:rsid w:val="00B07BD1"/>
    <w:rsid w:val="00B07F07"/>
    <w:rsid w:val="00B10119"/>
    <w:rsid w:val="00B10328"/>
    <w:rsid w:val="00B10584"/>
    <w:rsid w:val="00B10DA7"/>
    <w:rsid w:val="00B10F3F"/>
    <w:rsid w:val="00B10F96"/>
    <w:rsid w:val="00B1192E"/>
    <w:rsid w:val="00B11E30"/>
    <w:rsid w:val="00B11F3C"/>
    <w:rsid w:val="00B11FE0"/>
    <w:rsid w:val="00B12223"/>
    <w:rsid w:val="00B126AC"/>
    <w:rsid w:val="00B128F1"/>
    <w:rsid w:val="00B12C88"/>
    <w:rsid w:val="00B12FA6"/>
    <w:rsid w:val="00B132C2"/>
    <w:rsid w:val="00B13C03"/>
    <w:rsid w:val="00B140CC"/>
    <w:rsid w:val="00B142F2"/>
    <w:rsid w:val="00B14AE5"/>
    <w:rsid w:val="00B15469"/>
    <w:rsid w:val="00B1562D"/>
    <w:rsid w:val="00B157B4"/>
    <w:rsid w:val="00B16136"/>
    <w:rsid w:val="00B16F40"/>
    <w:rsid w:val="00B170C2"/>
    <w:rsid w:val="00B1775E"/>
    <w:rsid w:val="00B17E3C"/>
    <w:rsid w:val="00B2060E"/>
    <w:rsid w:val="00B20819"/>
    <w:rsid w:val="00B215B7"/>
    <w:rsid w:val="00B223E0"/>
    <w:rsid w:val="00B229E0"/>
    <w:rsid w:val="00B22EAF"/>
    <w:rsid w:val="00B237AB"/>
    <w:rsid w:val="00B238C9"/>
    <w:rsid w:val="00B2405C"/>
    <w:rsid w:val="00B24144"/>
    <w:rsid w:val="00B24C1A"/>
    <w:rsid w:val="00B24D7E"/>
    <w:rsid w:val="00B25553"/>
    <w:rsid w:val="00B2575A"/>
    <w:rsid w:val="00B257FE"/>
    <w:rsid w:val="00B25B7A"/>
    <w:rsid w:val="00B25CBF"/>
    <w:rsid w:val="00B25EE2"/>
    <w:rsid w:val="00B263F6"/>
    <w:rsid w:val="00B273E6"/>
    <w:rsid w:val="00B27774"/>
    <w:rsid w:val="00B2785F"/>
    <w:rsid w:val="00B27C18"/>
    <w:rsid w:val="00B27D85"/>
    <w:rsid w:val="00B3052E"/>
    <w:rsid w:val="00B30DB6"/>
    <w:rsid w:val="00B3131F"/>
    <w:rsid w:val="00B31521"/>
    <w:rsid w:val="00B32598"/>
    <w:rsid w:val="00B33654"/>
    <w:rsid w:val="00B33897"/>
    <w:rsid w:val="00B339F8"/>
    <w:rsid w:val="00B33BA5"/>
    <w:rsid w:val="00B34243"/>
    <w:rsid w:val="00B34753"/>
    <w:rsid w:val="00B34C78"/>
    <w:rsid w:val="00B357E9"/>
    <w:rsid w:val="00B35B01"/>
    <w:rsid w:val="00B36637"/>
    <w:rsid w:val="00B36A12"/>
    <w:rsid w:val="00B36E3A"/>
    <w:rsid w:val="00B3729C"/>
    <w:rsid w:val="00B37B30"/>
    <w:rsid w:val="00B400E6"/>
    <w:rsid w:val="00B4042A"/>
    <w:rsid w:val="00B410E4"/>
    <w:rsid w:val="00B411A9"/>
    <w:rsid w:val="00B414DF"/>
    <w:rsid w:val="00B41B98"/>
    <w:rsid w:val="00B42079"/>
    <w:rsid w:val="00B42D40"/>
    <w:rsid w:val="00B441F1"/>
    <w:rsid w:val="00B44BC1"/>
    <w:rsid w:val="00B44E66"/>
    <w:rsid w:val="00B44F10"/>
    <w:rsid w:val="00B44FCD"/>
    <w:rsid w:val="00B45894"/>
    <w:rsid w:val="00B46A58"/>
    <w:rsid w:val="00B47108"/>
    <w:rsid w:val="00B4739A"/>
    <w:rsid w:val="00B477DF"/>
    <w:rsid w:val="00B47C0E"/>
    <w:rsid w:val="00B5098F"/>
    <w:rsid w:val="00B50B04"/>
    <w:rsid w:val="00B50B59"/>
    <w:rsid w:val="00B50C55"/>
    <w:rsid w:val="00B511AB"/>
    <w:rsid w:val="00B519A0"/>
    <w:rsid w:val="00B51B3C"/>
    <w:rsid w:val="00B51BC6"/>
    <w:rsid w:val="00B52024"/>
    <w:rsid w:val="00B523CF"/>
    <w:rsid w:val="00B5281B"/>
    <w:rsid w:val="00B53422"/>
    <w:rsid w:val="00B534A9"/>
    <w:rsid w:val="00B53BA6"/>
    <w:rsid w:val="00B53DD1"/>
    <w:rsid w:val="00B54460"/>
    <w:rsid w:val="00B54B51"/>
    <w:rsid w:val="00B54CA0"/>
    <w:rsid w:val="00B54DCB"/>
    <w:rsid w:val="00B551BB"/>
    <w:rsid w:val="00B56204"/>
    <w:rsid w:val="00B567FF"/>
    <w:rsid w:val="00B56869"/>
    <w:rsid w:val="00B56D35"/>
    <w:rsid w:val="00B56F55"/>
    <w:rsid w:val="00B57337"/>
    <w:rsid w:val="00B573A8"/>
    <w:rsid w:val="00B577F4"/>
    <w:rsid w:val="00B578B2"/>
    <w:rsid w:val="00B601F0"/>
    <w:rsid w:val="00B613CE"/>
    <w:rsid w:val="00B6165C"/>
    <w:rsid w:val="00B61C9B"/>
    <w:rsid w:val="00B61D91"/>
    <w:rsid w:val="00B62446"/>
    <w:rsid w:val="00B6309B"/>
    <w:rsid w:val="00B63326"/>
    <w:rsid w:val="00B635DE"/>
    <w:rsid w:val="00B63AE3"/>
    <w:rsid w:val="00B64007"/>
    <w:rsid w:val="00B640E6"/>
    <w:rsid w:val="00B641FD"/>
    <w:rsid w:val="00B64EF7"/>
    <w:rsid w:val="00B6535B"/>
    <w:rsid w:val="00B65643"/>
    <w:rsid w:val="00B6581F"/>
    <w:rsid w:val="00B65BF2"/>
    <w:rsid w:val="00B6612A"/>
    <w:rsid w:val="00B66373"/>
    <w:rsid w:val="00B66990"/>
    <w:rsid w:val="00B66E32"/>
    <w:rsid w:val="00B67F66"/>
    <w:rsid w:val="00B703D6"/>
    <w:rsid w:val="00B70967"/>
    <w:rsid w:val="00B70A15"/>
    <w:rsid w:val="00B715A4"/>
    <w:rsid w:val="00B71934"/>
    <w:rsid w:val="00B71C12"/>
    <w:rsid w:val="00B72057"/>
    <w:rsid w:val="00B72154"/>
    <w:rsid w:val="00B72322"/>
    <w:rsid w:val="00B72989"/>
    <w:rsid w:val="00B72A2C"/>
    <w:rsid w:val="00B72EF4"/>
    <w:rsid w:val="00B73A10"/>
    <w:rsid w:val="00B7485E"/>
    <w:rsid w:val="00B75578"/>
    <w:rsid w:val="00B75610"/>
    <w:rsid w:val="00B759A2"/>
    <w:rsid w:val="00B75DE2"/>
    <w:rsid w:val="00B76A0F"/>
    <w:rsid w:val="00B76A64"/>
    <w:rsid w:val="00B76B62"/>
    <w:rsid w:val="00B7724C"/>
    <w:rsid w:val="00B7743E"/>
    <w:rsid w:val="00B774D5"/>
    <w:rsid w:val="00B7762B"/>
    <w:rsid w:val="00B80012"/>
    <w:rsid w:val="00B80E5C"/>
    <w:rsid w:val="00B810AE"/>
    <w:rsid w:val="00B82334"/>
    <w:rsid w:val="00B8288C"/>
    <w:rsid w:val="00B828B0"/>
    <w:rsid w:val="00B8336A"/>
    <w:rsid w:val="00B8365E"/>
    <w:rsid w:val="00B83786"/>
    <w:rsid w:val="00B84A61"/>
    <w:rsid w:val="00B862BA"/>
    <w:rsid w:val="00B864B8"/>
    <w:rsid w:val="00B86949"/>
    <w:rsid w:val="00B8697B"/>
    <w:rsid w:val="00B876B3"/>
    <w:rsid w:val="00B90380"/>
    <w:rsid w:val="00B9085F"/>
    <w:rsid w:val="00B9089E"/>
    <w:rsid w:val="00B909DD"/>
    <w:rsid w:val="00B90EF6"/>
    <w:rsid w:val="00B91DA5"/>
    <w:rsid w:val="00B91E71"/>
    <w:rsid w:val="00B923B2"/>
    <w:rsid w:val="00B92BB9"/>
    <w:rsid w:val="00B92E54"/>
    <w:rsid w:val="00B930EE"/>
    <w:rsid w:val="00B934C7"/>
    <w:rsid w:val="00B93F1D"/>
    <w:rsid w:val="00B954EC"/>
    <w:rsid w:val="00B95E46"/>
    <w:rsid w:val="00B96014"/>
    <w:rsid w:val="00B96032"/>
    <w:rsid w:val="00B962BD"/>
    <w:rsid w:val="00B965BD"/>
    <w:rsid w:val="00B96B20"/>
    <w:rsid w:val="00B971CD"/>
    <w:rsid w:val="00B97A1C"/>
    <w:rsid w:val="00BA0672"/>
    <w:rsid w:val="00BA1CDB"/>
    <w:rsid w:val="00BA1D03"/>
    <w:rsid w:val="00BA2A58"/>
    <w:rsid w:val="00BA2DB9"/>
    <w:rsid w:val="00BA3505"/>
    <w:rsid w:val="00BA382D"/>
    <w:rsid w:val="00BA3CFC"/>
    <w:rsid w:val="00BA50D5"/>
    <w:rsid w:val="00BA53A3"/>
    <w:rsid w:val="00BA5537"/>
    <w:rsid w:val="00BA6044"/>
    <w:rsid w:val="00BA614C"/>
    <w:rsid w:val="00BA62FD"/>
    <w:rsid w:val="00BA6328"/>
    <w:rsid w:val="00BA6388"/>
    <w:rsid w:val="00BA64E4"/>
    <w:rsid w:val="00BA68C1"/>
    <w:rsid w:val="00BA724A"/>
    <w:rsid w:val="00BA769F"/>
    <w:rsid w:val="00BA7882"/>
    <w:rsid w:val="00BA796F"/>
    <w:rsid w:val="00BA7B6C"/>
    <w:rsid w:val="00BA7D41"/>
    <w:rsid w:val="00BA7E93"/>
    <w:rsid w:val="00BA7FF7"/>
    <w:rsid w:val="00BB05C8"/>
    <w:rsid w:val="00BB068A"/>
    <w:rsid w:val="00BB0C33"/>
    <w:rsid w:val="00BB0C56"/>
    <w:rsid w:val="00BB0E0D"/>
    <w:rsid w:val="00BB1753"/>
    <w:rsid w:val="00BB1FBB"/>
    <w:rsid w:val="00BB2115"/>
    <w:rsid w:val="00BB232C"/>
    <w:rsid w:val="00BB2B45"/>
    <w:rsid w:val="00BB39AB"/>
    <w:rsid w:val="00BB4260"/>
    <w:rsid w:val="00BB44DB"/>
    <w:rsid w:val="00BB454E"/>
    <w:rsid w:val="00BB4F18"/>
    <w:rsid w:val="00BB5178"/>
    <w:rsid w:val="00BB5678"/>
    <w:rsid w:val="00BB65D8"/>
    <w:rsid w:val="00BB66D7"/>
    <w:rsid w:val="00BB7CF2"/>
    <w:rsid w:val="00BB7D80"/>
    <w:rsid w:val="00BB7F13"/>
    <w:rsid w:val="00BB7FFD"/>
    <w:rsid w:val="00BC0B29"/>
    <w:rsid w:val="00BC1349"/>
    <w:rsid w:val="00BC23E4"/>
    <w:rsid w:val="00BC291C"/>
    <w:rsid w:val="00BC3752"/>
    <w:rsid w:val="00BC42BF"/>
    <w:rsid w:val="00BC486F"/>
    <w:rsid w:val="00BC48BE"/>
    <w:rsid w:val="00BC4948"/>
    <w:rsid w:val="00BC4B98"/>
    <w:rsid w:val="00BC4ECC"/>
    <w:rsid w:val="00BC5A6C"/>
    <w:rsid w:val="00BC6775"/>
    <w:rsid w:val="00BC6D93"/>
    <w:rsid w:val="00BC7741"/>
    <w:rsid w:val="00BC7E99"/>
    <w:rsid w:val="00BD00AB"/>
    <w:rsid w:val="00BD04A9"/>
    <w:rsid w:val="00BD0DFA"/>
    <w:rsid w:val="00BD0F0E"/>
    <w:rsid w:val="00BD13EC"/>
    <w:rsid w:val="00BD1735"/>
    <w:rsid w:val="00BD22B6"/>
    <w:rsid w:val="00BD28C4"/>
    <w:rsid w:val="00BD2B9C"/>
    <w:rsid w:val="00BD2DCC"/>
    <w:rsid w:val="00BD2F07"/>
    <w:rsid w:val="00BD366B"/>
    <w:rsid w:val="00BD3A44"/>
    <w:rsid w:val="00BD5067"/>
    <w:rsid w:val="00BD6B9C"/>
    <w:rsid w:val="00BD6D31"/>
    <w:rsid w:val="00BD6DFD"/>
    <w:rsid w:val="00BD735A"/>
    <w:rsid w:val="00BD7671"/>
    <w:rsid w:val="00BD7938"/>
    <w:rsid w:val="00BE02B8"/>
    <w:rsid w:val="00BE0AE2"/>
    <w:rsid w:val="00BE1944"/>
    <w:rsid w:val="00BE1DBA"/>
    <w:rsid w:val="00BE2045"/>
    <w:rsid w:val="00BE25E4"/>
    <w:rsid w:val="00BE2E5A"/>
    <w:rsid w:val="00BE50BE"/>
    <w:rsid w:val="00BE5DE8"/>
    <w:rsid w:val="00BE608F"/>
    <w:rsid w:val="00BE615D"/>
    <w:rsid w:val="00BE64BF"/>
    <w:rsid w:val="00BE6A8E"/>
    <w:rsid w:val="00BE751B"/>
    <w:rsid w:val="00BF0604"/>
    <w:rsid w:val="00BF0A37"/>
    <w:rsid w:val="00BF0DC8"/>
    <w:rsid w:val="00BF0FBB"/>
    <w:rsid w:val="00BF112D"/>
    <w:rsid w:val="00BF2A8D"/>
    <w:rsid w:val="00BF2B3B"/>
    <w:rsid w:val="00BF2D90"/>
    <w:rsid w:val="00BF388A"/>
    <w:rsid w:val="00BF3CD6"/>
    <w:rsid w:val="00BF4109"/>
    <w:rsid w:val="00BF493E"/>
    <w:rsid w:val="00BF4A33"/>
    <w:rsid w:val="00BF4E00"/>
    <w:rsid w:val="00BF4F66"/>
    <w:rsid w:val="00BF4FD7"/>
    <w:rsid w:val="00BF63A1"/>
    <w:rsid w:val="00BF658D"/>
    <w:rsid w:val="00BF6A5A"/>
    <w:rsid w:val="00BF765D"/>
    <w:rsid w:val="00C00509"/>
    <w:rsid w:val="00C00D78"/>
    <w:rsid w:val="00C00FC5"/>
    <w:rsid w:val="00C011AE"/>
    <w:rsid w:val="00C0166B"/>
    <w:rsid w:val="00C029EA"/>
    <w:rsid w:val="00C02E95"/>
    <w:rsid w:val="00C0305E"/>
    <w:rsid w:val="00C03189"/>
    <w:rsid w:val="00C03376"/>
    <w:rsid w:val="00C041A9"/>
    <w:rsid w:val="00C041AC"/>
    <w:rsid w:val="00C0436C"/>
    <w:rsid w:val="00C04C92"/>
    <w:rsid w:val="00C05205"/>
    <w:rsid w:val="00C0520C"/>
    <w:rsid w:val="00C0561A"/>
    <w:rsid w:val="00C05FE7"/>
    <w:rsid w:val="00C06C02"/>
    <w:rsid w:val="00C06FE6"/>
    <w:rsid w:val="00C07250"/>
    <w:rsid w:val="00C07423"/>
    <w:rsid w:val="00C07873"/>
    <w:rsid w:val="00C108C8"/>
    <w:rsid w:val="00C10AEE"/>
    <w:rsid w:val="00C11BCF"/>
    <w:rsid w:val="00C11E2C"/>
    <w:rsid w:val="00C128F5"/>
    <w:rsid w:val="00C134E6"/>
    <w:rsid w:val="00C13E21"/>
    <w:rsid w:val="00C1414F"/>
    <w:rsid w:val="00C142B8"/>
    <w:rsid w:val="00C14ABC"/>
    <w:rsid w:val="00C15E49"/>
    <w:rsid w:val="00C15FB7"/>
    <w:rsid w:val="00C16085"/>
    <w:rsid w:val="00C16195"/>
    <w:rsid w:val="00C16625"/>
    <w:rsid w:val="00C16A16"/>
    <w:rsid w:val="00C16BF9"/>
    <w:rsid w:val="00C174DA"/>
    <w:rsid w:val="00C20CF0"/>
    <w:rsid w:val="00C22044"/>
    <w:rsid w:val="00C22091"/>
    <w:rsid w:val="00C2251D"/>
    <w:rsid w:val="00C227AB"/>
    <w:rsid w:val="00C2436D"/>
    <w:rsid w:val="00C2449D"/>
    <w:rsid w:val="00C245AB"/>
    <w:rsid w:val="00C2472A"/>
    <w:rsid w:val="00C25092"/>
    <w:rsid w:val="00C25138"/>
    <w:rsid w:val="00C27926"/>
    <w:rsid w:val="00C30577"/>
    <w:rsid w:val="00C3075C"/>
    <w:rsid w:val="00C30DE5"/>
    <w:rsid w:val="00C317D1"/>
    <w:rsid w:val="00C31A58"/>
    <w:rsid w:val="00C32707"/>
    <w:rsid w:val="00C32EE6"/>
    <w:rsid w:val="00C34250"/>
    <w:rsid w:val="00C35BE4"/>
    <w:rsid w:val="00C35D99"/>
    <w:rsid w:val="00C36B65"/>
    <w:rsid w:val="00C3704A"/>
    <w:rsid w:val="00C40975"/>
    <w:rsid w:val="00C41099"/>
    <w:rsid w:val="00C41186"/>
    <w:rsid w:val="00C411ED"/>
    <w:rsid w:val="00C418FD"/>
    <w:rsid w:val="00C41F5C"/>
    <w:rsid w:val="00C4208B"/>
    <w:rsid w:val="00C4227A"/>
    <w:rsid w:val="00C427FD"/>
    <w:rsid w:val="00C42B2C"/>
    <w:rsid w:val="00C43DFB"/>
    <w:rsid w:val="00C43F52"/>
    <w:rsid w:val="00C4492B"/>
    <w:rsid w:val="00C4549D"/>
    <w:rsid w:val="00C45BBC"/>
    <w:rsid w:val="00C46CB8"/>
    <w:rsid w:val="00C47292"/>
    <w:rsid w:val="00C474DC"/>
    <w:rsid w:val="00C47D73"/>
    <w:rsid w:val="00C50181"/>
    <w:rsid w:val="00C50215"/>
    <w:rsid w:val="00C5060F"/>
    <w:rsid w:val="00C51940"/>
    <w:rsid w:val="00C51AA8"/>
    <w:rsid w:val="00C51D7E"/>
    <w:rsid w:val="00C51F09"/>
    <w:rsid w:val="00C51FEC"/>
    <w:rsid w:val="00C52AF2"/>
    <w:rsid w:val="00C531C7"/>
    <w:rsid w:val="00C53700"/>
    <w:rsid w:val="00C553EE"/>
    <w:rsid w:val="00C556B8"/>
    <w:rsid w:val="00C5635F"/>
    <w:rsid w:val="00C56456"/>
    <w:rsid w:val="00C565DA"/>
    <w:rsid w:val="00C57365"/>
    <w:rsid w:val="00C57C34"/>
    <w:rsid w:val="00C60A07"/>
    <w:rsid w:val="00C60D64"/>
    <w:rsid w:val="00C6148F"/>
    <w:rsid w:val="00C61BC8"/>
    <w:rsid w:val="00C629DE"/>
    <w:rsid w:val="00C630EE"/>
    <w:rsid w:val="00C63612"/>
    <w:rsid w:val="00C6463F"/>
    <w:rsid w:val="00C647EF"/>
    <w:rsid w:val="00C65689"/>
    <w:rsid w:val="00C65894"/>
    <w:rsid w:val="00C6598E"/>
    <w:rsid w:val="00C6613D"/>
    <w:rsid w:val="00C669FD"/>
    <w:rsid w:val="00C66DB3"/>
    <w:rsid w:val="00C66E99"/>
    <w:rsid w:val="00C67537"/>
    <w:rsid w:val="00C679FA"/>
    <w:rsid w:val="00C70E5E"/>
    <w:rsid w:val="00C715B7"/>
    <w:rsid w:val="00C72B5D"/>
    <w:rsid w:val="00C72BF2"/>
    <w:rsid w:val="00C733AF"/>
    <w:rsid w:val="00C73887"/>
    <w:rsid w:val="00C73AC5"/>
    <w:rsid w:val="00C75457"/>
    <w:rsid w:val="00C75876"/>
    <w:rsid w:val="00C776D9"/>
    <w:rsid w:val="00C800CA"/>
    <w:rsid w:val="00C80920"/>
    <w:rsid w:val="00C80E4E"/>
    <w:rsid w:val="00C81BBD"/>
    <w:rsid w:val="00C81F63"/>
    <w:rsid w:val="00C82663"/>
    <w:rsid w:val="00C82B5C"/>
    <w:rsid w:val="00C82F2E"/>
    <w:rsid w:val="00C8302F"/>
    <w:rsid w:val="00C83031"/>
    <w:rsid w:val="00C8343A"/>
    <w:rsid w:val="00C838E9"/>
    <w:rsid w:val="00C8412F"/>
    <w:rsid w:val="00C8430C"/>
    <w:rsid w:val="00C844FC"/>
    <w:rsid w:val="00C849D1"/>
    <w:rsid w:val="00C84AE7"/>
    <w:rsid w:val="00C84E02"/>
    <w:rsid w:val="00C84FAA"/>
    <w:rsid w:val="00C856D9"/>
    <w:rsid w:val="00C857B2"/>
    <w:rsid w:val="00C8636F"/>
    <w:rsid w:val="00C86CC2"/>
    <w:rsid w:val="00C8717F"/>
    <w:rsid w:val="00C87383"/>
    <w:rsid w:val="00C877D2"/>
    <w:rsid w:val="00C87A36"/>
    <w:rsid w:val="00C87C44"/>
    <w:rsid w:val="00C90136"/>
    <w:rsid w:val="00C902B6"/>
    <w:rsid w:val="00C90616"/>
    <w:rsid w:val="00C90E24"/>
    <w:rsid w:val="00C9147A"/>
    <w:rsid w:val="00C91A23"/>
    <w:rsid w:val="00C91D3F"/>
    <w:rsid w:val="00C92FCF"/>
    <w:rsid w:val="00C9327B"/>
    <w:rsid w:val="00C933AA"/>
    <w:rsid w:val="00C93B0B"/>
    <w:rsid w:val="00C9412A"/>
    <w:rsid w:val="00C9585A"/>
    <w:rsid w:val="00C95CDA"/>
    <w:rsid w:val="00C95FAC"/>
    <w:rsid w:val="00C96898"/>
    <w:rsid w:val="00C96948"/>
    <w:rsid w:val="00CA08C7"/>
    <w:rsid w:val="00CA12C3"/>
    <w:rsid w:val="00CA1538"/>
    <w:rsid w:val="00CA1B6E"/>
    <w:rsid w:val="00CA1D11"/>
    <w:rsid w:val="00CA2272"/>
    <w:rsid w:val="00CA2CC1"/>
    <w:rsid w:val="00CA2D8D"/>
    <w:rsid w:val="00CA2F67"/>
    <w:rsid w:val="00CA2F72"/>
    <w:rsid w:val="00CA3A61"/>
    <w:rsid w:val="00CA445B"/>
    <w:rsid w:val="00CA4D01"/>
    <w:rsid w:val="00CA6395"/>
    <w:rsid w:val="00CA6743"/>
    <w:rsid w:val="00CA67B2"/>
    <w:rsid w:val="00CA6DBC"/>
    <w:rsid w:val="00CA6ED2"/>
    <w:rsid w:val="00CA7398"/>
    <w:rsid w:val="00CA74A3"/>
    <w:rsid w:val="00CA782F"/>
    <w:rsid w:val="00CA7B70"/>
    <w:rsid w:val="00CB0D26"/>
    <w:rsid w:val="00CB2482"/>
    <w:rsid w:val="00CB255A"/>
    <w:rsid w:val="00CB401A"/>
    <w:rsid w:val="00CB405F"/>
    <w:rsid w:val="00CB416B"/>
    <w:rsid w:val="00CB4684"/>
    <w:rsid w:val="00CB4EE4"/>
    <w:rsid w:val="00CB4EF0"/>
    <w:rsid w:val="00CB508A"/>
    <w:rsid w:val="00CB5862"/>
    <w:rsid w:val="00CB596C"/>
    <w:rsid w:val="00CB5AA8"/>
    <w:rsid w:val="00CB67DE"/>
    <w:rsid w:val="00CB6C62"/>
    <w:rsid w:val="00CB6DA9"/>
    <w:rsid w:val="00CB7F8E"/>
    <w:rsid w:val="00CC0609"/>
    <w:rsid w:val="00CC0968"/>
    <w:rsid w:val="00CC1977"/>
    <w:rsid w:val="00CC1DC1"/>
    <w:rsid w:val="00CC20A0"/>
    <w:rsid w:val="00CC27AE"/>
    <w:rsid w:val="00CC2AF3"/>
    <w:rsid w:val="00CC3459"/>
    <w:rsid w:val="00CC34AD"/>
    <w:rsid w:val="00CC4D28"/>
    <w:rsid w:val="00CC526C"/>
    <w:rsid w:val="00CC6285"/>
    <w:rsid w:val="00CC63B1"/>
    <w:rsid w:val="00CC658C"/>
    <w:rsid w:val="00CC67E3"/>
    <w:rsid w:val="00CC6A8C"/>
    <w:rsid w:val="00CC7022"/>
    <w:rsid w:val="00CC7802"/>
    <w:rsid w:val="00CC7CFA"/>
    <w:rsid w:val="00CD02F2"/>
    <w:rsid w:val="00CD077F"/>
    <w:rsid w:val="00CD0C94"/>
    <w:rsid w:val="00CD1630"/>
    <w:rsid w:val="00CD1E8F"/>
    <w:rsid w:val="00CD1F7E"/>
    <w:rsid w:val="00CD21D8"/>
    <w:rsid w:val="00CD2DA7"/>
    <w:rsid w:val="00CD39AF"/>
    <w:rsid w:val="00CD3A97"/>
    <w:rsid w:val="00CD47D2"/>
    <w:rsid w:val="00CD47D5"/>
    <w:rsid w:val="00CD4F28"/>
    <w:rsid w:val="00CD5276"/>
    <w:rsid w:val="00CD5457"/>
    <w:rsid w:val="00CD561F"/>
    <w:rsid w:val="00CD5EA2"/>
    <w:rsid w:val="00CD6906"/>
    <w:rsid w:val="00CD69AE"/>
    <w:rsid w:val="00CD770A"/>
    <w:rsid w:val="00CE081F"/>
    <w:rsid w:val="00CE1469"/>
    <w:rsid w:val="00CE14BD"/>
    <w:rsid w:val="00CE1968"/>
    <w:rsid w:val="00CE1F36"/>
    <w:rsid w:val="00CE2513"/>
    <w:rsid w:val="00CE26DD"/>
    <w:rsid w:val="00CE2F28"/>
    <w:rsid w:val="00CE3526"/>
    <w:rsid w:val="00CE38B2"/>
    <w:rsid w:val="00CE4290"/>
    <w:rsid w:val="00CE5108"/>
    <w:rsid w:val="00CE5428"/>
    <w:rsid w:val="00CE61B5"/>
    <w:rsid w:val="00CE61E8"/>
    <w:rsid w:val="00CE6D30"/>
    <w:rsid w:val="00CE7938"/>
    <w:rsid w:val="00CE7A03"/>
    <w:rsid w:val="00CF07AD"/>
    <w:rsid w:val="00CF0E93"/>
    <w:rsid w:val="00CF1AB8"/>
    <w:rsid w:val="00CF2095"/>
    <w:rsid w:val="00CF21BC"/>
    <w:rsid w:val="00CF24F8"/>
    <w:rsid w:val="00CF3B48"/>
    <w:rsid w:val="00CF3ECE"/>
    <w:rsid w:val="00CF4C99"/>
    <w:rsid w:val="00CF4DE3"/>
    <w:rsid w:val="00CF5552"/>
    <w:rsid w:val="00CF5805"/>
    <w:rsid w:val="00CF63F6"/>
    <w:rsid w:val="00CF64DC"/>
    <w:rsid w:val="00CF66A1"/>
    <w:rsid w:val="00CF787F"/>
    <w:rsid w:val="00CF795B"/>
    <w:rsid w:val="00CF7F04"/>
    <w:rsid w:val="00D00228"/>
    <w:rsid w:val="00D00598"/>
    <w:rsid w:val="00D00DB0"/>
    <w:rsid w:val="00D01703"/>
    <w:rsid w:val="00D01AD4"/>
    <w:rsid w:val="00D02042"/>
    <w:rsid w:val="00D022BA"/>
    <w:rsid w:val="00D03403"/>
    <w:rsid w:val="00D04330"/>
    <w:rsid w:val="00D056BD"/>
    <w:rsid w:val="00D058FB"/>
    <w:rsid w:val="00D0630E"/>
    <w:rsid w:val="00D07E93"/>
    <w:rsid w:val="00D104EC"/>
    <w:rsid w:val="00D105C8"/>
    <w:rsid w:val="00D10E92"/>
    <w:rsid w:val="00D10F19"/>
    <w:rsid w:val="00D117E3"/>
    <w:rsid w:val="00D139DF"/>
    <w:rsid w:val="00D13AB0"/>
    <w:rsid w:val="00D14C63"/>
    <w:rsid w:val="00D14E80"/>
    <w:rsid w:val="00D14FE3"/>
    <w:rsid w:val="00D1638B"/>
    <w:rsid w:val="00D17E5C"/>
    <w:rsid w:val="00D2009B"/>
    <w:rsid w:val="00D2078C"/>
    <w:rsid w:val="00D208C3"/>
    <w:rsid w:val="00D2098E"/>
    <w:rsid w:val="00D20A38"/>
    <w:rsid w:val="00D2117F"/>
    <w:rsid w:val="00D211C4"/>
    <w:rsid w:val="00D219F6"/>
    <w:rsid w:val="00D21AD9"/>
    <w:rsid w:val="00D2233E"/>
    <w:rsid w:val="00D22753"/>
    <w:rsid w:val="00D22BFB"/>
    <w:rsid w:val="00D22DDC"/>
    <w:rsid w:val="00D234C8"/>
    <w:rsid w:val="00D236D9"/>
    <w:rsid w:val="00D2372D"/>
    <w:rsid w:val="00D2398E"/>
    <w:rsid w:val="00D239C1"/>
    <w:rsid w:val="00D23BE1"/>
    <w:rsid w:val="00D23C1E"/>
    <w:rsid w:val="00D23FF9"/>
    <w:rsid w:val="00D24084"/>
    <w:rsid w:val="00D24D45"/>
    <w:rsid w:val="00D25311"/>
    <w:rsid w:val="00D2617A"/>
    <w:rsid w:val="00D27AAC"/>
    <w:rsid w:val="00D27FCE"/>
    <w:rsid w:val="00D3028D"/>
    <w:rsid w:val="00D313A5"/>
    <w:rsid w:val="00D316C5"/>
    <w:rsid w:val="00D31C2A"/>
    <w:rsid w:val="00D33806"/>
    <w:rsid w:val="00D33ED3"/>
    <w:rsid w:val="00D3405E"/>
    <w:rsid w:val="00D34A50"/>
    <w:rsid w:val="00D34CAA"/>
    <w:rsid w:val="00D35799"/>
    <w:rsid w:val="00D35D29"/>
    <w:rsid w:val="00D35D5C"/>
    <w:rsid w:val="00D35E12"/>
    <w:rsid w:val="00D36204"/>
    <w:rsid w:val="00D3684F"/>
    <w:rsid w:val="00D370E3"/>
    <w:rsid w:val="00D3747D"/>
    <w:rsid w:val="00D37887"/>
    <w:rsid w:val="00D406A0"/>
    <w:rsid w:val="00D406AE"/>
    <w:rsid w:val="00D41010"/>
    <w:rsid w:val="00D417B9"/>
    <w:rsid w:val="00D41B28"/>
    <w:rsid w:val="00D41CEF"/>
    <w:rsid w:val="00D424EC"/>
    <w:rsid w:val="00D42D4A"/>
    <w:rsid w:val="00D43FFC"/>
    <w:rsid w:val="00D441D1"/>
    <w:rsid w:val="00D441D6"/>
    <w:rsid w:val="00D452CA"/>
    <w:rsid w:val="00D454C9"/>
    <w:rsid w:val="00D45715"/>
    <w:rsid w:val="00D479D3"/>
    <w:rsid w:val="00D50155"/>
    <w:rsid w:val="00D5101A"/>
    <w:rsid w:val="00D51817"/>
    <w:rsid w:val="00D52224"/>
    <w:rsid w:val="00D529FA"/>
    <w:rsid w:val="00D52DA0"/>
    <w:rsid w:val="00D53908"/>
    <w:rsid w:val="00D541BC"/>
    <w:rsid w:val="00D544FE"/>
    <w:rsid w:val="00D5463A"/>
    <w:rsid w:val="00D54E1F"/>
    <w:rsid w:val="00D55024"/>
    <w:rsid w:val="00D55AE7"/>
    <w:rsid w:val="00D561CB"/>
    <w:rsid w:val="00D567A0"/>
    <w:rsid w:val="00D56E60"/>
    <w:rsid w:val="00D5716F"/>
    <w:rsid w:val="00D57A02"/>
    <w:rsid w:val="00D57A73"/>
    <w:rsid w:val="00D60964"/>
    <w:rsid w:val="00D60D22"/>
    <w:rsid w:val="00D618CF"/>
    <w:rsid w:val="00D61A1B"/>
    <w:rsid w:val="00D61D53"/>
    <w:rsid w:val="00D6260B"/>
    <w:rsid w:val="00D63086"/>
    <w:rsid w:val="00D63410"/>
    <w:rsid w:val="00D64106"/>
    <w:rsid w:val="00D646C4"/>
    <w:rsid w:val="00D64858"/>
    <w:rsid w:val="00D64B7C"/>
    <w:rsid w:val="00D6543A"/>
    <w:rsid w:val="00D662D3"/>
    <w:rsid w:val="00D66694"/>
    <w:rsid w:val="00D66AB1"/>
    <w:rsid w:val="00D66D40"/>
    <w:rsid w:val="00D672B4"/>
    <w:rsid w:val="00D67875"/>
    <w:rsid w:val="00D7050B"/>
    <w:rsid w:val="00D70AD2"/>
    <w:rsid w:val="00D712E8"/>
    <w:rsid w:val="00D71EA7"/>
    <w:rsid w:val="00D72845"/>
    <w:rsid w:val="00D72B83"/>
    <w:rsid w:val="00D72E42"/>
    <w:rsid w:val="00D732DE"/>
    <w:rsid w:val="00D73AD9"/>
    <w:rsid w:val="00D73CDD"/>
    <w:rsid w:val="00D73D96"/>
    <w:rsid w:val="00D741D9"/>
    <w:rsid w:val="00D74542"/>
    <w:rsid w:val="00D745AF"/>
    <w:rsid w:val="00D754E0"/>
    <w:rsid w:val="00D768C8"/>
    <w:rsid w:val="00D77204"/>
    <w:rsid w:val="00D77E55"/>
    <w:rsid w:val="00D805F6"/>
    <w:rsid w:val="00D80FDD"/>
    <w:rsid w:val="00D81BD3"/>
    <w:rsid w:val="00D81FC6"/>
    <w:rsid w:val="00D82203"/>
    <w:rsid w:val="00D823D7"/>
    <w:rsid w:val="00D829FF"/>
    <w:rsid w:val="00D82D5E"/>
    <w:rsid w:val="00D83F9E"/>
    <w:rsid w:val="00D841EE"/>
    <w:rsid w:val="00D8431C"/>
    <w:rsid w:val="00D85468"/>
    <w:rsid w:val="00D85504"/>
    <w:rsid w:val="00D855F6"/>
    <w:rsid w:val="00D85FB8"/>
    <w:rsid w:val="00D864A1"/>
    <w:rsid w:val="00D86D72"/>
    <w:rsid w:val="00D87C1F"/>
    <w:rsid w:val="00D90473"/>
    <w:rsid w:val="00D90741"/>
    <w:rsid w:val="00D90C1A"/>
    <w:rsid w:val="00D91ED1"/>
    <w:rsid w:val="00D920C9"/>
    <w:rsid w:val="00D93D8C"/>
    <w:rsid w:val="00D94678"/>
    <w:rsid w:val="00D95152"/>
    <w:rsid w:val="00D95605"/>
    <w:rsid w:val="00D95A52"/>
    <w:rsid w:val="00D95AF2"/>
    <w:rsid w:val="00D95E67"/>
    <w:rsid w:val="00D9659C"/>
    <w:rsid w:val="00D971B6"/>
    <w:rsid w:val="00D97B43"/>
    <w:rsid w:val="00D97EC5"/>
    <w:rsid w:val="00DA05D6"/>
    <w:rsid w:val="00DA0A9A"/>
    <w:rsid w:val="00DA0DFA"/>
    <w:rsid w:val="00DA10CF"/>
    <w:rsid w:val="00DA15E5"/>
    <w:rsid w:val="00DA2832"/>
    <w:rsid w:val="00DA3497"/>
    <w:rsid w:val="00DA34BF"/>
    <w:rsid w:val="00DA3D29"/>
    <w:rsid w:val="00DA3D98"/>
    <w:rsid w:val="00DA3E9A"/>
    <w:rsid w:val="00DA4027"/>
    <w:rsid w:val="00DA4431"/>
    <w:rsid w:val="00DA4A5E"/>
    <w:rsid w:val="00DA57DE"/>
    <w:rsid w:val="00DA5A0E"/>
    <w:rsid w:val="00DA5B85"/>
    <w:rsid w:val="00DA5D73"/>
    <w:rsid w:val="00DA5F8E"/>
    <w:rsid w:val="00DA657C"/>
    <w:rsid w:val="00DA7A4A"/>
    <w:rsid w:val="00DB141E"/>
    <w:rsid w:val="00DB17CB"/>
    <w:rsid w:val="00DB2CC9"/>
    <w:rsid w:val="00DB30C6"/>
    <w:rsid w:val="00DB3F41"/>
    <w:rsid w:val="00DB42B6"/>
    <w:rsid w:val="00DB4EB4"/>
    <w:rsid w:val="00DB4EC9"/>
    <w:rsid w:val="00DB6108"/>
    <w:rsid w:val="00DB633E"/>
    <w:rsid w:val="00DB686E"/>
    <w:rsid w:val="00DC0076"/>
    <w:rsid w:val="00DC01F6"/>
    <w:rsid w:val="00DC042B"/>
    <w:rsid w:val="00DC1200"/>
    <w:rsid w:val="00DC12CA"/>
    <w:rsid w:val="00DC1309"/>
    <w:rsid w:val="00DC1357"/>
    <w:rsid w:val="00DC14EF"/>
    <w:rsid w:val="00DC235A"/>
    <w:rsid w:val="00DC2EF8"/>
    <w:rsid w:val="00DC4333"/>
    <w:rsid w:val="00DC4DB9"/>
    <w:rsid w:val="00DC522B"/>
    <w:rsid w:val="00DC5AD1"/>
    <w:rsid w:val="00DC5DEC"/>
    <w:rsid w:val="00DC6211"/>
    <w:rsid w:val="00DC6365"/>
    <w:rsid w:val="00DC68F7"/>
    <w:rsid w:val="00DC714F"/>
    <w:rsid w:val="00DC7234"/>
    <w:rsid w:val="00DC7422"/>
    <w:rsid w:val="00DC782E"/>
    <w:rsid w:val="00DC787B"/>
    <w:rsid w:val="00DD04E3"/>
    <w:rsid w:val="00DD0DC8"/>
    <w:rsid w:val="00DD1D3C"/>
    <w:rsid w:val="00DD1FC1"/>
    <w:rsid w:val="00DD305E"/>
    <w:rsid w:val="00DD33A6"/>
    <w:rsid w:val="00DD34C5"/>
    <w:rsid w:val="00DD387E"/>
    <w:rsid w:val="00DD3CC5"/>
    <w:rsid w:val="00DD44DC"/>
    <w:rsid w:val="00DD473D"/>
    <w:rsid w:val="00DD4773"/>
    <w:rsid w:val="00DD4805"/>
    <w:rsid w:val="00DD49BC"/>
    <w:rsid w:val="00DD4CBB"/>
    <w:rsid w:val="00DD5234"/>
    <w:rsid w:val="00DD55A9"/>
    <w:rsid w:val="00DD5A7F"/>
    <w:rsid w:val="00DD61A1"/>
    <w:rsid w:val="00DD6E59"/>
    <w:rsid w:val="00DD7167"/>
    <w:rsid w:val="00DD784A"/>
    <w:rsid w:val="00DE04B3"/>
    <w:rsid w:val="00DE0FC1"/>
    <w:rsid w:val="00DE0FD9"/>
    <w:rsid w:val="00DE14E6"/>
    <w:rsid w:val="00DE2F3F"/>
    <w:rsid w:val="00DE30FA"/>
    <w:rsid w:val="00DE3773"/>
    <w:rsid w:val="00DE38AA"/>
    <w:rsid w:val="00DE3F17"/>
    <w:rsid w:val="00DE414D"/>
    <w:rsid w:val="00DE4742"/>
    <w:rsid w:val="00DE4A9A"/>
    <w:rsid w:val="00DE5235"/>
    <w:rsid w:val="00DE538C"/>
    <w:rsid w:val="00DE599C"/>
    <w:rsid w:val="00DE5B86"/>
    <w:rsid w:val="00DE5EBA"/>
    <w:rsid w:val="00DE607D"/>
    <w:rsid w:val="00DE690B"/>
    <w:rsid w:val="00DE73FA"/>
    <w:rsid w:val="00DE7BB0"/>
    <w:rsid w:val="00DF18E9"/>
    <w:rsid w:val="00DF21EE"/>
    <w:rsid w:val="00DF2670"/>
    <w:rsid w:val="00DF26F3"/>
    <w:rsid w:val="00DF2C3E"/>
    <w:rsid w:val="00DF3C68"/>
    <w:rsid w:val="00DF3DDE"/>
    <w:rsid w:val="00DF50AE"/>
    <w:rsid w:val="00DF531E"/>
    <w:rsid w:val="00DF5E2C"/>
    <w:rsid w:val="00DF5E50"/>
    <w:rsid w:val="00DF6216"/>
    <w:rsid w:val="00DF675A"/>
    <w:rsid w:val="00DF6D4D"/>
    <w:rsid w:val="00DF6DFD"/>
    <w:rsid w:val="00DF6F07"/>
    <w:rsid w:val="00DF7B20"/>
    <w:rsid w:val="00E016C9"/>
    <w:rsid w:val="00E02417"/>
    <w:rsid w:val="00E02C9D"/>
    <w:rsid w:val="00E037D9"/>
    <w:rsid w:val="00E03DB6"/>
    <w:rsid w:val="00E0484F"/>
    <w:rsid w:val="00E04CAE"/>
    <w:rsid w:val="00E05963"/>
    <w:rsid w:val="00E05EDC"/>
    <w:rsid w:val="00E0675A"/>
    <w:rsid w:val="00E068D5"/>
    <w:rsid w:val="00E07913"/>
    <w:rsid w:val="00E10879"/>
    <w:rsid w:val="00E10AA4"/>
    <w:rsid w:val="00E11017"/>
    <w:rsid w:val="00E11C7E"/>
    <w:rsid w:val="00E12261"/>
    <w:rsid w:val="00E1279F"/>
    <w:rsid w:val="00E1282C"/>
    <w:rsid w:val="00E13014"/>
    <w:rsid w:val="00E13448"/>
    <w:rsid w:val="00E1406B"/>
    <w:rsid w:val="00E14B33"/>
    <w:rsid w:val="00E14DAD"/>
    <w:rsid w:val="00E153A3"/>
    <w:rsid w:val="00E154F9"/>
    <w:rsid w:val="00E15DA4"/>
    <w:rsid w:val="00E16005"/>
    <w:rsid w:val="00E16C81"/>
    <w:rsid w:val="00E16E18"/>
    <w:rsid w:val="00E172D0"/>
    <w:rsid w:val="00E174D8"/>
    <w:rsid w:val="00E17B66"/>
    <w:rsid w:val="00E17FC2"/>
    <w:rsid w:val="00E203E4"/>
    <w:rsid w:val="00E205F5"/>
    <w:rsid w:val="00E20713"/>
    <w:rsid w:val="00E209E4"/>
    <w:rsid w:val="00E211E8"/>
    <w:rsid w:val="00E22234"/>
    <w:rsid w:val="00E2236F"/>
    <w:rsid w:val="00E22BE6"/>
    <w:rsid w:val="00E22CFB"/>
    <w:rsid w:val="00E230A9"/>
    <w:rsid w:val="00E2331D"/>
    <w:rsid w:val="00E24719"/>
    <w:rsid w:val="00E24F06"/>
    <w:rsid w:val="00E25068"/>
    <w:rsid w:val="00E250BE"/>
    <w:rsid w:val="00E251BF"/>
    <w:rsid w:val="00E2558E"/>
    <w:rsid w:val="00E257B1"/>
    <w:rsid w:val="00E25AA3"/>
    <w:rsid w:val="00E261DF"/>
    <w:rsid w:val="00E26E9E"/>
    <w:rsid w:val="00E26F3F"/>
    <w:rsid w:val="00E2714E"/>
    <w:rsid w:val="00E27CED"/>
    <w:rsid w:val="00E30A94"/>
    <w:rsid w:val="00E30B69"/>
    <w:rsid w:val="00E30DB3"/>
    <w:rsid w:val="00E30F85"/>
    <w:rsid w:val="00E31778"/>
    <w:rsid w:val="00E326A6"/>
    <w:rsid w:val="00E32EE7"/>
    <w:rsid w:val="00E33339"/>
    <w:rsid w:val="00E3349F"/>
    <w:rsid w:val="00E33975"/>
    <w:rsid w:val="00E33A07"/>
    <w:rsid w:val="00E34CE5"/>
    <w:rsid w:val="00E351F9"/>
    <w:rsid w:val="00E352BD"/>
    <w:rsid w:val="00E35D84"/>
    <w:rsid w:val="00E35E92"/>
    <w:rsid w:val="00E35FB2"/>
    <w:rsid w:val="00E375DE"/>
    <w:rsid w:val="00E3793B"/>
    <w:rsid w:val="00E37D87"/>
    <w:rsid w:val="00E37E51"/>
    <w:rsid w:val="00E4081A"/>
    <w:rsid w:val="00E41F00"/>
    <w:rsid w:val="00E423A6"/>
    <w:rsid w:val="00E42648"/>
    <w:rsid w:val="00E44F10"/>
    <w:rsid w:val="00E4529F"/>
    <w:rsid w:val="00E45615"/>
    <w:rsid w:val="00E456DE"/>
    <w:rsid w:val="00E46254"/>
    <w:rsid w:val="00E46769"/>
    <w:rsid w:val="00E46E06"/>
    <w:rsid w:val="00E46E98"/>
    <w:rsid w:val="00E470CD"/>
    <w:rsid w:val="00E47337"/>
    <w:rsid w:val="00E47495"/>
    <w:rsid w:val="00E4761E"/>
    <w:rsid w:val="00E47D5E"/>
    <w:rsid w:val="00E50223"/>
    <w:rsid w:val="00E5084B"/>
    <w:rsid w:val="00E51071"/>
    <w:rsid w:val="00E516EC"/>
    <w:rsid w:val="00E51A26"/>
    <w:rsid w:val="00E51F28"/>
    <w:rsid w:val="00E521E8"/>
    <w:rsid w:val="00E523B0"/>
    <w:rsid w:val="00E532EC"/>
    <w:rsid w:val="00E53BFA"/>
    <w:rsid w:val="00E545CA"/>
    <w:rsid w:val="00E54E85"/>
    <w:rsid w:val="00E55AE4"/>
    <w:rsid w:val="00E5775A"/>
    <w:rsid w:val="00E57DB6"/>
    <w:rsid w:val="00E602BD"/>
    <w:rsid w:val="00E60B6A"/>
    <w:rsid w:val="00E60F6D"/>
    <w:rsid w:val="00E60F97"/>
    <w:rsid w:val="00E61164"/>
    <w:rsid w:val="00E61363"/>
    <w:rsid w:val="00E61A9B"/>
    <w:rsid w:val="00E61E41"/>
    <w:rsid w:val="00E61FCE"/>
    <w:rsid w:val="00E628D9"/>
    <w:rsid w:val="00E62BA5"/>
    <w:rsid w:val="00E63614"/>
    <w:rsid w:val="00E63815"/>
    <w:rsid w:val="00E64510"/>
    <w:rsid w:val="00E64952"/>
    <w:rsid w:val="00E652C7"/>
    <w:rsid w:val="00E65982"/>
    <w:rsid w:val="00E65DA1"/>
    <w:rsid w:val="00E663A7"/>
    <w:rsid w:val="00E668E3"/>
    <w:rsid w:val="00E66F24"/>
    <w:rsid w:val="00E678B1"/>
    <w:rsid w:val="00E7109D"/>
    <w:rsid w:val="00E711B0"/>
    <w:rsid w:val="00E71222"/>
    <w:rsid w:val="00E712E7"/>
    <w:rsid w:val="00E71C3A"/>
    <w:rsid w:val="00E71F41"/>
    <w:rsid w:val="00E723C7"/>
    <w:rsid w:val="00E7240E"/>
    <w:rsid w:val="00E72771"/>
    <w:rsid w:val="00E73C81"/>
    <w:rsid w:val="00E75916"/>
    <w:rsid w:val="00E75BF1"/>
    <w:rsid w:val="00E762D9"/>
    <w:rsid w:val="00E763D5"/>
    <w:rsid w:val="00E77889"/>
    <w:rsid w:val="00E808A6"/>
    <w:rsid w:val="00E80D16"/>
    <w:rsid w:val="00E80D3C"/>
    <w:rsid w:val="00E81239"/>
    <w:rsid w:val="00E81B22"/>
    <w:rsid w:val="00E81F3C"/>
    <w:rsid w:val="00E82351"/>
    <w:rsid w:val="00E82D58"/>
    <w:rsid w:val="00E830E8"/>
    <w:rsid w:val="00E84650"/>
    <w:rsid w:val="00E84E23"/>
    <w:rsid w:val="00E85558"/>
    <w:rsid w:val="00E874F8"/>
    <w:rsid w:val="00E874FC"/>
    <w:rsid w:val="00E87CB6"/>
    <w:rsid w:val="00E87FE9"/>
    <w:rsid w:val="00E87FF9"/>
    <w:rsid w:val="00E904FF"/>
    <w:rsid w:val="00E90ACB"/>
    <w:rsid w:val="00E90AD6"/>
    <w:rsid w:val="00E90EC2"/>
    <w:rsid w:val="00E90ED6"/>
    <w:rsid w:val="00E916DD"/>
    <w:rsid w:val="00E91A72"/>
    <w:rsid w:val="00E931D0"/>
    <w:rsid w:val="00E9328D"/>
    <w:rsid w:val="00E93309"/>
    <w:rsid w:val="00E9360E"/>
    <w:rsid w:val="00E94223"/>
    <w:rsid w:val="00E9458A"/>
    <w:rsid w:val="00E94E88"/>
    <w:rsid w:val="00E95B51"/>
    <w:rsid w:val="00E9636B"/>
    <w:rsid w:val="00E9663B"/>
    <w:rsid w:val="00E96741"/>
    <w:rsid w:val="00E968C0"/>
    <w:rsid w:val="00E9724C"/>
    <w:rsid w:val="00E972CE"/>
    <w:rsid w:val="00E97532"/>
    <w:rsid w:val="00E9754C"/>
    <w:rsid w:val="00EA0A26"/>
    <w:rsid w:val="00EA2525"/>
    <w:rsid w:val="00EA2A97"/>
    <w:rsid w:val="00EA2D53"/>
    <w:rsid w:val="00EA320A"/>
    <w:rsid w:val="00EA4C94"/>
    <w:rsid w:val="00EA4E70"/>
    <w:rsid w:val="00EA505E"/>
    <w:rsid w:val="00EA5099"/>
    <w:rsid w:val="00EA636C"/>
    <w:rsid w:val="00EA6497"/>
    <w:rsid w:val="00EA790F"/>
    <w:rsid w:val="00EB0305"/>
    <w:rsid w:val="00EB0878"/>
    <w:rsid w:val="00EB1023"/>
    <w:rsid w:val="00EB10AD"/>
    <w:rsid w:val="00EB14B4"/>
    <w:rsid w:val="00EB18C3"/>
    <w:rsid w:val="00EB2AD9"/>
    <w:rsid w:val="00EB2E6E"/>
    <w:rsid w:val="00EB3203"/>
    <w:rsid w:val="00EB3AAE"/>
    <w:rsid w:val="00EB3BC6"/>
    <w:rsid w:val="00EB4965"/>
    <w:rsid w:val="00EB4C99"/>
    <w:rsid w:val="00EB55D0"/>
    <w:rsid w:val="00EB5B0F"/>
    <w:rsid w:val="00EB62AA"/>
    <w:rsid w:val="00EB6A44"/>
    <w:rsid w:val="00EB6A96"/>
    <w:rsid w:val="00EB6DD4"/>
    <w:rsid w:val="00EB729A"/>
    <w:rsid w:val="00EB77E2"/>
    <w:rsid w:val="00EB78C1"/>
    <w:rsid w:val="00EB78D5"/>
    <w:rsid w:val="00EB7C44"/>
    <w:rsid w:val="00EC0042"/>
    <w:rsid w:val="00EC0856"/>
    <w:rsid w:val="00EC09BA"/>
    <w:rsid w:val="00EC12A2"/>
    <w:rsid w:val="00EC1D79"/>
    <w:rsid w:val="00EC22F5"/>
    <w:rsid w:val="00EC24C7"/>
    <w:rsid w:val="00EC390E"/>
    <w:rsid w:val="00EC4A52"/>
    <w:rsid w:val="00EC58DA"/>
    <w:rsid w:val="00EC5D89"/>
    <w:rsid w:val="00EC6B8C"/>
    <w:rsid w:val="00EC6F5D"/>
    <w:rsid w:val="00ED0395"/>
    <w:rsid w:val="00ED0ECF"/>
    <w:rsid w:val="00ED1702"/>
    <w:rsid w:val="00ED193B"/>
    <w:rsid w:val="00ED1EC8"/>
    <w:rsid w:val="00ED27C5"/>
    <w:rsid w:val="00ED30DC"/>
    <w:rsid w:val="00ED339A"/>
    <w:rsid w:val="00ED355D"/>
    <w:rsid w:val="00ED37AC"/>
    <w:rsid w:val="00ED3A01"/>
    <w:rsid w:val="00ED4895"/>
    <w:rsid w:val="00ED48A3"/>
    <w:rsid w:val="00ED547B"/>
    <w:rsid w:val="00ED5542"/>
    <w:rsid w:val="00ED55ED"/>
    <w:rsid w:val="00ED5648"/>
    <w:rsid w:val="00ED5945"/>
    <w:rsid w:val="00ED6722"/>
    <w:rsid w:val="00ED6D19"/>
    <w:rsid w:val="00ED6F10"/>
    <w:rsid w:val="00ED6FC4"/>
    <w:rsid w:val="00ED7719"/>
    <w:rsid w:val="00ED7D87"/>
    <w:rsid w:val="00EE05B9"/>
    <w:rsid w:val="00EE1234"/>
    <w:rsid w:val="00EE188E"/>
    <w:rsid w:val="00EE332B"/>
    <w:rsid w:val="00EE3D6B"/>
    <w:rsid w:val="00EE4239"/>
    <w:rsid w:val="00EE4D89"/>
    <w:rsid w:val="00EE599B"/>
    <w:rsid w:val="00EE5C29"/>
    <w:rsid w:val="00EE7514"/>
    <w:rsid w:val="00EF0C07"/>
    <w:rsid w:val="00EF0EEE"/>
    <w:rsid w:val="00EF181E"/>
    <w:rsid w:val="00EF1CC6"/>
    <w:rsid w:val="00EF26B0"/>
    <w:rsid w:val="00EF28FC"/>
    <w:rsid w:val="00EF2C62"/>
    <w:rsid w:val="00EF3122"/>
    <w:rsid w:val="00EF325F"/>
    <w:rsid w:val="00EF3747"/>
    <w:rsid w:val="00EF40B8"/>
    <w:rsid w:val="00EF4C64"/>
    <w:rsid w:val="00EF5313"/>
    <w:rsid w:val="00EF5F10"/>
    <w:rsid w:val="00EF5F9B"/>
    <w:rsid w:val="00F0016A"/>
    <w:rsid w:val="00F0032A"/>
    <w:rsid w:val="00F0042A"/>
    <w:rsid w:val="00F01612"/>
    <w:rsid w:val="00F026A6"/>
    <w:rsid w:val="00F02C6D"/>
    <w:rsid w:val="00F02E1E"/>
    <w:rsid w:val="00F0371C"/>
    <w:rsid w:val="00F04697"/>
    <w:rsid w:val="00F04EE7"/>
    <w:rsid w:val="00F052AE"/>
    <w:rsid w:val="00F05B88"/>
    <w:rsid w:val="00F064F6"/>
    <w:rsid w:val="00F066AF"/>
    <w:rsid w:val="00F069C8"/>
    <w:rsid w:val="00F07ACA"/>
    <w:rsid w:val="00F07E44"/>
    <w:rsid w:val="00F10CD0"/>
    <w:rsid w:val="00F12241"/>
    <w:rsid w:val="00F135A0"/>
    <w:rsid w:val="00F15444"/>
    <w:rsid w:val="00F155F8"/>
    <w:rsid w:val="00F15A63"/>
    <w:rsid w:val="00F16277"/>
    <w:rsid w:val="00F17098"/>
    <w:rsid w:val="00F17199"/>
    <w:rsid w:val="00F175BE"/>
    <w:rsid w:val="00F17857"/>
    <w:rsid w:val="00F17E79"/>
    <w:rsid w:val="00F17F73"/>
    <w:rsid w:val="00F20096"/>
    <w:rsid w:val="00F20772"/>
    <w:rsid w:val="00F21CE6"/>
    <w:rsid w:val="00F220BF"/>
    <w:rsid w:val="00F22A6D"/>
    <w:rsid w:val="00F22F88"/>
    <w:rsid w:val="00F2357A"/>
    <w:rsid w:val="00F235C7"/>
    <w:rsid w:val="00F23A16"/>
    <w:rsid w:val="00F2408A"/>
    <w:rsid w:val="00F244D7"/>
    <w:rsid w:val="00F245C1"/>
    <w:rsid w:val="00F24672"/>
    <w:rsid w:val="00F24757"/>
    <w:rsid w:val="00F248FA"/>
    <w:rsid w:val="00F24C59"/>
    <w:rsid w:val="00F25BC5"/>
    <w:rsid w:val="00F26035"/>
    <w:rsid w:val="00F26CBB"/>
    <w:rsid w:val="00F27449"/>
    <w:rsid w:val="00F27659"/>
    <w:rsid w:val="00F30968"/>
    <w:rsid w:val="00F30CB5"/>
    <w:rsid w:val="00F31233"/>
    <w:rsid w:val="00F31846"/>
    <w:rsid w:val="00F32727"/>
    <w:rsid w:val="00F32882"/>
    <w:rsid w:val="00F32A3C"/>
    <w:rsid w:val="00F330B9"/>
    <w:rsid w:val="00F33620"/>
    <w:rsid w:val="00F33E36"/>
    <w:rsid w:val="00F33FA5"/>
    <w:rsid w:val="00F35065"/>
    <w:rsid w:val="00F35E18"/>
    <w:rsid w:val="00F369E8"/>
    <w:rsid w:val="00F36B2F"/>
    <w:rsid w:val="00F36BC1"/>
    <w:rsid w:val="00F379D1"/>
    <w:rsid w:val="00F37C0E"/>
    <w:rsid w:val="00F40E1A"/>
    <w:rsid w:val="00F41397"/>
    <w:rsid w:val="00F41552"/>
    <w:rsid w:val="00F4184D"/>
    <w:rsid w:val="00F41DAD"/>
    <w:rsid w:val="00F428A6"/>
    <w:rsid w:val="00F42918"/>
    <w:rsid w:val="00F42C14"/>
    <w:rsid w:val="00F42C42"/>
    <w:rsid w:val="00F42F4F"/>
    <w:rsid w:val="00F43737"/>
    <w:rsid w:val="00F43893"/>
    <w:rsid w:val="00F43998"/>
    <w:rsid w:val="00F44324"/>
    <w:rsid w:val="00F4468C"/>
    <w:rsid w:val="00F44B66"/>
    <w:rsid w:val="00F46DE3"/>
    <w:rsid w:val="00F46F04"/>
    <w:rsid w:val="00F479D4"/>
    <w:rsid w:val="00F506A4"/>
    <w:rsid w:val="00F50CBE"/>
    <w:rsid w:val="00F5121A"/>
    <w:rsid w:val="00F51740"/>
    <w:rsid w:val="00F519FF"/>
    <w:rsid w:val="00F51A89"/>
    <w:rsid w:val="00F51A8F"/>
    <w:rsid w:val="00F51D55"/>
    <w:rsid w:val="00F521BC"/>
    <w:rsid w:val="00F52399"/>
    <w:rsid w:val="00F526C2"/>
    <w:rsid w:val="00F534E1"/>
    <w:rsid w:val="00F543A9"/>
    <w:rsid w:val="00F54ED2"/>
    <w:rsid w:val="00F556EC"/>
    <w:rsid w:val="00F56201"/>
    <w:rsid w:val="00F56785"/>
    <w:rsid w:val="00F571BE"/>
    <w:rsid w:val="00F57490"/>
    <w:rsid w:val="00F57A57"/>
    <w:rsid w:val="00F60A4D"/>
    <w:rsid w:val="00F60B93"/>
    <w:rsid w:val="00F61035"/>
    <w:rsid w:val="00F6171E"/>
    <w:rsid w:val="00F648C4"/>
    <w:rsid w:val="00F64B0D"/>
    <w:rsid w:val="00F64C6B"/>
    <w:rsid w:val="00F64E45"/>
    <w:rsid w:val="00F65897"/>
    <w:rsid w:val="00F6599F"/>
    <w:rsid w:val="00F65CE4"/>
    <w:rsid w:val="00F6665E"/>
    <w:rsid w:val="00F668AE"/>
    <w:rsid w:val="00F673DA"/>
    <w:rsid w:val="00F675CD"/>
    <w:rsid w:val="00F678EA"/>
    <w:rsid w:val="00F70123"/>
    <w:rsid w:val="00F707C4"/>
    <w:rsid w:val="00F70DDD"/>
    <w:rsid w:val="00F70DE3"/>
    <w:rsid w:val="00F716EB"/>
    <w:rsid w:val="00F7182C"/>
    <w:rsid w:val="00F720AD"/>
    <w:rsid w:val="00F7278D"/>
    <w:rsid w:val="00F72D1B"/>
    <w:rsid w:val="00F730DA"/>
    <w:rsid w:val="00F7377D"/>
    <w:rsid w:val="00F73E27"/>
    <w:rsid w:val="00F741F8"/>
    <w:rsid w:val="00F74B97"/>
    <w:rsid w:val="00F74E2B"/>
    <w:rsid w:val="00F753C9"/>
    <w:rsid w:val="00F755BE"/>
    <w:rsid w:val="00F7569E"/>
    <w:rsid w:val="00F764C4"/>
    <w:rsid w:val="00F76B9F"/>
    <w:rsid w:val="00F77D57"/>
    <w:rsid w:val="00F802E8"/>
    <w:rsid w:val="00F80616"/>
    <w:rsid w:val="00F8078D"/>
    <w:rsid w:val="00F808A7"/>
    <w:rsid w:val="00F81152"/>
    <w:rsid w:val="00F81976"/>
    <w:rsid w:val="00F82494"/>
    <w:rsid w:val="00F8254F"/>
    <w:rsid w:val="00F82D34"/>
    <w:rsid w:val="00F82E57"/>
    <w:rsid w:val="00F83A28"/>
    <w:rsid w:val="00F83BD4"/>
    <w:rsid w:val="00F83CA3"/>
    <w:rsid w:val="00F8518C"/>
    <w:rsid w:val="00F851E8"/>
    <w:rsid w:val="00F85209"/>
    <w:rsid w:val="00F85F7F"/>
    <w:rsid w:val="00F8641E"/>
    <w:rsid w:val="00F86945"/>
    <w:rsid w:val="00F87071"/>
    <w:rsid w:val="00F90A49"/>
    <w:rsid w:val="00F90E68"/>
    <w:rsid w:val="00F92F85"/>
    <w:rsid w:val="00F931AB"/>
    <w:rsid w:val="00F958C1"/>
    <w:rsid w:val="00F95FAB"/>
    <w:rsid w:val="00F96527"/>
    <w:rsid w:val="00F9657B"/>
    <w:rsid w:val="00F96CFC"/>
    <w:rsid w:val="00F96D79"/>
    <w:rsid w:val="00FA0BCD"/>
    <w:rsid w:val="00FA0EE4"/>
    <w:rsid w:val="00FA131A"/>
    <w:rsid w:val="00FA19C4"/>
    <w:rsid w:val="00FA1AC2"/>
    <w:rsid w:val="00FA1D7C"/>
    <w:rsid w:val="00FA1F91"/>
    <w:rsid w:val="00FA2345"/>
    <w:rsid w:val="00FA2F04"/>
    <w:rsid w:val="00FA34F6"/>
    <w:rsid w:val="00FA3A1E"/>
    <w:rsid w:val="00FA3AF1"/>
    <w:rsid w:val="00FA3C48"/>
    <w:rsid w:val="00FA4431"/>
    <w:rsid w:val="00FA48F7"/>
    <w:rsid w:val="00FA4DAE"/>
    <w:rsid w:val="00FA5737"/>
    <w:rsid w:val="00FA5962"/>
    <w:rsid w:val="00FA5DA1"/>
    <w:rsid w:val="00FA698F"/>
    <w:rsid w:val="00FA701D"/>
    <w:rsid w:val="00FA704B"/>
    <w:rsid w:val="00FA7515"/>
    <w:rsid w:val="00FA779E"/>
    <w:rsid w:val="00FB010F"/>
    <w:rsid w:val="00FB03A8"/>
    <w:rsid w:val="00FB0D24"/>
    <w:rsid w:val="00FB1314"/>
    <w:rsid w:val="00FB15E1"/>
    <w:rsid w:val="00FB1F15"/>
    <w:rsid w:val="00FB1FB0"/>
    <w:rsid w:val="00FB279D"/>
    <w:rsid w:val="00FB2C11"/>
    <w:rsid w:val="00FB3253"/>
    <w:rsid w:val="00FB3A50"/>
    <w:rsid w:val="00FB40CD"/>
    <w:rsid w:val="00FB4526"/>
    <w:rsid w:val="00FB452C"/>
    <w:rsid w:val="00FB4707"/>
    <w:rsid w:val="00FB472B"/>
    <w:rsid w:val="00FB5BAA"/>
    <w:rsid w:val="00FB5FD4"/>
    <w:rsid w:val="00FB62C5"/>
    <w:rsid w:val="00FB640D"/>
    <w:rsid w:val="00FB65F8"/>
    <w:rsid w:val="00FB6653"/>
    <w:rsid w:val="00FB6677"/>
    <w:rsid w:val="00FB6E3D"/>
    <w:rsid w:val="00FB6E70"/>
    <w:rsid w:val="00FB73FF"/>
    <w:rsid w:val="00FB7BF8"/>
    <w:rsid w:val="00FB7D8E"/>
    <w:rsid w:val="00FC005D"/>
    <w:rsid w:val="00FC00E1"/>
    <w:rsid w:val="00FC052C"/>
    <w:rsid w:val="00FC0B83"/>
    <w:rsid w:val="00FC195D"/>
    <w:rsid w:val="00FC1A19"/>
    <w:rsid w:val="00FC24D1"/>
    <w:rsid w:val="00FC31F5"/>
    <w:rsid w:val="00FC358F"/>
    <w:rsid w:val="00FC3EDF"/>
    <w:rsid w:val="00FC3FB6"/>
    <w:rsid w:val="00FC452C"/>
    <w:rsid w:val="00FC4943"/>
    <w:rsid w:val="00FC51A5"/>
    <w:rsid w:val="00FC627C"/>
    <w:rsid w:val="00FC647F"/>
    <w:rsid w:val="00FC66D9"/>
    <w:rsid w:val="00FC68FF"/>
    <w:rsid w:val="00FD080F"/>
    <w:rsid w:val="00FD0EE8"/>
    <w:rsid w:val="00FD0FDE"/>
    <w:rsid w:val="00FD1141"/>
    <w:rsid w:val="00FD118F"/>
    <w:rsid w:val="00FD1208"/>
    <w:rsid w:val="00FD14AF"/>
    <w:rsid w:val="00FD2FCC"/>
    <w:rsid w:val="00FD326A"/>
    <w:rsid w:val="00FD3348"/>
    <w:rsid w:val="00FD369E"/>
    <w:rsid w:val="00FD414F"/>
    <w:rsid w:val="00FD49E7"/>
    <w:rsid w:val="00FD4E56"/>
    <w:rsid w:val="00FD51A5"/>
    <w:rsid w:val="00FD555D"/>
    <w:rsid w:val="00FD5D02"/>
    <w:rsid w:val="00FD6507"/>
    <w:rsid w:val="00FD745C"/>
    <w:rsid w:val="00FD7A79"/>
    <w:rsid w:val="00FD7E9F"/>
    <w:rsid w:val="00FE0C5D"/>
    <w:rsid w:val="00FE1529"/>
    <w:rsid w:val="00FE1BB0"/>
    <w:rsid w:val="00FE1C44"/>
    <w:rsid w:val="00FE2A88"/>
    <w:rsid w:val="00FE2C1E"/>
    <w:rsid w:val="00FE2CBB"/>
    <w:rsid w:val="00FE2DDA"/>
    <w:rsid w:val="00FE3171"/>
    <w:rsid w:val="00FE3797"/>
    <w:rsid w:val="00FE3CC9"/>
    <w:rsid w:val="00FE3E14"/>
    <w:rsid w:val="00FE426C"/>
    <w:rsid w:val="00FE43FE"/>
    <w:rsid w:val="00FE4F81"/>
    <w:rsid w:val="00FE5BFF"/>
    <w:rsid w:val="00FE6717"/>
    <w:rsid w:val="00FE6EB1"/>
    <w:rsid w:val="00FE719B"/>
    <w:rsid w:val="00FE720D"/>
    <w:rsid w:val="00FE726A"/>
    <w:rsid w:val="00FE758C"/>
    <w:rsid w:val="00FE75AB"/>
    <w:rsid w:val="00FF09B2"/>
    <w:rsid w:val="00FF1A3B"/>
    <w:rsid w:val="00FF22C8"/>
    <w:rsid w:val="00FF287F"/>
    <w:rsid w:val="00FF3103"/>
    <w:rsid w:val="00FF4725"/>
    <w:rsid w:val="00FF4ACD"/>
    <w:rsid w:val="00FF4BCE"/>
    <w:rsid w:val="00FF5C04"/>
    <w:rsid w:val="00FF6724"/>
    <w:rsid w:val="00FF691B"/>
    <w:rsid w:val="00FF7412"/>
    <w:rsid w:val="00FF759B"/>
    <w:rsid w:val="00FF788D"/>
    <w:rsid w:val="00FF7D81"/>
    <w:rsid w:val="00FF7E61"/>
    <w:rsid w:val="1F43651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1"/>
    </o:shapelayout>
  </w:shapeDefaults>
  <w:decimalSymbol w:val="."/>
  <w:listSeparator w:val=","/>
  <w14:docId w14:val="19082216"/>
  <w15:chartTrackingRefBased/>
  <w15:docId w15:val="{09E2FCFB-DB88-41B4-8314-0CEAEF7E5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semiHidden="1" w:uiPriority="99" w:unhideWhenUsed="1" w:qFormat="1"/>
    <w:lsdException w:name="heading 7" w:uiPriority="99" w:qFormat="1"/>
    <w:lsdException w:name="heading 8" w:semiHidden="1" w:uiPriority="99" w:unhideWhenUsed="1" w:qFormat="1"/>
    <w:lsdException w:name="heading 9" w:semiHidden="1" w:uiPriority="9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99" w:unhideWhenUsed="1" w:qFormat="1"/>
    <w:lsdException w:name="table of figures" w:uiPriority="99"/>
    <w:lsdException w:name="footnote reference" w:uiPriority="99"/>
    <w:lsdException w:name="annotation reference" w:uiPriority="99"/>
    <w:lsdException w:name="page number" w:uiPriority="99"/>
    <w:lsdException w:name="endnote reference" w:uiPriority="99"/>
    <w:lsdException w:name="endnote text" w:uiPriority="99"/>
    <w:lsdException w:name="List Bullet" w:uiPriority="99"/>
    <w:lsdException w:name="List Number" w:uiPriority="99"/>
    <w:lsdException w:name="List Bullet 2" w:uiPriority="99"/>
    <w:lsdException w:name="List Bullet 3" w:uiPriority="99"/>
    <w:lsdException w:name="List Bullet 4" w:uiPriority="99"/>
    <w:lsdException w:name="List Number 2" w:uiPriority="99"/>
    <w:lsdException w:name="Title" w:uiPriority="99" w:qFormat="1"/>
    <w:lsdException w:name="Default Paragraph Font" w:uiPriority="1"/>
    <w:lsdException w:name="Body Text" w:uiPriority="99"/>
    <w:lsdException w:name="Body Text Indent" w:uiPriority="99"/>
    <w:lsdException w:name="List Continue" w:uiPriority="99"/>
    <w:lsdException w:name="List Continue 2" w:uiPriority="99"/>
    <w:lsdException w:name="Subtitle" w:qFormat="1"/>
    <w:lsdException w:name="Date" w:uiPriority="99"/>
    <w:lsdException w:name="Body Text 2" w:uiPriority="99"/>
    <w:lsdException w:name="Body Text 3" w:uiPriority="99"/>
    <w:lsdException w:name="Hyperlink" w:uiPriority="99" w:qFormat="1"/>
    <w:lsdException w:name="FollowedHyperlink" w:uiPriority="99"/>
    <w:lsdException w:name="Strong" w:uiPriority="99"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iPriority="99"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99"/>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99"/>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61"/>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2F02"/>
    <w:pPr>
      <w:spacing w:after="240" w:line="276" w:lineRule="auto"/>
    </w:pPr>
    <w:rPr>
      <w:rFonts w:ascii="Arial" w:hAnsi="Arial"/>
      <w:sz w:val="22"/>
      <w:szCs w:val="24"/>
    </w:rPr>
  </w:style>
  <w:style w:type="paragraph" w:styleId="Heading1">
    <w:name w:val="heading 1"/>
    <w:basedOn w:val="Style1"/>
    <w:next w:val="BodyText"/>
    <w:link w:val="Heading1Char"/>
    <w:autoRedefine/>
    <w:uiPriority w:val="99"/>
    <w:qFormat/>
    <w:rsid w:val="005A4144"/>
    <w:pPr>
      <w:pageBreakBefore w:val="0"/>
      <w:numPr>
        <w:numId w:val="23"/>
      </w:numPr>
      <w:tabs>
        <w:tab w:val="clear" w:pos="720"/>
        <w:tab w:val="clear" w:pos="964"/>
      </w:tabs>
      <w:ind w:left="720" w:hanging="720"/>
    </w:pPr>
  </w:style>
  <w:style w:type="paragraph" w:styleId="Heading2">
    <w:name w:val="heading 2"/>
    <w:basedOn w:val="Style2"/>
    <w:next w:val="BodyText"/>
    <w:link w:val="Heading2Char"/>
    <w:autoRedefine/>
    <w:uiPriority w:val="99"/>
    <w:qFormat/>
    <w:rsid w:val="003D2BA6"/>
    <w:pPr>
      <w:keepNext/>
      <w:numPr>
        <w:ilvl w:val="1"/>
        <w:numId w:val="21"/>
      </w:numPr>
      <w:tabs>
        <w:tab w:val="clear" w:pos="720"/>
        <w:tab w:val="clear" w:pos="1276"/>
        <w:tab w:val="num" w:pos="1503"/>
      </w:tabs>
      <w:spacing w:before="240" w:after="240" w:line="240" w:lineRule="auto"/>
      <w:ind w:left="1503" w:hanging="360"/>
      <w:outlineLvl w:val="1"/>
    </w:pPr>
  </w:style>
  <w:style w:type="paragraph" w:styleId="Heading3">
    <w:name w:val="heading 3"/>
    <w:basedOn w:val="Style3"/>
    <w:next w:val="BodyText"/>
    <w:link w:val="Heading3Char"/>
    <w:uiPriority w:val="99"/>
    <w:qFormat/>
    <w:rsid w:val="008B7757"/>
    <w:pPr>
      <w:keepNext/>
      <w:numPr>
        <w:ilvl w:val="2"/>
        <w:numId w:val="10"/>
      </w:numPr>
      <w:spacing w:before="240"/>
      <w:outlineLvl w:val="2"/>
    </w:pPr>
  </w:style>
  <w:style w:type="paragraph" w:styleId="Heading4">
    <w:name w:val="heading 4"/>
    <w:basedOn w:val="Normal"/>
    <w:next w:val="BodyText"/>
    <w:link w:val="Heading4Char"/>
    <w:uiPriority w:val="99"/>
    <w:qFormat/>
    <w:rsid w:val="009D6DD9"/>
    <w:pPr>
      <w:numPr>
        <w:ilvl w:val="3"/>
        <w:numId w:val="10"/>
      </w:numPr>
      <w:outlineLvl w:val="3"/>
    </w:pPr>
    <w:rPr>
      <w:b/>
      <w:i/>
    </w:rPr>
  </w:style>
  <w:style w:type="paragraph" w:styleId="Heading5">
    <w:name w:val="heading 5"/>
    <w:basedOn w:val="Heading4"/>
    <w:next w:val="BodyText"/>
    <w:link w:val="Heading5Char"/>
    <w:autoRedefine/>
    <w:uiPriority w:val="99"/>
    <w:qFormat/>
    <w:rsid w:val="008B7757"/>
    <w:pPr>
      <w:keepNext/>
      <w:numPr>
        <w:ilvl w:val="4"/>
      </w:numPr>
      <w:tabs>
        <w:tab w:val="left" w:pos="8460"/>
      </w:tabs>
      <w:spacing w:before="240" w:after="120" w:line="240" w:lineRule="auto"/>
      <w:ind w:right="1179"/>
      <w:outlineLvl w:val="4"/>
    </w:pPr>
    <w:rPr>
      <w:b w:val="0"/>
      <w:bCs/>
      <w:iCs/>
      <w:szCs w:val="26"/>
    </w:rPr>
  </w:style>
  <w:style w:type="paragraph" w:styleId="Heading6">
    <w:name w:val="heading 6"/>
    <w:basedOn w:val="Normal"/>
    <w:next w:val="Normal"/>
    <w:link w:val="Heading6Char"/>
    <w:uiPriority w:val="99"/>
    <w:unhideWhenUsed/>
    <w:qFormat/>
    <w:rsid w:val="00901AB3"/>
    <w:pPr>
      <w:keepNext/>
      <w:keepLines/>
      <w:numPr>
        <w:ilvl w:val="5"/>
        <w:numId w:val="10"/>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9"/>
    <w:qFormat/>
    <w:rsid w:val="00F86945"/>
    <w:pPr>
      <w:numPr>
        <w:ilvl w:val="6"/>
        <w:numId w:val="10"/>
      </w:numPr>
      <w:spacing w:after="60" w:line="240" w:lineRule="auto"/>
      <w:outlineLvl w:val="6"/>
    </w:pPr>
  </w:style>
  <w:style w:type="paragraph" w:styleId="Heading8">
    <w:name w:val="heading 8"/>
    <w:basedOn w:val="Normal"/>
    <w:next w:val="Normal"/>
    <w:link w:val="Heading8Char"/>
    <w:uiPriority w:val="99"/>
    <w:unhideWhenUsed/>
    <w:qFormat/>
    <w:rsid w:val="00901AB3"/>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unhideWhenUsed/>
    <w:qFormat/>
    <w:rsid w:val="00901AB3"/>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next w:val="Normal"/>
    <w:autoRedefine/>
    <w:rsid w:val="00EF2C62"/>
    <w:pPr>
      <w:spacing w:after="120"/>
    </w:pPr>
    <w:rPr>
      <w:rFonts w:cs="Arial"/>
      <w:bCs/>
      <w:color w:val="000000"/>
      <w:szCs w:val="22"/>
      <w:lang w:val="en-US" w:eastAsia="en-US"/>
    </w:rPr>
  </w:style>
  <w:style w:type="paragraph" w:customStyle="1" w:styleId="ISC">
    <w:name w:val="ISC"/>
    <w:basedOn w:val="MessageHeader"/>
    <w:link w:val="ISCCharChar"/>
    <w:autoRedefine/>
    <w:rsid w:val="00B523CF"/>
    <w:pPr>
      <w:pBdr>
        <w:top w:val="none" w:sz="0" w:space="0" w:color="auto"/>
        <w:left w:val="none" w:sz="0" w:space="0" w:color="auto"/>
        <w:bottom w:val="none" w:sz="0" w:space="0" w:color="auto"/>
        <w:right w:val="none" w:sz="0" w:space="0" w:color="auto"/>
      </w:pBdr>
      <w:shd w:val="clear" w:color="auto" w:fill="auto"/>
      <w:tabs>
        <w:tab w:val="left" w:pos="14580"/>
      </w:tabs>
      <w:spacing w:after="120"/>
      <w:ind w:right="456"/>
      <w:outlineLvl w:val="0"/>
    </w:pPr>
    <w:rPr>
      <w:b/>
      <w:bCs/>
      <w:szCs w:val="22"/>
    </w:rPr>
  </w:style>
  <w:style w:type="character" w:customStyle="1" w:styleId="ISCCharChar">
    <w:name w:val="ISC Char Char"/>
    <w:link w:val="ISC"/>
    <w:rsid w:val="00B523CF"/>
    <w:rPr>
      <w:rFonts w:ascii="Arial" w:hAnsi="Arial" w:cs="Arial"/>
      <w:b/>
      <w:bCs/>
      <w:sz w:val="22"/>
      <w:szCs w:val="22"/>
    </w:rPr>
  </w:style>
  <w:style w:type="paragraph" w:styleId="MessageHeader">
    <w:name w:val="Message Header"/>
    <w:basedOn w:val="Normal"/>
    <w:link w:val="MessageHeaderChar1"/>
    <w:rsid w:val="000D0F10"/>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Header">
    <w:name w:val="header"/>
    <w:basedOn w:val="Normal"/>
    <w:link w:val="HeaderChar"/>
    <w:uiPriority w:val="99"/>
    <w:rsid w:val="00B56D35"/>
    <w:pPr>
      <w:tabs>
        <w:tab w:val="left" w:pos="0"/>
        <w:tab w:val="right" w:pos="8647"/>
      </w:tabs>
      <w:spacing w:after="0" w:line="240" w:lineRule="auto"/>
      <w:jc w:val="right"/>
    </w:pPr>
    <w:rPr>
      <w:rFonts w:cs="Arial"/>
      <w:bCs/>
      <w:color w:val="808080"/>
      <w:sz w:val="20"/>
      <w:szCs w:val="20"/>
    </w:rPr>
  </w:style>
  <w:style w:type="paragraph" w:styleId="Footer">
    <w:name w:val="footer"/>
    <w:basedOn w:val="Normal"/>
    <w:link w:val="FooterChar"/>
    <w:uiPriority w:val="99"/>
    <w:rsid w:val="009546CA"/>
    <w:pPr>
      <w:tabs>
        <w:tab w:val="center" w:pos="4153"/>
        <w:tab w:val="right" w:pos="8306"/>
      </w:tabs>
    </w:pPr>
    <w:rPr>
      <w:sz w:val="20"/>
    </w:rPr>
  </w:style>
  <w:style w:type="paragraph" w:styleId="TOC1">
    <w:name w:val="toc 1"/>
    <w:basedOn w:val="Normal"/>
    <w:next w:val="Normal"/>
    <w:uiPriority w:val="39"/>
    <w:rsid w:val="00B56D35"/>
    <w:pPr>
      <w:keepLines/>
      <w:tabs>
        <w:tab w:val="left" w:pos="567"/>
        <w:tab w:val="right" w:leader="dot" w:pos="9639"/>
      </w:tabs>
      <w:spacing w:before="120" w:after="120" w:line="240" w:lineRule="auto"/>
    </w:pPr>
    <w:rPr>
      <w:noProof/>
      <w:sz w:val="20"/>
      <w:szCs w:val="20"/>
    </w:rPr>
  </w:style>
  <w:style w:type="character" w:styleId="Hyperlink">
    <w:name w:val="Hyperlink"/>
    <w:uiPriority w:val="99"/>
    <w:qFormat/>
    <w:rsid w:val="00BE25E4"/>
    <w:rPr>
      <w:b w:val="0"/>
      <w:bCs w:val="0"/>
      <w:strike w:val="0"/>
      <w:dstrike w:val="0"/>
      <w:color w:val="00305A"/>
      <w:u w:val="none"/>
      <w:effect w:val="none"/>
    </w:rPr>
  </w:style>
  <w:style w:type="table" w:styleId="TableGrid">
    <w:name w:val="Table Grid"/>
    <w:aliases w:val="Commission"/>
    <w:basedOn w:val="TableNormal"/>
    <w:uiPriority w:val="59"/>
    <w:rsid w:val="00EB03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8B7757"/>
    <w:pPr>
      <w:spacing w:before="40" w:after="40" w:line="240" w:lineRule="auto"/>
    </w:pPr>
    <w:rPr>
      <w:sz w:val="18"/>
      <w:szCs w:val="20"/>
    </w:rPr>
  </w:style>
  <w:style w:type="character" w:styleId="FootnoteReference">
    <w:name w:val="footnote reference"/>
    <w:uiPriority w:val="99"/>
    <w:rsid w:val="00EB0305"/>
    <w:rPr>
      <w:vertAlign w:val="superscript"/>
    </w:rPr>
  </w:style>
  <w:style w:type="character" w:customStyle="1" w:styleId="MessageHeaderChar1">
    <w:name w:val="Message Header Char1"/>
    <w:link w:val="MessageHeader"/>
    <w:rsid w:val="00EB0305"/>
    <w:rPr>
      <w:rFonts w:ascii="Arial" w:hAnsi="Arial" w:cs="Arial"/>
      <w:sz w:val="22"/>
      <w:szCs w:val="24"/>
      <w:shd w:val="pct20" w:color="auto" w:fill="auto"/>
    </w:rPr>
  </w:style>
  <w:style w:type="character" w:styleId="FollowedHyperlink">
    <w:name w:val="FollowedHyperlink"/>
    <w:uiPriority w:val="99"/>
    <w:rsid w:val="000D354A"/>
    <w:rPr>
      <w:color w:val="008080"/>
      <w:u w:val="single"/>
    </w:rPr>
  </w:style>
  <w:style w:type="paragraph" w:styleId="BodyTextIndent">
    <w:name w:val="Body Text Indent"/>
    <w:basedOn w:val="Normal"/>
    <w:link w:val="BodyTextIndentChar"/>
    <w:uiPriority w:val="99"/>
    <w:rsid w:val="003B3748"/>
    <w:pPr>
      <w:tabs>
        <w:tab w:val="left" w:pos="9027"/>
      </w:tabs>
      <w:spacing w:before="120" w:after="120" w:line="240" w:lineRule="auto"/>
      <w:ind w:left="357"/>
      <w:jc w:val="both"/>
    </w:pPr>
    <w:rPr>
      <w:szCs w:val="20"/>
      <w:lang w:eastAsia="en-US"/>
    </w:rPr>
  </w:style>
  <w:style w:type="character" w:customStyle="1" w:styleId="MessageHeaderChar">
    <w:name w:val="Message Header Char"/>
    <w:rsid w:val="00AA6E19"/>
    <w:rPr>
      <w:rFonts w:ascii="Arial" w:hAnsi="Arial" w:cs="Arial"/>
      <w:sz w:val="24"/>
      <w:szCs w:val="24"/>
      <w:lang w:val="en-AU" w:eastAsia="en-US" w:bidi="ar-SA"/>
    </w:rPr>
  </w:style>
  <w:style w:type="paragraph" w:customStyle="1" w:styleId="Tabletxt">
    <w:name w:val="Table.txt"/>
    <w:basedOn w:val="Normal"/>
    <w:link w:val="TabletxtChar"/>
    <w:rsid w:val="0051297D"/>
    <w:pPr>
      <w:spacing w:before="40" w:after="40" w:line="260" w:lineRule="exact"/>
    </w:pPr>
    <w:rPr>
      <w:rFonts w:eastAsia="Calibri"/>
      <w:spacing w:val="1"/>
      <w:sz w:val="18"/>
      <w:szCs w:val="20"/>
      <w:lang w:eastAsia="en-US"/>
    </w:rPr>
  </w:style>
  <w:style w:type="paragraph" w:customStyle="1" w:styleId="Tablehd">
    <w:name w:val="Table.hd"/>
    <w:basedOn w:val="Tabletxt"/>
    <w:link w:val="TablehdChar"/>
    <w:rsid w:val="002A6AA1"/>
    <w:pPr>
      <w:keepNext/>
      <w:keepLines/>
      <w:tabs>
        <w:tab w:val="left" w:pos="851"/>
        <w:tab w:val="left" w:pos="1701"/>
        <w:tab w:val="left" w:pos="2552"/>
        <w:tab w:val="left" w:pos="3402"/>
      </w:tabs>
    </w:pPr>
    <w:rPr>
      <w:rFonts w:ascii="Arial Bold" w:hAnsi="Arial Bold"/>
      <w:b/>
      <w:sz w:val="22"/>
      <w:lang w:val="x-none" w:eastAsia="x-none"/>
    </w:rPr>
  </w:style>
  <w:style w:type="character" w:customStyle="1" w:styleId="TabletxtChar">
    <w:name w:val="Table.txt Char"/>
    <w:link w:val="Tabletxt"/>
    <w:rsid w:val="0051297D"/>
    <w:rPr>
      <w:rFonts w:ascii="Arial" w:eastAsia="Calibri" w:hAnsi="Arial"/>
      <w:spacing w:val="1"/>
      <w:sz w:val="18"/>
      <w:lang w:eastAsia="en-US"/>
    </w:rPr>
  </w:style>
  <w:style w:type="character" w:customStyle="1" w:styleId="TablehdChar">
    <w:name w:val="Table.hd Char"/>
    <w:link w:val="Tablehd"/>
    <w:rsid w:val="0051297D"/>
    <w:rPr>
      <w:rFonts w:ascii="Arial Bold" w:eastAsia="Calibri" w:hAnsi="Arial Bold"/>
      <w:b/>
      <w:spacing w:val="1"/>
      <w:sz w:val="22"/>
      <w:lang w:val="x-none" w:eastAsia="x-none"/>
    </w:rPr>
  </w:style>
  <w:style w:type="paragraph" w:customStyle="1" w:styleId="Bullet">
    <w:name w:val="Bullet"/>
    <w:basedOn w:val="Normal"/>
    <w:link w:val="BulletChar"/>
    <w:rsid w:val="00581011"/>
    <w:pPr>
      <w:keepLines/>
      <w:numPr>
        <w:numId w:val="1"/>
      </w:numPr>
      <w:spacing w:after="120"/>
    </w:pPr>
    <w:rPr>
      <w:szCs w:val="20"/>
      <w:lang w:eastAsia="en-US"/>
    </w:rPr>
  </w:style>
  <w:style w:type="paragraph" w:customStyle="1" w:styleId="NormalPrebullet">
    <w:name w:val="Normal Prebullet"/>
    <w:basedOn w:val="Normal"/>
    <w:next w:val="Bullet"/>
    <w:rsid w:val="00581011"/>
    <w:pPr>
      <w:keepNext/>
      <w:keepLines/>
      <w:spacing w:after="120"/>
      <w:ind w:left="1701"/>
    </w:pPr>
    <w:rPr>
      <w:szCs w:val="20"/>
      <w:lang w:eastAsia="en-US"/>
    </w:rPr>
  </w:style>
  <w:style w:type="paragraph" w:customStyle="1" w:styleId="Bulletlast">
    <w:name w:val="Bullet last"/>
    <w:basedOn w:val="Bullet"/>
    <w:next w:val="Normal"/>
    <w:link w:val="BulletlastChar"/>
    <w:rsid w:val="00581011"/>
    <w:pPr>
      <w:spacing w:after="240"/>
    </w:pPr>
    <w:rPr>
      <w:lang w:val="en-GB"/>
    </w:rPr>
  </w:style>
  <w:style w:type="character" w:customStyle="1" w:styleId="BulletChar">
    <w:name w:val="Bullet Char"/>
    <w:link w:val="Bullet"/>
    <w:rsid w:val="00581011"/>
    <w:rPr>
      <w:rFonts w:ascii="Arial" w:hAnsi="Arial"/>
      <w:sz w:val="22"/>
      <w:lang w:eastAsia="en-US"/>
    </w:rPr>
  </w:style>
  <w:style w:type="character" w:customStyle="1" w:styleId="BulletlastChar">
    <w:name w:val="Bullet last Char"/>
    <w:link w:val="Bulletlast"/>
    <w:rsid w:val="00581011"/>
    <w:rPr>
      <w:rFonts w:ascii="Arial" w:hAnsi="Arial"/>
      <w:sz w:val="22"/>
      <w:lang w:val="en-GB" w:eastAsia="en-US"/>
    </w:rPr>
  </w:style>
  <w:style w:type="character" w:customStyle="1" w:styleId="apple-style-span">
    <w:name w:val="apple-style-span"/>
    <w:basedOn w:val="DefaultParagraphFont"/>
    <w:rsid w:val="00100CD6"/>
  </w:style>
  <w:style w:type="character" w:customStyle="1" w:styleId="apple-converted-space">
    <w:name w:val="apple-converted-space"/>
    <w:basedOn w:val="DefaultParagraphFont"/>
    <w:uiPriority w:val="99"/>
    <w:rsid w:val="00100CD6"/>
  </w:style>
  <w:style w:type="character" w:customStyle="1" w:styleId="italic">
    <w:name w:val="italic"/>
    <w:basedOn w:val="DefaultParagraphFont"/>
    <w:rsid w:val="00100CD6"/>
  </w:style>
  <w:style w:type="character" w:styleId="PageNumber">
    <w:name w:val="page number"/>
    <w:basedOn w:val="DefaultParagraphFont"/>
    <w:uiPriority w:val="99"/>
    <w:rsid w:val="00F7278D"/>
  </w:style>
  <w:style w:type="paragraph" w:customStyle="1" w:styleId="Default">
    <w:name w:val="Default"/>
    <w:rsid w:val="00023EC8"/>
    <w:pPr>
      <w:autoSpaceDE w:val="0"/>
      <w:autoSpaceDN w:val="0"/>
      <w:adjustRightInd w:val="0"/>
    </w:pPr>
    <w:rPr>
      <w:color w:val="000000"/>
      <w:sz w:val="24"/>
      <w:szCs w:val="24"/>
    </w:rPr>
  </w:style>
  <w:style w:type="character" w:customStyle="1" w:styleId="contenttopic">
    <w:name w:val="contenttopic"/>
    <w:basedOn w:val="DefaultParagraphFont"/>
    <w:rsid w:val="00A15669"/>
  </w:style>
  <w:style w:type="paragraph" w:styleId="NormalWeb">
    <w:name w:val="Normal (Web)"/>
    <w:basedOn w:val="Normal"/>
    <w:uiPriority w:val="99"/>
    <w:rsid w:val="00182F36"/>
  </w:style>
  <w:style w:type="paragraph" w:styleId="BalloonText">
    <w:name w:val="Balloon Text"/>
    <w:basedOn w:val="Normal"/>
    <w:link w:val="BalloonTextChar"/>
    <w:uiPriority w:val="99"/>
    <w:semiHidden/>
    <w:rsid w:val="005C6B6B"/>
    <w:rPr>
      <w:rFonts w:ascii="Tahoma" w:hAnsi="Tahoma" w:cs="Tahoma"/>
      <w:sz w:val="16"/>
      <w:szCs w:val="16"/>
    </w:rPr>
  </w:style>
  <w:style w:type="character" w:styleId="CommentReference">
    <w:name w:val="annotation reference"/>
    <w:uiPriority w:val="99"/>
    <w:rsid w:val="005F1916"/>
    <w:rPr>
      <w:sz w:val="16"/>
      <w:szCs w:val="16"/>
    </w:rPr>
  </w:style>
  <w:style w:type="paragraph" w:styleId="CommentText">
    <w:name w:val="annotation text"/>
    <w:basedOn w:val="Normal"/>
    <w:link w:val="CommentTextChar"/>
    <w:uiPriority w:val="99"/>
    <w:semiHidden/>
    <w:rsid w:val="005F1916"/>
    <w:rPr>
      <w:sz w:val="20"/>
      <w:szCs w:val="20"/>
    </w:rPr>
  </w:style>
  <w:style w:type="paragraph" w:styleId="CommentSubject">
    <w:name w:val="annotation subject"/>
    <w:basedOn w:val="CommentText"/>
    <w:next w:val="CommentText"/>
    <w:link w:val="CommentSubjectChar"/>
    <w:uiPriority w:val="99"/>
    <w:rsid w:val="005F1916"/>
    <w:rPr>
      <w:b/>
      <w:bCs/>
    </w:rPr>
  </w:style>
  <w:style w:type="paragraph" w:styleId="ListParagraph">
    <w:name w:val="List Paragraph"/>
    <w:aliases w:val="NFP GP Bulleted List,List Paragraph1,Recommendation,Bullet table,List Paragraph11,First level bullet point,Bullet point,Body text,Body Text1"/>
    <w:basedOn w:val="Normal"/>
    <w:link w:val="ListParagraphChar"/>
    <w:uiPriority w:val="34"/>
    <w:qFormat/>
    <w:rsid w:val="00F32882"/>
    <w:pPr>
      <w:spacing w:after="200"/>
      <w:ind w:left="720"/>
      <w:contextualSpacing/>
    </w:pPr>
    <w:rPr>
      <w:rFonts w:ascii="Calibri" w:hAnsi="Calibri"/>
      <w:szCs w:val="22"/>
      <w:lang w:eastAsia="en-US"/>
    </w:rPr>
  </w:style>
  <w:style w:type="character" w:customStyle="1" w:styleId="FootnoteTextChar">
    <w:name w:val="Footnote Text Char"/>
    <w:link w:val="FootnoteText"/>
    <w:uiPriority w:val="99"/>
    <w:rsid w:val="00DA34BF"/>
    <w:rPr>
      <w:rFonts w:ascii="Arial" w:hAnsi="Arial"/>
      <w:sz w:val="18"/>
    </w:rPr>
  </w:style>
  <w:style w:type="paragraph" w:styleId="BodyText">
    <w:name w:val="Body Text"/>
    <w:aliases w:val="Heading 1 text"/>
    <w:basedOn w:val="Normal"/>
    <w:link w:val="BodyTextChar"/>
    <w:uiPriority w:val="99"/>
    <w:rsid w:val="008B7757"/>
    <w:pPr>
      <w:spacing w:before="120" w:after="120" w:line="240" w:lineRule="auto"/>
    </w:pPr>
  </w:style>
  <w:style w:type="paragraph" w:styleId="ListBullet">
    <w:name w:val="List Bullet"/>
    <w:basedOn w:val="BodyText"/>
    <w:uiPriority w:val="99"/>
    <w:rsid w:val="008F46B4"/>
    <w:pPr>
      <w:keepLines/>
    </w:pPr>
    <w:rPr>
      <w:rFonts w:ascii="Verdana" w:hAnsi="Verdana"/>
      <w:sz w:val="20"/>
    </w:rPr>
  </w:style>
  <w:style w:type="character" w:customStyle="1" w:styleId="Italchar">
    <w:name w:val="Ital_char"/>
    <w:uiPriority w:val="99"/>
    <w:rsid w:val="00BD6B9C"/>
    <w:rPr>
      <w:i/>
    </w:rPr>
  </w:style>
  <w:style w:type="character" w:customStyle="1" w:styleId="PFBulletMarginChar">
    <w:name w:val="PF Bullet Margin Char"/>
    <w:rsid w:val="003C2D8C"/>
    <w:rPr>
      <w:rFonts w:ascii="Arial" w:eastAsia="Times New Roman" w:hAnsi="Arial"/>
      <w:color w:val="000000"/>
      <w:sz w:val="21"/>
    </w:rPr>
  </w:style>
  <w:style w:type="paragraph" w:customStyle="1" w:styleId="PFBulletLevel1">
    <w:name w:val="PF Bullet Level 1"/>
    <w:basedOn w:val="Normal"/>
    <w:rsid w:val="003C2D8C"/>
    <w:pPr>
      <w:numPr>
        <w:ilvl w:val="2"/>
        <w:numId w:val="2"/>
      </w:numPr>
      <w:tabs>
        <w:tab w:val="left" w:pos="924"/>
        <w:tab w:val="num" w:pos="1848"/>
        <w:tab w:val="left" w:pos="2773"/>
        <w:tab w:val="left" w:pos="3697"/>
        <w:tab w:val="left" w:pos="4621"/>
        <w:tab w:val="left" w:pos="5545"/>
        <w:tab w:val="left" w:pos="6469"/>
        <w:tab w:val="left" w:pos="7394"/>
        <w:tab w:val="left" w:pos="8318"/>
        <w:tab w:val="right" w:pos="8789"/>
      </w:tabs>
      <w:spacing w:before="120" w:after="120"/>
      <w:ind w:left="530" w:hanging="360"/>
    </w:pPr>
    <w:rPr>
      <w:color w:val="000000"/>
      <w:sz w:val="21"/>
      <w:szCs w:val="20"/>
      <w:lang w:eastAsia="en-US"/>
    </w:rPr>
  </w:style>
  <w:style w:type="paragraph" w:customStyle="1" w:styleId="PFBulletLevel2">
    <w:name w:val="PF Bullet Level 2"/>
    <w:basedOn w:val="Normal"/>
    <w:rsid w:val="003C2D8C"/>
    <w:pPr>
      <w:numPr>
        <w:ilvl w:val="3"/>
        <w:numId w:val="2"/>
      </w:numPr>
      <w:tabs>
        <w:tab w:val="left" w:pos="924"/>
        <w:tab w:val="left" w:pos="1848"/>
        <w:tab w:val="num" w:pos="2773"/>
        <w:tab w:val="left" w:pos="3697"/>
        <w:tab w:val="left" w:pos="4621"/>
        <w:tab w:val="left" w:pos="5545"/>
        <w:tab w:val="left" w:pos="6469"/>
        <w:tab w:val="left" w:pos="7394"/>
        <w:tab w:val="left" w:pos="8318"/>
        <w:tab w:val="right" w:pos="8789"/>
      </w:tabs>
      <w:spacing w:before="120" w:after="120"/>
      <w:ind w:left="530" w:hanging="360"/>
    </w:pPr>
    <w:rPr>
      <w:color w:val="000000"/>
      <w:sz w:val="21"/>
      <w:szCs w:val="20"/>
      <w:lang w:eastAsia="en-US"/>
    </w:rPr>
  </w:style>
  <w:style w:type="paragraph" w:customStyle="1" w:styleId="IntroCopy">
    <w:name w:val="Intro Copy"/>
    <w:basedOn w:val="Normal"/>
    <w:rsid w:val="00D57A02"/>
    <w:pPr>
      <w:spacing w:line="1450" w:lineRule="exact"/>
    </w:pPr>
    <w:rPr>
      <w:rFonts w:ascii="Univers LightUltraCondensed" w:hAnsi="Univers LightUltraCondensed"/>
      <w:sz w:val="92"/>
      <w:szCs w:val="20"/>
      <w:lang w:eastAsia="en-US"/>
    </w:rPr>
  </w:style>
  <w:style w:type="paragraph" w:styleId="TOC2">
    <w:name w:val="toc 2"/>
    <w:basedOn w:val="Normal"/>
    <w:next w:val="Normal"/>
    <w:autoRedefine/>
    <w:uiPriority w:val="39"/>
    <w:rsid w:val="009546CA"/>
    <w:pPr>
      <w:framePr w:wrap="around" w:vAnchor="text" w:hAnchor="text" w:y="1"/>
      <w:tabs>
        <w:tab w:val="left" w:pos="1134"/>
        <w:tab w:val="right" w:leader="dot" w:pos="9639"/>
      </w:tabs>
      <w:spacing w:after="80"/>
      <w:ind w:left="567"/>
    </w:pPr>
    <w:rPr>
      <w:sz w:val="20"/>
    </w:rPr>
  </w:style>
  <w:style w:type="paragraph" w:customStyle="1" w:styleId="Style1">
    <w:name w:val="Style1"/>
    <w:basedOn w:val="Normal"/>
    <w:next w:val="Normal"/>
    <w:link w:val="Style1Char"/>
    <w:rsid w:val="00741CBF"/>
    <w:pPr>
      <w:pageBreakBefore/>
      <w:pBdr>
        <w:bottom w:val="single" w:sz="12" w:space="1" w:color="336699"/>
      </w:pBdr>
      <w:tabs>
        <w:tab w:val="left" w:pos="720"/>
      </w:tabs>
      <w:adjustRightInd w:val="0"/>
      <w:spacing w:after="480"/>
      <w:ind w:left="720" w:hanging="720"/>
      <w:outlineLvl w:val="0"/>
    </w:pPr>
    <w:rPr>
      <w:rFonts w:ascii="Arial Bold" w:hAnsi="Arial Bold" w:cs="Arial"/>
      <w:b/>
      <w:color w:val="336699"/>
      <w:sz w:val="36"/>
      <w:szCs w:val="22"/>
    </w:rPr>
  </w:style>
  <w:style w:type="paragraph" w:customStyle="1" w:styleId="Style2">
    <w:name w:val="Style2"/>
    <w:basedOn w:val="Normal"/>
    <w:rsid w:val="006704E5"/>
    <w:pPr>
      <w:tabs>
        <w:tab w:val="left" w:pos="720"/>
      </w:tabs>
      <w:spacing w:after="360"/>
    </w:pPr>
    <w:rPr>
      <w:rFonts w:ascii="Arial Bold" w:hAnsi="Arial Bold" w:cs="Arial"/>
      <w:b/>
      <w:color w:val="336699"/>
      <w:sz w:val="28"/>
      <w:szCs w:val="22"/>
      <w:lang w:val="en-US"/>
    </w:rPr>
  </w:style>
  <w:style w:type="character" w:customStyle="1" w:styleId="Style1Char">
    <w:name w:val="Style1 Char"/>
    <w:link w:val="Style1"/>
    <w:rsid w:val="00741CBF"/>
    <w:rPr>
      <w:rFonts w:ascii="Arial Bold" w:hAnsi="Arial Bold" w:cs="Arial"/>
      <w:b/>
      <w:color w:val="336699"/>
      <w:sz w:val="36"/>
      <w:szCs w:val="22"/>
      <w:lang w:val="en-AU" w:eastAsia="en-AU" w:bidi="ar-SA"/>
    </w:rPr>
  </w:style>
  <w:style w:type="paragraph" w:customStyle="1" w:styleId="Style3">
    <w:name w:val="Style3"/>
    <w:basedOn w:val="BodyText"/>
    <w:rsid w:val="00215CD6"/>
    <w:rPr>
      <w:rFonts w:cs="Arial"/>
      <w:b/>
      <w:i/>
      <w:szCs w:val="22"/>
    </w:rPr>
  </w:style>
  <w:style w:type="paragraph" w:styleId="DocumentMap">
    <w:name w:val="Document Map"/>
    <w:basedOn w:val="Normal"/>
    <w:link w:val="DocumentMapChar"/>
    <w:semiHidden/>
    <w:rsid w:val="0087459B"/>
    <w:pPr>
      <w:shd w:val="clear" w:color="auto" w:fill="000080"/>
    </w:pPr>
    <w:rPr>
      <w:rFonts w:ascii="Tahoma" w:hAnsi="Tahoma" w:cs="Tahoma"/>
      <w:sz w:val="20"/>
      <w:szCs w:val="20"/>
    </w:rPr>
  </w:style>
  <w:style w:type="paragraph" w:styleId="TOC3">
    <w:name w:val="toc 3"/>
    <w:basedOn w:val="Normal"/>
    <w:next w:val="Normal"/>
    <w:autoRedefine/>
    <w:uiPriority w:val="39"/>
    <w:rsid w:val="002E4559"/>
    <w:pPr>
      <w:tabs>
        <w:tab w:val="left" w:pos="1701"/>
        <w:tab w:val="right" w:leader="dot" w:pos="9639"/>
      </w:tabs>
      <w:spacing w:after="80"/>
      <w:ind w:left="2835" w:hanging="1701"/>
    </w:pPr>
    <w:rPr>
      <w:sz w:val="20"/>
    </w:rPr>
  </w:style>
  <w:style w:type="paragraph" w:styleId="Date">
    <w:name w:val="Date"/>
    <w:basedOn w:val="Normal"/>
    <w:next w:val="Normal"/>
    <w:link w:val="DateChar"/>
    <w:uiPriority w:val="99"/>
    <w:rsid w:val="000D3D23"/>
  </w:style>
  <w:style w:type="paragraph" w:styleId="ListNumber">
    <w:name w:val="List Number"/>
    <w:basedOn w:val="BodyText"/>
    <w:uiPriority w:val="99"/>
    <w:rsid w:val="00BF4E00"/>
    <w:pPr>
      <w:keepLines/>
      <w:numPr>
        <w:numId w:val="5"/>
      </w:numPr>
      <w:tabs>
        <w:tab w:val="clear" w:pos="567"/>
        <w:tab w:val="num" w:pos="1134"/>
      </w:tabs>
      <w:ind w:left="1134"/>
    </w:pPr>
    <w:rPr>
      <w:rFonts w:ascii="Verdana" w:hAnsi="Verdana"/>
      <w:sz w:val="20"/>
    </w:rPr>
  </w:style>
  <w:style w:type="paragraph" w:styleId="ListNumber2">
    <w:name w:val="List Number 2"/>
    <w:basedOn w:val="ListNumber"/>
    <w:uiPriority w:val="99"/>
    <w:rsid w:val="00BF4E00"/>
    <w:pPr>
      <w:numPr>
        <w:numId w:val="4"/>
      </w:numPr>
      <w:tabs>
        <w:tab w:val="clear" w:pos="1134"/>
        <w:tab w:val="num" w:pos="783"/>
      </w:tabs>
      <w:ind w:left="783" w:hanging="360"/>
    </w:pPr>
  </w:style>
  <w:style w:type="character" w:customStyle="1" w:styleId="HeaderChar">
    <w:name w:val="Header Char"/>
    <w:link w:val="Header"/>
    <w:uiPriority w:val="99"/>
    <w:locked/>
    <w:rsid w:val="004E2091"/>
    <w:rPr>
      <w:rFonts w:ascii="Arial" w:hAnsi="Arial" w:cs="Arial"/>
      <w:bCs/>
      <w:color w:val="808080"/>
    </w:rPr>
  </w:style>
  <w:style w:type="paragraph" w:customStyle="1" w:styleId="StyleHeading3Left0mmHanging317mm">
    <w:name w:val="Style Heading 3 + Left:  0 mm Hanging:  31.7 mm"/>
    <w:basedOn w:val="Heading3"/>
    <w:rsid w:val="00A148A9"/>
    <w:pPr>
      <w:ind w:left="1800" w:hanging="1800"/>
    </w:pPr>
    <w:rPr>
      <w:rFonts w:cs="Times New Roman"/>
      <w:bCs/>
      <w:i w:val="0"/>
      <w:iCs/>
      <w:szCs w:val="20"/>
    </w:rPr>
  </w:style>
  <w:style w:type="paragraph" w:customStyle="1" w:styleId="Numstepbullet">
    <w:name w:val="Numstep bullet"/>
    <w:basedOn w:val="Normal"/>
    <w:rsid w:val="00FB2C11"/>
    <w:pPr>
      <w:keepLines/>
      <w:numPr>
        <w:numId w:val="7"/>
      </w:numPr>
      <w:tabs>
        <w:tab w:val="clear" w:pos="2843"/>
        <w:tab w:val="num" w:pos="1440"/>
      </w:tabs>
      <w:spacing w:after="120" w:line="240" w:lineRule="auto"/>
      <w:ind w:left="1440" w:hanging="360"/>
    </w:pPr>
    <w:rPr>
      <w:szCs w:val="20"/>
      <w:lang w:eastAsia="en-US"/>
    </w:rPr>
  </w:style>
  <w:style w:type="paragraph" w:customStyle="1" w:styleId="HeadingElements">
    <w:name w:val="Heading Elements"/>
    <w:basedOn w:val="Normal"/>
    <w:next w:val="Normal"/>
    <w:autoRedefine/>
    <w:rsid w:val="009D6DD9"/>
    <w:pPr>
      <w:spacing w:before="240" w:after="120" w:line="240" w:lineRule="auto"/>
    </w:pPr>
    <w:rPr>
      <w:rFonts w:ascii="Arial Bold" w:eastAsia="MS Mincho" w:hAnsi="Arial Bold"/>
      <w:b/>
      <w:caps/>
      <w:color w:val="003366"/>
      <w:szCs w:val="22"/>
      <w:lang w:val="en-US" w:eastAsia="ja-JP"/>
    </w:rPr>
  </w:style>
  <w:style w:type="paragraph" w:styleId="TOC4">
    <w:name w:val="toc 4"/>
    <w:basedOn w:val="Normal"/>
    <w:next w:val="Normal"/>
    <w:autoRedefine/>
    <w:uiPriority w:val="39"/>
    <w:rsid w:val="00BA50D5"/>
    <w:pPr>
      <w:tabs>
        <w:tab w:val="left" w:pos="1134"/>
        <w:tab w:val="right" w:pos="9639"/>
      </w:tabs>
      <w:spacing w:after="120" w:line="240" w:lineRule="auto"/>
      <w:ind w:left="658"/>
    </w:pPr>
    <w:rPr>
      <w:b/>
      <w:sz w:val="20"/>
    </w:rPr>
  </w:style>
  <w:style w:type="paragraph" w:customStyle="1" w:styleId="Generaltext">
    <w:name w:val="General text"/>
    <w:basedOn w:val="Normal"/>
    <w:rsid w:val="00F15444"/>
    <w:pPr>
      <w:spacing w:after="120" w:line="240" w:lineRule="auto"/>
    </w:pPr>
    <w:rPr>
      <w:color w:val="000000"/>
      <w:szCs w:val="20"/>
    </w:rPr>
  </w:style>
  <w:style w:type="character" w:customStyle="1" w:styleId="UnresolvedMention1">
    <w:name w:val="Unresolved Mention1"/>
    <w:uiPriority w:val="99"/>
    <w:unhideWhenUsed/>
    <w:rsid w:val="00D01703"/>
    <w:rPr>
      <w:color w:val="605E5C"/>
      <w:shd w:val="clear" w:color="auto" w:fill="E1DFDD"/>
    </w:rPr>
  </w:style>
  <w:style w:type="character" w:customStyle="1" w:styleId="Mention1">
    <w:name w:val="Mention1"/>
    <w:uiPriority w:val="99"/>
    <w:unhideWhenUsed/>
    <w:rsid w:val="00D01703"/>
    <w:rPr>
      <w:color w:val="2B579A"/>
      <w:shd w:val="clear" w:color="auto" w:fill="E1DFDD"/>
    </w:rPr>
  </w:style>
  <w:style w:type="paragraph" w:styleId="EndnoteText">
    <w:name w:val="endnote text"/>
    <w:basedOn w:val="Normal"/>
    <w:link w:val="EndnoteTextChar"/>
    <w:uiPriority w:val="99"/>
    <w:rsid w:val="00B76A0F"/>
    <w:rPr>
      <w:sz w:val="20"/>
      <w:szCs w:val="20"/>
    </w:rPr>
  </w:style>
  <w:style w:type="character" w:customStyle="1" w:styleId="EndnoteTextChar">
    <w:name w:val="Endnote Text Char"/>
    <w:link w:val="EndnoteText"/>
    <w:uiPriority w:val="99"/>
    <w:rsid w:val="00B76A0F"/>
    <w:rPr>
      <w:rFonts w:ascii="Arial" w:hAnsi="Arial"/>
    </w:rPr>
  </w:style>
  <w:style w:type="character" w:styleId="EndnoteReference">
    <w:name w:val="endnote reference"/>
    <w:uiPriority w:val="99"/>
    <w:rsid w:val="00B76A0F"/>
    <w:rPr>
      <w:vertAlign w:val="superscript"/>
    </w:rPr>
  </w:style>
  <w:style w:type="character" w:customStyle="1" w:styleId="ListParagraphChar">
    <w:name w:val="List Paragraph Char"/>
    <w:aliases w:val="NFP GP Bulleted List Char,List Paragraph1 Char,Recommendation Char,Bullet table Char,List Paragraph11 Char,First level bullet point Char,Bullet point Char,Body text Char,Body Text1 Char"/>
    <w:link w:val="ListParagraph"/>
    <w:uiPriority w:val="34"/>
    <w:locked/>
    <w:rsid w:val="00B6309B"/>
    <w:rPr>
      <w:rFonts w:ascii="Calibri" w:hAnsi="Calibri"/>
      <w:sz w:val="22"/>
      <w:szCs w:val="22"/>
      <w:lang w:eastAsia="en-US"/>
    </w:rPr>
  </w:style>
  <w:style w:type="character" w:customStyle="1" w:styleId="CommentTextChar">
    <w:name w:val="Comment Text Char"/>
    <w:basedOn w:val="DefaultParagraphFont"/>
    <w:link w:val="CommentText"/>
    <w:uiPriority w:val="99"/>
    <w:semiHidden/>
    <w:rsid w:val="00B6309B"/>
    <w:rPr>
      <w:rFonts w:ascii="Arial" w:hAnsi="Arial"/>
    </w:rPr>
  </w:style>
  <w:style w:type="paragraph" w:customStyle="1" w:styleId="Pa36">
    <w:name w:val="Pa36"/>
    <w:basedOn w:val="Default"/>
    <w:next w:val="Default"/>
    <w:uiPriority w:val="99"/>
    <w:rsid w:val="00B6309B"/>
    <w:pPr>
      <w:spacing w:line="201" w:lineRule="atLeast"/>
    </w:pPr>
    <w:rPr>
      <w:rFonts w:ascii="Museo Sans 300" w:hAnsi="Museo Sans 300"/>
      <w:color w:val="auto"/>
    </w:rPr>
  </w:style>
  <w:style w:type="table" w:customStyle="1" w:styleId="TableGrid1">
    <w:name w:val="Table Grid1"/>
    <w:basedOn w:val="TableNormal"/>
    <w:next w:val="TableGrid"/>
    <w:locked/>
    <w:rsid w:val="00B6309B"/>
    <w:pPr>
      <w:spacing w:before="20" w:after="20"/>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sz w:val="20"/>
      </w:rPr>
    </w:tblStylePr>
    <w:tblStylePr w:type="firstCol">
      <w:rPr>
        <w:rFonts w:asciiTheme="minorHAnsi" w:hAnsiTheme="minorHAnsi"/>
        <w:sz w:val="20"/>
      </w:rPr>
    </w:tblStylePr>
  </w:style>
  <w:style w:type="table" w:styleId="TableGridLight">
    <w:name w:val="Grid Table Light"/>
    <w:basedOn w:val="TableNormal"/>
    <w:uiPriority w:val="40"/>
    <w:rsid w:val="00B6309B"/>
    <w:rPr>
      <w:rFonts w:asciiTheme="minorHAnsi" w:hAnsiTheme="minorHAnsi"/>
      <w:sz w:val="22"/>
      <w:szCs w:val="22"/>
    </w:rPr>
    <w:tblP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style>
  <w:style w:type="table" w:customStyle="1" w:styleId="TableGrid11">
    <w:name w:val="Table Grid11"/>
    <w:basedOn w:val="TableNormal"/>
    <w:next w:val="TableGrid"/>
    <w:uiPriority w:val="59"/>
    <w:locked/>
    <w:rsid w:val="00B6309B"/>
    <w:pPr>
      <w:spacing w:before="20" w:after="20"/>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sz w:val="20"/>
      </w:rPr>
    </w:tblStylePr>
    <w:tblStylePr w:type="firstCol">
      <w:rPr>
        <w:rFonts w:asciiTheme="minorHAnsi" w:hAnsiTheme="minorHAnsi"/>
        <w:sz w:val="20"/>
      </w:rPr>
    </w:tblStylePr>
  </w:style>
  <w:style w:type="character" w:customStyle="1" w:styleId="Heading6Char">
    <w:name w:val="Heading 6 Char"/>
    <w:basedOn w:val="DefaultParagraphFont"/>
    <w:link w:val="Heading6"/>
    <w:uiPriority w:val="99"/>
    <w:rsid w:val="00901AB3"/>
    <w:rPr>
      <w:rFonts w:asciiTheme="majorHAnsi" w:eastAsiaTheme="majorEastAsia" w:hAnsiTheme="majorHAnsi" w:cstheme="majorBidi"/>
      <w:color w:val="1F3763" w:themeColor="accent1" w:themeShade="7F"/>
      <w:sz w:val="22"/>
      <w:szCs w:val="24"/>
    </w:rPr>
  </w:style>
  <w:style w:type="character" w:customStyle="1" w:styleId="Heading8Char">
    <w:name w:val="Heading 8 Char"/>
    <w:basedOn w:val="DefaultParagraphFont"/>
    <w:link w:val="Heading8"/>
    <w:uiPriority w:val="99"/>
    <w:rsid w:val="00901AB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rsid w:val="00901AB3"/>
    <w:rPr>
      <w:rFonts w:asciiTheme="majorHAnsi" w:eastAsiaTheme="majorEastAsia" w:hAnsiTheme="majorHAnsi" w:cstheme="majorBidi"/>
      <w:i/>
      <w:iCs/>
      <w:color w:val="272727" w:themeColor="text1" w:themeTint="D8"/>
      <w:sz w:val="21"/>
      <w:szCs w:val="21"/>
    </w:rPr>
  </w:style>
  <w:style w:type="paragraph" w:customStyle="1" w:styleId="HeadingLevel1NoNumber">
    <w:name w:val="HeadingLevel1NoNumber"/>
    <w:basedOn w:val="Heading1"/>
    <w:next w:val="BodyText"/>
    <w:qFormat/>
    <w:rsid w:val="00901AB3"/>
    <w:pPr>
      <w:numPr>
        <w:numId w:val="0"/>
      </w:numPr>
    </w:pPr>
  </w:style>
  <w:style w:type="paragraph" w:customStyle="1" w:styleId="Bullet1">
    <w:name w:val="Bullet 1"/>
    <w:basedOn w:val="BodyTextIndent"/>
    <w:rsid w:val="00C800CA"/>
    <w:pPr>
      <w:numPr>
        <w:numId w:val="6"/>
      </w:numPr>
      <w:tabs>
        <w:tab w:val="clear" w:pos="9027"/>
        <w:tab w:val="left" w:pos="357"/>
      </w:tabs>
      <w:jc w:val="left"/>
    </w:pPr>
    <w:rPr>
      <w:szCs w:val="24"/>
    </w:rPr>
  </w:style>
  <w:style w:type="paragraph" w:customStyle="1" w:styleId="Bodytextkeepwithnext">
    <w:name w:val="Bodytextkeepwithnext"/>
    <w:basedOn w:val="BodyText"/>
    <w:qFormat/>
    <w:rsid w:val="00917048"/>
    <w:pPr>
      <w:keepNext/>
    </w:pPr>
  </w:style>
  <w:style w:type="paragraph" w:styleId="Caption">
    <w:name w:val="caption"/>
    <w:basedOn w:val="Normal"/>
    <w:next w:val="Normal"/>
    <w:uiPriority w:val="99"/>
    <w:unhideWhenUsed/>
    <w:qFormat/>
    <w:rsid w:val="00901AB3"/>
    <w:pPr>
      <w:spacing w:after="200" w:line="240" w:lineRule="auto"/>
    </w:pPr>
    <w:rPr>
      <w:i/>
      <w:iCs/>
      <w:color w:val="44546A" w:themeColor="text2"/>
      <w:sz w:val="18"/>
      <w:szCs w:val="18"/>
    </w:rPr>
  </w:style>
  <w:style w:type="paragraph" w:customStyle="1" w:styleId="Intropara">
    <w:name w:val="Intropara"/>
    <w:basedOn w:val="Normal"/>
    <w:qFormat/>
    <w:rsid w:val="00901AB3"/>
  </w:style>
  <w:style w:type="paragraph" w:customStyle="1" w:styleId="Bullet1keepwithnext">
    <w:name w:val="Bullet 1keepwithnext"/>
    <w:basedOn w:val="Bullet1"/>
    <w:qFormat/>
    <w:rsid w:val="00901AB3"/>
    <w:pPr>
      <w:keepNext/>
      <w:ind w:left="714"/>
    </w:pPr>
  </w:style>
  <w:style w:type="paragraph" w:customStyle="1" w:styleId="Bullet2">
    <w:name w:val="Bullet2"/>
    <w:basedOn w:val="Normal"/>
    <w:qFormat/>
    <w:rsid w:val="004F1130"/>
    <w:pPr>
      <w:numPr>
        <w:numId w:val="12"/>
      </w:numPr>
      <w:autoSpaceDE w:val="0"/>
      <w:autoSpaceDN w:val="0"/>
      <w:adjustRightInd w:val="0"/>
      <w:spacing w:before="120" w:after="120" w:line="240" w:lineRule="auto"/>
      <w:contextualSpacing/>
    </w:pPr>
    <w:rPr>
      <w:rFonts w:cstheme="minorHAnsi"/>
      <w:color w:val="000000"/>
    </w:rPr>
  </w:style>
  <w:style w:type="paragraph" w:styleId="Quote">
    <w:name w:val="Quote"/>
    <w:basedOn w:val="Normal"/>
    <w:next w:val="Normal"/>
    <w:link w:val="QuoteChar"/>
    <w:uiPriority w:val="29"/>
    <w:qFormat/>
    <w:rsid w:val="00901AB3"/>
    <w:pPr>
      <w:tabs>
        <w:tab w:val="left" w:pos="8640"/>
      </w:tabs>
      <w:ind w:left="720" w:right="999"/>
    </w:pPr>
    <w:rPr>
      <w:i/>
    </w:rPr>
  </w:style>
  <w:style w:type="character" w:customStyle="1" w:styleId="QuoteChar">
    <w:name w:val="Quote Char"/>
    <w:basedOn w:val="DefaultParagraphFont"/>
    <w:link w:val="Quote"/>
    <w:uiPriority w:val="29"/>
    <w:rsid w:val="00901AB3"/>
    <w:rPr>
      <w:rFonts w:ascii="Arial" w:hAnsi="Arial"/>
      <w:i/>
      <w:sz w:val="22"/>
      <w:szCs w:val="24"/>
    </w:rPr>
  </w:style>
  <w:style w:type="character" w:customStyle="1" w:styleId="BodyTextChar">
    <w:name w:val="Body Text Char"/>
    <w:aliases w:val="Heading 1 text Char"/>
    <w:basedOn w:val="DefaultParagraphFont"/>
    <w:link w:val="BodyText"/>
    <w:uiPriority w:val="99"/>
    <w:rsid w:val="00901AB3"/>
    <w:rPr>
      <w:rFonts w:ascii="Arial" w:hAnsi="Arial"/>
      <w:sz w:val="22"/>
      <w:szCs w:val="24"/>
    </w:rPr>
  </w:style>
  <w:style w:type="character" w:customStyle="1" w:styleId="BodyTextIndentChar">
    <w:name w:val="Body Text Indent Char"/>
    <w:basedOn w:val="DefaultParagraphFont"/>
    <w:link w:val="BodyTextIndent"/>
    <w:uiPriority w:val="99"/>
    <w:rsid w:val="00901AB3"/>
    <w:rPr>
      <w:rFonts w:ascii="Arial" w:hAnsi="Arial"/>
      <w:sz w:val="22"/>
      <w:lang w:eastAsia="en-US"/>
    </w:rPr>
  </w:style>
  <w:style w:type="paragraph" w:styleId="Revision">
    <w:name w:val="Revision"/>
    <w:hidden/>
    <w:uiPriority w:val="99"/>
    <w:semiHidden/>
    <w:rsid w:val="008A5219"/>
    <w:rPr>
      <w:rFonts w:ascii="Arial" w:hAnsi="Arial"/>
      <w:sz w:val="22"/>
      <w:szCs w:val="24"/>
    </w:rPr>
  </w:style>
  <w:style w:type="paragraph" w:customStyle="1" w:styleId="HeadingLevel3NoNumber">
    <w:name w:val="HeadingLevel3NoNumber"/>
    <w:basedOn w:val="Heading3"/>
    <w:qFormat/>
    <w:rsid w:val="003E79B0"/>
    <w:pPr>
      <w:numPr>
        <w:ilvl w:val="0"/>
        <w:numId w:val="0"/>
      </w:numPr>
    </w:pPr>
    <w:rPr>
      <w:rFonts w:ascii="Arial Bold" w:hAnsi="Arial Bold"/>
      <w:i w:val="0"/>
      <w:color w:val="4472C4" w:themeColor="accent1"/>
    </w:rPr>
  </w:style>
  <w:style w:type="character" w:customStyle="1" w:styleId="FooterChar">
    <w:name w:val="Footer Char"/>
    <w:basedOn w:val="DefaultParagraphFont"/>
    <w:link w:val="Footer"/>
    <w:uiPriority w:val="99"/>
    <w:rsid w:val="00581C22"/>
    <w:rPr>
      <w:rFonts w:ascii="Arial" w:hAnsi="Arial"/>
      <w:szCs w:val="24"/>
    </w:rPr>
  </w:style>
  <w:style w:type="paragraph" w:customStyle="1" w:styleId="Attachmentheading">
    <w:name w:val="Attachment heading"/>
    <w:next w:val="Normal"/>
    <w:uiPriority w:val="2"/>
    <w:qFormat/>
    <w:rsid w:val="00713E96"/>
    <w:pPr>
      <w:keepNext/>
      <w:keepLines/>
      <w:pageBreakBefore/>
      <w:numPr>
        <w:numId w:val="13"/>
      </w:numPr>
      <w:spacing w:before="240" w:after="120" w:line="640" w:lineRule="exact"/>
    </w:pPr>
    <w:rPr>
      <w:rFonts w:ascii="Arial Bold" w:hAnsi="Arial Bold"/>
      <w:b/>
      <w:color w:val="0063A6"/>
      <w:sz w:val="32"/>
      <w:szCs w:val="18"/>
      <w:lang w:eastAsia="en-US"/>
    </w:rPr>
  </w:style>
  <w:style w:type="paragraph" w:customStyle="1" w:styleId="AttachmentHeading2">
    <w:name w:val="Attachment Heading 2"/>
    <w:basedOn w:val="Heading2"/>
    <w:next w:val="BodyText"/>
    <w:rsid w:val="00713E96"/>
    <w:pPr>
      <w:numPr>
        <w:numId w:val="13"/>
      </w:numPr>
      <w:tabs>
        <w:tab w:val="left" w:pos="964"/>
      </w:tabs>
      <w:spacing w:after="120"/>
      <w:jc w:val="both"/>
      <w:outlineLvl w:val="9"/>
    </w:pPr>
    <w:rPr>
      <w:rFonts w:cs="Times New Roman"/>
      <w:color w:val="0063A6"/>
      <w:szCs w:val="20"/>
      <w:lang w:val="en-AU" w:eastAsia="en-US"/>
    </w:rPr>
  </w:style>
  <w:style w:type="paragraph" w:customStyle="1" w:styleId="AttachmentHeading3">
    <w:name w:val="Attachment Heading 3"/>
    <w:basedOn w:val="Heading3"/>
    <w:next w:val="BodyText"/>
    <w:rsid w:val="00713E96"/>
    <w:pPr>
      <w:numPr>
        <w:numId w:val="13"/>
      </w:numPr>
      <w:tabs>
        <w:tab w:val="left" w:pos="357"/>
      </w:tabs>
      <w:jc w:val="both"/>
      <w:outlineLvl w:val="9"/>
    </w:pPr>
    <w:rPr>
      <w:rFonts w:cs="Times New Roman"/>
      <w:i w:val="0"/>
      <w:color w:val="0063A6"/>
      <w:sz w:val="24"/>
      <w:szCs w:val="20"/>
      <w:lang w:eastAsia="en-US"/>
    </w:rPr>
  </w:style>
  <w:style w:type="paragraph" w:customStyle="1" w:styleId="AttachmentHeading4">
    <w:name w:val="Attachment Heading 4"/>
    <w:basedOn w:val="Heading4"/>
    <w:next w:val="BodyText"/>
    <w:rsid w:val="00713E96"/>
    <w:pPr>
      <w:keepNext/>
      <w:numPr>
        <w:numId w:val="13"/>
      </w:numPr>
      <w:tabs>
        <w:tab w:val="left" w:pos="964"/>
      </w:tabs>
      <w:spacing w:before="240" w:after="120" w:line="240" w:lineRule="auto"/>
      <w:jc w:val="both"/>
      <w:outlineLvl w:val="9"/>
    </w:pPr>
    <w:rPr>
      <w:i w:val="0"/>
      <w:color w:val="0063A6"/>
      <w:sz w:val="20"/>
      <w:szCs w:val="20"/>
      <w:lang w:eastAsia="en-US"/>
    </w:rPr>
  </w:style>
  <w:style w:type="paragraph" w:customStyle="1" w:styleId="Bullet1stlevel">
    <w:name w:val="Bullet 1stlevel"/>
    <w:basedOn w:val="ListParagraph"/>
    <w:qFormat/>
    <w:rsid w:val="009F15DD"/>
    <w:pPr>
      <w:numPr>
        <w:numId w:val="18"/>
      </w:numPr>
      <w:tabs>
        <w:tab w:val="num" w:pos="360"/>
      </w:tabs>
      <w:spacing w:after="120" w:line="240" w:lineRule="auto"/>
      <w:ind w:left="357" w:hanging="357"/>
    </w:pPr>
    <w:rPr>
      <w:rFonts w:ascii="Verdana" w:hAnsi="Verdana"/>
      <w:sz w:val="20"/>
      <w:szCs w:val="24"/>
      <w:lang w:eastAsia="en-AU"/>
    </w:rPr>
  </w:style>
  <w:style w:type="paragraph" w:customStyle="1" w:styleId="TableHeading">
    <w:name w:val="TableHeading"/>
    <w:basedOn w:val="Normal"/>
    <w:qFormat/>
    <w:rsid w:val="009F15DD"/>
    <w:pPr>
      <w:spacing w:before="40" w:after="40" w:line="240" w:lineRule="auto"/>
    </w:pPr>
    <w:rPr>
      <w:rFonts w:ascii="Verdana" w:hAnsi="Verdana"/>
      <w:b/>
      <w:iCs/>
      <w:sz w:val="18"/>
    </w:rPr>
  </w:style>
  <w:style w:type="paragraph" w:customStyle="1" w:styleId="TableText">
    <w:name w:val="TableText"/>
    <w:basedOn w:val="Normal"/>
    <w:qFormat/>
    <w:rsid w:val="009F15DD"/>
    <w:pPr>
      <w:spacing w:before="40" w:after="40" w:line="240" w:lineRule="auto"/>
    </w:pPr>
    <w:rPr>
      <w:rFonts w:ascii="Verdana" w:hAnsi="Verdana"/>
      <w:bCs/>
      <w:sz w:val="18"/>
    </w:rPr>
  </w:style>
  <w:style w:type="paragraph" w:customStyle="1" w:styleId="Source">
    <w:name w:val="Source"/>
    <w:basedOn w:val="BodyText"/>
    <w:qFormat/>
    <w:rsid w:val="009F15DD"/>
    <w:pPr>
      <w:spacing w:before="0"/>
    </w:pPr>
    <w:rPr>
      <w:rFonts w:ascii="Verdana" w:hAnsi="Verdana"/>
      <w:sz w:val="18"/>
      <w:szCs w:val="22"/>
    </w:rPr>
  </w:style>
  <w:style w:type="paragraph" w:customStyle="1" w:styleId="Editorialnote">
    <w:name w:val="Editorial note"/>
    <w:basedOn w:val="BodyText"/>
    <w:rsid w:val="008B1B33"/>
    <w:pPr>
      <w:numPr>
        <w:numId w:val="19"/>
      </w:numPr>
      <w:tabs>
        <w:tab w:val="clear" w:pos="4536"/>
        <w:tab w:val="left" w:pos="1701"/>
      </w:tabs>
      <w:spacing w:before="0"/>
      <w:ind w:left="1701"/>
    </w:pPr>
    <w:rPr>
      <w:rFonts w:ascii="Verdana" w:hAnsi="Verdana"/>
      <w:color w:val="800000"/>
      <w:sz w:val="16"/>
      <w:szCs w:val="16"/>
    </w:rPr>
  </w:style>
  <w:style w:type="paragraph" w:styleId="ListBullet2">
    <w:name w:val="List Bullet 2"/>
    <w:basedOn w:val="Normal"/>
    <w:uiPriority w:val="99"/>
    <w:rsid w:val="00AD2554"/>
    <w:pPr>
      <w:numPr>
        <w:numId w:val="22"/>
      </w:numPr>
      <w:contextualSpacing/>
    </w:pPr>
  </w:style>
  <w:style w:type="character" w:customStyle="1" w:styleId="Heading1Char">
    <w:name w:val="Heading 1 Char"/>
    <w:basedOn w:val="DefaultParagraphFont"/>
    <w:link w:val="Heading1"/>
    <w:uiPriority w:val="99"/>
    <w:rsid w:val="005A4144"/>
    <w:rPr>
      <w:rFonts w:ascii="Arial Bold" w:hAnsi="Arial Bold" w:cs="Arial"/>
      <w:b/>
      <w:color w:val="336699"/>
      <w:sz w:val="36"/>
      <w:szCs w:val="22"/>
    </w:rPr>
  </w:style>
  <w:style w:type="character" w:customStyle="1" w:styleId="Heading2Char">
    <w:name w:val="Heading 2 Char"/>
    <w:basedOn w:val="DefaultParagraphFont"/>
    <w:link w:val="Heading2"/>
    <w:uiPriority w:val="99"/>
    <w:rsid w:val="003D2BA6"/>
    <w:rPr>
      <w:rFonts w:ascii="Arial Bold" w:hAnsi="Arial Bold" w:cs="Arial"/>
      <w:b/>
      <w:color w:val="336699"/>
      <w:sz w:val="28"/>
      <w:szCs w:val="22"/>
      <w:lang w:val="en-US"/>
    </w:rPr>
  </w:style>
  <w:style w:type="character" w:customStyle="1" w:styleId="Heading3Char">
    <w:name w:val="Heading 3 Char"/>
    <w:basedOn w:val="DefaultParagraphFont"/>
    <w:link w:val="Heading3"/>
    <w:uiPriority w:val="99"/>
    <w:rsid w:val="00AD2554"/>
    <w:rPr>
      <w:rFonts w:ascii="Arial" w:hAnsi="Arial" w:cs="Arial"/>
      <w:b/>
      <w:i/>
      <w:sz w:val="22"/>
      <w:szCs w:val="22"/>
    </w:rPr>
  </w:style>
  <w:style w:type="character" w:customStyle="1" w:styleId="Heading4Char">
    <w:name w:val="Heading 4 Char"/>
    <w:basedOn w:val="DefaultParagraphFont"/>
    <w:link w:val="Heading4"/>
    <w:uiPriority w:val="99"/>
    <w:rsid w:val="00AD2554"/>
    <w:rPr>
      <w:rFonts w:ascii="Arial" w:hAnsi="Arial"/>
      <w:b/>
      <w:i/>
      <w:sz w:val="22"/>
      <w:szCs w:val="24"/>
    </w:rPr>
  </w:style>
  <w:style w:type="character" w:customStyle="1" w:styleId="Heading5Char">
    <w:name w:val="Heading 5 Char"/>
    <w:basedOn w:val="DefaultParagraphFont"/>
    <w:link w:val="Heading5"/>
    <w:uiPriority w:val="99"/>
    <w:rsid w:val="00AD2554"/>
    <w:rPr>
      <w:rFonts w:ascii="Arial" w:hAnsi="Arial"/>
      <w:bCs/>
      <w:i/>
      <w:iCs/>
      <w:sz w:val="22"/>
      <w:szCs w:val="26"/>
    </w:rPr>
  </w:style>
  <w:style w:type="character" w:customStyle="1" w:styleId="Heading7Char">
    <w:name w:val="Heading 7 Char"/>
    <w:basedOn w:val="DefaultParagraphFont"/>
    <w:link w:val="Heading7"/>
    <w:uiPriority w:val="99"/>
    <w:rsid w:val="00AD2554"/>
    <w:rPr>
      <w:rFonts w:ascii="Arial" w:hAnsi="Arial"/>
      <w:sz w:val="22"/>
      <w:szCs w:val="24"/>
    </w:rPr>
  </w:style>
  <w:style w:type="numbering" w:customStyle="1" w:styleId="NoList1">
    <w:name w:val="No List1"/>
    <w:next w:val="NoList"/>
    <w:uiPriority w:val="99"/>
    <w:semiHidden/>
    <w:unhideWhenUsed/>
    <w:rsid w:val="00AD2554"/>
  </w:style>
  <w:style w:type="paragraph" w:styleId="MacroText">
    <w:name w:val="macro"/>
    <w:link w:val="MacroTextChar"/>
    <w:rsid w:val="00AD2554"/>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color w:val="FF0000"/>
    </w:rPr>
  </w:style>
  <w:style w:type="character" w:customStyle="1" w:styleId="MacroTextChar">
    <w:name w:val="Macro Text Char"/>
    <w:basedOn w:val="DefaultParagraphFont"/>
    <w:link w:val="MacroText"/>
    <w:rsid w:val="00AD2554"/>
    <w:rPr>
      <w:rFonts w:ascii="Courier New" w:hAnsi="Courier New" w:cs="Courier New"/>
      <w:color w:val="FF0000"/>
    </w:rPr>
  </w:style>
  <w:style w:type="character" w:customStyle="1" w:styleId="FrontmaintitleCharChar">
    <w:name w:val="Ω Front:maintitle Char Char"/>
    <w:link w:val="Frontmaintitle"/>
    <w:rsid w:val="00AD2554"/>
    <w:rPr>
      <w:rFonts w:ascii="Verdana" w:hAnsi="Verdana"/>
      <w:b/>
      <w:sz w:val="36"/>
      <w:szCs w:val="24"/>
    </w:rPr>
  </w:style>
  <w:style w:type="paragraph" w:customStyle="1" w:styleId="Frontsubtitle">
    <w:name w:val="Ω Front:subtitle"/>
    <w:basedOn w:val="Frontdata"/>
    <w:rsid w:val="00AD2554"/>
    <w:pPr>
      <w:spacing w:after="400"/>
    </w:pPr>
    <w:rPr>
      <w:b/>
      <w:sz w:val="28"/>
    </w:rPr>
  </w:style>
  <w:style w:type="paragraph" w:customStyle="1" w:styleId="Frontmaintitle">
    <w:name w:val="Ω Front:maintitle"/>
    <w:basedOn w:val="Frontdata"/>
    <w:link w:val="FrontmaintitleCharChar"/>
    <w:rsid w:val="00AD2554"/>
    <w:pPr>
      <w:pBdr>
        <w:top w:val="single" w:sz="8" w:space="15" w:color="auto"/>
      </w:pBdr>
      <w:spacing w:before="1600" w:after="400"/>
    </w:pPr>
    <w:rPr>
      <w:b/>
      <w:sz w:val="36"/>
    </w:rPr>
  </w:style>
  <w:style w:type="paragraph" w:customStyle="1" w:styleId="Frontdata">
    <w:name w:val="Ω Front:data"/>
    <w:semiHidden/>
    <w:rsid w:val="00AD2554"/>
    <w:pPr>
      <w:keepLines/>
      <w:spacing w:before="200"/>
      <w:ind w:left="-567" w:right="1134"/>
      <w:jc w:val="center"/>
    </w:pPr>
    <w:rPr>
      <w:rFonts w:ascii="Verdana" w:hAnsi="Verdana"/>
      <w:sz w:val="24"/>
      <w:szCs w:val="24"/>
    </w:rPr>
  </w:style>
  <w:style w:type="paragraph" w:customStyle="1" w:styleId="Frontstatus">
    <w:name w:val="Ω Front:status"/>
    <w:basedOn w:val="Frontdata"/>
    <w:next w:val="BodyText"/>
    <w:rsid w:val="00AD2554"/>
    <w:pPr>
      <w:pBdr>
        <w:bottom w:val="single" w:sz="8" w:space="20" w:color="auto"/>
      </w:pBdr>
    </w:pPr>
  </w:style>
  <w:style w:type="paragraph" w:customStyle="1" w:styleId="Insidefineprint">
    <w:name w:val="Ω Inside:fineprint"/>
    <w:rsid w:val="00AD2554"/>
    <w:pPr>
      <w:spacing w:before="60"/>
      <w:ind w:left="-1134"/>
    </w:pPr>
    <w:rPr>
      <w:rFonts w:ascii="Verdana" w:hAnsi="Verdana"/>
      <w:sz w:val="16"/>
      <w:szCs w:val="24"/>
    </w:rPr>
  </w:style>
  <w:style w:type="paragraph" w:customStyle="1" w:styleId="Insideheading">
    <w:name w:val="Ω Inside:heading"/>
    <w:basedOn w:val="Insidefineprint"/>
    <w:rsid w:val="00AD2554"/>
    <w:pPr>
      <w:keepNext/>
      <w:keepLines/>
      <w:spacing w:before="120"/>
    </w:pPr>
    <w:rPr>
      <w:b/>
    </w:rPr>
  </w:style>
  <w:style w:type="paragraph" w:customStyle="1" w:styleId="Blankintentionally">
    <w:name w:val="Blank intentionally"/>
    <w:basedOn w:val="BodyText"/>
    <w:next w:val="BodyText"/>
    <w:rsid w:val="00AD2554"/>
    <w:pPr>
      <w:pageBreakBefore/>
      <w:spacing w:before="14000"/>
      <w:ind w:left="-1134"/>
      <w:jc w:val="center"/>
    </w:pPr>
    <w:rPr>
      <w:rFonts w:ascii="Verdana" w:hAnsi="Verdana"/>
      <w:sz w:val="16"/>
    </w:rPr>
  </w:style>
  <w:style w:type="paragraph" w:customStyle="1" w:styleId="Frontlogo">
    <w:name w:val="Ω Front:logo"/>
    <w:rsid w:val="00AD2554"/>
    <w:pPr>
      <w:spacing w:before="900" w:after="720"/>
      <w:ind w:right="1701"/>
      <w:jc w:val="center"/>
    </w:pPr>
    <w:rPr>
      <w:rFonts w:ascii="Verdana" w:hAnsi="Verdana"/>
      <w:noProof/>
      <w:sz w:val="144"/>
      <w:szCs w:val="24"/>
    </w:rPr>
  </w:style>
  <w:style w:type="character" w:customStyle="1" w:styleId="NEHTAred">
    <w:name w:val="Ω NEHTA:red"/>
    <w:rsid w:val="00AD2554"/>
    <w:rPr>
      <w:color w:val="CC0000"/>
    </w:rPr>
  </w:style>
  <w:style w:type="character" w:customStyle="1" w:styleId="NEHTAgray">
    <w:name w:val="Ω NEHTA:gray"/>
    <w:rsid w:val="00AD2554"/>
    <w:rPr>
      <w:color w:val="999999"/>
    </w:rPr>
  </w:style>
  <w:style w:type="paragraph" w:customStyle="1" w:styleId="Headingunnumbered2">
    <w:name w:val="Heading unnumbered 2"/>
    <w:basedOn w:val="Heading2"/>
    <w:next w:val="BodyText"/>
    <w:rsid w:val="00AD2554"/>
    <w:pPr>
      <w:keepLines/>
      <w:numPr>
        <w:ilvl w:val="0"/>
        <w:numId w:val="0"/>
      </w:numPr>
      <w:spacing w:before="280" w:after="200"/>
      <w:ind w:left="-1134"/>
    </w:pPr>
    <w:rPr>
      <w:rFonts w:ascii="Verdana" w:hAnsi="Verdana"/>
      <w:iCs/>
      <w:color w:val="auto"/>
      <w:kern w:val="32"/>
      <w:szCs w:val="28"/>
      <w:lang w:val="en-AU"/>
    </w:rPr>
  </w:style>
  <w:style w:type="paragraph" w:styleId="BodyText2">
    <w:name w:val="Body Text 2"/>
    <w:basedOn w:val="BodyText"/>
    <w:link w:val="BodyText2Char"/>
    <w:uiPriority w:val="99"/>
    <w:rsid w:val="00AD2554"/>
    <w:pPr>
      <w:spacing w:before="0"/>
      <w:ind w:left="567"/>
    </w:pPr>
    <w:rPr>
      <w:rFonts w:ascii="Verdana" w:hAnsi="Verdana"/>
      <w:sz w:val="20"/>
    </w:rPr>
  </w:style>
  <w:style w:type="character" w:customStyle="1" w:styleId="BodyText2Char">
    <w:name w:val="Body Text 2 Char"/>
    <w:basedOn w:val="DefaultParagraphFont"/>
    <w:link w:val="BodyText2"/>
    <w:uiPriority w:val="99"/>
    <w:rsid w:val="00AD2554"/>
    <w:rPr>
      <w:rFonts w:ascii="Verdana" w:hAnsi="Verdana"/>
      <w:szCs w:val="24"/>
    </w:rPr>
  </w:style>
  <w:style w:type="paragraph" w:styleId="BodyText3">
    <w:name w:val="Body Text 3"/>
    <w:basedOn w:val="BodyText2"/>
    <w:link w:val="BodyText3Char"/>
    <w:uiPriority w:val="99"/>
    <w:rsid w:val="00AD2554"/>
    <w:pPr>
      <w:ind w:left="1134"/>
    </w:pPr>
    <w:rPr>
      <w:szCs w:val="16"/>
    </w:rPr>
  </w:style>
  <w:style w:type="character" w:customStyle="1" w:styleId="BodyText3Char">
    <w:name w:val="Body Text 3 Char"/>
    <w:basedOn w:val="DefaultParagraphFont"/>
    <w:link w:val="BodyText3"/>
    <w:uiPriority w:val="99"/>
    <w:rsid w:val="00AD2554"/>
    <w:rPr>
      <w:rFonts w:ascii="Verdana" w:hAnsi="Verdana"/>
      <w:szCs w:val="16"/>
    </w:rPr>
  </w:style>
  <w:style w:type="character" w:customStyle="1" w:styleId="Subscript">
    <w:name w:val="Subscript"/>
    <w:rsid w:val="00AD2554"/>
    <w:rPr>
      <w:vertAlign w:val="subscript"/>
    </w:rPr>
  </w:style>
  <w:style w:type="paragraph" w:styleId="PlainText">
    <w:name w:val="Plain Text"/>
    <w:basedOn w:val="BodyText"/>
    <w:link w:val="PlainTextChar"/>
    <w:rsid w:val="00AD2554"/>
    <w:pPr>
      <w:spacing w:before="0" w:after="80"/>
      <w:contextualSpacing/>
    </w:pPr>
    <w:rPr>
      <w:rFonts w:ascii="Courier New" w:hAnsi="Courier New" w:cs="Courier New"/>
      <w:sz w:val="20"/>
    </w:rPr>
  </w:style>
  <w:style w:type="character" w:customStyle="1" w:styleId="PlainTextChar">
    <w:name w:val="Plain Text Char"/>
    <w:basedOn w:val="DefaultParagraphFont"/>
    <w:link w:val="PlainText"/>
    <w:rsid w:val="00AD2554"/>
    <w:rPr>
      <w:rFonts w:ascii="Courier New" w:hAnsi="Courier New" w:cs="Courier New"/>
      <w:szCs w:val="24"/>
    </w:rPr>
  </w:style>
  <w:style w:type="paragraph" w:styleId="List3">
    <w:name w:val="List 3"/>
    <w:basedOn w:val="List2"/>
    <w:rsid w:val="00AD2554"/>
    <w:pPr>
      <w:ind w:left="849"/>
    </w:pPr>
  </w:style>
  <w:style w:type="paragraph" w:styleId="ListBullet3">
    <w:name w:val="List Bullet 3"/>
    <w:basedOn w:val="ListBullet2"/>
    <w:uiPriority w:val="99"/>
    <w:rsid w:val="00AD2554"/>
    <w:pPr>
      <w:numPr>
        <w:numId w:val="25"/>
      </w:numPr>
      <w:tabs>
        <w:tab w:val="left" w:pos="714"/>
      </w:tabs>
      <w:spacing w:before="120" w:after="120" w:line="240" w:lineRule="auto"/>
      <w:contextualSpacing w:val="0"/>
    </w:pPr>
    <w:rPr>
      <w:rFonts w:ascii="Verdana" w:hAnsi="Verdana"/>
      <w:sz w:val="20"/>
    </w:rPr>
  </w:style>
  <w:style w:type="paragraph" w:styleId="ListBullet4">
    <w:name w:val="List Bullet 4"/>
    <w:basedOn w:val="ListBullet3"/>
    <w:uiPriority w:val="99"/>
    <w:rsid w:val="00AD2554"/>
    <w:pPr>
      <w:numPr>
        <w:numId w:val="26"/>
      </w:numPr>
    </w:pPr>
  </w:style>
  <w:style w:type="paragraph" w:styleId="ListBullet5">
    <w:name w:val="List Bullet 5"/>
    <w:basedOn w:val="ListBullet4"/>
    <w:rsid w:val="00AD2554"/>
    <w:pPr>
      <w:numPr>
        <w:numId w:val="27"/>
      </w:numPr>
    </w:pPr>
  </w:style>
  <w:style w:type="paragraph" w:styleId="ListNumber3">
    <w:name w:val="List Number 3"/>
    <w:basedOn w:val="ListNumber2"/>
    <w:rsid w:val="00AD2554"/>
    <w:pPr>
      <w:keepLines w:val="0"/>
      <w:numPr>
        <w:numId w:val="28"/>
      </w:numPr>
      <w:spacing w:before="0"/>
    </w:pPr>
  </w:style>
  <w:style w:type="paragraph" w:styleId="ListContinue">
    <w:name w:val="List Continue"/>
    <w:basedOn w:val="BodyText"/>
    <w:uiPriority w:val="99"/>
    <w:rsid w:val="00AD2554"/>
    <w:pPr>
      <w:spacing w:before="0"/>
      <w:ind w:left="567"/>
    </w:pPr>
    <w:rPr>
      <w:rFonts w:ascii="Verdana" w:hAnsi="Verdana"/>
      <w:sz w:val="20"/>
    </w:rPr>
  </w:style>
  <w:style w:type="paragraph" w:styleId="ListContinue2">
    <w:name w:val="List Continue 2"/>
    <w:basedOn w:val="ListContinue"/>
    <w:uiPriority w:val="99"/>
    <w:rsid w:val="00AD2554"/>
    <w:pPr>
      <w:ind w:left="1134"/>
    </w:pPr>
  </w:style>
  <w:style w:type="paragraph" w:styleId="ListContinue3">
    <w:name w:val="List Continue 3"/>
    <w:basedOn w:val="ListContinue2"/>
    <w:rsid w:val="00AD2554"/>
    <w:pPr>
      <w:ind w:left="1701"/>
    </w:pPr>
  </w:style>
  <w:style w:type="paragraph" w:styleId="ListContinue4">
    <w:name w:val="List Continue 4"/>
    <w:basedOn w:val="ListContinue3"/>
    <w:rsid w:val="00AD2554"/>
    <w:pPr>
      <w:ind w:left="2268"/>
    </w:pPr>
  </w:style>
  <w:style w:type="paragraph" w:customStyle="1" w:styleId="Note">
    <w:name w:val="Note"/>
    <w:basedOn w:val="BodyText"/>
    <w:next w:val="BodyText"/>
    <w:uiPriority w:val="99"/>
    <w:rsid w:val="00AD2554"/>
    <w:pPr>
      <w:spacing w:before="0"/>
      <w:ind w:left="1134" w:hanging="1134"/>
    </w:pPr>
    <w:rPr>
      <w:rFonts w:ascii="Verdana" w:hAnsi="Verdana"/>
      <w:sz w:val="20"/>
    </w:rPr>
  </w:style>
  <w:style w:type="paragraph" w:customStyle="1" w:styleId="Reference">
    <w:name w:val="Reference"/>
    <w:basedOn w:val="BodyText"/>
    <w:rsid w:val="00AD2554"/>
    <w:pPr>
      <w:spacing w:before="0"/>
      <w:ind w:left="1701" w:hanging="1701"/>
    </w:pPr>
    <w:rPr>
      <w:rFonts w:ascii="Verdana" w:hAnsi="Verdana"/>
      <w:sz w:val="20"/>
    </w:rPr>
  </w:style>
  <w:style w:type="paragraph" w:customStyle="1" w:styleId="Figure">
    <w:name w:val="Figure"/>
    <w:basedOn w:val="BodyText"/>
    <w:next w:val="BodyText"/>
    <w:uiPriority w:val="99"/>
    <w:rsid w:val="00AD2554"/>
    <w:pPr>
      <w:keepNext/>
      <w:spacing w:before="240"/>
      <w:ind w:left="-567" w:right="-567"/>
      <w:jc w:val="center"/>
    </w:pPr>
    <w:rPr>
      <w:rFonts w:ascii="Verdana" w:hAnsi="Verdana"/>
      <w:sz w:val="20"/>
    </w:rPr>
  </w:style>
  <w:style w:type="paragraph" w:customStyle="1" w:styleId="Figurewide">
    <w:name w:val="Figure wide"/>
    <w:basedOn w:val="Figure"/>
    <w:next w:val="BodyText"/>
    <w:rsid w:val="00AD2554"/>
    <w:pPr>
      <w:ind w:left="-1701"/>
    </w:pPr>
  </w:style>
  <w:style w:type="paragraph" w:styleId="TOC5">
    <w:name w:val="toc 5"/>
    <w:basedOn w:val="TOC4"/>
    <w:next w:val="BodyText"/>
    <w:autoRedefine/>
    <w:uiPriority w:val="39"/>
    <w:rsid w:val="00AD2554"/>
    <w:pPr>
      <w:tabs>
        <w:tab w:val="clear" w:pos="1134"/>
        <w:tab w:val="clear" w:pos="9639"/>
        <w:tab w:val="left" w:pos="1843"/>
        <w:tab w:val="right" w:leader="dot" w:pos="9072"/>
      </w:tabs>
      <w:spacing w:after="80"/>
      <w:ind w:left="960" w:right="-1" w:hanging="850"/>
    </w:pPr>
    <w:rPr>
      <w:rFonts w:ascii="Verdana" w:hAnsi="Verdana"/>
      <w:b w:val="0"/>
      <w:noProof/>
    </w:rPr>
  </w:style>
  <w:style w:type="paragraph" w:styleId="TOC6">
    <w:name w:val="toc 6"/>
    <w:basedOn w:val="TOC5"/>
    <w:next w:val="BodyText"/>
    <w:autoRedefine/>
    <w:uiPriority w:val="39"/>
    <w:rsid w:val="00AD2554"/>
    <w:pPr>
      <w:ind w:left="1200"/>
    </w:pPr>
  </w:style>
  <w:style w:type="paragraph" w:styleId="TOC7">
    <w:name w:val="toc 7"/>
    <w:basedOn w:val="TOC6"/>
    <w:next w:val="BodyText"/>
    <w:autoRedefine/>
    <w:uiPriority w:val="39"/>
    <w:rsid w:val="00AD2554"/>
    <w:pPr>
      <w:ind w:left="1440"/>
    </w:pPr>
  </w:style>
  <w:style w:type="paragraph" w:styleId="TOC8">
    <w:name w:val="toc 8"/>
    <w:basedOn w:val="TOC7"/>
    <w:next w:val="BodyText"/>
    <w:autoRedefine/>
    <w:uiPriority w:val="39"/>
    <w:rsid w:val="00AD2554"/>
    <w:pPr>
      <w:ind w:left="1680"/>
    </w:pPr>
  </w:style>
  <w:style w:type="paragraph" w:styleId="TOC9">
    <w:name w:val="toc 9"/>
    <w:basedOn w:val="TOC8"/>
    <w:next w:val="BodyText"/>
    <w:autoRedefine/>
    <w:uiPriority w:val="39"/>
    <w:rsid w:val="00AD2554"/>
    <w:pPr>
      <w:ind w:left="1920"/>
    </w:pPr>
  </w:style>
  <w:style w:type="table" w:customStyle="1" w:styleId="TableBlank">
    <w:name w:val="Table Blank"/>
    <w:basedOn w:val="TableGrid"/>
    <w:rsid w:val="00AD2554"/>
    <w:pPr>
      <w:keepNext/>
    </w:pPr>
    <w:rPr>
      <w:rFonts w:ascii="Verdana" w:hAnsi="Verdana"/>
    </w:rPr>
    <w:tblPr>
      <w:tblCellMar>
        <w:top w:w="119" w:type="dxa"/>
      </w:tblCellMar>
    </w:tblPr>
    <w:trPr>
      <w:cantSplit/>
    </w:trPr>
    <w:tblStylePr w:type="firstRow">
      <w:tblPr/>
      <w:trPr>
        <w:cantSplit w:val="0"/>
      </w:trPr>
    </w:tblStylePr>
    <w:tblStylePr w:type="firstCol">
      <w:rPr>
        <w:b/>
      </w:rPr>
    </w:tblStylePr>
  </w:style>
  <w:style w:type="table" w:customStyle="1" w:styleId="TableGrey1">
    <w:name w:val="Table Grey 1"/>
    <w:basedOn w:val="TableGrid"/>
    <w:uiPriority w:val="99"/>
    <w:rsid w:val="00AD2554"/>
    <w:pPr>
      <w:keepNext/>
    </w:pPr>
    <w:rPr>
      <w:rFonts w:ascii="Verdana" w:hAnsi="Verdana"/>
    </w:rPr>
    <w:tblPr>
      <w:tblCellMar>
        <w:top w:w="119" w:type="dxa"/>
      </w:tblCellMar>
    </w:tblPr>
    <w:trPr>
      <w:cantSplit/>
    </w:trPr>
    <w:tblStylePr w:type="firstRow">
      <w:rPr>
        <w:b/>
      </w:rPr>
      <w:tblPr/>
      <w:trPr>
        <w:cantSplit w:val="0"/>
        <w:tblHeader/>
      </w:trPr>
      <w:tcPr>
        <w:shd w:val="clear" w:color="auto" w:fill="E6E6E6"/>
      </w:tcPr>
    </w:tblStylePr>
  </w:style>
  <w:style w:type="table" w:styleId="TableColorful2">
    <w:name w:val="Table Colorful 2"/>
    <w:basedOn w:val="TableNormal"/>
    <w:rsid w:val="00AD2554"/>
    <w:pPr>
      <w:keepNext/>
    </w:pPr>
    <w:rPr>
      <w:rFonts w:ascii="Verdana" w:hAnsi="Verdana"/>
    </w:rPr>
    <w:tblPr>
      <w:tblStyleRow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19" w:type="dxa"/>
      </w:tblCellMar>
    </w:tblPr>
    <w:trPr>
      <w:cantSplit/>
    </w:trPr>
    <w:tcPr>
      <w:shd w:val="clear" w:color="FFFF00" w:fill="auto"/>
    </w:tcPr>
    <w:tblStylePr w:type="firstRow">
      <w:rPr>
        <w:b w:val="0"/>
        <w:bCs/>
        <w:i w:val="0"/>
        <w:iCs/>
        <w:color w:val="auto"/>
      </w:rPr>
      <w:tblPr/>
      <w:tcPr>
        <w:tcBorders>
          <w:top w:val="nil"/>
          <w:left w:val="nil"/>
          <w:bottom w:val="nil"/>
          <w:right w:val="nil"/>
          <w:insideH w:val="nil"/>
          <w:insideV w:val="nil"/>
          <w:tl2br w:val="nil"/>
          <w:tr2bl w:val="nil"/>
        </w:tcBorders>
        <w:shd w:val="clear" w:color="800000" w:fill="D9D9D9"/>
      </w:tcPr>
    </w:tblStylePr>
    <w:tblStylePr w:type="lastRow">
      <w:tblPr/>
      <w:tcPr>
        <w:tcBorders>
          <w:top w:val="nil"/>
          <w:left w:val="nil"/>
          <w:bottom w:val="nil"/>
          <w:right w:val="nil"/>
          <w:insideH w:val="nil"/>
          <w:insideV w:val="nil"/>
          <w:tl2br w:val="nil"/>
          <w:tr2bl w:val="nil"/>
        </w:tcBorders>
        <w:shd w:val="clear" w:color="FFFF00" w:fill="D9D9D9"/>
      </w:tcPr>
    </w:tblStylePr>
    <w:tblStylePr w:type="firstCol">
      <w:rPr>
        <w:b/>
        <w:bCs/>
        <w:i w:val="0"/>
        <w:iCs/>
      </w:rPr>
      <w:tblPr/>
      <w:tcPr>
        <w:tcBorders>
          <w:top w:val="nil"/>
          <w:left w:val="nil"/>
          <w:bottom w:val="nil"/>
          <w:right w:val="nil"/>
          <w:insideH w:val="single" w:sz="4" w:space="0" w:color="FFFFFF"/>
          <w:insideV w:val="nil"/>
          <w:tl2br w:val="nil"/>
          <w:tr2bl w:val="nil"/>
        </w:tcBorders>
        <w:shd w:val="clear" w:color="FFFF00" w:fill="800000"/>
      </w:tcPr>
    </w:tblStylePr>
    <w:tblStylePr w:type="lastCol">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clear" w:color="FFFF00" w:fill="auto"/>
      </w:tcPr>
    </w:tblStylePr>
    <w:tblStylePr w:type="band2Horz">
      <w:tblPr/>
      <w:tcPr>
        <w:tcBorders>
          <w:top w:val="nil"/>
          <w:left w:val="nil"/>
          <w:bottom w:val="nil"/>
          <w:right w:val="nil"/>
          <w:insideH w:val="nil"/>
          <w:insideV w:val="nil"/>
          <w:tl2br w:val="nil"/>
          <w:tr2bl w:val="nil"/>
        </w:tcBorders>
        <w:shd w:val="clear" w:color="FFFF00" w:fill="D9D9D9"/>
      </w:tcPr>
    </w:tblStylePr>
    <w:tblStylePr w:type="nwCell">
      <w:rPr>
        <w:b/>
      </w:rPr>
      <w:tblPr/>
      <w:tcPr>
        <w:tcBorders>
          <w:top w:val="nil"/>
          <w:left w:val="nil"/>
          <w:bottom w:val="nil"/>
          <w:right w:val="nil"/>
          <w:insideH w:val="single" w:sz="4" w:space="0" w:color="FFFFFF"/>
          <w:insideV w:val="nil"/>
          <w:tl2br w:val="nil"/>
          <w:tr2bl w:val="nil"/>
        </w:tcBorders>
        <w:shd w:val="clear" w:color="FFFF00" w:fill="800000"/>
      </w:tcPr>
    </w:tblStylePr>
    <w:tblStylePr w:type="swCell">
      <w:rPr>
        <w:b/>
        <w:bCs/>
        <w:i w:val="0"/>
        <w:iCs w:val="0"/>
      </w:rPr>
      <w:tblPr/>
      <w:tcPr>
        <w:tcBorders>
          <w:top w:val="nil"/>
          <w:left w:val="nil"/>
          <w:bottom w:val="nil"/>
          <w:right w:val="nil"/>
          <w:insideH w:val="nil"/>
          <w:insideV w:val="nil"/>
          <w:tl2br w:val="nil"/>
          <w:tr2bl w:val="nil"/>
        </w:tcBorders>
        <w:shd w:val="clear" w:color="FFFF00" w:fill="800000"/>
      </w:tcPr>
    </w:tblStylePr>
  </w:style>
  <w:style w:type="table" w:styleId="TableColorful3">
    <w:name w:val="Table Colorful 3"/>
    <w:basedOn w:val="TableNormal"/>
    <w:rsid w:val="00AD2554"/>
    <w:pPr>
      <w:keepNext/>
    </w:pPr>
    <w:rPr>
      <w:rFonts w:ascii="Verdana" w:hAnsi="Verdana"/>
    </w:rPr>
    <w:tblPr>
      <w:tblStyleRow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19" w:type="dxa"/>
      </w:tblCellMar>
    </w:tblPr>
    <w:trPr>
      <w:cantSplit/>
    </w:trPr>
    <w:tcPr>
      <w:shd w:val="clear" w:color="008080" w:fill="auto"/>
    </w:tcPr>
    <w:tblStylePr w:type="firstRow">
      <w:rPr>
        <w:b/>
      </w:rPr>
      <w:tblPr/>
      <w:trPr>
        <w:cantSplit w:val="0"/>
        <w:tblHeader/>
      </w:trPr>
      <w:tcPr>
        <w:tcBorders>
          <w:top w:val="single" w:sz="6" w:space="0" w:color="auto"/>
          <w:left w:val="single" w:sz="6" w:space="0" w:color="auto"/>
          <w:bottom w:val="single" w:sz="6" w:space="0" w:color="auto"/>
          <w:right w:val="single" w:sz="6" w:space="0" w:color="auto"/>
          <w:insideH w:val="nil"/>
          <w:insideV w:val="nil"/>
          <w:tl2br w:val="nil"/>
          <w:tr2bl w:val="nil"/>
        </w:tcBorders>
        <w:shd w:val="clear" w:color="008080" w:fill="800000"/>
      </w:tcPr>
    </w:tblStylePr>
    <w:tblStylePr w:type="firstCol">
      <w:rPr>
        <w:b/>
      </w:rPr>
      <w:tblPr/>
      <w:tcPr>
        <w:tcBorders>
          <w:top w:val="single" w:sz="6" w:space="0" w:color="auto"/>
          <w:left w:val="single" w:sz="6" w:space="0" w:color="auto"/>
          <w:bottom w:val="single" w:sz="6" w:space="0" w:color="auto"/>
          <w:right w:val="single" w:sz="6" w:space="0" w:color="auto"/>
          <w:insideH w:val="single" w:sz="4" w:space="0" w:color="FFFFFF"/>
          <w:insideV w:val="nil"/>
          <w:tl2br w:val="nil"/>
          <w:tr2bl w:val="nil"/>
        </w:tcBorders>
        <w:shd w:val="clear" w:color="008080" w:fill="800000"/>
      </w:tcPr>
    </w:tblStylePr>
    <w:tblStylePr w:type="band1Horz">
      <w:tblPr/>
      <w:tcPr>
        <w:tcBorders>
          <w:top w:val="nil"/>
          <w:left w:val="nil"/>
          <w:bottom w:val="nil"/>
          <w:right w:val="nil"/>
          <w:insideH w:val="nil"/>
          <w:insideV w:val="nil"/>
          <w:tl2br w:val="nil"/>
          <w:tr2bl w:val="nil"/>
        </w:tcBorders>
        <w:shd w:val="clear" w:color="008080" w:fill="auto"/>
      </w:tcPr>
    </w:tblStylePr>
    <w:tblStylePr w:type="band2Horz">
      <w:tblPr/>
      <w:tcPr>
        <w:tcBorders>
          <w:top w:val="nil"/>
          <w:left w:val="nil"/>
          <w:bottom w:val="nil"/>
          <w:right w:val="nil"/>
          <w:insideH w:val="nil"/>
          <w:insideV w:val="nil"/>
          <w:tl2br w:val="nil"/>
          <w:tr2bl w:val="nil"/>
        </w:tcBorders>
        <w:shd w:val="clear" w:color="008080" w:fill="D9D9D9"/>
      </w:tcPr>
    </w:tblStylePr>
    <w:tblStylePr w:type="nwCell">
      <w:rPr>
        <w:b/>
        <w:bCs/>
        <w:color w:val="FFFFFF"/>
      </w:rPr>
      <w:tblPr/>
      <w:tcPr>
        <w:tcBorders>
          <w:top w:val="nil"/>
          <w:left w:val="nil"/>
          <w:bottom w:val="nil"/>
          <w:right w:val="nil"/>
          <w:insideH w:val="nil"/>
          <w:insideV w:val="nil"/>
          <w:tl2br w:val="nil"/>
          <w:tr2bl w:val="nil"/>
        </w:tcBorders>
        <w:shd w:val="clear" w:color="000000" w:fill="auto"/>
      </w:tcPr>
    </w:tblStylePr>
  </w:style>
  <w:style w:type="table" w:styleId="TableColorful1">
    <w:name w:val="Table Colorful 1"/>
    <w:basedOn w:val="TableNormal"/>
    <w:rsid w:val="00AD2554"/>
    <w:pPr>
      <w:keepNext/>
    </w:pPr>
    <w:rPr>
      <w:rFonts w:ascii="Verdana" w:hAnsi="Verdana"/>
    </w:rPr>
    <w:tblPr>
      <w:tblStyleRow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20" w:type="dxa"/>
      </w:tblCellMar>
    </w:tblPr>
    <w:trPr>
      <w:cantSplit/>
    </w:trPr>
    <w:tcPr>
      <w:shd w:val="clear" w:color="auto" w:fill="auto"/>
    </w:tcPr>
    <w:tblStylePr w:type="firstRow">
      <w:rPr>
        <w:b/>
        <w:bCs/>
        <w:i w:val="0"/>
        <w:iCs/>
      </w:rPr>
      <w:tblPr/>
      <w:trPr>
        <w:cantSplit w:val="0"/>
        <w:tblHeader/>
      </w:trPr>
      <w:tcPr>
        <w:tcBorders>
          <w:top w:val="nil"/>
          <w:left w:val="nil"/>
          <w:bottom w:val="nil"/>
          <w:right w:val="nil"/>
          <w:insideH w:val="nil"/>
          <w:insideV w:val="nil"/>
          <w:tl2br w:val="nil"/>
          <w:tr2bl w:val="nil"/>
        </w:tcBorders>
        <w:shd w:val="solid" w:color="800000" w:fill="FFFFFF"/>
      </w:tcPr>
    </w:tblStylePr>
    <w:tblStylePr w:type="lastRow">
      <w:tblPr/>
      <w:tcPr>
        <w:tcBorders>
          <w:top w:val="nil"/>
          <w:left w:val="nil"/>
          <w:bottom w:val="nil"/>
          <w:right w:val="nil"/>
          <w:insideH w:val="nil"/>
          <w:insideV w:val="nil"/>
          <w:tl2br w:val="nil"/>
          <w:tr2bl w:val="nil"/>
        </w:tcBorders>
        <w:shd w:val="clear" w:color="auto" w:fill="D9D9D9"/>
      </w:tcPr>
    </w:tblStylePr>
    <w:tblStylePr w:type="firstCol">
      <w:rPr>
        <w:b w:val="0"/>
        <w:bCs/>
        <w:i w:val="0"/>
        <w:iCs/>
      </w:r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shd w:val="clear" w:color="auto" w:fill="D9D9D9"/>
      </w:tcPr>
    </w:tblStylePr>
    <w:tblStylePr w:type="nwCell">
      <w:tblPr/>
      <w:tcPr>
        <w:tcBorders>
          <w:top w:val="nil"/>
          <w:left w:val="nil"/>
          <w:bottom w:val="nil"/>
          <w:right w:val="nil"/>
          <w:insideH w:val="nil"/>
          <w:insideV w:val="nil"/>
          <w:tl2br w:val="nil"/>
          <w:tr2bl w:val="nil"/>
        </w:tcBorders>
        <w:shd w:val="clear" w:color="000000" w:fill="800000"/>
      </w:tcPr>
    </w:tblStylePr>
    <w:tblStylePr w:type="swCell">
      <w:rPr>
        <w:b w:val="0"/>
        <w:bCs/>
        <w:i w:val="0"/>
        <w:iCs w:val="0"/>
      </w:rPr>
      <w:tblPr/>
      <w:tcPr>
        <w:tcBorders>
          <w:tl2br w:val="none" w:sz="0" w:space="0" w:color="auto"/>
          <w:tr2bl w:val="none" w:sz="0" w:space="0" w:color="auto"/>
        </w:tcBorders>
      </w:tcPr>
    </w:tblStylePr>
  </w:style>
  <w:style w:type="paragraph" w:customStyle="1" w:styleId="Headerlandscape">
    <w:name w:val="Header landscape"/>
    <w:basedOn w:val="Header"/>
    <w:rsid w:val="00AD2554"/>
    <w:pPr>
      <w:pBdr>
        <w:bottom w:val="single" w:sz="2" w:space="2" w:color="auto"/>
      </w:pBdr>
      <w:tabs>
        <w:tab w:val="clear" w:pos="0"/>
        <w:tab w:val="clear" w:pos="8647"/>
        <w:tab w:val="right" w:pos="14572"/>
      </w:tabs>
      <w:jc w:val="left"/>
    </w:pPr>
    <w:rPr>
      <w:rFonts w:ascii="Verdana" w:hAnsi="Verdana" w:cs="Times New Roman"/>
      <w:bCs w:val="0"/>
      <w:noProof/>
      <w:color w:val="auto"/>
      <w:sz w:val="18"/>
      <w:szCs w:val="24"/>
    </w:rPr>
  </w:style>
  <w:style w:type="paragraph" w:customStyle="1" w:styleId="Footerlandscape">
    <w:name w:val="Footer landscape"/>
    <w:basedOn w:val="Footer"/>
    <w:rsid w:val="00AD2554"/>
    <w:pPr>
      <w:pBdr>
        <w:top w:val="single" w:sz="2" w:space="2" w:color="auto"/>
      </w:pBdr>
      <w:tabs>
        <w:tab w:val="clear" w:pos="4153"/>
        <w:tab w:val="clear" w:pos="8306"/>
        <w:tab w:val="center" w:pos="6719"/>
        <w:tab w:val="right" w:pos="14572"/>
      </w:tabs>
      <w:spacing w:after="0" w:line="240" w:lineRule="auto"/>
    </w:pPr>
    <w:rPr>
      <w:rFonts w:ascii="Verdana" w:hAnsi="Verdana"/>
      <w:noProof/>
      <w:sz w:val="18"/>
    </w:rPr>
  </w:style>
  <w:style w:type="paragraph" w:styleId="BlockText">
    <w:name w:val="Block Text"/>
    <w:basedOn w:val="BodyText"/>
    <w:rsid w:val="00AD2554"/>
    <w:pPr>
      <w:spacing w:before="0"/>
      <w:ind w:left="1134" w:right="1134"/>
    </w:pPr>
    <w:rPr>
      <w:rFonts w:ascii="Verdana" w:hAnsi="Verdana"/>
      <w:sz w:val="20"/>
    </w:rPr>
  </w:style>
  <w:style w:type="paragraph" w:styleId="BodyTextFirstIndent">
    <w:name w:val="Body Text First Indent"/>
    <w:basedOn w:val="BodyText"/>
    <w:link w:val="BodyTextFirstIndentChar"/>
    <w:rsid w:val="00AD2554"/>
    <w:pPr>
      <w:spacing w:before="0"/>
      <w:ind w:firstLine="210"/>
    </w:pPr>
    <w:rPr>
      <w:rFonts w:ascii="Verdana" w:hAnsi="Verdana"/>
      <w:sz w:val="20"/>
    </w:rPr>
  </w:style>
  <w:style w:type="character" w:customStyle="1" w:styleId="BodyTextFirstIndentChar">
    <w:name w:val="Body Text First Indent Char"/>
    <w:basedOn w:val="BodyTextChar"/>
    <w:link w:val="BodyTextFirstIndent"/>
    <w:rsid w:val="00AD2554"/>
    <w:rPr>
      <w:rFonts w:ascii="Verdana" w:hAnsi="Verdana"/>
      <w:sz w:val="22"/>
      <w:szCs w:val="24"/>
    </w:rPr>
  </w:style>
  <w:style w:type="paragraph" w:styleId="BodyTextIndent2">
    <w:name w:val="Body Text Indent 2"/>
    <w:basedOn w:val="BodyTextIndent"/>
    <w:link w:val="BodyTextIndent2Char"/>
    <w:rsid w:val="00AD2554"/>
    <w:pPr>
      <w:tabs>
        <w:tab w:val="clear" w:pos="9027"/>
      </w:tabs>
      <w:spacing w:before="0"/>
      <w:ind w:left="567"/>
      <w:jc w:val="left"/>
    </w:pPr>
    <w:rPr>
      <w:rFonts w:ascii="Verdana" w:hAnsi="Verdana"/>
      <w:sz w:val="16"/>
      <w:szCs w:val="24"/>
      <w:lang w:eastAsia="en-AU"/>
    </w:rPr>
  </w:style>
  <w:style w:type="character" w:customStyle="1" w:styleId="BodyTextIndent2Char">
    <w:name w:val="Body Text Indent 2 Char"/>
    <w:basedOn w:val="DefaultParagraphFont"/>
    <w:link w:val="BodyTextIndent2"/>
    <w:rsid w:val="00AD2554"/>
    <w:rPr>
      <w:rFonts w:ascii="Verdana" w:hAnsi="Verdana"/>
      <w:sz w:val="16"/>
      <w:szCs w:val="24"/>
    </w:rPr>
  </w:style>
  <w:style w:type="paragraph" w:styleId="BodyTextIndent3">
    <w:name w:val="Body Text Indent 3"/>
    <w:basedOn w:val="BodyTextIndent2"/>
    <w:link w:val="BodyTextIndent3Char"/>
    <w:rsid w:val="00AD2554"/>
    <w:pPr>
      <w:ind w:left="851"/>
    </w:pPr>
    <w:rPr>
      <w:szCs w:val="16"/>
    </w:rPr>
  </w:style>
  <w:style w:type="character" w:customStyle="1" w:styleId="BodyTextIndent3Char">
    <w:name w:val="Body Text Indent 3 Char"/>
    <w:basedOn w:val="DefaultParagraphFont"/>
    <w:link w:val="BodyTextIndent3"/>
    <w:rsid w:val="00AD2554"/>
    <w:rPr>
      <w:rFonts w:ascii="Verdana" w:hAnsi="Verdana"/>
      <w:sz w:val="16"/>
      <w:szCs w:val="16"/>
    </w:rPr>
  </w:style>
  <w:style w:type="paragraph" w:styleId="BodyTextFirstIndent2">
    <w:name w:val="Body Text First Indent 2"/>
    <w:basedOn w:val="BodyTextIndent"/>
    <w:link w:val="BodyTextFirstIndent2Char"/>
    <w:rsid w:val="00AD2554"/>
    <w:pPr>
      <w:tabs>
        <w:tab w:val="clear" w:pos="9027"/>
      </w:tabs>
      <w:spacing w:before="0"/>
      <w:ind w:left="284" w:firstLine="210"/>
      <w:jc w:val="left"/>
    </w:pPr>
    <w:rPr>
      <w:rFonts w:ascii="Verdana" w:hAnsi="Verdana"/>
      <w:sz w:val="20"/>
      <w:szCs w:val="24"/>
      <w:lang w:eastAsia="en-AU"/>
    </w:rPr>
  </w:style>
  <w:style w:type="character" w:customStyle="1" w:styleId="BodyTextFirstIndent2Char">
    <w:name w:val="Body Text First Indent 2 Char"/>
    <w:basedOn w:val="BodyTextIndentChar"/>
    <w:link w:val="BodyTextFirstIndent2"/>
    <w:rsid w:val="00AD2554"/>
    <w:rPr>
      <w:rFonts w:ascii="Verdana" w:hAnsi="Verdana"/>
      <w:sz w:val="22"/>
      <w:szCs w:val="24"/>
      <w:lang w:eastAsia="en-US"/>
    </w:rPr>
  </w:style>
  <w:style w:type="paragraph" w:styleId="List">
    <w:name w:val="List"/>
    <w:basedOn w:val="BodyText"/>
    <w:rsid w:val="00AD2554"/>
    <w:pPr>
      <w:spacing w:before="0"/>
      <w:ind w:left="283" w:hanging="283"/>
    </w:pPr>
    <w:rPr>
      <w:rFonts w:ascii="Verdana" w:hAnsi="Verdana"/>
      <w:sz w:val="20"/>
    </w:rPr>
  </w:style>
  <w:style w:type="paragraph" w:styleId="List2">
    <w:name w:val="List 2"/>
    <w:basedOn w:val="List"/>
    <w:rsid w:val="00AD2554"/>
    <w:pPr>
      <w:ind w:left="566"/>
    </w:pPr>
  </w:style>
  <w:style w:type="paragraph" w:styleId="List4">
    <w:name w:val="List 4"/>
    <w:basedOn w:val="List3"/>
    <w:rsid w:val="00AD2554"/>
    <w:pPr>
      <w:ind w:left="1132"/>
    </w:pPr>
  </w:style>
  <w:style w:type="paragraph" w:styleId="List5">
    <w:name w:val="List 5"/>
    <w:basedOn w:val="List4"/>
    <w:rsid w:val="00AD2554"/>
    <w:pPr>
      <w:ind w:left="1415"/>
    </w:pPr>
  </w:style>
  <w:style w:type="paragraph" w:styleId="Title">
    <w:name w:val="Title"/>
    <w:link w:val="TitleChar"/>
    <w:uiPriority w:val="99"/>
    <w:qFormat/>
    <w:rsid w:val="00AD2554"/>
    <w:pPr>
      <w:spacing w:before="240" w:after="60"/>
      <w:jc w:val="center"/>
      <w:outlineLvl w:val="0"/>
    </w:pPr>
    <w:rPr>
      <w:rFonts w:ascii="Verdana" w:hAnsi="Verdana" w:cs="Arial"/>
      <w:b/>
      <w:bCs/>
      <w:kern w:val="28"/>
      <w:sz w:val="32"/>
      <w:szCs w:val="32"/>
    </w:rPr>
  </w:style>
  <w:style w:type="character" w:customStyle="1" w:styleId="TitleChar">
    <w:name w:val="Title Char"/>
    <w:basedOn w:val="DefaultParagraphFont"/>
    <w:link w:val="Title"/>
    <w:uiPriority w:val="99"/>
    <w:rsid w:val="00AD2554"/>
    <w:rPr>
      <w:rFonts w:ascii="Verdana" w:hAnsi="Verdana" w:cs="Arial"/>
      <w:b/>
      <w:bCs/>
      <w:kern w:val="28"/>
      <w:sz w:val="32"/>
      <w:szCs w:val="32"/>
    </w:rPr>
  </w:style>
  <w:style w:type="paragraph" w:styleId="ListNumber4">
    <w:name w:val="List Number 4"/>
    <w:basedOn w:val="BodyText"/>
    <w:rsid w:val="00AD2554"/>
    <w:pPr>
      <w:numPr>
        <w:numId w:val="29"/>
      </w:numPr>
      <w:spacing w:before="0"/>
    </w:pPr>
    <w:rPr>
      <w:rFonts w:ascii="Verdana" w:hAnsi="Verdana"/>
      <w:sz w:val="20"/>
    </w:rPr>
  </w:style>
  <w:style w:type="table" w:styleId="Table3Deffects2">
    <w:name w:val="Table 3D effects 2"/>
    <w:basedOn w:val="TableNormal"/>
    <w:semiHidden/>
    <w:rsid w:val="00AD255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AD255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AD2554"/>
    <w:pPr>
      <w:keepNext/>
    </w:pPr>
    <w:rPr>
      <w:rFonts w:ascii="Verdana" w:hAnsi="Verdana"/>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9" w:type="dxa"/>
      </w:tblCellMar>
    </w:tblPr>
    <w:trPr>
      <w:cantSplit/>
    </w:trPr>
    <w:tcPr>
      <w:shd w:val="clear" w:color="auto" w:fill="auto"/>
    </w:tcPr>
    <w:tblStylePr w:type="firstRow">
      <w:rPr>
        <w:b/>
        <w:i w:val="0"/>
        <w:iCs/>
      </w:rPr>
      <w:tblPr/>
      <w:trPr>
        <w:cantSplit w:val="0"/>
        <w:tblHeader/>
      </w:trPr>
      <w:tcPr>
        <w:tcBorders>
          <w:bottom w:val="single" w:sz="6" w:space="0" w:color="000000"/>
        </w:tcBorders>
        <w:shd w:val="clear" w:color="auto" w:fill="000000"/>
      </w:tcPr>
    </w:tblStylePr>
    <w:tblStylePr w:type="lastRow">
      <w:rPr>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b/>
      </w:rPr>
      <w:tblPr/>
      <w:tcPr>
        <w:tcBorders>
          <w:top w:val="nil"/>
          <w:left w:val="nil"/>
          <w:bottom w:val="nil"/>
          <w:right w:val="nil"/>
          <w:insideH w:val="single" w:sz="4" w:space="0" w:color="000000"/>
          <w:insideV w:val="single" w:sz="4" w:space="0" w:color="000000"/>
          <w:tl2br w:val="nil"/>
          <w:tr2bl w:val="nil"/>
        </w:tcBorders>
        <w:shd w:val="clear" w:color="auto" w:fill="auto"/>
      </w:tcPr>
    </w:tblStylePr>
    <w:tblStylePr w:type="band1Horz">
      <w:tblPr/>
      <w:tcPr>
        <w:tcBorders>
          <w:top w:val="nil"/>
          <w:left w:val="nil"/>
          <w:bottom w:val="single" w:sz="4" w:space="0" w:color="000000"/>
          <w:right w:val="nil"/>
          <w:insideH w:val="nil"/>
          <w:insideV w:val="nil"/>
          <w:tl2br w:val="nil"/>
          <w:tr2bl w:val="nil"/>
        </w:tcBorders>
        <w:shd w:val="clear" w:color="auto" w:fill="auto"/>
      </w:tcPr>
    </w:tblStylePr>
    <w:tblStylePr w:type="band2Horz">
      <w:tblPr/>
      <w:tcPr>
        <w:tcBorders>
          <w:top w:val="nil"/>
          <w:left w:val="nil"/>
          <w:bottom w:val="single" w:sz="4" w:space="0" w:color="000000"/>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val="0"/>
        <w:bCs/>
      </w:rPr>
      <w:tblPr/>
      <w:tcPr>
        <w:tcBorders>
          <w:tl2br w:val="none" w:sz="0" w:space="0" w:color="auto"/>
          <w:tr2bl w:val="none" w:sz="0" w:space="0" w:color="auto"/>
        </w:tcBorders>
      </w:tcPr>
    </w:tblStylePr>
  </w:style>
  <w:style w:type="table" w:styleId="TableClassic2">
    <w:name w:val="Table Classic 2"/>
    <w:basedOn w:val="TableNormal"/>
    <w:rsid w:val="00AD2554"/>
    <w:pPr>
      <w:keepNext/>
    </w:pPr>
    <w:rPr>
      <w:rFonts w:ascii="Verdana" w:hAnsi="Verdana"/>
    </w:rPr>
    <w:tblPr>
      <w:tblStyleRowBandSize w:val="1"/>
      <w:tblBorders>
        <w:top w:val="single" w:sz="12" w:space="0" w:color="000000"/>
        <w:bottom w:val="single" w:sz="12" w:space="0" w:color="000000"/>
      </w:tblBorders>
      <w:tblCellMar>
        <w:top w:w="119" w:type="dxa"/>
      </w:tblCellMar>
    </w:tblPr>
    <w:trPr>
      <w:cantSplit/>
    </w:trPr>
    <w:tcPr>
      <w:shd w:val="clear" w:color="auto" w:fill="auto"/>
    </w:tcPr>
    <w:tblStylePr w:type="firstRow">
      <w:rPr>
        <w:color w:val="auto"/>
      </w:rPr>
      <w:tblPr/>
      <w:tcPr>
        <w:tcBorders>
          <w:top w:val="single" w:sz="4" w:space="0" w:color="000000"/>
          <w:left w:val="single" w:sz="4" w:space="0" w:color="000000"/>
          <w:bottom w:val="single" w:sz="4" w:space="0" w:color="000000"/>
          <w:right w:val="single" w:sz="4" w:space="0" w:color="000000"/>
          <w:insideH w:val="nil"/>
          <w:insideV w:val="nil"/>
        </w:tcBorders>
        <w:shd w:val="clear" w:color="800080" w:fill="auto"/>
      </w:tcPr>
    </w:tblStylePr>
    <w:tblStylePr w:type="lastRow">
      <w:tblPr/>
      <w:tcPr>
        <w:tcBorders>
          <w:top w:val="nil"/>
          <w:left w:val="nil"/>
          <w:bottom w:val="single" w:sz="4" w:space="0" w:color="000000"/>
          <w:right w:val="single" w:sz="4" w:space="0" w:color="000000"/>
          <w:insideH w:val="nil"/>
          <w:insideV w:val="nil"/>
          <w:tl2br w:val="nil"/>
          <w:tr2bl w:val="nil"/>
        </w:tcBorders>
      </w:tcPr>
    </w:tblStylePr>
    <w:tblStylePr w:type="firstCol">
      <w:rPr>
        <w:b/>
        <w:bCs/>
      </w:rPr>
      <w:tblPr/>
      <w:tcPr>
        <w:tcBorders>
          <w:top w:val="nil"/>
          <w:left w:val="nil"/>
          <w:bottom w:val="nil"/>
          <w:right w:val="nil"/>
          <w:insideH w:val="single" w:sz="4" w:space="0" w:color="FFFFFF"/>
          <w:insideV w:val="nil"/>
          <w:tl2br w:val="nil"/>
          <w:tr2bl w:val="nil"/>
        </w:tcBorders>
        <w:shd w:val="clear" w:color="C0C0C0" w:fill="000000"/>
      </w:tcPr>
    </w:tblStylePr>
    <w:tblStylePr w:type="band1Horz">
      <w:tblPr/>
      <w:tcPr>
        <w:tcBorders>
          <w:top w:val="nil"/>
          <w:left w:val="nil"/>
          <w:bottom w:val="single" w:sz="4" w:space="0" w:color="000000"/>
          <w:right w:val="single" w:sz="4" w:space="0" w:color="000000"/>
          <w:insideH w:val="nil"/>
          <w:insideV w:val="nil"/>
          <w:tl2br w:val="nil"/>
          <w:tr2bl w:val="nil"/>
        </w:tcBorders>
        <w:shd w:val="clear" w:color="auto" w:fill="auto"/>
      </w:tcPr>
    </w:tblStylePr>
    <w:tblStylePr w:type="band2Horz">
      <w:tblPr/>
      <w:tcPr>
        <w:tcBorders>
          <w:top w:val="nil"/>
          <w:left w:val="nil"/>
          <w:bottom w:val="single" w:sz="4" w:space="0" w:color="000000"/>
          <w:right w:val="single" w:sz="4" w:space="0" w:color="000000"/>
          <w:insideH w:val="nil"/>
          <w:insideV w:val="nil"/>
          <w:tl2br w:val="nil"/>
          <w:tr2bl w:val="nil"/>
        </w:tcBorders>
        <w:shd w:val="clear" w:color="auto" w:fill="auto"/>
      </w:tcPr>
    </w:tblStylePr>
    <w:tblStylePr w:type="neCell">
      <w:rPr>
        <w:b w:val="0"/>
        <w:bCs/>
      </w:rPr>
      <w:tblPr/>
      <w:tcPr>
        <w:tcBorders>
          <w:tl2br w:val="none" w:sz="0" w:space="0" w:color="auto"/>
          <w:tr2bl w:val="none" w:sz="0" w:space="0" w:color="auto"/>
        </w:tcBorders>
      </w:tcPr>
    </w:tblStylePr>
    <w:tblStylePr w:type="nwCell">
      <w:rPr>
        <w:color w:val="auto"/>
      </w:rPr>
      <w:tblPr/>
      <w:tcPr>
        <w:tcBorders>
          <w:top w:val="nil"/>
          <w:left w:val="nil"/>
          <w:bottom w:val="single" w:sz="4" w:space="0" w:color="FFFFFF"/>
          <w:right w:val="nil"/>
          <w:insideH w:val="single" w:sz="4" w:space="0" w:color="FFFFFF"/>
          <w:insideV w:val="nil"/>
          <w:tl2br w:val="nil"/>
          <w:tr2bl w:val="nil"/>
        </w:tcBorders>
        <w:shd w:val="clear" w:color="800080" w:fill="000000"/>
      </w:tcPr>
    </w:tblStylePr>
    <w:tblStylePr w:type="swCell">
      <w:rPr>
        <w:color w:val="auto"/>
      </w:rPr>
      <w:tblPr/>
      <w:tcPr>
        <w:tcBorders>
          <w:top w:val="nil"/>
          <w:left w:val="nil"/>
          <w:bottom w:val="nil"/>
          <w:right w:val="nil"/>
          <w:insideH w:val="nil"/>
          <w:insideV w:val="nil"/>
          <w:tl2br w:val="nil"/>
          <w:tr2bl w:val="nil"/>
        </w:tcBorders>
      </w:tcPr>
    </w:tblStylePr>
  </w:style>
  <w:style w:type="table" w:styleId="TableClassic3">
    <w:name w:val="Table Classic 3"/>
    <w:basedOn w:val="TableNormal"/>
    <w:rsid w:val="00AD2554"/>
    <w:pPr>
      <w:keepNext/>
    </w:pPr>
    <w:rPr>
      <w:rFonts w:ascii="Verdana" w:hAnsi="Verdana"/>
    </w:rPr>
    <w:tblPr>
      <w:tblStyleRowBandSize w:val="1"/>
      <w:tblBorders>
        <w:top w:val="single" w:sz="12" w:space="0" w:color="000000"/>
        <w:left w:val="single" w:sz="12" w:space="0" w:color="000000"/>
        <w:bottom w:val="single" w:sz="12" w:space="0" w:color="000000"/>
        <w:right w:val="single" w:sz="12" w:space="0" w:color="000000"/>
      </w:tblBorders>
      <w:tblCellMar>
        <w:top w:w="119" w:type="dxa"/>
      </w:tblCellMar>
    </w:tblPr>
    <w:trPr>
      <w:cantSplit/>
    </w:trPr>
    <w:tcPr>
      <w:shd w:val="clear" w:color="C0C0C0" w:fill="auto"/>
    </w:tcPr>
    <w:tblStylePr w:type="firstRow">
      <w:rPr>
        <w:b/>
        <w:bCs/>
        <w:i w:val="0"/>
        <w:iCs/>
        <w:color w:val="FFFFFF"/>
      </w:rPr>
      <w:tblPr/>
      <w:trPr>
        <w:cantSplit w:val="0"/>
        <w:tblHeader/>
      </w:trPr>
      <w:tcPr>
        <w:tcBorders>
          <w:bottom w:val="single" w:sz="6" w:space="0" w:color="000000"/>
        </w:tcBorders>
        <w:shd w:val="clear" w:color="000080" w:fill="000000"/>
      </w:tcPr>
    </w:tblStylePr>
    <w:tblStylePr w:type="lastRow">
      <w:rPr>
        <w:color w:val="auto"/>
      </w:rPr>
      <w:tblPr/>
      <w:tcPr>
        <w:tcBorders>
          <w:top w:val="nil"/>
          <w:left w:val="nil"/>
          <w:bottom w:val="single" w:sz="4" w:space="0" w:color="000000"/>
          <w:right w:val="nil"/>
          <w:insideH w:val="nil"/>
          <w:insideV w:val="nil"/>
          <w:tl2br w:val="nil"/>
          <w:tr2bl w:val="nil"/>
        </w:tcBorders>
        <w:shd w:val="clear" w:color="FFFFFF" w:fill="auto"/>
      </w:tcPr>
    </w:tblStylePr>
    <w:tblStylePr w:type="firstCol">
      <w:rPr>
        <w:b/>
        <w:bCs/>
        <w:color w:val="auto"/>
      </w:rPr>
      <w:tblPr/>
      <w:tcPr>
        <w:tcBorders>
          <w:top w:val="nil"/>
          <w:left w:val="nil"/>
          <w:bottom w:val="single" w:sz="12" w:space="0" w:color="000000"/>
          <w:right w:val="nil"/>
          <w:insideH w:val="single" w:sz="4" w:space="0" w:color="FFFFFF"/>
          <w:insideV w:val="nil"/>
          <w:tl2br w:val="nil"/>
          <w:tr2bl w:val="nil"/>
        </w:tcBorders>
        <w:shd w:val="clear" w:color="C0C0C0" w:fill="000000"/>
      </w:tcPr>
    </w:tblStylePr>
    <w:tblStylePr w:type="band1Horz">
      <w:tblPr/>
      <w:tcPr>
        <w:tcBorders>
          <w:top w:val="nil"/>
          <w:left w:val="nil"/>
          <w:bottom w:val="single" w:sz="4" w:space="0" w:color="000000"/>
          <w:right w:val="nil"/>
          <w:insideH w:val="nil"/>
          <w:insideV w:val="nil"/>
          <w:tl2br w:val="nil"/>
          <w:tr2bl w:val="nil"/>
        </w:tcBorders>
        <w:shd w:val="clear" w:color="C0C0C0" w:fill="auto"/>
      </w:tcPr>
    </w:tblStylePr>
    <w:tblStylePr w:type="band2Horz">
      <w:tblPr/>
      <w:tcPr>
        <w:tcBorders>
          <w:top w:val="nil"/>
          <w:left w:val="nil"/>
          <w:bottom w:val="single" w:sz="4" w:space="0" w:color="000000"/>
          <w:right w:val="nil"/>
          <w:insideH w:val="nil"/>
          <w:insideV w:val="nil"/>
          <w:tl2br w:val="nil"/>
          <w:tr2bl w:val="nil"/>
        </w:tcBorders>
        <w:shd w:val="clear" w:color="C0C0C0" w:fill="auto"/>
      </w:tcPr>
    </w:tblStylePr>
    <w:tblStylePr w:type="nwCell">
      <w:tblPr/>
      <w:tcPr>
        <w:tcBorders>
          <w:top w:val="nil"/>
          <w:left w:val="nil"/>
          <w:bottom w:val="nil"/>
          <w:right w:val="nil"/>
          <w:insideH w:val="nil"/>
          <w:insideV w:val="nil"/>
          <w:tl2br w:val="nil"/>
          <w:tr2bl w:val="nil"/>
        </w:tcBorders>
        <w:shd w:val="clear" w:color="C0C0C0" w:fill="auto"/>
      </w:tcPr>
    </w:tblStylePr>
    <w:tblStylePr w:type="swCell">
      <w:tblPr/>
      <w:tcPr>
        <w:tcBorders>
          <w:top w:val="nil"/>
          <w:left w:val="nil"/>
          <w:bottom w:val="nil"/>
          <w:right w:val="nil"/>
          <w:insideH w:val="nil"/>
          <w:insideV w:val="nil"/>
          <w:tl2br w:val="nil"/>
          <w:tr2bl w:val="nil"/>
        </w:tcBorders>
        <w:shd w:val="clear" w:color="C0C0C0" w:fill="000000"/>
      </w:tcPr>
    </w:tblStylePr>
  </w:style>
  <w:style w:type="table" w:styleId="TableClassic4">
    <w:name w:val="Table Classic 4"/>
    <w:basedOn w:val="TableNormal"/>
    <w:semiHidden/>
    <w:rsid w:val="00AD255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semiHidden/>
    <w:rsid w:val="00AD255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D255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D255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AD255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3">
    <w:name w:val="Table Grid 3"/>
    <w:basedOn w:val="TableNormal"/>
    <w:rsid w:val="00AD2554"/>
    <w:pPr>
      <w:keepNext/>
    </w:pPr>
    <w:tblPr>
      <w:tblBorders>
        <w:top w:val="single" w:sz="6" w:space="0" w:color="000000"/>
        <w:left w:val="single" w:sz="6" w:space="0" w:color="000000"/>
        <w:bottom w:val="single" w:sz="6" w:space="0" w:color="000000"/>
        <w:right w:val="single" w:sz="6" w:space="0" w:color="000000"/>
        <w:insideH w:val="single" w:sz="4" w:space="0" w:color="000000"/>
        <w:insideV w:val="single" w:sz="6" w:space="0" w:color="000000"/>
      </w:tblBorders>
      <w:tblCellMar>
        <w:top w:w="119" w:type="dxa"/>
      </w:tblCellMar>
    </w:tblPr>
    <w:trPr>
      <w:cantSplit/>
    </w:trPr>
    <w:tcPr>
      <w:shd w:val="clear" w:color="auto" w:fill="auto"/>
    </w:tcPr>
    <w:tblStylePr w:type="firstRow">
      <w:tblPr/>
      <w:trPr>
        <w:cantSplit w:val="0"/>
        <w:tblHeader/>
      </w:trPr>
      <w:tcPr>
        <w:tcBorders>
          <w:bottom w:val="single" w:sz="6" w:space="0" w:color="000000"/>
        </w:tcBorders>
        <w:shd w:val="clear" w:color="FFFF00" w:fill="auto"/>
      </w:tcPr>
    </w:tblStylePr>
    <w:tblStylePr w:type="lastRow">
      <w:rPr>
        <w:b w:val="0"/>
        <w:bCs/>
      </w:rPr>
      <w:tblPr/>
      <w:tcPr>
        <w:tcBorders>
          <w:tl2br w:val="none" w:sz="0" w:space="0" w:color="auto"/>
          <w:tr2bl w:val="none" w:sz="0" w:space="0" w:color="auto"/>
        </w:tcBorders>
      </w:tcPr>
    </w:tblStylePr>
    <w:tblStylePr w:type="lastCol">
      <w:rPr>
        <w:b w:val="0"/>
        <w:bCs/>
      </w:rPr>
      <w:tblPr/>
      <w:tcPr>
        <w:tcBorders>
          <w:tl2br w:val="none" w:sz="0" w:space="0" w:color="auto"/>
          <w:tr2bl w:val="none" w:sz="0" w:space="0" w:color="auto"/>
        </w:tcBorders>
      </w:tcPr>
    </w:tblStylePr>
    <w:tblStylePr w:type="nwCell">
      <w:tblPr/>
      <w:tcPr>
        <w:tcBorders>
          <w:top w:val="nil"/>
          <w:left w:val="nil"/>
        </w:tcBorders>
        <w:shd w:val="clear" w:color="auto" w:fill="auto"/>
      </w:tcPr>
    </w:tblStylePr>
  </w:style>
  <w:style w:type="table" w:styleId="TableList5">
    <w:name w:val="Table List 5"/>
    <w:basedOn w:val="TableNormal"/>
    <w:semiHidden/>
    <w:rsid w:val="00AD255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D255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4">
    <w:name w:val="Table List 4"/>
    <w:basedOn w:val="TableNormal"/>
    <w:semiHidden/>
    <w:rsid w:val="00AD255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semiHidden/>
    <w:rsid w:val="00AD255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7">
    <w:name w:val="Table List 7"/>
    <w:basedOn w:val="TableNormal"/>
    <w:semiHidden/>
    <w:rsid w:val="00AD255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D255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Web1">
    <w:name w:val="Table Web 1"/>
    <w:basedOn w:val="TableNormal"/>
    <w:semiHidden/>
    <w:rsid w:val="00AD255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AD255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AD255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Number5">
    <w:name w:val="List Number 5"/>
    <w:basedOn w:val="BodyText"/>
    <w:rsid w:val="00AD2554"/>
    <w:pPr>
      <w:numPr>
        <w:numId w:val="30"/>
      </w:numPr>
      <w:spacing w:before="0"/>
    </w:pPr>
    <w:rPr>
      <w:rFonts w:ascii="Verdana" w:hAnsi="Verdana"/>
      <w:sz w:val="20"/>
    </w:rPr>
  </w:style>
  <w:style w:type="character" w:customStyle="1" w:styleId="BalloonTextChar">
    <w:name w:val="Balloon Text Char"/>
    <w:basedOn w:val="DefaultParagraphFont"/>
    <w:link w:val="BalloonText"/>
    <w:uiPriority w:val="99"/>
    <w:semiHidden/>
    <w:rsid w:val="00AD2554"/>
    <w:rPr>
      <w:rFonts w:ascii="Tahoma" w:hAnsi="Tahoma" w:cs="Tahoma"/>
      <w:sz w:val="16"/>
      <w:szCs w:val="16"/>
    </w:rPr>
  </w:style>
  <w:style w:type="character" w:customStyle="1" w:styleId="CommentSubjectChar">
    <w:name w:val="Comment Subject Char"/>
    <w:basedOn w:val="CommentTextChar"/>
    <w:link w:val="CommentSubject"/>
    <w:uiPriority w:val="99"/>
    <w:rsid w:val="00AD2554"/>
    <w:rPr>
      <w:rFonts w:ascii="Arial" w:hAnsi="Arial"/>
      <w:b/>
      <w:bCs/>
    </w:rPr>
  </w:style>
  <w:style w:type="character" w:customStyle="1" w:styleId="DocumentMapChar">
    <w:name w:val="Document Map Char"/>
    <w:basedOn w:val="DefaultParagraphFont"/>
    <w:link w:val="DocumentMap"/>
    <w:semiHidden/>
    <w:rsid w:val="00AD2554"/>
    <w:rPr>
      <w:rFonts w:ascii="Tahoma" w:hAnsi="Tahoma" w:cs="Tahoma"/>
      <w:shd w:val="clear" w:color="auto" w:fill="000080"/>
    </w:rPr>
  </w:style>
  <w:style w:type="paragraph" w:styleId="Index1">
    <w:name w:val="index 1"/>
    <w:basedOn w:val="Normal"/>
    <w:next w:val="Normal"/>
    <w:autoRedefine/>
    <w:rsid w:val="00AD2554"/>
    <w:pPr>
      <w:spacing w:after="120" w:line="240" w:lineRule="auto"/>
      <w:ind w:left="240" w:hanging="240"/>
    </w:pPr>
    <w:rPr>
      <w:rFonts w:ascii="Verdana" w:hAnsi="Verdana"/>
      <w:sz w:val="20"/>
      <w:lang w:eastAsia="en-US"/>
    </w:rPr>
  </w:style>
  <w:style w:type="paragraph" w:styleId="Index2">
    <w:name w:val="index 2"/>
    <w:basedOn w:val="Normal"/>
    <w:next w:val="Normal"/>
    <w:autoRedefine/>
    <w:rsid w:val="00AD2554"/>
    <w:pPr>
      <w:spacing w:after="120" w:line="240" w:lineRule="auto"/>
      <w:ind w:left="480" w:hanging="240"/>
    </w:pPr>
    <w:rPr>
      <w:rFonts w:ascii="Verdana" w:hAnsi="Verdana"/>
      <w:sz w:val="20"/>
      <w:lang w:eastAsia="en-US"/>
    </w:rPr>
  </w:style>
  <w:style w:type="paragraph" w:styleId="Index3">
    <w:name w:val="index 3"/>
    <w:basedOn w:val="Normal"/>
    <w:next w:val="Normal"/>
    <w:autoRedefine/>
    <w:rsid w:val="00AD2554"/>
    <w:pPr>
      <w:spacing w:after="120" w:line="240" w:lineRule="auto"/>
      <w:ind w:left="720" w:hanging="240"/>
    </w:pPr>
    <w:rPr>
      <w:rFonts w:ascii="Verdana" w:hAnsi="Verdana"/>
      <w:sz w:val="20"/>
      <w:lang w:eastAsia="en-US"/>
    </w:rPr>
  </w:style>
  <w:style w:type="paragraph" w:styleId="Index4">
    <w:name w:val="index 4"/>
    <w:basedOn w:val="Normal"/>
    <w:next w:val="Normal"/>
    <w:autoRedefine/>
    <w:rsid w:val="00AD2554"/>
    <w:pPr>
      <w:spacing w:after="120" w:line="240" w:lineRule="auto"/>
      <w:ind w:left="960" w:hanging="240"/>
    </w:pPr>
    <w:rPr>
      <w:rFonts w:ascii="Verdana" w:hAnsi="Verdana"/>
      <w:sz w:val="20"/>
      <w:lang w:eastAsia="en-US"/>
    </w:rPr>
  </w:style>
  <w:style w:type="paragraph" w:styleId="Index5">
    <w:name w:val="index 5"/>
    <w:basedOn w:val="Normal"/>
    <w:next w:val="Normal"/>
    <w:autoRedefine/>
    <w:rsid w:val="00AD2554"/>
    <w:pPr>
      <w:spacing w:after="120" w:line="240" w:lineRule="auto"/>
      <w:ind w:left="1200" w:hanging="240"/>
    </w:pPr>
    <w:rPr>
      <w:rFonts w:ascii="Verdana" w:hAnsi="Verdana"/>
      <w:sz w:val="20"/>
      <w:lang w:eastAsia="en-US"/>
    </w:rPr>
  </w:style>
  <w:style w:type="paragraph" w:styleId="Index6">
    <w:name w:val="index 6"/>
    <w:basedOn w:val="Normal"/>
    <w:next w:val="Normal"/>
    <w:autoRedefine/>
    <w:rsid w:val="00AD2554"/>
    <w:pPr>
      <w:spacing w:after="120" w:line="240" w:lineRule="auto"/>
      <w:ind w:left="1440" w:hanging="240"/>
    </w:pPr>
    <w:rPr>
      <w:rFonts w:ascii="Verdana" w:hAnsi="Verdana"/>
      <w:sz w:val="20"/>
      <w:lang w:eastAsia="en-US"/>
    </w:rPr>
  </w:style>
  <w:style w:type="paragraph" w:styleId="Index7">
    <w:name w:val="index 7"/>
    <w:basedOn w:val="Normal"/>
    <w:next w:val="Normal"/>
    <w:autoRedefine/>
    <w:rsid w:val="00AD2554"/>
    <w:pPr>
      <w:spacing w:after="120" w:line="240" w:lineRule="auto"/>
      <w:ind w:left="1680" w:hanging="240"/>
    </w:pPr>
    <w:rPr>
      <w:rFonts w:ascii="Verdana" w:hAnsi="Verdana"/>
      <w:sz w:val="20"/>
      <w:lang w:eastAsia="en-US"/>
    </w:rPr>
  </w:style>
  <w:style w:type="paragraph" w:styleId="Index8">
    <w:name w:val="index 8"/>
    <w:basedOn w:val="Normal"/>
    <w:next w:val="Normal"/>
    <w:autoRedefine/>
    <w:rsid w:val="00AD2554"/>
    <w:pPr>
      <w:spacing w:after="120" w:line="240" w:lineRule="auto"/>
      <w:ind w:left="1920" w:hanging="240"/>
    </w:pPr>
    <w:rPr>
      <w:rFonts w:ascii="Verdana" w:hAnsi="Verdana"/>
      <w:sz w:val="20"/>
      <w:lang w:eastAsia="en-US"/>
    </w:rPr>
  </w:style>
  <w:style w:type="paragraph" w:styleId="Index9">
    <w:name w:val="index 9"/>
    <w:basedOn w:val="Normal"/>
    <w:next w:val="Normal"/>
    <w:autoRedefine/>
    <w:rsid w:val="00AD2554"/>
    <w:pPr>
      <w:spacing w:after="120" w:line="240" w:lineRule="auto"/>
      <w:ind w:left="2160" w:hanging="240"/>
    </w:pPr>
    <w:rPr>
      <w:rFonts w:ascii="Verdana" w:hAnsi="Verdana"/>
      <w:sz w:val="20"/>
      <w:lang w:eastAsia="en-US"/>
    </w:rPr>
  </w:style>
  <w:style w:type="paragraph" w:styleId="IndexHeading">
    <w:name w:val="index heading"/>
    <w:basedOn w:val="Normal"/>
    <w:next w:val="Index1"/>
    <w:rsid w:val="00AD2554"/>
    <w:pPr>
      <w:spacing w:after="120" w:line="240" w:lineRule="auto"/>
    </w:pPr>
    <w:rPr>
      <w:rFonts w:cs="Arial"/>
      <w:b/>
      <w:bCs/>
      <w:sz w:val="20"/>
      <w:lang w:eastAsia="en-US"/>
    </w:rPr>
  </w:style>
  <w:style w:type="paragraph" w:styleId="TableofAuthorities">
    <w:name w:val="table of authorities"/>
    <w:basedOn w:val="Normal"/>
    <w:next w:val="Normal"/>
    <w:rsid w:val="00AD2554"/>
    <w:pPr>
      <w:spacing w:after="120" w:line="240" w:lineRule="auto"/>
      <w:ind w:left="240" w:hanging="240"/>
    </w:pPr>
    <w:rPr>
      <w:rFonts w:ascii="Verdana" w:hAnsi="Verdana"/>
      <w:sz w:val="20"/>
      <w:lang w:eastAsia="en-US"/>
    </w:rPr>
  </w:style>
  <w:style w:type="paragraph" w:styleId="TableofFigures">
    <w:name w:val="table of figures"/>
    <w:basedOn w:val="Normal"/>
    <w:next w:val="Normal"/>
    <w:uiPriority w:val="99"/>
    <w:rsid w:val="00AD2554"/>
    <w:pPr>
      <w:spacing w:after="120" w:line="240" w:lineRule="auto"/>
    </w:pPr>
    <w:rPr>
      <w:rFonts w:ascii="Verdana" w:hAnsi="Verdana"/>
      <w:sz w:val="20"/>
      <w:lang w:eastAsia="en-US"/>
    </w:rPr>
  </w:style>
  <w:style w:type="paragraph" w:styleId="TOAHeading">
    <w:name w:val="toa heading"/>
    <w:basedOn w:val="Normal"/>
    <w:next w:val="Normal"/>
    <w:rsid w:val="00AD2554"/>
    <w:pPr>
      <w:spacing w:before="120" w:after="120" w:line="240" w:lineRule="auto"/>
    </w:pPr>
    <w:rPr>
      <w:rFonts w:cs="Arial"/>
      <w:b/>
      <w:bCs/>
      <w:sz w:val="20"/>
      <w:lang w:eastAsia="en-US"/>
    </w:rPr>
  </w:style>
  <w:style w:type="paragraph" w:styleId="ListContinue5">
    <w:name w:val="List Continue 5"/>
    <w:basedOn w:val="BodyText"/>
    <w:rsid w:val="00AD2554"/>
    <w:pPr>
      <w:spacing w:before="0" w:after="80"/>
      <w:ind w:left="2835"/>
    </w:pPr>
    <w:rPr>
      <w:rFonts w:ascii="Verdana" w:hAnsi="Verdana"/>
      <w:sz w:val="20"/>
    </w:rPr>
  </w:style>
  <w:style w:type="paragraph" w:styleId="Closing">
    <w:name w:val="Closing"/>
    <w:basedOn w:val="Normal"/>
    <w:link w:val="ClosingChar"/>
    <w:rsid w:val="00AD2554"/>
    <w:pPr>
      <w:spacing w:after="120" w:line="240" w:lineRule="auto"/>
      <w:ind w:left="4252"/>
    </w:pPr>
    <w:rPr>
      <w:rFonts w:ascii="Verdana" w:hAnsi="Verdana"/>
      <w:sz w:val="20"/>
      <w:lang w:eastAsia="en-US"/>
    </w:rPr>
  </w:style>
  <w:style w:type="character" w:customStyle="1" w:styleId="ClosingChar">
    <w:name w:val="Closing Char"/>
    <w:basedOn w:val="DefaultParagraphFont"/>
    <w:link w:val="Closing"/>
    <w:rsid w:val="00AD2554"/>
    <w:rPr>
      <w:rFonts w:ascii="Verdana" w:hAnsi="Verdana"/>
      <w:szCs w:val="24"/>
      <w:lang w:eastAsia="en-US"/>
    </w:rPr>
  </w:style>
  <w:style w:type="character" w:customStyle="1" w:styleId="DateChar">
    <w:name w:val="Date Char"/>
    <w:basedOn w:val="DefaultParagraphFont"/>
    <w:link w:val="Date"/>
    <w:uiPriority w:val="99"/>
    <w:rsid w:val="00AD2554"/>
    <w:rPr>
      <w:rFonts w:ascii="Arial" w:hAnsi="Arial"/>
      <w:sz w:val="22"/>
      <w:szCs w:val="24"/>
    </w:rPr>
  </w:style>
  <w:style w:type="paragraph" w:styleId="E-mailSignature">
    <w:name w:val="E-mail Signature"/>
    <w:basedOn w:val="Normal"/>
    <w:link w:val="E-mailSignatureChar"/>
    <w:rsid w:val="00AD2554"/>
    <w:pPr>
      <w:spacing w:after="120" w:line="240" w:lineRule="auto"/>
    </w:pPr>
    <w:rPr>
      <w:rFonts w:ascii="Verdana" w:hAnsi="Verdana"/>
      <w:sz w:val="20"/>
      <w:lang w:eastAsia="en-US"/>
    </w:rPr>
  </w:style>
  <w:style w:type="character" w:customStyle="1" w:styleId="E-mailSignatureChar">
    <w:name w:val="E-mail Signature Char"/>
    <w:basedOn w:val="DefaultParagraphFont"/>
    <w:link w:val="E-mailSignature"/>
    <w:rsid w:val="00AD2554"/>
    <w:rPr>
      <w:rFonts w:ascii="Verdana" w:hAnsi="Verdana"/>
      <w:szCs w:val="24"/>
      <w:lang w:eastAsia="en-US"/>
    </w:rPr>
  </w:style>
  <w:style w:type="paragraph" w:styleId="EnvelopeAddress">
    <w:name w:val="envelope address"/>
    <w:basedOn w:val="Normal"/>
    <w:rsid w:val="00AD2554"/>
    <w:pPr>
      <w:framePr w:w="7920" w:h="1980" w:hRule="exact" w:hSpace="180" w:wrap="auto" w:hAnchor="page" w:xAlign="center" w:yAlign="bottom"/>
      <w:spacing w:after="120" w:line="240" w:lineRule="auto"/>
      <w:ind w:left="2880"/>
    </w:pPr>
    <w:rPr>
      <w:rFonts w:cs="Arial"/>
      <w:sz w:val="20"/>
      <w:lang w:eastAsia="en-US"/>
    </w:rPr>
  </w:style>
  <w:style w:type="paragraph" w:styleId="EnvelopeReturn">
    <w:name w:val="envelope return"/>
    <w:basedOn w:val="Normal"/>
    <w:rsid w:val="00AD2554"/>
    <w:pPr>
      <w:spacing w:after="120" w:line="240" w:lineRule="auto"/>
    </w:pPr>
    <w:rPr>
      <w:rFonts w:cs="Arial"/>
      <w:sz w:val="20"/>
      <w:szCs w:val="20"/>
      <w:lang w:eastAsia="en-US"/>
    </w:rPr>
  </w:style>
  <w:style w:type="character" w:styleId="LineNumber">
    <w:name w:val="line number"/>
    <w:basedOn w:val="DefaultParagraphFont"/>
    <w:rsid w:val="00AD2554"/>
  </w:style>
  <w:style w:type="table" w:styleId="TableColumns4">
    <w:name w:val="Table Columns 4"/>
    <w:basedOn w:val="TableNormal"/>
    <w:semiHidden/>
    <w:rsid w:val="00AD255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D255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4">
    <w:name w:val="Table Grid 4"/>
    <w:basedOn w:val="TableNormal"/>
    <w:semiHidden/>
    <w:rsid w:val="00AD255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D255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D255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D25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AD255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AD255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D255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Headingunnumbered1">
    <w:name w:val="Heading unnumbered 1"/>
    <w:basedOn w:val="Heading1"/>
    <w:next w:val="BodyText"/>
    <w:rsid w:val="00AD2554"/>
    <w:pPr>
      <w:keepNext/>
      <w:numPr>
        <w:numId w:val="0"/>
      </w:numPr>
      <w:pBdr>
        <w:bottom w:val="none" w:sz="0" w:space="0" w:color="auto"/>
      </w:pBdr>
      <w:adjustRightInd/>
      <w:spacing w:after="400" w:line="240" w:lineRule="auto"/>
      <w:ind w:left="-1134"/>
    </w:pPr>
    <w:rPr>
      <w:rFonts w:ascii="Verdana" w:hAnsi="Verdana"/>
      <w:bCs/>
      <w:color w:val="auto"/>
      <w:kern w:val="32"/>
      <w:sz w:val="44"/>
      <w:szCs w:val="32"/>
    </w:rPr>
  </w:style>
  <w:style w:type="paragraph" w:customStyle="1" w:styleId="Headingunnumbered3">
    <w:name w:val="Heading unnumbered 3"/>
    <w:basedOn w:val="Heading3"/>
    <w:next w:val="BodyText"/>
    <w:rsid w:val="00AD2554"/>
    <w:pPr>
      <w:keepLines/>
      <w:numPr>
        <w:ilvl w:val="0"/>
        <w:numId w:val="0"/>
      </w:numPr>
      <w:spacing w:before="280" w:after="200"/>
    </w:pPr>
    <w:rPr>
      <w:rFonts w:ascii="Verdana" w:hAnsi="Verdana"/>
      <w:bCs/>
      <w:i w:val="0"/>
      <w:iCs/>
      <w:kern w:val="32"/>
      <w:sz w:val="24"/>
      <w:szCs w:val="26"/>
    </w:rPr>
  </w:style>
  <w:style w:type="paragraph" w:customStyle="1" w:styleId="HeadingAppendix1">
    <w:name w:val="Heading Appendix 1"/>
    <w:next w:val="BodyText"/>
    <w:uiPriority w:val="99"/>
    <w:rsid w:val="00AD2554"/>
    <w:pPr>
      <w:keepNext/>
      <w:keepLines/>
      <w:pageBreakBefore/>
      <w:numPr>
        <w:numId w:val="31"/>
      </w:numPr>
      <w:spacing w:after="400"/>
    </w:pPr>
    <w:rPr>
      <w:rFonts w:ascii="Verdana" w:hAnsi="Verdana" w:cs="Arial"/>
      <w:b/>
      <w:bCs/>
      <w:kern w:val="32"/>
      <w:sz w:val="44"/>
      <w:szCs w:val="32"/>
    </w:rPr>
  </w:style>
  <w:style w:type="paragraph" w:customStyle="1" w:styleId="HeadingAppendix2">
    <w:name w:val="Heading Appendix 2"/>
    <w:basedOn w:val="HeadingAppendix1"/>
    <w:next w:val="BodyText"/>
    <w:uiPriority w:val="99"/>
    <w:rsid w:val="00AD2554"/>
    <w:pPr>
      <w:pageBreakBefore w:val="0"/>
      <w:numPr>
        <w:ilvl w:val="1"/>
      </w:numPr>
      <w:spacing w:before="280" w:after="200"/>
    </w:pPr>
    <w:rPr>
      <w:sz w:val="28"/>
    </w:rPr>
  </w:style>
  <w:style w:type="paragraph" w:customStyle="1" w:styleId="Frontfooter">
    <w:name w:val="Ω Front:footer"/>
    <w:semiHidden/>
    <w:rsid w:val="00AD2554"/>
    <w:pPr>
      <w:ind w:right="1701"/>
      <w:jc w:val="center"/>
    </w:pPr>
    <w:rPr>
      <w:rFonts w:ascii="Verdana" w:hAnsi="Verdana"/>
      <w:szCs w:val="24"/>
    </w:rPr>
  </w:style>
  <w:style w:type="character" w:customStyle="1" w:styleId="RFC2119">
    <w:name w:val="RFC2119"/>
    <w:rsid w:val="00AD2554"/>
    <w:rPr>
      <w:b/>
      <w:smallCaps/>
    </w:rPr>
  </w:style>
  <w:style w:type="paragraph" w:customStyle="1" w:styleId="HeadingAppendix3">
    <w:name w:val="Heading Appendix 3"/>
    <w:basedOn w:val="HeadingAppendix2"/>
    <w:next w:val="BodyText"/>
    <w:uiPriority w:val="99"/>
    <w:rsid w:val="00AD2554"/>
    <w:pPr>
      <w:numPr>
        <w:ilvl w:val="2"/>
      </w:numPr>
    </w:pPr>
    <w:rPr>
      <w:sz w:val="24"/>
    </w:rPr>
  </w:style>
  <w:style w:type="paragraph" w:customStyle="1" w:styleId="HeadingAppendix4">
    <w:name w:val="Heading Appendix 4"/>
    <w:basedOn w:val="HeadingAppendix3"/>
    <w:next w:val="BodyText"/>
    <w:uiPriority w:val="99"/>
    <w:rsid w:val="00AD2554"/>
    <w:pPr>
      <w:numPr>
        <w:ilvl w:val="3"/>
      </w:numPr>
      <w:spacing w:before="240" w:after="120"/>
    </w:pPr>
    <w:rPr>
      <w:b w:val="0"/>
      <w:sz w:val="22"/>
    </w:rPr>
  </w:style>
  <w:style w:type="paragraph" w:customStyle="1" w:styleId="HeadingAppendix5">
    <w:name w:val="Heading Appendix 5"/>
    <w:basedOn w:val="HeadingAppendix4"/>
    <w:next w:val="BodyText"/>
    <w:uiPriority w:val="99"/>
    <w:rsid w:val="00AD2554"/>
    <w:pPr>
      <w:numPr>
        <w:ilvl w:val="4"/>
      </w:numPr>
    </w:pPr>
    <w:rPr>
      <w:i/>
    </w:rPr>
  </w:style>
  <w:style w:type="character" w:customStyle="1" w:styleId="Code">
    <w:name w:val="Code"/>
    <w:rsid w:val="00AD2554"/>
    <w:rPr>
      <w:rFonts w:ascii="Courier New" w:hAnsi="Courier New"/>
      <w:sz w:val="22"/>
    </w:rPr>
  </w:style>
  <w:style w:type="table" w:customStyle="1" w:styleId="TableGrey2">
    <w:name w:val="Table Grey 2"/>
    <w:basedOn w:val="TableGrid"/>
    <w:rsid w:val="00AD2554"/>
    <w:pPr>
      <w:keepNext/>
    </w:pPr>
    <w:tblPr>
      <w:tblCellMar>
        <w:top w:w="119" w:type="dxa"/>
      </w:tblCellMar>
    </w:tblPr>
    <w:trPr>
      <w:cantSplit/>
    </w:trPr>
    <w:tblStylePr w:type="firstRow">
      <w:tblPr/>
      <w:trPr>
        <w:cantSplit w:val="0"/>
      </w:trPr>
    </w:tblStylePr>
    <w:tblStylePr w:type="firstCol">
      <w:rPr>
        <w:b/>
      </w:rPr>
      <w:tblPr/>
      <w:tcPr>
        <w:tcBorders>
          <w:top w:val="single" w:sz="4" w:space="0" w:color="000000"/>
          <w:left w:val="single" w:sz="4" w:space="0" w:color="000000"/>
          <w:bottom w:val="single" w:sz="4" w:space="0" w:color="000000"/>
          <w:right w:val="single" w:sz="4" w:space="0" w:color="000000"/>
          <w:insideH w:val="nil"/>
          <w:insideV w:val="nil"/>
          <w:tl2br w:val="nil"/>
          <w:tr2bl w:val="nil"/>
        </w:tcBorders>
        <w:shd w:val="clear" w:color="auto" w:fill="E6E6E6"/>
      </w:tcPr>
    </w:tblStylePr>
  </w:style>
  <w:style w:type="table" w:customStyle="1" w:styleId="TableGrey3">
    <w:name w:val="Table Grey 3"/>
    <w:basedOn w:val="TableColorful3"/>
    <w:rsid w:val="00AD2554"/>
    <w:tblPr/>
    <w:tcPr>
      <w:shd w:val="clear" w:color="008080" w:fill="auto"/>
    </w:tcPr>
    <w:tblStylePr w:type="firstRow">
      <w:rPr>
        <w:b/>
      </w:rPr>
      <w:tblPr/>
      <w:trPr>
        <w:cantSplit w:val="0"/>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008080" w:fill="E6E6E6"/>
      </w:tcPr>
    </w:tblStylePr>
    <w:tblStylePr w:type="firstCol">
      <w:rPr>
        <w:b/>
      </w:rPr>
      <w:tblPr/>
      <w:tcPr>
        <w:tcBorders>
          <w:top w:val="single" w:sz="6" w:space="0" w:color="auto"/>
          <w:left w:val="single" w:sz="6" w:space="0" w:color="auto"/>
          <w:bottom w:val="single" w:sz="6" w:space="0" w:color="auto"/>
          <w:right w:val="single" w:sz="6" w:space="0" w:color="auto"/>
          <w:insideH w:val="single" w:sz="4" w:space="0" w:color="FFFFFF"/>
          <w:insideV w:val="nil"/>
          <w:tl2br w:val="nil"/>
          <w:tr2bl w:val="nil"/>
        </w:tcBorders>
        <w:shd w:val="clear" w:color="008080" w:fill="E6E6E6"/>
      </w:tcPr>
    </w:tblStylePr>
    <w:tblStylePr w:type="band1Horz">
      <w:tblPr/>
      <w:tcPr>
        <w:tcBorders>
          <w:top w:val="nil"/>
          <w:left w:val="nil"/>
          <w:bottom w:val="nil"/>
          <w:right w:val="nil"/>
          <w:insideH w:val="nil"/>
          <w:insideV w:val="nil"/>
          <w:tl2br w:val="nil"/>
          <w:tr2bl w:val="nil"/>
        </w:tcBorders>
        <w:shd w:val="clear" w:color="008080" w:fill="auto"/>
      </w:tcPr>
    </w:tblStylePr>
    <w:tblStylePr w:type="band2Horz">
      <w:tblPr/>
      <w:tcPr>
        <w:tcBorders>
          <w:top w:val="nil"/>
          <w:left w:val="nil"/>
          <w:bottom w:val="nil"/>
          <w:right w:val="nil"/>
          <w:insideH w:val="nil"/>
          <w:insideV w:val="nil"/>
          <w:tl2br w:val="nil"/>
          <w:tr2bl w:val="nil"/>
        </w:tcBorders>
        <w:shd w:val="clear" w:color="008080" w:fill="D9D9D9"/>
      </w:tcPr>
    </w:tblStylePr>
    <w:tblStylePr w:type="nwCell">
      <w:rPr>
        <w:b/>
        <w:bCs/>
        <w:color w:val="FFFFFF"/>
      </w:rPr>
      <w:tblPr/>
      <w:tcPr>
        <w:tcBorders>
          <w:top w:val="nil"/>
          <w:left w:val="nil"/>
          <w:bottom w:val="nil"/>
          <w:right w:val="single" w:sz="4" w:space="0" w:color="auto"/>
          <w:insideH w:val="nil"/>
          <w:insideV w:val="nil"/>
          <w:tl2br w:val="nil"/>
          <w:tr2bl w:val="nil"/>
        </w:tcBorders>
        <w:shd w:val="clear" w:color="000000" w:fill="auto"/>
      </w:tcPr>
    </w:tblStylePr>
  </w:style>
  <w:style w:type="character" w:customStyle="1" w:styleId="Boldchar">
    <w:name w:val="Bold_char"/>
    <w:uiPriority w:val="99"/>
    <w:rsid w:val="00AD2554"/>
    <w:rPr>
      <w:b/>
      <w:bCs/>
    </w:rPr>
  </w:style>
  <w:style w:type="character" w:customStyle="1" w:styleId="SSchar">
    <w:name w:val="SS_char"/>
    <w:rsid w:val="00AD2554"/>
    <w:rPr>
      <w:vertAlign w:val="superscript"/>
    </w:rPr>
  </w:style>
  <w:style w:type="table" w:styleId="TableGrid2">
    <w:name w:val="Table Grid 2"/>
    <w:basedOn w:val="TableNormal"/>
    <w:rsid w:val="00AD2554"/>
    <w:pPr>
      <w:spacing w:after="1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AD2554"/>
    <w:pPr>
      <w:spacing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Professional">
    <w:name w:val="Table Professional"/>
    <w:basedOn w:val="TableNormal"/>
    <w:uiPriority w:val="99"/>
    <w:rsid w:val="00AD2554"/>
    <w:pPr>
      <w:spacing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AD2554"/>
    <w:pPr>
      <w:spacing w:after="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ubtle1">
    <w:name w:val="Table Subtle 1"/>
    <w:basedOn w:val="TableNormal"/>
    <w:rsid w:val="00AD2554"/>
    <w:pPr>
      <w:spacing w:after="1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AD2554"/>
    <w:pPr>
      <w:spacing w:after="1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AD2554"/>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rsid w:val="00AD2554"/>
    <w:pPr>
      <w:spacing w:after="1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imple2">
    <w:name w:val="Table Simple 2"/>
    <w:basedOn w:val="TableNormal"/>
    <w:rsid w:val="00AD2554"/>
    <w:pPr>
      <w:spacing w:after="1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AD2554"/>
    <w:pPr>
      <w:spacing w:after="1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Appendixheading">
    <w:name w:val="Appendix heading"/>
    <w:next w:val="Normal"/>
    <w:uiPriority w:val="2"/>
    <w:qFormat/>
    <w:rsid w:val="00AD2554"/>
    <w:pPr>
      <w:keepNext/>
      <w:keepLines/>
      <w:pageBreakBefore/>
      <w:spacing w:before="240" w:after="120"/>
    </w:pPr>
    <w:rPr>
      <w:rFonts w:ascii="Verdana" w:hAnsi="Verdana"/>
      <w:b/>
      <w:sz w:val="32"/>
      <w:szCs w:val="18"/>
      <w:lang w:eastAsia="en-US"/>
    </w:rPr>
  </w:style>
  <w:style w:type="paragraph" w:customStyle="1" w:styleId="AppendixHeading2">
    <w:name w:val="Appendix Heading 2"/>
    <w:basedOn w:val="Heading2"/>
    <w:next w:val="BodyText"/>
    <w:rsid w:val="00AD2554"/>
    <w:pPr>
      <w:numPr>
        <w:ilvl w:val="0"/>
        <w:numId w:val="0"/>
      </w:numPr>
      <w:tabs>
        <w:tab w:val="num" w:pos="833"/>
        <w:tab w:val="left" w:pos="964"/>
      </w:tabs>
      <w:spacing w:after="120"/>
      <w:ind w:left="833" w:hanging="833"/>
      <w:outlineLvl w:val="9"/>
    </w:pPr>
    <w:rPr>
      <w:rFonts w:ascii="Verdana" w:hAnsi="Verdana" w:cs="Times New Roman"/>
      <w:color w:val="auto"/>
      <w:szCs w:val="20"/>
      <w:lang w:val="en-AU" w:eastAsia="en-US"/>
    </w:rPr>
  </w:style>
  <w:style w:type="paragraph" w:customStyle="1" w:styleId="AppendixHeading3">
    <w:name w:val="Appendix Heading 3"/>
    <w:basedOn w:val="Heading3"/>
    <w:next w:val="BodyText"/>
    <w:rsid w:val="00AD2554"/>
    <w:pPr>
      <w:numPr>
        <w:ilvl w:val="0"/>
        <w:numId w:val="0"/>
      </w:numPr>
      <w:tabs>
        <w:tab w:val="left" w:pos="357"/>
        <w:tab w:val="num" w:pos="833"/>
      </w:tabs>
      <w:ind w:left="833" w:hanging="833"/>
      <w:outlineLvl w:val="9"/>
    </w:pPr>
    <w:rPr>
      <w:rFonts w:ascii="Verdana" w:hAnsi="Verdana" w:cs="Times New Roman"/>
      <w:i w:val="0"/>
      <w:sz w:val="24"/>
      <w:szCs w:val="20"/>
      <w:lang w:eastAsia="en-US"/>
    </w:rPr>
  </w:style>
  <w:style w:type="paragraph" w:customStyle="1" w:styleId="AppendixHeading4">
    <w:name w:val="Appendix Heading 4"/>
    <w:basedOn w:val="Heading4"/>
    <w:next w:val="BodyText"/>
    <w:rsid w:val="00AD2554"/>
    <w:pPr>
      <w:keepNext/>
      <w:numPr>
        <w:numId w:val="32"/>
      </w:numPr>
      <w:tabs>
        <w:tab w:val="clear" w:pos="0"/>
        <w:tab w:val="left" w:pos="964"/>
      </w:tabs>
      <w:spacing w:before="240" w:after="120" w:line="240" w:lineRule="auto"/>
      <w:jc w:val="both"/>
      <w:outlineLvl w:val="9"/>
    </w:pPr>
    <w:rPr>
      <w:rFonts w:ascii="Verdana" w:hAnsi="Verdana"/>
      <w:i w:val="0"/>
      <w:sz w:val="20"/>
      <w:szCs w:val="20"/>
      <w:lang w:eastAsia="en-US"/>
    </w:rPr>
  </w:style>
  <w:style w:type="paragraph" w:customStyle="1" w:styleId="Tablebullet1">
    <w:name w:val="Tablebullet1"/>
    <w:basedOn w:val="ListBullet"/>
    <w:qFormat/>
    <w:rsid w:val="00AD2554"/>
    <w:pPr>
      <w:keepLines w:val="0"/>
      <w:tabs>
        <w:tab w:val="num" w:pos="567"/>
      </w:tabs>
      <w:spacing w:before="40" w:after="40"/>
      <w:ind w:left="340" w:hanging="340"/>
    </w:pPr>
    <w:rPr>
      <w:sz w:val="18"/>
      <w:lang w:val="en-US"/>
    </w:rPr>
  </w:style>
  <w:style w:type="paragraph" w:customStyle="1" w:styleId="BodyTextkeepwithnext0">
    <w:name w:val="BodyTextkeepwithnext"/>
    <w:basedOn w:val="BodyText"/>
    <w:qFormat/>
    <w:rsid w:val="00696688"/>
    <w:pPr>
      <w:keepNext/>
      <w:spacing w:before="0"/>
    </w:pPr>
    <w:rPr>
      <w:noProof/>
    </w:rPr>
  </w:style>
  <w:style w:type="paragraph" w:customStyle="1" w:styleId="TableHeading2">
    <w:name w:val="TableHeading2"/>
    <w:basedOn w:val="Normal"/>
    <w:qFormat/>
    <w:rsid w:val="00AD2554"/>
    <w:pPr>
      <w:keepLines/>
      <w:spacing w:before="40" w:after="40" w:line="240" w:lineRule="auto"/>
    </w:pPr>
    <w:rPr>
      <w:rFonts w:ascii="Verdana" w:hAnsi="Verdana"/>
      <w:i/>
      <w:iCs/>
      <w:sz w:val="18"/>
    </w:rPr>
  </w:style>
  <w:style w:type="numbering" w:customStyle="1" w:styleId="NoList2">
    <w:name w:val="No List2"/>
    <w:next w:val="NoList"/>
    <w:semiHidden/>
    <w:rsid w:val="00AD2554"/>
  </w:style>
  <w:style w:type="paragraph" w:customStyle="1" w:styleId="Notice">
    <w:name w:val="Notice"/>
    <w:basedOn w:val="Normal"/>
    <w:next w:val="Normal"/>
    <w:rsid w:val="00AD2554"/>
    <w:pPr>
      <w:keepLines/>
      <w:numPr>
        <w:numId w:val="36"/>
      </w:numPr>
      <w:spacing w:line="240" w:lineRule="auto"/>
    </w:pPr>
    <w:rPr>
      <w:szCs w:val="20"/>
      <w:lang w:eastAsia="en-US"/>
    </w:rPr>
  </w:style>
  <w:style w:type="paragraph" w:customStyle="1" w:styleId="Graphic">
    <w:name w:val="Graphic"/>
    <w:basedOn w:val="BodyText"/>
    <w:rsid w:val="00AD2554"/>
    <w:pPr>
      <w:keepNext/>
      <w:spacing w:before="60"/>
      <w:ind w:left="1701"/>
    </w:pPr>
    <w:rPr>
      <w:szCs w:val="20"/>
      <w:lang w:eastAsia="en-US"/>
    </w:rPr>
  </w:style>
  <w:style w:type="paragraph" w:customStyle="1" w:styleId="Warning">
    <w:name w:val="Warning"/>
    <w:basedOn w:val="Normal"/>
    <w:rsid w:val="00AD2554"/>
    <w:pPr>
      <w:keepLines/>
      <w:numPr>
        <w:numId w:val="34"/>
      </w:numPr>
      <w:spacing w:line="240" w:lineRule="auto"/>
    </w:pPr>
    <w:rPr>
      <w:szCs w:val="20"/>
      <w:lang w:eastAsia="en-US"/>
    </w:rPr>
  </w:style>
  <w:style w:type="paragraph" w:customStyle="1" w:styleId="Numstep">
    <w:name w:val="Numstep"/>
    <w:basedOn w:val="Normal"/>
    <w:rsid w:val="00AD2554"/>
    <w:pPr>
      <w:keepLines/>
      <w:numPr>
        <w:numId w:val="39"/>
      </w:numPr>
      <w:spacing w:after="120" w:line="240" w:lineRule="auto"/>
    </w:pPr>
    <w:rPr>
      <w:szCs w:val="20"/>
      <w:lang w:eastAsia="en-US"/>
    </w:rPr>
  </w:style>
  <w:style w:type="paragraph" w:customStyle="1" w:styleId="Tabletitle">
    <w:name w:val="Table title"/>
    <w:basedOn w:val="Normal"/>
    <w:rsid w:val="00AD2554"/>
    <w:pPr>
      <w:keepLines/>
      <w:spacing w:before="60" w:after="60" w:line="240" w:lineRule="auto"/>
    </w:pPr>
    <w:rPr>
      <w:b/>
      <w:color w:val="FFFFFF"/>
      <w:sz w:val="20"/>
      <w:szCs w:val="20"/>
      <w:lang w:eastAsia="en-US"/>
    </w:rPr>
  </w:style>
  <w:style w:type="paragraph" w:customStyle="1" w:styleId="Numstepprebull">
    <w:name w:val="Numstep prebull"/>
    <w:basedOn w:val="Numstep"/>
    <w:next w:val="Numstepbullet"/>
    <w:rsid w:val="00AD2554"/>
  </w:style>
  <w:style w:type="paragraph" w:customStyle="1" w:styleId="Numsteplastbull">
    <w:name w:val="Numstep lastbull"/>
    <w:basedOn w:val="Normal"/>
    <w:next w:val="Numstep"/>
    <w:rsid w:val="00AD2554"/>
    <w:pPr>
      <w:keepLines/>
      <w:numPr>
        <w:numId w:val="35"/>
      </w:numPr>
      <w:spacing w:line="240" w:lineRule="auto"/>
    </w:pPr>
    <w:rPr>
      <w:szCs w:val="20"/>
      <w:lang w:eastAsia="en-US"/>
    </w:rPr>
  </w:style>
  <w:style w:type="paragraph" w:customStyle="1" w:styleId="Tabletext0">
    <w:name w:val="Table text"/>
    <w:basedOn w:val="Tabletitle"/>
    <w:rsid w:val="00AD2554"/>
  </w:style>
  <w:style w:type="paragraph" w:customStyle="1" w:styleId="Tips">
    <w:name w:val="Tips"/>
    <w:basedOn w:val="Normal"/>
    <w:rsid w:val="00AD2554"/>
    <w:pPr>
      <w:keepLines/>
      <w:numPr>
        <w:numId w:val="33"/>
      </w:numPr>
      <w:spacing w:line="240" w:lineRule="auto"/>
    </w:pPr>
    <w:rPr>
      <w:szCs w:val="20"/>
      <w:lang w:eastAsia="en-US"/>
    </w:rPr>
  </w:style>
  <w:style w:type="paragraph" w:customStyle="1" w:styleId="BookTitle1">
    <w:name w:val="Book Title1"/>
    <w:basedOn w:val="Heading1"/>
    <w:rsid w:val="00AD2554"/>
    <w:pPr>
      <w:keepLines/>
      <w:pBdr>
        <w:bottom w:val="none" w:sz="0" w:space="0" w:color="auto"/>
      </w:pBdr>
      <w:tabs>
        <w:tab w:val="num" w:pos="964"/>
      </w:tabs>
      <w:adjustRightInd/>
      <w:spacing w:before="480" w:after="720" w:line="240" w:lineRule="auto"/>
      <w:ind w:left="0" w:firstLine="0"/>
      <w:jc w:val="right"/>
      <w:outlineLvl w:val="9"/>
    </w:pPr>
    <w:rPr>
      <w:rFonts w:ascii="Arial" w:hAnsi="Arial" w:cs="Times New Roman"/>
      <w:sz w:val="96"/>
      <w:szCs w:val="96"/>
      <w:lang w:eastAsia="en-US"/>
    </w:rPr>
  </w:style>
  <w:style w:type="paragraph" w:customStyle="1" w:styleId="Computer">
    <w:name w:val="Computer"/>
    <w:basedOn w:val="Normal"/>
    <w:rsid w:val="00AD2554"/>
    <w:pPr>
      <w:spacing w:after="0" w:line="240" w:lineRule="auto"/>
      <w:ind w:left="1985" w:right="284"/>
    </w:pPr>
    <w:rPr>
      <w:rFonts w:ascii="Courier New" w:hAnsi="Courier New"/>
      <w:sz w:val="20"/>
      <w:szCs w:val="20"/>
      <w:lang w:eastAsia="en-US"/>
    </w:rPr>
  </w:style>
  <w:style w:type="paragraph" w:customStyle="1" w:styleId="Computergreyed">
    <w:name w:val="Computer greyed"/>
    <w:basedOn w:val="Computer"/>
    <w:rsid w:val="00AD2554"/>
    <w:rPr>
      <w:color w:val="C0C0C0"/>
    </w:rPr>
  </w:style>
  <w:style w:type="paragraph" w:customStyle="1" w:styleId="Tooltip">
    <w:name w:val="Tool tip"/>
    <w:basedOn w:val="Normal"/>
    <w:next w:val="Normal"/>
    <w:rsid w:val="00AD2554"/>
    <w:pPr>
      <w:keepLines/>
      <w:numPr>
        <w:numId w:val="37"/>
      </w:numPr>
      <w:spacing w:line="240" w:lineRule="auto"/>
    </w:pPr>
    <w:rPr>
      <w:szCs w:val="20"/>
      <w:lang w:eastAsia="en-US"/>
    </w:rPr>
  </w:style>
  <w:style w:type="paragraph" w:customStyle="1" w:styleId="Rule">
    <w:name w:val="Rule"/>
    <w:basedOn w:val="BodyText"/>
    <w:rsid w:val="00AD2554"/>
    <w:pPr>
      <w:pBdr>
        <w:top w:val="single" w:sz="4" w:space="2" w:color="336699"/>
        <w:bottom w:val="single" w:sz="4" w:space="2" w:color="336699"/>
      </w:pBdr>
      <w:spacing w:before="60" w:after="240"/>
      <w:ind w:left="1701"/>
    </w:pPr>
    <w:rPr>
      <w:i/>
      <w:szCs w:val="20"/>
      <w:lang w:eastAsia="en-US"/>
    </w:rPr>
  </w:style>
  <w:style w:type="paragraph" w:customStyle="1" w:styleId="Writeitdown">
    <w:name w:val="Write it down"/>
    <w:basedOn w:val="Normal"/>
    <w:next w:val="Normal"/>
    <w:rsid w:val="00AD2554"/>
    <w:pPr>
      <w:keepLines/>
      <w:numPr>
        <w:numId w:val="38"/>
      </w:numPr>
      <w:spacing w:line="240" w:lineRule="auto"/>
    </w:pPr>
    <w:rPr>
      <w:szCs w:val="28"/>
      <w:lang w:eastAsia="en-US"/>
    </w:rPr>
  </w:style>
  <w:style w:type="paragraph" w:customStyle="1" w:styleId="Numstepgraphic">
    <w:name w:val="Numstep graphic"/>
    <w:basedOn w:val="Numstep"/>
    <w:rsid w:val="00AD2554"/>
    <w:pPr>
      <w:ind w:left="0" w:firstLine="0"/>
    </w:pPr>
  </w:style>
  <w:style w:type="paragraph" w:customStyle="1" w:styleId="TableHeading0">
    <w:name w:val="Table Heading"/>
    <w:basedOn w:val="Normal"/>
    <w:autoRedefine/>
    <w:uiPriority w:val="99"/>
    <w:rsid w:val="00AD2554"/>
    <w:pPr>
      <w:keepLines/>
      <w:spacing w:before="120" w:after="120" w:line="240" w:lineRule="auto"/>
      <w:ind w:left="1701" w:hanging="1701"/>
      <w:jc w:val="center"/>
    </w:pPr>
    <w:rPr>
      <w:b/>
      <w:sz w:val="20"/>
      <w:lang w:val="en-US"/>
    </w:rPr>
  </w:style>
  <w:style w:type="paragraph" w:customStyle="1" w:styleId="heading5se">
    <w:name w:val="heading5se"/>
    <w:basedOn w:val="Normal"/>
    <w:rsid w:val="00AD2554"/>
    <w:pPr>
      <w:spacing w:before="100" w:beforeAutospacing="1" w:after="100" w:afterAutospacing="1" w:line="240" w:lineRule="auto"/>
    </w:pPr>
    <w:rPr>
      <w:rFonts w:ascii="Times New Roman" w:hAnsi="Times New Roman"/>
      <w:sz w:val="24"/>
      <w:lang w:val="en-US" w:eastAsia="en-US"/>
    </w:rPr>
  </w:style>
  <w:style w:type="table" w:styleId="MediumGrid3-Accent5">
    <w:name w:val="Medium Grid 3 Accent 5"/>
    <w:basedOn w:val="TableNormal"/>
    <w:uiPriority w:val="60"/>
    <w:rsid w:val="00AD255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ColorfulShading-Accent11">
    <w:name w:val="Colorful Shading - Accent 11"/>
    <w:hidden/>
    <w:uiPriority w:val="99"/>
    <w:semiHidden/>
    <w:rsid w:val="00AD2554"/>
    <w:rPr>
      <w:rFonts w:ascii="Arial" w:hAnsi="Arial"/>
      <w:sz w:val="22"/>
      <w:lang w:eastAsia="en-US"/>
    </w:rPr>
  </w:style>
  <w:style w:type="table" w:styleId="DarkList-Accent5">
    <w:name w:val="Dark List Accent 5"/>
    <w:basedOn w:val="TableNormal"/>
    <w:uiPriority w:val="61"/>
    <w:rsid w:val="00AD255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mixed-citation">
    <w:name w:val="mixed-citation"/>
    <w:rsid w:val="00AD2554"/>
  </w:style>
  <w:style w:type="character" w:customStyle="1" w:styleId="ref-journal">
    <w:name w:val="ref-journal"/>
    <w:rsid w:val="00AD2554"/>
  </w:style>
  <w:style w:type="character" w:customStyle="1" w:styleId="ref-vol">
    <w:name w:val="ref-vol"/>
    <w:rsid w:val="00AD2554"/>
  </w:style>
  <w:style w:type="character" w:customStyle="1" w:styleId="citation-abbreviation">
    <w:name w:val="citation-abbreviation"/>
    <w:rsid w:val="00AD2554"/>
  </w:style>
  <w:style w:type="character" w:customStyle="1" w:styleId="citation-publication-date">
    <w:name w:val="citation-publication-date"/>
    <w:rsid w:val="00AD2554"/>
  </w:style>
  <w:style w:type="character" w:customStyle="1" w:styleId="citation-volume">
    <w:name w:val="citation-volume"/>
    <w:rsid w:val="00AD2554"/>
  </w:style>
  <w:style w:type="character" w:customStyle="1" w:styleId="citation-issue">
    <w:name w:val="citation-issue"/>
    <w:rsid w:val="00AD2554"/>
  </w:style>
  <w:style w:type="character" w:customStyle="1" w:styleId="citation-flpages">
    <w:name w:val="citation-flpages"/>
    <w:rsid w:val="00AD2554"/>
  </w:style>
  <w:style w:type="paragraph" w:customStyle="1" w:styleId="Bullet1stlevelkeepwithnext">
    <w:name w:val="Bullet 1stlevelkeepwithnext"/>
    <w:basedOn w:val="Bullet1stlevel"/>
    <w:qFormat/>
    <w:rsid w:val="00AD2554"/>
    <w:pPr>
      <w:keepNext/>
      <w:numPr>
        <w:numId w:val="0"/>
      </w:numPr>
      <w:tabs>
        <w:tab w:val="num" w:pos="2835"/>
      </w:tabs>
      <w:ind w:left="357" w:hanging="357"/>
    </w:pPr>
  </w:style>
  <w:style w:type="paragraph" w:customStyle="1" w:styleId="Appendixbulletheading">
    <w:name w:val="Appendixbulletheading"/>
    <w:basedOn w:val="Normal"/>
    <w:qFormat/>
    <w:rsid w:val="00AD2554"/>
    <w:pPr>
      <w:keepNext/>
      <w:keepLines/>
      <w:numPr>
        <w:ilvl w:val="2"/>
        <w:numId w:val="33"/>
      </w:numPr>
      <w:tabs>
        <w:tab w:val="clear" w:pos="2160"/>
      </w:tabs>
      <w:spacing w:before="180" w:after="120" w:line="240" w:lineRule="auto"/>
      <w:outlineLvl w:val="2"/>
    </w:pPr>
    <w:rPr>
      <w:b/>
      <w:color w:val="336699"/>
      <w:spacing w:val="20"/>
      <w:sz w:val="24"/>
      <w:szCs w:val="28"/>
      <w:lang w:eastAsia="en-US"/>
    </w:rPr>
  </w:style>
  <w:style w:type="paragraph" w:customStyle="1" w:styleId="AppendixBulletHeading2">
    <w:name w:val="AppendixBulletHeading2"/>
    <w:basedOn w:val="Normal"/>
    <w:qFormat/>
    <w:rsid w:val="00AD2554"/>
    <w:pPr>
      <w:keepNext/>
      <w:keepLines/>
      <w:numPr>
        <w:ilvl w:val="3"/>
        <w:numId w:val="33"/>
      </w:numPr>
      <w:spacing w:before="120" w:after="120" w:line="240" w:lineRule="auto"/>
      <w:outlineLvl w:val="3"/>
    </w:pPr>
    <w:rPr>
      <w:b/>
      <w:color w:val="336699"/>
      <w:spacing w:val="20"/>
      <w:szCs w:val="28"/>
      <w:lang w:eastAsia="en-US"/>
    </w:rPr>
  </w:style>
  <w:style w:type="paragraph" w:customStyle="1" w:styleId="Appendix1">
    <w:name w:val="Appendix 1"/>
    <w:next w:val="BodyText"/>
    <w:link w:val="Appendix1Char"/>
    <w:uiPriority w:val="99"/>
    <w:rsid w:val="00AD2554"/>
    <w:pPr>
      <w:keepNext/>
      <w:pageBreakBefore/>
      <w:numPr>
        <w:numId w:val="42"/>
      </w:numPr>
      <w:tabs>
        <w:tab w:val="left" w:pos="1843"/>
      </w:tabs>
      <w:spacing w:before="240" w:after="60"/>
    </w:pPr>
    <w:rPr>
      <w:rFonts w:ascii="Arial Bold" w:hAnsi="Arial Bold"/>
      <w:b/>
      <w:sz w:val="28"/>
      <w:szCs w:val="40"/>
    </w:rPr>
  </w:style>
  <w:style w:type="paragraph" w:customStyle="1" w:styleId="Appendix4">
    <w:name w:val="Appendix 4"/>
    <w:next w:val="BodyText"/>
    <w:uiPriority w:val="99"/>
    <w:rsid w:val="00AD2554"/>
    <w:pPr>
      <w:keepNext/>
      <w:numPr>
        <w:ilvl w:val="3"/>
        <w:numId w:val="42"/>
      </w:numPr>
      <w:spacing w:before="240" w:after="60"/>
    </w:pPr>
    <w:rPr>
      <w:rFonts w:ascii="Arial Bold" w:hAnsi="Arial Bold"/>
      <w:b/>
      <w:sz w:val="24"/>
      <w:szCs w:val="40"/>
    </w:rPr>
  </w:style>
  <w:style w:type="paragraph" w:customStyle="1" w:styleId="Appendix3">
    <w:name w:val="Appendix 3"/>
    <w:next w:val="BodyText"/>
    <w:uiPriority w:val="99"/>
    <w:rsid w:val="00AD2554"/>
    <w:pPr>
      <w:keepNext/>
      <w:numPr>
        <w:ilvl w:val="2"/>
        <w:numId w:val="42"/>
      </w:numPr>
      <w:spacing w:before="240" w:after="60"/>
    </w:pPr>
    <w:rPr>
      <w:rFonts w:ascii="Arial Bold" w:hAnsi="Arial Bold"/>
      <w:b/>
      <w:sz w:val="24"/>
      <w:szCs w:val="40"/>
    </w:rPr>
  </w:style>
  <w:style w:type="paragraph" w:customStyle="1" w:styleId="Appendix2">
    <w:name w:val="Appendix 2"/>
    <w:next w:val="BodyText"/>
    <w:uiPriority w:val="99"/>
    <w:rsid w:val="00AD2554"/>
    <w:pPr>
      <w:keepNext/>
      <w:numPr>
        <w:ilvl w:val="1"/>
        <w:numId w:val="42"/>
      </w:numPr>
      <w:spacing w:before="240" w:after="60"/>
    </w:pPr>
    <w:rPr>
      <w:rFonts w:ascii="Arial Bold" w:hAnsi="Arial Bold"/>
      <w:b/>
      <w:sz w:val="24"/>
      <w:szCs w:val="40"/>
    </w:rPr>
  </w:style>
  <w:style w:type="table" w:customStyle="1" w:styleId="Table11pt">
    <w:name w:val="Table 11pt"/>
    <w:uiPriority w:val="99"/>
    <w:semiHidden/>
    <w:rsid w:val="00AD2554"/>
    <w:pPr>
      <w:jc w:val="both"/>
    </w:pPr>
    <w:rPr>
      <w:rFonts w:ascii="Arial" w:hAnsi="Arial"/>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10pt">
    <w:name w:val="Table 10pt"/>
    <w:uiPriority w:val="99"/>
    <w:semiHidden/>
    <w:rsid w:val="00AD2554"/>
    <w:pPr>
      <w:jc w:val="both"/>
    </w:pPr>
    <w:rPr>
      <w:rFonts w:ascii="Arial" w:hAnsi="Arial"/>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FirstPageTitle1">
    <w:name w:val="FirstPage Title1"/>
    <w:uiPriority w:val="99"/>
    <w:rsid w:val="00AD2554"/>
    <w:pPr>
      <w:spacing w:before="3000"/>
      <w:jc w:val="right"/>
    </w:pPr>
    <w:rPr>
      <w:rFonts w:ascii="Arial" w:hAnsi="Arial"/>
      <w:b/>
      <w:sz w:val="36"/>
      <w:szCs w:val="40"/>
    </w:rPr>
  </w:style>
  <w:style w:type="paragraph" w:customStyle="1" w:styleId="FirstPageTitle2">
    <w:name w:val="FirstPage Title2"/>
    <w:uiPriority w:val="99"/>
    <w:rsid w:val="00AD2554"/>
    <w:pPr>
      <w:spacing w:before="240" w:after="240"/>
      <w:jc w:val="right"/>
    </w:pPr>
    <w:rPr>
      <w:rFonts w:ascii="Arial" w:hAnsi="Arial" w:cs="Arial"/>
      <w:b/>
      <w:bCs/>
      <w:kern w:val="28"/>
      <w:sz w:val="32"/>
      <w:szCs w:val="32"/>
    </w:rPr>
  </w:style>
  <w:style w:type="paragraph" w:customStyle="1" w:styleId="FirstPageFooter">
    <w:name w:val="FirstPage Footer"/>
    <w:uiPriority w:val="99"/>
    <w:rsid w:val="00AD2554"/>
    <w:pPr>
      <w:spacing w:before="40" w:after="40"/>
    </w:pPr>
    <w:rPr>
      <w:rFonts w:ascii="Arial" w:hAnsi="Arial"/>
      <w:sz w:val="16"/>
      <w:szCs w:val="40"/>
    </w:rPr>
  </w:style>
  <w:style w:type="paragraph" w:customStyle="1" w:styleId="CellBody">
    <w:name w:val="CellBody"/>
    <w:uiPriority w:val="99"/>
    <w:rsid w:val="00AD2554"/>
    <w:pPr>
      <w:tabs>
        <w:tab w:val="left" w:pos="284"/>
      </w:tabs>
      <w:spacing w:before="80" w:after="80"/>
    </w:pPr>
    <w:rPr>
      <w:rFonts w:ascii="Arial" w:hAnsi="Arial"/>
      <w:szCs w:val="40"/>
    </w:rPr>
  </w:style>
  <w:style w:type="character" w:customStyle="1" w:styleId="XRef">
    <w:name w:val="XRef"/>
    <w:uiPriority w:val="99"/>
    <w:rsid w:val="00AD2554"/>
    <w:rPr>
      <w:rFonts w:ascii="Arial" w:hAnsi="Arial" w:cs="Times New Roman"/>
      <w:color w:val="0000CC"/>
      <w:spacing w:val="-4"/>
      <w:sz w:val="22"/>
      <w:u w:val="single"/>
    </w:rPr>
  </w:style>
  <w:style w:type="paragraph" w:customStyle="1" w:styleId="CellBullet">
    <w:name w:val="CellBullet"/>
    <w:uiPriority w:val="99"/>
    <w:rsid w:val="00AD2554"/>
    <w:pPr>
      <w:numPr>
        <w:numId w:val="43"/>
      </w:numPr>
      <w:spacing w:before="60" w:after="60"/>
    </w:pPr>
    <w:rPr>
      <w:rFonts w:ascii="Arial" w:hAnsi="Arial"/>
      <w:szCs w:val="22"/>
      <w:lang w:eastAsia="en-US"/>
    </w:rPr>
  </w:style>
  <w:style w:type="paragraph" w:customStyle="1" w:styleId="ListAlpha">
    <w:name w:val="List Alpha"/>
    <w:uiPriority w:val="99"/>
    <w:rsid w:val="00AD2554"/>
    <w:pPr>
      <w:numPr>
        <w:numId w:val="44"/>
      </w:numPr>
      <w:spacing w:before="120" w:after="120"/>
    </w:pPr>
    <w:rPr>
      <w:rFonts w:ascii="Arial" w:hAnsi="Arial"/>
      <w:sz w:val="22"/>
      <w:szCs w:val="40"/>
    </w:rPr>
  </w:style>
  <w:style w:type="paragraph" w:customStyle="1" w:styleId="ListAlpha2">
    <w:name w:val="List Alpha 2"/>
    <w:uiPriority w:val="99"/>
    <w:rsid w:val="00AD2554"/>
    <w:pPr>
      <w:tabs>
        <w:tab w:val="num" w:pos="2410"/>
      </w:tabs>
      <w:spacing w:before="120" w:after="120"/>
      <w:ind w:left="2410" w:hanging="567"/>
    </w:pPr>
    <w:rPr>
      <w:rFonts w:ascii="Arial" w:hAnsi="Arial"/>
      <w:sz w:val="22"/>
      <w:szCs w:val="40"/>
    </w:rPr>
  </w:style>
  <w:style w:type="paragraph" w:customStyle="1" w:styleId="FooterLandscape0">
    <w:name w:val="Footer Landscape"/>
    <w:uiPriority w:val="99"/>
    <w:rsid w:val="00AD2554"/>
    <w:pPr>
      <w:pBdr>
        <w:top w:val="single" w:sz="6" w:space="1" w:color="777777"/>
      </w:pBdr>
      <w:tabs>
        <w:tab w:val="center" w:pos="7655"/>
        <w:tab w:val="right" w:pos="15167"/>
      </w:tabs>
    </w:pPr>
    <w:rPr>
      <w:rFonts w:ascii="Arial" w:hAnsi="Arial"/>
      <w:sz w:val="16"/>
      <w:szCs w:val="40"/>
    </w:rPr>
  </w:style>
  <w:style w:type="paragraph" w:customStyle="1" w:styleId="FirstPageTitle3">
    <w:name w:val="FirstPage Title3"/>
    <w:uiPriority w:val="99"/>
    <w:rsid w:val="00AD2554"/>
    <w:pPr>
      <w:spacing w:before="240" w:after="240"/>
      <w:jc w:val="right"/>
    </w:pPr>
    <w:rPr>
      <w:rFonts w:ascii="Arial Bold" w:hAnsi="Arial Bold" w:cs="Arial"/>
      <w:b/>
      <w:bCs/>
      <w:kern w:val="28"/>
      <w:sz w:val="24"/>
      <w:szCs w:val="32"/>
    </w:rPr>
  </w:style>
  <w:style w:type="paragraph" w:customStyle="1" w:styleId="Header2">
    <w:name w:val="Header 2"/>
    <w:basedOn w:val="Header"/>
    <w:uiPriority w:val="99"/>
    <w:rsid w:val="00AD2554"/>
    <w:pPr>
      <w:pBdr>
        <w:bottom w:val="single" w:sz="6" w:space="1" w:color="808080"/>
      </w:pBdr>
      <w:tabs>
        <w:tab w:val="clear" w:pos="0"/>
        <w:tab w:val="clear" w:pos="8647"/>
        <w:tab w:val="center" w:pos="4153"/>
        <w:tab w:val="right" w:pos="8306"/>
      </w:tabs>
      <w:spacing w:before="20" w:after="240"/>
    </w:pPr>
    <w:rPr>
      <w:rFonts w:cs="Times New Roman"/>
      <w:bCs w:val="0"/>
      <w:color w:val="auto"/>
      <w:sz w:val="4"/>
      <w:szCs w:val="40"/>
    </w:rPr>
  </w:style>
  <w:style w:type="paragraph" w:customStyle="1" w:styleId="CaptionLandscape">
    <w:name w:val="Caption Landscape"/>
    <w:basedOn w:val="Caption"/>
    <w:uiPriority w:val="99"/>
    <w:rsid w:val="00AD2554"/>
    <w:pPr>
      <w:spacing w:before="60" w:after="120"/>
    </w:pPr>
    <w:rPr>
      <w:bCs/>
      <w:iCs w:val="0"/>
      <w:color w:val="auto"/>
      <w:sz w:val="22"/>
      <w:szCs w:val="22"/>
    </w:rPr>
  </w:style>
  <w:style w:type="table" w:customStyle="1" w:styleId="BATable">
    <w:name w:val="BA Table"/>
    <w:uiPriority w:val="99"/>
    <w:rsid w:val="00AD2554"/>
    <w:pPr>
      <w:spacing w:before="40" w:after="80"/>
    </w:pPr>
    <w:rPr>
      <w:rFonts w:ascii="Arial" w:hAnsi="Arial"/>
      <w:lang w:val="en-US" w:eastAsia="en-US"/>
    </w:rPr>
    <w:tblPr>
      <w:tblStyleRowBandSize w:val="1"/>
      <w:tblStyleColBandSize w:val="1"/>
      <w:tblInd w:w="1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cantSplit/>
    </w:trPr>
  </w:style>
  <w:style w:type="paragraph" w:customStyle="1" w:styleId="StyleHeading1Before6ptAfter12pt">
    <w:name w:val="Style Heading 1 + Before:  6 pt After:  12 pt"/>
    <w:basedOn w:val="Heading1"/>
    <w:autoRedefine/>
    <w:uiPriority w:val="99"/>
    <w:rsid w:val="00AD2554"/>
    <w:pPr>
      <w:keepNext/>
      <w:numPr>
        <w:numId w:val="46"/>
      </w:numPr>
      <w:pBdr>
        <w:bottom w:val="none" w:sz="0" w:space="0" w:color="auto"/>
      </w:pBdr>
      <w:tabs>
        <w:tab w:val="left" w:pos="851"/>
        <w:tab w:val="num" w:pos="1843"/>
      </w:tabs>
      <w:overflowPunct w:val="0"/>
      <w:autoSpaceDE w:val="0"/>
      <w:autoSpaceDN w:val="0"/>
      <w:spacing w:before="120" w:after="240" w:line="240" w:lineRule="auto"/>
      <w:textAlignment w:val="baseline"/>
    </w:pPr>
    <w:rPr>
      <w:rFonts w:ascii="Arial" w:hAnsi="Arial"/>
      <w:bCs/>
      <w:color w:val="auto"/>
      <w:kern w:val="28"/>
      <w:sz w:val="24"/>
      <w:szCs w:val="24"/>
    </w:rPr>
  </w:style>
  <w:style w:type="paragraph" w:customStyle="1" w:styleId="IndentedNormalHeading2">
    <w:name w:val="Indented Normal (Heading 2"/>
    <w:aliases w:val="3,4)"/>
    <w:basedOn w:val="Normal"/>
    <w:link w:val="IndentedNormalHeading2Char"/>
    <w:uiPriority w:val="99"/>
    <w:rsid w:val="00AD2554"/>
    <w:pPr>
      <w:spacing w:before="120" w:after="120"/>
      <w:ind w:left="576"/>
    </w:pPr>
    <w:rPr>
      <w:rFonts w:ascii="Calibri" w:hAnsi="Calibri"/>
      <w:szCs w:val="22"/>
      <w:lang w:eastAsia="en-US"/>
    </w:rPr>
  </w:style>
  <w:style w:type="character" w:customStyle="1" w:styleId="IndentedNormalHeading2Char">
    <w:name w:val="Indented Normal (Heading 2 Char"/>
    <w:aliases w:val="3 Char,4) Char"/>
    <w:link w:val="IndentedNormalHeading2"/>
    <w:uiPriority w:val="99"/>
    <w:locked/>
    <w:rsid w:val="00AD2554"/>
    <w:rPr>
      <w:rFonts w:ascii="Calibri" w:hAnsi="Calibri"/>
      <w:sz w:val="22"/>
      <w:szCs w:val="22"/>
      <w:lang w:eastAsia="en-US"/>
    </w:rPr>
  </w:style>
  <w:style w:type="paragraph" w:customStyle="1" w:styleId="DDBodyText">
    <w:name w:val="DD Body Text"/>
    <w:basedOn w:val="Normal"/>
    <w:link w:val="DDBodyTextChar"/>
    <w:uiPriority w:val="99"/>
    <w:rsid w:val="00AD2554"/>
    <w:pPr>
      <w:spacing w:before="120" w:after="120" w:line="240" w:lineRule="auto"/>
      <w:ind w:left="1134"/>
    </w:pPr>
    <w:rPr>
      <w:rFonts w:cs="Arial"/>
      <w:color w:val="292929"/>
      <w:szCs w:val="20"/>
      <w:lang w:eastAsia="en-US"/>
    </w:rPr>
  </w:style>
  <w:style w:type="character" w:customStyle="1" w:styleId="DDBodyTextChar">
    <w:name w:val="DD Body Text Char"/>
    <w:link w:val="DDBodyText"/>
    <w:uiPriority w:val="99"/>
    <w:locked/>
    <w:rsid w:val="00AD2554"/>
    <w:rPr>
      <w:rFonts w:ascii="Arial" w:hAnsi="Arial" w:cs="Arial"/>
      <w:color w:val="292929"/>
      <w:sz w:val="22"/>
      <w:lang w:eastAsia="en-US"/>
    </w:rPr>
  </w:style>
  <w:style w:type="paragraph" w:customStyle="1" w:styleId="TableText1">
    <w:name w:val="Table Text"/>
    <w:basedOn w:val="Normal"/>
    <w:uiPriority w:val="99"/>
    <w:rsid w:val="00AD2554"/>
    <w:pPr>
      <w:spacing w:before="60" w:after="60" w:line="240" w:lineRule="auto"/>
    </w:pPr>
    <w:rPr>
      <w:rFonts w:cs="Arial"/>
      <w:szCs w:val="22"/>
      <w:lang w:eastAsia="en-US"/>
    </w:rPr>
  </w:style>
  <w:style w:type="paragraph" w:customStyle="1" w:styleId="Bodytext-Template">
    <w:name w:val="Body text - Template"/>
    <w:link w:val="Bodytext-TemplateChar"/>
    <w:uiPriority w:val="99"/>
    <w:rsid w:val="00AD2554"/>
    <w:pPr>
      <w:spacing w:before="120" w:after="120"/>
      <w:ind w:left="709"/>
      <w:jc w:val="both"/>
    </w:pPr>
    <w:rPr>
      <w:rFonts w:ascii="Times" w:hAnsi="Times"/>
      <w:sz w:val="22"/>
      <w:lang w:eastAsia="en-US"/>
    </w:rPr>
  </w:style>
  <w:style w:type="character" w:customStyle="1" w:styleId="Bodytext-TemplateChar">
    <w:name w:val="Body text - Template Char"/>
    <w:link w:val="Bodytext-Template"/>
    <w:uiPriority w:val="99"/>
    <w:locked/>
    <w:rsid w:val="00AD2554"/>
    <w:rPr>
      <w:rFonts w:ascii="Times" w:hAnsi="Times"/>
      <w:sz w:val="22"/>
      <w:lang w:eastAsia="en-US"/>
    </w:rPr>
  </w:style>
  <w:style w:type="paragraph" w:customStyle="1" w:styleId="Invisible2">
    <w:name w:val="Invisible 2"/>
    <w:basedOn w:val="Normal"/>
    <w:next w:val="BodyText"/>
    <w:uiPriority w:val="99"/>
    <w:rsid w:val="00AD2554"/>
    <w:pPr>
      <w:keepNext/>
      <w:keepLines/>
      <w:tabs>
        <w:tab w:val="num" w:pos="1843"/>
      </w:tabs>
      <w:spacing w:before="60" w:after="60" w:line="240" w:lineRule="auto"/>
      <w:ind w:left="1843" w:hanging="567"/>
      <w:outlineLvl w:val="1"/>
    </w:pPr>
    <w:rPr>
      <w:b/>
      <w:bCs/>
      <w:kern w:val="28"/>
      <w:sz w:val="24"/>
      <w:szCs w:val="20"/>
      <w:lang w:eastAsia="en-US"/>
    </w:rPr>
  </w:style>
  <w:style w:type="paragraph" w:customStyle="1" w:styleId="DefaultParagraphFontParaCharChar1Char">
    <w:name w:val="Default Paragraph Font Para Char Char1 Char"/>
    <w:aliases w:val="Default Paragraph Font Char Char Char"/>
    <w:basedOn w:val="Normal"/>
    <w:uiPriority w:val="99"/>
    <w:rsid w:val="00AD2554"/>
    <w:pPr>
      <w:spacing w:before="120" w:after="160" w:line="240" w:lineRule="exact"/>
    </w:pPr>
    <w:rPr>
      <w:sz w:val="20"/>
      <w:szCs w:val="20"/>
      <w:lang w:val="en-US" w:eastAsia="en-US"/>
    </w:rPr>
  </w:style>
  <w:style w:type="paragraph" w:customStyle="1" w:styleId="TableText10">
    <w:name w:val="Table Text 10"/>
    <w:basedOn w:val="BodyText"/>
    <w:uiPriority w:val="99"/>
    <w:rsid w:val="00AD2554"/>
    <w:pPr>
      <w:spacing w:before="60" w:after="60"/>
    </w:pPr>
    <w:rPr>
      <w:rFonts w:ascii="Arial (W1)" w:hAnsi="Arial (W1)" w:cs="Arial"/>
      <w:bCs/>
      <w:color w:val="292929"/>
      <w:sz w:val="21"/>
      <w:szCs w:val="20"/>
      <w:lang w:eastAsia="en-US"/>
    </w:rPr>
  </w:style>
  <w:style w:type="paragraph" w:customStyle="1" w:styleId="StyleJustified">
    <w:name w:val="Style Justified"/>
    <w:basedOn w:val="Normal"/>
    <w:uiPriority w:val="99"/>
    <w:rsid w:val="00AD2554"/>
    <w:pPr>
      <w:tabs>
        <w:tab w:val="left" w:pos="9072"/>
      </w:tabs>
      <w:overflowPunct w:val="0"/>
      <w:autoSpaceDE w:val="0"/>
      <w:autoSpaceDN w:val="0"/>
      <w:adjustRightInd w:val="0"/>
      <w:spacing w:before="120" w:after="120" w:line="240" w:lineRule="auto"/>
      <w:jc w:val="both"/>
    </w:pPr>
    <w:rPr>
      <w:sz w:val="20"/>
      <w:szCs w:val="20"/>
    </w:rPr>
  </w:style>
  <w:style w:type="paragraph" w:customStyle="1" w:styleId="Char5">
    <w:name w:val="Char5"/>
    <w:basedOn w:val="Normal"/>
    <w:autoRedefine/>
    <w:uiPriority w:val="99"/>
    <w:rsid w:val="00AD2554"/>
    <w:pPr>
      <w:spacing w:before="100" w:beforeAutospacing="1" w:after="100" w:afterAutospacing="1" w:line="240" w:lineRule="auto"/>
    </w:pPr>
    <w:rPr>
      <w:sz w:val="20"/>
      <w:szCs w:val="20"/>
      <w:lang w:val="en-US" w:eastAsia="en-US"/>
    </w:rPr>
  </w:style>
  <w:style w:type="paragraph" w:customStyle="1" w:styleId="baresumeblackbullets">
    <w:name w:val="ba resume black bullets"/>
    <w:basedOn w:val="NormalWeb"/>
    <w:uiPriority w:val="99"/>
    <w:rsid w:val="00AD2554"/>
    <w:pPr>
      <w:numPr>
        <w:numId w:val="47"/>
      </w:numPr>
      <w:spacing w:before="60" w:after="60"/>
      <w:ind w:right="142"/>
      <w:jc w:val="both"/>
    </w:pPr>
    <w:rPr>
      <w:rFonts w:cs="Arial"/>
      <w:sz w:val="20"/>
      <w:szCs w:val="20"/>
      <w:lang w:eastAsia="en-US"/>
    </w:rPr>
  </w:style>
  <w:style w:type="paragraph" w:customStyle="1" w:styleId="BARESUME">
    <w:name w:val="BA RESUME"/>
    <w:basedOn w:val="Normal"/>
    <w:link w:val="BARESUMEChar"/>
    <w:uiPriority w:val="99"/>
    <w:rsid w:val="00AD2554"/>
    <w:pPr>
      <w:spacing w:before="60" w:after="60"/>
      <w:jc w:val="both"/>
    </w:pPr>
    <w:rPr>
      <w:rFonts w:cs="Arial"/>
      <w:sz w:val="20"/>
      <w:szCs w:val="20"/>
      <w:lang w:eastAsia="en-US"/>
    </w:rPr>
  </w:style>
  <w:style w:type="character" w:styleId="Strong">
    <w:name w:val="Strong"/>
    <w:uiPriority w:val="99"/>
    <w:qFormat/>
    <w:rsid w:val="00AD2554"/>
    <w:rPr>
      <w:rFonts w:cs="Times New Roman"/>
      <w:b/>
      <w:bCs/>
    </w:rPr>
  </w:style>
  <w:style w:type="paragraph" w:customStyle="1" w:styleId="BARESUMECLEARBULLETS">
    <w:name w:val="BA RESUME CLEAR BULLETS"/>
    <w:basedOn w:val="BARESUME"/>
    <w:link w:val="BARESUMECLEARBULLETSChar"/>
    <w:uiPriority w:val="99"/>
    <w:rsid w:val="00AD2554"/>
    <w:pPr>
      <w:numPr>
        <w:ilvl w:val="1"/>
        <w:numId w:val="48"/>
      </w:numPr>
      <w:tabs>
        <w:tab w:val="clear" w:pos="1440"/>
      </w:tabs>
      <w:ind w:left="0" w:firstLine="0"/>
    </w:pPr>
  </w:style>
  <w:style w:type="paragraph" w:customStyle="1" w:styleId="BABullets">
    <w:name w:val="BA Bullets"/>
    <w:basedOn w:val="Normal"/>
    <w:uiPriority w:val="99"/>
    <w:rsid w:val="00AD2554"/>
    <w:pPr>
      <w:widowControl w:val="0"/>
      <w:numPr>
        <w:numId w:val="49"/>
      </w:numPr>
      <w:suppressAutoHyphens/>
      <w:spacing w:before="240" w:after="60"/>
      <w:jc w:val="both"/>
    </w:pPr>
    <w:rPr>
      <w:rFonts w:cs="Arial"/>
      <w:b/>
      <w:color w:val="000000"/>
      <w:szCs w:val="22"/>
      <w:lang w:eastAsia="en-US"/>
    </w:rPr>
  </w:style>
  <w:style w:type="paragraph" w:customStyle="1" w:styleId="StyleBABullets10ptNotBold">
    <w:name w:val="Style BA Bullets + 10 pt Not Bold"/>
    <w:basedOn w:val="BABullets"/>
    <w:uiPriority w:val="99"/>
    <w:rsid w:val="00AD2554"/>
    <w:pPr>
      <w:spacing w:before="60"/>
      <w:ind w:left="357" w:hanging="357"/>
    </w:pPr>
    <w:rPr>
      <w:b w:val="0"/>
      <w:sz w:val="20"/>
    </w:rPr>
  </w:style>
  <w:style w:type="character" w:customStyle="1" w:styleId="BARESUMEChar">
    <w:name w:val="BA RESUME Char"/>
    <w:link w:val="BARESUME"/>
    <w:uiPriority w:val="99"/>
    <w:locked/>
    <w:rsid w:val="00AD2554"/>
    <w:rPr>
      <w:rFonts w:ascii="Arial" w:hAnsi="Arial" w:cs="Arial"/>
      <w:lang w:eastAsia="en-US"/>
    </w:rPr>
  </w:style>
  <w:style w:type="character" w:customStyle="1" w:styleId="BARESUMECLEARBULLETSChar">
    <w:name w:val="BA RESUME CLEAR BULLETS Char"/>
    <w:link w:val="BARESUMECLEARBULLETS"/>
    <w:uiPriority w:val="99"/>
    <w:locked/>
    <w:rsid w:val="00AD2554"/>
    <w:rPr>
      <w:rFonts w:ascii="Arial" w:hAnsi="Arial" w:cs="Arial"/>
      <w:lang w:eastAsia="en-US"/>
    </w:rPr>
  </w:style>
  <w:style w:type="paragraph" w:customStyle="1" w:styleId="Invisible3">
    <w:name w:val="Invisible 3"/>
    <w:basedOn w:val="Normal"/>
    <w:autoRedefine/>
    <w:uiPriority w:val="99"/>
    <w:rsid w:val="00AD2554"/>
    <w:pPr>
      <w:keepNext/>
      <w:keepLines/>
      <w:spacing w:before="200" w:after="120"/>
      <w:ind w:left="709"/>
      <w:outlineLvl w:val="2"/>
    </w:pPr>
    <w:rPr>
      <w:rFonts w:ascii="Calibri" w:hAnsi="Calibri"/>
      <w:b/>
      <w:bCs/>
      <w:smallCaps/>
      <w:color w:val="365F91"/>
      <w:szCs w:val="22"/>
      <w:lang w:val="en-US"/>
    </w:rPr>
  </w:style>
  <w:style w:type="table" w:styleId="LightShading-Accent5">
    <w:name w:val="Light Shading Accent 5"/>
    <w:basedOn w:val="TableNormal"/>
    <w:uiPriority w:val="99"/>
    <w:rsid w:val="00AD2554"/>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List-Accent2">
    <w:name w:val="Light List Accent 2"/>
    <w:basedOn w:val="TableNormal"/>
    <w:uiPriority w:val="99"/>
    <w:rsid w:val="00AD2554"/>
    <w:rPr>
      <w:rFonts w:ascii="Arial" w:hAnsi="Aria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AD2554"/>
    <w:rPr>
      <w:rFonts w:ascii="Arial" w:hAnsi="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11">
    <w:name w:val="Light List - Accent 11"/>
    <w:uiPriority w:val="99"/>
    <w:rsid w:val="00AD2554"/>
    <w:rPr>
      <w:rFonts w:ascii="Arial" w:hAnsi="Arial"/>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APPA">
    <w:name w:val="APPA"/>
    <w:basedOn w:val="Appendix1"/>
    <w:link w:val="APPAChar"/>
    <w:uiPriority w:val="99"/>
    <w:rsid w:val="00AD2554"/>
    <w:rPr>
      <w:rFonts w:ascii="Arial" w:hAnsi="Arial" w:cs="Arial"/>
    </w:rPr>
  </w:style>
  <w:style w:type="character" w:customStyle="1" w:styleId="Appendix1Char">
    <w:name w:val="Appendix 1 Char"/>
    <w:link w:val="Appendix1"/>
    <w:uiPriority w:val="99"/>
    <w:locked/>
    <w:rsid w:val="00AD2554"/>
    <w:rPr>
      <w:rFonts w:ascii="Arial Bold" w:hAnsi="Arial Bold"/>
      <w:b/>
      <w:sz w:val="28"/>
      <w:szCs w:val="40"/>
    </w:rPr>
  </w:style>
  <w:style w:type="character" w:customStyle="1" w:styleId="APPAChar">
    <w:name w:val="APPA Char"/>
    <w:link w:val="APPA"/>
    <w:uiPriority w:val="99"/>
    <w:locked/>
    <w:rsid w:val="00AD2554"/>
    <w:rPr>
      <w:rFonts w:ascii="Arial" w:hAnsi="Arial" w:cs="Arial"/>
      <w:b/>
      <w:sz w:val="28"/>
      <w:szCs w:val="40"/>
    </w:rPr>
  </w:style>
  <w:style w:type="character" w:styleId="PlaceholderText">
    <w:name w:val="Placeholder Text"/>
    <w:uiPriority w:val="99"/>
    <w:semiHidden/>
    <w:rsid w:val="00AD2554"/>
    <w:rPr>
      <w:rFonts w:cs="Times New Roman"/>
      <w:color w:val="808080"/>
    </w:rPr>
  </w:style>
  <w:style w:type="paragraph" w:customStyle="1" w:styleId="StyleBodyTextHeading1textJustifiedLeft0pt">
    <w:name w:val="Style Body TextHeading 1 text + Justified Left:  0 pt"/>
    <w:basedOn w:val="BodyText"/>
    <w:autoRedefine/>
    <w:rsid w:val="00AD2554"/>
    <w:rPr>
      <w:szCs w:val="20"/>
    </w:rPr>
  </w:style>
  <w:style w:type="paragraph" w:customStyle="1" w:styleId="StyleBodyTextHeading1textLeft0pt">
    <w:name w:val="Style Body TextHeading 1 text + Left:  0 pt"/>
    <w:basedOn w:val="BodyText"/>
    <w:rsid w:val="00AD2554"/>
    <w:rPr>
      <w:szCs w:val="20"/>
    </w:rPr>
  </w:style>
  <w:style w:type="paragraph" w:styleId="HTMLAddress">
    <w:name w:val="HTML Address"/>
    <w:basedOn w:val="Normal"/>
    <w:link w:val="HTMLAddressChar"/>
    <w:rsid w:val="00AD2554"/>
    <w:pPr>
      <w:overflowPunct w:val="0"/>
      <w:autoSpaceDE w:val="0"/>
      <w:autoSpaceDN w:val="0"/>
      <w:adjustRightInd w:val="0"/>
      <w:spacing w:before="120" w:after="120" w:line="240" w:lineRule="auto"/>
      <w:textAlignment w:val="baseline"/>
    </w:pPr>
    <w:rPr>
      <w:rFonts w:cs="Arial"/>
      <w:i/>
      <w:iCs/>
      <w:szCs w:val="22"/>
    </w:rPr>
  </w:style>
  <w:style w:type="character" w:customStyle="1" w:styleId="HTMLAddressChar">
    <w:name w:val="HTML Address Char"/>
    <w:basedOn w:val="DefaultParagraphFont"/>
    <w:link w:val="HTMLAddress"/>
    <w:rsid w:val="00AD2554"/>
    <w:rPr>
      <w:rFonts w:ascii="Arial" w:hAnsi="Arial" w:cs="Arial"/>
      <w:i/>
      <w:iCs/>
      <w:sz w:val="22"/>
      <w:szCs w:val="22"/>
    </w:rPr>
  </w:style>
  <w:style w:type="paragraph" w:styleId="HTMLPreformatted">
    <w:name w:val="HTML Preformatted"/>
    <w:basedOn w:val="Normal"/>
    <w:link w:val="HTMLPreformattedChar"/>
    <w:rsid w:val="00AD2554"/>
    <w:pPr>
      <w:overflowPunct w:val="0"/>
      <w:autoSpaceDE w:val="0"/>
      <w:autoSpaceDN w:val="0"/>
      <w:adjustRightInd w:val="0"/>
      <w:spacing w:before="120" w:after="120" w:line="240" w:lineRule="auto"/>
      <w:textAlignment w:val="baseline"/>
    </w:pPr>
    <w:rPr>
      <w:rFonts w:ascii="Courier New" w:hAnsi="Courier New" w:cs="Courier New"/>
      <w:sz w:val="20"/>
      <w:szCs w:val="20"/>
    </w:rPr>
  </w:style>
  <w:style w:type="character" w:customStyle="1" w:styleId="HTMLPreformattedChar">
    <w:name w:val="HTML Preformatted Char"/>
    <w:basedOn w:val="DefaultParagraphFont"/>
    <w:link w:val="HTMLPreformatted"/>
    <w:rsid w:val="00AD2554"/>
    <w:rPr>
      <w:rFonts w:ascii="Courier New" w:hAnsi="Courier New" w:cs="Courier New"/>
    </w:rPr>
  </w:style>
  <w:style w:type="paragraph" w:styleId="NormalIndent">
    <w:name w:val="Normal Indent"/>
    <w:basedOn w:val="Normal"/>
    <w:rsid w:val="00AD2554"/>
    <w:pPr>
      <w:overflowPunct w:val="0"/>
      <w:autoSpaceDE w:val="0"/>
      <w:autoSpaceDN w:val="0"/>
      <w:adjustRightInd w:val="0"/>
      <w:spacing w:before="120" w:after="120" w:line="240" w:lineRule="auto"/>
      <w:ind w:left="720"/>
      <w:textAlignment w:val="baseline"/>
    </w:pPr>
    <w:rPr>
      <w:rFonts w:cs="Arial"/>
      <w:szCs w:val="22"/>
    </w:rPr>
  </w:style>
  <w:style w:type="paragraph" w:styleId="NoteHeading">
    <w:name w:val="Note Heading"/>
    <w:basedOn w:val="Normal"/>
    <w:next w:val="Normal"/>
    <w:link w:val="NoteHeadingChar"/>
    <w:rsid w:val="00AD2554"/>
    <w:pPr>
      <w:overflowPunct w:val="0"/>
      <w:autoSpaceDE w:val="0"/>
      <w:autoSpaceDN w:val="0"/>
      <w:adjustRightInd w:val="0"/>
      <w:spacing w:before="120" w:after="120" w:line="240" w:lineRule="auto"/>
      <w:textAlignment w:val="baseline"/>
    </w:pPr>
    <w:rPr>
      <w:rFonts w:cs="Arial"/>
      <w:szCs w:val="22"/>
    </w:rPr>
  </w:style>
  <w:style w:type="character" w:customStyle="1" w:styleId="NoteHeadingChar">
    <w:name w:val="Note Heading Char"/>
    <w:basedOn w:val="DefaultParagraphFont"/>
    <w:link w:val="NoteHeading"/>
    <w:rsid w:val="00AD2554"/>
    <w:rPr>
      <w:rFonts w:ascii="Arial" w:hAnsi="Arial" w:cs="Arial"/>
      <w:sz w:val="22"/>
      <w:szCs w:val="22"/>
    </w:rPr>
  </w:style>
  <w:style w:type="paragraph" w:styleId="Salutation">
    <w:name w:val="Salutation"/>
    <w:basedOn w:val="Normal"/>
    <w:next w:val="Normal"/>
    <w:link w:val="SalutationChar"/>
    <w:rsid w:val="00AD2554"/>
    <w:pPr>
      <w:overflowPunct w:val="0"/>
      <w:autoSpaceDE w:val="0"/>
      <w:autoSpaceDN w:val="0"/>
      <w:adjustRightInd w:val="0"/>
      <w:spacing w:before="120" w:after="120" w:line="240" w:lineRule="auto"/>
      <w:textAlignment w:val="baseline"/>
    </w:pPr>
    <w:rPr>
      <w:rFonts w:cs="Arial"/>
      <w:szCs w:val="22"/>
    </w:rPr>
  </w:style>
  <w:style w:type="character" w:customStyle="1" w:styleId="SalutationChar">
    <w:name w:val="Salutation Char"/>
    <w:basedOn w:val="DefaultParagraphFont"/>
    <w:link w:val="Salutation"/>
    <w:rsid w:val="00AD2554"/>
    <w:rPr>
      <w:rFonts w:ascii="Arial" w:hAnsi="Arial" w:cs="Arial"/>
      <w:sz w:val="22"/>
      <w:szCs w:val="22"/>
    </w:rPr>
  </w:style>
  <w:style w:type="paragraph" w:styleId="Signature">
    <w:name w:val="Signature"/>
    <w:basedOn w:val="Normal"/>
    <w:link w:val="SignatureChar"/>
    <w:rsid w:val="00AD2554"/>
    <w:pPr>
      <w:overflowPunct w:val="0"/>
      <w:autoSpaceDE w:val="0"/>
      <w:autoSpaceDN w:val="0"/>
      <w:adjustRightInd w:val="0"/>
      <w:spacing w:before="120" w:after="120" w:line="240" w:lineRule="auto"/>
      <w:ind w:left="4252"/>
      <w:textAlignment w:val="baseline"/>
    </w:pPr>
    <w:rPr>
      <w:rFonts w:cs="Arial"/>
      <w:szCs w:val="22"/>
    </w:rPr>
  </w:style>
  <w:style w:type="character" w:customStyle="1" w:styleId="SignatureChar">
    <w:name w:val="Signature Char"/>
    <w:basedOn w:val="DefaultParagraphFont"/>
    <w:link w:val="Signature"/>
    <w:rsid w:val="00AD2554"/>
    <w:rPr>
      <w:rFonts w:ascii="Arial" w:hAnsi="Arial" w:cs="Arial"/>
      <w:sz w:val="22"/>
      <w:szCs w:val="22"/>
    </w:rPr>
  </w:style>
  <w:style w:type="paragraph" w:styleId="Subtitle">
    <w:name w:val="Subtitle"/>
    <w:basedOn w:val="Normal"/>
    <w:link w:val="SubtitleChar"/>
    <w:qFormat/>
    <w:rsid w:val="00AD2554"/>
    <w:pPr>
      <w:overflowPunct w:val="0"/>
      <w:autoSpaceDE w:val="0"/>
      <w:autoSpaceDN w:val="0"/>
      <w:adjustRightInd w:val="0"/>
      <w:spacing w:before="120" w:after="60" w:line="240" w:lineRule="auto"/>
      <w:jc w:val="center"/>
      <w:textAlignment w:val="baseline"/>
      <w:outlineLvl w:val="1"/>
    </w:pPr>
    <w:rPr>
      <w:rFonts w:cs="Arial"/>
      <w:sz w:val="24"/>
    </w:rPr>
  </w:style>
  <w:style w:type="character" w:customStyle="1" w:styleId="SubtitleChar">
    <w:name w:val="Subtitle Char"/>
    <w:basedOn w:val="DefaultParagraphFont"/>
    <w:link w:val="Subtitle"/>
    <w:rsid w:val="00AD2554"/>
    <w:rPr>
      <w:rFonts w:ascii="Arial" w:hAnsi="Arial" w:cs="Arial"/>
      <w:sz w:val="24"/>
      <w:szCs w:val="24"/>
    </w:rPr>
  </w:style>
  <w:style w:type="character" w:styleId="HTMLAcronym">
    <w:name w:val="HTML Acronym"/>
    <w:basedOn w:val="DefaultParagraphFont"/>
    <w:rsid w:val="00AD2554"/>
  </w:style>
  <w:style w:type="character" w:customStyle="1" w:styleId="UnresolvedMention2">
    <w:name w:val="Unresolved Mention2"/>
    <w:basedOn w:val="DefaultParagraphFont"/>
    <w:uiPriority w:val="99"/>
    <w:semiHidden/>
    <w:unhideWhenUsed/>
    <w:rsid w:val="00AD2554"/>
    <w:rPr>
      <w:color w:val="605E5C"/>
      <w:shd w:val="clear" w:color="auto" w:fill="E1DFDD"/>
    </w:rPr>
  </w:style>
  <w:style w:type="character" w:styleId="UnresolvedMention">
    <w:name w:val="Unresolved Mention"/>
    <w:basedOn w:val="DefaultParagraphFont"/>
    <w:uiPriority w:val="99"/>
    <w:semiHidden/>
    <w:unhideWhenUsed/>
    <w:rsid w:val="00AD2554"/>
    <w:rPr>
      <w:color w:val="605E5C"/>
      <w:shd w:val="clear" w:color="auto" w:fill="E1DFDD"/>
    </w:rPr>
  </w:style>
  <w:style w:type="character" w:customStyle="1" w:styleId="CommissionbodytextChar">
    <w:name w:val="Commission body text Char"/>
    <w:basedOn w:val="DefaultParagraphFont"/>
    <w:link w:val="Commissionbodytext"/>
    <w:locked/>
    <w:rsid w:val="006F06AA"/>
    <w:rPr>
      <w:rFonts w:ascii="Arial" w:hAnsi="Arial" w:cs="Arial"/>
    </w:rPr>
  </w:style>
  <w:style w:type="paragraph" w:customStyle="1" w:styleId="Commissionbodytext">
    <w:name w:val="Commission body text"/>
    <w:basedOn w:val="Normal"/>
    <w:link w:val="CommissionbodytextChar"/>
    <w:qFormat/>
    <w:rsid w:val="006F06AA"/>
    <w:pPr>
      <w:spacing w:after="0"/>
    </w:pPr>
    <w:rPr>
      <w:rFonts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83031">
      <w:bodyDiv w:val="1"/>
      <w:marLeft w:val="0"/>
      <w:marRight w:val="0"/>
      <w:marTop w:val="0"/>
      <w:marBottom w:val="0"/>
      <w:divBdr>
        <w:top w:val="none" w:sz="0" w:space="0" w:color="auto"/>
        <w:left w:val="none" w:sz="0" w:space="0" w:color="auto"/>
        <w:bottom w:val="none" w:sz="0" w:space="0" w:color="auto"/>
        <w:right w:val="none" w:sz="0" w:space="0" w:color="auto"/>
      </w:divBdr>
    </w:div>
    <w:div w:id="56440069">
      <w:bodyDiv w:val="1"/>
      <w:marLeft w:val="0"/>
      <w:marRight w:val="0"/>
      <w:marTop w:val="0"/>
      <w:marBottom w:val="0"/>
      <w:divBdr>
        <w:top w:val="none" w:sz="0" w:space="0" w:color="auto"/>
        <w:left w:val="none" w:sz="0" w:space="0" w:color="auto"/>
        <w:bottom w:val="none" w:sz="0" w:space="0" w:color="auto"/>
        <w:right w:val="none" w:sz="0" w:space="0" w:color="auto"/>
      </w:divBdr>
      <w:divsChild>
        <w:div w:id="48388609">
          <w:marLeft w:val="1166"/>
          <w:marRight w:val="0"/>
          <w:marTop w:val="0"/>
          <w:marBottom w:val="0"/>
          <w:divBdr>
            <w:top w:val="none" w:sz="0" w:space="0" w:color="auto"/>
            <w:left w:val="none" w:sz="0" w:space="0" w:color="auto"/>
            <w:bottom w:val="none" w:sz="0" w:space="0" w:color="auto"/>
            <w:right w:val="none" w:sz="0" w:space="0" w:color="auto"/>
          </w:divBdr>
        </w:div>
        <w:div w:id="1441756850">
          <w:marLeft w:val="1166"/>
          <w:marRight w:val="0"/>
          <w:marTop w:val="0"/>
          <w:marBottom w:val="0"/>
          <w:divBdr>
            <w:top w:val="none" w:sz="0" w:space="0" w:color="auto"/>
            <w:left w:val="none" w:sz="0" w:space="0" w:color="auto"/>
            <w:bottom w:val="none" w:sz="0" w:space="0" w:color="auto"/>
            <w:right w:val="none" w:sz="0" w:space="0" w:color="auto"/>
          </w:divBdr>
        </w:div>
        <w:div w:id="1551920401">
          <w:marLeft w:val="1166"/>
          <w:marRight w:val="0"/>
          <w:marTop w:val="0"/>
          <w:marBottom w:val="0"/>
          <w:divBdr>
            <w:top w:val="none" w:sz="0" w:space="0" w:color="auto"/>
            <w:left w:val="none" w:sz="0" w:space="0" w:color="auto"/>
            <w:bottom w:val="none" w:sz="0" w:space="0" w:color="auto"/>
            <w:right w:val="none" w:sz="0" w:space="0" w:color="auto"/>
          </w:divBdr>
        </w:div>
        <w:div w:id="1048408475">
          <w:marLeft w:val="1166"/>
          <w:marRight w:val="0"/>
          <w:marTop w:val="0"/>
          <w:marBottom w:val="0"/>
          <w:divBdr>
            <w:top w:val="none" w:sz="0" w:space="0" w:color="auto"/>
            <w:left w:val="none" w:sz="0" w:space="0" w:color="auto"/>
            <w:bottom w:val="none" w:sz="0" w:space="0" w:color="auto"/>
            <w:right w:val="none" w:sz="0" w:space="0" w:color="auto"/>
          </w:divBdr>
        </w:div>
        <w:div w:id="1506742673">
          <w:marLeft w:val="1166"/>
          <w:marRight w:val="0"/>
          <w:marTop w:val="0"/>
          <w:marBottom w:val="0"/>
          <w:divBdr>
            <w:top w:val="none" w:sz="0" w:space="0" w:color="auto"/>
            <w:left w:val="none" w:sz="0" w:space="0" w:color="auto"/>
            <w:bottom w:val="none" w:sz="0" w:space="0" w:color="auto"/>
            <w:right w:val="none" w:sz="0" w:space="0" w:color="auto"/>
          </w:divBdr>
        </w:div>
        <w:div w:id="1635600322">
          <w:marLeft w:val="1166"/>
          <w:marRight w:val="0"/>
          <w:marTop w:val="0"/>
          <w:marBottom w:val="0"/>
          <w:divBdr>
            <w:top w:val="none" w:sz="0" w:space="0" w:color="auto"/>
            <w:left w:val="none" w:sz="0" w:space="0" w:color="auto"/>
            <w:bottom w:val="none" w:sz="0" w:space="0" w:color="auto"/>
            <w:right w:val="none" w:sz="0" w:space="0" w:color="auto"/>
          </w:divBdr>
        </w:div>
      </w:divsChild>
    </w:div>
    <w:div w:id="81025325">
      <w:bodyDiv w:val="1"/>
      <w:marLeft w:val="0"/>
      <w:marRight w:val="0"/>
      <w:marTop w:val="0"/>
      <w:marBottom w:val="0"/>
      <w:divBdr>
        <w:top w:val="none" w:sz="0" w:space="0" w:color="auto"/>
        <w:left w:val="none" w:sz="0" w:space="0" w:color="auto"/>
        <w:bottom w:val="none" w:sz="0" w:space="0" w:color="auto"/>
        <w:right w:val="none" w:sz="0" w:space="0" w:color="auto"/>
      </w:divBdr>
    </w:div>
    <w:div w:id="132799032">
      <w:bodyDiv w:val="1"/>
      <w:marLeft w:val="0"/>
      <w:marRight w:val="0"/>
      <w:marTop w:val="0"/>
      <w:marBottom w:val="0"/>
      <w:divBdr>
        <w:top w:val="none" w:sz="0" w:space="0" w:color="auto"/>
        <w:left w:val="none" w:sz="0" w:space="0" w:color="auto"/>
        <w:bottom w:val="none" w:sz="0" w:space="0" w:color="auto"/>
        <w:right w:val="none" w:sz="0" w:space="0" w:color="auto"/>
      </w:divBdr>
    </w:div>
    <w:div w:id="242574041">
      <w:bodyDiv w:val="1"/>
      <w:marLeft w:val="0"/>
      <w:marRight w:val="0"/>
      <w:marTop w:val="0"/>
      <w:marBottom w:val="0"/>
      <w:divBdr>
        <w:top w:val="none" w:sz="0" w:space="0" w:color="auto"/>
        <w:left w:val="none" w:sz="0" w:space="0" w:color="auto"/>
        <w:bottom w:val="none" w:sz="0" w:space="0" w:color="auto"/>
        <w:right w:val="none" w:sz="0" w:space="0" w:color="auto"/>
      </w:divBdr>
      <w:divsChild>
        <w:div w:id="525022075">
          <w:marLeft w:val="446"/>
          <w:marRight w:val="0"/>
          <w:marTop w:val="200"/>
          <w:marBottom w:val="0"/>
          <w:divBdr>
            <w:top w:val="none" w:sz="0" w:space="0" w:color="auto"/>
            <w:left w:val="none" w:sz="0" w:space="0" w:color="auto"/>
            <w:bottom w:val="none" w:sz="0" w:space="0" w:color="auto"/>
            <w:right w:val="none" w:sz="0" w:space="0" w:color="auto"/>
          </w:divBdr>
        </w:div>
        <w:div w:id="652372564">
          <w:marLeft w:val="446"/>
          <w:marRight w:val="0"/>
          <w:marTop w:val="200"/>
          <w:marBottom w:val="0"/>
          <w:divBdr>
            <w:top w:val="none" w:sz="0" w:space="0" w:color="auto"/>
            <w:left w:val="none" w:sz="0" w:space="0" w:color="auto"/>
            <w:bottom w:val="none" w:sz="0" w:space="0" w:color="auto"/>
            <w:right w:val="none" w:sz="0" w:space="0" w:color="auto"/>
          </w:divBdr>
        </w:div>
        <w:div w:id="2115977163">
          <w:marLeft w:val="1627"/>
          <w:marRight w:val="0"/>
          <w:marTop w:val="100"/>
          <w:marBottom w:val="0"/>
          <w:divBdr>
            <w:top w:val="none" w:sz="0" w:space="0" w:color="auto"/>
            <w:left w:val="none" w:sz="0" w:space="0" w:color="auto"/>
            <w:bottom w:val="none" w:sz="0" w:space="0" w:color="auto"/>
            <w:right w:val="none" w:sz="0" w:space="0" w:color="auto"/>
          </w:divBdr>
        </w:div>
        <w:div w:id="746340518">
          <w:marLeft w:val="1627"/>
          <w:marRight w:val="0"/>
          <w:marTop w:val="100"/>
          <w:marBottom w:val="0"/>
          <w:divBdr>
            <w:top w:val="none" w:sz="0" w:space="0" w:color="auto"/>
            <w:left w:val="none" w:sz="0" w:space="0" w:color="auto"/>
            <w:bottom w:val="none" w:sz="0" w:space="0" w:color="auto"/>
            <w:right w:val="none" w:sz="0" w:space="0" w:color="auto"/>
          </w:divBdr>
        </w:div>
        <w:div w:id="285166014">
          <w:marLeft w:val="1627"/>
          <w:marRight w:val="0"/>
          <w:marTop w:val="100"/>
          <w:marBottom w:val="0"/>
          <w:divBdr>
            <w:top w:val="none" w:sz="0" w:space="0" w:color="auto"/>
            <w:left w:val="none" w:sz="0" w:space="0" w:color="auto"/>
            <w:bottom w:val="none" w:sz="0" w:space="0" w:color="auto"/>
            <w:right w:val="none" w:sz="0" w:space="0" w:color="auto"/>
          </w:divBdr>
        </w:div>
        <w:div w:id="1651515574">
          <w:marLeft w:val="446"/>
          <w:marRight w:val="0"/>
          <w:marTop w:val="200"/>
          <w:marBottom w:val="0"/>
          <w:divBdr>
            <w:top w:val="none" w:sz="0" w:space="0" w:color="auto"/>
            <w:left w:val="none" w:sz="0" w:space="0" w:color="auto"/>
            <w:bottom w:val="none" w:sz="0" w:space="0" w:color="auto"/>
            <w:right w:val="none" w:sz="0" w:space="0" w:color="auto"/>
          </w:divBdr>
        </w:div>
        <w:div w:id="662391190">
          <w:marLeft w:val="446"/>
          <w:marRight w:val="0"/>
          <w:marTop w:val="200"/>
          <w:marBottom w:val="0"/>
          <w:divBdr>
            <w:top w:val="none" w:sz="0" w:space="0" w:color="auto"/>
            <w:left w:val="none" w:sz="0" w:space="0" w:color="auto"/>
            <w:bottom w:val="none" w:sz="0" w:space="0" w:color="auto"/>
            <w:right w:val="none" w:sz="0" w:space="0" w:color="auto"/>
          </w:divBdr>
        </w:div>
        <w:div w:id="1058743135">
          <w:marLeft w:val="446"/>
          <w:marRight w:val="0"/>
          <w:marTop w:val="200"/>
          <w:marBottom w:val="0"/>
          <w:divBdr>
            <w:top w:val="none" w:sz="0" w:space="0" w:color="auto"/>
            <w:left w:val="none" w:sz="0" w:space="0" w:color="auto"/>
            <w:bottom w:val="none" w:sz="0" w:space="0" w:color="auto"/>
            <w:right w:val="none" w:sz="0" w:space="0" w:color="auto"/>
          </w:divBdr>
        </w:div>
        <w:div w:id="505485994">
          <w:marLeft w:val="1627"/>
          <w:marRight w:val="0"/>
          <w:marTop w:val="100"/>
          <w:marBottom w:val="0"/>
          <w:divBdr>
            <w:top w:val="none" w:sz="0" w:space="0" w:color="auto"/>
            <w:left w:val="none" w:sz="0" w:space="0" w:color="auto"/>
            <w:bottom w:val="none" w:sz="0" w:space="0" w:color="auto"/>
            <w:right w:val="none" w:sz="0" w:space="0" w:color="auto"/>
          </w:divBdr>
        </w:div>
        <w:div w:id="1752123230">
          <w:marLeft w:val="1627"/>
          <w:marRight w:val="0"/>
          <w:marTop w:val="100"/>
          <w:marBottom w:val="0"/>
          <w:divBdr>
            <w:top w:val="none" w:sz="0" w:space="0" w:color="auto"/>
            <w:left w:val="none" w:sz="0" w:space="0" w:color="auto"/>
            <w:bottom w:val="none" w:sz="0" w:space="0" w:color="auto"/>
            <w:right w:val="none" w:sz="0" w:space="0" w:color="auto"/>
          </w:divBdr>
        </w:div>
      </w:divsChild>
    </w:div>
    <w:div w:id="258678607">
      <w:bodyDiv w:val="1"/>
      <w:marLeft w:val="0"/>
      <w:marRight w:val="0"/>
      <w:marTop w:val="0"/>
      <w:marBottom w:val="0"/>
      <w:divBdr>
        <w:top w:val="none" w:sz="0" w:space="0" w:color="auto"/>
        <w:left w:val="none" w:sz="0" w:space="0" w:color="auto"/>
        <w:bottom w:val="none" w:sz="0" w:space="0" w:color="auto"/>
        <w:right w:val="none" w:sz="0" w:space="0" w:color="auto"/>
      </w:divBdr>
    </w:div>
    <w:div w:id="266819279">
      <w:bodyDiv w:val="1"/>
      <w:marLeft w:val="0"/>
      <w:marRight w:val="0"/>
      <w:marTop w:val="0"/>
      <w:marBottom w:val="0"/>
      <w:divBdr>
        <w:top w:val="none" w:sz="0" w:space="0" w:color="auto"/>
        <w:left w:val="none" w:sz="0" w:space="0" w:color="auto"/>
        <w:bottom w:val="none" w:sz="0" w:space="0" w:color="auto"/>
        <w:right w:val="none" w:sz="0" w:space="0" w:color="auto"/>
      </w:divBdr>
    </w:div>
    <w:div w:id="496505869">
      <w:bodyDiv w:val="1"/>
      <w:marLeft w:val="0"/>
      <w:marRight w:val="0"/>
      <w:marTop w:val="0"/>
      <w:marBottom w:val="0"/>
      <w:divBdr>
        <w:top w:val="none" w:sz="0" w:space="0" w:color="auto"/>
        <w:left w:val="none" w:sz="0" w:space="0" w:color="auto"/>
        <w:bottom w:val="none" w:sz="0" w:space="0" w:color="auto"/>
        <w:right w:val="none" w:sz="0" w:space="0" w:color="auto"/>
      </w:divBdr>
    </w:div>
    <w:div w:id="624847908">
      <w:bodyDiv w:val="1"/>
      <w:marLeft w:val="0"/>
      <w:marRight w:val="0"/>
      <w:marTop w:val="0"/>
      <w:marBottom w:val="0"/>
      <w:divBdr>
        <w:top w:val="none" w:sz="0" w:space="0" w:color="auto"/>
        <w:left w:val="none" w:sz="0" w:space="0" w:color="auto"/>
        <w:bottom w:val="none" w:sz="0" w:space="0" w:color="auto"/>
        <w:right w:val="none" w:sz="0" w:space="0" w:color="auto"/>
      </w:divBdr>
    </w:div>
    <w:div w:id="764961774">
      <w:bodyDiv w:val="1"/>
      <w:marLeft w:val="0"/>
      <w:marRight w:val="0"/>
      <w:marTop w:val="0"/>
      <w:marBottom w:val="0"/>
      <w:divBdr>
        <w:top w:val="none" w:sz="0" w:space="0" w:color="auto"/>
        <w:left w:val="none" w:sz="0" w:space="0" w:color="auto"/>
        <w:bottom w:val="none" w:sz="0" w:space="0" w:color="auto"/>
        <w:right w:val="none" w:sz="0" w:space="0" w:color="auto"/>
      </w:divBdr>
    </w:div>
    <w:div w:id="828638350">
      <w:bodyDiv w:val="1"/>
      <w:marLeft w:val="0"/>
      <w:marRight w:val="0"/>
      <w:marTop w:val="0"/>
      <w:marBottom w:val="0"/>
      <w:divBdr>
        <w:top w:val="none" w:sz="0" w:space="0" w:color="auto"/>
        <w:left w:val="none" w:sz="0" w:space="0" w:color="auto"/>
        <w:bottom w:val="none" w:sz="0" w:space="0" w:color="auto"/>
        <w:right w:val="none" w:sz="0" w:space="0" w:color="auto"/>
      </w:divBdr>
    </w:div>
    <w:div w:id="834420365">
      <w:bodyDiv w:val="1"/>
      <w:marLeft w:val="0"/>
      <w:marRight w:val="0"/>
      <w:marTop w:val="0"/>
      <w:marBottom w:val="0"/>
      <w:divBdr>
        <w:top w:val="none" w:sz="0" w:space="0" w:color="auto"/>
        <w:left w:val="none" w:sz="0" w:space="0" w:color="auto"/>
        <w:bottom w:val="none" w:sz="0" w:space="0" w:color="auto"/>
        <w:right w:val="none" w:sz="0" w:space="0" w:color="auto"/>
      </w:divBdr>
    </w:div>
    <w:div w:id="876552113">
      <w:bodyDiv w:val="1"/>
      <w:marLeft w:val="0"/>
      <w:marRight w:val="0"/>
      <w:marTop w:val="0"/>
      <w:marBottom w:val="0"/>
      <w:divBdr>
        <w:top w:val="none" w:sz="0" w:space="0" w:color="auto"/>
        <w:left w:val="none" w:sz="0" w:space="0" w:color="auto"/>
        <w:bottom w:val="none" w:sz="0" w:space="0" w:color="auto"/>
        <w:right w:val="none" w:sz="0" w:space="0" w:color="auto"/>
      </w:divBdr>
    </w:div>
    <w:div w:id="919214806">
      <w:bodyDiv w:val="1"/>
      <w:marLeft w:val="0"/>
      <w:marRight w:val="0"/>
      <w:marTop w:val="0"/>
      <w:marBottom w:val="0"/>
      <w:divBdr>
        <w:top w:val="none" w:sz="0" w:space="0" w:color="auto"/>
        <w:left w:val="none" w:sz="0" w:space="0" w:color="auto"/>
        <w:bottom w:val="none" w:sz="0" w:space="0" w:color="auto"/>
        <w:right w:val="none" w:sz="0" w:space="0" w:color="auto"/>
      </w:divBdr>
    </w:div>
    <w:div w:id="983436966">
      <w:bodyDiv w:val="1"/>
      <w:marLeft w:val="0"/>
      <w:marRight w:val="0"/>
      <w:marTop w:val="0"/>
      <w:marBottom w:val="0"/>
      <w:divBdr>
        <w:top w:val="none" w:sz="0" w:space="0" w:color="auto"/>
        <w:left w:val="none" w:sz="0" w:space="0" w:color="auto"/>
        <w:bottom w:val="none" w:sz="0" w:space="0" w:color="auto"/>
        <w:right w:val="none" w:sz="0" w:space="0" w:color="auto"/>
      </w:divBdr>
    </w:div>
    <w:div w:id="1002467583">
      <w:bodyDiv w:val="1"/>
      <w:marLeft w:val="0"/>
      <w:marRight w:val="0"/>
      <w:marTop w:val="0"/>
      <w:marBottom w:val="0"/>
      <w:divBdr>
        <w:top w:val="none" w:sz="0" w:space="0" w:color="auto"/>
        <w:left w:val="none" w:sz="0" w:space="0" w:color="auto"/>
        <w:bottom w:val="none" w:sz="0" w:space="0" w:color="auto"/>
        <w:right w:val="none" w:sz="0" w:space="0" w:color="auto"/>
      </w:divBdr>
    </w:div>
    <w:div w:id="1061951302">
      <w:bodyDiv w:val="1"/>
      <w:marLeft w:val="0"/>
      <w:marRight w:val="0"/>
      <w:marTop w:val="0"/>
      <w:marBottom w:val="0"/>
      <w:divBdr>
        <w:top w:val="none" w:sz="0" w:space="0" w:color="auto"/>
        <w:left w:val="none" w:sz="0" w:space="0" w:color="auto"/>
        <w:bottom w:val="none" w:sz="0" w:space="0" w:color="auto"/>
        <w:right w:val="none" w:sz="0" w:space="0" w:color="auto"/>
      </w:divBdr>
    </w:div>
    <w:div w:id="1062603986">
      <w:bodyDiv w:val="1"/>
      <w:marLeft w:val="0"/>
      <w:marRight w:val="0"/>
      <w:marTop w:val="0"/>
      <w:marBottom w:val="0"/>
      <w:divBdr>
        <w:top w:val="none" w:sz="0" w:space="0" w:color="auto"/>
        <w:left w:val="none" w:sz="0" w:space="0" w:color="auto"/>
        <w:bottom w:val="none" w:sz="0" w:space="0" w:color="auto"/>
        <w:right w:val="none" w:sz="0" w:space="0" w:color="auto"/>
      </w:divBdr>
      <w:divsChild>
        <w:div w:id="937569076">
          <w:marLeft w:val="1080"/>
          <w:marRight w:val="0"/>
          <w:marTop w:val="100"/>
          <w:marBottom w:val="0"/>
          <w:divBdr>
            <w:top w:val="none" w:sz="0" w:space="0" w:color="auto"/>
            <w:left w:val="none" w:sz="0" w:space="0" w:color="auto"/>
            <w:bottom w:val="none" w:sz="0" w:space="0" w:color="auto"/>
            <w:right w:val="none" w:sz="0" w:space="0" w:color="auto"/>
          </w:divBdr>
        </w:div>
        <w:div w:id="1818647361">
          <w:marLeft w:val="1080"/>
          <w:marRight w:val="0"/>
          <w:marTop w:val="100"/>
          <w:marBottom w:val="0"/>
          <w:divBdr>
            <w:top w:val="none" w:sz="0" w:space="0" w:color="auto"/>
            <w:left w:val="none" w:sz="0" w:space="0" w:color="auto"/>
            <w:bottom w:val="none" w:sz="0" w:space="0" w:color="auto"/>
            <w:right w:val="none" w:sz="0" w:space="0" w:color="auto"/>
          </w:divBdr>
        </w:div>
        <w:div w:id="1442458446">
          <w:marLeft w:val="1080"/>
          <w:marRight w:val="0"/>
          <w:marTop w:val="100"/>
          <w:marBottom w:val="0"/>
          <w:divBdr>
            <w:top w:val="none" w:sz="0" w:space="0" w:color="auto"/>
            <w:left w:val="none" w:sz="0" w:space="0" w:color="auto"/>
            <w:bottom w:val="none" w:sz="0" w:space="0" w:color="auto"/>
            <w:right w:val="none" w:sz="0" w:space="0" w:color="auto"/>
          </w:divBdr>
        </w:div>
        <w:div w:id="1052577776">
          <w:marLeft w:val="1080"/>
          <w:marRight w:val="0"/>
          <w:marTop w:val="100"/>
          <w:marBottom w:val="0"/>
          <w:divBdr>
            <w:top w:val="none" w:sz="0" w:space="0" w:color="auto"/>
            <w:left w:val="none" w:sz="0" w:space="0" w:color="auto"/>
            <w:bottom w:val="none" w:sz="0" w:space="0" w:color="auto"/>
            <w:right w:val="none" w:sz="0" w:space="0" w:color="auto"/>
          </w:divBdr>
        </w:div>
        <w:div w:id="1450858664">
          <w:marLeft w:val="1080"/>
          <w:marRight w:val="0"/>
          <w:marTop w:val="100"/>
          <w:marBottom w:val="0"/>
          <w:divBdr>
            <w:top w:val="none" w:sz="0" w:space="0" w:color="auto"/>
            <w:left w:val="none" w:sz="0" w:space="0" w:color="auto"/>
            <w:bottom w:val="none" w:sz="0" w:space="0" w:color="auto"/>
            <w:right w:val="none" w:sz="0" w:space="0" w:color="auto"/>
          </w:divBdr>
        </w:div>
      </w:divsChild>
    </w:div>
    <w:div w:id="1081290418">
      <w:bodyDiv w:val="1"/>
      <w:marLeft w:val="0"/>
      <w:marRight w:val="0"/>
      <w:marTop w:val="0"/>
      <w:marBottom w:val="0"/>
      <w:divBdr>
        <w:top w:val="none" w:sz="0" w:space="0" w:color="auto"/>
        <w:left w:val="none" w:sz="0" w:space="0" w:color="auto"/>
        <w:bottom w:val="none" w:sz="0" w:space="0" w:color="auto"/>
        <w:right w:val="none" w:sz="0" w:space="0" w:color="auto"/>
      </w:divBdr>
    </w:div>
    <w:div w:id="1261834688">
      <w:bodyDiv w:val="1"/>
      <w:marLeft w:val="0"/>
      <w:marRight w:val="0"/>
      <w:marTop w:val="0"/>
      <w:marBottom w:val="0"/>
      <w:divBdr>
        <w:top w:val="none" w:sz="0" w:space="0" w:color="auto"/>
        <w:left w:val="none" w:sz="0" w:space="0" w:color="auto"/>
        <w:bottom w:val="none" w:sz="0" w:space="0" w:color="auto"/>
        <w:right w:val="none" w:sz="0" w:space="0" w:color="auto"/>
      </w:divBdr>
    </w:div>
    <w:div w:id="1387946896">
      <w:bodyDiv w:val="1"/>
      <w:marLeft w:val="0"/>
      <w:marRight w:val="0"/>
      <w:marTop w:val="0"/>
      <w:marBottom w:val="0"/>
      <w:divBdr>
        <w:top w:val="none" w:sz="0" w:space="0" w:color="auto"/>
        <w:left w:val="none" w:sz="0" w:space="0" w:color="auto"/>
        <w:bottom w:val="none" w:sz="0" w:space="0" w:color="auto"/>
        <w:right w:val="none" w:sz="0" w:space="0" w:color="auto"/>
      </w:divBdr>
    </w:div>
    <w:div w:id="1431966961">
      <w:bodyDiv w:val="1"/>
      <w:marLeft w:val="0"/>
      <w:marRight w:val="0"/>
      <w:marTop w:val="0"/>
      <w:marBottom w:val="0"/>
      <w:divBdr>
        <w:top w:val="none" w:sz="0" w:space="0" w:color="auto"/>
        <w:left w:val="none" w:sz="0" w:space="0" w:color="auto"/>
        <w:bottom w:val="none" w:sz="0" w:space="0" w:color="auto"/>
        <w:right w:val="none" w:sz="0" w:space="0" w:color="auto"/>
      </w:divBdr>
    </w:div>
    <w:div w:id="1468628013">
      <w:bodyDiv w:val="1"/>
      <w:marLeft w:val="0"/>
      <w:marRight w:val="0"/>
      <w:marTop w:val="0"/>
      <w:marBottom w:val="0"/>
      <w:divBdr>
        <w:top w:val="none" w:sz="0" w:space="0" w:color="auto"/>
        <w:left w:val="none" w:sz="0" w:space="0" w:color="auto"/>
        <w:bottom w:val="none" w:sz="0" w:space="0" w:color="auto"/>
        <w:right w:val="none" w:sz="0" w:space="0" w:color="auto"/>
      </w:divBdr>
    </w:div>
    <w:div w:id="1485464987">
      <w:bodyDiv w:val="1"/>
      <w:marLeft w:val="0"/>
      <w:marRight w:val="0"/>
      <w:marTop w:val="0"/>
      <w:marBottom w:val="0"/>
      <w:divBdr>
        <w:top w:val="none" w:sz="0" w:space="0" w:color="auto"/>
        <w:left w:val="none" w:sz="0" w:space="0" w:color="auto"/>
        <w:bottom w:val="none" w:sz="0" w:space="0" w:color="auto"/>
        <w:right w:val="none" w:sz="0" w:space="0" w:color="auto"/>
      </w:divBdr>
    </w:div>
    <w:div w:id="1523088537">
      <w:bodyDiv w:val="1"/>
      <w:marLeft w:val="0"/>
      <w:marRight w:val="0"/>
      <w:marTop w:val="0"/>
      <w:marBottom w:val="0"/>
      <w:divBdr>
        <w:top w:val="none" w:sz="0" w:space="0" w:color="auto"/>
        <w:left w:val="none" w:sz="0" w:space="0" w:color="auto"/>
        <w:bottom w:val="none" w:sz="0" w:space="0" w:color="auto"/>
        <w:right w:val="none" w:sz="0" w:space="0" w:color="auto"/>
      </w:divBdr>
    </w:div>
    <w:div w:id="1599412252">
      <w:bodyDiv w:val="1"/>
      <w:marLeft w:val="0"/>
      <w:marRight w:val="0"/>
      <w:marTop w:val="0"/>
      <w:marBottom w:val="0"/>
      <w:divBdr>
        <w:top w:val="none" w:sz="0" w:space="0" w:color="auto"/>
        <w:left w:val="none" w:sz="0" w:space="0" w:color="auto"/>
        <w:bottom w:val="none" w:sz="0" w:space="0" w:color="auto"/>
        <w:right w:val="none" w:sz="0" w:space="0" w:color="auto"/>
      </w:divBdr>
    </w:div>
    <w:div w:id="1620406696">
      <w:bodyDiv w:val="1"/>
      <w:marLeft w:val="0"/>
      <w:marRight w:val="0"/>
      <w:marTop w:val="0"/>
      <w:marBottom w:val="0"/>
      <w:divBdr>
        <w:top w:val="none" w:sz="0" w:space="0" w:color="auto"/>
        <w:left w:val="none" w:sz="0" w:space="0" w:color="auto"/>
        <w:bottom w:val="none" w:sz="0" w:space="0" w:color="auto"/>
        <w:right w:val="none" w:sz="0" w:space="0" w:color="auto"/>
      </w:divBdr>
    </w:div>
    <w:div w:id="1649557228">
      <w:bodyDiv w:val="1"/>
      <w:marLeft w:val="0"/>
      <w:marRight w:val="0"/>
      <w:marTop w:val="0"/>
      <w:marBottom w:val="0"/>
      <w:divBdr>
        <w:top w:val="none" w:sz="0" w:space="0" w:color="auto"/>
        <w:left w:val="none" w:sz="0" w:space="0" w:color="auto"/>
        <w:bottom w:val="none" w:sz="0" w:space="0" w:color="auto"/>
        <w:right w:val="none" w:sz="0" w:space="0" w:color="auto"/>
      </w:divBdr>
    </w:div>
    <w:div w:id="1835296007">
      <w:bodyDiv w:val="1"/>
      <w:marLeft w:val="0"/>
      <w:marRight w:val="0"/>
      <w:marTop w:val="0"/>
      <w:marBottom w:val="0"/>
      <w:divBdr>
        <w:top w:val="none" w:sz="0" w:space="0" w:color="auto"/>
        <w:left w:val="none" w:sz="0" w:space="0" w:color="auto"/>
        <w:bottom w:val="none" w:sz="0" w:space="0" w:color="auto"/>
        <w:right w:val="none" w:sz="0" w:space="0" w:color="auto"/>
      </w:divBdr>
    </w:div>
    <w:div w:id="1869830485">
      <w:bodyDiv w:val="1"/>
      <w:marLeft w:val="0"/>
      <w:marRight w:val="0"/>
      <w:marTop w:val="0"/>
      <w:marBottom w:val="0"/>
      <w:divBdr>
        <w:top w:val="none" w:sz="0" w:space="0" w:color="auto"/>
        <w:left w:val="none" w:sz="0" w:space="0" w:color="auto"/>
        <w:bottom w:val="none" w:sz="0" w:space="0" w:color="auto"/>
        <w:right w:val="none" w:sz="0" w:space="0" w:color="auto"/>
      </w:divBdr>
    </w:div>
    <w:div w:id="1885290323">
      <w:bodyDiv w:val="1"/>
      <w:marLeft w:val="0"/>
      <w:marRight w:val="0"/>
      <w:marTop w:val="0"/>
      <w:marBottom w:val="0"/>
      <w:divBdr>
        <w:top w:val="none" w:sz="0" w:space="0" w:color="auto"/>
        <w:left w:val="none" w:sz="0" w:space="0" w:color="auto"/>
        <w:bottom w:val="none" w:sz="0" w:space="0" w:color="auto"/>
        <w:right w:val="none" w:sz="0" w:space="0" w:color="auto"/>
      </w:divBdr>
    </w:div>
    <w:div w:id="1887597350">
      <w:bodyDiv w:val="1"/>
      <w:marLeft w:val="0"/>
      <w:marRight w:val="0"/>
      <w:marTop w:val="0"/>
      <w:marBottom w:val="0"/>
      <w:divBdr>
        <w:top w:val="none" w:sz="0" w:space="0" w:color="auto"/>
        <w:left w:val="none" w:sz="0" w:space="0" w:color="auto"/>
        <w:bottom w:val="none" w:sz="0" w:space="0" w:color="auto"/>
        <w:right w:val="none" w:sz="0" w:space="0" w:color="auto"/>
      </w:divBdr>
    </w:div>
    <w:div w:id="1921719758">
      <w:bodyDiv w:val="1"/>
      <w:marLeft w:val="0"/>
      <w:marRight w:val="0"/>
      <w:marTop w:val="0"/>
      <w:marBottom w:val="0"/>
      <w:divBdr>
        <w:top w:val="none" w:sz="0" w:space="0" w:color="auto"/>
        <w:left w:val="none" w:sz="0" w:space="0" w:color="auto"/>
        <w:bottom w:val="none" w:sz="0" w:space="0" w:color="auto"/>
        <w:right w:val="none" w:sz="0" w:space="0" w:color="auto"/>
      </w:divBdr>
    </w:div>
    <w:div w:id="1986355253">
      <w:bodyDiv w:val="1"/>
      <w:marLeft w:val="0"/>
      <w:marRight w:val="0"/>
      <w:marTop w:val="0"/>
      <w:marBottom w:val="0"/>
      <w:divBdr>
        <w:top w:val="none" w:sz="0" w:space="0" w:color="auto"/>
        <w:left w:val="none" w:sz="0" w:space="0" w:color="auto"/>
        <w:bottom w:val="none" w:sz="0" w:space="0" w:color="auto"/>
        <w:right w:val="none" w:sz="0" w:space="0" w:color="auto"/>
      </w:divBdr>
    </w:div>
    <w:div w:id="2008361962">
      <w:bodyDiv w:val="1"/>
      <w:marLeft w:val="0"/>
      <w:marRight w:val="0"/>
      <w:marTop w:val="0"/>
      <w:marBottom w:val="0"/>
      <w:divBdr>
        <w:top w:val="none" w:sz="0" w:space="0" w:color="auto"/>
        <w:left w:val="none" w:sz="0" w:space="0" w:color="auto"/>
        <w:bottom w:val="none" w:sz="0" w:space="0" w:color="auto"/>
        <w:right w:val="none" w:sz="0" w:space="0" w:color="auto"/>
      </w:divBdr>
    </w:div>
    <w:div w:id="2011449229">
      <w:bodyDiv w:val="1"/>
      <w:marLeft w:val="0"/>
      <w:marRight w:val="0"/>
      <w:marTop w:val="0"/>
      <w:marBottom w:val="0"/>
      <w:divBdr>
        <w:top w:val="none" w:sz="0" w:space="0" w:color="auto"/>
        <w:left w:val="none" w:sz="0" w:space="0" w:color="auto"/>
        <w:bottom w:val="none" w:sz="0" w:space="0" w:color="auto"/>
        <w:right w:val="none" w:sz="0" w:space="0" w:color="auto"/>
      </w:divBdr>
    </w:div>
    <w:div w:id="2037851686">
      <w:bodyDiv w:val="1"/>
      <w:marLeft w:val="0"/>
      <w:marRight w:val="0"/>
      <w:marTop w:val="0"/>
      <w:marBottom w:val="0"/>
      <w:divBdr>
        <w:top w:val="none" w:sz="0" w:space="0" w:color="auto"/>
        <w:left w:val="none" w:sz="0" w:space="0" w:color="auto"/>
        <w:bottom w:val="none" w:sz="0" w:space="0" w:color="auto"/>
        <w:right w:val="none" w:sz="0" w:space="0" w:color="auto"/>
      </w:divBdr>
    </w:div>
    <w:div w:id="2068186798">
      <w:bodyDiv w:val="1"/>
      <w:marLeft w:val="0"/>
      <w:marRight w:val="0"/>
      <w:marTop w:val="0"/>
      <w:marBottom w:val="0"/>
      <w:divBdr>
        <w:top w:val="none" w:sz="0" w:space="0" w:color="auto"/>
        <w:left w:val="none" w:sz="0" w:space="0" w:color="auto"/>
        <w:bottom w:val="none" w:sz="0" w:space="0" w:color="auto"/>
        <w:right w:val="none" w:sz="0" w:space="0" w:color="auto"/>
      </w:divBdr>
    </w:div>
    <w:div w:id="2108500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image" Target="media/image4.png"/><Relationship Id="rId39" Type="http://schemas.openxmlformats.org/officeDocument/2006/relationships/header" Target="header13.xml"/><Relationship Id="rId21" Type="http://schemas.openxmlformats.org/officeDocument/2006/relationships/footer" Target="footer4.xml"/><Relationship Id="rId34" Type="http://schemas.openxmlformats.org/officeDocument/2006/relationships/header" Target="header11.xml"/><Relationship Id="rId42" Type="http://schemas.openxmlformats.org/officeDocument/2006/relationships/header" Target="header15.xml"/><Relationship Id="rId47" Type="http://schemas.openxmlformats.org/officeDocument/2006/relationships/image" Target="media/image11.emf"/><Relationship Id="rId50" Type="http://schemas.openxmlformats.org/officeDocument/2006/relationships/package" Target="embeddings/Microsoft_Excel_Worksheet2.xlsx"/><Relationship Id="rId55" Type="http://schemas.openxmlformats.org/officeDocument/2006/relationships/header" Target="header18.xml"/><Relationship Id="rId63" Type="http://schemas.openxmlformats.org/officeDocument/2006/relationships/hyperlink" Target="https://www.naa.gov.au/information-management/information-governance/establishing-information-governance-framework"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2.gif"/><Relationship Id="rId32" Type="http://schemas.openxmlformats.org/officeDocument/2006/relationships/footer" Target="footer6.xml"/><Relationship Id="rId37" Type="http://schemas.openxmlformats.org/officeDocument/2006/relationships/image" Target="media/image6.emf"/><Relationship Id="rId40" Type="http://schemas.openxmlformats.org/officeDocument/2006/relationships/header" Target="header14.xml"/><Relationship Id="rId45" Type="http://schemas.openxmlformats.org/officeDocument/2006/relationships/image" Target="media/image10.emf"/><Relationship Id="rId53" Type="http://schemas.openxmlformats.org/officeDocument/2006/relationships/header" Target="header17.xml"/><Relationship Id="rId58" Type="http://schemas.openxmlformats.org/officeDocument/2006/relationships/hyperlink" Target="https://www.datacommissioner.gov.au/sites/default/files/2020-06/foundational-four.pdf" TargetMode="External"/><Relationship Id="rId66"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safetyandquality.gov.au/sites/default/files/2021-12/legislation-and-regulation-of-clinical-quality-registries-final-report-may-2020.pdf" TargetMode="External"/><Relationship Id="rId28" Type="http://schemas.openxmlformats.org/officeDocument/2006/relationships/header" Target="header7.xml"/><Relationship Id="rId36" Type="http://schemas.openxmlformats.org/officeDocument/2006/relationships/header" Target="header12.xml"/><Relationship Id="rId49" Type="http://schemas.openxmlformats.org/officeDocument/2006/relationships/image" Target="media/image12.emf"/><Relationship Id="rId57" Type="http://schemas.openxmlformats.org/officeDocument/2006/relationships/hyperlink" Target="https://www.legislation.gov.au/Details/C2022A00011" TargetMode="External"/><Relationship Id="rId61" Type="http://schemas.openxmlformats.org/officeDocument/2006/relationships/hyperlink" Target="https://data.gov.au/page/about"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eader" Target="header9.xml"/><Relationship Id="rId44" Type="http://schemas.openxmlformats.org/officeDocument/2006/relationships/image" Target="media/image9.emf"/><Relationship Id="rId52" Type="http://schemas.openxmlformats.org/officeDocument/2006/relationships/header" Target="header16.xml"/><Relationship Id="rId60" Type="http://schemas.openxmlformats.org/officeDocument/2006/relationships/hyperlink" Target="https://www.aihw.gov.au/about-our-data/data-governance/the-five-safes-framework" TargetMode="External"/><Relationship Id="rId65" Type="http://schemas.openxmlformats.org/officeDocument/2006/relationships/hyperlink" Target="https://www.racgp.org.au/FSDEDEV/media/documents/Running%20a%20practice/Practice%20standards/Computer-and-information-security.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developer.digitalhealth.gov.au/specifications/ehealth-foundations/ep-1544-2014/nehta-1546-2014" TargetMode="External"/><Relationship Id="rId27" Type="http://schemas.openxmlformats.org/officeDocument/2006/relationships/image" Target="media/image5.png"/><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image" Target="media/image8.wmf"/><Relationship Id="rId48" Type="http://schemas.openxmlformats.org/officeDocument/2006/relationships/package" Target="embeddings/Microsoft_Excel_Worksheet1.xlsx"/><Relationship Id="rId56" Type="http://schemas.openxmlformats.org/officeDocument/2006/relationships/hyperlink" Target="https://www.pmc.gov.au/sites/default/files/publications/aust_govt_public_data_policy_statement_1.pdf" TargetMode="External"/><Relationship Id="rId64" Type="http://schemas.openxmlformats.org/officeDocument/2006/relationships/hyperlink" Target="https://www1.health.nsw.gov.au/pds/ActivePDSDocuments/GL2019_002.pdf" TargetMode="External"/><Relationship Id="rId8" Type="http://schemas.openxmlformats.org/officeDocument/2006/relationships/webSettings" Target="webSettings.xml"/><Relationship Id="rId51"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header" Target="header10.xml"/><Relationship Id="rId38" Type="http://schemas.openxmlformats.org/officeDocument/2006/relationships/image" Target="media/image7.png"/><Relationship Id="rId46" Type="http://schemas.openxmlformats.org/officeDocument/2006/relationships/package" Target="embeddings/Microsoft_Excel_Worksheet.xlsx"/><Relationship Id="rId59" Type="http://schemas.openxmlformats.org/officeDocument/2006/relationships/hyperlink" Target="https://www.aihw.gov.au/getmedia/c3e00f60-c40d-4989-ad22-de1be3ab5380/Data-Governance-Framework-2021.pdf.aspx" TargetMode="External"/><Relationship Id="rId67"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footer" Target="footer8.xml"/><Relationship Id="rId54" Type="http://schemas.openxmlformats.org/officeDocument/2006/relationships/footer" Target="footer9.xml"/><Relationship Id="rId62" Type="http://schemas.openxmlformats.org/officeDocument/2006/relationships/hyperlink" Target="https://www.naa.gov.au/sites/default/files/2019-12/IM-Infographic-interoperatability-maturity-model-V2.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developer.digitalhealth.gov.au/specifications/ehealth-foundations/ep-1544-2014/nehta-1546-2014" TargetMode="External"/><Relationship Id="rId13" Type="http://schemas.openxmlformats.org/officeDocument/2006/relationships/hyperlink" Target="https://developer.digitalhealth.gov.au/specifications/ehealth-foundations/ep-1544-2014/nehta-1549-2014" TargetMode="External"/><Relationship Id="rId3" Type="http://schemas.openxmlformats.org/officeDocument/2006/relationships/hyperlink" Target="https://developer.digitalhealth.gov.au/specifications/ehealth-foundations/ep-1544-2014/nehta-1549-2014" TargetMode="External"/><Relationship Id="rId7" Type="http://schemas.openxmlformats.org/officeDocument/2006/relationships/hyperlink" Target="https://developer.digitalhealth.gov.au/specifications/ehealth-foundations/ep-1544-2014/nehta-1549-2014" TargetMode="External"/><Relationship Id="rId12" Type="http://schemas.openxmlformats.org/officeDocument/2006/relationships/hyperlink" Target="http://www.iso.org/iso/iso_catalogue/catalogue_tc/catalogue_detail.htm?csnumber=54547" TargetMode="External"/><Relationship Id="rId2" Type="http://schemas.openxmlformats.org/officeDocument/2006/relationships/hyperlink" Target="https://www.cyber.gov.au/" TargetMode="External"/><Relationship Id="rId1" Type="http://schemas.openxmlformats.org/officeDocument/2006/relationships/hyperlink" Target="https://developer.digitalhealth.gov.au/specifications/ehealth-foundations/ep-1544-2014/nehta-1546-2014" TargetMode="External"/><Relationship Id="rId6" Type="http://schemas.openxmlformats.org/officeDocument/2006/relationships/hyperlink" Target="https://developer.digitalhealth.gov.au/specifications/ehealth-foundations/ep-1544-2014/nehta-1549-2014" TargetMode="External"/><Relationship Id="rId11" Type="http://schemas.openxmlformats.org/officeDocument/2006/relationships/hyperlink" Target="https://www.aihw.gov.au/about-our-data/data-governance/the-five-safes-framework" TargetMode="External"/><Relationship Id="rId5" Type="http://schemas.openxmlformats.org/officeDocument/2006/relationships/hyperlink" Target="https://developer.digitalhealth.gov.au/specifications/ehealth-foundations/ep-1544-2014/nehta-1549-2014" TargetMode="External"/><Relationship Id="rId10" Type="http://schemas.openxmlformats.org/officeDocument/2006/relationships/hyperlink" Target="https://www.racgp.org.au/FSDEDEV/media/documents/Running%20a%20practice/Practice%20standards/Computer-and-information-security.pdf" TargetMode="External"/><Relationship Id="rId4" Type="http://schemas.openxmlformats.org/officeDocument/2006/relationships/hyperlink" Target="https://developer.digitalhealth.gov.au/specifications/ehealth-foundations/ep-1544-2014/nehta-1549-2014" TargetMode="External"/><Relationship Id="rId9" Type="http://schemas.openxmlformats.org/officeDocument/2006/relationships/hyperlink" Target="https://developer.digitalhealth.gov.au/specifications/ehealth-foundations/ep-1544-2014/nehta-1546-2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DE060AE58D0840AA7532C8ED3A1E1E" ma:contentTypeVersion="6" ma:contentTypeDescription="Create a new document." ma:contentTypeScope="" ma:versionID="1f27c516596e43ea3eaf9b0cb458fbf5">
  <xsd:schema xmlns:xsd="http://www.w3.org/2001/XMLSchema" xmlns:xs="http://www.w3.org/2001/XMLSchema" xmlns:p="http://schemas.microsoft.com/office/2006/metadata/properties" xmlns:ns2="49988217-d27b-425d-bf04-81d4f9a37356" xmlns:ns3="2321c3d2-2234-46d2-a890-ea0b50ca5187" targetNamespace="http://schemas.microsoft.com/office/2006/metadata/properties" ma:root="true" ma:fieldsID="108b316144cd1360581e11137803c0f6" ns2:_="" ns3:_="">
    <xsd:import namespace="49988217-d27b-425d-bf04-81d4f9a37356"/>
    <xsd:import namespace="2321c3d2-2234-46d2-a890-ea0b50ca51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988217-d27b-425d-bf04-81d4f9a373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21c3d2-2234-46d2-a890-ea0b50ca518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00F51-C5B0-4AED-8875-9C2CC033D7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988217-d27b-425d-bf04-81d4f9a37356"/>
    <ds:schemaRef ds:uri="2321c3d2-2234-46d2-a890-ea0b50ca51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FCD3B1-15C6-4F7F-9E8A-E2752FD5BF9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1BC8600-5DE9-4A28-8907-33C21E9D920F}">
  <ds:schemaRefs>
    <ds:schemaRef ds:uri="http://schemas.microsoft.com/sharepoint/v3/contenttype/forms"/>
  </ds:schemaRefs>
</ds:datastoreItem>
</file>

<file path=customXml/itemProps4.xml><?xml version="1.0" encoding="utf-8"?>
<ds:datastoreItem xmlns:ds="http://schemas.openxmlformats.org/officeDocument/2006/customXml" ds:itemID="{477A2096-0846-45AC-BF89-7B8425C2C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17485</Words>
  <Characters>114484</Characters>
  <Application>Microsoft Office Word</Application>
  <DocSecurity>0</DocSecurity>
  <Lines>954</Lines>
  <Paragraphs>263</Paragraphs>
  <ScaleCrop>false</ScaleCrop>
  <HeadingPairs>
    <vt:vector size="2" baseType="variant">
      <vt:variant>
        <vt:lpstr>Title</vt:lpstr>
      </vt:variant>
      <vt:variant>
        <vt:i4>1</vt:i4>
      </vt:variant>
    </vt:vector>
  </HeadingPairs>
  <TitlesOfParts>
    <vt:vector size="1" baseType="lpstr">
      <vt:lpstr>Agenda item 6 Patient Safety Measurement</vt:lpstr>
    </vt:vector>
  </TitlesOfParts>
  <Company>DHA</Company>
  <LinksUpToDate>false</LinksUpToDate>
  <CharactersWithSpaces>131706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item 6 Patient Safety Measurement</dc:title>
  <dc:subject/>
  <dc:creator>boardn</dc:creator>
  <cp:keywords/>
  <dc:description/>
  <cp:lastModifiedBy>ADAMS, Kass</cp:lastModifiedBy>
  <cp:revision>2</cp:revision>
  <cp:lastPrinted>2014-08-30T17:10:00Z</cp:lastPrinted>
  <dcterms:created xsi:type="dcterms:W3CDTF">2023-01-12T23:01:00Z</dcterms:created>
  <dcterms:modified xsi:type="dcterms:W3CDTF">2023-01-12T23:01:00Z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y fmtid="{D5CDD505-2E9C-101B-9397-08002B2CF9AE}" pid="8" name="ContentTypeId">
    <vt:lpwstr>0x0101007DDE060AE58D0840AA7532C8ED3A1E1E</vt:lpwstr>
  </property>
</Properties>
</file>