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FEE1" w14:textId="228FA372" w:rsidR="00AF4F01" w:rsidRDefault="004510DD" w:rsidP="00DF7E42">
      <w:pPr>
        <w:rPr>
          <w:noProof/>
          <w:lang w:eastAsia="en-AU"/>
        </w:rPr>
      </w:pPr>
      <w:r>
        <w:rPr>
          <w:noProof/>
          <w:lang w:eastAsia="en-AU"/>
        </w:rPr>
        <w:drawing>
          <wp:anchor distT="0" distB="0" distL="114300" distR="114300" simplePos="0" relativeHeight="251658240" behindDoc="0" locked="0" layoutInCell="1" allowOverlap="1" wp14:anchorId="73C26A78" wp14:editId="4040FC79">
            <wp:simplePos x="0" y="0"/>
            <wp:positionH relativeFrom="margin">
              <wp:posOffset>4752027</wp:posOffset>
            </wp:positionH>
            <wp:positionV relativeFrom="paragraph">
              <wp:posOffset>202705</wp:posOffset>
            </wp:positionV>
            <wp:extent cx="1807210" cy="503555"/>
            <wp:effectExtent l="0" t="0" r="2540" b="0"/>
            <wp:wrapNone/>
            <wp:docPr id="3" name="Picture 3" title="Clinical C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Care Standards Logo FINAL June 2013 (813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210" cy="503555"/>
                    </a:xfrm>
                    <a:prstGeom prst="rect">
                      <a:avLst/>
                    </a:prstGeom>
                  </pic:spPr>
                </pic:pic>
              </a:graphicData>
            </a:graphic>
          </wp:anchor>
        </w:drawing>
      </w:r>
      <w:r w:rsidR="00AF4F01">
        <w:rPr>
          <w:noProof/>
          <w:lang w:eastAsia="en-AU"/>
        </w:rPr>
        <w:drawing>
          <wp:inline distT="0" distB="0" distL="0" distR="0" wp14:anchorId="1B52F5B6" wp14:editId="2ED8B1DC">
            <wp:extent cx="3705225" cy="8855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8385" cy="891094"/>
                    </a:xfrm>
                    <a:prstGeom prst="rect">
                      <a:avLst/>
                    </a:prstGeom>
                    <a:noFill/>
                    <a:ln>
                      <a:noFill/>
                    </a:ln>
                  </pic:spPr>
                </pic:pic>
              </a:graphicData>
            </a:graphic>
          </wp:inline>
        </w:drawing>
      </w:r>
    </w:p>
    <w:p w14:paraId="548C2278" w14:textId="4F20B9C6" w:rsidR="007F1324" w:rsidRPr="007F1324" w:rsidRDefault="007F217F" w:rsidP="00DF7E42">
      <w:r>
        <w:tab/>
      </w:r>
    </w:p>
    <w:p w14:paraId="517FC90E" w14:textId="77777777" w:rsidR="00AA6C01" w:rsidRPr="00AA6C01" w:rsidRDefault="00AA6C01" w:rsidP="00AA6C01"/>
    <w:p w14:paraId="2DDDFBCC" w14:textId="24F476D6" w:rsidR="00A02CC5" w:rsidRPr="00DF7E42" w:rsidRDefault="007029B2" w:rsidP="00DF7E42">
      <w:pPr>
        <w:pStyle w:val="Heading1"/>
      </w:pPr>
      <w:r>
        <w:t>Addressing</w:t>
      </w:r>
      <w:r w:rsidR="00D754FD" w:rsidRPr="00DF7E42">
        <w:t xml:space="preserve"> the </w:t>
      </w:r>
      <w:r>
        <w:t xml:space="preserve">use of psychotropic medicines </w:t>
      </w:r>
      <w:r w:rsidR="00DF5127">
        <w:t>in</w:t>
      </w:r>
      <w:r w:rsidR="00DF7E42" w:rsidRPr="00DF7E42">
        <w:t xml:space="preserve"> people with cognitive disability or impairment</w:t>
      </w:r>
    </w:p>
    <w:p w14:paraId="657A28A4" w14:textId="77777777" w:rsidR="00DF7E42" w:rsidRDefault="00DF7E42" w:rsidP="00972ED3">
      <w:pPr>
        <w:ind w:left="0"/>
      </w:pPr>
    </w:p>
    <w:p w14:paraId="0B4C0A0D" w14:textId="1F6F7073" w:rsidR="00DF7E42" w:rsidRPr="00DF7E42" w:rsidRDefault="00DF7E42" w:rsidP="00DF7E42">
      <w:bookmarkStart w:id="0" w:name="_Hlk163050675"/>
      <w:r w:rsidRPr="00DF7E42">
        <w:t xml:space="preserve">Psychotropic medicines are commonly prescribed to </w:t>
      </w:r>
      <w:r w:rsidR="00186421">
        <w:t>people</w:t>
      </w:r>
      <w:r w:rsidR="00186421" w:rsidRPr="00DF7E42">
        <w:t xml:space="preserve"> </w:t>
      </w:r>
      <w:r w:rsidRPr="00DF7E42">
        <w:t>with cognitive disabilit</w:t>
      </w:r>
      <w:r w:rsidR="002B3314">
        <w:t>y</w:t>
      </w:r>
      <w:r w:rsidRPr="00DF7E42">
        <w:t xml:space="preserve"> or impairment, including </w:t>
      </w:r>
      <w:r w:rsidR="00186421">
        <w:t>older people</w:t>
      </w:r>
      <w:r w:rsidR="00186421" w:rsidRPr="00DF7E42">
        <w:t xml:space="preserve"> </w:t>
      </w:r>
      <w:r w:rsidRPr="00DF7E42">
        <w:t>with dementia</w:t>
      </w:r>
      <w:r w:rsidR="00186421">
        <w:t xml:space="preserve"> and people of all ages with</w:t>
      </w:r>
      <w:r w:rsidRPr="00DF7E42">
        <w:t xml:space="preserve"> intellectual disability, autism spectrum disorder and other neurodevelopmental conditions. </w:t>
      </w:r>
      <w:bookmarkStart w:id="1" w:name="_Hlk163050693"/>
      <w:bookmarkEnd w:id="0"/>
      <w:r w:rsidR="00186421">
        <w:t>P</w:t>
      </w:r>
      <w:r w:rsidRPr="00DF7E42">
        <w:t xml:space="preserve">sychotropic medicine use in </w:t>
      </w:r>
      <w:r w:rsidR="00F94C44" w:rsidRPr="00DF7E42">
        <w:t>th</w:t>
      </w:r>
      <w:r w:rsidR="00F94C44">
        <w:t>ese</w:t>
      </w:r>
      <w:r w:rsidR="00F94C44" w:rsidRPr="00DF7E42">
        <w:t xml:space="preserve"> </w:t>
      </w:r>
      <w:r w:rsidRPr="00DF7E42">
        <w:t>population</w:t>
      </w:r>
      <w:r w:rsidR="00F94C44">
        <w:t>s</w:t>
      </w:r>
      <w:r w:rsidRPr="00DF7E42">
        <w:t xml:space="preserve"> is disproportionately high, reflecting a concerning trend in healthcare practices.</w:t>
      </w:r>
    </w:p>
    <w:bookmarkEnd w:id="1"/>
    <w:p w14:paraId="7F2A5023" w14:textId="77777777" w:rsidR="00DF7E42" w:rsidRPr="00DF7E42" w:rsidRDefault="00DF7E42" w:rsidP="00DF7E42"/>
    <w:p w14:paraId="0961501B" w14:textId="39CA442E" w:rsidR="00F115D7" w:rsidRDefault="0029393B" w:rsidP="00DF7E42">
      <w:r>
        <w:t>Psychotropic</w:t>
      </w:r>
      <w:r w:rsidR="00494B8E">
        <w:t xml:space="preserve"> medic</w:t>
      </w:r>
      <w:r>
        <w:t>ines</w:t>
      </w:r>
      <w:r w:rsidR="00494B8E">
        <w:t xml:space="preserve"> have an important role to play in treating mental health conditions</w:t>
      </w:r>
      <w:r>
        <w:t xml:space="preserve"> in people with cognitive disability or impairment. Unfortunately</w:t>
      </w:r>
      <w:r w:rsidR="004F0C1D">
        <w:t>,</w:t>
      </w:r>
      <w:r>
        <w:t xml:space="preserve"> however,</w:t>
      </w:r>
      <w:r w:rsidR="00494B8E">
        <w:t xml:space="preserve"> </w:t>
      </w:r>
      <w:r>
        <w:t>they</w:t>
      </w:r>
      <w:r w:rsidR="00DF7E42" w:rsidRPr="00DF7E42">
        <w:t xml:space="preserve"> are </w:t>
      </w:r>
      <w:r>
        <w:t xml:space="preserve">also </w:t>
      </w:r>
      <w:r w:rsidR="00186421">
        <w:t>often</w:t>
      </w:r>
      <w:r w:rsidR="00186421" w:rsidRPr="00DF7E42">
        <w:t xml:space="preserve"> </w:t>
      </w:r>
      <w:r w:rsidR="00DF7E42" w:rsidRPr="00DF7E42">
        <w:t>prescribed to manage behaviours of concern</w:t>
      </w:r>
      <w:r w:rsidR="00621283">
        <w:t xml:space="preserve"> - </w:t>
      </w:r>
      <w:r w:rsidR="00DF7E42" w:rsidRPr="00DF7E42">
        <w:t xml:space="preserve">such as agitation, aggression, and </w:t>
      </w:r>
      <w:r w:rsidR="003735CC">
        <w:t>severe distress</w:t>
      </w:r>
      <w:r w:rsidR="00621283">
        <w:t xml:space="preserve"> - </w:t>
      </w:r>
      <w:r>
        <w:t xml:space="preserve">despite limited </w:t>
      </w:r>
      <w:r w:rsidR="00DF7E42" w:rsidRPr="00DF7E42">
        <w:t xml:space="preserve">evidence </w:t>
      </w:r>
      <w:r w:rsidR="00F115D7">
        <w:t xml:space="preserve">to </w:t>
      </w:r>
      <w:r w:rsidR="00DF7E42" w:rsidRPr="00DF7E42">
        <w:t>support the</w:t>
      </w:r>
      <w:r>
        <w:t>ir</w:t>
      </w:r>
      <w:r w:rsidR="00DF7E42" w:rsidRPr="00DF7E42">
        <w:t xml:space="preserve"> effectiveness</w:t>
      </w:r>
      <w:r w:rsidR="001C1B61">
        <w:t>,</w:t>
      </w:r>
      <w:r w:rsidR="00F115D7">
        <w:t xml:space="preserve"> and</w:t>
      </w:r>
      <w:r w:rsidR="001C1B61">
        <w:t xml:space="preserve"> </w:t>
      </w:r>
      <w:r w:rsidR="00AA31A3">
        <w:t>an</w:t>
      </w:r>
      <w:r w:rsidR="00F115D7">
        <w:t xml:space="preserve"> increased </w:t>
      </w:r>
      <w:r w:rsidR="00F115D7" w:rsidRPr="00F115D7">
        <w:t xml:space="preserve">risk of </w:t>
      </w:r>
      <w:r w:rsidR="00AA31A3">
        <w:t xml:space="preserve">adverse effects including </w:t>
      </w:r>
      <w:r w:rsidR="001C1B61">
        <w:t xml:space="preserve">cognitive decline, </w:t>
      </w:r>
      <w:r w:rsidR="00F115D7" w:rsidRPr="00F115D7">
        <w:t>falls, stroke, and death</w:t>
      </w:r>
      <w:r w:rsidR="001C1B61">
        <w:t xml:space="preserve">. </w:t>
      </w:r>
    </w:p>
    <w:p w14:paraId="4B3D8AD1" w14:textId="77777777" w:rsidR="00F115D7" w:rsidRDefault="00F115D7" w:rsidP="00DF7E42"/>
    <w:p w14:paraId="6B688D1B" w14:textId="1A8EA5F3" w:rsidR="0029393B" w:rsidRPr="00F115D7" w:rsidRDefault="0029393B" w:rsidP="00DF7E42">
      <w:r>
        <w:t xml:space="preserve">The </w:t>
      </w:r>
      <w:r w:rsidR="00AA31A3">
        <w:t xml:space="preserve">new </w:t>
      </w:r>
      <w:r>
        <w:t xml:space="preserve">clinical </w:t>
      </w:r>
      <w:r w:rsidR="004F0C1D">
        <w:t xml:space="preserve">care </w:t>
      </w:r>
      <w:r>
        <w:t xml:space="preserve">standard addresses this issue by emphasising the role and importance of non-medication strategies as </w:t>
      </w:r>
      <w:r w:rsidR="00F115D7">
        <w:t>the first</w:t>
      </w:r>
      <w:r w:rsidR="004F0C1D">
        <w:t>-</w:t>
      </w:r>
      <w:r w:rsidR="00F115D7">
        <w:t xml:space="preserve">line option when responding to behaviours of concern. </w:t>
      </w:r>
      <w:r w:rsidR="00F115D7" w:rsidRPr="00692E6A">
        <w:rPr>
          <w:bCs/>
        </w:rPr>
        <w:t xml:space="preserve">Psychotropic medicines </w:t>
      </w:r>
      <w:r w:rsidR="004F0C1D">
        <w:rPr>
          <w:bCs/>
        </w:rPr>
        <w:t>should only be</w:t>
      </w:r>
      <w:r w:rsidR="00F115D7" w:rsidRPr="00692E6A">
        <w:rPr>
          <w:bCs/>
        </w:rPr>
        <w:t xml:space="preserve"> considered in response to behaviours of concern only when there is a significant risk of harm to the person or others, or when the behaviours have a major impact on the person’s quality of life and a reasonable trial of non-medication strategies has been ineffective</w:t>
      </w:r>
      <w:r w:rsidR="00F115D7">
        <w:t>.</w:t>
      </w:r>
    </w:p>
    <w:p w14:paraId="2866C4F9" w14:textId="77777777" w:rsidR="00B64A27" w:rsidRDefault="00B64A27" w:rsidP="00692E6A">
      <w:pPr>
        <w:ind w:left="0"/>
      </w:pPr>
    </w:p>
    <w:p w14:paraId="2129A8FB" w14:textId="28E251D6" w:rsidR="00972ED3" w:rsidRDefault="000A2718" w:rsidP="00170F0E">
      <w:pPr>
        <w:pStyle w:val="Heading2"/>
      </w:pPr>
      <w:r>
        <w:t>By the</w:t>
      </w:r>
      <w:r w:rsidR="00972ED3">
        <w:t xml:space="preserve"> numbers</w:t>
      </w:r>
    </w:p>
    <w:p w14:paraId="0669457B" w14:textId="77777777" w:rsidR="00DF7E42" w:rsidRDefault="00DF7E42" w:rsidP="00DF7E42"/>
    <w:p w14:paraId="0241398F" w14:textId="7E1B57F8" w:rsidR="00B637A0" w:rsidRPr="00106D5F" w:rsidRDefault="00972BE0" w:rsidP="00012ABA">
      <w:r>
        <w:t>Over</w:t>
      </w:r>
      <w:r w:rsidRPr="00F920BE">
        <w:t xml:space="preserve"> 450,000 Australians are living with </w:t>
      </w:r>
      <w:r w:rsidR="00D042C2">
        <w:t>intellectual</w:t>
      </w:r>
      <w:r w:rsidR="00D042C2" w:rsidRPr="00F920BE">
        <w:t xml:space="preserve"> </w:t>
      </w:r>
      <w:r w:rsidRPr="00F920BE">
        <w:t>disabilit</w:t>
      </w:r>
      <w:r w:rsidR="00D042C2">
        <w:t>y</w:t>
      </w:r>
      <w:r w:rsidR="0053651D">
        <w:rPr>
          <w:rStyle w:val="EndnoteReference"/>
        </w:rPr>
        <w:endnoteReference w:id="1"/>
      </w:r>
      <w:r>
        <w:t xml:space="preserve"> and </w:t>
      </w:r>
      <w:r w:rsidRPr="00F920BE">
        <w:t xml:space="preserve">approximately 100,000 </w:t>
      </w:r>
      <w:r>
        <w:t xml:space="preserve">Australians </w:t>
      </w:r>
      <w:r w:rsidR="002B3314">
        <w:t xml:space="preserve">are </w:t>
      </w:r>
      <w:r w:rsidRPr="00F920BE">
        <w:t>diagnosed with dementia each year</w:t>
      </w:r>
      <w:r w:rsidR="0053651D">
        <w:rPr>
          <w:rStyle w:val="EndnoteReference"/>
        </w:rPr>
        <w:endnoteReference w:id="2"/>
      </w:r>
      <w:r w:rsidRPr="00F920BE">
        <w:t>.</w:t>
      </w:r>
      <w:r w:rsidR="00012ABA">
        <w:t xml:space="preserve"> </w:t>
      </w:r>
      <w:r w:rsidR="00972ED3" w:rsidRPr="00106D5F">
        <w:t>In 202</w:t>
      </w:r>
      <w:r w:rsidR="0053651D">
        <w:t>2</w:t>
      </w:r>
      <w:r w:rsidR="00972ED3" w:rsidRPr="00106D5F">
        <w:t>-</w:t>
      </w:r>
      <w:r w:rsidR="0053651D" w:rsidRPr="00106D5F">
        <w:t>2</w:t>
      </w:r>
      <w:r w:rsidR="0053651D">
        <w:t>3</w:t>
      </w:r>
      <w:r w:rsidR="004A39D6">
        <w:t>,</w:t>
      </w:r>
      <w:r w:rsidR="00972ED3" w:rsidRPr="00106D5F">
        <w:t xml:space="preserve"> around 18% of Australians </w:t>
      </w:r>
      <w:r w:rsidR="0053651D">
        <w:t>filled a mental-health related prescription</w:t>
      </w:r>
      <w:r w:rsidR="0053651D">
        <w:rPr>
          <w:rStyle w:val="EndnoteReference"/>
        </w:rPr>
        <w:endnoteReference w:id="3"/>
      </w:r>
      <w:r w:rsidR="00972ED3" w:rsidRPr="00106D5F">
        <w:t>.</w:t>
      </w:r>
    </w:p>
    <w:p w14:paraId="56E1E3C4" w14:textId="77777777" w:rsidR="00972ED3" w:rsidRPr="00106D5F" w:rsidRDefault="00972ED3" w:rsidP="00DF7E42"/>
    <w:p w14:paraId="21A9596D" w14:textId="3C4FB041" w:rsidR="008A2DC5" w:rsidRPr="00106D5F" w:rsidRDefault="008A2DC5" w:rsidP="00692E6A">
      <w:pPr>
        <w:pStyle w:val="BodyText"/>
      </w:pPr>
      <w:r w:rsidRPr="00106D5F">
        <w:rPr>
          <w:b/>
          <w:bCs/>
          <w:sz w:val="22"/>
          <w:szCs w:val="22"/>
        </w:rPr>
        <w:t>People with disability</w:t>
      </w:r>
    </w:p>
    <w:p w14:paraId="2A0E28ED" w14:textId="09E605CB" w:rsidR="00E3365B" w:rsidRDefault="00E3365B" w:rsidP="001A6604">
      <w:pPr>
        <w:pStyle w:val="ListParagraph"/>
        <w:numPr>
          <w:ilvl w:val="0"/>
          <w:numId w:val="30"/>
        </w:numPr>
        <w:spacing w:after="60"/>
        <w:ind w:left="714" w:hanging="357"/>
      </w:pPr>
      <w:r>
        <w:t xml:space="preserve">Australian data show that </w:t>
      </w:r>
      <w:r w:rsidRPr="00583612">
        <w:rPr>
          <w:b/>
          <w:bCs/>
        </w:rPr>
        <w:t>29% of people with intellectual disability</w:t>
      </w:r>
      <w:r>
        <w:t xml:space="preserve"> receive one or more psychotropic medicine</w:t>
      </w:r>
      <w:r w:rsidR="00AE216E">
        <w:t>s</w:t>
      </w:r>
      <w:r w:rsidR="00556028">
        <w:rPr>
          <w:rStyle w:val="EndnoteReference"/>
        </w:rPr>
        <w:endnoteReference w:id="4"/>
      </w:r>
    </w:p>
    <w:p w14:paraId="11121978" w14:textId="691701DD" w:rsidR="00486F92" w:rsidRPr="00106D5F" w:rsidRDefault="00486F92" w:rsidP="00486F92">
      <w:pPr>
        <w:pStyle w:val="ListParagraph"/>
        <w:numPr>
          <w:ilvl w:val="0"/>
          <w:numId w:val="30"/>
        </w:numPr>
      </w:pPr>
      <w:r w:rsidRPr="00486F92">
        <w:rPr>
          <w:b/>
          <w:bCs/>
        </w:rPr>
        <w:t>38% of people using disability services</w:t>
      </w:r>
      <w:r w:rsidRPr="00486F92">
        <w:t xml:space="preserve"> were supplied at least one psychotropic medicine, including antipsychotics, anxiolytics, </w:t>
      </w:r>
      <w:proofErr w:type="gramStart"/>
      <w:r w:rsidRPr="00486F92">
        <w:t>benzodiazepines</w:t>
      </w:r>
      <w:proofErr w:type="gramEnd"/>
      <w:r w:rsidRPr="00486F92">
        <w:t xml:space="preserve"> and antidepressants.</w:t>
      </w:r>
      <w:r w:rsidR="00E46A3E" w:rsidRPr="00E46A3E">
        <w:rPr>
          <w:vertAlign w:val="superscript"/>
        </w:rPr>
        <w:t>4</w:t>
      </w:r>
    </w:p>
    <w:p w14:paraId="582CF4ED" w14:textId="782DE522" w:rsidR="00FA125C" w:rsidRPr="00106D5F" w:rsidRDefault="00FA125C" w:rsidP="001A6604">
      <w:pPr>
        <w:pStyle w:val="ListParagraph"/>
        <w:numPr>
          <w:ilvl w:val="0"/>
          <w:numId w:val="30"/>
        </w:numPr>
        <w:spacing w:after="60"/>
        <w:ind w:left="714" w:hanging="357"/>
      </w:pPr>
      <w:r w:rsidRPr="00106D5F">
        <w:t xml:space="preserve">People with </w:t>
      </w:r>
      <w:r w:rsidRPr="00106D5F">
        <w:rPr>
          <w:b/>
          <w:bCs/>
        </w:rPr>
        <w:t xml:space="preserve">autism spectrum disorder </w:t>
      </w:r>
      <w:r w:rsidR="004A39D6">
        <w:rPr>
          <w:b/>
          <w:bCs/>
        </w:rPr>
        <w:t xml:space="preserve">(ASD) </w:t>
      </w:r>
      <w:r w:rsidR="003735CC">
        <w:rPr>
          <w:b/>
          <w:bCs/>
        </w:rPr>
        <w:t>are</w:t>
      </w:r>
      <w:r w:rsidR="003735CC" w:rsidRPr="00106D5F">
        <w:rPr>
          <w:b/>
          <w:bCs/>
        </w:rPr>
        <w:t xml:space="preserve"> </w:t>
      </w:r>
      <w:r w:rsidRPr="00106D5F">
        <w:rPr>
          <w:b/>
          <w:bCs/>
        </w:rPr>
        <w:t>4.5 times more likely</w:t>
      </w:r>
      <w:r w:rsidRPr="00106D5F">
        <w:t xml:space="preserve"> to be currently taking at least one psychotropic medication compared with people without ASD</w:t>
      </w:r>
      <w:r w:rsidR="004A39D6">
        <w:t>.</w:t>
      </w:r>
      <w:r w:rsidR="006C3CA5">
        <w:rPr>
          <w:rStyle w:val="EndnoteReference"/>
        </w:rPr>
        <w:endnoteReference w:id="5"/>
      </w:r>
    </w:p>
    <w:p w14:paraId="5EF304B9" w14:textId="77777777" w:rsidR="00972ED3" w:rsidRPr="00106D5F" w:rsidRDefault="00972ED3" w:rsidP="00DF7E42"/>
    <w:p w14:paraId="2D6EA8C8" w14:textId="5829777E" w:rsidR="00972ED3" w:rsidRPr="00106D5F" w:rsidRDefault="00B64A27" w:rsidP="00692E6A">
      <w:r w:rsidRPr="00106D5F">
        <w:rPr>
          <w:b/>
          <w:bCs/>
        </w:rPr>
        <w:t xml:space="preserve">In </w:t>
      </w:r>
      <w:r w:rsidR="00E31E1F">
        <w:rPr>
          <w:b/>
          <w:bCs/>
        </w:rPr>
        <w:t>older people</w:t>
      </w:r>
    </w:p>
    <w:p w14:paraId="4C84A4E2" w14:textId="20C2AE8A" w:rsidR="00170F0E" w:rsidRDefault="00972ED3" w:rsidP="00583612">
      <w:pPr>
        <w:pStyle w:val="ListParagraph"/>
        <w:numPr>
          <w:ilvl w:val="0"/>
          <w:numId w:val="31"/>
        </w:numPr>
        <w:spacing w:after="60"/>
        <w:ind w:left="714" w:hanging="357"/>
      </w:pPr>
      <w:r w:rsidRPr="00106D5F">
        <w:rPr>
          <w:b/>
          <w:bCs/>
        </w:rPr>
        <w:t>Nearly two-thirds (61%) of residents</w:t>
      </w:r>
      <w:r w:rsidRPr="00106D5F">
        <w:t xml:space="preserve"> in Australian aged care homes are prescribed one or more psychotropic medicines</w:t>
      </w:r>
      <w:r w:rsidR="00B460EA">
        <w:t xml:space="preserve"> during their first three months of residential care</w:t>
      </w:r>
      <w:r w:rsidR="000D2B97">
        <w:t>.</w:t>
      </w:r>
      <w:r w:rsidR="00D614BC">
        <w:rPr>
          <w:rStyle w:val="EndnoteReference"/>
        </w:rPr>
        <w:endnoteReference w:id="6"/>
      </w:r>
      <w:r w:rsidR="00583612">
        <w:t xml:space="preserve"> </w:t>
      </w:r>
    </w:p>
    <w:p w14:paraId="1A501C90" w14:textId="51F862A7" w:rsidR="00972ED3" w:rsidRPr="00106D5F" w:rsidRDefault="00170F0E" w:rsidP="00170F0E">
      <w:pPr>
        <w:pStyle w:val="ListParagraph"/>
        <w:numPr>
          <w:ilvl w:val="0"/>
          <w:numId w:val="31"/>
        </w:numPr>
        <w:spacing w:after="60"/>
        <w:ind w:left="714" w:hanging="357"/>
      </w:pPr>
      <w:r>
        <w:t>Prescribing of multiple psychotropic medicines to older people in aged care is a problem, with a</w:t>
      </w:r>
      <w:r w:rsidR="00972ED3" w:rsidRPr="00106D5F">
        <w:t>lmost a quarter (23%) taking two or more concurrently.</w:t>
      </w:r>
      <w:r w:rsidR="000F105B" w:rsidRPr="000F105B">
        <w:rPr>
          <w:vertAlign w:val="superscript"/>
        </w:rPr>
        <w:t>6</w:t>
      </w:r>
    </w:p>
    <w:p w14:paraId="03827DBD" w14:textId="4B886D68" w:rsidR="00583612" w:rsidRDefault="00556028" w:rsidP="00583612">
      <w:pPr>
        <w:pStyle w:val="ListParagraph"/>
        <w:widowControl/>
        <w:numPr>
          <w:ilvl w:val="0"/>
          <w:numId w:val="31"/>
        </w:numPr>
        <w:autoSpaceDE/>
        <w:autoSpaceDN/>
        <w:spacing w:after="120"/>
      </w:pPr>
      <w:r w:rsidRPr="00064ABA">
        <w:rPr>
          <w:b/>
          <w:bCs/>
        </w:rPr>
        <w:t xml:space="preserve">Antipsychotic </w:t>
      </w:r>
      <w:r>
        <w:rPr>
          <w:b/>
          <w:bCs/>
        </w:rPr>
        <w:t>medicines</w:t>
      </w:r>
      <w:r w:rsidRPr="008B01FC">
        <w:t xml:space="preserve"> are dispensed to around </w:t>
      </w:r>
      <w:r w:rsidRPr="00064ABA">
        <w:rPr>
          <w:b/>
          <w:bCs/>
        </w:rPr>
        <w:t>20% of people</w:t>
      </w:r>
      <w:r w:rsidRPr="008B01FC">
        <w:t xml:space="preserve"> who </w:t>
      </w:r>
      <w:r>
        <w:t>are</w:t>
      </w:r>
      <w:r w:rsidRPr="008B01FC">
        <w:t xml:space="preserve"> dispensed </w:t>
      </w:r>
      <w:r w:rsidRPr="00064ABA">
        <w:rPr>
          <w:b/>
          <w:bCs/>
        </w:rPr>
        <w:t xml:space="preserve">dementia-specific </w:t>
      </w:r>
      <w:r>
        <w:rPr>
          <w:b/>
          <w:bCs/>
        </w:rPr>
        <w:t>medicines</w:t>
      </w:r>
      <w:r w:rsidRPr="008B01FC">
        <w:t>.</w:t>
      </w:r>
      <w:r>
        <w:rPr>
          <w:rStyle w:val="EndnoteReference"/>
        </w:rPr>
        <w:endnoteReference w:id="7"/>
      </w:r>
    </w:p>
    <w:p w14:paraId="1D5C81DA" w14:textId="1F7265E7" w:rsidR="00CE1702" w:rsidRDefault="00CE1702" w:rsidP="00E12233">
      <w:pPr>
        <w:pStyle w:val="ListParagraph"/>
        <w:widowControl/>
        <w:numPr>
          <w:ilvl w:val="0"/>
          <w:numId w:val="31"/>
        </w:numPr>
        <w:autoSpaceDE/>
        <w:autoSpaceDN/>
        <w:spacing w:after="120"/>
      </w:pPr>
      <w:r w:rsidRPr="00CE1702">
        <w:rPr>
          <w:b/>
          <w:bCs/>
        </w:rPr>
        <w:t>Older people with dementia are prescribed antipsychotic medicines twice as often</w:t>
      </w:r>
      <w:r w:rsidRPr="004E27CE">
        <w:t xml:space="preserve"> as those without dementia</w:t>
      </w:r>
      <w:r>
        <w:rPr>
          <w:rStyle w:val="EndnoteReference"/>
        </w:rPr>
        <w:endnoteReference w:id="8"/>
      </w:r>
    </w:p>
    <w:p w14:paraId="0E4B10FC" w14:textId="49D9FA5C" w:rsidR="00583612" w:rsidRDefault="00583612">
      <w:pPr>
        <w:ind w:left="0"/>
        <w:rPr>
          <w:rFonts w:eastAsiaTheme="majorEastAsia" w:cstheme="majorBidi"/>
          <w:b/>
          <w:color w:val="1178A2"/>
          <w:sz w:val="24"/>
          <w:szCs w:val="24"/>
          <w:lang w:eastAsia="en-AU"/>
        </w:rPr>
      </w:pPr>
    </w:p>
    <w:p w14:paraId="6288E03A" w14:textId="1E66BE40" w:rsidR="00A02CC5" w:rsidRPr="00675469" w:rsidRDefault="00A02CC5" w:rsidP="00170F0E">
      <w:pPr>
        <w:pStyle w:val="Heading2"/>
      </w:pPr>
      <w:r w:rsidRPr="00675469">
        <w:t>Q</w:t>
      </w:r>
      <w:r w:rsidR="007F1324" w:rsidRPr="00675469">
        <w:t>+</w:t>
      </w:r>
      <w:r w:rsidRPr="00675469">
        <w:t>A</w:t>
      </w:r>
    </w:p>
    <w:p w14:paraId="0BC8DBBF" w14:textId="77777777" w:rsidR="00DF7E42" w:rsidRDefault="00DF7E42" w:rsidP="00DF7E42"/>
    <w:p w14:paraId="56CD04FE" w14:textId="77777777" w:rsidR="00F920BE" w:rsidRPr="00106D5F" w:rsidRDefault="00F920BE" w:rsidP="00F920BE">
      <w:pPr>
        <w:rPr>
          <w:b/>
          <w:bCs/>
        </w:rPr>
      </w:pPr>
      <w:r w:rsidRPr="00106D5F">
        <w:rPr>
          <w:b/>
          <w:bCs/>
        </w:rPr>
        <w:t>What are psychotropic medicines?</w:t>
      </w:r>
    </w:p>
    <w:p w14:paraId="04095385" w14:textId="77777777" w:rsidR="00A113A4" w:rsidRPr="00106D5F" w:rsidRDefault="00A113A4" w:rsidP="00A113A4">
      <w:pPr>
        <w:pStyle w:val="Heading3"/>
      </w:pPr>
    </w:p>
    <w:p w14:paraId="0F153FE9" w14:textId="10E61EEA" w:rsidR="007C4F6F" w:rsidRDefault="00F920BE" w:rsidP="00E31E1F">
      <w:pPr>
        <w:spacing w:after="60"/>
      </w:pPr>
      <w:r w:rsidRPr="00106D5F">
        <w:t xml:space="preserve">Medicines that affect the mind, </w:t>
      </w:r>
      <w:r w:rsidR="004A39D6" w:rsidRPr="00106D5F">
        <w:t>emotions,</w:t>
      </w:r>
      <w:r w:rsidRPr="00106D5F">
        <w:t xml:space="preserve"> and behaviour</w:t>
      </w:r>
      <w:r w:rsidR="007C4F6F">
        <w:t xml:space="preserve">, </w:t>
      </w:r>
      <w:r w:rsidR="00AE50A4">
        <w:t xml:space="preserve">which are </w:t>
      </w:r>
      <w:r w:rsidR="007C4F6F">
        <w:t>primarily used to treat</w:t>
      </w:r>
      <w:r w:rsidR="00E31E1F">
        <w:t xml:space="preserve"> </w:t>
      </w:r>
      <w:r w:rsidRPr="00106D5F">
        <w:t>mental health</w:t>
      </w:r>
      <w:r w:rsidR="00E31E1F">
        <w:t xml:space="preserve"> </w:t>
      </w:r>
      <w:r w:rsidRPr="00106D5F">
        <w:t>conditions and sleep disorders</w:t>
      </w:r>
      <w:r w:rsidR="007C4F6F">
        <w:t>. The main groups of psychotropic medicines</w:t>
      </w:r>
      <w:r w:rsidRPr="00106D5F">
        <w:t xml:space="preserve"> are antipsychotic, antidepressant and anxiolytic/hypnotic medicines.</w:t>
      </w:r>
      <w:r w:rsidR="007C4F6F" w:rsidRPr="007C4F6F">
        <w:t xml:space="preserve"> </w:t>
      </w:r>
      <w:r w:rsidR="007C4F6F">
        <w:t xml:space="preserve">They </w:t>
      </w:r>
      <w:r w:rsidR="007C4F6F" w:rsidRPr="00106D5F">
        <w:t xml:space="preserve">work by </w:t>
      </w:r>
      <w:r w:rsidR="007C4F6F">
        <w:t>affecting</w:t>
      </w:r>
      <w:r w:rsidR="007C4F6F" w:rsidRPr="00106D5F">
        <w:t xml:space="preserve"> levels of chemicals in the</w:t>
      </w:r>
      <w:r w:rsidR="00E31E1F">
        <w:t xml:space="preserve"> </w:t>
      </w:r>
      <w:r w:rsidR="007C4F6F" w:rsidRPr="00106D5F">
        <w:t>brain to improve symptoms.</w:t>
      </w:r>
    </w:p>
    <w:p w14:paraId="7A2B6B64" w14:textId="77777777" w:rsidR="00AE50A4" w:rsidRDefault="00AE50A4" w:rsidP="00D72DC2">
      <w:pPr>
        <w:spacing w:after="60"/>
        <w:ind w:left="0"/>
      </w:pPr>
    </w:p>
    <w:p w14:paraId="3C910259" w14:textId="0E4EBCBB" w:rsidR="003735CC" w:rsidRDefault="007C4F6F" w:rsidP="00E31E1F">
      <w:pPr>
        <w:spacing w:after="60"/>
      </w:pPr>
      <w:r>
        <w:t>Commonly treated</w:t>
      </w:r>
      <w:r w:rsidR="003735CC" w:rsidRPr="00106D5F">
        <w:t xml:space="preserve"> mental health conditions </w:t>
      </w:r>
      <w:r>
        <w:t>include</w:t>
      </w:r>
      <w:r w:rsidR="003735CC" w:rsidRPr="00106D5F">
        <w:t xml:space="preserve"> anxiety, depression, </w:t>
      </w:r>
      <w:proofErr w:type="gramStart"/>
      <w:r w:rsidR="003735CC" w:rsidRPr="00106D5F">
        <w:t>schizophrenia</w:t>
      </w:r>
      <w:proofErr w:type="gramEnd"/>
      <w:r w:rsidR="003735CC" w:rsidRPr="00106D5F">
        <w:t xml:space="preserve"> </w:t>
      </w:r>
      <w:r>
        <w:t xml:space="preserve">and </w:t>
      </w:r>
      <w:r w:rsidR="003735CC" w:rsidRPr="00106D5F">
        <w:t>bipolar disorder</w:t>
      </w:r>
      <w:r w:rsidR="00AA31A3">
        <w:t>, for which psychotropic medicines can play an important role</w:t>
      </w:r>
      <w:r>
        <w:t>.</w:t>
      </w:r>
      <w:r w:rsidR="003735CC" w:rsidRPr="00106D5F">
        <w:t xml:space="preserve"> </w:t>
      </w:r>
    </w:p>
    <w:p w14:paraId="0E0AA782" w14:textId="77777777" w:rsidR="00AA31A3" w:rsidRDefault="00AA31A3" w:rsidP="00E31E1F">
      <w:pPr>
        <w:spacing w:after="60"/>
      </w:pPr>
    </w:p>
    <w:p w14:paraId="78408A9C" w14:textId="44154AF5" w:rsidR="003735CC" w:rsidRDefault="003735CC" w:rsidP="00E31E1F">
      <w:pPr>
        <w:spacing w:after="60"/>
      </w:pPr>
      <w:r>
        <w:t>Psychotropic medicines are also used for behaviour</w:t>
      </w:r>
      <w:r w:rsidR="00CE793C">
        <w:t>s</w:t>
      </w:r>
      <w:r>
        <w:t xml:space="preserve"> of concern</w:t>
      </w:r>
      <w:r w:rsidR="00604939">
        <w:t>.</w:t>
      </w:r>
      <w:r w:rsidR="00CE793C">
        <w:t xml:space="preserve"> </w:t>
      </w:r>
      <w:r w:rsidR="00AE50A4" w:rsidRPr="00D72DC2">
        <w:t>The use of psychotropic medicines for the main purpose of influencing behaviour is considered a restrictive practice known as ‘chemical restraint’ which is subject to regulatory oversight in the aged care and disability settings, and some Australian healthcare settings.</w:t>
      </w:r>
    </w:p>
    <w:p w14:paraId="09A87BAB" w14:textId="77777777" w:rsidR="00971F75" w:rsidRDefault="00971F75" w:rsidP="00F920BE"/>
    <w:p w14:paraId="5C2CDACD" w14:textId="77777777" w:rsidR="007C4F6F" w:rsidRPr="00106D5F" w:rsidRDefault="007C4F6F" w:rsidP="007C4F6F">
      <w:pPr>
        <w:rPr>
          <w:b/>
          <w:bCs/>
        </w:rPr>
      </w:pPr>
      <w:r w:rsidRPr="00106D5F">
        <w:rPr>
          <w:b/>
          <w:bCs/>
        </w:rPr>
        <w:t>What are behaviours of concern?</w:t>
      </w:r>
    </w:p>
    <w:p w14:paraId="3FD2C91C" w14:textId="77777777" w:rsidR="007C4F6F" w:rsidRPr="00106D5F" w:rsidRDefault="007C4F6F" w:rsidP="007C4F6F"/>
    <w:p w14:paraId="1479FA76" w14:textId="73DB42A7" w:rsidR="007C4F6F" w:rsidRPr="00106D5F" w:rsidRDefault="007C4F6F" w:rsidP="007C4F6F">
      <w:r w:rsidRPr="00106D5F">
        <w:t xml:space="preserve">Behaviours that indicate a risk to the safety or wellbeing of the person who exhibits them or those around them. Note that behaviours may challenge the person, their supporters, and the care services they are in, but may serve a purpose for the person, such as communicating unmet needs and </w:t>
      </w:r>
      <w:r>
        <w:t>responding</w:t>
      </w:r>
      <w:r w:rsidRPr="00106D5F">
        <w:t xml:space="preserve"> to their environment.</w:t>
      </w:r>
      <w:r w:rsidR="00AE50A4">
        <w:t xml:space="preserve"> Behaviours may include aggression, anxiety, withdrawal or indifference and self-harm.</w:t>
      </w:r>
    </w:p>
    <w:p w14:paraId="3E0F3AA8" w14:textId="77777777" w:rsidR="007C4F6F" w:rsidRDefault="007C4F6F" w:rsidP="00F920BE">
      <w:pPr>
        <w:rPr>
          <w:b/>
          <w:bCs/>
          <w:highlight w:val="yellow"/>
        </w:rPr>
      </w:pPr>
    </w:p>
    <w:p w14:paraId="1086D7BC" w14:textId="09B9F596" w:rsidR="00971F75" w:rsidRPr="00D72DC2" w:rsidRDefault="00971F75" w:rsidP="00F920BE">
      <w:pPr>
        <w:rPr>
          <w:b/>
          <w:bCs/>
        </w:rPr>
      </w:pPr>
      <w:r w:rsidRPr="00D72DC2">
        <w:rPr>
          <w:b/>
          <w:bCs/>
        </w:rPr>
        <w:t>What is chemical restraint?</w:t>
      </w:r>
    </w:p>
    <w:p w14:paraId="7763668B" w14:textId="77777777" w:rsidR="00971F75" w:rsidRDefault="00971F75" w:rsidP="00F920BE"/>
    <w:p w14:paraId="21C7B3FA" w14:textId="49F1E08A" w:rsidR="00E522B7" w:rsidRPr="00D72DC2" w:rsidRDefault="00AE50A4" w:rsidP="00D72DC2">
      <w:pPr>
        <w:widowControl/>
        <w:adjustRightInd w:val="0"/>
        <w:rPr>
          <w:rFonts w:eastAsiaTheme="minorHAnsi"/>
          <w:color w:val="000000"/>
          <w:sz w:val="24"/>
          <w:szCs w:val="24"/>
        </w:rPr>
      </w:pPr>
      <w:r w:rsidRPr="00D72DC2">
        <w:t xml:space="preserve">Chemical restraint refers to the use of medicines or chemical substance for the primary purpose of influencing behaviour. It does not include the use of medicines for </w:t>
      </w:r>
      <w:r w:rsidR="0038074F" w:rsidRPr="00D72DC2">
        <w:t>treating</w:t>
      </w:r>
      <w:r w:rsidR="00D72DC2">
        <w:t xml:space="preserve"> </w:t>
      </w:r>
      <w:r w:rsidR="0038074F" w:rsidRPr="00D72DC2">
        <w:t>or enabling treatment of physical or mental disorders.</w:t>
      </w:r>
      <w:r w:rsidR="00D614BC">
        <w:rPr>
          <w:rStyle w:val="EndnoteReference"/>
        </w:rPr>
        <w:endnoteReference w:id="9"/>
      </w:r>
    </w:p>
    <w:p w14:paraId="33A89415" w14:textId="77777777" w:rsidR="00E522B7" w:rsidRDefault="00E522B7" w:rsidP="00F920BE">
      <w:pPr>
        <w:rPr>
          <w:rFonts w:ascii="Calibri" w:eastAsiaTheme="minorHAnsi" w:hAnsi="Calibri" w:cs="Calibri"/>
          <w:color w:val="000000"/>
          <w:sz w:val="20"/>
          <w:szCs w:val="20"/>
        </w:rPr>
      </w:pPr>
    </w:p>
    <w:p w14:paraId="727046B9" w14:textId="77777777" w:rsidR="004B1EEF" w:rsidRDefault="004B1EEF" w:rsidP="004B1EEF">
      <w:pPr>
        <w:rPr>
          <w:rFonts w:ascii="Calibri" w:eastAsiaTheme="minorHAnsi" w:hAnsi="Calibri" w:cs="Calibri"/>
          <w:color w:val="000000"/>
          <w:sz w:val="20"/>
          <w:szCs w:val="20"/>
        </w:rPr>
      </w:pPr>
    </w:p>
    <w:p w14:paraId="79B61DA1" w14:textId="5F32C5C7" w:rsidR="00F920BE" w:rsidRPr="00106D5F" w:rsidRDefault="00F920BE" w:rsidP="00F920BE">
      <w:pPr>
        <w:rPr>
          <w:b/>
          <w:bCs/>
        </w:rPr>
      </w:pPr>
      <w:r w:rsidRPr="00106D5F">
        <w:rPr>
          <w:b/>
          <w:bCs/>
        </w:rPr>
        <w:t xml:space="preserve">What does cognitive disability </w:t>
      </w:r>
      <w:r w:rsidR="00D60CAE">
        <w:rPr>
          <w:b/>
          <w:bCs/>
        </w:rPr>
        <w:t>mean</w:t>
      </w:r>
      <w:r w:rsidRPr="00106D5F">
        <w:rPr>
          <w:b/>
          <w:bCs/>
        </w:rPr>
        <w:t>?</w:t>
      </w:r>
    </w:p>
    <w:p w14:paraId="5A9BA8A4" w14:textId="77777777" w:rsidR="00F920BE" w:rsidRPr="00106D5F" w:rsidRDefault="00F920BE" w:rsidP="00F920BE"/>
    <w:p w14:paraId="20A17EDC" w14:textId="376CF977" w:rsidR="00F920BE" w:rsidRPr="00106D5F" w:rsidRDefault="00F920BE" w:rsidP="00F920BE">
      <w:r w:rsidRPr="00106D5F">
        <w:t>An umbrella term for a level of cognitive function that generally causes difficulty with completing day-to-day tasks, decision-making and communication. People with cognitive disability include people living with intellectual disability, dementia, acquired brain injury, or foetal alcohol spectrum disorder.</w:t>
      </w:r>
    </w:p>
    <w:p w14:paraId="531AC679" w14:textId="77777777" w:rsidR="00A113A4" w:rsidRPr="00106D5F" w:rsidRDefault="00A113A4" w:rsidP="00A113A4"/>
    <w:p w14:paraId="487A5041" w14:textId="77777777" w:rsidR="00F920BE" w:rsidRPr="00106D5F" w:rsidRDefault="00F920BE" w:rsidP="00A113A4"/>
    <w:p w14:paraId="2D743EA3" w14:textId="73C48F69" w:rsidR="00DF7E42" w:rsidRPr="00106D5F" w:rsidRDefault="00DF7E42" w:rsidP="00A113A4">
      <w:pPr>
        <w:pStyle w:val="Heading3"/>
      </w:pPr>
      <w:r w:rsidRPr="00106D5F">
        <w:t>How will the</w:t>
      </w:r>
      <w:r w:rsidR="00F920BE" w:rsidRPr="00106D5F">
        <w:t xml:space="preserve"> </w:t>
      </w:r>
      <w:r w:rsidR="00826E57">
        <w:t>S</w:t>
      </w:r>
      <w:r w:rsidR="00826E57" w:rsidRPr="00106D5F">
        <w:t xml:space="preserve">tandard </w:t>
      </w:r>
      <w:r w:rsidRPr="00106D5F">
        <w:t>address the inappropriate use of psychotropic medications?</w:t>
      </w:r>
    </w:p>
    <w:p w14:paraId="5F93B9F2" w14:textId="77777777" w:rsidR="00DF7E42" w:rsidRPr="00106D5F" w:rsidRDefault="00DF7E42" w:rsidP="00DF7E42"/>
    <w:p w14:paraId="79CC9668" w14:textId="628C428F" w:rsidR="00F920BE" w:rsidRPr="00106D5F" w:rsidRDefault="00DF7E42" w:rsidP="00E31E1F">
      <w:pPr>
        <w:spacing w:after="60"/>
      </w:pPr>
      <w:r w:rsidRPr="00106D5F">
        <w:t xml:space="preserve">The </w:t>
      </w:r>
      <w:r w:rsidR="00826E57">
        <w:t>S</w:t>
      </w:r>
      <w:r w:rsidR="00826E57" w:rsidRPr="00106D5F">
        <w:t xml:space="preserve">tandard </w:t>
      </w:r>
      <w:r w:rsidR="00961339">
        <w:t xml:space="preserve">focuses on </w:t>
      </w:r>
      <w:r w:rsidR="0038074F" w:rsidRPr="00FD2A1F">
        <w:rPr>
          <w:b/>
          <w:bCs/>
        </w:rPr>
        <w:t>eight</w:t>
      </w:r>
      <w:r w:rsidR="0038074F">
        <w:t xml:space="preserve"> </w:t>
      </w:r>
      <w:r w:rsidR="00961339" w:rsidRPr="00E31E1F">
        <w:rPr>
          <w:b/>
          <w:bCs/>
        </w:rPr>
        <w:t>priority areas</w:t>
      </w:r>
      <w:r w:rsidR="00961339">
        <w:t xml:space="preserve"> of care that clinicians and healthcare services can implement </w:t>
      </w:r>
      <w:r w:rsidRPr="00106D5F">
        <w:t xml:space="preserve">to </w:t>
      </w:r>
      <w:r w:rsidR="00961339">
        <w:t>reduce and potentially eliminate the inappropriate use of</w:t>
      </w:r>
      <w:r w:rsidRPr="00106D5F">
        <w:t xml:space="preserve"> psychotropic medicines</w:t>
      </w:r>
      <w:r w:rsidR="00F920BE" w:rsidRPr="00106D5F">
        <w:t xml:space="preserve">. </w:t>
      </w:r>
    </w:p>
    <w:p w14:paraId="45FEDFBB" w14:textId="3EB76F07" w:rsidR="00F920BE" w:rsidRPr="00106D5F" w:rsidRDefault="00F920BE" w:rsidP="00E31E1F">
      <w:pPr>
        <w:spacing w:after="60"/>
      </w:pPr>
      <w:r w:rsidRPr="00106D5F">
        <w:t>Non-medication strategies are the primary method for preventing and addressing behaviours of concern. Psychotropic medicines are a last resort option</w:t>
      </w:r>
      <w:r w:rsidR="00996EF3">
        <w:t>, used only</w:t>
      </w:r>
      <w:r w:rsidRPr="00106D5F">
        <w:t xml:space="preserve"> when other strategies have failed </w:t>
      </w:r>
      <w:r w:rsidR="00996EF3">
        <w:t>or</w:t>
      </w:r>
      <w:r w:rsidR="00996EF3" w:rsidRPr="00106D5F">
        <w:t xml:space="preserve"> </w:t>
      </w:r>
      <w:r w:rsidRPr="00106D5F">
        <w:t>there is a significant risk of harm to the person or the people around them.</w:t>
      </w:r>
    </w:p>
    <w:p w14:paraId="6A9268BF" w14:textId="77777777" w:rsidR="00DF7E42" w:rsidRPr="00106D5F" w:rsidRDefault="00DF7E42" w:rsidP="00F920BE">
      <w:pPr>
        <w:ind w:left="0"/>
      </w:pPr>
    </w:p>
    <w:p w14:paraId="0DC9492C" w14:textId="1267A613" w:rsidR="00DF7E42" w:rsidRPr="00106D5F" w:rsidRDefault="00DF7E42" w:rsidP="00A113A4">
      <w:pPr>
        <w:pStyle w:val="Heading3"/>
      </w:pPr>
      <w:r w:rsidRPr="00106D5F">
        <w:t xml:space="preserve">What impact is the </w:t>
      </w:r>
      <w:r w:rsidR="00826E57">
        <w:t>S</w:t>
      </w:r>
      <w:r w:rsidRPr="00106D5F">
        <w:t>tandard expected to have on healthcare practices and patient outcomes?</w:t>
      </w:r>
    </w:p>
    <w:p w14:paraId="7BCC97F4" w14:textId="77777777" w:rsidR="00971F75" w:rsidRPr="00106D5F" w:rsidRDefault="00971F75" w:rsidP="00F8367B">
      <w:pPr>
        <w:ind w:left="0"/>
      </w:pPr>
    </w:p>
    <w:p w14:paraId="2E78074D" w14:textId="79A88F04" w:rsidR="00DF7E42" w:rsidRDefault="00662541" w:rsidP="00E31E1F">
      <w:r>
        <w:t xml:space="preserve">The </w:t>
      </w:r>
      <w:r w:rsidR="00826E57">
        <w:t>S</w:t>
      </w:r>
      <w:r>
        <w:t xml:space="preserve">tandard is expected to provide a </w:t>
      </w:r>
      <w:r w:rsidR="001D12B9">
        <w:t>person</w:t>
      </w:r>
      <w:r>
        <w:t>-centred</w:t>
      </w:r>
      <w:r w:rsidR="00E030F7">
        <w:t xml:space="preserve"> approach</w:t>
      </w:r>
      <w:r>
        <w:t xml:space="preserve"> </w:t>
      </w:r>
      <w:r w:rsidR="0038074F">
        <w:t xml:space="preserve">that supports fully informed decision making and consent. A more </w:t>
      </w:r>
      <w:r>
        <w:t xml:space="preserve">consistent approach </w:t>
      </w:r>
      <w:r w:rsidR="0038074F">
        <w:t xml:space="preserve">among healthcare providers and other care </w:t>
      </w:r>
      <w:r w:rsidR="0038074F">
        <w:lastRenderedPageBreak/>
        <w:t xml:space="preserve">providers </w:t>
      </w:r>
      <w:r>
        <w:t xml:space="preserve">will limit the use of psychotropic medicines </w:t>
      </w:r>
      <w:r w:rsidR="007C4F6F">
        <w:t>for behaviours of concern</w:t>
      </w:r>
      <w:r>
        <w:t xml:space="preserve">, with non-medication strategies the first and primary approach. </w:t>
      </w:r>
      <w:r w:rsidR="007C4F6F">
        <w:t xml:space="preserve">The Standard provides clear guidance </w:t>
      </w:r>
      <w:r w:rsidR="00996EF3">
        <w:t>for the appropriate use of</w:t>
      </w:r>
      <w:r w:rsidR="007C4F6F">
        <w:t xml:space="preserve"> psychotropic medicines for any reason, to ensure their safe use and to prevent prolonged use without </w:t>
      </w:r>
      <w:r w:rsidR="00996EF3">
        <w:t>regular monitoring</w:t>
      </w:r>
      <w:r w:rsidR="007C4F6F">
        <w:t xml:space="preserve"> </w:t>
      </w:r>
      <w:r w:rsidR="00996EF3">
        <w:t>and</w:t>
      </w:r>
      <w:r w:rsidR="007C4F6F">
        <w:t xml:space="preserve"> review. </w:t>
      </w:r>
    </w:p>
    <w:p w14:paraId="0DC514C9" w14:textId="77777777" w:rsidR="00662541" w:rsidRPr="00106D5F" w:rsidRDefault="00662541" w:rsidP="00F920BE">
      <w:pPr>
        <w:ind w:left="0"/>
      </w:pPr>
    </w:p>
    <w:p w14:paraId="4DBCF208" w14:textId="2418680A" w:rsidR="00DF7E42" w:rsidRPr="00106D5F" w:rsidRDefault="00DF7E42" w:rsidP="00A113A4">
      <w:pPr>
        <w:pStyle w:val="Heading3"/>
      </w:pPr>
      <w:r w:rsidRPr="00106D5F">
        <w:t>How will the standard address the ethical concerns surrounding the use of psychotropic medications in vulnerable populations?</w:t>
      </w:r>
    </w:p>
    <w:p w14:paraId="649E0DAC" w14:textId="3D639228" w:rsidR="00DF7E42" w:rsidRPr="00106D5F" w:rsidRDefault="00E46E61" w:rsidP="00DF7E42">
      <w:r>
        <w:t xml:space="preserve"> </w:t>
      </w:r>
    </w:p>
    <w:p w14:paraId="071B98B7" w14:textId="03020382" w:rsidR="00F920BE" w:rsidRPr="00106D5F" w:rsidRDefault="00DF7E42" w:rsidP="00E31E1F">
      <w:pPr>
        <w:spacing w:after="60"/>
      </w:pPr>
      <w:r w:rsidRPr="00106D5F">
        <w:t xml:space="preserve">The </w:t>
      </w:r>
      <w:r w:rsidR="00971F75">
        <w:t>S</w:t>
      </w:r>
      <w:r w:rsidR="00971F75" w:rsidRPr="00106D5F">
        <w:t xml:space="preserve">tandard </w:t>
      </w:r>
      <w:r w:rsidRPr="00106D5F">
        <w:t xml:space="preserve">underscores the importance of informed consent, autonomy, and </w:t>
      </w:r>
      <w:r w:rsidR="00574A39">
        <w:t>person</w:t>
      </w:r>
      <w:r w:rsidRPr="00106D5F">
        <w:t>-</w:t>
      </w:r>
      <w:r w:rsidR="00F920BE" w:rsidRPr="00106D5F">
        <w:t>centred</w:t>
      </w:r>
      <w:r w:rsidRPr="00106D5F">
        <w:t xml:space="preserve"> care in the prescribing and administration of psychotropic </w:t>
      </w:r>
      <w:r w:rsidR="00F920BE" w:rsidRPr="00106D5F">
        <w:t>medicines.</w:t>
      </w:r>
    </w:p>
    <w:p w14:paraId="093E7E4A" w14:textId="06B66AA9" w:rsidR="00DF7E42" w:rsidRPr="00106D5F" w:rsidRDefault="00DF7E42" w:rsidP="00E31E1F">
      <w:pPr>
        <w:spacing w:after="60"/>
      </w:pPr>
      <w:r w:rsidRPr="00106D5F">
        <w:t xml:space="preserve">By empowering individuals with cognitive </w:t>
      </w:r>
      <w:r w:rsidR="00574A39" w:rsidRPr="00106D5F">
        <w:t>disabilit</w:t>
      </w:r>
      <w:r w:rsidR="00574A39">
        <w:t>y</w:t>
      </w:r>
      <w:r w:rsidR="00574A39" w:rsidRPr="00106D5F">
        <w:t xml:space="preserve"> </w:t>
      </w:r>
      <w:r w:rsidRPr="00106D5F">
        <w:t xml:space="preserve">or impairment or their nominated decision-makers to actively participate in treatment decisions, the </w:t>
      </w:r>
      <w:r w:rsidR="00971F75">
        <w:t>S</w:t>
      </w:r>
      <w:r w:rsidRPr="00106D5F">
        <w:t xml:space="preserve">tandard upholds the rights, dignity, and autonomy of every individual receiving care. Additionally, the </w:t>
      </w:r>
      <w:r w:rsidR="00826E57">
        <w:t>S</w:t>
      </w:r>
      <w:r w:rsidR="00826E57" w:rsidRPr="00106D5F">
        <w:t xml:space="preserve">tandard </w:t>
      </w:r>
      <w:r w:rsidRPr="00106D5F">
        <w:t>emphasi</w:t>
      </w:r>
      <w:r w:rsidR="00F920BE" w:rsidRPr="00106D5F">
        <w:t>s</w:t>
      </w:r>
      <w:r w:rsidRPr="00106D5F">
        <w:t>es the importance of ongoing monitoring, review, and evaluation of psychotropic use to minimi</w:t>
      </w:r>
      <w:r w:rsidR="00F920BE" w:rsidRPr="00106D5F">
        <w:t>s</w:t>
      </w:r>
      <w:r w:rsidRPr="00106D5F">
        <w:t>e risks and optimi</w:t>
      </w:r>
      <w:r w:rsidR="00F920BE" w:rsidRPr="00106D5F">
        <w:t>s</w:t>
      </w:r>
      <w:r w:rsidRPr="00106D5F">
        <w:t>e patient outcomes.</w:t>
      </w:r>
    </w:p>
    <w:p w14:paraId="61ECF0AE" w14:textId="77777777" w:rsidR="00F87073" w:rsidRPr="00106D5F" w:rsidRDefault="00F87073" w:rsidP="00DF7E42"/>
    <w:p w14:paraId="534E0FD8" w14:textId="63CB9826" w:rsidR="00F87073" w:rsidRPr="00106D5F" w:rsidRDefault="00F87073" w:rsidP="00F87073">
      <w:pPr>
        <w:rPr>
          <w:b/>
          <w:bCs/>
        </w:rPr>
      </w:pPr>
      <w:r w:rsidRPr="00106D5F">
        <w:rPr>
          <w:b/>
          <w:bCs/>
        </w:rPr>
        <w:t xml:space="preserve">What is not covered by the </w:t>
      </w:r>
      <w:r w:rsidR="00826E57">
        <w:rPr>
          <w:b/>
          <w:bCs/>
        </w:rPr>
        <w:t>S</w:t>
      </w:r>
      <w:r w:rsidR="00826E57" w:rsidRPr="00106D5F">
        <w:rPr>
          <w:b/>
          <w:bCs/>
        </w:rPr>
        <w:t>tandard</w:t>
      </w:r>
      <w:r w:rsidRPr="00106D5F">
        <w:rPr>
          <w:b/>
          <w:bCs/>
        </w:rPr>
        <w:t xml:space="preserve">? </w:t>
      </w:r>
    </w:p>
    <w:p w14:paraId="74C2C36F" w14:textId="77777777" w:rsidR="00F87073" w:rsidRPr="00106D5F" w:rsidRDefault="00F87073" w:rsidP="00F87073">
      <w:pPr>
        <w:rPr>
          <w:b/>
          <w:bCs/>
        </w:rPr>
      </w:pPr>
    </w:p>
    <w:p w14:paraId="4AA891B2" w14:textId="2A243BC6" w:rsidR="00F87073" w:rsidRPr="00106D5F" w:rsidRDefault="00F87073" w:rsidP="00E31E1F">
      <w:pPr>
        <w:spacing w:after="60"/>
      </w:pPr>
      <w:r w:rsidRPr="00106D5F">
        <w:t xml:space="preserve">The use of psychotropic medicines in people who do not have cognitive disability or impairment is outside the scope of this </w:t>
      </w:r>
      <w:r w:rsidR="00826E57">
        <w:t>S</w:t>
      </w:r>
      <w:r w:rsidR="00826E57" w:rsidRPr="00106D5F">
        <w:t>tandard</w:t>
      </w:r>
      <w:r w:rsidRPr="00106D5F">
        <w:t>.</w:t>
      </w:r>
    </w:p>
    <w:p w14:paraId="3FEA2D82" w14:textId="77777777" w:rsidR="00F87073" w:rsidRPr="00106D5F" w:rsidRDefault="00F87073" w:rsidP="00E31E1F">
      <w:pPr>
        <w:spacing w:after="60"/>
      </w:pPr>
      <w:r w:rsidRPr="00106D5F">
        <w:t>This clinical care standard does not provide specific guidance on the selection and choice of psychotropic medicines.</w:t>
      </w:r>
    </w:p>
    <w:p w14:paraId="5D547D33" w14:textId="77777777" w:rsidR="00D86568" w:rsidRPr="00106D5F" w:rsidRDefault="00D86568" w:rsidP="00F87073"/>
    <w:p w14:paraId="71F97B01" w14:textId="6F07A13C" w:rsidR="00D86568" w:rsidRPr="00106D5F" w:rsidRDefault="00D86568" w:rsidP="00D86568">
      <w:pPr>
        <w:rPr>
          <w:b/>
          <w:bCs/>
        </w:rPr>
      </w:pPr>
      <w:r w:rsidRPr="00F8367B">
        <w:rPr>
          <w:b/>
          <w:bCs/>
        </w:rPr>
        <w:t xml:space="preserve">Why is this new </w:t>
      </w:r>
      <w:r w:rsidR="00B243F1">
        <w:rPr>
          <w:b/>
          <w:bCs/>
        </w:rPr>
        <w:t>S</w:t>
      </w:r>
      <w:r w:rsidRPr="00F8367B">
        <w:rPr>
          <w:b/>
          <w:bCs/>
        </w:rPr>
        <w:t xml:space="preserve">tandard needed? </w:t>
      </w:r>
    </w:p>
    <w:p w14:paraId="4ECB89D9" w14:textId="77777777" w:rsidR="00971F75" w:rsidRDefault="00971F75" w:rsidP="00662541">
      <w:pPr>
        <w:widowControl/>
        <w:autoSpaceDE/>
        <w:autoSpaceDN/>
        <w:spacing w:after="120"/>
      </w:pPr>
    </w:p>
    <w:p w14:paraId="40D754DF" w14:textId="4F4742D2" w:rsidR="00E66D56" w:rsidRDefault="00662541" w:rsidP="00E31E1F">
      <w:pPr>
        <w:widowControl/>
        <w:autoSpaceDE/>
        <w:autoSpaceDN/>
        <w:spacing w:afterLines="60" w:after="144"/>
        <w:rPr>
          <w:rFonts w:asciiTheme="minorHAnsi" w:hAnsiTheme="minorHAnsi" w:cstheme="minorHAnsi"/>
        </w:rPr>
      </w:pPr>
      <w:r w:rsidRPr="00971F75">
        <w:t>Two Royal Commissions have exposed serious issues with the use of psychotropic medicines such as antipsychotics, antidepressants and sedatives in the aged care and disability sectors.</w:t>
      </w:r>
      <w:r w:rsidR="00E66D56" w:rsidRPr="00E31E1F">
        <w:t xml:space="preserve"> Enhanced regulation across the aged care and disability sectors ha</w:t>
      </w:r>
      <w:r w:rsidR="00CA3C3E">
        <w:t>s</w:t>
      </w:r>
      <w:r w:rsidR="00E66D56" w:rsidRPr="00E31E1F">
        <w:t xml:space="preserve"> helped to address inappropriate use. While data from the Aged Care Quality and Safety Commission and the Australian Atlas of Healthcare Variation show that rates of antipsychotic prescribing are declining, there is more work to be done to embed appropriate care for people with cognitive disability or impairment wherever they receive care, including at all levels of the healthcare system. </w:t>
      </w:r>
    </w:p>
    <w:p w14:paraId="4AF098DE" w14:textId="77777777" w:rsidR="00E66D56" w:rsidRDefault="00E66D56" w:rsidP="00E31E1F">
      <w:pPr>
        <w:spacing w:afterLines="60" w:after="144"/>
        <w:rPr>
          <w:rFonts w:eastAsiaTheme="minorHAnsi"/>
        </w:rPr>
      </w:pPr>
      <w:r w:rsidRPr="00466795">
        <w:t>Th</w:t>
      </w:r>
      <w:r>
        <w:t>e</w:t>
      </w:r>
      <w:r w:rsidRPr="00466795">
        <w:t xml:space="preserve"> </w:t>
      </w:r>
      <w:r>
        <w:t>S</w:t>
      </w:r>
      <w:r w:rsidRPr="00466795">
        <w:t xml:space="preserve">tandard was developed following a </w:t>
      </w:r>
      <w:hyperlink r:id="rId10" w:anchor=":~:text=On%2021%20March%202022%2C%20the%20Australian%20Commission%20on,and%20committed%20to%20collaborative%20action%20to%20reduce%20it." w:history="1">
        <w:r w:rsidRPr="00466795">
          <w:rPr>
            <w:rStyle w:val="Hyperlink"/>
            <w:rFonts w:eastAsiaTheme="majorEastAsia"/>
          </w:rPr>
          <w:t>Joint Statement</w:t>
        </w:r>
      </w:hyperlink>
      <w:r w:rsidRPr="00466795">
        <w:rPr>
          <w:color w:val="FF0000"/>
        </w:rPr>
        <w:t xml:space="preserve"> </w:t>
      </w:r>
      <w:r w:rsidRPr="00466795">
        <w:t>from the Australian Commission on Safety and Quality in Health Care, the Aged Care Quality and Safety Commission, and the NDIS Quality and Safeguards Commission in March 2022, outlining their commitment to working together to reduce the inappropriate use of psychotropic medicines and so protect the human rights and safety of older people and people living with cognitive disability or impairment.</w:t>
      </w:r>
    </w:p>
    <w:p w14:paraId="1F852E4D" w14:textId="7056C7C6" w:rsidR="00B243F1" w:rsidRDefault="00B243F1">
      <w:pPr>
        <w:ind w:left="0"/>
      </w:pPr>
      <w:r>
        <w:br w:type="page"/>
      </w:r>
    </w:p>
    <w:p w14:paraId="4C3AE29A" w14:textId="77777777" w:rsidR="00F87073" w:rsidRDefault="00F87073" w:rsidP="00DF7E42"/>
    <w:tbl>
      <w:tblPr>
        <w:tblStyle w:val="TableGrid"/>
        <w:tblW w:w="0" w:type="auto"/>
        <w:tblInd w:w="284" w:type="dxa"/>
        <w:tblCellMar>
          <w:top w:w="113" w:type="dxa"/>
          <w:bottom w:w="113" w:type="dxa"/>
        </w:tblCellMar>
        <w:tblLook w:val="04A0" w:firstRow="1" w:lastRow="0" w:firstColumn="1" w:lastColumn="0" w:noHBand="0" w:noVBand="1"/>
      </w:tblPr>
      <w:tblGrid>
        <w:gridCol w:w="9946"/>
      </w:tblGrid>
      <w:tr w:rsidR="005728FF" w14:paraId="499655C4" w14:textId="77777777" w:rsidTr="00DC1CE0">
        <w:tc>
          <w:tcPr>
            <w:tcW w:w="10230" w:type="dxa"/>
            <w:shd w:val="clear" w:color="auto" w:fill="D9D9D9" w:themeFill="background1" w:themeFillShade="D9"/>
          </w:tcPr>
          <w:p w14:paraId="276521E9" w14:textId="5A57D43E" w:rsidR="005728FF" w:rsidRPr="00DC1CE0" w:rsidRDefault="004A39D6" w:rsidP="005728FF">
            <w:pPr>
              <w:ind w:left="0"/>
              <w:rPr>
                <w:b/>
                <w:bCs/>
                <w:sz w:val="24"/>
                <w:szCs w:val="24"/>
              </w:rPr>
            </w:pPr>
            <w:r>
              <w:rPr>
                <w:b/>
                <w:bCs/>
                <w:sz w:val="24"/>
                <w:szCs w:val="24"/>
              </w:rPr>
              <w:t xml:space="preserve">Navigating psychotropic medicines: A guide for </w:t>
            </w:r>
            <w:r w:rsidR="00662541">
              <w:rPr>
                <w:b/>
                <w:bCs/>
                <w:sz w:val="24"/>
                <w:szCs w:val="24"/>
              </w:rPr>
              <w:t xml:space="preserve">people </w:t>
            </w:r>
            <w:r>
              <w:rPr>
                <w:b/>
                <w:bCs/>
                <w:sz w:val="24"/>
                <w:szCs w:val="24"/>
              </w:rPr>
              <w:t>and caregivers</w:t>
            </w:r>
          </w:p>
          <w:p w14:paraId="5E70854F" w14:textId="77777777" w:rsidR="005728FF" w:rsidRDefault="005728FF" w:rsidP="005728FF">
            <w:pPr>
              <w:ind w:left="0"/>
              <w:rPr>
                <w:b/>
                <w:bCs/>
              </w:rPr>
            </w:pPr>
          </w:p>
          <w:p w14:paraId="7AA1E487" w14:textId="114D3CAE" w:rsidR="004A39D6" w:rsidRDefault="004A39D6" w:rsidP="005728FF">
            <w:pPr>
              <w:ind w:left="0"/>
            </w:pPr>
            <w:r>
              <w:t xml:space="preserve">Empower yourself with knowledge about psychotropic medicines and how to discuss them with your healthcare provider. Learn about their purpose, potential side </w:t>
            </w:r>
            <w:r w:rsidR="00215FE2">
              <w:t>e</w:t>
            </w:r>
            <w:r>
              <w:t>ffects and alternatives to make informed decisions about your health care.</w:t>
            </w:r>
          </w:p>
          <w:p w14:paraId="4F71FD55" w14:textId="77777777" w:rsidR="000C2392" w:rsidRDefault="000C2392" w:rsidP="000C2392">
            <w:pPr>
              <w:ind w:left="0"/>
            </w:pPr>
          </w:p>
          <w:p w14:paraId="3A71AB4B" w14:textId="066FB502" w:rsidR="00662541" w:rsidRPr="00E31E1F" w:rsidRDefault="00662541" w:rsidP="00A4610A">
            <w:pPr>
              <w:pStyle w:val="ListParagraph"/>
              <w:numPr>
                <w:ilvl w:val="0"/>
                <w:numId w:val="32"/>
              </w:numPr>
              <w:spacing w:after="240"/>
            </w:pPr>
            <w:r>
              <w:rPr>
                <w:b/>
                <w:bCs/>
              </w:rPr>
              <w:t>Ask if a medicine is the only option:</w:t>
            </w:r>
            <w:r>
              <w:t xml:space="preserve"> Explore alternative treatment options or adjustments to your current medicine regime if needed and make decisions together with your healthcare provider on what’s best for you.</w:t>
            </w:r>
          </w:p>
          <w:p w14:paraId="44F4D684" w14:textId="77777777" w:rsidR="00662541" w:rsidRPr="004A39D6" w:rsidRDefault="00662541" w:rsidP="00662541">
            <w:pPr>
              <w:pStyle w:val="ListParagraph"/>
              <w:numPr>
                <w:ilvl w:val="0"/>
                <w:numId w:val="32"/>
              </w:numPr>
              <w:spacing w:after="240"/>
            </w:pPr>
            <w:r>
              <w:rPr>
                <w:b/>
                <w:bCs/>
              </w:rPr>
              <w:t xml:space="preserve">Prepare questions: </w:t>
            </w:r>
            <w:r w:rsidRPr="004A39D6">
              <w:t>Write down any questions or concerns about the medicines before your appointment</w:t>
            </w:r>
            <w:r>
              <w:t>.</w:t>
            </w:r>
          </w:p>
          <w:p w14:paraId="0F4E96B4" w14:textId="32030F60" w:rsidR="00A4610A" w:rsidRDefault="004A39D6" w:rsidP="00A4610A">
            <w:pPr>
              <w:pStyle w:val="ListParagraph"/>
              <w:numPr>
                <w:ilvl w:val="0"/>
                <w:numId w:val="32"/>
              </w:numPr>
              <w:spacing w:after="240"/>
            </w:pPr>
            <w:r>
              <w:rPr>
                <w:b/>
                <w:bCs/>
              </w:rPr>
              <w:t xml:space="preserve">Understand the medications: </w:t>
            </w:r>
            <w:r>
              <w:t xml:space="preserve">Learn about the psychotropic medicines you’ve been prescribed, including what they’re for and any possible side </w:t>
            </w:r>
            <w:r w:rsidR="00215FE2">
              <w:t>e</w:t>
            </w:r>
            <w:r>
              <w:t>ffects.</w:t>
            </w:r>
          </w:p>
          <w:p w14:paraId="7171E70D" w14:textId="5304504E" w:rsidR="004A39D6" w:rsidRDefault="004A39D6" w:rsidP="00A4610A">
            <w:pPr>
              <w:pStyle w:val="ListParagraph"/>
              <w:numPr>
                <w:ilvl w:val="0"/>
                <w:numId w:val="32"/>
              </w:numPr>
              <w:spacing w:after="240"/>
            </w:pPr>
            <w:r w:rsidRPr="004A39D6">
              <w:rPr>
                <w:b/>
                <w:bCs/>
              </w:rPr>
              <w:t>Talk openly:</w:t>
            </w:r>
            <w:r>
              <w:t xml:space="preserve"> </w:t>
            </w:r>
            <w:r w:rsidR="00654D9F">
              <w:t xml:space="preserve">Talk candidly </w:t>
            </w:r>
            <w:r>
              <w:t xml:space="preserve">with your healthcare provider about your thoughts, </w:t>
            </w:r>
            <w:proofErr w:type="gramStart"/>
            <w:r>
              <w:t>feelings</w:t>
            </w:r>
            <w:proofErr w:type="gramEnd"/>
            <w:r>
              <w:t xml:space="preserve"> and any side </w:t>
            </w:r>
            <w:r w:rsidR="00053511">
              <w:t>e</w:t>
            </w:r>
            <w:r>
              <w:t>ffects you are experiencing or observing.</w:t>
            </w:r>
          </w:p>
          <w:p w14:paraId="60EB9A96" w14:textId="2FF8F4D9" w:rsidR="005728FF" w:rsidRPr="004A39D6" w:rsidRDefault="00DC1CE0" w:rsidP="004A39D6">
            <w:pPr>
              <w:pStyle w:val="ListParagraph"/>
              <w:numPr>
                <w:ilvl w:val="0"/>
                <w:numId w:val="32"/>
              </w:numPr>
              <w:spacing w:after="240"/>
            </w:pPr>
            <w:r w:rsidRPr="00A4610A">
              <w:rPr>
                <w:b/>
                <w:bCs/>
              </w:rPr>
              <w:t xml:space="preserve">Behaviour Support </w:t>
            </w:r>
            <w:proofErr w:type="gramStart"/>
            <w:r w:rsidRPr="00A4610A">
              <w:rPr>
                <w:b/>
                <w:bCs/>
              </w:rPr>
              <w:t>Plan</w:t>
            </w:r>
            <w:r w:rsidR="00662541">
              <w:rPr>
                <w:b/>
                <w:bCs/>
              </w:rPr>
              <w:t xml:space="preserve"> </w:t>
            </w:r>
            <w:r w:rsidR="004A39D6">
              <w:t>:</w:t>
            </w:r>
            <w:r w:rsidR="00662541">
              <w:t>If</w:t>
            </w:r>
            <w:proofErr w:type="gramEnd"/>
            <w:r w:rsidR="00662541">
              <w:t xml:space="preserve"> psychotropic medicines are prescribed for behaviours of concern, e</w:t>
            </w:r>
            <w:r w:rsidR="004A39D6">
              <w:t>nsure you have an up-to-date Behaviour Support Plan that reflects the best approach to your care</w:t>
            </w:r>
            <w:r w:rsidR="00662541">
              <w:t>, and that you have had input into the non-medication strategies that work best for you</w:t>
            </w:r>
            <w:r w:rsidR="004A39D6">
              <w:t>.</w:t>
            </w:r>
          </w:p>
        </w:tc>
      </w:tr>
    </w:tbl>
    <w:p w14:paraId="105A7D4E" w14:textId="77777777" w:rsidR="00F87073" w:rsidRDefault="00F87073" w:rsidP="00DF7E42"/>
    <w:p w14:paraId="15DDCC0A" w14:textId="77777777" w:rsidR="00E46E61" w:rsidRDefault="00E46E61" w:rsidP="00DF7E42"/>
    <w:tbl>
      <w:tblPr>
        <w:tblStyle w:val="TableGrid"/>
        <w:tblW w:w="0" w:type="auto"/>
        <w:tblInd w:w="284" w:type="dxa"/>
        <w:tblLook w:val="04A0" w:firstRow="1" w:lastRow="0" w:firstColumn="1" w:lastColumn="0" w:noHBand="0" w:noVBand="1"/>
      </w:tblPr>
      <w:tblGrid>
        <w:gridCol w:w="9946"/>
      </w:tblGrid>
      <w:tr w:rsidR="00E46E61" w14:paraId="5923D7A0" w14:textId="77777777" w:rsidTr="00E46E61">
        <w:tc>
          <w:tcPr>
            <w:tcW w:w="10230" w:type="dxa"/>
          </w:tcPr>
          <w:p w14:paraId="0AFD9ED0" w14:textId="73358673" w:rsidR="00E46E61" w:rsidRPr="00DC1CE0" w:rsidRDefault="00DA6101" w:rsidP="00E46E61">
            <w:pPr>
              <w:ind w:left="0"/>
              <w:rPr>
                <w:b/>
                <w:bCs/>
                <w:sz w:val="24"/>
                <w:szCs w:val="24"/>
              </w:rPr>
            </w:pPr>
            <w:r>
              <w:rPr>
                <w:b/>
                <w:bCs/>
                <w:sz w:val="24"/>
                <w:szCs w:val="24"/>
              </w:rPr>
              <w:t xml:space="preserve">Navigating psychotropic medicines: </w:t>
            </w:r>
            <w:r w:rsidR="00E46E61">
              <w:rPr>
                <w:b/>
                <w:bCs/>
                <w:sz w:val="24"/>
                <w:szCs w:val="24"/>
              </w:rPr>
              <w:t>A guide for prescribing clinicians</w:t>
            </w:r>
          </w:p>
          <w:p w14:paraId="474D980B" w14:textId="77777777" w:rsidR="00E46E61" w:rsidRDefault="00E46E61" w:rsidP="00E46E61">
            <w:pPr>
              <w:ind w:left="0"/>
            </w:pPr>
          </w:p>
          <w:p w14:paraId="59338362" w14:textId="32C99310" w:rsidR="00E46E61" w:rsidRDefault="00E46E61" w:rsidP="00E46E61">
            <w:pPr>
              <w:pStyle w:val="ListParagraph"/>
              <w:widowControl w:val="0"/>
              <w:numPr>
                <w:ilvl w:val="0"/>
                <w:numId w:val="35"/>
              </w:numPr>
              <w:autoSpaceDE w:val="0"/>
              <w:autoSpaceDN w:val="0"/>
              <w:spacing w:after="240"/>
            </w:pPr>
            <w:r>
              <w:rPr>
                <w:b/>
                <w:bCs/>
              </w:rPr>
              <w:t xml:space="preserve">Comprehensive assessment: </w:t>
            </w:r>
            <w:r>
              <w:t xml:space="preserve">Conduct thorough assessments to diagnose patients. Causes for any behaviours need to be identified – they can be physical, environmental, </w:t>
            </w:r>
            <w:proofErr w:type="gramStart"/>
            <w:r>
              <w:t>social</w:t>
            </w:r>
            <w:proofErr w:type="gramEnd"/>
            <w:r>
              <w:t xml:space="preserve"> or emotional.</w:t>
            </w:r>
          </w:p>
          <w:p w14:paraId="3173ACA6" w14:textId="39243633" w:rsidR="00D679CB" w:rsidRPr="00D679CB" w:rsidRDefault="00E46E61" w:rsidP="00D679CB">
            <w:pPr>
              <w:pStyle w:val="ListParagraph"/>
              <w:widowControl w:val="0"/>
              <w:numPr>
                <w:ilvl w:val="0"/>
                <w:numId w:val="35"/>
              </w:numPr>
              <w:autoSpaceDE w:val="0"/>
              <w:autoSpaceDN w:val="0"/>
              <w:spacing w:after="240"/>
            </w:pPr>
            <w:r>
              <w:rPr>
                <w:b/>
                <w:bCs/>
              </w:rPr>
              <w:t>Informed consent:</w:t>
            </w:r>
            <w:r>
              <w:t xml:space="preserve"> Provide comprehensive information about</w:t>
            </w:r>
            <w:r w:rsidR="00812222">
              <w:t xml:space="preserve"> the</w:t>
            </w:r>
            <w:r>
              <w:t xml:space="preserve"> purpose, benefits and risks to patients and caregivers, ensuring informed decision-making.</w:t>
            </w:r>
          </w:p>
          <w:p w14:paraId="10269C65" w14:textId="16B4CEF1" w:rsidR="00D679CB" w:rsidRPr="00D679CB" w:rsidRDefault="00E46E61" w:rsidP="00D679CB">
            <w:pPr>
              <w:pStyle w:val="ListParagraph"/>
              <w:numPr>
                <w:ilvl w:val="0"/>
                <w:numId w:val="35"/>
              </w:numPr>
              <w:spacing w:after="240"/>
            </w:pPr>
            <w:r w:rsidRPr="00D679CB">
              <w:rPr>
                <w:b/>
                <w:bCs/>
              </w:rPr>
              <w:t>Individualised treatment:</w:t>
            </w:r>
            <w:r>
              <w:t xml:space="preserve"> </w:t>
            </w:r>
            <w:r w:rsidR="00D679CB" w:rsidRPr="00D679CB">
              <w:t>Develop tailored treatment plans that consider patient needs and preferences and incorporate non-pharmacological interventions.</w:t>
            </w:r>
          </w:p>
          <w:p w14:paraId="59F2B4A7" w14:textId="5E327FC8" w:rsidR="00E46E61" w:rsidRDefault="00E46E61" w:rsidP="00E46E61">
            <w:pPr>
              <w:pStyle w:val="ListParagraph"/>
              <w:widowControl w:val="0"/>
              <w:numPr>
                <w:ilvl w:val="0"/>
                <w:numId w:val="35"/>
              </w:numPr>
              <w:autoSpaceDE w:val="0"/>
              <w:autoSpaceDN w:val="0"/>
              <w:spacing w:after="240"/>
            </w:pPr>
            <w:r w:rsidRPr="007951E0">
              <w:rPr>
                <w:b/>
                <w:bCs/>
              </w:rPr>
              <w:t>Regular monitoring:</w:t>
            </w:r>
            <w:r>
              <w:t xml:space="preserve"> </w:t>
            </w:r>
            <w:r w:rsidR="007951E0">
              <w:t>E</w:t>
            </w:r>
            <w:r>
              <w:t xml:space="preserve">nsure psychotropic medicines are used for the shortest possible time. Monitor treatment response, </w:t>
            </w:r>
            <w:proofErr w:type="gramStart"/>
            <w:r>
              <w:t>adherence</w:t>
            </w:r>
            <w:proofErr w:type="gramEnd"/>
            <w:r>
              <w:t xml:space="preserve"> and side effects </w:t>
            </w:r>
            <w:r w:rsidR="007951E0">
              <w:t>regularly</w:t>
            </w:r>
            <w:r>
              <w:t>, adjusting treatment as necessary.</w:t>
            </w:r>
          </w:p>
          <w:p w14:paraId="01A2AF18" w14:textId="2A5B0AAA" w:rsidR="00E46E61" w:rsidRPr="00D679CB" w:rsidRDefault="007951E0" w:rsidP="00D679CB">
            <w:pPr>
              <w:pStyle w:val="ListParagraph"/>
              <w:widowControl w:val="0"/>
              <w:numPr>
                <w:ilvl w:val="0"/>
                <w:numId w:val="35"/>
              </w:numPr>
              <w:autoSpaceDE w:val="0"/>
              <w:autoSpaceDN w:val="0"/>
              <w:spacing w:after="240"/>
            </w:pPr>
            <w:r w:rsidRPr="007951E0">
              <w:rPr>
                <w:b/>
                <w:bCs/>
              </w:rPr>
              <w:t>Collaborative</w:t>
            </w:r>
            <w:r w:rsidR="00E46E61" w:rsidRPr="007951E0">
              <w:rPr>
                <w:b/>
                <w:bCs/>
              </w:rPr>
              <w:t xml:space="preserve"> care:</w:t>
            </w:r>
            <w:r w:rsidR="00E46E61">
              <w:t xml:space="preserve"> </w:t>
            </w:r>
            <w:r>
              <w:t xml:space="preserve">Foster teamwork </w:t>
            </w:r>
            <w:r w:rsidR="00D679CB">
              <w:t>among</w:t>
            </w:r>
            <w:r>
              <w:t xml:space="preserve"> healthcare professionals to provide comprehensive support and ensure coordinated care for patients.</w:t>
            </w:r>
          </w:p>
        </w:tc>
      </w:tr>
    </w:tbl>
    <w:p w14:paraId="5635537F" w14:textId="77777777" w:rsidR="00EC2E33" w:rsidRDefault="00EC2E33" w:rsidP="00DF7E42"/>
    <w:p w14:paraId="65B2F6F4" w14:textId="77777777" w:rsidR="00EC2E33" w:rsidRDefault="00EC2E33" w:rsidP="00EC2E33">
      <w:pPr>
        <w:ind w:left="0"/>
        <w:rPr>
          <w:color w:val="1178A2"/>
        </w:rPr>
      </w:pPr>
    </w:p>
    <w:p w14:paraId="2F1D58DF" w14:textId="0EE797B0" w:rsidR="00F87073" w:rsidRPr="00EC2E33" w:rsidRDefault="00F87073" w:rsidP="00EC2E33">
      <w:r w:rsidRPr="00EC2E33">
        <w:rPr>
          <w:color w:val="1178A2"/>
        </w:rPr>
        <w:br w:type="page"/>
      </w:r>
    </w:p>
    <w:p w14:paraId="4E19A41C" w14:textId="4B0BD117" w:rsidR="00F920BE" w:rsidRPr="00F920BE" w:rsidRDefault="00574A39" w:rsidP="00F920BE">
      <w:pPr>
        <w:pStyle w:val="Heading1"/>
        <w:rPr>
          <w:color w:val="1178A2"/>
        </w:rPr>
      </w:pPr>
      <w:r>
        <w:rPr>
          <w:color w:val="1178A2"/>
        </w:rPr>
        <w:lastRenderedPageBreak/>
        <w:t xml:space="preserve">Priority </w:t>
      </w:r>
      <w:r w:rsidR="00F920BE">
        <w:rPr>
          <w:color w:val="1178A2"/>
        </w:rPr>
        <w:t>areas of care</w:t>
      </w:r>
    </w:p>
    <w:p w14:paraId="68BACA47" w14:textId="44BC363C" w:rsidR="00F920BE" w:rsidRDefault="00F920BE" w:rsidP="00DF7E42"/>
    <w:p w14:paraId="656382BB" w14:textId="0546E749" w:rsidR="00F920BE" w:rsidRDefault="00F920BE" w:rsidP="00DF7E42">
      <w:r>
        <w:t xml:space="preserve">The eight quality statements describe the care </w:t>
      </w:r>
      <w:r w:rsidR="00574A39">
        <w:t>that should be offered or provided when considering the</w:t>
      </w:r>
      <w:r>
        <w:t xml:space="preserve"> use of psychotropic medicines in people with cognitive disability or impairment. These statements focus on </w:t>
      </w:r>
      <w:r w:rsidR="00574A39">
        <w:t>priority</w:t>
      </w:r>
      <w:r>
        <w:t xml:space="preserve"> areas of care</w:t>
      </w:r>
      <w:r w:rsidR="00F3619D">
        <w:t xml:space="preserve"> that</w:t>
      </w:r>
      <w:r>
        <w:t xml:space="preserve"> </w:t>
      </w:r>
      <w:r w:rsidR="00F3619D" w:rsidRPr="00F3619D">
        <w:t>require the most significant quality improvement.</w:t>
      </w:r>
    </w:p>
    <w:p w14:paraId="5F57BFD4" w14:textId="77777777" w:rsidR="00F920BE" w:rsidRDefault="00F920BE" w:rsidP="00DF7E42"/>
    <w:tbl>
      <w:tblPr>
        <w:tblStyle w:val="TableGrid"/>
        <w:tblW w:w="0" w:type="auto"/>
        <w:tblInd w:w="284" w:type="dxa"/>
        <w:tblLook w:val="04A0" w:firstRow="1" w:lastRow="0" w:firstColumn="1" w:lastColumn="0" w:noHBand="0" w:noVBand="1"/>
      </w:tblPr>
      <w:tblGrid>
        <w:gridCol w:w="2405"/>
        <w:gridCol w:w="7541"/>
      </w:tblGrid>
      <w:tr w:rsidR="0037777E" w14:paraId="21A1DC8A" w14:textId="77777777" w:rsidTr="00FD3A90">
        <w:trPr>
          <w:trHeight w:val="1077"/>
        </w:trPr>
        <w:tc>
          <w:tcPr>
            <w:tcW w:w="2405" w:type="dxa"/>
            <w:shd w:val="clear" w:color="auto" w:fill="000000" w:themeFill="text1"/>
            <w:vAlign w:val="center"/>
          </w:tcPr>
          <w:p w14:paraId="7C2EADE9" w14:textId="2BE4F371" w:rsidR="0037777E" w:rsidRPr="00BD17FF" w:rsidRDefault="0037777E" w:rsidP="00F920BE">
            <w:pPr>
              <w:pStyle w:val="BodyText"/>
              <w:ind w:left="0"/>
              <w:rPr>
                <w:b/>
                <w:bCs/>
              </w:rPr>
            </w:pPr>
            <w:r w:rsidRPr="00BD17FF">
              <w:rPr>
                <w:b/>
                <w:bCs/>
              </w:rPr>
              <w:t>QUALITY STATEMENT</w:t>
            </w:r>
          </w:p>
        </w:tc>
        <w:tc>
          <w:tcPr>
            <w:tcW w:w="7541" w:type="dxa"/>
            <w:shd w:val="clear" w:color="auto" w:fill="000000" w:themeFill="text1"/>
            <w:vAlign w:val="center"/>
          </w:tcPr>
          <w:p w14:paraId="25D2C37A" w14:textId="48B6D6C4" w:rsidR="0037777E" w:rsidRPr="00BD17FF" w:rsidRDefault="0037777E" w:rsidP="00F920BE">
            <w:pPr>
              <w:ind w:left="0"/>
              <w:rPr>
                <w:b/>
                <w:bCs/>
                <w:sz w:val="21"/>
                <w:szCs w:val="21"/>
              </w:rPr>
            </w:pPr>
            <w:r w:rsidRPr="00BD17FF">
              <w:rPr>
                <w:b/>
                <w:bCs/>
                <w:sz w:val="21"/>
                <w:szCs w:val="21"/>
              </w:rPr>
              <w:t>DESCRIPTION</w:t>
            </w:r>
          </w:p>
        </w:tc>
      </w:tr>
      <w:tr w:rsidR="00F920BE" w14:paraId="31D95959" w14:textId="77777777" w:rsidTr="00FD3A90">
        <w:trPr>
          <w:trHeight w:val="1077"/>
        </w:trPr>
        <w:tc>
          <w:tcPr>
            <w:tcW w:w="2405" w:type="dxa"/>
            <w:shd w:val="clear" w:color="auto" w:fill="D9D9D9" w:themeFill="background1" w:themeFillShade="D9"/>
            <w:vAlign w:val="center"/>
          </w:tcPr>
          <w:p w14:paraId="459BDE2C" w14:textId="1547AA1C" w:rsidR="00F920BE" w:rsidRPr="00BD17FF" w:rsidRDefault="00F920BE" w:rsidP="00F920BE">
            <w:pPr>
              <w:pStyle w:val="BodyText"/>
              <w:ind w:left="0"/>
              <w:rPr>
                <w:b/>
                <w:bCs/>
              </w:rPr>
            </w:pPr>
            <w:r w:rsidRPr="00BD17FF">
              <w:rPr>
                <w:b/>
                <w:bCs/>
              </w:rPr>
              <w:t>Person-centred care</w:t>
            </w:r>
          </w:p>
        </w:tc>
        <w:tc>
          <w:tcPr>
            <w:tcW w:w="7541" w:type="dxa"/>
            <w:vAlign w:val="center"/>
          </w:tcPr>
          <w:p w14:paraId="07A7223E" w14:textId="2332E551" w:rsidR="00F920BE" w:rsidRPr="00BD17FF" w:rsidRDefault="00ED4A92" w:rsidP="00F920BE">
            <w:pPr>
              <w:ind w:left="0"/>
              <w:rPr>
                <w:sz w:val="21"/>
                <w:szCs w:val="21"/>
              </w:rPr>
            </w:pPr>
            <w:r>
              <w:rPr>
                <w:sz w:val="21"/>
                <w:szCs w:val="21"/>
              </w:rPr>
              <w:t xml:space="preserve">People </w:t>
            </w:r>
            <w:r w:rsidR="00FD3A90" w:rsidRPr="00BD17FF">
              <w:rPr>
                <w:sz w:val="21"/>
                <w:szCs w:val="21"/>
              </w:rPr>
              <w:t>receive health</w:t>
            </w:r>
            <w:r>
              <w:rPr>
                <w:sz w:val="21"/>
                <w:szCs w:val="21"/>
              </w:rPr>
              <w:t xml:space="preserve"> </w:t>
            </w:r>
            <w:r w:rsidR="00FD3A90" w:rsidRPr="00BD17FF">
              <w:rPr>
                <w:sz w:val="21"/>
                <w:szCs w:val="21"/>
              </w:rPr>
              <w:t xml:space="preserve">care tailored to their preferences and needs, </w:t>
            </w:r>
            <w:r>
              <w:rPr>
                <w:sz w:val="21"/>
                <w:szCs w:val="21"/>
              </w:rPr>
              <w:t>that upholds</w:t>
            </w:r>
            <w:r w:rsidRPr="00BD17FF">
              <w:rPr>
                <w:sz w:val="21"/>
                <w:szCs w:val="21"/>
              </w:rPr>
              <w:t xml:space="preserve"> </w:t>
            </w:r>
            <w:r w:rsidR="00FD3A90" w:rsidRPr="00BD17FF">
              <w:rPr>
                <w:sz w:val="21"/>
                <w:szCs w:val="21"/>
              </w:rPr>
              <w:t>their dignity and rights and actively participat</w:t>
            </w:r>
            <w:r>
              <w:rPr>
                <w:sz w:val="21"/>
                <w:szCs w:val="21"/>
              </w:rPr>
              <w:t xml:space="preserve">e </w:t>
            </w:r>
            <w:r w:rsidR="00FD3A90" w:rsidRPr="00BD17FF">
              <w:rPr>
                <w:sz w:val="21"/>
                <w:szCs w:val="21"/>
              </w:rPr>
              <w:t xml:space="preserve">in decision-making alongside </w:t>
            </w:r>
            <w:r>
              <w:rPr>
                <w:sz w:val="21"/>
                <w:szCs w:val="21"/>
              </w:rPr>
              <w:t xml:space="preserve">their chosen </w:t>
            </w:r>
            <w:r w:rsidR="00FD3A90" w:rsidRPr="00BD17FF">
              <w:rPr>
                <w:sz w:val="21"/>
                <w:szCs w:val="21"/>
              </w:rPr>
              <w:t>family or support pe</w:t>
            </w:r>
            <w:r>
              <w:rPr>
                <w:sz w:val="21"/>
                <w:szCs w:val="21"/>
              </w:rPr>
              <w:t>ople</w:t>
            </w:r>
            <w:r w:rsidR="00FD3A90" w:rsidRPr="00BD17FF">
              <w:rPr>
                <w:sz w:val="21"/>
                <w:szCs w:val="21"/>
              </w:rPr>
              <w:t>.</w:t>
            </w:r>
          </w:p>
        </w:tc>
      </w:tr>
      <w:tr w:rsidR="00F920BE" w14:paraId="5F899753" w14:textId="77777777" w:rsidTr="00FD3A90">
        <w:trPr>
          <w:trHeight w:val="1077"/>
        </w:trPr>
        <w:tc>
          <w:tcPr>
            <w:tcW w:w="2405" w:type="dxa"/>
            <w:shd w:val="clear" w:color="auto" w:fill="D9D9D9" w:themeFill="background1" w:themeFillShade="D9"/>
            <w:vAlign w:val="center"/>
          </w:tcPr>
          <w:p w14:paraId="7A458757" w14:textId="11842337" w:rsidR="00F920BE" w:rsidRPr="00BD17FF" w:rsidRDefault="00F920BE" w:rsidP="00F920BE">
            <w:pPr>
              <w:pStyle w:val="BodyText"/>
              <w:ind w:left="0"/>
              <w:rPr>
                <w:b/>
                <w:bCs/>
              </w:rPr>
            </w:pPr>
            <w:r w:rsidRPr="00BD17FF">
              <w:rPr>
                <w:b/>
                <w:bCs/>
              </w:rPr>
              <w:t>Informed consent for psychotropic medicines</w:t>
            </w:r>
          </w:p>
        </w:tc>
        <w:tc>
          <w:tcPr>
            <w:tcW w:w="7541" w:type="dxa"/>
            <w:vAlign w:val="center"/>
          </w:tcPr>
          <w:p w14:paraId="586616E8" w14:textId="4F97C48B" w:rsidR="00F920BE" w:rsidRPr="00BD17FF" w:rsidRDefault="00FD3A90" w:rsidP="00F920BE">
            <w:pPr>
              <w:ind w:left="0"/>
              <w:rPr>
                <w:sz w:val="21"/>
                <w:szCs w:val="21"/>
              </w:rPr>
            </w:pPr>
            <w:r w:rsidRPr="00BD17FF">
              <w:rPr>
                <w:sz w:val="21"/>
                <w:szCs w:val="21"/>
              </w:rPr>
              <w:t xml:space="preserve">Patients and their support network are informed about the purpose, duration, benefits, and risks of psychotropic medication, with </w:t>
            </w:r>
            <w:r w:rsidR="006D11FA">
              <w:rPr>
                <w:sz w:val="21"/>
                <w:szCs w:val="21"/>
              </w:rPr>
              <w:t>informed</w:t>
            </w:r>
            <w:r w:rsidR="006D11FA" w:rsidRPr="00BD17FF">
              <w:rPr>
                <w:sz w:val="21"/>
                <w:szCs w:val="21"/>
              </w:rPr>
              <w:t xml:space="preserve"> </w:t>
            </w:r>
            <w:r w:rsidRPr="00BD17FF">
              <w:rPr>
                <w:sz w:val="21"/>
                <w:szCs w:val="21"/>
              </w:rPr>
              <w:t>consent before use, following relevant legislation in emergencies or</w:t>
            </w:r>
            <w:r w:rsidR="006D11FA">
              <w:rPr>
                <w:sz w:val="21"/>
                <w:szCs w:val="21"/>
              </w:rPr>
              <w:t xml:space="preserve"> if the person does not have</w:t>
            </w:r>
            <w:r w:rsidRPr="00BD17FF">
              <w:rPr>
                <w:sz w:val="21"/>
                <w:szCs w:val="21"/>
              </w:rPr>
              <w:t xml:space="preserve"> capacity.</w:t>
            </w:r>
          </w:p>
        </w:tc>
      </w:tr>
      <w:tr w:rsidR="00F920BE" w14:paraId="044E733C" w14:textId="77777777" w:rsidTr="00FD3A90">
        <w:trPr>
          <w:trHeight w:val="1077"/>
        </w:trPr>
        <w:tc>
          <w:tcPr>
            <w:tcW w:w="2405" w:type="dxa"/>
            <w:shd w:val="clear" w:color="auto" w:fill="D9D9D9" w:themeFill="background1" w:themeFillShade="D9"/>
            <w:vAlign w:val="center"/>
          </w:tcPr>
          <w:p w14:paraId="3C7F2B36" w14:textId="39DDE1A4" w:rsidR="00F920BE" w:rsidRPr="00BD17FF" w:rsidRDefault="00F920BE" w:rsidP="00F920BE">
            <w:pPr>
              <w:pStyle w:val="BodyText"/>
              <w:ind w:left="0"/>
              <w:rPr>
                <w:b/>
                <w:bCs/>
              </w:rPr>
            </w:pPr>
            <w:r w:rsidRPr="00BD17FF">
              <w:rPr>
                <w:b/>
                <w:bCs/>
              </w:rPr>
              <w:t>Assessing behaviours</w:t>
            </w:r>
          </w:p>
        </w:tc>
        <w:tc>
          <w:tcPr>
            <w:tcW w:w="7541" w:type="dxa"/>
            <w:vAlign w:val="center"/>
          </w:tcPr>
          <w:p w14:paraId="75A98B35" w14:textId="5C55B6FB" w:rsidR="00F920BE" w:rsidRPr="00BD17FF" w:rsidRDefault="004E182D" w:rsidP="00F920BE">
            <w:pPr>
              <w:ind w:left="0"/>
              <w:rPr>
                <w:sz w:val="21"/>
                <w:szCs w:val="21"/>
              </w:rPr>
            </w:pPr>
            <w:r w:rsidRPr="00BD17FF">
              <w:rPr>
                <w:sz w:val="21"/>
                <w:szCs w:val="21"/>
              </w:rPr>
              <w:t xml:space="preserve">Immediate safety risks are assessed, followed by identification of underlying causes, considering clinical, psychosocial, and environmental factors, by trained professionals, integrating existing care plans and input from those familiar with the </w:t>
            </w:r>
            <w:r w:rsidR="006D11FA">
              <w:rPr>
                <w:sz w:val="21"/>
                <w:szCs w:val="21"/>
              </w:rPr>
              <w:t>person</w:t>
            </w:r>
            <w:r w:rsidRPr="00BD17FF">
              <w:rPr>
                <w:sz w:val="21"/>
                <w:szCs w:val="21"/>
              </w:rPr>
              <w:t>.</w:t>
            </w:r>
          </w:p>
        </w:tc>
      </w:tr>
      <w:tr w:rsidR="00F920BE" w14:paraId="5A076D63" w14:textId="77777777" w:rsidTr="00FD3A90">
        <w:trPr>
          <w:trHeight w:val="1077"/>
        </w:trPr>
        <w:tc>
          <w:tcPr>
            <w:tcW w:w="2405" w:type="dxa"/>
            <w:shd w:val="clear" w:color="auto" w:fill="D9D9D9" w:themeFill="background1" w:themeFillShade="D9"/>
            <w:vAlign w:val="center"/>
          </w:tcPr>
          <w:p w14:paraId="50A76564" w14:textId="01E5F6C5" w:rsidR="00F920BE" w:rsidRPr="00BD17FF" w:rsidRDefault="00F920BE" w:rsidP="00F920BE">
            <w:pPr>
              <w:pStyle w:val="BodyText"/>
              <w:ind w:left="0"/>
              <w:rPr>
                <w:b/>
                <w:bCs/>
              </w:rPr>
            </w:pPr>
            <w:r w:rsidRPr="00BD17FF">
              <w:rPr>
                <w:b/>
                <w:bCs/>
              </w:rPr>
              <w:t>Non-medication strategies</w:t>
            </w:r>
          </w:p>
        </w:tc>
        <w:tc>
          <w:tcPr>
            <w:tcW w:w="7541" w:type="dxa"/>
            <w:vAlign w:val="center"/>
          </w:tcPr>
          <w:p w14:paraId="40E987B1" w14:textId="0C5BED81" w:rsidR="00F920BE" w:rsidRPr="00BD17FF" w:rsidRDefault="004E182D" w:rsidP="00F920BE">
            <w:pPr>
              <w:ind w:left="0"/>
              <w:rPr>
                <w:sz w:val="21"/>
                <w:szCs w:val="21"/>
              </w:rPr>
            </w:pPr>
            <w:r w:rsidRPr="00BD17FF">
              <w:rPr>
                <w:sz w:val="21"/>
                <w:szCs w:val="21"/>
              </w:rPr>
              <w:t>Non-medi</w:t>
            </w:r>
            <w:r w:rsidR="006D11FA">
              <w:rPr>
                <w:sz w:val="21"/>
                <w:szCs w:val="21"/>
              </w:rPr>
              <w:t>cation</w:t>
            </w:r>
            <w:r w:rsidRPr="00BD17FF">
              <w:rPr>
                <w:sz w:val="21"/>
                <w:szCs w:val="21"/>
              </w:rPr>
              <w:t xml:space="preserve"> approaches are </w:t>
            </w:r>
            <w:r w:rsidR="00ED4A92">
              <w:rPr>
                <w:sz w:val="21"/>
                <w:szCs w:val="21"/>
              </w:rPr>
              <w:t>always</w:t>
            </w:r>
            <w:r w:rsidR="006D11FA">
              <w:rPr>
                <w:sz w:val="21"/>
                <w:szCs w:val="21"/>
              </w:rPr>
              <w:t xml:space="preserve"> used when responding to </w:t>
            </w:r>
            <w:r w:rsidRPr="00BD17FF">
              <w:rPr>
                <w:sz w:val="21"/>
                <w:szCs w:val="21"/>
              </w:rPr>
              <w:t>behaviours</w:t>
            </w:r>
            <w:r w:rsidR="006D11FA">
              <w:rPr>
                <w:sz w:val="21"/>
                <w:szCs w:val="21"/>
              </w:rPr>
              <w:t xml:space="preserve"> of concern</w:t>
            </w:r>
            <w:r w:rsidRPr="00BD17FF">
              <w:rPr>
                <w:sz w:val="21"/>
                <w:szCs w:val="21"/>
              </w:rPr>
              <w:t xml:space="preserve">, tailored to the individual, documented, and communicated to </w:t>
            </w:r>
            <w:r w:rsidR="006D11FA">
              <w:rPr>
                <w:sz w:val="21"/>
                <w:szCs w:val="21"/>
              </w:rPr>
              <w:t>all those involved in the person’s care - even when medicines are required</w:t>
            </w:r>
            <w:r w:rsidRPr="00BD17FF">
              <w:rPr>
                <w:sz w:val="21"/>
                <w:szCs w:val="21"/>
              </w:rPr>
              <w:t>.</w:t>
            </w:r>
          </w:p>
        </w:tc>
      </w:tr>
      <w:tr w:rsidR="00F920BE" w14:paraId="45A3D963" w14:textId="77777777" w:rsidTr="00FD3A90">
        <w:trPr>
          <w:trHeight w:val="1077"/>
        </w:trPr>
        <w:tc>
          <w:tcPr>
            <w:tcW w:w="2405" w:type="dxa"/>
            <w:shd w:val="clear" w:color="auto" w:fill="D9D9D9" w:themeFill="background1" w:themeFillShade="D9"/>
            <w:vAlign w:val="center"/>
          </w:tcPr>
          <w:p w14:paraId="69FC51DE" w14:textId="5697B3BB" w:rsidR="00F920BE" w:rsidRPr="00BD17FF" w:rsidRDefault="00F920BE" w:rsidP="00F920BE">
            <w:pPr>
              <w:pStyle w:val="BodyText"/>
              <w:ind w:left="0"/>
              <w:rPr>
                <w:b/>
                <w:bCs/>
              </w:rPr>
            </w:pPr>
            <w:r w:rsidRPr="00BD17FF">
              <w:rPr>
                <w:b/>
                <w:bCs/>
              </w:rPr>
              <w:t>Behaviour support plans</w:t>
            </w:r>
          </w:p>
        </w:tc>
        <w:tc>
          <w:tcPr>
            <w:tcW w:w="7541" w:type="dxa"/>
            <w:vAlign w:val="center"/>
          </w:tcPr>
          <w:p w14:paraId="0FDDA8DD" w14:textId="7970DE5E" w:rsidR="00F920BE" w:rsidRPr="00BD17FF" w:rsidRDefault="004E182D" w:rsidP="00F920BE">
            <w:pPr>
              <w:ind w:left="0"/>
              <w:rPr>
                <w:sz w:val="21"/>
                <w:szCs w:val="21"/>
              </w:rPr>
            </w:pPr>
            <w:r w:rsidRPr="00BD17FF">
              <w:rPr>
                <w:sz w:val="21"/>
                <w:szCs w:val="21"/>
              </w:rPr>
              <w:t xml:space="preserve">Existing </w:t>
            </w:r>
            <w:r w:rsidR="006D11FA">
              <w:rPr>
                <w:sz w:val="21"/>
                <w:szCs w:val="21"/>
              </w:rPr>
              <w:t xml:space="preserve">behaviour support </w:t>
            </w:r>
            <w:r w:rsidRPr="00BD17FF">
              <w:rPr>
                <w:sz w:val="21"/>
                <w:szCs w:val="21"/>
              </w:rPr>
              <w:t xml:space="preserve">plans guide and inform care, with ongoing assessment of </w:t>
            </w:r>
            <w:r w:rsidR="00ED4A92">
              <w:rPr>
                <w:sz w:val="21"/>
                <w:szCs w:val="21"/>
              </w:rPr>
              <w:t xml:space="preserve">their </w:t>
            </w:r>
            <w:r w:rsidRPr="00BD17FF">
              <w:rPr>
                <w:sz w:val="21"/>
                <w:szCs w:val="21"/>
              </w:rPr>
              <w:t>effectiveness</w:t>
            </w:r>
            <w:r w:rsidR="00ED4A92">
              <w:rPr>
                <w:sz w:val="21"/>
                <w:szCs w:val="21"/>
              </w:rPr>
              <w:t xml:space="preserve"> </w:t>
            </w:r>
            <w:r w:rsidRPr="00BD17FF">
              <w:rPr>
                <w:sz w:val="21"/>
                <w:szCs w:val="21"/>
              </w:rPr>
              <w:t>documented to inform plan updates and prescribing decisions.</w:t>
            </w:r>
          </w:p>
        </w:tc>
      </w:tr>
      <w:tr w:rsidR="00F920BE" w14:paraId="43BC4365" w14:textId="77777777" w:rsidTr="00FD3A90">
        <w:trPr>
          <w:trHeight w:val="1077"/>
        </w:trPr>
        <w:tc>
          <w:tcPr>
            <w:tcW w:w="2405" w:type="dxa"/>
            <w:shd w:val="clear" w:color="auto" w:fill="D9D9D9" w:themeFill="background1" w:themeFillShade="D9"/>
            <w:vAlign w:val="center"/>
          </w:tcPr>
          <w:p w14:paraId="39D78029" w14:textId="717E169D" w:rsidR="00F920BE" w:rsidRPr="00BD17FF" w:rsidRDefault="00F920BE" w:rsidP="00F920BE">
            <w:pPr>
              <w:ind w:left="0"/>
              <w:rPr>
                <w:b/>
                <w:bCs/>
                <w:sz w:val="21"/>
                <w:szCs w:val="21"/>
              </w:rPr>
            </w:pPr>
            <w:r w:rsidRPr="00BD17FF">
              <w:rPr>
                <w:b/>
                <w:bCs/>
                <w:sz w:val="21"/>
                <w:szCs w:val="21"/>
              </w:rPr>
              <w:t>Appropriate reasons for prescribing psychotropic medicines</w:t>
            </w:r>
          </w:p>
        </w:tc>
        <w:tc>
          <w:tcPr>
            <w:tcW w:w="7541" w:type="dxa"/>
            <w:vAlign w:val="center"/>
          </w:tcPr>
          <w:p w14:paraId="1B5C6C87" w14:textId="0E4EB1C8" w:rsidR="00F920BE" w:rsidRPr="00BD17FF" w:rsidRDefault="004E182D" w:rsidP="00F920BE">
            <w:pPr>
              <w:ind w:left="0"/>
              <w:rPr>
                <w:sz w:val="21"/>
                <w:szCs w:val="21"/>
              </w:rPr>
            </w:pPr>
            <w:r w:rsidRPr="00BD17FF">
              <w:rPr>
                <w:sz w:val="21"/>
                <w:szCs w:val="21"/>
              </w:rPr>
              <w:t>Medic</w:t>
            </w:r>
            <w:r w:rsidR="00ED4A92">
              <w:rPr>
                <w:sz w:val="21"/>
                <w:szCs w:val="21"/>
              </w:rPr>
              <w:t xml:space="preserve">ines </w:t>
            </w:r>
            <w:r w:rsidRPr="00BD17FF">
              <w:rPr>
                <w:sz w:val="21"/>
                <w:szCs w:val="21"/>
              </w:rPr>
              <w:t xml:space="preserve">are </w:t>
            </w:r>
            <w:r w:rsidR="00ED4A92">
              <w:rPr>
                <w:sz w:val="21"/>
                <w:szCs w:val="21"/>
              </w:rPr>
              <w:t xml:space="preserve">only </w:t>
            </w:r>
            <w:r w:rsidRPr="00BD17FF">
              <w:rPr>
                <w:sz w:val="21"/>
                <w:szCs w:val="21"/>
              </w:rPr>
              <w:t xml:space="preserve">considered </w:t>
            </w:r>
            <w:r w:rsidR="00ED4A92">
              <w:rPr>
                <w:sz w:val="21"/>
                <w:szCs w:val="21"/>
              </w:rPr>
              <w:t xml:space="preserve">for managing behaviour </w:t>
            </w:r>
            <w:r w:rsidRPr="00BD17FF">
              <w:rPr>
                <w:sz w:val="21"/>
                <w:szCs w:val="21"/>
              </w:rPr>
              <w:t>when there</w:t>
            </w:r>
            <w:r w:rsidR="00ED4A92">
              <w:rPr>
                <w:sz w:val="21"/>
                <w:szCs w:val="21"/>
              </w:rPr>
              <w:t xml:space="preserve"> is</w:t>
            </w:r>
            <w:r w:rsidRPr="00BD17FF">
              <w:rPr>
                <w:sz w:val="21"/>
                <w:szCs w:val="21"/>
              </w:rPr>
              <w:t xml:space="preserve"> significant risk </w:t>
            </w:r>
            <w:r w:rsidR="00ED4A92">
              <w:rPr>
                <w:sz w:val="21"/>
                <w:szCs w:val="21"/>
              </w:rPr>
              <w:t xml:space="preserve">of harm </w:t>
            </w:r>
            <w:r w:rsidRPr="00BD17FF">
              <w:rPr>
                <w:sz w:val="21"/>
                <w:szCs w:val="21"/>
              </w:rPr>
              <w:t xml:space="preserve">or </w:t>
            </w:r>
            <w:r w:rsidR="00ED4A92">
              <w:rPr>
                <w:sz w:val="21"/>
                <w:szCs w:val="21"/>
              </w:rPr>
              <w:t xml:space="preserve">a </w:t>
            </w:r>
            <w:r w:rsidRPr="00BD17FF">
              <w:rPr>
                <w:sz w:val="21"/>
                <w:szCs w:val="21"/>
              </w:rPr>
              <w:t xml:space="preserve">major quality of life impact, </w:t>
            </w:r>
            <w:r w:rsidR="00ED4A92">
              <w:rPr>
                <w:sz w:val="21"/>
                <w:szCs w:val="21"/>
              </w:rPr>
              <w:t xml:space="preserve">when </w:t>
            </w:r>
            <w:r w:rsidRPr="00BD17FF">
              <w:rPr>
                <w:sz w:val="21"/>
                <w:szCs w:val="21"/>
              </w:rPr>
              <w:t>non-medic</w:t>
            </w:r>
            <w:r w:rsidR="00ED4A92">
              <w:rPr>
                <w:sz w:val="21"/>
                <w:szCs w:val="21"/>
              </w:rPr>
              <w:t xml:space="preserve">ation </w:t>
            </w:r>
            <w:r w:rsidRPr="00BD17FF">
              <w:rPr>
                <w:sz w:val="21"/>
                <w:szCs w:val="21"/>
              </w:rPr>
              <w:t xml:space="preserve">strategies </w:t>
            </w:r>
            <w:r w:rsidR="00ED4A92">
              <w:rPr>
                <w:sz w:val="21"/>
                <w:szCs w:val="21"/>
              </w:rPr>
              <w:t>are not adequate</w:t>
            </w:r>
            <w:r w:rsidRPr="00BD17FF">
              <w:rPr>
                <w:sz w:val="21"/>
                <w:szCs w:val="21"/>
              </w:rPr>
              <w:t>, or when a mental health condition is diagnosed or suspected</w:t>
            </w:r>
            <w:r w:rsidR="00ED4A92">
              <w:rPr>
                <w:sz w:val="21"/>
                <w:szCs w:val="21"/>
              </w:rPr>
              <w:t xml:space="preserve"> based on assessment</w:t>
            </w:r>
            <w:r w:rsidRPr="00BD17FF">
              <w:rPr>
                <w:sz w:val="21"/>
                <w:szCs w:val="21"/>
              </w:rPr>
              <w:t>, with clear documentation in healthcare records.</w:t>
            </w:r>
          </w:p>
        </w:tc>
      </w:tr>
      <w:tr w:rsidR="00F920BE" w14:paraId="38A8FB84" w14:textId="77777777" w:rsidTr="00FD3A90">
        <w:trPr>
          <w:trHeight w:val="1077"/>
        </w:trPr>
        <w:tc>
          <w:tcPr>
            <w:tcW w:w="2405" w:type="dxa"/>
            <w:shd w:val="clear" w:color="auto" w:fill="D9D9D9" w:themeFill="background1" w:themeFillShade="D9"/>
            <w:vAlign w:val="center"/>
          </w:tcPr>
          <w:p w14:paraId="2872570E" w14:textId="2E3C5F60" w:rsidR="00F920BE" w:rsidRPr="00BD17FF" w:rsidRDefault="00F920BE" w:rsidP="00F920BE">
            <w:pPr>
              <w:pStyle w:val="BodyText"/>
              <w:ind w:left="0"/>
              <w:rPr>
                <w:b/>
                <w:bCs/>
              </w:rPr>
            </w:pPr>
            <w:r w:rsidRPr="00BD17FF">
              <w:rPr>
                <w:b/>
                <w:bCs/>
              </w:rPr>
              <w:t xml:space="preserve">Monitoring, </w:t>
            </w:r>
            <w:proofErr w:type="gramStart"/>
            <w:r w:rsidRPr="00BD17FF">
              <w:rPr>
                <w:b/>
                <w:bCs/>
              </w:rPr>
              <w:t>reviewing</w:t>
            </w:r>
            <w:proofErr w:type="gramEnd"/>
            <w:r w:rsidRPr="00BD17FF">
              <w:rPr>
                <w:b/>
                <w:bCs/>
              </w:rPr>
              <w:t xml:space="preserve"> and ceasing psychotropic medicines</w:t>
            </w:r>
          </w:p>
        </w:tc>
        <w:tc>
          <w:tcPr>
            <w:tcW w:w="7541" w:type="dxa"/>
            <w:vAlign w:val="center"/>
          </w:tcPr>
          <w:p w14:paraId="45827400" w14:textId="20B3EA49" w:rsidR="00F920BE" w:rsidRPr="00BD17FF" w:rsidRDefault="00ED4A92" w:rsidP="00F920BE">
            <w:pPr>
              <w:ind w:left="0"/>
              <w:rPr>
                <w:sz w:val="21"/>
                <w:szCs w:val="21"/>
              </w:rPr>
            </w:pPr>
            <w:r>
              <w:rPr>
                <w:sz w:val="21"/>
                <w:szCs w:val="21"/>
              </w:rPr>
              <w:t xml:space="preserve">The person’s response is regularly monitored and adjusted or stopped when necessary. Outcomes are documented and </w:t>
            </w:r>
            <w:r w:rsidR="00FD3A90" w:rsidRPr="00BD17FF">
              <w:rPr>
                <w:sz w:val="21"/>
                <w:szCs w:val="21"/>
              </w:rPr>
              <w:t>communicat</w:t>
            </w:r>
            <w:r>
              <w:rPr>
                <w:sz w:val="21"/>
                <w:szCs w:val="21"/>
              </w:rPr>
              <w:t xml:space="preserve">ed </w:t>
            </w:r>
            <w:r w:rsidR="00FD3A90" w:rsidRPr="00BD17FF">
              <w:rPr>
                <w:sz w:val="21"/>
                <w:szCs w:val="21"/>
              </w:rPr>
              <w:t>for ongoing care planning</w:t>
            </w:r>
            <w:r>
              <w:rPr>
                <w:sz w:val="21"/>
                <w:szCs w:val="21"/>
              </w:rPr>
              <w:t xml:space="preserve"> and review</w:t>
            </w:r>
            <w:r w:rsidR="00FD3A90" w:rsidRPr="00BD17FF">
              <w:rPr>
                <w:sz w:val="21"/>
                <w:szCs w:val="21"/>
              </w:rPr>
              <w:t>.</w:t>
            </w:r>
          </w:p>
        </w:tc>
      </w:tr>
      <w:tr w:rsidR="00F920BE" w14:paraId="5DC17283" w14:textId="77777777" w:rsidTr="00FD3A90">
        <w:trPr>
          <w:trHeight w:val="1077"/>
        </w:trPr>
        <w:tc>
          <w:tcPr>
            <w:tcW w:w="2405" w:type="dxa"/>
            <w:shd w:val="clear" w:color="auto" w:fill="D9D9D9" w:themeFill="background1" w:themeFillShade="D9"/>
            <w:vAlign w:val="center"/>
          </w:tcPr>
          <w:p w14:paraId="45C5D6C9" w14:textId="3A1D80A4" w:rsidR="00F920BE" w:rsidRPr="00BD17FF" w:rsidRDefault="00F920BE" w:rsidP="00F920BE">
            <w:pPr>
              <w:ind w:left="0"/>
              <w:rPr>
                <w:b/>
                <w:bCs/>
                <w:sz w:val="21"/>
                <w:szCs w:val="21"/>
              </w:rPr>
            </w:pPr>
            <w:r w:rsidRPr="00BD17FF">
              <w:rPr>
                <w:b/>
                <w:bCs/>
                <w:sz w:val="21"/>
                <w:szCs w:val="21"/>
              </w:rPr>
              <w:t>Information sharing and communication at transitions of care</w:t>
            </w:r>
          </w:p>
        </w:tc>
        <w:tc>
          <w:tcPr>
            <w:tcW w:w="7541" w:type="dxa"/>
            <w:vAlign w:val="center"/>
          </w:tcPr>
          <w:p w14:paraId="51CDC312" w14:textId="732BABEB" w:rsidR="00F920BE" w:rsidRPr="00BD17FF" w:rsidRDefault="00ED4A92" w:rsidP="00F920BE">
            <w:pPr>
              <w:ind w:left="0"/>
              <w:rPr>
                <w:sz w:val="21"/>
                <w:szCs w:val="21"/>
              </w:rPr>
            </w:pPr>
            <w:r>
              <w:rPr>
                <w:sz w:val="21"/>
                <w:szCs w:val="21"/>
              </w:rPr>
              <w:t xml:space="preserve">When people are transferred between care settings, information about their, </w:t>
            </w:r>
            <w:r w:rsidR="004E182D" w:rsidRPr="00BD17FF">
              <w:rPr>
                <w:sz w:val="21"/>
                <w:szCs w:val="21"/>
              </w:rPr>
              <w:t xml:space="preserve">ongoing needs, behaviour support plans, and medication details </w:t>
            </w:r>
            <w:r>
              <w:rPr>
                <w:sz w:val="21"/>
                <w:szCs w:val="21"/>
              </w:rPr>
              <w:t xml:space="preserve">are shared </w:t>
            </w:r>
            <w:r w:rsidR="004E182D" w:rsidRPr="00BD17FF">
              <w:rPr>
                <w:sz w:val="21"/>
                <w:szCs w:val="21"/>
              </w:rPr>
              <w:t>to support continuit</w:t>
            </w:r>
            <w:r>
              <w:rPr>
                <w:sz w:val="21"/>
                <w:szCs w:val="21"/>
              </w:rPr>
              <w:t>y</w:t>
            </w:r>
            <w:r w:rsidR="004E182D" w:rsidRPr="00BD17FF">
              <w:rPr>
                <w:sz w:val="21"/>
                <w:szCs w:val="21"/>
              </w:rPr>
              <w:t>, and coordinated care across providers and settings.</w:t>
            </w:r>
            <w:r>
              <w:rPr>
                <w:sz w:val="21"/>
                <w:szCs w:val="21"/>
              </w:rPr>
              <w:t xml:space="preserve"> Information is shared with the person and their family and support people.</w:t>
            </w:r>
          </w:p>
        </w:tc>
      </w:tr>
    </w:tbl>
    <w:p w14:paraId="437C09A8" w14:textId="77777777" w:rsidR="00F920BE" w:rsidRDefault="00F920BE" w:rsidP="00DF7E42"/>
    <w:p w14:paraId="72F1189E" w14:textId="0991C03B" w:rsidR="00675469" w:rsidRPr="00AD71B2" w:rsidRDefault="00675469" w:rsidP="00DF7E42">
      <w:pPr>
        <w:rPr>
          <w:sz w:val="21"/>
          <w:szCs w:val="21"/>
        </w:rPr>
      </w:pPr>
      <w:r w:rsidRPr="004E6907">
        <w:rPr>
          <w:sz w:val="21"/>
          <w:szCs w:val="21"/>
        </w:rPr>
        <w:t>To learn more, visit:</w:t>
      </w:r>
      <w:r w:rsidR="00AF4F01">
        <w:rPr>
          <w:sz w:val="21"/>
          <w:szCs w:val="21"/>
        </w:rPr>
        <w:t xml:space="preserve"> </w:t>
      </w:r>
      <w:hyperlink r:id="rId11" w:history="1">
        <w:r w:rsidR="003B555C" w:rsidRPr="003B555C">
          <w:rPr>
            <w:rStyle w:val="Hyperlink"/>
            <w:sz w:val="21"/>
            <w:szCs w:val="21"/>
          </w:rPr>
          <w:t>safetyandquality.gov.au/psychotropics-ccs</w:t>
        </w:r>
      </w:hyperlink>
    </w:p>
    <w:p w14:paraId="27A4450B" w14:textId="77777777" w:rsidR="00675469" w:rsidRDefault="00675469" w:rsidP="00DF7E42"/>
    <w:p w14:paraId="1DB71E28" w14:textId="011DA428" w:rsidR="00B56E22" w:rsidRPr="00CF5081" w:rsidRDefault="00B56E22" w:rsidP="00DF7E42">
      <w:pPr>
        <w:rPr>
          <w:b/>
          <w:bCs/>
        </w:rPr>
      </w:pPr>
      <w:r w:rsidRPr="00CF5081">
        <w:rPr>
          <w:b/>
          <w:bCs/>
        </w:rPr>
        <w:t xml:space="preserve">Media enquiries </w:t>
      </w:r>
    </w:p>
    <w:p w14:paraId="75457902" w14:textId="09B91588" w:rsidR="00936B38" w:rsidRDefault="00D614BC" w:rsidP="00DF7E42">
      <w:r>
        <w:t>Michelle Boland, Senior Communications Officer</w:t>
      </w:r>
    </w:p>
    <w:p w14:paraId="53507601" w14:textId="66E3AE1B" w:rsidR="00D614BC" w:rsidRDefault="00D614BC" w:rsidP="00DF7E42">
      <w:r>
        <w:t xml:space="preserve">E: </w:t>
      </w:r>
      <w:hyperlink r:id="rId12" w:history="1">
        <w:r w:rsidRPr="00194941">
          <w:rPr>
            <w:rStyle w:val="Hyperlink"/>
          </w:rPr>
          <w:t>michelle.boland@safetyandquality.gov.au</w:t>
        </w:r>
      </w:hyperlink>
      <w:r>
        <w:t xml:space="preserve"> M: 0413 782 111</w:t>
      </w:r>
    </w:p>
    <w:p w14:paraId="50595875" w14:textId="77777777" w:rsidR="00753C54" w:rsidRDefault="00753C54" w:rsidP="00DF7E42"/>
    <w:p w14:paraId="0487C9E3" w14:textId="77777777" w:rsidR="00753C54" w:rsidRDefault="00753C54" w:rsidP="00DF7E42"/>
    <w:p w14:paraId="2D165517" w14:textId="77777777" w:rsidR="00753C54" w:rsidRDefault="00753C54" w:rsidP="00DF7E42"/>
    <w:p w14:paraId="4529AC91" w14:textId="1CC399BC" w:rsidR="00B64A27" w:rsidRPr="00B449E7" w:rsidRDefault="00B64A27" w:rsidP="00EC2E33">
      <w:pPr>
        <w:ind w:left="0"/>
        <w:rPr>
          <w:color w:val="0000FF" w:themeColor="hyperlink"/>
          <w:u w:val="single"/>
        </w:rPr>
      </w:pPr>
    </w:p>
    <w:sectPr w:rsidR="00B64A27" w:rsidRPr="00B449E7" w:rsidSect="00F87073">
      <w:headerReference w:type="default" r:id="rId13"/>
      <w:footerReference w:type="default" r:id="rId14"/>
      <w:footnotePr>
        <w:numFmt w:val="chicago"/>
      </w:footnotePr>
      <w:endnotePr>
        <w:numFmt w:val="decimal"/>
      </w:endnotePr>
      <w:pgSz w:w="12240" w:h="15840"/>
      <w:pgMar w:top="877" w:right="1100" w:bottom="1134" w:left="900" w:header="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89AD" w14:textId="77777777" w:rsidR="00B762C3" w:rsidRDefault="00B762C3" w:rsidP="00DF7E42">
      <w:r>
        <w:separator/>
      </w:r>
    </w:p>
  </w:endnote>
  <w:endnote w:type="continuationSeparator" w:id="0">
    <w:p w14:paraId="74941229" w14:textId="77777777" w:rsidR="00B762C3" w:rsidRDefault="00B762C3" w:rsidP="00DF7E42">
      <w:r>
        <w:continuationSeparator/>
      </w:r>
    </w:p>
  </w:endnote>
  <w:endnote w:id="1">
    <w:p w14:paraId="7C4E89C6" w14:textId="3C9E7D7D" w:rsidR="0053651D" w:rsidRPr="00500E4F" w:rsidRDefault="0053651D" w:rsidP="00D614BC">
      <w:pPr>
        <w:pStyle w:val="EndnoteText"/>
        <w:spacing w:after="0" w:line="240" w:lineRule="auto"/>
      </w:pPr>
      <w:r w:rsidRPr="00500E4F">
        <w:rPr>
          <w:rStyle w:val="EndnoteReference"/>
          <w:szCs w:val="16"/>
        </w:rPr>
        <w:endnoteRef/>
      </w:r>
      <w:r w:rsidRPr="00500E4F">
        <w:t xml:space="preserve"> </w:t>
      </w:r>
      <w:hyperlink r:id="rId1" w:anchor=":~:text=Compared%20with%20the%20general%20population,lower%20rates%20of%20preventive%20healthcare." w:history="1">
        <w:r w:rsidRPr="00500E4F">
          <w:rPr>
            <w:rStyle w:val="Hyperlink"/>
            <w:szCs w:val="16"/>
          </w:rPr>
          <w:t>Department of Health and Aged Care</w:t>
        </w:r>
      </w:hyperlink>
    </w:p>
  </w:endnote>
  <w:endnote w:id="2">
    <w:p w14:paraId="5BA92BD5" w14:textId="25FC86F6" w:rsidR="0053651D" w:rsidRPr="00500E4F" w:rsidRDefault="0053651D" w:rsidP="00D614BC">
      <w:pPr>
        <w:pStyle w:val="EndnoteText"/>
        <w:spacing w:after="0" w:line="240" w:lineRule="auto"/>
      </w:pPr>
      <w:r w:rsidRPr="00500E4F">
        <w:rPr>
          <w:rStyle w:val="EndnoteReference"/>
          <w:szCs w:val="16"/>
        </w:rPr>
        <w:endnoteRef/>
      </w:r>
      <w:r w:rsidRPr="00500E4F">
        <w:t xml:space="preserve"> </w:t>
      </w:r>
      <w:hyperlink r:id="rId2" w:history="1">
        <w:r w:rsidRPr="00500E4F">
          <w:rPr>
            <w:rStyle w:val="Hyperlink"/>
            <w:szCs w:val="16"/>
          </w:rPr>
          <w:t>Dementia Australia</w:t>
        </w:r>
      </w:hyperlink>
    </w:p>
  </w:endnote>
  <w:endnote w:id="3">
    <w:p w14:paraId="22BA35E7" w14:textId="16B0FC88" w:rsidR="0053651D" w:rsidRPr="00500E4F" w:rsidRDefault="0053651D" w:rsidP="00D614BC">
      <w:pPr>
        <w:pStyle w:val="EndnoteText"/>
        <w:spacing w:after="0" w:line="240" w:lineRule="auto"/>
      </w:pPr>
      <w:r w:rsidRPr="00500E4F">
        <w:rPr>
          <w:rStyle w:val="EndnoteReference"/>
          <w:szCs w:val="16"/>
        </w:rPr>
        <w:endnoteRef/>
      </w:r>
      <w:r w:rsidRPr="00500E4F">
        <w:t xml:space="preserve"> </w:t>
      </w:r>
      <w:hyperlink r:id="rId3" w:history="1">
        <w:r w:rsidRPr="00500E4F">
          <w:rPr>
            <w:rStyle w:val="Hyperlink"/>
            <w:szCs w:val="16"/>
          </w:rPr>
          <w:t>AIHW</w:t>
        </w:r>
      </w:hyperlink>
    </w:p>
  </w:endnote>
  <w:endnote w:id="4">
    <w:p w14:paraId="67180075" w14:textId="2CAECFF9" w:rsidR="00556028" w:rsidRDefault="00556028" w:rsidP="00D614BC">
      <w:pPr>
        <w:pStyle w:val="EndnoteText"/>
        <w:spacing w:after="0" w:line="240" w:lineRule="auto"/>
      </w:pPr>
      <w:r>
        <w:rPr>
          <w:rStyle w:val="EndnoteReference"/>
        </w:rPr>
        <w:endnoteRef/>
      </w:r>
      <w:r>
        <w:t xml:space="preserve"> </w:t>
      </w:r>
      <w:r w:rsidR="00486F92" w:rsidRPr="00486F92">
        <w:t>Gillies et al. NDIS</w:t>
      </w:r>
      <w:r w:rsidR="00F6088A">
        <w:t xml:space="preserve"> Quality</w:t>
      </w:r>
      <w:r w:rsidR="00486F92" w:rsidRPr="00486F92">
        <w:t xml:space="preserve"> and Safeguards Commission 2023 (Unpublished)</w:t>
      </w:r>
    </w:p>
  </w:endnote>
  <w:endnote w:id="5">
    <w:p w14:paraId="1AFA9035" w14:textId="3AE9715E" w:rsidR="006C3CA5" w:rsidRPr="00500E4F" w:rsidRDefault="006C3CA5" w:rsidP="00D614BC">
      <w:pPr>
        <w:pStyle w:val="EndnoteText"/>
        <w:spacing w:after="0" w:line="240" w:lineRule="auto"/>
      </w:pPr>
      <w:r w:rsidRPr="00500E4F">
        <w:rPr>
          <w:rStyle w:val="EndnoteReference"/>
          <w:szCs w:val="16"/>
        </w:rPr>
        <w:endnoteRef/>
      </w:r>
      <w:r w:rsidRPr="00500E4F">
        <w:t xml:space="preserve"> </w:t>
      </w:r>
      <w:hyperlink r:id="rId4" w:history="1">
        <w:r w:rsidRPr="00500E4F">
          <w:rPr>
            <w:rStyle w:val="Hyperlink"/>
            <w:szCs w:val="16"/>
          </w:rPr>
          <w:t>Cvejic et al. BJPsych Open 2018</w:t>
        </w:r>
      </w:hyperlink>
    </w:p>
  </w:endnote>
  <w:endnote w:id="6">
    <w:p w14:paraId="36DBB315" w14:textId="77777777" w:rsidR="00D614BC" w:rsidRPr="00500E4F" w:rsidRDefault="00D614BC" w:rsidP="00D614BC">
      <w:pPr>
        <w:pStyle w:val="EndnoteText"/>
        <w:spacing w:after="0" w:line="240" w:lineRule="auto"/>
      </w:pPr>
      <w:r w:rsidRPr="00500E4F">
        <w:rPr>
          <w:rStyle w:val="EndnoteReference"/>
          <w:szCs w:val="16"/>
        </w:rPr>
        <w:endnoteRef/>
      </w:r>
      <w:r w:rsidRPr="00500E4F">
        <w:t xml:space="preserve"> </w:t>
      </w:r>
      <w:bookmarkStart w:id="2" w:name="_Hlk165454062"/>
      <w:r w:rsidRPr="00E31E1F">
        <w:fldChar w:fldCharType="begin"/>
      </w:r>
      <w:r w:rsidRPr="00E31E1F">
        <w:instrText>HYPERLINK "https://pubmed.ncbi.nlm.nih.gov/32045014/"</w:instrText>
      </w:r>
      <w:r w:rsidRPr="00E31E1F">
        <w:fldChar w:fldCharType="separate"/>
      </w:r>
      <w:r w:rsidRPr="00500E4F">
        <w:rPr>
          <w:rStyle w:val="cf11"/>
          <w:rFonts w:ascii="Arial" w:hAnsi="Arial" w:cs="Arial"/>
          <w:b w:val="0"/>
          <w:bCs w:val="0"/>
          <w:color w:val="0000FF"/>
          <w:sz w:val="16"/>
          <w:szCs w:val="16"/>
          <w:u w:val="single"/>
        </w:rPr>
        <w:t>Harrison et al. Med J Aust 2020</w:t>
      </w:r>
      <w:r w:rsidRPr="00E31E1F">
        <w:fldChar w:fldCharType="end"/>
      </w:r>
      <w:bookmarkEnd w:id="2"/>
    </w:p>
  </w:endnote>
  <w:endnote w:id="7">
    <w:p w14:paraId="5074A511" w14:textId="77777777" w:rsidR="00556028" w:rsidRDefault="00556028" w:rsidP="00D614BC">
      <w:pPr>
        <w:pStyle w:val="EndnoteText"/>
        <w:spacing w:after="0" w:line="240" w:lineRule="auto"/>
      </w:pPr>
      <w:r w:rsidRPr="00500E4F">
        <w:rPr>
          <w:rStyle w:val="EndnoteReference"/>
          <w:szCs w:val="16"/>
        </w:rPr>
        <w:endnoteRef/>
      </w:r>
      <w:r w:rsidRPr="00500E4F">
        <w:t xml:space="preserve"> </w:t>
      </w:r>
      <w:hyperlink r:id="rId5" w:history="1">
        <w:r w:rsidRPr="00500E4F">
          <w:rPr>
            <w:rStyle w:val="Hyperlink"/>
            <w:szCs w:val="16"/>
          </w:rPr>
          <w:t>AIHW</w:t>
        </w:r>
      </w:hyperlink>
    </w:p>
  </w:endnote>
  <w:endnote w:id="8">
    <w:p w14:paraId="6E145D75" w14:textId="51949641" w:rsidR="00CE1702" w:rsidRPr="00D614BC" w:rsidRDefault="00CE1702" w:rsidP="00D614BC">
      <w:pPr>
        <w:rPr>
          <w:sz w:val="16"/>
          <w:szCs w:val="16"/>
        </w:rPr>
      </w:pPr>
      <w:r w:rsidRPr="00503F7A">
        <w:rPr>
          <w:rStyle w:val="EndnoteReference"/>
          <w:sz w:val="16"/>
          <w:szCs w:val="16"/>
        </w:rPr>
        <w:endnoteRef/>
      </w:r>
      <w:r w:rsidRPr="00503F7A">
        <w:rPr>
          <w:sz w:val="16"/>
          <w:szCs w:val="16"/>
        </w:rPr>
        <w:t xml:space="preserve"> </w:t>
      </w:r>
      <w:hyperlink r:id="rId6" w:history="1">
        <w:r w:rsidRPr="00503F7A">
          <w:rPr>
            <w:rStyle w:val="Hyperlink"/>
            <w:sz w:val="16"/>
            <w:szCs w:val="16"/>
          </w:rPr>
          <w:t>Bezabhe et al. J Clin Med 2023</w:t>
        </w:r>
      </w:hyperlink>
    </w:p>
  </w:endnote>
  <w:endnote w:id="9">
    <w:p w14:paraId="5F3FDA69" w14:textId="28ED96C4" w:rsidR="00D614BC" w:rsidRDefault="00D614BC" w:rsidP="00D614BC">
      <w:pPr>
        <w:pStyle w:val="EndnoteText"/>
        <w:spacing w:after="0" w:line="240" w:lineRule="auto"/>
      </w:pPr>
      <w:r>
        <w:rPr>
          <w:rStyle w:val="EndnoteReference"/>
        </w:rPr>
        <w:endnoteRef/>
      </w:r>
      <w:r>
        <w:t xml:space="preserve"> </w:t>
      </w:r>
      <w:hyperlink r:id="rId7" w:history="1">
        <w:r w:rsidRPr="00D72DC2">
          <w:rPr>
            <w:rStyle w:val="Hyperlink"/>
          </w:rPr>
          <w:endnoteRef/>
        </w:r>
        <w:r w:rsidRPr="00D72DC2">
          <w:rPr>
            <w:rStyle w:val="Hyperlink"/>
          </w:rPr>
          <w:t xml:space="preserve"> Section 6(b) of the NDIS (Restrictive Practices and Behaviour Support) Rules 2018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VMRKOW+ZapfDingbatsITC">
    <w:altName w:val="Yu Gothic"/>
    <w:panose1 w:val="00000000000000000000"/>
    <w:charset w:val="80"/>
    <w:family w:val="auto"/>
    <w:notTrueType/>
    <w:pitch w:val="default"/>
    <w:sig w:usb0="00000001" w:usb1="08070000" w:usb2="00000010" w:usb3="00000000" w:csb0="00020000" w:csb1="00000000"/>
  </w:font>
  <w:font w:name="TGCYMA+ZapfDingbatsITC">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BF7F" w14:textId="198CEBBB" w:rsidR="009F090E" w:rsidRPr="00F87073" w:rsidRDefault="009F090E" w:rsidP="00DF7E42">
    <w:pPr>
      <w:pStyle w:val="Footer"/>
      <w:rPr>
        <w:sz w:val="20"/>
        <w:szCs w:val="20"/>
      </w:rPr>
    </w:pPr>
    <w:r w:rsidRPr="00F87073">
      <w:rPr>
        <w:sz w:val="20"/>
        <w:szCs w:val="20"/>
      </w:rPr>
      <w:t xml:space="preserve">Page </w:t>
    </w:r>
    <w:sdt>
      <w:sdtPr>
        <w:rPr>
          <w:sz w:val="20"/>
          <w:szCs w:val="20"/>
        </w:rPr>
        <w:id w:val="-843315978"/>
        <w:docPartObj>
          <w:docPartGallery w:val="Page Numbers (Bottom of Page)"/>
          <w:docPartUnique/>
        </w:docPartObj>
      </w:sdtPr>
      <w:sdtEndPr>
        <w:rPr>
          <w:noProof/>
        </w:rPr>
      </w:sdtEndPr>
      <w:sdtContent>
        <w:r w:rsidRPr="00F87073">
          <w:rPr>
            <w:sz w:val="20"/>
            <w:szCs w:val="20"/>
          </w:rPr>
          <w:fldChar w:fldCharType="begin"/>
        </w:r>
        <w:r w:rsidRPr="00F87073">
          <w:rPr>
            <w:sz w:val="20"/>
            <w:szCs w:val="20"/>
          </w:rPr>
          <w:instrText xml:space="preserve"> PAGE   \* MERGEFORMAT </w:instrText>
        </w:r>
        <w:r w:rsidRPr="00F87073">
          <w:rPr>
            <w:sz w:val="20"/>
            <w:szCs w:val="20"/>
          </w:rPr>
          <w:fldChar w:fldCharType="separate"/>
        </w:r>
        <w:r w:rsidRPr="00F87073">
          <w:rPr>
            <w:noProof/>
            <w:sz w:val="20"/>
            <w:szCs w:val="20"/>
          </w:rPr>
          <w:t>2</w:t>
        </w:r>
        <w:r w:rsidRPr="00F87073">
          <w:rPr>
            <w:noProof/>
            <w:sz w:val="20"/>
            <w:szCs w:val="20"/>
          </w:rPr>
          <w:fldChar w:fldCharType="end"/>
        </w:r>
        <w:r w:rsidRPr="00F87073">
          <w:rPr>
            <w:noProof/>
            <w:sz w:val="20"/>
            <w:szCs w:val="20"/>
          </w:rPr>
          <w:t xml:space="preserve"> of </w:t>
        </w:r>
        <w:r w:rsidR="001E6E55">
          <w:rPr>
            <w:noProof/>
            <w:sz w:val="20"/>
            <w:szCs w:val="20"/>
          </w:rPr>
          <w:t>6</w:t>
        </w:r>
      </w:sdtContent>
    </w:sdt>
  </w:p>
  <w:p w14:paraId="014632F7" w14:textId="3B15C2FA" w:rsidR="009F090E" w:rsidRDefault="009F090E" w:rsidP="00DF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9E1D" w14:textId="77777777" w:rsidR="00B762C3" w:rsidRDefault="00B762C3" w:rsidP="00DF7E42">
      <w:r>
        <w:separator/>
      </w:r>
    </w:p>
  </w:footnote>
  <w:footnote w:type="continuationSeparator" w:id="0">
    <w:p w14:paraId="0EB2887C" w14:textId="77777777" w:rsidR="00B762C3" w:rsidRDefault="00B762C3" w:rsidP="00DF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786E" w14:textId="77777777" w:rsidR="005F2D6A" w:rsidRDefault="005F2D6A" w:rsidP="00DF7E42">
    <w:pPr>
      <w:pStyle w:val="Header"/>
    </w:pPr>
  </w:p>
  <w:p w14:paraId="4115A45E" w14:textId="1CBD42C6" w:rsidR="005F2D6A" w:rsidRPr="00D252E8" w:rsidRDefault="005F2D6A" w:rsidP="00D252E8">
    <w:pPr>
      <w:pStyle w:val="Header"/>
      <w:jc w:val="right"/>
      <w:rPr>
        <w:sz w:val="20"/>
        <w:szCs w:val="20"/>
      </w:rPr>
    </w:pPr>
    <w:r w:rsidRPr="00D252E8">
      <w:rPr>
        <w:sz w:val="20"/>
        <w:szCs w:val="20"/>
      </w:rPr>
      <w:t>D24-13750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7BA6B"/>
    <w:multiLevelType w:val="hybridMultilevel"/>
    <w:tmpl w:val="5B926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056BC"/>
    <w:multiLevelType w:val="multilevel"/>
    <w:tmpl w:val="6852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E52E2"/>
    <w:multiLevelType w:val="hybridMultilevel"/>
    <w:tmpl w:val="F0E8AD24"/>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3" w15:restartNumberingAfterBreak="0">
    <w:nsid w:val="125D2031"/>
    <w:multiLevelType w:val="hybridMultilevel"/>
    <w:tmpl w:val="63FA0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3689E"/>
    <w:multiLevelType w:val="hybridMultilevel"/>
    <w:tmpl w:val="933E14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11A72"/>
    <w:multiLevelType w:val="hybridMultilevel"/>
    <w:tmpl w:val="9FDE74E4"/>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6" w15:restartNumberingAfterBreak="0">
    <w:nsid w:val="262B7B91"/>
    <w:multiLevelType w:val="hybridMultilevel"/>
    <w:tmpl w:val="8D125E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C7BC5"/>
    <w:multiLevelType w:val="multilevel"/>
    <w:tmpl w:val="165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C0AC2"/>
    <w:multiLevelType w:val="hybridMultilevel"/>
    <w:tmpl w:val="B4E8C48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2B533EEA"/>
    <w:multiLevelType w:val="multilevel"/>
    <w:tmpl w:val="D200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502C2"/>
    <w:multiLevelType w:val="hybridMultilevel"/>
    <w:tmpl w:val="E6E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E6DDC"/>
    <w:multiLevelType w:val="hybridMultilevel"/>
    <w:tmpl w:val="C7E6779A"/>
    <w:lvl w:ilvl="0" w:tplc="1404633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31F68DA"/>
    <w:multiLevelType w:val="hybridMultilevel"/>
    <w:tmpl w:val="7C8EEDE0"/>
    <w:lvl w:ilvl="0" w:tplc="1404633E">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4C21D3"/>
    <w:multiLevelType w:val="hybridMultilevel"/>
    <w:tmpl w:val="8F1CAC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D32763F"/>
    <w:multiLevelType w:val="hybridMultilevel"/>
    <w:tmpl w:val="25FA31BC"/>
    <w:lvl w:ilvl="0" w:tplc="20E085C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3E5729"/>
    <w:multiLevelType w:val="multilevel"/>
    <w:tmpl w:val="245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B91D6D"/>
    <w:multiLevelType w:val="hybridMultilevel"/>
    <w:tmpl w:val="3902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AF7120"/>
    <w:multiLevelType w:val="hybridMultilevel"/>
    <w:tmpl w:val="AB2C6CF8"/>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A4BAC"/>
    <w:multiLevelType w:val="hybridMultilevel"/>
    <w:tmpl w:val="B54470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55D4FBA"/>
    <w:multiLevelType w:val="hybridMultilevel"/>
    <w:tmpl w:val="95927F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E1F5A"/>
    <w:multiLevelType w:val="multilevel"/>
    <w:tmpl w:val="128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D50DD"/>
    <w:multiLevelType w:val="hybridMultilevel"/>
    <w:tmpl w:val="F17A9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850ED6"/>
    <w:multiLevelType w:val="hybridMultilevel"/>
    <w:tmpl w:val="B0369CF4"/>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3" w15:restartNumberingAfterBreak="0">
    <w:nsid w:val="4C7268AA"/>
    <w:multiLevelType w:val="hybridMultilevel"/>
    <w:tmpl w:val="41A6FD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DE164EA"/>
    <w:multiLevelType w:val="hybridMultilevel"/>
    <w:tmpl w:val="1706BF04"/>
    <w:lvl w:ilvl="0" w:tplc="94EA5C84">
      <w:start w:val="1"/>
      <w:numFmt w:val="decimal"/>
      <w:lvlText w:val="%1."/>
      <w:lvlJc w:val="left"/>
      <w:pPr>
        <w:ind w:left="1211" w:hanging="360"/>
      </w:pPr>
      <w:rPr>
        <w:b w:val="0"/>
        <w:bCs w:val="0"/>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501752B2"/>
    <w:multiLevelType w:val="hybridMultilevel"/>
    <w:tmpl w:val="7CA4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845CEA"/>
    <w:multiLevelType w:val="hybridMultilevel"/>
    <w:tmpl w:val="B1905070"/>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27" w15:restartNumberingAfterBreak="0">
    <w:nsid w:val="5BE07860"/>
    <w:multiLevelType w:val="multilevel"/>
    <w:tmpl w:val="7E7A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17564"/>
    <w:multiLevelType w:val="hybridMultilevel"/>
    <w:tmpl w:val="BB1CD5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99117C"/>
    <w:multiLevelType w:val="multilevel"/>
    <w:tmpl w:val="C7C0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4442A"/>
    <w:multiLevelType w:val="hybridMultilevel"/>
    <w:tmpl w:val="933E14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662069"/>
    <w:multiLevelType w:val="hybridMultilevel"/>
    <w:tmpl w:val="4B824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E75A3D"/>
    <w:multiLevelType w:val="hybridMultilevel"/>
    <w:tmpl w:val="4942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F65493"/>
    <w:multiLevelType w:val="hybridMultilevel"/>
    <w:tmpl w:val="F8DCAD6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7F2623E"/>
    <w:multiLevelType w:val="hybridMultilevel"/>
    <w:tmpl w:val="855A63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626C9"/>
    <w:multiLevelType w:val="hybridMultilevel"/>
    <w:tmpl w:val="6F266C86"/>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36" w15:restartNumberingAfterBreak="0">
    <w:nsid w:val="7F5528CA"/>
    <w:multiLevelType w:val="hybridMultilevel"/>
    <w:tmpl w:val="0A8CF0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4322255">
    <w:abstractNumId w:val="10"/>
  </w:num>
  <w:num w:numId="2" w16cid:durableId="1912617610">
    <w:abstractNumId w:val="26"/>
  </w:num>
  <w:num w:numId="3" w16cid:durableId="350962148">
    <w:abstractNumId w:val="18"/>
  </w:num>
  <w:num w:numId="4" w16cid:durableId="503010244">
    <w:abstractNumId w:val="15"/>
  </w:num>
  <w:num w:numId="5" w16cid:durableId="1676112603">
    <w:abstractNumId w:val="3"/>
  </w:num>
  <w:num w:numId="6" w16cid:durableId="2053530574">
    <w:abstractNumId w:val="8"/>
  </w:num>
  <w:num w:numId="7" w16cid:durableId="1728381055">
    <w:abstractNumId w:val="34"/>
  </w:num>
  <w:num w:numId="8" w16cid:durableId="1230917810">
    <w:abstractNumId w:val="14"/>
  </w:num>
  <w:num w:numId="9" w16cid:durableId="2020110516">
    <w:abstractNumId w:val="2"/>
  </w:num>
  <w:num w:numId="10" w16cid:durableId="1170563093">
    <w:abstractNumId w:val="25"/>
  </w:num>
  <w:num w:numId="11" w16cid:durableId="151147524">
    <w:abstractNumId w:val="29"/>
  </w:num>
  <w:num w:numId="12" w16cid:durableId="713192919">
    <w:abstractNumId w:val="31"/>
  </w:num>
  <w:num w:numId="13" w16cid:durableId="997536492">
    <w:abstractNumId w:val="35"/>
  </w:num>
  <w:num w:numId="14" w16cid:durableId="1245410919">
    <w:abstractNumId w:val="5"/>
  </w:num>
  <w:num w:numId="15" w16cid:durableId="221721999">
    <w:abstractNumId w:val="22"/>
  </w:num>
  <w:num w:numId="16" w16cid:durableId="97869128">
    <w:abstractNumId w:val="0"/>
  </w:num>
  <w:num w:numId="17" w16cid:durableId="2041590745">
    <w:abstractNumId w:val="28"/>
  </w:num>
  <w:num w:numId="18" w16cid:durableId="1546985008">
    <w:abstractNumId w:val="6"/>
  </w:num>
  <w:num w:numId="19" w16cid:durableId="603416814">
    <w:abstractNumId w:val="19"/>
  </w:num>
  <w:num w:numId="20" w16cid:durableId="1809474339">
    <w:abstractNumId w:val="17"/>
  </w:num>
  <w:num w:numId="21" w16cid:durableId="2106338566">
    <w:abstractNumId w:val="1"/>
  </w:num>
  <w:num w:numId="22" w16cid:durableId="1195146805">
    <w:abstractNumId w:val="36"/>
  </w:num>
  <w:num w:numId="23" w16cid:durableId="1357193722">
    <w:abstractNumId w:val="13"/>
  </w:num>
  <w:num w:numId="24" w16cid:durableId="132066566">
    <w:abstractNumId w:val="11"/>
  </w:num>
  <w:num w:numId="25" w16cid:durableId="767895191">
    <w:abstractNumId w:val="12"/>
  </w:num>
  <w:num w:numId="26" w16cid:durableId="1031153178">
    <w:abstractNumId w:val="7"/>
  </w:num>
  <w:num w:numId="27" w16cid:durableId="1805999513">
    <w:abstractNumId w:val="27"/>
  </w:num>
  <w:num w:numId="28" w16cid:durableId="180244889">
    <w:abstractNumId w:val="20"/>
  </w:num>
  <w:num w:numId="29" w16cid:durableId="516580374">
    <w:abstractNumId w:val="9"/>
  </w:num>
  <w:num w:numId="30" w16cid:durableId="1115709432">
    <w:abstractNumId w:val="32"/>
  </w:num>
  <w:num w:numId="31" w16cid:durableId="1321495063">
    <w:abstractNumId w:val="21"/>
  </w:num>
  <w:num w:numId="32" w16cid:durableId="1911888965">
    <w:abstractNumId w:val="30"/>
  </w:num>
  <w:num w:numId="33" w16cid:durableId="485443303">
    <w:abstractNumId w:val="16"/>
  </w:num>
  <w:num w:numId="34" w16cid:durableId="1301157790">
    <w:abstractNumId w:val="23"/>
  </w:num>
  <w:num w:numId="35" w16cid:durableId="1428385716">
    <w:abstractNumId w:val="4"/>
  </w:num>
  <w:num w:numId="36" w16cid:durableId="1463110574">
    <w:abstractNumId w:val="24"/>
  </w:num>
  <w:num w:numId="37" w16cid:durableId="14216347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DE"/>
    <w:rsid w:val="00005532"/>
    <w:rsid w:val="00007B4E"/>
    <w:rsid w:val="00007CAB"/>
    <w:rsid w:val="00010AB4"/>
    <w:rsid w:val="00012ABA"/>
    <w:rsid w:val="00013B1E"/>
    <w:rsid w:val="00014532"/>
    <w:rsid w:val="00017210"/>
    <w:rsid w:val="00017327"/>
    <w:rsid w:val="00017ED2"/>
    <w:rsid w:val="0002106C"/>
    <w:rsid w:val="0002299F"/>
    <w:rsid w:val="00024574"/>
    <w:rsid w:val="00024E05"/>
    <w:rsid w:val="000258DF"/>
    <w:rsid w:val="000273C3"/>
    <w:rsid w:val="00035305"/>
    <w:rsid w:val="000355E4"/>
    <w:rsid w:val="0004348C"/>
    <w:rsid w:val="0004373C"/>
    <w:rsid w:val="0004528C"/>
    <w:rsid w:val="00045662"/>
    <w:rsid w:val="00050925"/>
    <w:rsid w:val="00051B67"/>
    <w:rsid w:val="00053511"/>
    <w:rsid w:val="00056AAC"/>
    <w:rsid w:val="00063CDC"/>
    <w:rsid w:val="000710FB"/>
    <w:rsid w:val="00071EF0"/>
    <w:rsid w:val="000759AA"/>
    <w:rsid w:val="00080A12"/>
    <w:rsid w:val="000852DD"/>
    <w:rsid w:val="00085B39"/>
    <w:rsid w:val="00087A71"/>
    <w:rsid w:val="0009121C"/>
    <w:rsid w:val="0009298B"/>
    <w:rsid w:val="00092F42"/>
    <w:rsid w:val="000A04CB"/>
    <w:rsid w:val="000A1442"/>
    <w:rsid w:val="000A2718"/>
    <w:rsid w:val="000A4896"/>
    <w:rsid w:val="000A6B45"/>
    <w:rsid w:val="000B0202"/>
    <w:rsid w:val="000B099F"/>
    <w:rsid w:val="000B2356"/>
    <w:rsid w:val="000B311C"/>
    <w:rsid w:val="000B478B"/>
    <w:rsid w:val="000B4F4C"/>
    <w:rsid w:val="000C2392"/>
    <w:rsid w:val="000C6170"/>
    <w:rsid w:val="000C6EE3"/>
    <w:rsid w:val="000D2B97"/>
    <w:rsid w:val="000D7D88"/>
    <w:rsid w:val="000E0957"/>
    <w:rsid w:val="000E29CF"/>
    <w:rsid w:val="000E4254"/>
    <w:rsid w:val="000E5BF1"/>
    <w:rsid w:val="000F092F"/>
    <w:rsid w:val="000F105B"/>
    <w:rsid w:val="000F4395"/>
    <w:rsid w:val="001030BA"/>
    <w:rsid w:val="00105ACB"/>
    <w:rsid w:val="00106D5F"/>
    <w:rsid w:val="001121E2"/>
    <w:rsid w:val="00113744"/>
    <w:rsid w:val="00115763"/>
    <w:rsid w:val="00116D6E"/>
    <w:rsid w:val="001170CB"/>
    <w:rsid w:val="001201D4"/>
    <w:rsid w:val="001262A1"/>
    <w:rsid w:val="00126927"/>
    <w:rsid w:val="001312D6"/>
    <w:rsid w:val="00132CC5"/>
    <w:rsid w:val="00146009"/>
    <w:rsid w:val="00154518"/>
    <w:rsid w:val="001551B5"/>
    <w:rsid w:val="00156DF6"/>
    <w:rsid w:val="0015743A"/>
    <w:rsid w:val="00157745"/>
    <w:rsid w:val="0016139C"/>
    <w:rsid w:val="00162930"/>
    <w:rsid w:val="00162BE9"/>
    <w:rsid w:val="00167350"/>
    <w:rsid w:val="00170878"/>
    <w:rsid w:val="00170F0E"/>
    <w:rsid w:val="00171770"/>
    <w:rsid w:val="001746D2"/>
    <w:rsid w:val="001751E6"/>
    <w:rsid w:val="00175AD1"/>
    <w:rsid w:val="00185DE7"/>
    <w:rsid w:val="00186421"/>
    <w:rsid w:val="00191B28"/>
    <w:rsid w:val="0019473B"/>
    <w:rsid w:val="00194ADF"/>
    <w:rsid w:val="00197F89"/>
    <w:rsid w:val="001A1E32"/>
    <w:rsid w:val="001A65FD"/>
    <w:rsid w:val="001A6604"/>
    <w:rsid w:val="001A6C03"/>
    <w:rsid w:val="001B1766"/>
    <w:rsid w:val="001B3843"/>
    <w:rsid w:val="001B48FC"/>
    <w:rsid w:val="001B526E"/>
    <w:rsid w:val="001B6785"/>
    <w:rsid w:val="001B724C"/>
    <w:rsid w:val="001C0163"/>
    <w:rsid w:val="001C195C"/>
    <w:rsid w:val="001C1B61"/>
    <w:rsid w:val="001C4FBF"/>
    <w:rsid w:val="001C69CD"/>
    <w:rsid w:val="001D076A"/>
    <w:rsid w:val="001D0A19"/>
    <w:rsid w:val="001D12B9"/>
    <w:rsid w:val="001D16BF"/>
    <w:rsid w:val="001D1A5D"/>
    <w:rsid w:val="001D4A5B"/>
    <w:rsid w:val="001D65DD"/>
    <w:rsid w:val="001D7F5B"/>
    <w:rsid w:val="001E0356"/>
    <w:rsid w:val="001E0D3E"/>
    <w:rsid w:val="001E13D4"/>
    <w:rsid w:val="001E2085"/>
    <w:rsid w:val="001E355F"/>
    <w:rsid w:val="001E5174"/>
    <w:rsid w:val="001E60F3"/>
    <w:rsid w:val="001E6E55"/>
    <w:rsid w:val="001F0101"/>
    <w:rsid w:val="001F109F"/>
    <w:rsid w:val="001F4596"/>
    <w:rsid w:val="00200723"/>
    <w:rsid w:val="00204288"/>
    <w:rsid w:val="00207E59"/>
    <w:rsid w:val="00210758"/>
    <w:rsid w:val="002110E5"/>
    <w:rsid w:val="002117D4"/>
    <w:rsid w:val="002155C3"/>
    <w:rsid w:val="00215A1C"/>
    <w:rsid w:val="00215FE2"/>
    <w:rsid w:val="00217082"/>
    <w:rsid w:val="002174CB"/>
    <w:rsid w:val="00220224"/>
    <w:rsid w:val="0022107A"/>
    <w:rsid w:val="00224CE1"/>
    <w:rsid w:val="00227F8A"/>
    <w:rsid w:val="002315A7"/>
    <w:rsid w:val="00235F40"/>
    <w:rsid w:val="002366E6"/>
    <w:rsid w:val="0023676A"/>
    <w:rsid w:val="00243FC6"/>
    <w:rsid w:val="00245195"/>
    <w:rsid w:val="00245A25"/>
    <w:rsid w:val="0024759D"/>
    <w:rsid w:val="002507AA"/>
    <w:rsid w:val="00251F64"/>
    <w:rsid w:val="00254382"/>
    <w:rsid w:val="002556DE"/>
    <w:rsid w:val="00260C2B"/>
    <w:rsid w:val="00261904"/>
    <w:rsid w:val="00262800"/>
    <w:rsid w:val="00264AEF"/>
    <w:rsid w:val="00267FAF"/>
    <w:rsid w:val="00273796"/>
    <w:rsid w:val="00273A15"/>
    <w:rsid w:val="00274A4D"/>
    <w:rsid w:val="002762A9"/>
    <w:rsid w:val="0027646E"/>
    <w:rsid w:val="00280315"/>
    <w:rsid w:val="00283693"/>
    <w:rsid w:val="00286A67"/>
    <w:rsid w:val="002902EC"/>
    <w:rsid w:val="002905C8"/>
    <w:rsid w:val="00291A50"/>
    <w:rsid w:val="0029393B"/>
    <w:rsid w:val="00294518"/>
    <w:rsid w:val="002A02FF"/>
    <w:rsid w:val="002A25BE"/>
    <w:rsid w:val="002A5799"/>
    <w:rsid w:val="002B3314"/>
    <w:rsid w:val="002B578F"/>
    <w:rsid w:val="002B687F"/>
    <w:rsid w:val="002C301E"/>
    <w:rsid w:val="002D0991"/>
    <w:rsid w:val="002D2885"/>
    <w:rsid w:val="002D430B"/>
    <w:rsid w:val="002D601A"/>
    <w:rsid w:val="002D6A31"/>
    <w:rsid w:val="002D7101"/>
    <w:rsid w:val="002D761F"/>
    <w:rsid w:val="002D7B4A"/>
    <w:rsid w:val="002E02C0"/>
    <w:rsid w:val="002E1017"/>
    <w:rsid w:val="002E4BC6"/>
    <w:rsid w:val="002E65DC"/>
    <w:rsid w:val="002F20D6"/>
    <w:rsid w:val="002F2FB0"/>
    <w:rsid w:val="002F3181"/>
    <w:rsid w:val="002F56BE"/>
    <w:rsid w:val="002F5BF5"/>
    <w:rsid w:val="00301508"/>
    <w:rsid w:val="0030589C"/>
    <w:rsid w:val="003155A2"/>
    <w:rsid w:val="0032238F"/>
    <w:rsid w:val="00323823"/>
    <w:rsid w:val="003262B6"/>
    <w:rsid w:val="00331E05"/>
    <w:rsid w:val="00331F9C"/>
    <w:rsid w:val="00332A28"/>
    <w:rsid w:val="003334AE"/>
    <w:rsid w:val="00335823"/>
    <w:rsid w:val="0033735F"/>
    <w:rsid w:val="00341A81"/>
    <w:rsid w:val="003422E9"/>
    <w:rsid w:val="00346419"/>
    <w:rsid w:val="00347041"/>
    <w:rsid w:val="003479F4"/>
    <w:rsid w:val="003512A5"/>
    <w:rsid w:val="00351F4A"/>
    <w:rsid w:val="00353560"/>
    <w:rsid w:val="00355520"/>
    <w:rsid w:val="0035554A"/>
    <w:rsid w:val="00356632"/>
    <w:rsid w:val="00356CCB"/>
    <w:rsid w:val="00362059"/>
    <w:rsid w:val="0036224A"/>
    <w:rsid w:val="00363218"/>
    <w:rsid w:val="00364E19"/>
    <w:rsid w:val="00366DED"/>
    <w:rsid w:val="00367971"/>
    <w:rsid w:val="003735CC"/>
    <w:rsid w:val="00375680"/>
    <w:rsid w:val="0037777E"/>
    <w:rsid w:val="0038074F"/>
    <w:rsid w:val="003811CB"/>
    <w:rsid w:val="00381A59"/>
    <w:rsid w:val="003831ED"/>
    <w:rsid w:val="0038374B"/>
    <w:rsid w:val="0038455C"/>
    <w:rsid w:val="00384E64"/>
    <w:rsid w:val="003867F2"/>
    <w:rsid w:val="0038739B"/>
    <w:rsid w:val="00390EAB"/>
    <w:rsid w:val="00391A0B"/>
    <w:rsid w:val="0039203F"/>
    <w:rsid w:val="00392851"/>
    <w:rsid w:val="003A22A0"/>
    <w:rsid w:val="003A6137"/>
    <w:rsid w:val="003A6471"/>
    <w:rsid w:val="003A7784"/>
    <w:rsid w:val="003B48E3"/>
    <w:rsid w:val="003B52E4"/>
    <w:rsid w:val="003B555C"/>
    <w:rsid w:val="003B7799"/>
    <w:rsid w:val="003C1FDB"/>
    <w:rsid w:val="003C4549"/>
    <w:rsid w:val="003C6415"/>
    <w:rsid w:val="003D0979"/>
    <w:rsid w:val="003D4F76"/>
    <w:rsid w:val="003D6C68"/>
    <w:rsid w:val="003D7C84"/>
    <w:rsid w:val="003E1460"/>
    <w:rsid w:val="003E2FF2"/>
    <w:rsid w:val="003E37E7"/>
    <w:rsid w:val="003E7F9E"/>
    <w:rsid w:val="003F0B09"/>
    <w:rsid w:val="003F0E6B"/>
    <w:rsid w:val="003F5039"/>
    <w:rsid w:val="00400898"/>
    <w:rsid w:val="004013F2"/>
    <w:rsid w:val="00401C33"/>
    <w:rsid w:val="0040531E"/>
    <w:rsid w:val="00411729"/>
    <w:rsid w:val="00412F49"/>
    <w:rsid w:val="0042037D"/>
    <w:rsid w:val="0042081B"/>
    <w:rsid w:val="00421F09"/>
    <w:rsid w:val="00424962"/>
    <w:rsid w:val="00430419"/>
    <w:rsid w:val="0044076D"/>
    <w:rsid w:val="004418AF"/>
    <w:rsid w:val="004419FB"/>
    <w:rsid w:val="0044290E"/>
    <w:rsid w:val="0044337C"/>
    <w:rsid w:val="0044394A"/>
    <w:rsid w:val="004454B8"/>
    <w:rsid w:val="0044570D"/>
    <w:rsid w:val="004510DD"/>
    <w:rsid w:val="00451BB2"/>
    <w:rsid w:val="00452DE5"/>
    <w:rsid w:val="00454B74"/>
    <w:rsid w:val="00455CB6"/>
    <w:rsid w:val="00456403"/>
    <w:rsid w:val="00457151"/>
    <w:rsid w:val="0046210F"/>
    <w:rsid w:val="00467B2C"/>
    <w:rsid w:val="00467E96"/>
    <w:rsid w:val="0047041E"/>
    <w:rsid w:val="00471E3D"/>
    <w:rsid w:val="004729EA"/>
    <w:rsid w:val="00475F1D"/>
    <w:rsid w:val="00476DB1"/>
    <w:rsid w:val="00477C98"/>
    <w:rsid w:val="00481C9A"/>
    <w:rsid w:val="00486F92"/>
    <w:rsid w:val="0049136B"/>
    <w:rsid w:val="004916C2"/>
    <w:rsid w:val="00494B8E"/>
    <w:rsid w:val="004A39D6"/>
    <w:rsid w:val="004B1EEF"/>
    <w:rsid w:val="004B39BD"/>
    <w:rsid w:val="004B701F"/>
    <w:rsid w:val="004C3984"/>
    <w:rsid w:val="004C5C79"/>
    <w:rsid w:val="004D1F20"/>
    <w:rsid w:val="004D2CAB"/>
    <w:rsid w:val="004D352E"/>
    <w:rsid w:val="004E101C"/>
    <w:rsid w:val="004E182D"/>
    <w:rsid w:val="004E2730"/>
    <w:rsid w:val="004E441E"/>
    <w:rsid w:val="004E4A7E"/>
    <w:rsid w:val="004F0321"/>
    <w:rsid w:val="004F0C1D"/>
    <w:rsid w:val="004F3C7E"/>
    <w:rsid w:val="00500E4F"/>
    <w:rsid w:val="00502223"/>
    <w:rsid w:val="00502A2B"/>
    <w:rsid w:val="00503F7A"/>
    <w:rsid w:val="00504C4F"/>
    <w:rsid w:val="00505F3B"/>
    <w:rsid w:val="005068AA"/>
    <w:rsid w:val="00513F09"/>
    <w:rsid w:val="00515985"/>
    <w:rsid w:val="00515A9C"/>
    <w:rsid w:val="005161C9"/>
    <w:rsid w:val="00520B4B"/>
    <w:rsid w:val="005238D4"/>
    <w:rsid w:val="005352D6"/>
    <w:rsid w:val="0053651D"/>
    <w:rsid w:val="00540342"/>
    <w:rsid w:val="00542F2A"/>
    <w:rsid w:val="00543200"/>
    <w:rsid w:val="005506B0"/>
    <w:rsid w:val="00553102"/>
    <w:rsid w:val="00556028"/>
    <w:rsid w:val="00556C47"/>
    <w:rsid w:val="00560425"/>
    <w:rsid w:val="005607DA"/>
    <w:rsid w:val="005616C0"/>
    <w:rsid w:val="00561CAD"/>
    <w:rsid w:val="00565741"/>
    <w:rsid w:val="00567053"/>
    <w:rsid w:val="00570392"/>
    <w:rsid w:val="00571F8C"/>
    <w:rsid w:val="005728FF"/>
    <w:rsid w:val="0057318B"/>
    <w:rsid w:val="005733CF"/>
    <w:rsid w:val="0057378B"/>
    <w:rsid w:val="00573AD7"/>
    <w:rsid w:val="005749AC"/>
    <w:rsid w:val="00574A39"/>
    <w:rsid w:val="00574B46"/>
    <w:rsid w:val="0058029E"/>
    <w:rsid w:val="005811E4"/>
    <w:rsid w:val="00583612"/>
    <w:rsid w:val="0058396B"/>
    <w:rsid w:val="00583C6C"/>
    <w:rsid w:val="00590761"/>
    <w:rsid w:val="005962DC"/>
    <w:rsid w:val="005A0542"/>
    <w:rsid w:val="005A309A"/>
    <w:rsid w:val="005A41F8"/>
    <w:rsid w:val="005A4D74"/>
    <w:rsid w:val="005A4DBE"/>
    <w:rsid w:val="005A5833"/>
    <w:rsid w:val="005A5B82"/>
    <w:rsid w:val="005B1850"/>
    <w:rsid w:val="005B1F9C"/>
    <w:rsid w:val="005B4D32"/>
    <w:rsid w:val="005B60D3"/>
    <w:rsid w:val="005B7045"/>
    <w:rsid w:val="005C0077"/>
    <w:rsid w:val="005C181B"/>
    <w:rsid w:val="005C26DC"/>
    <w:rsid w:val="005C442F"/>
    <w:rsid w:val="005C50FC"/>
    <w:rsid w:val="005C59FF"/>
    <w:rsid w:val="005C6B17"/>
    <w:rsid w:val="005D6988"/>
    <w:rsid w:val="005E31D4"/>
    <w:rsid w:val="005E4DCA"/>
    <w:rsid w:val="005F1001"/>
    <w:rsid w:val="005F2D6A"/>
    <w:rsid w:val="005F6FBE"/>
    <w:rsid w:val="005F6FE7"/>
    <w:rsid w:val="00600FD7"/>
    <w:rsid w:val="006015C3"/>
    <w:rsid w:val="006034CA"/>
    <w:rsid w:val="00604939"/>
    <w:rsid w:val="006104F8"/>
    <w:rsid w:val="00610790"/>
    <w:rsid w:val="00611171"/>
    <w:rsid w:val="0061195B"/>
    <w:rsid w:val="00616910"/>
    <w:rsid w:val="00617B33"/>
    <w:rsid w:val="00621283"/>
    <w:rsid w:val="00625700"/>
    <w:rsid w:val="00625F2D"/>
    <w:rsid w:val="0063030D"/>
    <w:rsid w:val="0063083A"/>
    <w:rsid w:val="006378AF"/>
    <w:rsid w:val="0064016A"/>
    <w:rsid w:val="00641952"/>
    <w:rsid w:val="006444BB"/>
    <w:rsid w:val="0064721B"/>
    <w:rsid w:val="00651691"/>
    <w:rsid w:val="00654D9F"/>
    <w:rsid w:val="006600CE"/>
    <w:rsid w:val="00662541"/>
    <w:rsid w:val="00662F2C"/>
    <w:rsid w:val="006714C2"/>
    <w:rsid w:val="00672347"/>
    <w:rsid w:val="00672F57"/>
    <w:rsid w:val="00673C37"/>
    <w:rsid w:val="00675469"/>
    <w:rsid w:val="00676574"/>
    <w:rsid w:val="00677963"/>
    <w:rsid w:val="00687183"/>
    <w:rsid w:val="0069246A"/>
    <w:rsid w:val="00692E6A"/>
    <w:rsid w:val="006953D8"/>
    <w:rsid w:val="00696EED"/>
    <w:rsid w:val="00696F06"/>
    <w:rsid w:val="0069704E"/>
    <w:rsid w:val="00697273"/>
    <w:rsid w:val="006A4E68"/>
    <w:rsid w:val="006B4418"/>
    <w:rsid w:val="006B55E8"/>
    <w:rsid w:val="006B5CAB"/>
    <w:rsid w:val="006B6B15"/>
    <w:rsid w:val="006B6F7E"/>
    <w:rsid w:val="006C0E9F"/>
    <w:rsid w:val="006C2CF8"/>
    <w:rsid w:val="006C3CA5"/>
    <w:rsid w:val="006C4DDC"/>
    <w:rsid w:val="006C52FA"/>
    <w:rsid w:val="006D09AF"/>
    <w:rsid w:val="006D11FA"/>
    <w:rsid w:val="006D32D9"/>
    <w:rsid w:val="006D3368"/>
    <w:rsid w:val="006D3576"/>
    <w:rsid w:val="006D3A94"/>
    <w:rsid w:val="006D65E4"/>
    <w:rsid w:val="006E5009"/>
    <w:rsid w:val="006E62D7"/>
    <w:rsid w:val="006E733E"/>
    <w:rsid w:val="006F50A9"/>
    <w:rsid w:val="006F667B"/>
    <w:rsid w:val="0070002D"/>
    <w:rsid w:val="007006DD"/>
    <w:rsid w:val="007029B2"/>
    <w:rsid w:val="007076A0"/>
    <w:rsid w:val="007077D1"/>
    <w:rsid w:val="00720FA5"/>
    <w:rsid w:val="007223A7"/>
    <w:rsid w:val="00725D67"/>
    <w:rsid w:val="00727E50"/>
    <w:rsid w:val="00730C67"/>
    <w:rsid w:val="00732D0F"/>
    <w:rsid w:val="00734CFE"/>
    <w:rsid w:val="00734D62"/>
    <w:rsid w:val="007452D0"/>
    <w:rsid w:val="0074636C"/>
    <w:rsid w:val="00752864"/>
    <w:rsid w:val="00753C54"/>
    <w:rsid w:val="00756D03"/>
    <w:rsid w:val="007702C3"/>
    <w:rsid w:val="0077044D"/>
    <w:rsid w:val="007716F8"/>
    <w:rsid w:val="007717D4"/>
    <w:rsid w:val="00771B1F"/>
    <w:rsid w:val="00771E61"/>
    <w:rsid w:val="00773FEF"/>
    <w:rsid w:val="00774C3D"/>
    <w:rsid w:val="00775F73"/>
    <w:rsid w:val="007766E8"/>
    <w:rsid w:val="00782076"/>
    <w:rsid w:val="00783DBC"/>
    <w:rsid w:val="00785007"/>
    <w:rsid w:val="00785FA1"/>
    <w:rsid w:val="0078624C"/>
    <w:rsid w:val="00790A5E"/>
    <w:rsid w:val="007919EF"/>
    <w:rsid w:val="007948A7"/>
    <w:rsid w:val="007951E0"/>
    <w:rsid w:val="007975C9"/>
    <w:rsid w:val="007A0708"/>
    <w:rsid w:val="007A0C56"/>
    <w:rsid w:val="007A29F7"/>
    <w:rsid w:val="007A404F"/>
    <w:rsid w:val="007A54AD"/>
    <w:rsid w:val="007A5B52"/>
    <w:rsid w:val="007A5C60"/>
    <w:rsid w:val="007A6058"/>
    <w:rsid w:val="007A6E2E"/>
    <w:rsid w:val="007B04BF"/>
    <w:rsid w:val="007B297C"/>
    <w:rsid w:val="007C24B3"/>
    <w:rsid w:val="007C417F"/>
    <w:rsid w:val="007C4C86"/>
    <w:rsid w:val="007C4F6F"/>
    <w:rsid w:val="007D05D3"/>
    <w:rsid w:val="007D2B2F"/>
    <w:rsid w:val="007D354A"/>
    <w:rsid w:val="007E2B49"/>
    <w:rsid w:val="007E2DE3"/>
    <w:rsid w:val="007E3B88"/>
    <w:rsid w:val="007E449A"/>
    <w:rsid w:val="007E4D82"/>
    <w:rsid w:val="007E5446"/>
    <w:rsid w:val="007E621C"/>
    <w:rsid w:val="007E7D23"/>
    <w:rsid w:val="007F1324"/>
    <w:rsid w:val="007F217F"/>
    <w:rsid w:val="007F29DE"/>
    <w:rsid w:val="007F5952"/>
    <w:rsid w:val="007F680A"/>
    <w:rsid w:val="007F6EC6"/>
    <w:rsid w:val="008004FC"/>
    <w:rsid w:val="0080061B"/>
    <w:rsid w:val="00801975"/>
    <w:rsid w:val="00801EF1"/>
    <w:rsid w:val="00802E8C"/>
    <w:rsid w:val="00807274"/>
    <w:rsid w:val="00812222"/>
    <w:rsid w:val="00813F5D"/>
    <w:rsid w:val="00814108"/>
    <w:rsid w:val="00815095"/>
    <w:rsid w:val="00817AB1"/>
    <w:rsid w:val="00823457"/>
    <w:rsid w:val="008248DC"/>
    <w:rsid w:val="00825CD1"/>
    <w:rsid w:val="00826E57"/>
    <w:rsid w:val="008273B7"/>
    <w:rsid w:val="00834F9A"/>
    <w:rsid w:val="008424C2"/>
    <w:rsid w:val="008461C8"/>
    <w:rsid w:val="008473F6"/>
    <w:rsid w:val="00850022"/>
    <w:rsid w:val="00855FF9"/>
    <w:rsid w:val="00857780"/>
    <w:rsid w:val="00860FDD"/>
    <w:rsid w:val="00861EE2"/>
    <w:rsid w:val="0086681E"/>
    <w:rsid w:val="00867351"/>
    <w:rsid w:val="00870C1C"/>
    <w:rsid w:val="00872393"/>
    <w:rsid w:val="0087558A"/>
    <w:rsid w:val="008758B4"/>
    <w:rsid w:val="00877B5C"/>
    <w:rsid w:val="00886F22"/>
    <w:rsid w:val="0089029D"/>
    <w:rsid w:val="00894B13"/>
    <w:rsid w:val="00895302"/>
    <w:rsid w:val="00895650"/>
    <w:rsid w:val="00896816"/>
    <w:rsid w:val="008A2DC5"/>
    <w:rsid w:val="008A4DC1"/>
    <w:rsid w:val="008A687C"/>
    <w:rsid w:val="008B01FC"/>
    <w:rsid w:val="008B4A70"/>
    <w:rsid w:val="008B5256"/>
    <w:rsid w:val="008B709A"/>
    <w:rsid w:val="008C3213"/>
    <w:rsid w:val="008D0BEC"/>
    <w:rsid w:val="008D0EA3"/>
    <w:rsid w:val="008D3A9E"/>
    <w:rsid w:val="008D432B"/>
    <w:rsid w:val="008D4711"/>
    <w:rsid w:val="008D7B41"/>
    <w:rsid w:val="008E04F5"/>
    <w:rsid w:val="008E594F"/>
    <w:rsid w:val="008E6078"/>
    <w:rsid w:val="008E72EA"/>
    <w:rsid w:val="008E7AE5"/>
    <w:rsid w:val="008F0DE8"/>
    <w:rsid w:val="008F5317"/>
    <w:rsid w:val="008F537D"/>
    <w:rsid w:val="008F6FB5"/>
    <w:rsid w:val="008F713E"/>
    <w:rsid w:val="008F7CF3"/>
    <w:rsid w:val="00901A4B"/>
    <w:rsid w:val="0090290C"/>
    <w:rsid w:val="00907FDC"/>
    <w:rsid w:val="009105A5"/>
    <w:rsid w:val="009110E5"/>
    <w:rsid w:val="009169A7"/>
    <w:rsid w:val="009207C4"/>
    <w:rsid w:val="009228AD"/>
    <w:rsid w:val="00924738"/>
    <w:rsid w:val="00925FD2"/>
    <w:rsid w:val="00933841"/>
    <w:rsid w:val="00936B38"/>
    <w:rsid w:val="00940630"/>
    <w:rsid w:val="00943474"/>
    <w:rsid w:val="009527E8"/>
    <w:rsid w:val="00952C68"/>
    <w:rsid w:val="00960482"/>
    <w:rsid w:val="00960E44"/>
    <w:rsid w:val="00961339"/>
    <w:rsid w:val="009615B2"/>
    <w:rsid w:val="009646F6"/>
    <w:rsid w:val="00965099"/>
    <w:rsid w:val="00965111"/>
    <w:rsid w:val="00967038"/>
    <w:rsid w:val="00971F75"/>
    <w:rsid w:val="00972A31"/>
    <w:rsid w:val="00972BE0"/>
    <w:rsid w:val="00972ED3"/>
    <w:rsid w:val="009864A3"/>
    <w:rsid w:val="00991538"/>
    <w:rsid w:val="00993160"/>
    <w:rsid w:val="00994557"/>
    <w:rsid w:val="0099623C"/>
    <w:rsid w:val="00996CD0"/>
    <w:rsid w:val="00996EF3"/>
    <w:rsid w:val="009A0D4C"/>
    <w:rsid w:val="009A296B"/>
    <w:rsid w:val="009A3181"/>
    <w:rsid w:val="009A4DB2"/>
    <w:rsid w:val="009B0B71"/>
    <w:rsid w:val="009B2BC8"/>
    <w:rsid w:val="009B33EB"/>
    <w:rsid w:val="009B3605"/>
    <w:rsid w:val="009B469C"/>
    <w:rsid w:val="009B53B7"/>
    <w:rsid w:val="009C731C"/>
    <w:rsid w:val="009C770B"/>
    <w:rsid w:val="009D0FAF"/>
    <w:rsid w:val="009D1A36"/>
    <w:rsid w:val="009D3D63"/>
    <w:rsid w:val="009D3DB0"/>
    <w:rsid w:val="009D526C"/>
    <w:rsid w:val="009E0179"/>
    <w:rsid w:val="009E3B2F"/>
    <w:rsid w:val="009F090E"/>
    <w:rsid w:val="009F1623"/>
    <w:rsid w:val="009F378E"/>
    <w:rsid w:val="00A0274A"/>
    <w:rsid w:val="00A0293C"/>
    <w:rsid w:val="00A02CC5"/>
    <w:rsid w:val="00A04D8D"/>
    <w:rsid w:val="00A074AF"/>
    <w:rsid w:val="00A075B5"/>
    <w:rsid w:val="00A109EC"/>
    <w:rsid w:val="00A113A4"/>
    <w:rsid w:val="00A16148"/>
    <w:rsid w:val="00A16255"/>
    <w:rsid w:val="00A22AAC"/>
    <w:rsid w:val="00A23B6F"/>
    <w:rsid w:val="00A32B98"/>
    <w:rsid w:val="00A402B5"/>
    <w:rsid w:val="00A43619"/>
    <w:rsid w:val="00A448D2"/>
    <w:rsid w:val="00A4610A"/>
    <w:rsid w:val="00A52B24"/>
    <w:rsid w:val="00A53221"/>
    <w:rsid w:val="00A539BD"/>
    <w:rsid w:val="00A53A12"/>
    <w:rsid w:val="00A5571E"/>
    <w:rsid w:val="00A57466"/>
    <w:rsid w:val="00A5780C"/>
    <w:rsid w:val="00A60FAB"/>
    <w:rsid w:val="00A67B4C"/>
    <w:rsid w:val="00A73368"/>
    <w:rsid w:val="00A742C6"/>
    <w:rsid w:val="00A77C09"/>
    <w:rsid w:val="00A90170"/>
    <w:rsid w:val="00A954DC"/>
    <w:rsid w:val="00A9751D"/>
    <w:rsid w:val="00AA0C3D"/>
    <w:rsid w:val="00AA31A3"/>
    <w:rsid w:val="00AA4BD8"/>
    <w:rsid w:val="00AA61FC"/>
    <w:rsid w:val="00AA6C01"/>
    <w:rsid w:val="00AA78F9"/>
    <w:rsid w:val="00AB06AA"/>
    <w:rsid w:val="00AB2BA1"/>
    <w:rsid w:val="00AB528F"/>
    <w:rsid w:val="00AB5A3C"/>
    <w:rsid w:val="00AB63A0"/>
    <w:rsid w:val="00AC20F8"/>
    <w:rsid w:val="00AC56F6"/>
    <w:rsid w:val="00AD1DC4"/>
    <w:rsid w:val="00AE0CFF"/>
    <w:rsid w:val="00AE216E"/>
    <w:rsid w:val="00AE50A4"/>
    <w:rsid w:val="00AE6F61"/>
    <w:rsid w:val="00AE7185"/>
    <w:rsid w:val="00AE793A"/>
    <w:rsid w:val="00AF4F01"/>
    <w:rsid w:val="00B06E47"/>
    <w:rsid w:val="00B10B9D"/>
    <w:rsid w:val="00B123CB"/>
    <w:rsid w:val="00B13986"/>
    <w:rsid w:val="00B13F62"/>
    <w:rsid w:val="00B1460E"/>
    <w:rsid w:val="00B152B8"/>
    <w:rsid w:val="00B15D27"/>
    <w:rsid w:val="00B17C00"/>
    <w:rsid w:val="00B216EF"/>
    <w:rsid w:val="00B2337F"/>
    <w:rsid w:val="00B243F1"/>
    <w:rsid w:val="00B251FB"/>
    <w:rsid w:val="00B2524C"/>
    <w:rsid w:val="00B27B1B"/>
    <w:rsid w:val="00B3348E"/>
    <w:rsid w:val="00B34A17"/>
    <w:rsid w:val="00B363FF"/>
    <w:rsid w:val="00B42707"/>
    <w:rsid w:val="00B44808"/>
    <w:rsid w:val="00B449E7"/>
    <w:rsid w:val="00B45AF2"/>
    <w:rsid w:val="00B460EA"/>
    <w:rsid w:val="00B46A95"/>
    <w:rsid w:val="00B51064"/>
    <w:rsid w:val="00B51E21"/>
    <w:rsid w:val="00B52FC2"/>
    <w:rsid w:val="00B5393D"/>
    <w:rsid w:val="00B56E22"/>
    <w:rsid w:val="00B60202"/>
    <w:rsid w:val="00B6068D"/>
    <w:rsid w:val="00B607CD"/>
    <w:rsid w:val="00B611CB"/>
    <w:rsid w:val="00B637A0"/>
    <w:rsid w:val="00B64A27"/>
    <w:rsid w:val="00B73133"/>
    <w:rsid w:val="00B7410E"/>
    <w:rsid w:val="00B762C3"/>
    <w:rsid w:val="00B80703"/>
    <w:rsid w:val="00B81754"/>
    <w:rsid w:val="00B822C2"/>
    <w:rsid w:val="00B83325"/>
    <w:rsid w:val="00B910A2"/>
    <w:rsid w:val="00B93E09"/>
    <w:rsid w:val="00B93F24"/>
    <w:rsid w:val="00B96E2C"/>
    <w:rsid w:val="00B9709C"/>
    <w:rsid w:val="00BA06E4"/>
    <w:rsid w:val="00BA0842"/>
    <w:rsid w:val="00BA0F36"/>
    <w:rsid w:val="00BA3F78"/>
    <w:rsid w:val="00BB237D"/>
    <w:rsid w:val="00BB2EC5"/>
    <w:rsid w:val="00BB356F"/>
    <w:rsid w:val="00BB4241"/>
    <w:rsid w:val="00BC26D8"/>
    <w:rsid w:val="00BC6D9D"/>
    <w:rsid w:val="00BD17FF"/>
    <w:rsid w:val="00BD2358"/>
    <w:rsid w:val="00BD36FC"/>
    <w:rsid w:val="00BD63F6"/>
    <w:rsid w:val="00BD7481"/>
    <w:rsid w:val="00BE27DF"/>
    <w:rsid w:val="00BE2FC4"/>
    <w:rsid w:val="00BE5351"/>
    <w:rsid w:val="00BE7EEF"/>
    <w:rsid w:val="00BF3104"/>
    <w:rsid w:val="00BF3959"/>
    <w:rsid w:val="00BF5ED8"/>
    <w:rsid w:val="00BF6408"/>
    <w:rsid w:val="00BF6E53"/>
    <w:rsid w:val="00BF702F"/>
    <w:rsid w:val="00C01574"/>
    <w:rsid w:val="00C039FA"/>
    <w:rsid w:val="00C0482A"/>
    <w:rsid w:val="00C07D8A"/>
    <w:rsid w:val="00C12FDB"/>
    <w:rsid w:val="00C141D1"/>
    <w:rsid w:val="00C14202"/>
    <w:rsid w:val="00C17336"/>
    <w:rsid w:val="00C24A99"/>
    <w:rsid w:val="00C24ACD"/>
    <w:rsid w:val="00C266C0"/>
    <w:rsid w:val="00C27180"/>
    <w:rsid w:val="00C2772A"/>
    <w:rsid w:val="00C30DC0"/>
    <w:rsid w:val="00C30EF1"/>
    <w:rsid w:val="00C31418"/>
    <w:rsid w:val="00C32DBA"/>
    <w:rsid w:val="00C34050"/>
    <w:rsid w:val="00C354FC"/>
    <w:rsid w:val="00C35F60"/>
    <w:rsid w:val="00C404EF"/>
    <w:rsid w:val="00C41AF8"/>
    <w:rsid w:val="00C437AC"/>
    <w:rsid w:val="00C471FB"/>
    <w:rsid w:val="00C52ABE"/>
    <w:rsid w:val="00C539CC"/>
    <w:rsid w:val="00C5446C"/>
    <w:rsid w:val="00C55336"/>
    <w:rsid w:val="00C60614"/>
    <w:rsid w:val="00C62CC6"/>
    <w:rsid w:val="00C679E3"/>
    <w:rsid w:val="00C71195"/>
    <w:rsid w:val="00C7183F"/>
    <w:rsid w:val="00C722BF"/>
    <w:rsid w:val="00C77117"/>
    <w:rsid w:val="00C77866"/>
    <w:rsid w:val="00C81D24"/>
    <w:rsid w:val="00C82EB7"/>
    <w:rsid w:val="00C8584E"/>
    <w:rsid w:val="00C86B2A"/>
    <w:rsid w:val="00C93710"/>
    <w:rsid w:val="00C95AC7"/>
    <w:rsid w:val="00C97990"/>
    <w:rsid w:val="00CA0AF0"/>
    <w:rsid w:val="00CA3B2B"/>
    <w:rsid w:val="00CA3C3E"/>
    <w:rsid w:val="00CA6972"/>
    <w:rsid w:val="00CA7C2E"/>
    <w:rsid w:val="00CB35B1"/>
    <w:rsid w:val="00CB3F25"/>
    <w:rsid w:val="00CC2257"/>
    <w:rsid w:val="00CC38E6"/>
    <w:rsid w:val="00CE0077"/>
    <w:rsid w:val="00CE10DB"/>
    <w:rsid w:val="00CE1702"/>
    <w:rsid w:val="00CE4A39"/>
    <w:rsid w:val="00CE6B64"/>
    <w:rsid w:val="00CE6D91"/>
    <w:rsid w:val="00CE793C"/>
    <w:rsid w:val="00CF2CD1"/>
    <w:rsid w:val="00CF5081"/>
    <w:rsid w:val="00D03CC5"/>
    <w:rsid w:val="00D042C2"/>
    <w:rsid w:val="00D140D0"/>
    <w:rsid w:val="00D14981"/>
    <w:rsid w:val="00D161C0"/>
    <w:rsid w:val="00D1774F"/>
    <w:rsid w:val="00D20935"/>
    <w:rsid w:val="00D220DA"/>
    <w:rsid w:val="00D224B0"/>
    <w:rsid w:val="00D2474B"/>
    <w:rsid w:val="00D2513F"/>
    <w:rsid w:val="00D252E8"/>
    <w:rsid w:val="00D2794D"/>
    <w:rsid w:val="00D332C5"/>
    <w:rsid w:val="00D41AF8"/>
    <w:rsid w:val="00D422E8"/>
    <w:rsid w:val="00D4481A"/>
    <w:rsid w:val="00D4679E"/>
    <w:rsid w:val="00D467EF"/>
    <w:rsid w:val="00D4747D"/>
    <w:rsid w:val="00D50F6B"/>
    <w:rsid w:val="00D52DDB"/>
    <w:rsid w:val="00D53FDE"/>
    <w:rsid w:val="00D55473"/>
    <w:rsid w:val="00D60CAE"/>
    <w:rsid w:val="00D614BC"/>
    <w:rsid w:val="00D622EB"/>
    <w:rsid w:val="00D63CB1"/>
    <w:rsid w:val="00D679CB"/>
    <w:rsid w:val="00D72DC2"/>
    <w:rsid w:val="00D7439E"/>
    <w:rsid w:val="00D7503E"/>
    <w:rsid w:val="00D754FD"/>
    <w:rsid w:val="00D75968"/>
    <w:rsid w:val="00D83510"/>
    <w:rsid w:val="00D855F0"/>
    <w:rsid w:val="00D86568"/>
    <w:rsid w:val="00D90370"/>
    <w:rsid w:val="00D944A7"/>
    <w:rsid w:val="00D94584"/>
    <w:rsid w:val="00D9558F"/>
    <w:rsid w:val="00DA27DA"/>
    <w:rsid w:val="00DA6101"/>
    <w:rsid w:val="00DB0311"/>
    <w:rsid w:val="00DB03D5"/>
    <w:rsid w:val="00DB3C72"/>
    <w:rsid w:val="00DB3E7A"/>
    <w:rsid w:val="00DC065C"/>
    <w:rsid w:val="00DC078F"/>
    <w:rsid w:val="00DC0E40"/>
    <w:rsid w:val="00DC1CE0"/>
    <w:rsid w:val="00DC33E1"/>
    <w:rsid w:val="00DC4026"/>
    <w:rsid w:val="00DD0F08"/>
    <w:rsid w:val="00DD2388"/>
    <w:rsid w:val="00DE1528"/>
    <w:rsid w:val="00DE41E4"/>
    <w:rsid w:val="00DE78CA"/>
    <w:rsid w:val="00DE7C4A"/>
    <w:rsid w:val="00DF0153"/>
    <w:rsid w:val="00DF19EA"/>
    <w:rsid w:val="00DF2CE1"/>
    <w:rsid w:val="00DF4094"/>
    <w:rsid w:val="00DF5127"/>
    <w:rsid w:val="00DF7E42"/>
    <w:rsid w:val="00E015F9"/>
    <w:rsid w:val="00E030F7"/>
    <w:rsid w:val="00E07801"/>
    <w:rsid w:val="00E114C4"/>
    <w:rsid w:val="00E12233"/>
    <w:rsid w:val="00E12CCF"/>
    <w:rsid w:val="00E142B5"/>
    <w:rsid w:val="00E1621C"/>
    <w:rsid w:val="00E24EFE"/>
    <w:rsid w:val="00E25EF5"/>
    <w:rsid w:val="00E26137"/>
    <w:rsid w:val="00E31852"/>
    <w:rsid w:val="00E31E1F"/>
    <w:rsid w:val="00E32A8D"/>
    <w:rsid w:val="00E330A5"/>
    <w:rsid w:val="00E330FC"/>
    <w:rsid w:val="00E3365B"/>
    <w:rsid w:val="00E353C7"/>
    <w:rsid w:val="00E361CA"/>
    <w:rsid w:val="00E37F5F"/>
    <w:rsid w:val="00E40CB1"/>
    <w:rsid w:val="00E411D1"/>
    <w:rsid w:val="00E43F45"/>
    <w:rsid w:val="00E46A3E"/>
    <w:rsid w:val="00E46E61"/>
    <w:rsid w:val="00E47F68"/>
    <w:rsid w:val="00E522B7"/>
    <w:rsid w:val="00E52987"/>
    <w:rsid w:val="00E531A4"/>
    <w:rsid w:val="00E5747C"/>
    <w:rsid w:val="00E57C48"/>
    <w:rsid w:val="00E6037A"/>
    <w:rsid w:val="00E61EA5"/>
    <w:rsid w:val="00E65CB1"/>
    <w:rsid w:val="00E66257"/>
    <w:rsid w:val="00E66C11"/>
    <w:rsid w:val="00E66D56"/>
    <w:rsid w:val="00E674BF"/>
    <w:rsid w:val="00E734C5"/>
    <w:rsid w:val="00E74EDD"/>
    <w:rsid w:val="00E759CD"/>
    <w:rsid w:val="00E776C5"/>
    <w:rsid w:val="00E85112"/>
    <w:rsid w:val="00E90B5C"/>
    <w:rsid w:val="00E93754"/>
    <w:rsid w:val="00E93A07"/>
    <w:rsid w:val="00E93FFB"/>
    <w:rsid w:val="00E97F82"/>
    <w:rsid w:val="00EA33DB"/>
    <w:rsid w:val="00EA3EDF"/>
    <w:rsid w:val="00EA6150"/>
    <w:rsid w:val="00EB29F0"/>
    <w:rsid w:val="00EC0DF3"/>
    <w:rsid w:val="00EC2AD3"/>
    <w:rsid w:val="00EC2E33"/>
    <w:rsid w:val="00EC3F50"/>
    <w:rsid w:val="00EC46AE"/>
    <w:rsid w:val="00EC5E9A"/>
    <w:rsid w:val="00EC60E8"/>
    <w:rsid w:val="00EC7405"/>
    <w:rsid w:val="00ED05E3"/>
    <w:rsid w:val="00ED4A92"/>
    <w:rsid w:val="00ED5B74"/>
    <w:rsid w:val="00EE1E4E"/>
    <w:rsid w:val="00EE3CA0"/>
    <w:rsid w:val="00EE41E5"/>
    <w:rsid w:val="00EE4D56"/>
    <w:rsid w:val="00EE5134"/>
    <w:rsid w:val="00EE5D14"/>
    <w:rsid w:val="00EE6954"/>
    <w:rsid w:val="00EF1470"/>
    <w:rsid w:val="00EF2378"/>
    <w:rsid w:val="00EF5BAA"/>
    <w:rsid w:val="00F01DD5"/>
    <w:rsid w:val="00F068DC"/>
    <w:rsid w:val="00F115D7"/>
    <w:rsid w:val="00F11FC6"/>
    <w:rsid w:val="00F13024"/>
    <w:rsid w:val="00F13BF1"/>
    <w:rsid w:val="00F14D76"/>
    <w:rsid w:val="00F21DBE"/>
    <w:rsid w:val="00F227C2"/>
    <w:rsid w:val="00F230DC"/>
    <w:rsid w:val="00F24DA8"/>
    <w:rsid w:val="00F250A8"/>
    <w:rsid w:val="00F26E4D"/>
    <w:rsid w:val="00F273AA"/>
    <w:rsid w:val="00F31EAA"/>
    <w:rsid w:val="00F3619D"/>
    <w:rsid w:val="00F364DC"/>
    <w:rsid w:val="00F419EC"/>
    <w:rsid w:val="00F423CB"/>
    <w:rsid w:val="00F437AF"/>
    <w:rsid w:val="00F44769"/>
    <w:rsid w:val="00F4487B"/>
    <w:rsid w:val="00F4544D"/>
    <w:rsid w:val="00F475D9"/>
    <w:rsid w:val="00F47678"/>
    <w:rsid w:val="00F47B36"/>
    <w:rsid w:val="00F505C3"/>
    <w:rsid w:val="00F6088A"/>
    <w:rsid w:val="00F6159A"/>
    <w:rsid w:val="00F62E2B"/>
    <w:rsid w:val="00F64954"/>
    <w:rsid w:val="00F71991"/>
    <w:rsid w:val="00F73FBD"/>
    <w:rsid w:val="00F805F9"/>
    <w:rsid w:val="00F820C6"/>
    <w:rsid w:val="00F82917"/>
    <w:rsid w:val="00F8367B"/>
    <w:rsid w:val="00F87073"/>
    <w:rsid w:val="00F91200"/>
    <w:rsid w:val="00F91C75"/>
    <w:rsid w:val="00F920BE"/>
    <w:rsid w:val="00F9331A"/>
    <w:rsid w:val="00F93732"/>
    <w:rsid w:val="00F94C44"/>
    <w:rsid w:val="00F964D9"/>
    <w:rsid w:val="00F97913"/>
    <w:rsid w:val="00FA0A1D"/>
    <w:rsid w:val="00FA0A95"/>
    <w:rsid w:val="00FA125C"/>
    <w:rsid w:val="00FB0FE1"/>
    <w:rsid w:val="00FB19F1"/>
    <w:rsid w:val="00FB6104"/>
    <w:rsid w:val="00FC0771"/>
    <w:rsid w:val="00FC32D8"/>
    <w:rsid w:val="00FC3B56"/>
    <w:rsid w:val="00FC5BCF"/>
    <w:rsid w:val="00FD25D4"/>
    <w:rsid w:val="00FD2A1F"/>
    <w:rsid w:val="00FD3A90"/>
    <w:rsid w:val="00FD4EE3"/>
    <w:rsid w:val="00FD7D99"/>
    <w:rsid w:val="00FE234B"/>
    <w:rsid w:val="00FE34E6"/>
    <w:rsid w:val="00FE4D85"/>
    <w:rsid w:val="00FE505E"/>
    <w:rsid w:val="00FE50BC"/>
    <w:rsid w:val="00FF0AF9"/>
    <w:rsid w:val="00FF0DE9"/>
    <w:rsid w:val="00FF1E45"/>
    <w:rsid w:val="00FF6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47B6"/>
  <w15:docId w15:val="{598F34B9-3632-415E-9C92-BDF01A81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0E4F"/>
    <w:pPr>
      <w:ind w:left="284"/>
    </w:pPr>
    <w:rPr>
      <w:rFonts w:ascii="Arial" w:eastAsia="Arial" w:hAnsi="Arial" w:cs="Arial"/>
      <w:lang w:val="en-AU"/>
    </w:rPr>
  </w:style>
  <w:style w:type="paragraph" w:styleId="Heading1">
    <w:name w:val="heading 1"/>
    <w:basedOn w:val="Normal"/>
    <w:uiPriority w:val="1"/>
    <w:qFormat/>
    <w:rsid w:val="00DF7E42"/>
    <w:pPr>
      <w:spacing w:before="94"/>
      <w:ind w:left="302"/>
      <w:outlineLvl w:val="0"/>
    </w:pPr>
    <w:rPr>
      <w:b/>
      <w:bCs/>
      <w:sz w:val="28"/>
      <w:szCs w:val="28"/>
    </w:rPr>
  </w:style>
  <w:style w:type="paragraph" w:styleId="Heading2">
    <w:name w:val="heading 2"/>
    <w:basedOn w:val="Normal"/>
    <w:next w:val="Normal"/>
    <w:link w:val="Heading2Char"/>
    <w:autoRedefine/>
    <w:uiPriority w:val="9"/>
    <w:unhideWhenUsed/>
    <w:qFormat/>
    <w:rsid w:val="00170F0E"/>
    <w:pPr>
      <w:keepNext/>
      <w:keepLines/>
      <w:widowControl/>
      <w:autoSpaceDE/>
      <w:autoSpaceDN/>
      <w:spacing w:before="40"/>
      <w:outlineLvl w:val="1"/>
    </w:pPr>
    <w:rPr>
      <w:rFonts w:eastAsiaTheme="majorEastAsia" w:cstheme="majorBidi"/>
      <w:b/>
      <w:color w:val="1178A2"/>
      <w:sz w:val="24"/>
      <w:szCs w:val="24"/>
      <w:lang w:eastAsia="en-AU"/>
    </w:rPr>
  </w:style>
  <w:style w:type="paragraph" w:styleId="Heading3">
    <w:name w:val="heading 3"/>
    <w:basedOn w:val="Normal"/>
    <w:next w:val="Normal"/>
    <w:link w:val="Heading3Char"/>
    <w:uiPriority w:val="9"/>
    <w:unhideWhenUsed/>
    <w:qFormat/>
    <w:rsid w:val="00A113A4"/>
    <w:pPr>
      <w:keepNext/>
      <w:keepLines/>
      <w:spacing w:before="40"/>
      <w:outlineLvl w:val="2"/>
    </w:pPr>
    <w:rPr>
      <w:rFonts w:eastAsiaTheme="majorEastAsia"/>
      <w:b/>
      <w:bCs/>
    </w:rPr>
  </w:style>
  <w:style w:type="paragraph" w:styleId="Heading4">
    <w:name w:val="heading 4"/>
    <w:basedOn w:val="Normal"/>
    <w:next w:val="Normal"/>
    <w:link w:val="Heading4Char"/>
    <w:uiPriority w:val="9"/>
    <w:unhideWhenUsed/>
    <w:qFormat/>
    <w:rsid w:val="00F73F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aliases w:val="List Paragraph1,Recommendation,NFP GP Bulleted List,Bullet table,Body text,Bulletr List Paragraph,Use Case List Paragraph,lp1,Figure_name,Numbered Indented Text,Bullet- First level,List NUmber,Listenabsatz1,List Paragraph11,Style 2,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11E4"/>
    <w:pPr>
      <w:tabs>
        <w:tab w:val="center" w:pos="4513"/>
        <w:tab w:val="right" w:pos="9026"/>
      </w:tabs>
    </w:pPr>
  </w:style>
  <w:style w:type="character" w:customStyle="1" w:styleId="HeaderChar">
    <w:name w:val="Header Char"/>
    <w:basedOn w:val="DefaultParagraphFont"/>
    <w:link w:val="Header"/>
    <w:uiPriority w:val="99"/>
    <w:rsid w:val="005811E4"/>
    <w:rPr>
      <w:rFonts w:ascii="Arial" w:eastAsia="Arial" w:hAnsi="Arial" w:cs="Arial"/>
    </w:rPr>
  </w:style>
  <w:style w:type="paragraph" w:styleId="Footer">
    <w:name w:val="footer"/>
    <w:basedOn w:val="Normal"/>
    <w:link w:val="FooterChar"/>
    <w:uiPriority w:val="99"/>
    <w:unhideWhenUsed/>
    <w:rsid w:val="005811E4"/>
    <w:pPr>
      <w:tabs>
        <w:tab w:val="center" w:pos="4513"/>
        <w:tab w:val="right" w:pos="9026"/>
      </w:tabs>
    </w:pPr>
  </w:style>
  <w:style w:type="character" w:customStyle="1" w:styleId="FooterChar">
    <w:name w:val="Footer Char"/>
    <w:basedOn w:val="DefaultParagraphFont"/>
    <w:link w:val="Footer"/>
    <w:uiPriority w:val="99"/>
    <w:rsid w:val="005811E4"/>
    <w:rPr>
      <w:rFonts w:ascii="Arial" w:eastAsia="Arial" w:hAnsi="Arial" w:cs="Arial"/>
    </w:rPr>
  </w:style>
  <w:style w:type="character" w:styleId="Hyperlink">
    <w:name w:val="Hyperlink"/>
    <w:basedOn w:val="DefaultParagraphFont"/>
    <w:uiPriority w:val="99"/>
    <w:unhideWhenUsed/>
    <w:rsid w:val="00600FD7"/>
    <w:rPr>
      <w:color w:val="0000FF" w:themeColor="hyperlink"/>
      <w:u w:val="single"/>
    </w:rPr>
  </w:style>
  <w:style w:type="paragraph" w:styleId="NormalWeb">
    <w:name w:val="Normal (Web)"/>
    <w:basedOn w:val="Normal"/>
    <w:uiPriority w:val="99"/>
    <w:semiHidden/>
    <w:unhideWhenUsed/>
    <w:rsid w:val="00783DBC"/>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styleId="Emphasis">
    <w:name w:val="Emphasis"/>
    <w:basedOn w:val="DefaultParagraphFont"/>
    <w:uiPriority w:val="20"/>
    <w:qFormat/>
    <w:rsid w:val="00783DBC"/>
    <w:rPr>
      <w:i/>
      <w:iCs/>
    </w:rPr>
  </w:style>
  <w:style w:type="character" w:styleId="FollowedHyperlink">
    <w:name w:val="FollowedHyperlink"/>
    <w:basedOn w:val="DefaultParagraphFont"/>
    <w:uiPriority w:val="99"/>
    <w:semiHidden/>
    <w:unhideWhenUsed/>
    <w:rsid w:val="00783DBC"/>
    <w:rPr>
      <w:color w:val="800080" w:themeColor="followedHyperlink"/>
      <w:u w:val="single"/>
    </w:rPr>
  </w:style>
  <w:style w:type="paragraph" w:styleId="EndnoteText">
    <w:name w:val="endnote text"/>
    <w:basedOn w:val="Normal"/>
    <w:link w:val="EndnoteTextChar"/>
    <w:autoRedefine/>
    <w:uiPriority w:val="98"/>
    <w:unhideWhenUsed/>
    <w:rsid w:val="006B6F7E"/>
    <w:pPr>
      <w:spacing w:after="60" w:line="360" w:lineRule="auto"/>
      <w:contextualSpacing/>
    </w:pPr>
    <w:rPr>
      <w:sz w:val="16"/>
      <w:szCs w:val="20"/>
    </w:rPr>
  </w:style>
  <w:style w:type="character" w:customStyle="1" w:styleId="EndnoteTextChar">
    <w:name w:val="Endnote Text Char"/>
    <w:basedOn w:val="DefaultParagraphFont"/>
    <w:link w:val="EndnoteText"/>
    <w:uiPriority w:val="98"/>
    <w:rsid w:val="006B6F7E"/>
    <w:rPr>
      <w:rFonts w:ascii="Arial" w:eastAsia="Arial" w:hAnsi="Arial" w:cs="Arial"/>
      <w:sz w:val="16"/>
      <w:szCs w:val="20"/>
      <w:lang w:val="en-AU"/>
    </w:rPr>
  </w:style>
  <w:style w:type="character" w:styleId="EndnoteReference">
    <w:name w:val="endnote reference"/>
    <w:basedOn w:val="DefaultParagraphFont"/>
    <w:uiPriority w:val="98"/>
    <w:semiHidden/>
    <w:unhideWhenUsed/>
    <w:rsid w:val="00696F06"/>
    <w:rPr>
      <w:vertAlign w:val="superscript"/>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unhideWhenUsed/>
    <w:rsid w:val="00430419"/>
    <w:rPr>
      <w:sz w:val="20"/>
      <w:szCs w:val="20"/>
    </w:rPr>
  </w:style>
  <w:style w:type="character" w:customStyle="1" w:styleId="CommentTextChar">
    <w:name w:val="Comment Text Char"/>
    <w:basedOn w:val="DefaultParagraphFont"/>
    <w:link w:val="CommentText"/>
    <w:uiPriority w:val="99"/>
    <w:rsid w:val="004304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rFonts w:ascii="Arial" w:eastAsia="Arial" w:hAnsi="Arial" w:cs="Arial"/>
      <w:b/>
      <w:bCs/>
      <w:sz w:val="20"/>
      <w:szCs w:val="20"/>
    </w:rPr>
  </w:style>
  <w:style w:type="paragraph" w:styleId="Revision">
    <w:name w:val="Revision"/>
    <w:hidden/>
    <w:uiPriority w:val="99"/>
    <w:semiHidden/>
    <w:rsid w:val="0043041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30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19"/>
    <w:rPr>
      <w:rFonts w:ascii="Segoe UI" w:eastAsia="Arial" w:hAnsi="Segoe UI" w:cs="Segoe UI"/>
      <w:sz w:val="18"/>
      <w:szCs w:val="18"/>
    </w:rPr>
  </w:style>
  <w:style w:type="character" w:customStyle="1" w:styleId="BodyTextChar">
    <w:name w:val="Body Text Char"/>
    <w:basedOn w:val="DefaultParagraphFont"/>
    <w:link w:val="BodyText"/>
    <w:uiPriority w:val="1"/>
    <w:rsid w:val="00A57466"/>
    <w:rPr>
      <w:rFonts w:ascii="Arial" w:eastAsia="Arial" w:hAnsi="Arial" w:cs="Arial"/>
      <w:sz w:val="21"/>
      <w:szCs w:val="21"/>
    </w:rPr>
  </w:style>
  <w:style w:type="paragraph" w:styleId="FootnoteText">
    <w:name w:val="footnote text"/>
    <w:basedOn w:val="Normal"/>
    <w:link w:val="FootnoteTextChar"/>
    <w:uiPriority w:val="99"/>
    <w:semiHidden/>
    <w:unhideWhenUsed/>
    <w:rsid w:val="00B2524C"/>
    <w:rPr>
      <w:sz w:val="20"/>
      <w:szCs w:val="20"/>
    </w:rPr>
  </w:style>
  <w:style w:type="character" w:customStyle="1" w:styleId="FootnoteTextChar">
    <w:name w:val="Footnote Text Char"/>
    <w:basedOn w:val="DefaultParagraphFont"/>
    <w:link w:val="FootnoteText"/>
    <w:uiPriority w:val="99"/>
    <w:semiHidden/>
    <w:rsid w:val="00B2524C"/>
    <w:rPr>
      <w:rFonts w:ascii="Arial" w:eastAsia="Arial" w:hAnsi="Arial" w:cs="Arial"/>
      <w:sz w:val="20"/>
      <w:szCs w:val="20"/>
    </w:rPr>
  </w:style>
  <w:style w:type="character" w:styleId="FootnoteReference">
    <w:name w:val="footnote reference"/>
    <w:basedOn w:val="DefaultParagraphFont"/>
    <w:uiPriority w:val="99"/>
    <w:semiHidden/>
    <w:unhideWhenUsed/>
    <w:rsid w:val="00B2524C"/>
    <w:rPr>
      <w:vertAlign w:val="superscript"/>
    </w:rPr>
  </w:style>
  <w:style w:type="character" w:customStyle="1" w:styleId="Heading4Char">
    <w:name w:val="Heading 4 Char"/>
    <w:basedOn w:val="DefaultParagraphFont"/>
    <w:link w:val="Heading4"/>
    <w:uiPriority w:val="9"/>
    <w:rsid w:val="00F73FB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1 Char,Recommendation Char,NFP GP Bulleted List Char,Bullet table Char,Body text Char,Bulletr List Paragraph Char,Use Case List Paragraph Char,lp1 Char,Figure_name Char,Numbered Indented Text Char,List NUmber Char"/>
    <w:basedOn w:val="DefaultParagraphFont"/>
    <w:link w:val="ListParagraph"/>
    <w:uiPriority w:val="34"/>
    <w:qFormat/>
    <w:locked/>
    <w:rsid w:val="00E47F68"/>
    <w:rPr>
      <w:rFonts w:ascii="Arial" w:eastAsia="Arial" w:hAnsi="Arial" w:cs="Arial"/>
    </w:rPr>
  </w:style>
  <w:style w:type="character" w:customStyle="1" w:styleId="visually-hidden">
    <w:name w:val="visually-hidden"/>
    <w:basedOn w:val="DefaultParagraphFont"/>
    <w:rsid w:val="00A77C09"/>
  </w:style>
  <w:style w:type="character" w:customStyle="1" w:styleId="Heading3Char">
    <w:name w:val="Heading 3 Char"/>
    <w:basedOn w:val="DefaultParagraphFont"/>
    <w:link w:val="Heading3"/>
    <w:uiPriority w:val="9"/>
    <w:rsid w:val="00A113A4"/>
    <w:rPr>
      <w:rFonts w:ascii="Arial" w:eastAsiaTheme="majorEastAsia" w:hAnsi="Arial" w:cs="Arial"/>
      <w:b/>
      <w:bCs/>
      <w:lang w:val="en-AU"/>
    </w:rPr>
  </w:style>
  <w:style w:type="paragraph" w:customStyle="1" w:styleId="Default">
    <w:name w:val="Default"/>
    <w:rsid w:val="008D7B41"/>
    <w:pPr>
      <w:widowControl/>
      <w:adjustRightInd w:val="0"/>
    </w:pPr>
    <w:rPr>
      <w:rFonts w:ascii="Arial" w:eastAsia="Times New Roman" w:hAnsi="Arial" w:cs="Arial"/>
      <w:color w:val="000000"/>
      <w:sz w:val="24"/>
      <w:szCs w:val="24"/>
      <w:lang w:val="en-AU" w:eastAsia="en-AU"/>
    </w:rPr>
  </w:style>
  <w:style w:type="character" w:customStyle="1" w:styleId="Blue">
    <w:name w:val="Blue"/>
    <w:basedOn w:val="DefaultParagraphFont"/>
    <w:uiPriority w:val="1"/>
    <w:rsid w:val="00F62E2B"/>
    <w:rPr>
      <w:color w:val="002060"/>
    </w:rPr>
  </w:style>
  <w:style w:type="character" w:styleId="UnresolvedMention">
    <w:name w:val="Unresolved Mention"/>
    <w:basedOn w:val="DefaultParagraphFont"/>
    <w:uiPriority w:val="99"/>
    <w:semiHidden/>
    <w:unhideWhenUsed/>
    <w:rsid w:val="00F62E2B"/>
    <w:rPr>
      <w:color w:val="605E5C"/>
      <w:shd w:val="clear" w:color="auto" w:fill="E1DFDD"/>
    </w:rPr>
  </w:style>
  <w:style w:type="table" w:styleId="TableGrid">
    <w:name w:val="Table Grid"/>
    <w:aliases w:val="Commission"/>
    <w:basedOn w:val="TableNormal"/>
    <w:uiPriority w:val="39"/>
    <w:rsid w:val="00F62E2B"/>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B363F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13">
    <w:name w:val="Pa13"/>
    <w:basedOn w:val="Default"/>
    <w:next w:val="Default"/>
    <w:uiPriority w:val="99"/>
    <w:rsid w:val="005962DC"/>
    <w:pPr>
      <w:spacing w:line="241" w:lineRule="atLeast"/>
    </w:pPr>
    <w:rPr>
      <w:rFonts w:ascii="Proxima Nova" w:eastAsiaTheme="minorHAnsi" w:hAnsi="Proxima Nova" w:cstheme="minorBidi"/>
      <w:color w:val="auto"/>
      <w:lang w:eastAsia="en-US"/>
    </w:rPr>
  </w:style>
  <w:style w:type="paragraph" w:customStyle="1" w:styleId="Pa6">
    <w:name w:val="Pa6"/>
    <w:basedOn w:val="Default"/>
    <w:next w:val="Default"/>
    <w:uiPriority w:val="99"/>
    <w:rsid w:val="005962DC"/>
    <w:pPr>
      <w:spacing w:line="191" w:lineRule="atLeast"/>
    </w:pPr>
    <w:rPr>
      <w:rFonts w:ascii="Proxima Nova" w:eastAsiaTheme="minorHAnsi" w:hAnsi="Proxima Nova" w:cstheme="minorBidi"/>
      <w:color w:val="auto"/>
      <w:lang w:eastAsia="en-US"/>
    </w:rPr>
  </w:style>
  <w:style w:type="character" w:customStyle="1" w:styleId="A6">
    <w:name w:val="A6"/>
    <w:uiPriority w:val="99"/>
    <w:rsid w:val="005962DC"/>
    <w:rPr>
      <w:rFonts w:ascii="VMRKOW+ZapfDingbatsITC" w:eastAsia="VMRKOW+ZapfDingbatsITC" w:cs="VMRKOW+ZapfDingbatsITC"/>
      <w:color w:val="000000"/>
      <w:sz w:val="10"/>
      <w:szCs w:val="10"/>
    </w:rPr>
  </w:style>
  <w:style w:type="paragraph" w:customStyle="1" w:styleId="Pa7">
    <w:name w:val="Pa7"/>
    <w:basedOn w:val="Default"/>
    <w:next w:val="Default"/>
    <w:uiPriority w:val="99"/>
    <w:rsid w:val="005962DC"/>
    <w:pPr>
      <w:spacing w:line="191" w:lineRule="atLeast"/>
    </w:pPr>
    <w:rPr>
      <w:rFonts w:ascii="Proxima Nova" w:eastAsiaTheme="minorHAnsi" w:hAnsi="Proxima Nova" w:cstheme="minorBidi"/>
      <w:color w:val="auto"/>
      <w:lang w:eastAsia="en-US"/>
    </w:rPr>
  </w:style>
  <w:style w:type="character" w:customStyle="1" w:styleId="A8">
    <w:name w:val="A8"/>
    <w:uiPriority w:val="99"/>
    <w:rsid w:val="005962DC"/>
    <w:rPr>
      <w:rFonts w:ascii="TGCYMA+ZapfDingbatsITC" w:eastAsia="TGCYMA+ZapfDingbatsITC" w:cs="TGCYMA+ZapfDingbatsITC"/>
      <w:color w:val="000000"/>
      <w:sz w:val="10"/>
      <w:szCs w:val="10"/>
    </w:rPr>
  </w:style>
  <w:style w:type="character" w:customStyle="1" w:styleId="Heading2Char">
    <w:name w:val="Heading 2 Char"/>
    <w:basedOn w:val="DefaultParagraphFont"/>
    <w:link w:val="Heading2"/>
    <w:uiPriority w:val="9"/>
    <w:rsid w:val="00170F0E"/>
    <w:rPr>
      <w:rFonts w:ascii="Arial" w:eastAsiaTheme="majorEastAsia" w:hAnsi="Arial" w:cstheme="majorBidi"/>
      <w:b/>
      <w:color w:val="1178A2"/>
      <w:sz w:val="24"/>
      <w:szCs w:val="24"/>
      <w:lang w:val="en-AU" w:eastAsia="en-AU"/>
    </w:rPr>
  </w:style>
  <w:style w:type="character" w:styleId="Strong">
    <w:name w:val="Strong"/>
    <w:basedOn w:val="DefaultParagraphFont"/>
    <w:uiPriority w:val="22"/>
    <w:qFormat/>
    <w:rsid w:val="00A113A4"/>
    <w:rPr>
      <w:b/>
      <w:bCs/>
    </w:rPr>
  </w:style>
  <w:style w:type="paragraph" w:styleId="NoSpacing">
    <w:name w:val="No Spacing"/>
    <w:uiPriority w:val="1"/>
    <w:qFormat/>
    <w:rsid w:val="0074636C"/>
    <w:rPr>
      <w:rFonts w:ascii="Arial" w:eastAsia="Arial" w:hAnsi="Arial" w:cs="Arial"/>
    </w:rPr>
  </w:style>
  <w:style w:type="character" w:customStyle="1" w:styleId="cf11">
    <w:name w:val="cf11"/>
    <w:basedOn w:val="DefaultParagraphFont"/>
    <w:rsid w:val="00294518"/>
    <w:rPr>
      <w:rFonts w:ascii="Segoe UI" w:hAnsi="Segoe UI" w:cs="Segoe UI" w:hint="default"/>
      <w:b/>
      <w:bCs/>
      <w:sz w:val="18"/>
      <w:szCs w:val="18"/>
    </w:rPr>
  </w:style>
  <w:style w:type="character" w:customStyle="1" w:styleId="A15">
    <w:name w:val="A15"/>
    <w:uiPriority w:val="99"/>
    <w:rsid w:val="00AE50A4"/>
    <w:rPr>
      <w:rFonts w:cs="Open Sans"/>
      <w:color w:val="000000"/>
      <w:sz w:val="16"/>
      <w:szCs w:val="16"/>
    </w:rPr>
  </w:style>
  <w:style w:type="paragraph" w:customStyle="1" w:styleId="Pa32">
    <w:name w:val="Pa32"/>
    <w:basedOn w:val="Default"/>
    <w:next w:val="Default"/>
    <w:uiPriority w:val="99"/>
    <w:rsid w:val="006B6F7E"/>
    <w:pPr>
      <w:spacing w:line="191" w:lineRule="atLeast"/>
    </w:pPr>
    <w:rPr>
      <w:rFonts w:ascii="Open Sans SemiBold" w:eastAsiaTheme="minorHAnsi" w:hAnsi="Open Sans SemiBold" w:cs="Times New Roman"/>
      <w:color w:val="auto"/>
      <w:lang w:eastAsia="en-US"/>
    </w:rPr>
  </w:style>
  <w:style w:type="character" w:customStyle="1" w:styleId="A4">
    <w:name w:val="A4"/>
    <w:uiPriority w:val="99"/>
    <w:rsid w:val="006B6F7E"/>
    <w:rPr>
      <w:rFonts w:cs="Open Sans SemiBold"/>
      <w:b/>
      <w:bCs/>
      <w:color w:val="000000"/>
      <w:sz w:val="19"/>
      <w:szCs w:val="19"/>
      <w:u w:val="single"/>
    </w:rPr>
  </w:style>
  <w:style w:type="character" w:customStyle="1" w:styleId="A18">
    <w:name w:val="A18"/>
    <w:uiPriority w:val="99"/>
    <w:rsid w:val="006B6F7E"/>
    <w:rPr>
      <w:rFonts w:ascii="Open Sans" w:hAnsi="Open Sans" w:cs="Open San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452">
      <w:bodyDiv w:val="1"/>
      <w:marLeft w:val="0"/>
      <w:marRight w:val="0"/>
      <w:marTop w:val="0"/>
      <w:marBottom w:val="0"/>
      <w:divBdr>
        <w:top w:val="none" w:sz="0" w:space="0" w:color="auto"/>
        <w:left w:val="none" w:sz="0" w:space="0" w:color="auto"/>
        <w:bottom w:val="none" w:sz="0" w:space="0" w:color="auto"/>
        <w:right w:val="none" w:sz="0" w:space="0" w:color="auto"/>
      </w:divBdr>
    </w:div>
    <w:div w:id="52627870">
      <w:bodyDiv w:val="1"/>
      <w:marLeft w:val="0"/>
      <w:marRight w:val="0"/>
      <w:marTop w:val="0"/>
      <w:marBottom w:val="0"/>
      <w:divBdr>
        <w:top w:val="none" w:sz="0" w:space="0" w:color="auto"/>
        <w:left w:val="none" w:sz="0" w:space="0" w:color="auto"/>
        <w:bottom w:val="none" w:sz="0" w:space="0" w:color="auto"/>
        <w:right w:val="none" w:sz="0" w:space="0" w:color="auto"/>
      </w:divBdr>
    </w:div>
    <w:div w:id="228687780">
      <w:bodyDiv w:val="1"/>
      <w:marLeft w:val="0"/>
      <w:marRight w:val="0"/>
      <w:marTop w:val="0"/>
      <w:marBottom w:val="0"/>
      <w:divBdr>
        <w:top w:val="none" w:sz="0" w:space="0" w:color="auto"/>
        <w:left w:val="none" w:sz="0" w:space="0" w:color="auto"/>
        <w:bottom w:val="none" w:sz="0" w:space="0" w:color="auto"/>
        <w:right w:val="none" w:sz="0" w:space="0" w:color="auto"/>
      </w:divBdr>
    </w:div>
    <w:div w:id="239293631">
      <w:bodyDiv w:val="1"/>
      <w:marLeft w:val="0"/>
      <w:marRight w:val="0"/>
      <w:marTop w:val="0"/>
      <w:marBottom w:val="0"/>
      <w:divBdr>
        <w:top w:val="none" w:sz="0" w:space="0" w:color="auto"/>
        <w:left w:val="none" w:sz="0" w:space="0" w:color="auto"/>
        <w:bottom w:val="none" w:sz="0" w:space="0" w:color="auto"/>
        <w:right w:val="none" w:sz="0" w:space="0" w:color="auto"/>
      </w:divBdr>
    </w:div>
    <w:div w:id="256330991">
      <w:bodyDiv w:val="1"/>
      <w:marLeft w:val="0"/>
      <w:marRight w:val="0"/>
      <w:marTop w:val="0"/>
      <w:marBottom w:val="0"/>
      <w:divBdr>
        <w:top w:val="none" w:sz="0" w:space="0" w:color="auto"/>
        <w:left w:val="none" w:sz="0" w:space="0" w:color="auto"/>
        <w:bottom w:val="none" w:sz="0" w:space="0" w:color="auto"/>
        <w:right w:val="none" w:sz="0" w:space="0" w:color="auto"/>
      </w:divBdr>
    </w:div>
    <w:div w:id="439573011">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527911742">
      <w:bodyDiv w:val="1"/>
      <w:marLeft w:val="0"/>
      <w:marRight w:val="0"/>
      <w:marTop w:val="0"/>
      <w:marBottom w:val="0"/>
      <w:divBdr>
        <w:top w:val="none" w:sz="0" w:space="0" w:color="auto"/>
        <w:left w:val="none" w:sz="0" w:space="0" w:color="auto"/>
        <w:bottom w:val="none" w:sz="0" w:space="0" w:color="auto"/>
        <w:right w:val="none" w:sz="0" w:space="0" w:color="auto"/>
      </w:divBdr>
    </w:div>
    <w:div w:id="743644990">
      <w:bodyDiv w:val="1"/>
      <w:marLeft w:val="0"/>
      <w:marRight w:val="0"/>
      <w:marTop w:val="0"/>
      <w:marBottom w:val="0"/>
      <w:divBdr>
        <w:top w:val="none" w:sz="0" w:space="0" w:color="auto"/>
        <w:left w:val="none" w:sz="0" w:space="0" w:color="auto"/>
        <w:bottom w:val="none" w:sz="0" w:space="0" w:color="auto"/>
        <w:right w:val="none" w:sz="0" w:space="0" w:color="auto"/>
      </w:divBdr>
    </w:div>
    <w:div w:id="746421623">
      <w:bodyDiv w:val="1"/>
      <w:marLeft w:val="0"/>
      <w:marRight w:val="0"/>
      <w:marTop w:val="0"/>
      <w:marBottom w:val="0"/>
      <w:divBdr>
        <w:top w:val="none" w:sz="0" w:space="0" w:color="auto"/>
        <w:left w:val="none" w:sz="0" w:space="0" w:color="auto"/>
        <w:bottom w:val="none" w:sz="0" w:space="0" w:color="auto"/>
        <w:right w:val="none" w:sz="0" w:space="0" w:color="auto"/>
      </w:divBdr>
    </w:div>
    <w:div w:id="748424467">
      <w:bodyDiv w:val="1"/>
      <w:marLeft w:val="0"/>
      <w:marRight w:val="0"/>
      <w:marTop w:val="0"/>
      <w:marBottom w:val="0"/>
      <w:divBdr>
        <w:top w:val="none" w:sz="0" w:space="0" w:color="auto"/>
        <w:left w:val="none" w:sz="0" w:space="0" w:color="auto"/>
        <w:bottom w:val="none" w:sz="0" w:space="0" w:color="auto"/>
        <w:right w:val="none" w:sz="0" w:space="0" w:color="auto"/>
      </w:divBdr>
    </w:div>
    <w:div w:id="820345174">
      <w:bodyDiv w:val="1"/>
      <w:marLeft w:val="0"/>
      <w:marRight w:val="0"/>
      <w:marTop w:val="0"/>
      <w:marBottom w:val="0"/>
      <w:divBdr>
        <w:top w:val="none" w:sz="0" w:space="0" w:color="auto"/>
        <w:left w:val="none" w:sz="0" w:space="0" w:color="auto"/>
        <w:bottom w:val="none" w:sz="0" w:space="0" w:color="auto"/>
        <w:right w:val="none" w:sz="0" w:space="0" w:color="auto"/>
      </w:divBdr>
    </w:div>
    <w:div w:id="830026256">
      <w:bodyDiv w:val="1"/>
      <w:marLeft w:val="0"/>
      <w:marRight w:val="0"/>
      <w:marTop w:val="0"/>
      <w:marBottom w:val="0"/>
      <w:divBdr>
        <w:top w:val="none" w:sz="0" w:space="0" w:color="auto"/>
        <w:left w:val="none" w:sz="0" w:space="0" w:color="auto"/>
        <w:bottom w:val="none" w:sz="0" w:space="0" w:color="auto"/>
        <w:right w:val="none" w:sz="0" w:space="0" w:color="auto"/>
      </w:divBdr>
    </w:div>
    <w:div w:id="1059862698">
      <w:bodyDiv w:val="1"/>
      <w:marLeft w:val="0"/>
      <w:marRight w:val="0"/>
      <w:marTop w:val="0"/>
      <w:marBottom w:val="0"/>
      <w:divBdr>
        <w:top w:val="none" w:sz="0" w:space="0" w:color="auto"/>
        <w:left w:val="none" w:sz="0" w:space="0" w:color="auto"/>
        <w:bottom w:val="none" w:sz="0" w:space="0" w:color="auto"/>
        <w:right w:val="none" w:sz="0" w:space="0" w:color="auto"/>
      </w:divBdr>
    </w:div>
    <w:div w:id="1135023380">
      <w:bodyDiv w:val="1"/>
      <w:marLeft w:val="0"/>
      <w:marRight w:val="0"/>
      <w:marTop w:val="0"/>
      <w:marBottom w:val="0"/>
      <w:divBdr>
        <w:top w:val="none" w:sz="0" w:space="0" w:color="auto"/>
        <w:left w:val="none" w:sz="0" w:space="0" w:color="auto"/>
        <w:bottom w:val="none" w:sz="0" w:space="0" w:color="auto"/>
        <w:right w:val="none" w:sz="0" w:space="0" w:color="auto"/>
      </w:divBdr>
    </w:div>
    <w:div w:id="1198547825">
      <w:bodyDiv w:val="1"/>
      <w:marLeft w:val="0"/>
      <w:marRight w:val="0"/>
      <w:marTop w:val="0"/>
      <w:marBottom w:val="0"/>
      <w:divBdr>
        <w:top w:val="none" w:sz="0" w:space="0" w:color="auto"/>
        <w:left w:val="none" w:sz="0" w:space="0" w:color="auto"/>
        <w:bottom w:val="none" w:sz="0" w:space="0" w:color="auto"/>
        <w:right w:val="none" w:sz="0" w:space="0" w:color="auto"/>
      </w:divBdr>
    </w:div>
    <w:div w:id="1274943995">
      <w:bodyDiv w:val="1"/>
      <w:marLeft w:val="0"/>
      <w:marRight w:val="0"/>
      <w:marTop w:val="0"/>
      <w:marBottom w:val="0"/>
      <w:divBdr>
        <w:top w:val="none" w:sz="0" w:space="0" w:color="auto"/>
        <w:left w:val="none" w:sz="0" w:space="0" w:color="auto"/>
        <w:bottom w:val="none" w:sz="0" w:space="0" w:color="auto"/>
        <w:right w:val="none" w:sz="0" w:space="0" w:color="auto"/>
      </w:divBdr>
    </w:div>
    <w:div w:id="1384066111">
      <w:bodyDiv w:val="1"/>
      <w:marLeft w:val="0"/>
      <w:marRight w:val="0"/>
      <w:marTop w:val="0"/>
      <w:marBottom w:val="0"/>
      <w:divBdr>
        <w:top w:val="none" w:sz="0" w:space="0" w:color="auto"/>
        <w:left w:val="none" w:sz="0" w:space="0" w:color="auto"/>
        <w:bottom w:val="none" w:sz="0" w:space="0" w:color="auto"/>
        <w:right w:val="none" w:sz="0" w:space="0" w:color="auto"/>
      </w:divBdr>
    </w:div>
    <w:div w:id="1530531150">
      <w:bodyDiv w:val="1"/>
      <w:marLeft w:val="0"/>
      <w:marRight w:val="0"/>
      <w:marTop w:val="0"/>
      <w:marBottom w:val="0"/>
      <w:divBdr>
        <w:top w:val="none" w:sz="0" w:space="0" w:color="auto"/>
        <w:left w:val="none" w:sz="0" w:space="0" w:color="auto"/>
        <w:bottom w:val="none" w:sz="0" w:space="0" w:color="auto"/>
        <w:right w:val="none" w:sz="0" w:space="0" w:color="auto"/>
      </w:divBdr>
    </w:div>
    <w:div w:id="1653174131">
      <w:bodyDiv w:val="1"/>
      <w:marLeft w:val="0"/>
      <w:marRight w:val="0"/>
      <w:marTop w:val="0"/>
      <w:marBottom w:val="0"/>
      <w:divBdr>
        <w:top w:val="none" w:sz="0" w:space="0" w:color="auto"/>
        <w:left w:val="none" w:sz="0" w:space="0" w:color="auto"/>
        <w:bottom w:val="none" w:sz="0" w:space="0" w:color="auto"/>
        <w:right w:val="none" w:sz="0" w:space="0" w:color="auto"/>
      </w:divBdr>
    </w:div>
    <w:div w:id="1808740612">
      <w:bodyDiv w:val="1"/>
      <w:marLeft w:val="0"/>
      <w:marRight w:val="0"/>
      <w:marTop w:val="0"/>
      <w:marBottom w:val="0"/>
      <w:divBdr>
        <w:top w:val="none" w:sz="0" w:space="0" w:color="auto"/>
        <w:left w:val="none" w:sz="0" w:space="0" w:color="auto"/>
        <w:bottom w:val="none" w:sz="0" w:space="0" w:color="auto"/>
        <w:right w:val="none" w:sz="0" w:space="0" w:color="auto"/>
      </w:divBdr>
    </w:div>
    <w:div w:id="1814323581">
      <w:bodyDiv w:val="1"/>
      <w:marLeft w:val="0"/>
      <w:marRight w:val="0"/>
      <w:marTop w:val="0"/>
      <w:marBottom w:val="0"/>
      <w:divBdr>
        <w:top w:val="none" w:sz="0" w:space="0" w:color="auto"/>
        <w:left w:val="none" w:sz="0" w:space="0" w:color="auto"/>
        <w:bottom w:val="none" w:sz="0" w:space="0" w:color="auto"/>
        <w:right w:val="none" w:sz="0" w:space="0" w:color="auto"/>
      </w:divBdr>
    </w:div>
    <w:div w:id="1908682161">
      <w:bodyDiv w:val="1"/>
      <w:marLeft w:val="0"/>
      <w:marRight w:val="0"/>
      <w:marTop w:val="0"/>
      <w:marBottom w:val="0"/>
      <w:divBdr>
        <w:top w:val="none" w:sz="0" w:space="0" w:color="auto"/>
        <w:left w:val="none" w:sz="0" w:space="0" w:color="auto"/>
        <w:bottom w:val="none" w:sz="0" w:space="0" w:color="auto"/>
        <w:right w:val="none" w:sz="0" w:space="0" w:color="auto"/>
      </w:divBdr>
    </w:div>
    <w:div w:id="2001540409">
      <w:bodyDiv w:val="1"/>
      <w:marLeft w:val="0"/>
      <w:marRight w:val="0"/>
      <w:marTop w:val="0"/>
      <w:marBottom w:val="0"/>
      <w:divBdr>
        <w:top w:val="none" w:sz="0" w:space="0" w:color="auto"/>
        <w:left w:val="none" w:sz="0" w:space="0" w:color="auto"/>
        <w:bottom w:val="none" w:sz="0" w:space="0" w:color="auto"/>
        <w:right w:val="none" w:sz="0" w:space="0" w:color="auto"/>
      </w:divBdr>
    </w:div>
    <w:div w:id="2039624078">
      <w:bodyDiv w:val="1"/>
      <w:marLeft w:val="0"/>
      <w:marRight w:val="0"/>
      <w:marTop w:val="0"/>
      <w:marBottom w:val="0"/>
      <w:divBdr>
        <w:top w:val="none" w:sz="0" w:space="0" w:color="auto"/>
        <w:left w:val="none" w:sz="0" w:space="0" w:color="auto"/>
        <w:bottom w:val="none" w:sz="0" w:space="0" w:color="auto"/>
        <w:right w:val="none" w:sz="0" w:space="0" w:color="auto"/>
      </w:divBdr>
    </w:div>
    <w:div w:id="2080057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le.boland@safetyandquality.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psychotropics-c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fetyandquality.gov.au/newsroom/media-releases/joint-statement-inappropriate-use-psychotropic-medicines-manage-behaviours-people-disability-and-older-peop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aihw.gov.au/mental-health/topic-areas/mental-health-prescriptions" TargetMode="External"/><Relationship Id="rId7" Type="http://schemas.openxmlformats.org/officeDocument/2006/relationships/hyperlink" Target="https://www.health.gov.au/resources/publications/types-of-restrictive-practices" TargetMode="External"/><Relationship Id="rId2" Type="http://schemas.openxmlformats.org/officeDocument/2006/relationships/hyperlink" Target="https://www.dementia.org.au/about-dementia/dementia-facts-and-figures" TargetMode="External"/><Relationship Id="rId1" Type="http://schemas.openxmlformats.org/officeDocument/2006/relationships/hyperlink" Target="https://www.health.gov.au/ministers/the-hon-ged-kearney-mp/media/national-centre-to-improve-health-outcomes-for-people-with-intellectual-disability" TargetMode="External"/><Relationship Id="rId6" Type="http://schemas.openxmlformats.org/officeDocument/2006/relationships/hyperlink" Target="https://pubmed.ncbi.nlm.nih.gov/37240494/" TargetMode="External"/><Relationship Id="rId5" Type="http://schemas.openxmlformats.org/officeDocument/2006/relationships/hyperlink" Target="https://www.aihw.gov.au/reports/dementia/dementia-in-aus/contents/health-services-used-by-people-with-dementia/antipsychotics-and-other-medications" TargetMode="External"/><Relationship Id="rId4" Type="http://schemas.openxmlformats.org/officeDocument/2006/relationships/hyperlink" Target="https://pubmed.ncbi.nlm.nih.gov/3045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79E3-2E8F-454E-A136-7559ADB2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6</Pages>
  <Words>1880</Words>
  <Characters>11299</Characters>
  <Application>Microsoft Office Word</Application>
  <DocSecurity>0</DocSecurity>
  <Lines>217</Lines>
  <Paragraphs>67</Paragraphs>
  <ScaleCrop>false</ScaleCrop>
  <HeadingPairs>
    <vt:vector size="2" baseType="variant">
      <vt:variant>
        <vt:lpstr>Title</vt:lpstr>
      </vt:variant>
      <vt:variant>
        <vt:i4>1</vt:i4>
      </vt:variant>
    </vt:vector>
  </HeadingPairs>
  <TitlesOfParts>
    <vt:vector size="1" baseType="lpstr">
      <vt:lpstr>Media release final version</vt:lpstr>
    </vt:vector>
  </TitlesOfParts>
  <Company>Department of Health</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final version</dc:title>
  <dc:subject/>
  <dc:creator>Jackson, Angela</dc:creator>
  <cp:keywords/>
  <dc:description/>
  <cp:lastModifiedBy>JESSOP, Tommy</cp:lastModifiedBy>
  <cp:revision>141</cp:revision>
  <cp:lastPrinted>2023-11-09T04:54:00Z</cp:lastPrinted>
  <dcterms:created xsi:type="dcterms:W3CDTF">2024-03-06T02:39:00Z</dcterms:created>
  <dcterms:modified xsi:type="dcterms:W3CDTF">2024-05-08T07:06:00Z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19 for Word</vt:lpwstr>
  </property>
  <property fmtid="{D5CDD505-2E9C-101B-9397-08002B2CF9AE}" pid="4" name="LastSaved">
    <vt:filetime>2019-10-29T00:00:00Z</vt:filetime>
  </property>
</Properties>
</file>