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8A4CD" w14:textId="77777777" w:rsidR="00BF7EB4" w:rsidRDefault="00BF7EB4" w:rsidP="00BC07E4">
      <w:pPr>
        <w:rPr>
          <w:rFonts w:eastAsiaTheme="majorEastAsia"/>
          <w:sz w:val="18"/>
          <w:szCs w:val="18"/>
        </w:rPr>
      </w:pPr>
    </w:p>
    <w:p w14:paraId="68D62A4B" w14:textId="6CB2F9CE" w:rsidR="00733632" w:rsidRPr="00733632" w:rsidRDefault="00733632" w:rsidP="00733632">
      <w:pPr>
        <w:pStyle w:val="Subheading"/>
        <w:rPr>
          <w:rFonts w:ascii="Arial Bold" w:eastAsiaTheme="majorEastAsia" w:hAnsi="Arial Bold" w:cstheme="majorBidi"/>
          <w:b/>
          <w:bCs/>
          <w:color w:val="0A4A63"/>
          <w:kern w:val="28"/>
          <w:sz w:val="56"/>
          <w:szCs w:val="56"/>
          <w:lang w:val="en-GB"/>
        </w:rPr>
      </w:pPr>
      <w:r w:rsidRPr="00733632">
        <w:rPr>
          <w:rFonts w:ascii="Arial Bold" w:eastAsiaTheme="majorEastAsia" w:hAnsi="Arial Bold" w:cstheme="majorBidi"/>
          <w:b/>
          <w:bCs/>
          <w:color w:val="0A4A63"/>
          <w:kern w:val="28"/>
          <w:sz w:val="56"/>
          <w:szCs w:val="56"/>
          <w:lang w:val="en-GB"/>
        </w:rPr>
        <w:t>Australian Safety and Quality Medical Imaging Accreditation Scheme</w:t>
      </w:r>
    </w:p>
    <w:p w14:paraId="15B50B85" w14:textId="264CA048" w:rsidR="00996B73" w:rsidRPr="00996B73" w:rsidRDefault="00996B73" w:rsidP="00996B73">
      <w:pPr>
        <w:rPr>
          <w:b/>
          <w:bCs/>
          <w:sz w:val="36"/>
          <w:szCs w:val="36"/>
          <w:lang w:val="en-GB"/>
        </w:rPr>
      </w:pPr>
      <w:bookmarkStart w:id="0" w:name="_Toc476822633"/>
      <w:bookmarkStart w:id="1" w:name="_Toc476822654"/>
      <w:bookmarkStart w:id="2" w:name="_Toc476822854"/>
      <w:bookmarkStart w:id="3" w:name="_Toc476823158"/>
      <w:bookmarkStart w:id="4" w:name="_Toc476823667"/>
      <w:r w:rsidRPr="00996B73">
        <w:rPr>
          <w:bCs/>
          <w:sz w:val="36"/>
          <w:szCs w:val="36"/>
          <w:lang w:val="en-GB"/>
        </w:rPr>
        <w:t>Consultation Paper</w:t>
      </w:r>
    </w:p>
    <w:bookmarkEnd w:id="0"/>
    <w:bookmarkEnd w:id="1"/>
    <w:bookmarkEnd w:id="2"/>
    <w:bookmarkEnd w:id="3"/>
    <w:bookmarkEnd w:id="4"/>
    <w:p w14:paraId="0FC64C3D" w14:textId="77777777" w:rsidR="00BF7EB4" w:rsidRPr="00223198" w:rsidRDefault="00BF7EB4" w:rsidP="001B2E17">
      <w:pPr>
        <w:pStyle w:val="Heading2"/>
        <w:rPr>
          <w:color w:val="005370"/>
        </w:rPr>
      </w:pPr>
      <w:r w:rsidRPr="00223198">
        <w:rPr>
          <w:color w:val="005370"/>
        </w:rPr>
        <w:t>Introduction</w:t>
      </w:r>
    </w:p>
    <w:p w14:paraId="08837B55" w14:textId="77777777" w:rsidR="002417CB" w:rsidRPr="00824B85" w:rsidRDefault="002417CB" w:rsidP="002417CB">
      <w:pPr>
        <w:rPr>
          <w:rFonts w:ascii="Arial" w:hAnsi="Arial" w:cs="Arial"/>
        </w:rPr>
      </w:pPr>
      <w:bookmarkStart w:id="5" w:name="_Toc476822634"/>
      <w:bookmarkStart w:id="6" w:name="_Toc476822655"/>
      <w:bookmarkStart w:id="7" w:name="_Toc476822855"/>
      <w:bookmarkStart w:id="8" w:name="_Toc476823159"/>
      <w:bookmarkStart w:id="9" w:name="_Toc476823668"/>
      <w:r>
        <w:rPr>
          <w:rFonts w:ascii="Arial" w:hAnsi="Arial" w:cs="Arial"/>
        </w:rPr>
        <w:t>Since</w:t>
      </w:r>
      <w:r w:rsidRPr="00824B85">
        <w:rPr>
          <w:rFonts w:ascii="Arial" w:hAnsi="Arial" w:cs="Arial"/>
        </w:rPr>
        <w:t xml:space="preserve"> 2008, the Diagnostic Imaging Accreditation Scheme (DIAS) has been the mechanism by which the Australian Government Department of Health and Aged Care ensures medical imaging practices accessing public funding programs are providing safe and high-quality services.</w:t>
      </w:r>
    </w:p>
    <w:p w14:paraId="371F0FC5" w14:textId="77777777" w:rsidR="002417CB" w:rsidRPr="00824B85" w:rsidRDefault="002417CB" w:rsidP="002417CB">
      <w:pPr>
        <w:rPr>
          <w:rFonts w:ascii="Arial" w:hAnsi="Arial" w:cs="Arial"/>
        </w:rPr>
      </w:pPr>
      <w:r w:rsidRPr="00824B85">
        <w:rPr>
          <w:rFonts w:ascii="Arial" w:hAnsi="Arial" w:cs="Arial"/>
        </w:rPr>
        <w:t xml:space="preserve">To support the introduction of a revised set of standards for medical imaging the Commission is proposing changes to the accreditation of imaging practices. Reasons for these changes include: </w:t>
      </w:r>
    </w:p>
    <w:p w14:paraId="3DACD2A1" w14:textId="77777777" w:rsidR="002417CB" w:rsidRPr="00824B85" w:rsidRDefault="002417CB" w:rsidP="002417CB">
      <w:pPr>
        <w:pStyle w:val="ListParagraph"/>
        <w:numPr>
          <w:ilvl w:val="0"/>
          <w:numId w:val="25"/>
        </w:numPr>
        <w:spacing w:after="120" w:line="240" w:lineRule="auto"/>
        <w:ind w:left="714" w:hanging="357"/>
        <w:contextualSpacing w:val="0"/>
        <w:rPr>
          <w:rFonts w:ascii="Arial" w:hAnsi="Arial" w:cs="Arial"/>
        </w:rPr>
      </w:pPr>
      <w:r w:rsidRPr="00824B85">
        <w:rPr>
          <w:rFonts w:ascii="Arial" w:hAnsi="Arial" w:cs="Arial"/>
        </w:rPr>
        <w:t xml:space="preserve">The current paper-based desktop assessment methodology is not robust </w:t>
      </w:r>
      <w:r>
        <w:rPr>
          <w:rFonts w:ascii="Arial" w:hAnsi="Arial" w:cs="Arial"/>
        </w:rPr>
        <w:t xml:space="preserve">and does not </w:t>
      </w:r>
      <w:r w:rsidRPr="00824B85">
        <w:rPr>
          <w:rFonts w:ascii="Arial" w:hAnsi="Arial" w:cs="Arial"/>
        </w:rPr>
        <w:t>achieve the Departme</w:t>
      </w:r>
      <w:r w:rsidRPr="00824B85">
        <w:rPr>
          <w:rFonts w:ascii="Arial" w:hAnsi="Arial" w:cs="Arial"/>
          <w:color w:val="000000" w:themeColor="text1"/>
        </w:rPr>
        <w:t>nt’s aim</w:t>
      </w:r>
      <w:r w:rsidRPr="00824B85">
        <w:rPr>
          <w:rFonts w:ascii="Arial" w:hAnsi="Arial" w:cs="Arial"/>
        </w:rPr>
        <w:t xml:space="preserve"> of assuring the provision of safe, high-quality services</w:t>
      </w:r>
    </w:p>
    <w:p w14:paraId="2A195111" w14:textId="77777777" w:rsidR="002417CB" w:rsidRPr="00824B85" w:rsidRDefault="002417CB" w:rsidP="002417CB">
      <w:pPr>
        <w:pStyle w:val="ListParagraph"/>
        <w:numPr>
          <w:ilvl w:val="0"/>
          <w:numId w:val="25"/>
        </w:numPr>
        <w:spacing w:after="120" w:line="240" w:lineRule="auto"/>
        <w:ind w:left="714" w:hanging="357"/>
        <w:contextualSpacing w:val="0"/>
        <w:rPr>
          <w:rFonts w:ascii="Arial" w:hAnsi="Arial" w:cs="Arial"/>
        </w:rPr>
      </w:pPr>
      <w:r w:rsidRPr="00824B85">
        <w:rPr>
          <w:rFonts w:ascii="Arial" w:hAnsi="Arial" w:cs="Arial"/>
        </w:rPr>
        <w:t>It is not possible to effectively assess the new National Safety and Quality Medical Imaging (NSQMI) Standards using desktop audit.</w:t>
      </w:r>
    </w:p>
    <w:p w14:paraId="2847C634" w14:textId="77777777" w:rsidR="002417CB" w:rsidRPr="00824B85" w:rsidRDefault="002417CB" w:rsidP="002417CB">
      <w:pPr>
        <w:pStyle w:val="ListParagraph"/>
        <w:numPr>
          <w:ilvl w:val="0"/>
          <w:numId w:val="25"/>
        </w:numPr>
        <w:spacing w:after="120" w:line="240" w:lineRule="auto"/>
        <w:ind w:left="714" w:hanging="357"/>
        <w:contextualSpacing w:val="0"/>
        <w:rPr>
          <w:rFonts w:ascii="Arial" w:hAnsi="Arial" w:cs="Arial"/>
        </w:rPr>
      </w:pPr>
      <w:r w:rsidRPr="00824B85">
        <w:rPr>
          <w:rFonts w:ascii="Arial" w:hAnsi="Arial" w:cs="Arial"/>
        </w:rPr>
        <w:t>Desktop audits create unnecessary administrative burden on medical imaging practices as they rely on generating documentation that is not associated with patient care.</w:t>
      </w:r>
    </w:p>
    <w:p w14:paraId="648B883D" w14:textId="77777777" w:rsidR="002417CB" w:rsidRPr="00824B85" w:rsidRDefault="002417CB" w:rsidP="002417CB">
      <w:pPr>
        <w:pStyle w:val="ListParagraph"/>
        <w:numPr>
          <w:ilvl w:val="0"/>
          <w:numId w:val="25"/>
        </w:numPr>
        <w:spacing w:after="120" w:line="240" w:lineRule="auto"/>
        <w:ind w:left="714" w:hanging="357"/>
        <w:contextualSpacing w:val="0"/>
        <w:rPr>
          <w:rFonts w:ascii="Arial" w:hAnsi="Arial" w:cs="Arial"/>
        </w:rPr>
      </w:pPr>
      <w:r w:rsidRPr="00824B85">
        <w:rPr>
          <w:rFonts w:ascii="Arial" w:hAnsi="Arial" w:cs="Arial"/>
        </w:rPr>
        <w:t xml:space="preserve">Some medical imaging practices are accredited to multiple sets of standards, increasing their </w:t>
      </w:r>
      <w:r>
        <w:rPr>
          <w:rFonts w:ascii="Arial" w:hAnsi="Arial" w:cs="Arial"/>
        </w:rPr>
        <w:t>administrative</w:t>
      </w:r>
      <w:r w:rsidRPr="00824B85">
        <w:rPr>
          <w:rFonts w:ascii="Arial" w:hAnsi="Arial" w:cs="Arial"/>
        </w:rPr>
        <w:t xml:space="preserve"> burden. </w:t>
      </w:r>
      <w:r>
        <w:rPr>
          <w:rFonts w:ascii="Arial" w:hAnsi="Arial" w:cs="Arial"/>
        </w:rPr>
        <w:t>A</w:t>
      </w:r>
      <w:r w:rsidRPr="00824B85">
        <w:rPr>
          <w:rFonts w:ascii="Arial" w:hAnsi="Arial" w:cs="Arial"/>
        </w:rPr>
        <w:t xml:space="preserve"> </w:t>
      </w:r>
      <w:r>
        <w:rPr>
          <w:rFonts w:ascii="Arial" w:hAnsi="Arial" w:cs="Arial"/>
        </w:rPr>
        <w:t>revised scheme</w:t>
      </w:r>
      <w:r w:rsidRPr="00824B85">
        <w:rPr>
          <w:rFonts w:ascii="Arial" w:hAnsi="Arial" w:cs="Arial"/>
        </w:rPr>
        <w:t xml:space="preserve"> provide</w:t>
      </w:r>
      <w:r>
        <w:rPr>
          <w:rFonts w:ascii="Arial" w:hAnsi="Arial" w:cs="Arial"/>
        </w:rPr>
        <w:t>s</w:t>
      </w:r>
      <w:r w:rsidRPr="00824B85">
        <w:rPr>
          <w:rFonts w:ascii="Arial" w:hAnsi="Arial" w:cs="Arial"/>
        </w:rPr>
        <w:t xml:space="preserve"> an opportunity to </w:t>
      </w:r>
      <w:r>
        <w:rPr>
          <w:rFonts w:ascii="Arial" w:hAnsi="Arial" w:cs="Arial"/>
        </w:rPr>
        <w:t xml:space="preserve">remove duplication and focus on quality improvement.  </w:t>
      </w:r>
    </w:p>
    <w:p w14:paraId="57F673B6" w14:textId="77777777" w:rsidR="002417CB" w:rsidRPr="00824B85" w:rsidRDefault="002417CB" w:rsidP="002417CB">
      <w:pPr>
        <w:pStyle w:val="ListParagraph"/>
        <w:numPr>
          <w:ilvl w:val="0"/>
          <w:numId w:val="25"/>
        </w:numPr>
        <w:spacing w:before="120" w:after="120" w:line="240" w:lineRule="auto"/>
        <w:ind w:left="714" w:hanging="357"/>
        <w:contextualSpacing w:val="0"/>
        <w:rPr>
          <w:rFonts w:ascii="Arial" w:hAnsi="Arial" w:cs="Arial"/>
        </w:rPr>
      </w:pPr>
      <w:r w:rsidRPr="00824B85">
        <w:rPr>
          <w:rFonts w:ascii="Arial" w:hAnsi="Arial" w:cs="Arial"/>
        </w:rPr>
        <w:t xml:space="preserve">External assessments can drive quality improvement. Imaging practices that provide safe, high-quality services are more effective businesses, resulting in fewer complaints, better staff retention and better patient outcomes. </w:t>
      </w:r>
    </w:p>
    <w:bookmarkEnd w:id="5"/>
    <w:bookmarkEnd w:id="6"/>
    <w:bookmarkEnd w:id="7"/>
    <w:bookmarkEnd w:id="8"/>
    <w:bookmarkEnd w:id="9"/>
    <w:p w14:paraId="30322E6F" w14:textId="0AB06E22" w:rsidR="00CB733F" w:rsidRPr="00223198" w:rsidRDefault="00ED49FD" w:rsidP="009424A5">
      <w:pPr>
        <w:pStyle w:val="Heading2"/>
        <w:rPr>
          <w:color w:val="005370"/>
        </w:rPr>
      </w:pPr>
      <w:r w:rsidRPr="00223198">
        <w:rPr>
          <w:color w:val="005370"/>
        </w:rPr>
        <w:t>Accreditation cycle</w:t>
      </w:r>
    </w:p>
    <w:p w14:paraId="12C4FB7D" w14:textId="77777777" w:rsidR="003E01A8" w:rsidRDefault="003E01A8" w:rsidP="003E01A8">
      <w:pPr>
        <w:rPr>
          <w:rFonts w:ascii="Arial" w:hAnsi="Arial" w:cs="Arial"/>
        </w:rPr>
      </w:pPr>
      <w:bookmarkStart w:id="10" w:name="_Toc476822635"/>
      <w:bookmarkStart w:id="11" w:name="_Toc476822656"/>
      <w:bookmarkStart w:id="12" w:name="_Toc476822856"/>
      <w:bookmarkStart w:id="13" w:name="_Toc476823669"/>
      <w:r w:rsidRPr="00824B85">
        <w:rPr>
          <w:rFonts w:ascii="Arial" w:hAnsi="Arial" w:cs="Arial"/>
        </w:rPr>
        <w:t xml:space="preserve">The proposed accreditation cycle will be 3 years. In a three-year cycle there is generally one assessment per accreditation cycle. Where the assessment is four years or longer, there is usually an additional review required to ensure ongoing maintenance of standards over the cycle. </w:t>
      </w:r>
    </w:p>
    <w:p w14:paraId="64517AD9" w14:textId="1028B798" w:rsidR="00F84D14" w:rsidRPr="00223198" w:rsidRDefault="00F84D14" w:rsidP="00F84D14">
      <w:pPr>
        <w:pStyle w:val="Heading2"/>
        <w:rPr>
          <w:color w:val="005370"/>
        </w:rPr>
      </w:pPr>
      <w:r w:rsidRPr="00223198">
        <w:rPr>
          <w:color w:val="005370"/>
        </w:rPr>
        <w:lastRenderedPageBreak/>
        <w:t>Notification of Assessments</w:t>
      </w:r>
    </w:p>
    <w:p w14:paraId="24E2B984" w14:textId="706A8B6C" w:rsidR="00F84D14" w:rsidRDefault="00F84D14" w:rsidP="00F84D14">
      <w:pPr>
        <w:rPr>
          <w:rFonts w:ascii="Arial" w:hAnsi="Arial" w:cs="Arial"/>
        </w:rPr>
      </w:pPr>
      <w:r w:rsidRPr="00824B85">
        <w:rPr>
          <w:rFonts w:ascii="Arial" w:hAnsi="Arial" w:cs="Arial"/>
        </w:rPr>
        <w:t>It is proposed that the assessment format will be matched to the size, complexity and risks to patients</w:t>
      </w:r>
      <w:r>
        <w:rPr>
          <w:rFonts w:ascii="Arial" w:hAnsi="Arial" w:cs="Arial"/>
        </w:rPr>
        <w:t>,</w:t>
      </w:r>
      <w:r w:rsidRPr="00824B85">
        <w:rPr>
          <w:rFonts w:ascii="Arial" w:hAnsi="Arial" w:cs="Arial"/>
        </w:rPr>
        <w:t xml:space="preserve"> from providing an imaging service.  The assessment can be </w:t>
      </w:r>
      <w:r>
        <w:rPr>
          <w:rFonts w:ascii="Arial" w:hAnsi="Arial" w:cs="Arial"/>
        </w:rPr>
        <w:t>announced or short notice.</w:t>
      </w:r>
      <w:r w:rsidRPr="00824B85">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F1F8"/>
        <w:tblLook w:val="04A0" w:firstRow="1" w:lastRow="0" w:firstColumn="1" w:lastColumn="0" w:noHBand="0" w:noVBand="1"/>
      </w:tblPr>
      <w:tblGrid>
        <w:gridCol w:w="9016"/>
      </w:tblGrid>
      <w:tr w:rsidR="002A5527" w14:paraId="509AF950" w14:textId="77777777" w:rsidTr="002A5527">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E6F1F8"/>
          </w:tcPr>
          <w:p w14:paraId="036DC8F4" w14:textId="77777777" w:rsidR="002A5527" w:rsidRPr="00223198" w:rsidRDefault="002A5527" w:rsidP="002A5527">
            <w:pPr>
              <w:jc w:val="both"/>
              <w:rPr>
                <w:rStyle w:val="Strong"/>
                <w:b/>
                <w:color w:val="005370"/>
              </w:rPr>
            </w:pPr>
            <w:r w:rsidRPr="00223198">
              <w:rPr>
                <w:rFonts w:cs="Arial"/>
                <w:b w:val="0"/>
                <w:iCs/>
                <w:color w:val="005370"/>
                <w:kern w:val="28"/>
                <w:sz w:val="28"/>
                <w:szCs w:val="28"/>
              </w:rPr>
              <w:t>Announced assessment</w:t>
            </w:r>
          </w:p>
          <w:p w14:paraId="25C2F050" w14:textId="77777777" w:rsidR="002A5527" w:rsidRPr="002A5527" w:rsidRDefault="002A5527" w:rsidP="002A5527">
            <w:pPr>
              <w:pStyle w:val="ListParagraph"/>
              <w:numPr>
                <w:ilvl w:val="0"/>
                <w:numId w:val="26"/>
              </w:numPr>
              <w:spacing w:after="200" w:line="240" w:lineRule="auto"/>
              <w:ind w:left="714" w:hanging="357"/>
              <w:contextualSpacing w:val="0"/>
              <w:jc w:val="left"/>
              <w:rPr>
                <w:rFonts w:asciiTheme="minorHAnsi" w:hAnsiTheme="minorHAnsi" w:cstheme="minorHAnsi"/>
                <w:b w:val="0"/>
                <w:bCs/>
                <w:sz w:val="22"/>
              </w:rPr>
            </w:pPr>
            <w:r w:rsidRPr="002A5527">
              <w:rPr>
                <w:rFonts w:asciiTheme="minorHAnsi" w:hAnsiTheme="minorHAnsi" w:cstheme="minorHAnsi"/>
                <w:b w:val="0"/>
                <w:bCs/>
                <w:sz w:val="22"/>
              </w:rPr>
              <w:t>An imaging provider is given notice well in advance of assessment, allowing the provider to prepare for accreditation</w:t>
            </w:r>
          </w:p>
          <w:p w14:paraId="428A0554" w14:textId="77777777" w:rsidR="002A5527" w:rsidRPr="002A5527" w:rsidRDefault="002A5527" w:rsidP="002A5527">
            <w:pPr>
              <w:pStyle w:val="ListParagraph"/>
              <w:numPr>
                <w:ilvl w:val="0"/>
                <w:numId w:val="26"/>
              </w:numPr>
              <w:spacing w:after="200" w:line="240" w:lineRule="auto"/>
              <w:ind w:left="714" w:hanging="357"/>
              <w:contextualSpacing w:val="0"/>
              <w:jc w:val="left"/>
              <w:rPr>
                <w:rFonts w:asciiTheme="minorHAnsi" w:hAnsiTheme="minorHAnsi" w:cstheme="minorHAnsi"/>
                <w:b w:val="0"/>
                <w:bCs/>
                <w:sz w:val="22"/>
              </w:rPr>
            </w:pPr>
            <w:r w:rsidRPr="002A5527">
              <w:rPr>
                <w:rFonts w:asciiTheme="minorHAnsi" w:hAnsiTheme="minorHAnsi" w:cstheme="minorHAnsi"/>
                <w:b w:val="0"/>
                <w:bCs/>
                <w:sz w:val="22"/>
              </w:rPr>
              <w:t>Places the focus on the accreditation process, rather than the implementing standards and quality improvement.</w:t>
            </w:r>
          </w:p>
          <w:p w14:paraId="6E7D1BA8" w14:textId="521C7964" w:rsidR="002A5527" w:rsidRDefault="002A5527" w:rsidP="00D643D9">
            <w:pPr>
              <w:pStyle w:val="ListParagraph"/>
              <w:numPr>
                <w:ilvl w:val="0"/>
                <w:numId w:val="26"/>
              </w:numPr>
              <w:spacing w:after="200"/>
              <w:ind w:left="714" w:hanging="357"/>
              <w:contextualSpacing w:val="0"/>
              <w:jc w:val="left"/>
              <w:rPr>
                <w:rFonts w:ascii="Arial" w:hAnsi="Arial" w:cs="Arial"/>
              </w:rPr>
            </w:pPr>
            <w:r w:rsidRPr="002A5527">
              <w:rPr>
                <w:rFonts w:asciiTheme="minorHAnsi" w:hAnsiTheme="minorHAnsi" w:cstheme="minorHAnsi"/>
                <w:b w:val="0"/>
                <w:bCs/>
                <w:sz w:val="22"/>
              </w:rPr>
              <w:t>Has been shown in other accreditation schemes to increase the administration burden, with the assessment on processes, systems and responses that have been prepared, rather than ongoing quality improvement.</w:t>
            </w:r>
          </w:p>
        </w:tc>
      </w:tr>
    </w:tbl>
    <w:p w14:paraId="3ED0B5A5" w14:textId="77777777" w:rsidR="002A5527" w:rsidRDefault="002A5527" w:rsidP="00D643D9">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F1F8"/>
        <w:tblLook w:val="04A0" w:firstRow="1" w:lastRow="0" w:firstColumn="1" w:lastColumn="0" w:noHBand="0" w:noVBand="1"/>
      </w:tblPr>
      <w:tblGrid>
        <w:gridCol w:w="9016"/>
      </w:tblGrid>
      <w:tr w:rsidR="002A5527" w14:paraId="216696A0" w14:textId="77777777" w:rsidTr="002A5527">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E6F1F8"/>
          </w:tcPr>
          <w:p w14:paraId="54DA971D" w14:textId="77777777" w:rsidR="002A5527" w:rsidRPr="00223198" w:rsidRDefault="002A5527" w:rsidP="002A5527">
            <w:pPr>
              <w:jc w:val="both"/>
              <w:rPr>
                <w:rFonts w:cs="Arial"/>
                <w:b w:val="0"/>
                <w:iCs/>
                <w:color w:val="005370"/>
                <w:kern w:val="28"/>
                <w:sz w:val="28"/>
                <w:szCs w:val="28"/>
              </w:rPr>
            </w:pPr>
            <w:r w:rsidRPr="00223198">
              <w:rPr>
                <w:rFonts w:cs="Arial"/>
                <w:iCs/>
                <w:color w:val="005370"/>
                <w:kern w:val="28"/>
                <w:sz w:val="28"/>
                <w:szCs w:val="28"/>
              </w:rPr>
              <w:t>Short notice assessment</w:t>
            </w:r>
          </w:p>
          <w:p w14:paraId="60E421AE" w14:textId="77777777" w:rsidR="002A5527" w:rsidRPr="002A5527" w:rsidRDefault="002A5527" w:rsidP="002A5527">
            <w:pPr>
              <w:pStyle w:val="ListParagraph"/>
              <w:numPr>
                <w:ilvl w:val="0"/>
                <w:numId w:val="26"/>
              </w:numPr>
              <w:spacing w:after="200" w:line="240" w:lineRule="auto"/>
              <w:ind w:left="714" w:hanging="357"/>
              <w:contextualSpacing w:val="0"/>
              <w:jc w:val="left"/>
              <w:rPr>
                <w:rFonts w:asciiTheme="minorHAnsi" w:hAnsiTheme="minorHAnsi" w:cstheme="minorHAnsi"/>
                <w:b w:val="0"/>
                <w:bCs/>
                <w:sz w:val="22"/>
              </w:rPr>
            </w:pPr>
            <w:r w:rsidRPr="002A5527">
              <w:rPr>
                <w:rFonts w:asciiTheme="minorHAnsi" w:hAnsiTheme="minorHAnsi" w:cstheme="minorHAnsi"/>
                <w:b w:val="0"/>
                <w:bCs/>
                <w:sz w:val="22"/>
              </w:rPr>
              <w:t>An imaging provider is given notice of the assessment in the days immediately before the assessment.</w:t>
            </w:r>
          </w:p>
          <w:p w14:paraId="2AECEA80" w14:textId="77777777" w:rsidR="002A5527" w:rsidRPr="002A5527" w:rsidRDefault="002A5527" w:rsidP="002A5527">
            <w:pPr>
              <w:pStyle w:val="ListParagraph"/>
              <w:numPr>
                <w:ilvl w:val="0"/>
                <w:numId w:val="26"/>
              </w:numPr>
              <w:spacing w:after="200" w:line="240" w:lineRule="auto"/>
              <w:ind w:left="714" w:hanging="357"/>
              <w:contextualSpacing w:val="0"/>
              <w:jc w:val="left"/>
              <w:rPr>
                <w:rFonts w:asciiTheme="minorHAnsi" w:hAnsiTheme="minorHAnsi" w:cstheme="minorHAnsi"/>
                <w:b w:val="0"/>
                <w:bCs/>
                <w:sz w:val="22"/>
              </w:rPr>
            </w:pPr>
            <w:r w:rsidRPr="002A5527">
              <w:rPr>
                <w:rFonts w:asciiTheme="minorHAnsi" w:hAnsiTheme="minorHAnsi" w:cstheme="minorHAnsi"/>
                <w:b w:val="0"/>
                <w:bCs/>
                <w:sz w:val="22"/>
              </w:rPr>
              <w:t>Places the emphasis on continuously meeting standards and improving the quality of care</w:t>
            </w:r>
          </w:p>
          <w:p w14:paraId="5DED059E" w14:textId="77777777" w:rsidR="002A5527" w:rsidRPr="002A5527" w:rsidRDefault="002A5527" w:rsidP="002A5527">
            <w:pPr>
              <w:pStyle w:val="ListParagraph"/>
              <w:numPr>
                <w:ilvl w:val="0"/>
                <w:numId w:val="26"/>
              </w:numPr>
              <w:spacing w:after="200" w:line="240" w:lineRule="auto"/>
              <w:ind w:left="714" w:hanging="357"/>
              <w:contextualSpacing w:val="0"/>
              <w:jc w:val="left"/>
              <w:rPr>
                <w:rFonts w:asciiTheme="minorHAnsi" w:hAnsiTheme="minorHAnsi" w:cstheme="minorHAnsi"/>
                <w:b w:val="0"/>
                <w:bCs/>
                <w:sz w:val="22"/>
              </w:rPr>
            </w:pPr>
            <w:r w:rsidRPr="002A5527">
              <w:rPr>
                <w:rFonts w:asciiTheme="minorHAnsi" w:hAnsiTheme="minorHAnsi" w:cstheme="minorHAnsi"/>
                <w:b w:val="0"/>
                <w:bCs/>
                <w:sz w:val="22"/>
              </w:rPr>
              <w:t>Assesses day to day patient care</w:t>
            </w:r>
          </w:p>
          <w:p w14:paraId="68FD656C" w14:textId="77777777" w:rsidR="002A5527" w:rsidRPr="002A5527" w:rsidRDefault="002A5527" w:rsidP="002A5527">
            <w:pPr>
              <w:pStyle w:val="ListParagraph"/>
              <w:numPr>
                <w:ilvl w:val="0"/>
                <w:numId w:val="26"/>
              </w:numPr>
              <w:spacing w:after="200" w:line="240" w:lineRule="auto"/>
              <w:ind w:left="714" w:hanging="357"/>
              <w:contextualSpacing w:val="0"/>
              <w:jc w:val="left"/>
              <w:rPr>
                <w:rFonts w:asciiTheme="minorHAnsi" w:hAnsiTheme="minorHAnsi" w:cstheme="minorHAnsi"/>
                <w:b w:val="0"/>
                <w:bCs/>
                <w:sz w:val="22"/>
              </w:rPr>
            </w:pPr>
            <w:r w:rsidRPr="002A5527">
              <w:rPr>
                <w:rFonts w:asciiTheme="minorHAnsi" w:hAnsiTheme="minorHAnsi" w:cstheme="minorHAnsi"/>
                <w:b w:val="0"/>
                <w:bCs/>
                <w:sz w:val="22"/>
              </w:rPr>
              <w:t>Assessments focus on clinical and operational areas rather than concentrating on documentation reviews</w:t>
            </w:r>
          </w:p>
          <w:p w14:paraId="3D312509" w14:textId="51AC459D" w:rsidR="002A5527" w:rsidRDefault="002A5527" w:rsidP="00D643D9">
            <w:pPr>
              <w:pStyle w:val="ListParagraph"/>
              <w:numPr>
                <w:ilvl w:val="0"/>
                <w:numId w:val="26"/>
              </w:numPr>
              <w:spacing w:after="200" w:line="240" w:lineRule="auto"/>
              <w:ind w:left="714" w:hanging="357"/>
              <w:contextualSpacing w:val="0"/>
              <w:jc w:val="left"/>
              <w:rPr>
                <w:rFonts w:ascii="Arial" w:hAnsi="Arial" w:cs="Arial"/>
              </w:rPr>
            </w:pPr>
            <w:r w:rsidRPr="002A5527">
              <w:rPr>
                <w:rFonts w:asciiTheme="minorHAnsi" w:hAnsiTheme="minorHAnsi" w:cstheme="minorHAnsi"/>
                <w:b w:val="0"/>
                <w:bCs/>
                <w:sz w:val="22"/>
              </w:rPr>
              <w:t>Has been found to reduce the administrative burden and stress on staff in other accreditation programs.</w:t>
            </w:r>
          </w:p>
        </w:tc>
      </w:tr>
    </w:tbl>
    <w:p w14:paraId="214F3CF8" w14:textId="77777777" w:rsidR="002A5527" w:rsidRDefault="002A5527" w:rsidP="00D643D9">
      <w:pPr>
        <w:spacing w:after="0"/>
        <w:rPr>
          <w:rFonts w:ascii="Arial" w:hAnsi="Arial" w:cs="Arial"/>
        </w:rPr>
      </w:pPr>
    </w:p>
    <w:p w14:paraId="144C46F0" w14:textId="77777777" w:rsidR="00EB628B" w:rsidRPr="00223198" w:rsidRDefault="00EB628B" w:rsidP="00EB628B">
      <w:pPr>
        <w:pStyle w:val="Heading2"/>
        <w:rPr>
          <w:color w:val="005370"/>
        </w:rPr>
      </w:pPr>
      <w:r w:rsidRPr="00223198">
        <w:rPr>
          <w:color w:val="005370"/>
        </w:rPr>
        <w:t>Assessment cycle</w:t>
      </w:r>
    </w:p>
    <w:p w14:paraId="4D4A1DE8" w14:textId="7D6C58A9" w:rsidR="00EB628B" w:rsidRPr="00EB628B" w:rsidRDefault="00EB628B" w:rsidP="00EB628B">
      <w:pPr>
        <w:rPr>
          <w:rFonts w:ascii="Arial" w:hAnsi="Arial" w:cs="Arial"/>
        </w:rPr>
      </w:pPr>
      <w:r w:rsidRPr="00EB628B">
        <w:rPr>
          <w:rFonts w:ascii="Arial" w:hAnsi="Arial" w:cs="Arial"/>
        </w:rPr>
        <w:t xml:space="preserve">An assessment </w:t>
      </w:r>
      <w:r w:rsidR="004741A9">
        <w:rPr>
          <w:rFonts w:ascii="Arial" w:hAnsi="Arial" w:cs="Arial"/>
        </w:rPr>
        <w:t xml:space="preserve">takes between </w:t>
      </w:r>
      <w:r w:rsidRPr="00EB628B">
        <w:rPr>
          <w:rFonts w:ascii="Arial" w:hAnsi="Arial" w:cs="Arial"/>
        </w:rPr>
        <w:t>one to four months, dependent on whether a remediation period is required. It involves an initial assessment, and if all the relevant actions of the standards are met, the approved accrediting agency has 20 business days to finalise the outcome report and issue an accreditation award to the imaging provider.</w:t>
      </w:r>
    </w:p>
    <w:p w14:paraId="2F6A3A61" w14:textId="20FE1BA0" w:rsidR="00A20A43" w:rsidRDefault="00EB628B" w:rsidP="00EB628B">
      <w:pPr>
        <w:rPr>
          <w:rFonts w:ascii="Arial" w:hAnsi="Arial" w:cs="Arial"/>
        </w:rPr>
      </w:pPr>
      <w:r w:rsidRPr="00EB628B">
        <w:rPr>
          <w:rFonts w:ascii="Arial" w:hAnsi="Arial" w:cs="Arial"/>
        </w:rPr>
        <w:t>If at initial assessment one or more actions of the standards are not met, the imaging provider has a remediation period of 60 business days before a final assessment occurs. This assessment is to confirm the requirements of the standards are fully met. The approved accrediting agency has 20 business days from the final assessment to finalise recommendations, provide an outcome report and accreditation awarded, where appropriate.</w:t>
      </w:r>
    </w:p>
    <w:p w14:paraId="74B5EBCD" w14:textId="77777777" w:rsidR="00D643D9" w:rsidRDefault="00D643D9">
      <w:pPr>
        <w:spacing w:after="80"/>
        <w:rPr>
          <w:b/>
          <w:bCs/>
        </w:rPr>
      </w:pPr>
      <w:r>
        <w:rPr>
          <w:b/>
          <w:bCs/>
        </w:rPr>
        <w:br w:type="page"/>
      </w:r>
    </w:p>
    <w:p w14:paraId="3096CFFA" w14:textId="5F77098A" w:rsidR="00D01B8A" w:rsidRPr="003908C0" w:rsidRDefault="00D01B8A" w:rsidP="00D643D9">
      <w:pPr>
        <w:spacing w:after="0"/>
        <w:rPr>
          <w:b/>
          <w:bCs/>
        </w:rPr>
      </w:pPr>
      <w:r w:rsidRPr="003908C0">
        <w:rPr>
          <w:b/>
          <w:bCs/>
        </w:rPr>
        <w:lastRenderedPageBreak/>
        <w:t>Diagram 1</w:t>
      </w:r>
      <w:r w:rsidR="00A20A43" w:rsidRPr="003908C0">
        <w:rPr>
          <w:b/>
          <w:bCs/>
        </w:rPr>
        <w:t>:</w:t>
      </w:r>
      <w:r w:rsidRPr="003908C0">
        <w:rPr>
          <w:b/>
          <w:bCs/>
        </w:rPr>
        <w:t xml:space="preserve"> Assessment cycle</w:t>
      </w:r>
    </w:p>
    <w:p w14:paraId="2F03F23E" w14:textId="375E7AB5" w:rsidR="0012776C" w:rsidRPr="00824B85" w:rsidRDefault="0012776C" w:rsidP="003908C0">
      <w:r w:rsidRPr="00824B85">
        <w:rPr>
          <w:noProof/>
          <w14:ligatures w14:val="standardContextual"/>
        </w:rPr>
        <mc:AlternateContent>
          <mc:Choice Requires="wps">
            <w:drawing>
              <wp:anchor distT="0" distB="0" distL="114300" distR="114300" simplePos="0" relativeHeight="251684864" behindDoc="0" locked="0" layoutInCell="1" allowOverlap="1" wp14:anchorId="1BF08697" wp14:editId="2F66AEFB">
                <wp:simplePos x="0" y="0"/>
                <wp:positionH relativeFrom="column">
                  <wp:posOffset>4280535</wp:posOffset>
                </wp:positionH>
                <wp:positionV relativeFrom="paragraph">
                  <wp:posOffset>106680</wp:posOffset>
                </wp:positionV>
                <wp:extent cx="2247900" cy="1428750"/>
                <wp:effectExtent l="19050" t="0" r="19050" b="19050"/>
                <wp:wrapNone/>
                <wp:docPr id="1872228023" name="Arrow: Chevron 5"/>
                <wp:cNvGraphicFramePr/>
                <a:graphic xmlns:a="http://schemas.openxmlformats.org/drawingml/2006/main">
                  <a:graphicData uri="http://schemas.microsoft.com/office/word/2010/wordprocessingShape">
                    <wps:wsp>
                      <wps:cNvSpPr/>
                      <wps:spPr>
                        <a:xfrm>
                          <a:off x="0" y="0"/>
                          <a:ext cx="2247900" cy="1428750"/>
                        </a:xfrm>
                        <a:prstGeom prst="chevron">
                          <a:avLst/>
                        </a:prstGeom>
                        <a:solidFill>
                          <a:schemeClr val="accent2">
                            <a:lumMod val="7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1C7B24" w14:textId="77777777" w:rsidR="0012776C" w:rsidRPr="000A0CDC" w:rsidRDefault="0012776C" w:rsidP="0012776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C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 report</w:t>
                            </w:r>
                          </w:p>
                          <w:p w14:paraId="6AACB844" w14:textId="77777777" w:rsidR="0012776C" w:rsidRPr="000A0CDC" w:rsidRDefault="0012776C" w:rsidP="0012776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C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 </w:t>
                            </w:r>
                            <w:r w:rsidRPr="000A0C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20 business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08697"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5" o:spid="_x0000_s1026" type="#_x0000_t55" style="position:absolute;margin-left:337.05pt;margin-top:8.4pt;width:177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" adj="14736" fillcolor="#007ea5 [2405]" strokecolor="white [3212]" strokeweight="2pt">
                <v:textbox>
                  <w:txbxContent>
                    <w:p w14:paraId="071C7B24" w14:textId="77777777" w:rsidR="0012776C" w:rsidRPr="000A0CDC" w:rsidRDefault="0012776C" w:rsidP="0012776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C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 report</w:t>
                      </w:r>
                    </w:p>
                    <w:p w14:paraId="6AACB844" w14:textId="77777777" w:rsidR="0012776C" w:rsidRPr="000A0CDC" w:rsidRDefault="0012776C" w:rsidP="0012776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C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 </w:t>
                      </w:r>
                      <w:r w:rsidRPr="000A0C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20 business days</w:t>
                      </w:r>
                    </w:p>
                  </w:txbxContent>
                </v:textbox>
              </v:shape>
            </w:pict>
          </mc:Fallback>
        </mc:AlternateContent>
      </w:r>
      <w:r w:rsidRPr="00824B85">
        <w:rPr>
          <w:noProof/>
          <w14:ligatures w14:val="standardContextual"/>
        </w:rPr>
        <mc:AlternateContent>
          <mc:Choice Requires="wps">
            <w:drawing>
              <wp:anchor distT="0" distB="0" distL="114300" distR="114300" simplePos="0" relativeHeight="251683840" behindDoc="0" locked="0" layoutInCell="1" allowOverlap="1" wp14:anchorId="356183B2" wp14:editId="317E51C6">
                <wp:simplePos x="0" y="0"/>
                <wp:positionH relativeFrom="column">
                  <wp:posOffset>2566035</wp:posOffset>
                </wp:positionH>
                <wp:positionV relativeFrom="paragraph">
                  <wp:posOffset>106680</wp:posOffset>
                </wp:positionV>
                <wp:extent cx="2457450" cy="1428750"/>
                <wp:effectExtent l="19050" t="0" r="19050" b="19050"/>
                <wp:wrapNone/>
                <wp:docPr id="1472228325" name="Arrow: Chevron 4"/>
                <wp:cNvGraphicFramePr/>
                <a:graphic xmlns:a="http://schemas.openxmlformats.org/drawingml/2006/main">
                  <a:graphicData uri="http://schemas.microsoft.com/office/word/2010/wordprocessingShape">
                    <wps:wsp>
                      <wps:cNvSpPr/>
                      <wps:spPr>
                        <a:xfrm>
                          <a:off x="0" y="0"/>
                          <a:ext cx="2457450" cy="1428750"/>
                        </a:xfrm>
                        <a:prstGeom prst="chevron">
                          <a:avLst/>
                        </a:prstGeom>
                        <a:solidFill>
                          <a:schemeClr val="accent2">
                            <a:lumMod val="40000"/>
                            <a:lumOff val="60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A6AFAB" w14:textId="77777777" w:rsidR="0012776C" w:rsidRPr="001C59D5" w:rsidRDefault="0012776C" w:rsidP="0012776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9D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Remediation period. Up to 60 business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56183B2" id="Arrow: Chevron 4" o:spid="_x0000_s1027" type="#_x0000_t55" style="position:absolute;margin-left:202.05pt;margin-top:8.4pt;width:193.5pt;height:11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" adj="15321" fillcolor="#8be3ff [1301]" strokecolor="white [3212]" strokeweight="2pt">
                <v:textbox>
                  <w:txbxContent>
                    <w:p w14:paraId="6FA6AFAB" w14:textId="77777777" w:rsidR="0012776C" w:rsidRPr="001C59D5" w:rsidRDefault="0012776C" w:rsidP="0012776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9D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Remediation period. Up to 60 business days.</w:t>
                      </w:r>
                    </w:p>
                  </w:txbxContent>
                </v:textbox>
              </v:shape>
            </w:pict>
          </mc:Fallback>
        </mc:AlternateContent>
      </w:r>
      <w:r w:rsidRPr="00824B85">
        <w:rPr>
          <w:noProof/>
          <w14:ligatures w14:val="standardContextual"/>
        </w:rPr>
        <mc:AlternateContent>
          <mc:Choice Requires="wps">
            <w:drawing>
              <wp:anchor distT="0" distB="0" distL="114300" distR="114300" simplePos="0" relativeHeight="251682816" behindDoc="0" locked="0" layoutInCell="1" allowOverlap="1" wp14:anchorId="770ED8EB" wp14:editId="321610CA">
                <wp:simplePos x="0" y="0"/>
                <wp:positionH relativeFrom="column">
                  <wp:posOffset>1070610</wp:posOffset>
                </wp:positionH>
                <wp:positionV relativeFrom="paragraph">
                  <wp:posOffset>106680</wp:posOffset>
                </wp:positionV>
                <wp:extent cx="2238375" cy="1428750"/>
                <wp:effectExtent l="19050" t="0" r="28575" b="19050"/>
                <wp:wrapNone/>
                <wp:docPr id="894540804" name="Arrow: Chevron 3"/>
                <wp:cNvGraphicFramePr/>
                <a:graphic xmlns:a="http://schemas.openxmlformats.org/drawingml/2006/main">
                  <a:graphicData uri="http://schemas.microsoft.com/office/word/2010/wordprocessingShape">
                    <wps:wsp>
                      <wps:cNvSpPr/>
                      <wps:spPr>
                        <a:xfrm>
                          <a:off x="0" y="0"/>
                          <a:ext cx="2238375" cy="1428750"/>
                        </a:xfrm>
                        <a:prstGeom prst="chevron">
                          <a:avLst/>
                        </a:prstGeom>
                        <a:solidFill>
                          <a:schemeClr val="accent2">
                            <a:lumMod val="60000"/>
                            <a:lumOff val="40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449C4B" w14:textId="77777777" w:rsidR="0012776C" w:rsidRPr="000A0CDC" w:rsidRDefault="0012776C" w:rsidP="0012776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C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Initial report</w:t>
                            </w:r>
                          </w:p>
                          <w:p w14:paraId="6F2CF44F" w14:textId="77777777" w:rsidR="0012776C" w:rsidRPr="000A0CDC" w:rsidRDefault="0012776C" w:rsidP="0012776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C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 to five business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ED8EB" id="Arrow: Chevron 3" o:spid="_x0000_s1028" type="#_x0000_t55" style="position:absolute;margin-left:84.3pt;margin-top:8.4pt;width:176.2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" adj="14706" fillcolor="#51d6ff [1941]" strokecolor="white [3212]" strokeweight="2pt">
                <v:textbox>
                  <w:txbxContent>
                    <w:p w14:paraId="7C449C4B" w14:textId="77777777" w:rsidR="0012776C" w:rsidRPr="000A0CDC" w:rsidRDefault="0012776C" w:rsidP="0012776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C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Initial report</w:t>
                      </w:r>
                    </w:p>
                    <w:p w14:paraId="6F2CF44F" w14:textId="77777777" w:rsidR="0012776C" w:rsidRPr="000A0CDC" w:rsidRDefault="0012776C" w:rsidP="0012776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C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 to five business days</w:t>
                      </w:r>
                    </w:p>
                  </w:txbxContent>
                </v:textbox>
              </v:shape>
            </w:pict>
          </mc:Fallback>
        </mc:AlternateContent>
      </w:r>
      <w:r w:rsidRPr="00824B85">
        <w:rPr>
          <w:noProof/>
          <w14:ligatures w14:val="standardContextual"/>
        </w:rPr>
        <mc:AlternateContent>
          <mc:Choice Requires="wps">
            <w:drawing>
              <wp:anchor distT="0" distB="0" distL="114300" distR="114300" simplePos="0" relativeHeight="251681792" behindDoc="0" locked="0" layoutInCell="1" allowOverlap="1" wp14:anchorId="384D160D" wp14:editId="1F5CBCF6">
                <wp:simplePos x="0" y="0"/>
                <wp:positionH relativeFrom="column">
                  <wp:posOffset>-5715</wp:posOffset>
                </wp:positionH>
                <wp:positionV relativeFrom="paragraph">
                  <wp:posOffset>106680</wp:posOffset>
                </wp:positionV>
                <wp:extent cx="1790700" cy="1428750"/>
                <wp:effectExtent l="0" t="0" r="38100" b="19050"/>
                <wp:wrapNone/>
                <wp:docPr id="1011532427" name="Arrow: Pentagon 2" descr="This diagram outlines the assessment cycle steps. &#10;&#10;Step 1 initial assessment&#10;Step 2 Initial report. Up to five business days.&#10;Step 3 Remediation period. Up to 60 business days&#10;Step 4 Final Report. Up to 20 business days.&#10;"/>
                <wp:cNvGraphicFramePr/>
                <a:graphic xmlns:a="http://schemas.openxmlformats.org/drawingml/2006/main">
                  <a:graphicData uri="http://schemas.microsoft.com/office/word/2010/wordprocessingShape">
                    <wps:wsp>
                      <wps:cNvSpPr/>
                      <wps:spPr>
                        <a:xfrm>
                          <a:off x="0" y="0"/>
                          <a:ext cx="1790700" cy="1428750"/>
                        </a:xfrm>
                        <a:prstGeom prst="homePlate">
                          <a:avLst/>
                        </a:prstGeom>
                        <a:ln>
                          <a:solidFill>
                            <a:schemeClr val="bg1"/>
                          </a:solidFill>
                        </a:ln>
                      </wps:spPr>
                      <wps:style>
                        <a:lnRef idx="2">
                          <a:schemeClr val="accent2">
                            <a:shade val="15000"/>
                          </a:schemeClr>
                        </a:lnRef>
                        <a:fillRef idx="1">
                          <a:schemeClr val="accent2"/>
                        </a:fillRef>
                        <a:effectRef idx="0">
                          <a:schemeClr val="accent2"/>
                        </a:effectRef>
                        <a:fontRef idx="minor">
                          <a:schemeClr val="lt1"/>
                        </a:fontRef>
                      </wps:style>
                      <wps:txbx>
                        <w:txbxContent>
                          <w:p w14:paraId="2A20B964" w14:textId="77777777" w:rsidR="0012776C" w:rsidRPr="000A0CDC" w:rsidRDefault="0012776C" w:rsidP="0012776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C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Initial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84D160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 o:spid="_x0000_s1029" type="#_x0000_t15" alt="This diagram outlines the assessment cycle steps. &#10;&#10;Step 1 initial assessment&#10;Step 2 Initial report. Up to five business days.&#10;Step 3 Remediation period. Up to 60 business days&#10;Step 4 Final Report. Up to 20 business days.&#10;" style="position:absolute;margin-left:-.45pt;margin-top:8.4pt;width:141pt;height:11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" adj="12983" fillcolor="#00a9dd [3205]" strokecolor="white [3212]" strokeweight="2pt">
                <v:textbox>
                  <w:txbxContent>
                    <w:p w14:paraId="2A20B964" w14:textId="77777777" w:rsidR="0012776C" w:rsidRPr="000A0CDC" w:rsidRDefault="0012776C" w:rsidP="0012776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0C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Initial assessment</w:t>
                      </w:r>
                    </w:p>
                  </w:txbxContent>
                </v:textbox>
              </v:shape>
            </w:pict>
          </mc:Fallback>
        </mc:AlternateContent>
      </w:r>
    </w:p>
    <w:p w14:paraId="45710599" w14:textId="77777777" w:rsidR="0012776C" w:rsidRPr="00824B85" w:rsidRDefault="0012776C" w:rsidP="003908C0"/>
    <w:bookmarkEnd w:id="10"/>
    <w:bookmarkEnd w:id="11"/>
    <w:bookmarkEnd w:id="12"/>
    <w:bookmarkEnd w:id="13"/>
    <w:p w14:paraId="26F07A25" w14:textId="77777777" w:rsidR="005E4108" w:rsidRDefault="005E4108" w:rsidP="003908C0">
      <w:pPr>
        <w:rPr>
          <w:rFonts w:ascii="Arial" w:hAnsi="Arial" w:cs="Arial"/>
        </w:rPr>
      </w:pPr>
    </w:p>
    <w:p w14:paraId="025503FA" w14:textId="463629DA" w:rsidR="005E4108" w:rsidRDefault="005E4108" w:rsidP="003908C0">
      <w:pPr>
        <w:rPr>
          <w:rFonts w:ascii="Arial" w:hAnsi="Arial" w:cs="Arial"/>
        </w:rPr>
      </w:pPr>
      <w:r w:rsidRPr="005E4108">
        <w:rPr>
          <w:rFonts w:ascii="Arial" w:hAnsi="Arial" w:cs="Arial"/>
        </w:rPr>
        <w:t>A medical imaging provider can appeal accreditation decisions. First, to their accrediting agency and then to the Commission. Appeals to the Commission can only be made on the basis that the accrediting agency did not follow the agreed process for the ASQMI accreditation scheme</w:t>
      </w:r>
    </w:p>
    <w:p w14:paraId="307E1399" w14:textId="77777777" w:rsidR="00153595" w:rsidRPr="00223198" w:rsidRDefault="00153595" w:rsidP="00153595">
      <w:pPr>
        <w:pStyle w:val="Heading2"/>
        <w:rPr>
          <w:color w:val="005370"/>
        </w:rPr>
      </w:pPr>
      <w:r w:rsidRPr="00223198">
        <w:rPr>
          <w:color w:val="005370"/>
        </w:rPr>
        <w:t>Sampling</w:t>
      </w:r>
    </w:p>
    <w:p w14:paraId="6FC2B3F7" w14:textId="77777777" w:rsidR="00153595" w:rsidRPr="00824B85" w:rsidRDefault="00153595" w:rsidP="00153595">
      <w:pPr>
        <w:rPr>
          <w:rFonts w:ascii="Arial" w:hAnsi="Arial" w:cs="Arial"/>
        </w:rPr>
      </w:pPr>
      <w:r w:rsidRPr="00824B85">
        <w:rPr>
          <w:rFonts w:ascii="Arial" w:hAnsi="Arial" w:cs="Arial"/>
        </w:rPr>
        <w:t xml:space="preserve">Sampling could be considered when an imaging provider operates </w:t>
      </w:r>
      <w:proofErr w:type="gramStart"/>
      <w:r w:rsidRPr="00824B85">
        <w:rPr>
          <w:rFonts w:ascii="Arial" w:hAnsi="Arial" w:cs="Arial"/>
        </w:rPr>
        <w:t>a large number of</w:t>
      </w:r>
      <w:proofErr w:type="gramEnd"/>
      <w:r w:rsidRPr="00824B85">
        <w:rPr>
          <w:rFonts w:ascii="Arial" w:hAnsi="Arial" w:cs="Arial"/>
        </w:rPr>
        <w:t xml:space="preserve"> services under a single governance structure.</w:t>
      </w:r>
    </w:p>
    <w:p w14:paraId="1B7EED57" w14:textId="77777777" w:rsidR="00153595" w:rsidRPr="00824B85" w:rsidRDefault="00153595" w:rsidP="00153595">
      <w:pPr>
        <w:rPr>
          <w:rFonts w:ascii="Arial" w:hAnsi="Arial" w:cs="Arial"/>
          <w:b/>
          <w:bCs/>
        </w:rPr>
      </w:pPr>
      <w:r w:rsidRPr="00824B85">
        <w:rPr>
          <w:rFonts w:ascii="Arial" w:hAnsi="Arial" w:cs="Arial"/>
        </w:rPr>
        <w:t>Sampling involves a selection of the imaging provider’s practices undergoing assessment rather than all of them. The sampling methodology will ensure the selected imaging practices appropriately represent the service of the imaging provider being assessed. Implementing sampling will be subject to regulatory requirements</w:t>
      </w:r>
    </w:p>
    <w:p w14:paraId="32563815" w14:textId="77777777" w:rsidR="00DC71BC" w:rsidRPr="00223198" w:rsidRDefault="00DC71BC" w:rsidP="00DC71BC">
      <w:pPr>
        <w:pStyle w:val="Heading2"/>
        <w:rPr>
          <w:color w:val="005370"/>
        </w:rPr>
      </w:pPr>
      <w:r w:rsidRPr="00223198">
        <w:rPr>
          <w:color w:val="005370"/>
        </w:rPr>
        <w:t>Assessment methodology</w:t>
      </w:r>
    </w:p>
    <w:p w14:paraId="6D8C0A8F" w14:textId="30B24304" w:rsidR="00153595" w:rsidRPr="005E4108" w:rsidRDefault="00DC71BC" w:rsidP="00DC71BC">
      <w:pPr>
        <w:spacing w:before="200"/>
        <w:rPr>
          <w:rFonts w:ascii="Arial" w:hAnsi="Arial" w:cs="Arial"/>
        </w:rPr>
      </w:pPr>
      <w:r w:rsidRPr="00824B85">
        <w:rPr>
          <w:rFonts w:ascii="Arial" w:hAnsi="Arial" w:cs="Arial"/>
        </w:rPr>
        <w:t>Assessment can be conducted in a variety of ways, as outlined below</w:t>
      </w:r>
    </w:p>
    <w:p w14:paraId="14200A91" w14:textId="7F611D83" w:rsidR="00783F68" w:rsidRPr="00223198" w:rsidRDefault="00783F68" w:rsidP="000F5EA3">
      <w:pPr>
        <w:pStyle w:val="Heading2"/>
        <w:rPr>
          <w:color w:val="005370"/>
          <w:sz w:val="28"/>
        </w:rPr>
      </w:pPr>
      <w:r w:rsidRPr="00223198">
        <w:rPr>
          <w:color w:val="005370"/>
          <w:sz w:val="28"/>
        </w:rPr>
        <w:t>Current method</w:t>
      </w:r>
    </w:p>
    <w:p w14:paraId="48F5ADF9" w14:textId="1F566CEE" w:rsidR="00783F68" w:rsidRDefault="000519E2" w:rsidP="00F229F2">
      <w:r>
        <w:rPr>
          <w:noProof/>
          <w14:ligatures w14:val="standardContextual"/>
        </w:rPr>
        <w:drawing>
          <wp:inline distT="0" distB="0" distL="0" distR="0" wp14:anchorId="519DB9A1" wp14:editId="0C32F477">
            <wp:extent cx="5731510" cy="1436575"/>
            <wp:effectExtent l="0" t="0" r="2540" b="0"/>
            <wp:docPr id="1614571920" name="Picture 1" descr="An image that describes desktop assessment. Desktop assessment is the current assessment method and it involves the review of practice documentation by external assessors. The benefit of a desktop assessment is it could be less costly.  The issues are it is a compliance process, does not assess the care provided to patients, not a robust measure of safety and quality and does not include the workforce or consumers in the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571920" name="Picture 1" descr="An image that describes desktop assessment. Desktop assessment is the current assessment method and it involves the review of practice documentation by external assessors. The benefit of a desktop assessment is it could be less costly.  The issues are it is a compliance process, does not assess the care provided to patients, not a robust measure of safety and quality and does not include the workforce or consumers in the assessment."/>
                    <pic:cNvPicPr/>
                  </pic:nvPicPr>
                  <pic:blipFill>
                    <a:blip r:embed="rId8"/>
                    <a:stretch>
                      <a:fillRect/>
                    </a:stretch>
                  </pic:blipFill>
                  <pic:spPr>
                    <a:xfrm>
                      <a:off x="0" y="0"/>
                      <a:ext cx="5731510" cy="1436575"/>
                    </a:xfrm>
                    <a:prstGeom prst="rect">
                      <a:avLst/>
                    </a:prstGeom>
                  </pic:spPr>
                </pic:pic>
              </a:graphicData>
            </a:graphic>
          </wp:inline>
        </w:drawing>
      </w:r>
    </w:p>
    <w:p w14:paraId="07F04FB8" w14:textId="77777777" w:rsidR="00223198" w:rsidRDefault="00223198">
      <w:pPr>
        <w:spacing w:after="80"/>
        <w:rPr>
          <w:rFonts w:cs="Arial"/>
          <w:b/>
          <w:iCs/>
          <w:color w:val="005370"/>
          <w:kern w:val="28"/>
          <w:sz w:val="28"/>
          <w:szCs w:val="28"/>
        </w:rPr>
      </w:pPr>
      <w:r>
        <w:rPr>
          <w:color w:val="005370"/>
          <w:sz w:val="28"/>
        </w:rPr>
        <w:br w:type="page"/>
      </w:r>
    </w:p>
    <w:p w14:paraId="461A7B6B" w14:textId="12775B25" w:rsidR="004B2E36" w:rsidRPr="00223198" w:rsidRDefault="004B2E36" w:rsidP="000F5EA3">
      <w:pPr>
        <w:pStyle w:val="Heading2"/>
        <w:rPr>
          <w:color w:val="005370"/>
          <w:sz w:val="28"/>
        </w:rPr>
      </w:pPr>
      <w:r w:rsidRPr="00223198">
        <w:rPr>
          <w:color w:val="005370"/>
          <w:sz w:val="28"/>
        </w:rPr>
        <w:lastRenderedPageBreak/>
        <w:t>Proposed approach</w:t>
      </w:r>
    </w:p>
    <w:p w14:paraId="28F7D105" w14:textId="22D5C95D" w:rsidR="004B2E36" w:rsidRDefault="00D808BC" w:rsidP="00223198">
      <w:r>
        <w:rPr>
          <w:noProof/>
          <w14:ligatures w14:val="standardContextual"/>
        </w:rPr>
        <w:drawing>
          <wp:inline distT="0" distB="0" distL="0" distR="0" wp14:anchorId="7E9AA75C" wp14:editId="79357DBE">
            <wp:extent cx="5731510" cy="2129752"/>
            <wp:effectExtent l="0" t="0" r="2540" b="4445"/>
            <wp:docPr id="1336478132" name="Picture 1" descr="Virtual assessment uses videoconference to observe practice, interview the workforce, review documentation and tour the practice. The benefits include  involving the workforce and consumers in the assessment and providing opportunity to idenitfy improvement areas. The issues include some increase in costs, need for access to effective internet and hardware, and requires coordination between imaging provider and asse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478132" name="Picture 1" descr="Virtual assessment uses videoconference to observe practice, interview the workforce, review documentation and tour the practice. The benefits include  involving the workforce and consumers in the assessment and providing opportunity to idenitfy improvement areas. The issues include some increase in costs, need for access to effective internet and hardware, and requires coordination between imaging provider and assessors."/>
                    <pic:cNvPicPr/>
                  </pic:nvPicPr>
                  <pic:blipFill>
                    <a:blip r:embed="rId9"/>
                    <a:stretch>
                      <a:fillRect/>
                    </a:stretch>
                  </pic:blipFill>
                  <pic:spPr>
                    <a:xfrm>
                      <a:off x="0" y="0"/>
                      <a:ext cx="5731510" cy="2129752"/>
                    </a:xfrm>
                    <a:prstGeom prst="rect">
                      <a:avLst/>
                    </a:prstGeom>
                  </pic:spPr>
                </pic:pic>
              </a:graphicData>
            </a:graphic>
          </wp:inline>
        </w:drawing>
      </w:r>
    </w:p>
    <w:p w14:paraId="3861E437" w14:textId="77777777" w:rsidR="00223198" w:rsidRDefault="00223198" w:rsidP="00223198"/>
    <w:p w14:paraId="3B33E815" w14:textId="77777777" w:rsidR="006E49F0" w:rsidRDefault="00B10293" w:rsidP="00223198">
      <w:r>
        <w:rPr>
          <w:noProof/>
          <w14:ligatures w14:val="standardContextual"/>
        </w:rPr>
        <w:drawing>
          <wp:inline distT="0" distB="0" distL="0" distR="0" wp14:anchorId="6E25FF57" wp14:editId="0EE70792">
            <wp:extent cx="5731510" cy="1919199"/>
            <wp:effectExtent l="0" t="0" r="2540" b="5080"/>
            <wp:docPr id="1460906802" name="Picture 1" descr="This image describes onsite assessment. Onsite assessment involves assessors visiting the practice to interview the workforce and consumers, review documentation, tour the facility and observe practice. The benefits include effective observation of clinical practice, treatment facilities and review of the documentation, directly involving the workforce providing care and providing opportunities to identify areas of improvement. The issues include the assessment being more costly than dekstop or virtual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06802" name="Picture 1" descr="This image describes onsite assessment. Onsite assessment involves assessors visiting the practice to interview the workforce and consumers, review documentation, tour the facility and observe practice. The benefits include effective observation of clinical practice, treatment facilities and review of the documentation, directly involving the workforce providing care and providing opportunities to identify areas of improvement. The issues include the assessment being more costly than dekstop or virtual assessment."/>
                    <pic:cNvPicPr/>
                  </pic:nvPicPr>
                  <pic:blipFill>
                    <a:blip r:embed="rId10"/>
                    <a:stretch>
                      <a:fillRect/>
                    </a:stretch>
                  </pic:blipFill>
                  <pic:spPr>
                    <a:xfrm>
                      <a:off x="0" y="0"/>
                      <a:ext cx="5731510" cy="1919199"/>
                    </a:xfrm>
                    <a:prstGeom prst="rect">
                      <a:avLst/>
                    </a:prstGeom>
                  </pic:spPr>
                </pic:pic>
              </a:graphicData>
            </a:graphic>
          </wp:inline>
        </w:drawing>
      </w:r>
    </w:p>
    <w:p w14:paraId="34226BAA" w14:textId="77777777" w:rsidR="006E49F0" w:rsidRDefault="006E49F0" w:rsidP="00223198"/>
    <w:p w14:paraId="01998C9E" w14:textId="515B3C3A" w:rsidR="00B10293" w:rsidRDefault="00CC2C42" w:rsidP="00223198">
      <w:r>
        <w:rPr>
          <w:noProof/>
          <w14:ligatures w14:val="standardContextual"/>
        </w:rPr>
        <w:drawing>
          <wp:inline distT="0" distB="0" distL="0" distR="0" wp14:anchorId="36752F67" wp14:editId="71E2AC10">
            <wp:extent cx="5731510" cy="2181303"/>
            <wp:effectExtent l="0" t="0" r="2540" b="9525"/>
            <wp:docPr id="1972028554" name="Picture 1" descr="This image describes hyrid assessmen. Hyrid assessment involves atleast one assessor visiting the practice and one or more assessors participating via videoconferencing. The benefits include an onsite assessment that can effectively observe clincial practic, treatment facitlties, review documentation and, involve the workforce providing care and provide opportunities to idenitfy improvement areas. The issues include the assessment being more costly than virutal assessment,  imaging practices requiring access to the internet and hardware, a need for effective assessor training in virtual assessment and administrative co-ordination between the imaging practice and asse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28554" name="Picture 1" descr="This image describes hyrid assessmen. Hyrid assessment involves atleast one assessor visiting the practice and one or more assessors participating via videoconferencing. The benefits include an onsite assessment that can effectively observe clincial practic, treatment facitlties, review documentation and, involve the workforce providing care and provide opportunities to idenitfy improvement areas. The issues include the assessment being more costly than virutal assessment,  imaging practices requiring access to the internet and hardware, a need for effective assessor training in virtual assessment and administrative co-ordination between the imaging practice and assessors."/>
                    <pic:cNvPicPr/>
                  </pic:nvPicPr>
                  <pic:blipFill>
                    <a:blip r:embed="rId11"/>
                    <a:stretch>
                      <a:fillRect/>
                    </a:stretch>
                  </pic:blipFill>
                  <pic:spPr>
                    <a:xfrm>
                      <a:off x="0" y="0"/>
                      <a:ext cx="5731510" cy="2181303"/>
                    </a:xfrm>
                    <a:prstGeom prst="rect">
                      <a:avLst/>
                    </a:prstGeom>
                  </pic:spPr>
                </pic:pic>
              </a:graphicData>
            </a:graphic>
          </wp:inline>
        </w:drawing>
      </w:r>
    </w:p>
    <w:p w14:paraId="049C9B11" w14:textId="77777777" w:rsidR="002C34CE" w:rsidRPr="001C59D5" w:rsidRDefault="002C34CE" w:rsidP="002C34CE">
      <w:pPr>
        <w:rPr>
          <w:rFonts w:ascii="Arial" w:hAnsi="Arial" w:cs="Arial"/>
        </w:rPr>
      </w:pPr>
      <w:r w:rsidRPr="001C59D5">
        <w:rPr>
          <w:rFonts w:ascii="Arial" w:hAnsi="Arial" w:cs="Arial"/>
        </w:rPr>
        <w:t>In virtual, hybrid and onsite assessments, assessors will gather evidence from a variety of sources including:</w:t>
      </w:r>
    </w:p>
    <w:p w14:paraId="06F586A3" w14:textId="77777777" w:rsidR="002C34CE" w:rsidRPr="001C59D5" w:rsidRDefault="002C34CE" w:rsidP="00FF20C3">
      <w:pPr>
        <w:pStyle w:val="ListParagraph"/>
        <w:numPr>
          <w:ilvl w:val="0"/>
          <w:numId w:val="27"/>
        </w:numPr>
        <w:spacing w:after="200" w:line="240" w:lineRule="auto"/>
        <w:ind w:left="714" w:hanging="357"/>
        <w:contextualSpacing w:val="0"/>
        <w:rPr>
          <w:rFonts w:ascii="Arial" w:hAnsi="Arial" w:cs="Arial"/>
        </w:rPr>
      </w:pPr>
      <w:r w:rsidRPr="001C59D5">
        <w:rPr>
          <w:rFonts w:ascii="Arial" w:hAnsi="Arial" w:cs="Arial"/>
        </w:rPr>
        <w:lastRenderedPageBreak/>
        <w:t>Interviews with members of the workforce, consenting consumers and their nominated representatives, health care providers, allied health workers, volunteers and contractors.</w:t>
      </w:r>
    </w:p>
    <w:p w14:paraId="143ADC2E" w14:textId="77777777" w:rsidR="002C34CE" w:rsidRPr="001C59D5" w:rsidRDefault="002C34CE" w:rsidP="00FF20C3">
      <w:pPr>
        <w:pStyle w:val="ListParagraph"/>
        <w:numPr>
          <w:ilvl w:val="0"/>
          <w:numId w:val="27"/>
        </w:numPr>
        <w:spacing w:after="200" w:line="240" w:lineRule="auto"/>
        <w:ind w:left="714" w:hanging="357"/>
        <w:contextualSpacing w:val="0"/>
        <w:rPr>
          <w:rFonts w:ascii="Arial" w:hAnsi="Arial" w:cs="Arial"/>
        </w:rPr>
      </w:pPr>
      <w:r w:rsidRPr="001C59D5">
        <w:rPr>
          <w:rFonts w:ascii="Arial" w:hAnsi="Arial" w:cs="Arial"/>
        </w:rPr>
        <w:t>Observation of workforce practices and interactions with consenting consumers across all operational and clinical areas</w:t>
      </w:r>
    </w:p>
    <w:p w14:paraId="311D96B2" w14:textId="77777777" w:rsidR="002C34CE" w:rsidRPr="001C59D5" w:rsidRDefault="002C34CE" w:rsidP="00FF20C3">
      <w:pPr>
        <w:pStyle w:val="ListParagraph"/>
        <w:numPr>
          <w:ilvl w:val="0"/>
          <w:numId w:val="27"/>
        </w:numPr>
        <w:spacing w:after="200" w:line="240" w:lineRule="auto"/>
        <w:ind w:left="714" w:hanging="357"/>
        <w:contextualSpacing w:val="0"/>
        <w:rPr>
          <w:rFonts w:ascii="Arial" w:hAnsi="Arial" w:cs="Arial"/>
        </w:rPr>
      </w:pPr>
      <w:r w:rsidRPr="001C59D5">
        <w:rPr>
          <w:rFonts w:ascii="Arial" w:hAnsi="Arial" w:cs="Arial"/>
        </w:rPr>
        <w:t>Review of documents and records to confirm that safety and quality systems are described in policies and procedures, to assess and review reported outcomes.</w:t>
      </w:r>
    </w:p>
    <w:p w14:paraId="572AF72A" w14:textId="77777777" w:rsidR="002C34CE" w:rsidRPr="001C59D5" w:rsidRDefault="002C34CE" w:rsidP="00FF20C3">
      <w:pPr>
        <w:pStyle w:val="ListParagraph"/>
        <w:numPr>
          <w:ilvl w:val="0"/>
          <w:numId w:val="27"/>
        </w:numPr>
        <w:spacing w:after="200" w:line="240" w:lineRule="auto"/>
        <w:ind w:left="714" w:hanging="357"/>
        <w:contextualSpacing w:val="0"/>
        <w:rPr>
          <w:rFonts w:ascii="Arial" w:hAnsi="Arial" w:cs="Arial"/>
        </w:rPr>
      </w:pPr>
      <w:r w:rsidRPr="001C59D5">
        <w:rPr>
          <w:rFonts w:ascii="Arial" w:hAnsi="Arial" w:cs="Arial"/>
        </w:rPr>
        <w:t>Examination of  how the image providers quality improvement system is used to reduce risks</w:t>
      </w:r>
    </w:p>
    <w:p w14:paraId="334C437A" w14:textId="47E2ED09" w:rsidR="00812EC7" w:rsidRDefault="00812EC7" w:rsidP="00812EC7">
      <w:pPr>
        <w:rPr>
          <w:rFonts w:ascii="Arial" w:hAnsi="Arial" w:cs="Arial"/>
        </w:rPr>
      </w:pPr>
      <w:r w:rsidRPr="00812EC7">
        <w:rPr>
          <w:rFonts w:ascii="Arial" w:hAnsi="Arial" w:cs="Arial"/>
        </w:rPr>
        <w:t xml:space="preserve">Virtual, hybrid and onsite assessments are currently conducted nationally within acute care, general practices, primary and community health and digital mental health services, pathology, as well as in international accreditation schemes. The privacy of consumers is maintained, informed consent is always obtained before assessors engage with consumers and/or carers. Assessors sign confidentiality </w:t>
      </w:r>
      <w:r w:rsidR="00C60C0D" w:rsidRPr="00812EC7">
        <w:rPr>
          <w:rFonts w:ascii="Arial" w:hAnsi="Arial" w:cs="Arial"/>
        </w:rPr>
        <w:t>agreements,</w:t>
      </w:r>
      <w:r w:rsidRPr="00812EC7">
        <w:rPr>
          <w:rFonts w:ascii="Arial" w:hAnsi="Arial" w:cs="Arial"/>
        </w:rPr>
        <w:t xml:space="preserve"> and no organisational materials leave the imaging practice.</w:t>
      </w:r>
    </w:p>
    <w:p w14:paraId="7600D7EE" w14:textId="6619800C" w:rsidR="004D0B7D" w:rsidRPr="00223198" w:rsidRDefault="004D0B7D" w:rsidP="004D0B7D">
      <w:pPr>
        <w:pStyle w:val="Heading2"/>
        <w:rPr>
          <w:color w:val="005370"/>
        </w:rPr>
      </w:pPr>
      <w:r w:rsidRPr="00223198">
        <w:rPr>
          <w:color w:val="005370"/>
        </w:rPr>
        <w:t>Costs</w:t>
      </w:r>
    </w:p>
    <w:p w14:paraId="5F323698" w14:textId="42926C2C" w:rsidR="004D0B7D" w:rsidRPr="001C59D5" w:rsidRDefault="004D0B7D" w:rsidP="004D0B7D">
      <w:pPr>
        <w:rPr>
          <w:rFonts w:ascii="Arial" w:hAnsi="Arial" w:cs="Arial"/>
        </w:rPr>
      </w:pPr>
      <w:r w:rsidRPr="001C59D5">
        <w:rPr>
          <w:rFonts w:ascii="Arial" w:hAnsi="Arial" w:cs="Arial"/>
        </w:rPr>
        <w:t>The costs of assessment is the responsibility of the image provider and is set by the accrediting agencies.</w:t>
      </w:r>
    </w:p>
    <w:p w14:paraId="24655C05" w14:textId="77777777" w:rsidR="004D0B7D" w:rsidRDefault="004D0B7D" w:rsidP="004D0B7D">
      <w:pPr>
        <w:rPr>
          <w:rFonts w:ascii="Arial" w:hAnsi="Arial" w:cs="Arial"/>
        </w:rPr>
      </w:pPr>
      <w:r w:rsidRPr="001C59D5">
        <w:rPr>
          <w:rFonts w:ascii="Arial" w:hAnsi="Arial" w:cs="Arial"/>
        </w:rPr>
        <w:t>A regulatory impact assessment of the proposed scheme will be undertaken to assess the costs of the proposed changes. Costs associated with providing a safe and good quality service are not attributable to the accreditation process.</w:t>
      </w:r>
    </w:p>
    <w:p w14:paraId="0318CB38" w14:textId="1E7CF483" w:rsidR="00804E6C" w:rsidRPr="00223198" w:rsidRDefault="00804E6C" w:rsidP="00804E6C">
      <w:pPr>
        <w:pStyle w:val="Heading2"/>
        <w:rPr>
          <w:color w:val="005370"/>
        </w:rPr>
      </w:pPr>
      <w:r w:rsidRPr="00223198">
        <w:rPr>
          <w:color w:val="005370"/>
        </w:rPr>
        <w:t>Proposal</w:t>
      </w:r>
    </w:p>
    <w:p w14:paraId="6938E368" w14:textId="77777777" w:rsidR="00804E6C" w:rsidRDefault="00804E6C" w:rsidP="00804E6C">
      <w:pPr>
        <w:rPr>
          <w:rFonts w:ascii="Arial" w:hAnsi="Arial" w:cs="Arial"/>
        </w:rPr>
      </w:pPr>
      <w:r w:rsidRPr="001C59D5">
        <w:rPr>
          <w:rFonts w:ascii="Arial" w:hAnsi="Arial" w:cs="Arial"/>
        </w:rPr>
        <w:t>To increase the effectiveness and efficiency of assessments, the Commission is proposing changes to the Medical Imaging Accreditation Scheme</w:t>
      </w:r>
      <w:r>
        <w:rPr>
          <w:rFonts w:ascii="Arial" w:hAnsi="Arial" w:cs="Arial"/>
        </w:rPr>
        <w:t>, see proposed changes below</w:t>
      </w:r>
      <w:r w:rsidRPr="001C59D5">
        <w:rPr>
          <w:rFonts w:ascii="Arial" w:hAnsi="Arial" w:cs="Arial"/>
        </w:rPr>
        <w:t xml:space="preserve">. </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62"/>
        <w:gridCol w:w="2262"/>
        <w:gridCol w:w="2263"/>
        <w:gridCol w:w="2263"/>
      </w:tblGrid>
      <w:tr w:rsidR="00480328" w:rsidRPr="00406D8A" w14:paraId="6B323F13" w14:textId="77777777" w:rsidTr="00D643D9">
        <w:trPr>
          <w:cnfStyle w:val="100000000000" w:firstRow="1" w:lastRow="0" w:firstColumn="0" w:lastColumn="0" w:oddVBand="0" w:evenVBand="0" w:oddHBand="0" w:evenHBand="0" w:firstRowFirstColumn="0" w:firstRowLastColumn="0" w:lastRowFirstColumn="0" w:lastRowLastColumn="0"/>
          <w:cantSplit/>
          <w:tblHeader/>
        </w:trPr>
        <w:tc>
          <w:tcPr>
            <w:tcW w:w="2262" w:type="dxa"/>
            <w:shd w:val="clear" w:color="auto" w:fill="auto"/>
          </w:tcPr>
          <w:p w14:paraId="03B972B1" w14:textId="5D28E2BA" w:rsidR="00480328" w:rsidRPr="00406D8A" w:rsidRDefault="00480328" w:rsidP="00804E6C">
            <w:pPr>
              <w:rPr>
                <w:rFonts w:ascii="Arial" w:hAnsi="Arial" w:cs="Arial"/>
                <w:sz w:val="22"/>
              </w:rPr>
            </w:pPr>
            <w:r w:rsidRPr="00406D8A">
              <w:rPr>
                <w:rFonts w:ascii="Arial" w:hAnsi="Arial" w:cs="Arial"/>
                <w:sz w:val="22"/>
              </w:rPr>
              <w:t>Service type</w:t>
            </w:r>
          </w:p>
        </w:tc>
        <w:tc>
          <w:tcPr>
            <w:tcW w:w="2262" w:type="dxa"/>
            <w:shd w:val="clear" w:color="auto" w:fill="auto"/>
          </w:tcPr>
          <w:p w14:paraId="7C71A6FF" w14:textId="0E84B456" w:rsidR="00480328" w:rsidRPr="00406D8A" w:rsidRDefault="000376D4" w:rsidP="00804E6C">
            <w:pPr>
              <w:rPr>
                <w:rFonts w:ascii="Arial" w:hAnsi="Arial" w:cs="Arial"/>
                <w:sz w:val="22"/>
              </w:rPr>
            </w:pPr>
            <w:r w:rsidRPr="00406D8A">
              <w:rPr>
                <w:rFonts w:ascii="Arial" w:hAnsi="Arial" w:cs="Arial"/>
                <w:sz w:val="22"/>
              </w:rPr>
              <w:t>Characteristics</w:t>
            </w:r>
          </w:p>
        </w:tc>
        <w:tc>
          <w:tcPr>
            <w:tcW w:w="2263" w:type="dxa"/>
            <w:shd w:val="clear" w:color="auto" w:fill="auto"/>
          </w:tcPr>
          <w:p w14:paraId="2F207568" w14:textId="4C6EF739" w:rsidR="00480328" w:rsidRPr="00406D8A" w:rsidRDefault="0039565E" w:rsidP="00804E6C">
            <w:pPr>
              <w:rPr>
                <w:rFonts w:ascii="Arial" w:hAnsi="Arial" w:cs="Arial"/>
                <w:sz w:val="22"/>
              </w:rPr>
            </w:pPr>
            <w:r w:rsidRPr="00406D8A">
              <w:rPr>
                <w:rFonts w:ascii="Arial" w:hAnsi="Arial" w:cs="Arial"/>
                <w:sz w:val="22"/>
              </w:rPr>
              <w:t>Assessment mode</w:t>
            </w:r>
          </w:p>
        </w:tc>
        <w:tc>
          <w:tcPr>
            <w:tcW w:w="2263" w:type="dxa"/>
            <w:shd w:val="clear" w:color="auto" w:fill="auto"/>
          </w:tcPr>
          <w:p w14:paraId="0B44D87F" w14:textId="1168E309" w:rsidR="00480328" w:rsidRPr="00406D8A" w:rsidRDefault="0039565E" w:rsidP="00804E6C">
            <w:pPr>
              <w:rPr>
                <w:rFonts w:ascii="Arial" w:hAnsi="Arial" w:cs="Arial"/>
                <w:sz w:val="22"/>
              </w:rPr>
            </w:pPr>
            <w:r w:rsidRPr="00406D8A">
              <w:rPr>
                <w:rFonts w:ascii="Arial" w:hAnsi="Arial" w:cs="Arial"/>
                <w:sz w:val="22"/>
              </w:rPr>
              <w:t>Assessment schedule</w:t>
            </w:r>
          </w:p>
        </w:tc>
      </w:tr>
      <w:tr w:rsidR="00480328" w:rsidRPr="00406D8A" w14:paraId="364F728E" w14:textId="77777777" w:rsidTr="00D643D9">
        <w:trPr>
          <w:cantSplit/>
        </w:trPr>
        <w:tc>
          <w:tcPr>
            <w:tcW w:w="2262" w:type="dxa"/>
            <w:shd w:val="clear" w:color="auto" w:fill="auto"/>
          </w:tcPr>
          <w:p w14:paraId="65F62F4F" w14:textId="77777777" w:rsidR="00480328" w:rsidRPr="00406D8A" w:rsidRDefault="0039565E" w:rsidP="00804E6C">
            <w:pPr>
              <w:rPr>
                <w:rFonts w:cs="Arial"/>
                <w:sz w:val="22"/>
              </w:rPr>
            </w:pPr>
            <w:r w:rsidRPr="00406D8A">
              <w:rPr>
                <w:rFonts w:cs="Arial"/>
                <w:sz w:val="22"/>
              </w:rPr>
              <w:t>Group 1:</w:t>
            </w:r>
          </w:p>
          <w:p w14:paraId="01AAABED" w14:textId="0BCE6579" w:rsidR="0039565E" w:rsidRPr="00406D8A" w:rsidRDefault="0039565E" w:rsidP="00804E6C">
            <w:pPr>
              <w:rPr>
                <w:rFonts w:cs="Arial"/>
                <w:sz w:val="22"/>
              </w:rPr>
            </w:pPr>
            <w:r w:rsidRPr="00406D8A">
              <w:rPr>
                <w:rFonts w:cs="Arial"/>
                <w:sz w:val="22"/>
              </w:rPr>
              <w:t>Low risk imaging services</w:t>
            </w:r>
          </w:p>
        </w:tc>
        <w:tc>
          <w:tcPr>
            <w:tcW w:w="2262" w:type="dxa"/>
            <w:shd w:val="clear" w:color="auto" w:fill="auto"/>
          </w:tcPr>
          <w:p w14:paraId="0B92457E" w14:textId="699960C8" w:rsidR="00480328" w:rsidRPr="00406D8A" w:rsidRDefault="00EB10A8" w:rsidP="000376D4">
            <w:pPr>
              <w:pStyle w:val="ListParagraph"/>
              <w:numPr>
                <w:ilvl w:val="0"/>
                <w:numId w:val="28"/>
              </w:numPr>
              <w:spacing w:after="120" w:line="240" w:lineRule="auto"/>
              <w:ind w:left="170" w:hanging="170"/>
              <w:contextualSpacing w:val="0"/>
              <w:rPr>
                <w:rFonts w:cs="Arial"/>
                <w:sz w:val="22"/>
              </w:rPr>
            </w:pPr>
            <w:r w:rsidRPr="00406D8A">
              <w:rPr>
                <w:rFonts w:cs="Arial"/>
                <w:sz w:val="22"/>
              </w:rPr>
              <w:t>Ultrasound</w:t>
            </w:r>
          </w:p>
        </w:tc>
        <w:tc>
          <w:tcPr>
            <w:tcW w:w="2263" w:type="dxa"/>
            <w:shd w:val="clear" w:color="auto" w:fill="auto"/>
          </w:tcPr>
          <w:p w14:paraId="6CEBD435" w14:textId="77777777" w:rsidR="00F1710A" w:rsidRPr="00406D8A" w:rsidRDefault="00F1710A" w:rsidP="00F1710A">
            <w:pPr>
              <w:pStyle w:val="ListParagraph"/>
              <w:numPr>
                <w:ilvl w:val="0"/>
                <w:numId w:val="28"/>
              </w:numPr>
              <w:spacing w:after="120" w:line="240" w:lineRule="auto"/>
              <w:ind w:left="170" w:hanging="170"/>
              <w:contextualSpacing w:val="0"/>
              <w:rPr>
                <w:rFonts w:cs="Arial"/>
                <w:sz w:val="22"/>
              </w:rPr>
            </w:pPr>
            <w:r w:rsidRPr="00406D8A">
              <w:rPr>
                <w:rFonts w:cs="Arial"/>
                <w:sz w:val="22"/>
              </w:rPr>
              <w:t>Virtual assessments</w:t>
            </w:r>
          </w:p>
          <w:p w14:paraId="0580B491" w14:textId="2E38E439" w:rsidR="00480328" w:rsidRPr="00406D8A" w:rsidRDefault="00F1710A" w:rsidP="00F1710A">
            <w:pPr>
              <w:pStyle w:val="ListParagraph"/>
              <w:numPr>
                <w:ilvl w:val="0"/>
                <w:numId w:val="28"/>
              </w:numPr>
              <w:spacing w:after="120" w:line="240" w:lineRule="auto"/>
              <w:ind w:left="170" w:hanging="170"/>
              <w:contextualSpacing w:val="0"/>
              <w:rPr>
                <w:rFonts w:cs="Arial"/>
                <w:sz w:val="22"/>
              </w:rPr>
            </w:pPr>
            <w:r w:rsidRPr="00406D8A">
              <w:rPr>
                <w:rFonts w:cs="Arial"/>
                <w:sz w:val="22"/>
              </w:rPr>
              <w:t>Could include sampling where there are multiple networked sites</w:t>
            </w:r>
          </w:p>
        </w:tc>
        <w:tc>
          <w:tcPr>
            <w:tcW w:w="2263" w:type="dxa"/>
            <w:shd w:val="clear" w:color="auto" w:fill="auto"/>
          </w:tcPr>
          <w:p w14:paraId="5D88B896" w14:textId="77777777" w:rsidR="006002E3" w:rsidRPr="00406D8A" w:rsidRDefault="006002E3" w:rsidP="006002E3">
            <w:pPr>
              <w:pStyle w:val="ListParagraph"/>
              <w:numPr>
                <w:ilvl w:val="0"/>
                <w:numId w:val="28"/>
              </w:numPr>
              <w:spacing w:after="120" w:line="240" w:lineRule="auto"/>
              <w:ind w:left="170" w:hanging="170"/>
              <w:contextualSpacing w:val="0"/>
              <w:rPr>
                <w:rFonts w:cs="Arial"/>
                <w:sz w:val="22"/>
              </w:rPr>
            </w:pPr>
            <w:r w:rsidRPr="00406D8A">
              <w:rPr>
                <w:rFonts w:cs="Arial"/>
                <w:sz w:val="22"/>
              </w:rPr>
              <w:t>Assessment of relevant actions in the NSQMI Standards announced</w:t>
            </w:r>
          </w:p>
          <w:p w14:paraId="359BD537" w14:textId="611E4B94" w:rsidR="00480328" w:rsidRPr="00406D8A" w:rsidRDefault="006002E3" w:rsidP="006002E3">
            <w:pPr>
              <w:pStyle w:val="ListParagraph"/>
              <w:numPr>
                <w:ilvl w:val="0"/>
                <w:numId w:val="28"/>
              </w:numPr>
              <w:spacing w:after="120" w:line="240" w:lineRule="auto"/>
              <w:ind w:left="170" w:hanging="170"/>
              <w:contextualSpacing w:val="0"/>
              <w:rPr>
                <w:rFonts w:cs="Arial"/>
                <w:sz w:val="22"/>
              </w:rPr>
            </w:pPr>
            <w:r w:rsidRPr="00406D8A">
              <w:rPr>
                <w:rFonts w:cs="Arial"/>
                <w:sz w:val="22"/>
              </w:rPr>
              <w:t>Three-year accreditation cycle</w:t>
            </w:r>
          </w:p>
        </w:tc>
      </w:tr>
      <w:tr w:rsidR="00480328" w:rsidRPr="00406D8A" w14:paraId="0CD1874B" w14:textId="77777777" w:rsidTr="00D643D9">
        <w:trPr>
          <w:cantSplit/>
        </w:trPr>
        <w:tc>
          <w:tcPr>
            <w:tcW w:w="2262" w:type="dxa"/>
            <w:shd w:val="clear" w:color="auto" w:fill="auto"/>
          </w:tcPr>
          <w:p w14:paraId="57E125FE" w14:textId="77777777" w:rsidR="00480328" w:rsidRPr="00406D8A" w:rsidRDefault="0039565E" w:rsidP="00804E6C">
            <w:pPr>
              <w:rPr>
                <w:rFonts w:cs="Arial"/>
                <w:sz w:val="22"/>
              </w:rPr>
            </w:pPr>
            <w:r w:rsidRPr="00406D8A">
              <w:rPr>
                <w:rFonts w:cs="Arial"/>
                <w:sz w:val="22"/>
              </w:rPr>
              <w:lastRenderedPageBreak/>
              <w:t>Group 2:</w:t>
            </w:r>
          </w:p>
          <w:p w14:paraId="20EA80CA" w14:textId="176FC35F" w:rsidR="0039565E" w:rsidRPr="00406D8A" w:rsidRDefault="00F4762A" w:rsidP="00804E6C">
            <w:pPr>
              <w:rPr>
                <w:rFonts w:cs="Arial"/>
                <w:sz w:val="22"/>
              </w:rPr>
            </w:pPr>
            <w:r w:rsidRPr="00406D8A">
              <w:rPr>
                <w:rFonts w:cs="Arial"/>
                <w:sz w:val="22"/>
              </w:rPr>
              <w:t>Higher risk imaging services</w:t>
            </w:r>
          </w:p>
        </w:tc>
        <w:tc>
          <w:tcPr>
            <w:tcW w:w="2262" w:type="dxa"/>
            <w:shd w:val="clear" w:color="auto" w:fill="auto"/>
          </w:tcPr>
          <w:p w14:paraId="5F5B78A2" w14:textId="19B14B8E" w:rsidR="00480328" w:rsidRPr="00406D8A" w:rsidRDefault="00B47267" w:rsidP="00B47267">
            <w:pPr>
              <w:pStyle w:val="ListParagraph"/>
              <w:numPr>
                <w:ilvl w:val="0"/>
                <w:numId w:val="28"/>
              </w:numPr>
              <w:spacing w:after="120" w:line="240" w:lineRule="auto"/>
              <w:ind w:left="170" w:hanging="170"/>
              <w:contextualSpacing w:val="0"/>
              <w:rPr>
                <w:rFonts w:cs="Arial"/>
                <w:sz w:val="22"/>
              </w:rPr>
            </w:pPr>
            <w:r w:rsidRPr="00406D8A">
              <w:rPr>
                <w:rFonts w:cs="Arial"/>
                <w:sz w:val="22"/>
              </w:rPr>
              <w:t>Radiology (including MRI), nuclear medicine and interventional imaging* practices</w:t>
            </w:r>
          </w:p>
        </w:tc>
        <w:tc>
          <w:tcPr>
            <w:tcW w:w="2263" w:type="dxa"/>
            <w:shd w:val="clear" w:color="auto" w:fill="auto"/>
          </w:tcPr>
          <w:p w14:paraId="474948B2" w14:textId="77777777" w:rsidR="00FB3300" w:rsidRPr="00406D8A" w:rsidRDefault="00FB3300" w:rsidP="00FB3300">
            <w:pPr>
              <w:pStyle w:val="ListParagraph"/>
              <w:numPr>
                <w:ilvl w:val="0"/>
                <w:numId w:val="28"/>
              </w:numPr>
              <w:spacing w:after="120" w:line="240" w:lineRule="auto"/>
              <w:ind w:left="170" w:hanging="170"/>
              <w:contextualSpacing w:val="0"/>
              <w:rPr>
                <w:rFonts w:cs="Arial"/>
                <w:sz w:val="22"/>
              </w:rPr>
            </w:pPr>
            <w:r w:rsidRPr="00406D8A">
              <w:rPr>
                <w:rFonts w:cs="Arial"/>
                <w:sz w:val="22"/>
              </w:rPr>
              <w:t>Hybrid assessments</w:t>
            </w:r>
          </w:p>
          <w:p w14:paraId="532FC1FB" w14:textId="5BCD377B" w:rsidR="00480328" w:rsidRPr="00406D8A" w:rsidRDefault="00FB3300" w:rsidP="00804E6C">
            <w:pPr>
              <w:pStyle w:val="ListParagraph"/>
              <w:numPr>
                <w:ilvl w:val="0"/>
                <w:numId w:val="28"/>
              </w:numPr>
              <w:spacing w:after="120" w:line="240" w:lineRule="auto"/>
              <w:ind w:left="170" w:hanging="170"/>
              <w:contextualSpacing w:val="0"/>
              <w:rPr>
                <w:rFonts w:cs="Arial"/>
                <w:sz w:val="22"/>
              </w:rPr>
            </w:pPr>
            <w:r w:rsidRPr="00406D8A">
              <w:rPr>
                <w:rFonts w:cs="Arial"/>
                <w:sz w:val="22"/>
              </w:rPr>
              <w:t>Could include sampling where there are multiple networked sites</w:t>
            </w:r>
          </w:p>
        </w:tc>
        <w:tc>
          <w:tcPr>
            <w:tcW w:w="2263" w:type="dxa"/>
            <w:shd w:val="clear" w:color="auto" w:fill="auto"/>
          </w:tcPr>
          <w:p w14:paraId="3D9E1B0D" w14:textId="77777777" w:rsidR="00FD498A" w:rsidRPr="00406D8A" w:rsidRDefault="00FD498A" w:rsidP="00FD498A">
            <w:pPr>
              <w:pStyle w:val="ListParagraph"/>
              <w:numPr>
                <w:ilvl w:val="0"/>
                <w:numId w:val="28"/>
              </w:numPr>
              <w:spacing w:after="120" w:line="240" w:lineRule="auto"/>
              <w:ind w:left="170" w:hanging="170"/>
              <w:contextualSpacing w:val="0"/>
              <w:rPr>
                <w:rFonts w:cs="Arial"/>
                <w:sz w:val="22"/>
              </w:rPr>
            </w:pPr>
            <w:r w:rsidRPr="00406D8A">
              <w:rPr>
                <w:rFonts w:cs="Arial"/>
                <w:sz w:val="22"/>
              </w:rPr>
              <w:t>First assessment of relevant actions in the NSQMI Standards announced</w:t>
            </w:r>
          </w:p>
          <w:p w14:paraId="7580A5D3" w14:textId="77777777" w:rsidR="00FD498A" w:rsidRPr="00406D8A" w:rsidRDefault="00FD498A" w:rsidP="00FD498A">
            <w:pPr>
              <w:pStyle w:val="ListParagraph"/>
              <w:numPr>
                <w:ilvl w:val="0"/>
                <w:numId w:val="28"/>
              </w:numPr>
              <w:spacing w:after="120" w:line="240" w:lineRule="auto"/>
              <w:ind w:left="170" w:hanging="170"/>
              <w:contextualSpacing w:val="0"/>
              <w:rPr>
                <w:rFonts w:cs="Arial"/>
                <w:sz w:val="22"/>
              </w:rPr>
            </w:pPr>
            <w:r w:rsidRPr="00406D8A">
              <w:rPr>
                <w:rFonts w:cs="Arial"/>
                <w:sz w:val="22"/>
              </w:rPr>
              <w:t>All subsequent assessments at short notice to relevant actions in the NSQMI Standards</w:t>
            </w:r>
          </w:p>
          <w:p w14:paraId="6A319FEF" w14:textId="63668344" w:rsidR="00480328" w:rsidRPr="00406D8A" w:rsidRDefault="00FD498A" w:rsidP="00FD498A">
            <w:pPr>
              <w:pStyle w:val="ListParagraph"/>
              <w:numPr>
                <w:ilvl w:val="0"/>
                <w:numId w:val="28"/>
              </w:numPr>
              <w:spacing w:after="120" w:line="240" w:lineRule="auto"/>
              <w:ind w:left="170" w:hanging="170"/>
              <w:contextualSpacing w:val="0"/>
              <w:rPr>
                <w:rFonts w:cs="Arial"/>
                <w:sz w:val="22"/>
              </w:rPr>
            </w:pPr>
            <w:r w:rsidRPr="00406D8A">
              <w:rPr>
                <w:rFonts w:cs="Arial"/>
                <w:sz w:val="22"/>
              </w:rPr>
              <w:t>Three-year accreditation cycle</w:t>
            </w:r>
          </w:p>
        </w:tc>
      </w:tr>
      <w:tr w:rsidR="00480328" w:rsidRPr="00406D8A" w14:paraId="73F67534" w14:textId="77777777" w:rsidTr="00D643D9">
        <w:trPr>
          <w:cantSplit/>
        </w:trPr>
        <w:tc>
          <w:tcPr>
            <w:tcW w:w="2262" w:type="dxa"/>
            <w:shd w:val="clear" w:color="auto" w:fill="auto"/>
          </w:tcPr>
          <w:p w14:paraId="7517B250" w14:textId="77777777" w:rsidR="00480328" w:rsidRPr="00406D8A" w:rsidRDefault="00F4762A" w:rsidP="00804E6C">
            <w:pPr>
              <w:rPr>
                <w:rFonts w:cs="Arial"/>
                <w:sz w:val="22"/>
              </w:rPr>
            </w:pPr>
            <w:r w:rsidRPr="00406D8A">
              <w:rPr>
                <w:rFonts w:cs="Arial"/>
                <w:sz w:val="22"/>
              </w:rPr>
              <w:t>Group 3</w:t>
            </w:r>
          </w:p>
          <w:p w14:paraId="5D3FF833" w14:textId="52F6429A" w:rsidR="00F4762A" w:rsidRPr="00406D8A" w:rsidRDefault="00F4762A" w:rsidP="00804E6C">
            <w:pPr>
              <w:rPr>
                <w:rFonts w:cs="Arial"/>
                <w:sz w:val="22"/>
              </w:rPr>
            </w:pPr>
            <w:r w:rsidRPr="00406D8A">
              <w:rPr>
                <w:rFonts w:cs="Arial"/>
                <w:sz w:val="22"/>
              </w:rPr>
              <w:t xml:space="preserve">Imaging services operated in facilities already accreditation to the </w:t>
            </w:r>
            <w:r w:rsidR="000376D4" w:rsidRPr="00406D8A">
              <w:rPr>
                <w:rFonts w:cs="Arial"/>
                <w:sz w:val="22"/>
              </w:rPr>
              <w:t>NSQHS standards</w:t>
            </w:r>
          </w:p>
        </w:tc>
        <w:tc>
          <w:tcPr>
            <w:tcW w:w="2262" w:type="dxa"/>
            <w:shd w:val="clear" w:color="auto" w:fill="auto"/>
          </w:tcPr>
          <w:p w14:paraId="7A219FF4" w14:textId="34CF8A0D" w:rsidR="00480328" w:rsidRPr="00406D8A" w:rsidRDefault="00C54993" w:rsidP="00A43141">
            <w:pPr>
              <w:pStyle w:val="ListParagraph"/>
              <w:numPr>
                <w:ilvl w:val="0"/>
                <w:numId w:val="28"/>
              </w:numPr>
              <w:spacing w:after="120" w:line="240" w:lineRule="auto"/>
              <w:ind w:left="170" w:hanging="170"/>
              <w:contextualSpacing w:val="0"/>
              <w:rPr>
                <w:rFonts w:cs="Arial"/>
                <w:sz w:val="22"/>
              </w:rPr>
            </w:pPr>
            <w:r w:rsidRPr="00406D8A">
              <w:rPr>
                <w:rFonts w:cs="Arial"/>
                <w:sz w:val="22"/>
              </w:rPr>
              <w:t>Ultrasound, r</w:t>
            </w:r>
            <w:r w:rsidR="00A43141" w:rsidRPr="00406D8A">
              <w:rPr>
                <w:rFonts w:cs="Arial"/>
                <w:sz w:val="22"/>
              </w:rPr>
              <w:t>adiology</w:t>
            </w:r>
            <w:r w:rsidRPr="00406D8A">
              <w:rPr>
                <w:rFonts w:cs="Arial"/>
                <w:sz w:val="22"/>
              </w:rPr>
              <w:t>(including MRI)</w:t>
            </w:r>
            <w:r w:rsidR="00A43141" w:rsidRPr="00406D8A">
              <w:rPr>
                <w:rFonts w:cs="Arial"/>
                <w:sz w:val="22"/>
              </w:rPr>
              <w:t>, nuclear medicine and interventional imaging</w:t>
            </w:r>
            <w:r w:rsidR="001B6BF2">
              <w:rPr>
                <w:rFonts w:cs="Arial"/>
                <w:sz w:val="22"/>
              </w:rPr>
              <w:t>*</w:t>
            </w:r>
            <w:r w:rsidR="00A43141" w:rsidRPr="00406D8A">
              <w:rPr>
                <w:rFonts w:cs="Arial"/>
                <w:sz w:val="22"/>
              </w:rPr>
              <w:t xml:space="preserve"> practices</w:t>
            </w:r>
          </w:p>
        </w:tc>
        <w:tc>
          <w:tcPr>
            <w:tcW w:w="2263" w:type="dxa"/>
            <w:shd w:val="clear" w:color="auto" w:fill="auto"/>
          </w:tcPr>
          <w:p w14:paraId="77025543" w14:textId="50B6FC8B" w:rsidR="00480328" w:rsidRPr="00406D8A" w:rsidRDefault="00C67900" w:rsidP="00C67900">
            <w:pPr>
              <w:pStyle w:val="ListParagraph"/>
              <w:numPr>
                <w:ilvl w:val="0"/>
                <w:numId w:val="28"/>
              </w:numPr>
              <w:spacing w:after="120" w:line="240" w:lineRule="auto"/>
              <w:ind w:left="170" w:hanging="170"/>
              <w:contextualSpacing w:val="0"/>
              <w:rPr>
                <w:rFonts w:cs="Arial"/>
                <w:sz w:val="22"/>
              </w:rPr>
            </w:pPr>
            <w:r w:rsidRPr="00406D8A">
              <w:rPr>
                <w:rFonts w:cs="Arial"/>
                <w:sz w:val="22"/>
              </w:rPr>
              <w:t>Short notice, onsite assessment</w:t>
            </w:r>
          </w:p>
        </w:tc>
        <w:tc>
          <w:tcPr>
            <w:tcW w:w="2263" w:type="dxa"/>
            <w:shd w:val="clear" w:color="auto" w:fill="auto"/>
          </w:tcPr>
          <w:p w14:paraId="2E3B1185" w14:textId="77777777" w:rsidR="003D3F44" w:rsidRPr="00406D8A" w:rsidRDefault="003D3F44" w:rsidP="003D3F44">
            <w:pPr>
              <w:pStyle w:val="ListParagraph"/>
              <w:numPr>
                <w:ilvl w:val="0"/>
                <w:numId w:val="28"/>
              </w:numPr>
              <w:spacing w:after="120" w:line="240" w:lineRule="auto"/>
              <w:ind w:left="170" w:hanging="170"/>
              <w:contextualSpacing w:val="0"/>
              <w:rPr>
                <w:rFonts w:cs="Arial"/>
                <w:sz w:val="22"/>
              </w:rPr>
            </w:pPr>
            <w:r w:rsidRPr="00406D8A">
              <w:rPr>
                <w:rFonts w:cs="Arial"/>
                <w:sz w:val="22"/>
              </w:rPr>
              <w:t>Assessment aligned with the NSQHS assessment cycle</w:t>
            </w:r>
          </w:p>
          <w:p w14:paraId="2B1BD7A3" w14:textId="77777777" w:rsidR="003D3F44" w:rsidRPr="00406D8A" w:rsidRDefault="003D3F44" w:rsidP="003D3F44">
            <w:pPr>
              <w:pStyle w:val="ListParagraph"/>
              <w:numPr>
                <w:ilvl w:val="0"/>
                <w:numId w:val="28"/>
              </w:numPr>
              <w:spacing w:after="120" w:line="240" w:lineRule="auto"/>
              <w:ind w:left="170" w:hanging="170"/>
              <w:contextualSpacing w:val="0"/>
              <w:rPr>
                <w:rFonts w:cs="Arial"/>
                <w:sz w:val="22"/>
              </w:rPr>
            </w:pPr>
            <w:r w:rsidRPr="00406D8A">
              <w:rPr>
                <w:rFonts w:cs="Arial"/>
                <w:sz w:val="22"/>
              </w:rPr>
              <w:t>Assessed to the NSQHS Standards and Medical Imaging Module**</w:t>
            </w:r>
          </w:p>
          <w:p w14:paraId="1E8DF0D2" w14:textId="77777777" w:rsidR="003D3F44" w:rsidRPr="00406D8A" w:rsidRDefault="003D3F44" w:rsidP="003D3F44">
            <w:pPr>
              <w:pStyle w:val="ListParagraph"/>
              <w:numPr>
                <w:ilvl w:val="0"/>
                <w:numId w:val="28"/>
              </w:numPr>
              <w:spacing w:after="120" w:line="240" w:lineRule="auto"/>
              <w:ind w:left="170" w:hanging="170"/>
              <w:contextualSpacing w:val="0"/>
              <w:rPr>
                <w:rFonts w:cs="Arial"/>
                <w:sz w:val="22"/>
              </w:rPr>
            </w:pPr>
            <w:r w:rsidRPr="00406D8A">
              <w:rPr>
                <w:rFonts w:cs="Arial"/>
                <w:sz w:val="22"/>
              </w:rPr>
              <w:t xml:space="preserve">Assessment at short notice </w:t>
            </w:r>
          </w:p>
          <w:p w14:paraId="2F8DF4D6" w14:textId="4325DCA1" w:rsidR="00480328" w:rsidRPr="00406D8A" w:rsidRDefault="003D3F44" w:rsidP="003D3F44">
            <w:pPr>
              <w:pStyle w:val="ListParagraph"/>
              <w:numPr>
                <w:ilvl w:val="0"/>
                <w:numId w:val="28"/>
              </w:numPr>
              <w:spacing w:after="120" w:line="240" w:lineRule="auto"/>
              <w:ind w:left="170" w:hanging="170"/>
              <w:contextualSpacing w:val="0"/>
              <w:rPr>
                <w:rFonts w:cs="Arial"/>
                <w:sz w:val="22"/>
              </w:rPr>
            </w:pPr>
            <w:r w:rsidRPr="00406D8A">
              <w:rPr>
                <w:rFonts w:cs="Arial"/>
                <w:sz w:val="22"/>
              </w:rPr>
              <w:t>Three-year accreditation cycle</w:t>
            </w:r>
          </w:p>
        </w:tc>
      </w:tr>
    </w:tbl>
    <w:p w14:paraId="3628617E" w14:textId="77777777" w:rsidR="001B6BF2" w:rsidRPr="001B6BF2" w:rsidRDefault="001B6BF2" w:rsidP="001B6BF2">
      <w:pPr>
        <w:rPr>
          <w:rFonts w:ascii="Arial" w:eastAsia="Arial" w:hAnsi="Arial" w:cs="Arial"/>
          <w:sz w:val="18"/>
          <w:szCs w:val="18"/>
        </w:rPr>
      </w:pPr>
      <w:r w:rsidRPr="001B6BF2">
        <w:rPr>
          <w:rFonts w:cstheme="minorHAnsi"/>
          <w:sz w:val="18"/>
          <w:szCs w:val="18"/>
        </w:rPr>
        <w:t>*</w:t>
      </w:r>
      <w:r w:rsidRPr="001B6BF2">
        <w:rPr>
          <w:rFonts w:ascii="Arial" w:hAnsi="Arial" w:cs="Arial"/>
          <w:sz w:val="18"/>
          <w:szCs w:val="18"/>
        </w:rPr>
        <w:t xml:space="preserve">Interventional imaging is </w:t>
      </w:r>
      <w:r w:rsidRPr="001B6BF2">
        <w:rPr>
          <w:rFonts w:ascii="Arial" w:eastAsia="Arial" w:hAnsi="Arial" w:cs="Arial"/>
          <w:sz w:val="18"/>
          <w:szCs w:val="18"/>
        </w:rPr>
        <w:t>the clinical subspecialty that uses medical imaging such as x-ray fluoroscopy, Computed Tomography (CT),  Magnetic Resonance Imaging (MRI)and ultrasound to guide percutaneous procedures.</w:t>
      </w:r>
    </w:p>
    <w:p w14:paraId="08D3F01F" w14:textId="32370AD4" w:rsidR="00E22C7E" w:rsidRDefault="001B6BF2" w:rsidP="00804E6C">
      <w:pPr>
        <w:rPr>
          <w:rFonts w:ascii="Arial" w:eastAsia="Arial" w:hAnsi="Arial" w:cs="Arial"/>
          <w:sz w:val="18"/>
          <w:szCs w:val="18"/>
        </w:rPr>
      </w:pPr>
      <w:r w:rsidRPr="001B6BF2">
        <w:rPr>
          <w:rFonts w:ascii="Arial" w:eastAsia="Arial" w:hAnsi="Arial" w:cs="Arial"/>
          <w:sz w:val="18"/>
          <w:szCs w:val="18"/>
        </w:rPr>
        <w:t>** The Medical Imaging Module is developed by mapping the NSQHS and NSQMI Standards and including in the module only those actions that are unique to the Medical Imaging, removing duplication and reducing the compliance burden for health service organisations that need to meet both sets of standards.</w:t>
      </w:r>
    </w:p>
    <w:p w14:paraId="6C3D751D" w14:textId="192D798D" w:rsidR="00440D53" w:rsidRPr="00440D53" w:rsidRDefault="00440D53" w:rsidP="00440D53">
      <w:pPr>
        <w:pStyle w:val="Heading2"/>
        <w:rPr>
          <w:color w:val="005370"/>
        </w:rPr>
      </w:pPr>
      <w:r w:rsidRPr="00440D53">
        <w:rPr>
          <w:color w:val="005370"/>
        </w:rPr>
        <w:t>Call-to-action</w:t>
      </w:r>
    </w:p>
    <w:p w14:paraId="0CC2DA0A" w14:textId="691BFEE5" w:rsidR="00440D53" w:rsidRPr="00440D53" w:rsidRDefault="00440D53" w:rsidP="00440D53">
      <w:pPr>
        <w:rPr>
          <w:rStyle w:val="Hyperlink"/>
          <w:color w:val="005370"/>
        </w:rPr>
      </w:pPr>
      <w:r>
        <w:t xml:space="preserve">For more information, please visit: </w:t>
      </w:r>
      <w:hyperlink r:id="rId12" w:history="1">
        <w:r>
          <w:rPr>
            <w:rStyle w:val="Hyperlink"/>
            <w:color w:val="005370"/>
          </w:rPr>
          <w:t>safetyandquality.gov.au/standards/diagnostic-imaging</w:t>
        </w:r>
      </w:hyperlink>
    </w:p>
    <w:p w14:paraId="2A3378E4" w14:textId="461C37D8" w:rsidR="00440D53" w:rsidRPr="00440D53" w:rsidRDefault="00440D53" w:rsidP="00440D53">
      <w:pPr>
        <w:rPr>
          <w:color w:val="005370"/>
        </w:rPr>
      </w:pPr>
      <w:r>
        <w:t xml:space="preserve">You can also contact the project team at: </w:t>
      </w:r>
      <w:hyperlink r:id="rId13" w:history="1">
        <w:r>
          <w:rPr>
            <w:rStyle w:val="Hyperlink"/>
            <w:color w:val="005370"/>
          </w:rPr>
          <w:t>diagnosticimaging@safetyandquality.gov.au</w:t>
        </w:r>
      </w:hyperlink>
    </w:p>
    <w:p w14:paraId="345740CC" w14:textId="71B65CC4" w:rsidR="001B691B" w:rsidRPr="00440D53" w:rsidRDefault="001B691B" w:rsidP="001B691B">
      <w:pPr>
        <w:pStyle w:val="SandQwebaddress"/>
        <w:rPr>
          <w:b/>
          <w:bCs/>
          <w:color w:val="005370"/>
          <w:sz w:val="26"/>
          <w:szCs w:val="26"/>
        </w:rPr>
      </w:pPr>
      <w:hyperlink r:id="rId14" w:history="1">
        <w:r w:rsidRPr="00440D53">
          <w:rPr>
            <w:rStyle w:val="Hyperlink"/>
            <w:b/>
            <w:bCs/>
            <w:color w:val="005370"/>
            <w:sz w:val="26"/>
            <w:szCs w:val="26"/>
          </w:rPr>
          <w:t>safetyandquality.gov.au</w:t>
        </w:r>
      </w:hyperlink>
    </w:p>
    <w:p w14:paraId="125D9C11" w14:textId="33CE069A" w:rsidR="001B691B" w:rsidRPr="00440D53" w:rsidRDefault="001B691B" w:rsidP="001B691B">
      <w:pPr>
        <w:pStyle w:val="FootnoteText"/>
        <w:tabs>
          <w:tab w:val="right" w:pos="8931"/>
        </w:tabs>
        <w:rPr>
          <w:rStyle w:val="Roman"/>
          <w:rFonts w:eastAsia="MS Gothic"/>
          <w:color w:val="000000" w:themeColor="text1"/>
        </w:rPr>
      </w:pPr>
      <w:r>
        <w:rPr>
          <w:noProof/>
        </w:rPr>
        <w:drawing>
          <wp:anchor distT="0" distB="0" distL="114300" distR="114300" simplePos="0" relativeHeight="251686912" behindDoc="0" locked="0" layoutInCell="1" allowOverlap="1" wp14:anchorId="205044D9" wp14:editId="426E045C">
            <wp:simplePos x="0" y="0"/>
            <wp:positionH relativeFrom="column">
              <wp:posOffset>0</wp:posOffset>
            </wp:positionH>
            <wp:positionV relativeFrom="paragraph">
              <wp:posOffset>34290</wp:posOffset>
            </wp:positionV>
            <wp:extent cx="840105" cy="297815"/>
            <wp:effectExtent l="0" t="0" r="0" b="0"/>
            <wp:wrapSquare wrapText="bothSides"/>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B96">
        <w:rPr>
          <w:rStyle w:val="Roman"/>
          <w:rFonts w:eastAsia="MS Gothic"/>
        </w:rPr>
        <w:t xml:space="preserve">© Australian Commission on Safety </w:t>
      </w:r>
      <w:r w:rsidRPr="00EA0B96">
        <w:rPr>
          <w:rStyle w:val="Roman"/>
          <w:rFonts w:eastAsia="MS Gothic"/>
        </w:rPr>
        <w:br/>
        <w:t xml:space="preserve">and Quality in Health Care </w:t>
      </w:r>
      <w:r w:rsidR="00440D53" w:rsidRPr="00440D53">
        <w:rPr>
          <w:rStyle w:val="Roman"/>
          <w:rFonts w:eastAsia="MS Gothic"/>
          <w:color w:val="000000" w:themeColor="text1"/>
        </w:rPr>
        <w:t>2025</w:t>
      </w:r>
    </w:p>
    <w:sectPr w:rsidR="001B691B" w:rsidRPr="00440D53" w:rsidSect="00146B97">
      <w:headerReference w:type="even" r:id="rId16"/>
      <w:headerReference w:type="default" r:id="rId17"/>
      <w:footerReference w:type="even" r:id="rId18"/>
      <w:footerReference w:type="default" r:id="rId19"/>
      <w:headerReference w:type="first" r:id="rId20"/>
      <w:footerReference w:type="first" r:id="rId21"/>
      <w:pgSz w:w="11906" w:h="16838"/>
      <w:pgMar w:top="2127"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2E814" w14:textId="77777777" w:rsidR="00666A89" w:rsidRDefault="00666A89" w:rsidP="000B0274">
      <w:r>
        <w:separator/>
      </w:r>
    </w:p>
  </w:endnote>
  <w:endnote w:type="continuationSeparator" w:id="0">
    <w:p w14:paraId="3DA7E60D" w14:textId="77777777" w:rsidR="00666A89" w:rsidRDefault="00666A89"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9128319"/>
      <w:docPartObj>
        <w:docPartGallery w:val="Page Numbers (Bottom of Page)"/>
        <w:docPartUnique/>
      </w:docPartObj>
    </w:sdtPr>
    <w:sdtEndPr>
      <w:rPr>
        <w:noProof/>
      </w:rPr>
    </w:sdtEndPr>
    <w:sdtContent>
      <w:p w14:paraId="11F05BE5" w14:textId="0E37427E" w:rsidR="00A33FC0" w:rsidRPr="00334419" w:rsidRDefault="00A33FC0">
        <w:pPr>
          <w:pStyle w:val="Footer"/>
          <w:rPr>
            <w:noProof/>
            <w:sz w:val="12"/>
            <w:szCs w:val="12"/>
          </w:rPr>
        </w:pPr>
        <w:r>
          <w:fldChar w:fldCharType="begin"/>
        </w:r>
        <w:r>
          <w:instrText xml:space="preserve"> PAGE   \* MERGEFORMAT </w:instrText>
        </w:r>
        <w:r>
          <w:fldChar w:fldCharType="separate"/>
        </w:r>
        <w:r w:rsidR="002D6CC7">
          <w:rPr>
            <w:noProof/>
          </w:rPr>
          <w:t>2</w:t>
        </w:r>
        <w:r>
          <w:rPr>
            <w:noProof/>
          </w:rPr>
          <w:fldChar w:fldCharType="end"/>
        </w:r>
        <w:r>
          <w:rPr>
            <w:noProof/>
          </w:rPr>
          <w:tab/>
        </w:r>
        <w:r>
          <w:rPr>
            <w:noProof/>
          </w:rPr>
          <w:tab/>
        </w:r>
        <w:r w:rsidRPr="00334419">
          <w:rPr>
            <w:noProof/>
            <w:sz w:val="12"/>
            <w:szCs w:val="12"/>
          </w:rPr>
          <w:t>© ACSQHC 20</w:t>
        </w:r>
        <w:r w:rsidR="009979DE">
          <w:rPr>
            <w:noProof/>
            <w:sz w:val="12"/>
            <w:szCs w:val="12"/>
          </w:rPr>
          <w:t>25</w:t>
        </w:r>
      </w:p>
      <w:p w14:paraId="4D021BD5" w14:textId="77777777" w:rsidR="00A33FC0" w:rsidRDefault="00A33FC0">
        <w:pPr>
          <w:pStyle w:val="Footer"/>
        </w:pPr>
        <w:r>
          <w:rPr>
            <w:noProof/>
          </w:rPr>
          <w:tab/>
        </w:r>
        <w:r>
          <w:rPr>
            <w:noProof/>
          </w:rPr>
          <w:tab/>
          <w:t xml:space="preserve">       </w:t>
        </w:r>
        <w:r>
          <w:rPr>
            <w:noProof/>
          </w:rPr>
          <w:drawing>
            <wp:inline distT="0" distB="0" distL="0" distR="0" wp14:anchorId="43140FB7" wp14:editId="2222C7DE">
              <wp:extent cx="462845" cy="87362"/>
              <wp:effectExtent l="0" t="0" r="0" b="8255"/>
              <wp:docPr id="1432047746" name="Picture 14320477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047746" name="Picture 143204774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670" cy="88650"/>
                      </a:xfrm>
                      <a:prstGeom prst="rect">
                        <a:avLst/>
                      </a:prstGeom>
                      <a:noFill/>
                      <a:ln>
                        <a:noFill/>
                      </a:ln>
                    </pic:spPr>
                  </pic:pic>
                </a:graphicData>
              </a:graphic>
            </wp:inline>
          </w:drawing>
        </w:r>
      </w:p>
    </w:sdtContent>
  </w:sdt>
  <w:p w14:paraId="64F2AAB2" w14:textId="77777777" w:rsidR="00A33FC0" w:rsidRDefault="00A33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BDD85" w14:textId="19223DDF" w:rsidR="009B053D" w:rsidRPr="00D643D9" w:rsidRDefault="008B60F2" w:rsidP="00D643D9">
    <w:pPr>
      <w:pStyle w:val="Subheading"/>
      <w:rPr>
        <w:sz w:val="20"/>
        <w:szCs w:val="20"/>
      </w:rPr>
    </w:pPr>
    <w:r w:rsidRPr="00D643D9">
      <w:rPr>
        <w:rFonts w:eastAsiaTheme="majorEastAsia" w:cstheme="minorHAnsi"/>
        <w:kern w:val="28"/>
        <w:sz w:val="20"/>
        <w:szCs w:val="20"/>
        <w:lang w:val="en-GB"/>
      </w:rPr>
      <w:t xml:space="preserve">Australian Safety and Quality Medical Imaging Accreditation Scheme </w:t>
    </w:r>
    <w:r w:rsidRPr="00D643D9">
      <w:rPr>
        <w:rFonts w:cstheme="minorHAnsi"/>
        <w:sz w:val="20"/>
        <w:szCs w:val="20"/>
        <w:lang w:val="en-GB"/>
      </w:rPr>
      <w:t>Consultation Paper</w:t>
    </w:r>
    <w:r w:rsidR="009B053D" w:rsidRPr="00D643D9">
      <w:rPr>
        <w:sz w:val="20"/>
        <w:szCs w:val="20"/>
      </w:rPr>
      <w:tab/>
    </w:r>
    <w:r w:rsidR="009B053D" w:rsidRPr="00D643D9">
      <w:rPr>
        <w:sz w:val="20"/>
        <w:szCs w:val="20"/>
      </w:rPr>
      <w:tab/>
    </w:r>
    <w:r w:rsidR="009B053D" w:rsidRPr="00D643D9">
      <w:rPr>
        <w:sz w:val="20"/>
        <w:szCs w:val="20"/>
      </w:rPr>
      <w:fldChar w:fldCharType="begin"/>
    </w:r>
    <w:r w:rsidR="009B053D" w:rsidRPr="00D643D9">
      <w:rPr>
        <w:sz w:val="20"/>
        <w:szCs w:val="20"/>
      </w:rPr>
      <w:instrText xml:space="preserve"> PAGE   \* MERGEFORMAT </w:instrText>
    </w:r>
    <w:r w:rsidR="009B053D" w:rsidRPr="00D643D9">
      <w:rPr>
        <w:sz w:val="20"/>
        <w:szCs w:val="20"/>
      </w:rPr>
      <w:fldChar w:fldCharType="separate"/>
    </w:r>
    <w:r w:rsidR="00A33FC0" w:rsidRPr="00D643D9">
      <w:rPr>
        <w:noProof/>
        <w:sz w:val="20"/>
        <w:szCs w:val="20"/>
      </w:rPr>
      <w:t>2</w:t>
    </w:r>
    <w:r w:rsidR="009B053D" w:rsidRPr="00D643D9">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222878"/>
      <w:docPartObj>
        <w:docPartGallery w:val="Page Numbers (Bottom of Page)"/>
        <w:docPartUnique/>
      </w:docPartObj>
    </w:sdtPr>
    <w:sdtEndPr>
      <w:rPr>
        <w:rFonts w:cstheme="minorHAnsi"/>
        <w:noProof/>
        <w:sz w:val="20"/>
        <w:szCs w:val="20"/>
      </w:rPr>
    </w:sdtEndPr>
    <w:sdtContent>
      <w:p w14:paraId="774AD744" w14:textId="6ABE24FE" w:rsidR="008A58F9" w:rsidRPr="00223198" w:rsidRDefault="00E0390F" w:rsidP="00223198">
        <w:pPr>
          <w:pStyle w:val="Subheading"/>
          <w:rPr>
            <w:rFonts w:cstheme="minorHAnsi"/>
            <w:sz w:val="20"/>
            <w:szCs w:val="20"/>
          </w:rPr>
        </w:pPr>
        <w:r w:rsidRPr="00E0390F">
          <w:rPr>
            <w:rFonts w:ascii="Arial" w:eastAsiaTheme="majorEastAsia" w:hAnsi="Arial" w:cs="Arial"/>
            <w:kern w:val="28"/>
            <w:sz w:val="20"/>
            <w:szCs w:val="20"/>
            <w:lang w:val="en-GB"/>
          </w:rPr>
          <w:t>Australian Safety and Quality Medical Imaging Accreditation Scheme</w:t>
        </w:r>
        <w:r>
          <w:rPr>
            <w:rFonts w:ascii="Arial" w:eastAsiaTheme="majorEastAsia" w:hAnsi="Arial" w:cs="Arial"/>
            <w:kern w:val="28"/>
            <w:sz w:val="20"/>
            <w:szCs w:val="20"/>
            <w:lang w:val="en-GB"/>
          </w:rPr>
          <w:t xml:space="preserve"> </w:t>
        </w:r>
        <w:r w:rsidRPr="00E0390F">
          <w:rPr>
            <w:rFonts w:ascii="Arial" w:hAnsi="Arial" w:cs="Arial"/>
            <w:sz w:val="20"/>
            <w:szCs w:val="20"/>
            <w:lang w:val="en-GB"/>
          </w:rPr>
          <w:t>Consultation Paper</w:t>
        </w:r>
        <w:r>
          <w:rPr>
            <w:rFonts w:ascii="Arial" w:hAnsi="Arial" w:cs="Arial"/>
            <w:sz w:val="20"/>
            <w:szCs w:val="20"/>
            <w:lang w:val="en-GB"/>
          </w:rPr>
          <w:t xml:space="preserve">           </w:t>
        </w:r>
        <w:r>
          <w:rPr>
            <w:rFonts w:ascii="Arial" w:hAnsi="Arial" w:cs="Arial"/>
            <w:sz w:val="20"/>
            <w:szCs w:val="20"/>
            <w:lang w:val="en-GB"/>
          </w:rPr>
          <w:tab/>
          <w:t xml:space="preserve">  </w:t>
        </w:r>
        <w:r w:rsidR="00A33FC0" w:rsidRPr="00E0390F">
          <w:rPr>
            <w:rFonts w:cstheme="minorHAnsi"/>
            <w:sz w:val="20"/>
            <w:szCs w:val="20"/>
          </w:rPr>
          <w:fldChar w:fldCharType="begin"/>
        </w:r>
        <w:r w:rsidR="00A33FC0" w:rsidRPr="00E0390F">
          <w:rPr>
            <w:rFonts w:cstheme="minorHAnsi"/>
            <w:sz w:val="20"/>
            <w:szCs w:val="20"/>
          </w:rPr>
          <w:instrText xml:space="preserve"> PAGE   \* MERGEFORMAT </w:instrText>
        </w:r>
        <w:r w:rsidR="00A33FC0" w:rsidRPr="00E0390F">
          <w:rPr>
            <w:rFonts w:cstheme="minorHAnsi"/>
            <w:sz w:val="20"/>
            <w:szCs w:val="20"/>
          </w:rPr>
          <w:fldChar w:fldCharType="separate"/>
        </w:r>
        <w:r w:rsidR="002D6CC7" w:rsidRPr="00E0390F">
          <w:rPr>
            <w:rFonts w:cstheme="minorHAnsi"/>
            <w:noProof/>
            <w:sz w:val="20"/>
            <w:szCs w:val="20"/>
          </w:rPr>
          <w:t>1</w:t>
        </w:r>
        <w:r w:rsidR="00A33FC0" w:rsidRPr="00E0390F">
          <w:rPr>
            <w:rFonts w:cs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160C9" w14:textId="77777777" w:rsidR="00666A89" w:rsidRDefault="00666A89" w:rsidP="000B0274">
      <w:r>
        <w:separator/>
      </w:r>
    </w:p>
  </w:footnote>
  <w:footnote w:type="continuationSeparator" w:id="0">
    <w:p w14:paraId="64EE0BAE" w14:textId="77777777" w:rsidR="00666A89" w:rsidRDefault="00666A89" w:rsidP="000B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6CE92" w14:textId="77777777" w:rsidR="008E5AFD" w:rsidRDefault="008E5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3AE33" w14:textId="06B60C11" w:rsidR="0033585E" w:rsidRDefault="0072768F" w:rsidP="000600DD">
    <w:pPr>
      <w:pStyle w:val="Header"/>
      <w:ind w:firstLine="720"/>
    </w:pPr>
    <w:r>
      <w:rPr>
        <w:noProof/>
      </w:rPr>
      <w:drawing>
        <wp:anchor distT="0" distB="0" distL="114300" distR="114300" simplePos="0" relativeHeight="251664384" behindDoc="0" locked="0" layoutInCell="1" allowOverlap="1" wp14:anchorId="10F9A073" wp14:editId="610B3DC1">
          <wp:simplePos x="0" y="0"/>
          <wp:positionH relativeFrom="margin">
            <wp:align>left</wp:align>
          </wp:positionH>
          <wp:positionV relativeFrom="paragraph">
            <wp:posOffset>-449580</wp:posOffset>
          </wp:positionV>
          <wp:extent cx="5819775" cy="922718"/>
          <wp:effectExtent l="0" t="0" r="0" b="0"/>
          <wp:wrapNone/>
          <wp:docPr id="306000608" name="Picture 3060006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24734" name="Picture 177182473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819775" cy="92271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B4DB" w14:textId="4C5EECB1" w:rsidR="00A33FC0" w:rsidRDefault="008E5AFD">
    <w:pPr>
      <w:pStyle w:val="Header"/>
    </w:pPr>
    <w:r>
      <w:rPr>
        <w:noProof/>
      </w:rPr>
      <w:drawing>
        <wp:anchor distT="0" distB="0" distL="114300" distR="114300" simplePos="0" relativeHeight="251662336" behindDoc="0" locked="0" layoutInCell="1" allowOverlap="1" wp14:anchorId="70AB1DEF" wp14:editId="59EF66DE">
          <wp:simplePos x="0" y="0"/>
          <wp:positionH relativeFrom="margin">
            <wp:align>left</wp:align>
          </wp:positionH>
          <wp:positionV relativeFrom="paragraph">
            <wp:posOffset>-421005</wp:posOffset>
          </wp:positionV>
          <wp:extent cx="5819775" cy="922718"/>
          <wp:effectExtent l="0" t="0" r="0" b="0"/>
          <wp:wrapNone/>
          <wp:docPr id="384888708" name="Picture 3848887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824734" name="Picture 177182473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819775" cy="9227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66F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F89A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9C9C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78B1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04CD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A88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087C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6E33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0EF3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EA2B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412D38"/>
    <w:multiLevelType w:val="hybridMultilevel"/>
    <w:tmpl w:val="D138D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0744F2"/>
    <w:multiLevelType w:val="hybridMultilevel"/>
    <w:tmpl w:val="B2C47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9C32EB"/>
    <w:multiLevelType w:val="multilevel"/>
    <w:tmpl w:val="D75A48AE"/>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Courier New" w:hAnsi="Courier New"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14303CD0"/>
    <w:multiLevelType w:val="hybridMultilevel"/>
    <w:tmpl w:val="735AD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B80DAF"/>
    <w:multiLevelType w:val="multilevel"/>
    <w:tmpl w:val="79D2EACE"/>
    <w:lvl w:ilvl="0">
      <w:start w:val="1"/>
      <w:numFmt w:val="decimal"/>
      <w:lvlText w:val="%1"/>
      <w:lvlJc w:val="left"/>
      <w:pPr>
        <w:ind w:left="360" w:hanging="360"/>
      </w:pPr>
      <w:rPr>
        <w:rFonts w:hint="default"/>
      </w:rPr>
    </w:lvl>
    <w:lvl w:ilvl="1">
      <w:start w:val="1"/>
      <w:numFmt w:val="lowerRoman"/>
      <w:lvlText w:val="%2"/>
      <w:lvlJc w:val="left"/>
      <w:pPr>
        <w:ind w:left="567" w:hanging="283"/>
      </w:pPr>
      <w:rPr>
        <w:rFonts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C714585"/>
    <w:multiLevelType w:val="hybridMultilevel"/>
    <w:tmpl w:val="C3DA0A86"/>
    <w:lvl w:ilvl="0" w:tplc="F36611F8">
      <w:numFmt w:val="bullet"/>
      <w:lvlText w:val="•"/>
      <w:lvlJc w:val="left"/>
      <w:pPr>
        <w:ind w:left="720" w:hanging="360"/>
      </w:pPr>
      <w:rPr>
        <w:rFonts w:ascii="Arial" w:eastAsia="Times New Roman" w:hAnsi="Arial" w:cs="Arial" w:hint="default"/>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4C484F"/>
    <w:multiLevelType w:val="multilevel"/>
    <w:tmpl w:val="EABE25FA"/>
    <w:numStyleLink w:val="Listbullets"/>
  </w:abstractNum>
  <w:abstractNum w:abstractNumId="19"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2DAF4513"/>
    <w:multiLevelType w:val="hybridMultilevel"/>
    <w:tmpl w:val="5F74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DD354BD"/>
    <w:multiLevelType w:val="hybridMultilevel"/>
    <w:tmpl w:val="A2D8CDD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EC31E4"/>
    <w:multiLevelType w:val="hybridMultilevel"/>
    <w:tmpl w:val="270C4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AB3DE0"/>
    <w:multiLevelType w:val="hybridMultilevel"/>
    <w:tmpl w:val="9002060E"/>
    <w:lvl w:ilvl="0" w:tplc="BD68ED14">
      <w:start w:val="1"/>
      <w:numFmt w:val="bullet"/>
      <w:lvlText w:val=""/>
      <w:lvlJc w:val="left"/>
      <w:pPr>
        <w:ind w:left="720" w:hanging="360"/>
      </w:pPr>
      <w:rPr>
        <w:rFonts w:ascii="Symbol" w:hAnsi="Symbol" w:hint="default"/>
        <w:color w:val="FF0000"/>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794773"/>
    <w:multiLevelType w:val="multilevel"/>
    <w:tmpl w:val="0C09001D"/>
    <w:numStyleLink w:val="Bullet"/>
  </w:abstractNum>
  <w:abstractNum w:abstractNumId="27" w15:restartNumberingAfterBreak="0">
    <w:nsid w:val="70356B54"/>
    <w:multiLevelType w:val="multilevel"/>
    <w:tmpl w:val="A0B4CBEC"/>
    <w:lvl w:ilvl="0">
      <w:start w:val="1"/>
      <w:numFmt w:val="bullet"/>
      <w:lvlText w:val=""/>
      <w:lvlJc w:val="left"/>
      <w:pPr>
        <w:ind w:left="227" w:firstLine="0"/>
      </w:pPr>
      <w:rPr>
        <w:rFonts w:ascii="Symbol" w:hAnsi="Symbol" w:hint="default"/>
      </w:rPr>
    </w:lvl>
    <w:lvl w:ilvl="1">
      <w:start w:val="1"/>
      <w:numFmt w:val="bullet"/>
      <w:lvlText w:val="-"/>
      <w:lvlJc w:val="left"/>
      <w:pPr>
        <w:ind w:left="567" w:hanging="57"/>
      </w:pPr>
      <w:rPr>
        <w:rFonts w:ascii="Courier New" w:hAnsi="Courier New" w:hint="default"/>
      </w:rPr>
    </w:lvl>
    <w:lvl w:ilvl="2">
      <w:start w:val="1"/>
      <w:numFmt w:val="bullet"/>
      <w:lvlText w:val="-"/>
      <w:lvlJc w:val="left"/>
      <w:pPr>
        <w:ind w:left="624" w:firstLine="0"/>
      </w:pPr>
      <w:rPr>
        <w:rFonts w:ascii="Arial" w:hAnsi="Arial" w:hint="default"/>
      </w:rPr>
    </w:lvl>
    <w:lvl w:ilvl="3">
      <w:start w:val="1"/>
      <w:numFmt w:val="decimal"/>
      <w:lvlText w:val="(%4)"/>
      <w:lvlJc w:val="left"/>
      <w:pPr>
        <w:ind w:left="851" w:firstLine="0"/>
      </w:pPr>
      <w:rPr>
        <w:rFonts w:hint="default"/>
      </w:rPr>
    </w:lvl>
    <w:lvl w:ilvl="4">
      <w:start w:val="1"/>
      <w:numFmt w:val="lowerLetter"/>
      <w:lvlText w:val="(%5)"/>
      <w:lvlJc w:val="left"/>
      <w:pPr>
        <w:ind w:left="1078" w:firstLine="0"/>
      </w:pPr>
      <w:rPr>
        <w:rFonts w:hint="default"/>
      </w:rPr>
    </w:lvl>
    <w:lvl w:ilvl="5">
      <w:start w:val="1"/>
      <w:numFmt w:val="lowerRoman"/>
      <w:lvlText w:val="(%6)"/>
      <w:lvlJc w:val="left"/>
      <w:pPr>
        <w:ind w:left="1305" w:firstLine="0"/>
      </w:pPr>
      <w:rPr>
        <w:rFonts w:hint="default"/>
      </w:rPr>
    </w:lvl>
    <w:lvl w:ilvl="6">
      <w:start w:val="1"/>
      <w:numFmt w:val="decimal"/>
      <w:lvlText w:val="%7."/>
      <w:lvlJc w:val="left"/>
      <w:pPr>
        <w:ind w:left="1532" w:firstLine="0"/>
      </w:pPr>
      <w:rPr>
        <w:rFonts w:hint="default"/>
      </w:rPr>
    </w:lvl>
    <w:lvl w:ilvl="7">
      <w:start w:val="1"/>
      <w:numFmt w:val="lowerLetter"/>
      <w:lvlText w:val="%8."/>
      <w:lvlJc w:val="left"/>
      <w:pPr>
        <w:ind w:left="1759" w:firstLine="0"/>
      </w:pPr>
      <w:rPr>
        <w:rFonts w:hint="default"/>
      </w:rPr>
    </w:lvl>
    <w:lvl w:ilvl="8">
      <w:start w:val="1"/>
      <w:numFmt w:val="lowerRoman"/>
      <w:lvlText w:val="%9."/>
      <w:lvlJc w:val="left"/>
      <w:pPr>
        <w:ind w:left="1986" w:firstLine="0"/>
      </w:pPr>
      <w:rPr>
        <w:rFonts w:hint="default"/>
      </w:rPr>
    </w:lvl>
  </w:abstractNum>
  <w:num w:numId="1" w16cid:durableId="2094467276">
    <w:abstractNumId w:val="17"/>
  </w:num>
  <w:num w:numId="2" w16cid:durableId="1939829189">
    <w:abstractNumId w:val="25"/>
  </w:num>
  <w:num w:numId="3" w16cid:durableId="499658973">
    <w:abstractNumId w:val="12"/>
  </w:num>
  <w:num w:numId="4" w16cid:durableId="654139278">
    <w:abstractNumId w:val="10"/>
  </w:num>
  <w:num w:numId="5" w16cid:durableId="1859418368">
    <w:abstractNumId w:val="18"/>
  </w:num>
  <w:num w:numId="6" w16cid:durableId="1187213476">
    <w:abstractNumId w:val="16"/>
  </w:num>
  <w:num w:numId="7" w16cid:durableId="807435769">
    <w:abstractNumId w:val="13"/>
  </w:num>
  <w:num w:numId="8" w16cid:durableId="58479228">
    <w:abstractNumId w:val="19"/>
  </w:num>
  <w:num w:numId="9" w16cid:durableId="648241709">
    <w:abstractNumId w:val="22"/>
  </w:num>
  <w:num w:numId="10" w16cid:durableId="2097820811">
    <w:abstractNumId w:val="10"/>
  </w:num>
  <w:num w:numId="11" w16cid:durableId="1982808353">
    <w:abstractNumId w:val="27"/>
  </w:num>
  <w:num w:numId="12" w16cid:durableId="1983079732">
    <w:abstractNumId w:val="21"/>
  </w:num>
  <w:num w:numId="13" w16cid:durableId="258950823">
    <w:abstractNumId w:val="26"/>
  </w:num>
  <w:num w:numId="14" w16cid:durableId="1364331745">
    <w:abstractNumId w:val="14"/>
  </w:num>
  <w:num w:numId="15" w16cid:durableId="525093851">
    <w:abstractNumId w:val="9"/>
  </w:num>
  <w:num w:numId="16" w16cid:durableId="524829909">
    <w:abstractNumId w:val="7"/>
  </w:num>
  <w:num w:numId="17" w16cid:durableId="907417683">
    <w:abstractNumId w:val="6"/>
  </w:num>
  <w:num w:numId="18" w16cid:durableId="697316015">
    <w:abstractNumId w:val="5"/>
  </w:num>
  <w:num w:numId="19" w16cid:durableId="1178932870">
    <w:abstractNumId w:val="4"/>
  </w:num>
  <w:num w:numId="20" w16cid:durableId="435177135">
    <w:abstractNumId w:val="8"/>
  </w:num>
  <w:num w:numId="21" w16cid:durableId="17895775">
    <w:abstractNumId w:val="3"/>
  </w:num>
  <w:num w:numId="22" w16cid:durableId="762648076">
    <w:abstractNumId w:val="2"/>
  </w:num>
  <w:num w:numId="23" w16cid:durableId="911891935">
    <w:abstractNumId w:val="1"/>
  </w:num>
  <w:num w:numId="24" w16cid:durableId="799806473">
    <w:abstractNumId w:val="0"/>
  </w:num>
  <w:num w:numId="25" w16cid:durableId="541599875">
    <w:abstractNumId w:val="23"/>
  </w:num>
  <w:num w:numId="26" w16cid:durableId="130904827">
    <w:abstractNumId w:val="24"/>
  </w:num>
  <w:num w:numId="27" w16cid:durableId="1561356559">
    <w:abstractNumId w:val="20"/>
  </w:num>
  <w:num w:numId="28" w16cid:durableId="1092552890">
    <w:abstractNumId w:val="11"/>
  </w:num>
  <w:num w:numId="29" w16cid:durableId="15148023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38"/>
    <w:rsid w:val="00000E77"/>
    <w:rsid w:val="00003743"/>
    <w:rsid w:val="00025BC7"/>
    <w:rsid w:val="0003186E"/>
    <w:rsid w:val="00032BAA"/>
    <w:rsid w:val="000376D4"/>
    <w:rsid w:val="00043671"/>
    <w:rsid w:val="000519E2"/>
    <w:rsid w:val="000600DD"/>
    <w:rsid w:val="00066713"/>
    <w:rsid w:val="00067456"/>
    <w:rsid w:val="00074453"/>
    <w:rsid w:val="000A3571"/>
    <w:rsid w:val="000A3F0D"/>
    <w:rsid w:val="000A56A1"/>
    <w:rsid w:val="000B0274"/>
    <w:rsid w:val="000C1DD4"/>
    <w:rsid w:val="000D017D"/>
    <w:rsid w:val="000E2F2E"/>
    <w:rsid w:val="000F5EA3"/>
    <w:rsid w:val="000F6D65"/>
    <w:rsid w:val="0010055A"/>
    <w:rsid w:val="0012776C"/>
    <w:rsid w:val="001360F5"/>
    <w:rsid w:val="00146B97"/>
    <w:rsid w:val="00153595"/>
    <w:rsid w:val="001916AA"/>
    <w:rsid w:val="001921ED"/>
    <w:rsid w:val="00193EE9"/>
    <w:rsid w:val="001A10A3"/>
    <w:rsid w:val="001B2E17"/>
    <w:rsid w:val="001B3443"/>
    <w:rsid w:val="001B691B"/>
    <w:rsid w:val="001B6BF2"/>
    <w:rsid w:val="001C3564"/>
    <w:rsid w:val="001E1042"/>
    <w:rsid w:val="001E77C4"/>
    <w:rsid w:val="001F1F63"/>
    <w:rsid w:val="002072C3"/>
    <w:rsid w:val="00223198"/>
    <w:rsid w:val="00237ADF"/>
    <w:rsid w:val="002417CB"/>
    <w:rsid w:val="00245D81"/>
    <w:rsid w:val="00250BC0"/>
    <w:rsid w:val="00255596"/>
    <w:rsid w:val="00261F43"/>
    <w:rsid w:val="002662B4"/>
    <w:rsid w:val="00267635"/>
    <w:rsid w:val="00281FD4"/>
    <w:rsid w:val="00282634"/>
    <w:rsid w:val="002A5527"/>
    <w:rsid w:val="002C34CE"/>
    <w:rsid w:val="002C6AF0"/>
    <w:rsid w:val="002D58CF"/>
    <w:rsid w:val="002D6CC7"/>
    <w:rsid w:val="002E46D9"/>
    <w:rsid w:val="002F3AE3"/>
    <w:rsid w:val="002F3AFD"/>
    <w:rsid w:val="0030534C"/>
    <w:rsid w:val="0030786C"/>
    <w:rsid w:val="00312A62"/>
    <w:rsid w:val="00316683"/>
    <w:rsid w:val="00334419"/>
    <w:rsid w:val="0033585E"/>
    <w:rsid w:val="00337202"/>
    <w:rsid w:val="003873C6"/>
    <w:rsid w:val="003908C0"/>
    <w:rsid w:val="0039275E"/>
    <w:rsid w:val="0039565E"/>
    <w:rsid w:val="003C297A"/>
    <w:rsid w:val="003C4385"/>
    <w:rsid w:val="003D17F9"/>
    <w:rsid w:val="003D3F44"/>
    <w:rsid w:val="003D437B"/>
    <w:rsid w:val="003E01A8"/>
    <w:rsid w:val="003E76C8"/>
    <w:rsid w:val="00406D8A"/>
    <w:rsid w:val="00411B81"/>
    <w:rsid w:val="00412E9D"/>
    <w:rsid w:val="00414791"/>
    <w:rsid w:val="00426FCD"/>
    <w:rsid w:val="00440D53"/>
    <w:rsid w:val="00447D31"/>
    <w:rsid w:val="00470AB8"/>
    <w:rsid w:val="004741A9"/>
    <w:rsid w:val="00480328"/>
    <w:rsid w:val="004867E2"/>
    <w:rsid w:val="00486826"/>
    <w:rsid w:val="004A0670"/>
    <w:rsid w:val="004B28E3"/>
    <w:rsid w:val="004B2999"/>
    <w:rsid w:val="004B2E36"/>
    <w:rsid w:val="004D05E8"/>
    <w:rsid w:val="004D0B7D"/>
    <w:rsid w:val="004D3038"/>
    <w:rsid w:val="004E0486"/>
    <w:rsid w:val="004E58C1"/>
    <w:rsid w:val="00514EB5"/>
    <w:rsid w:val="0052107C"/>
    <w:rsid w:val="005221B7"/>
    <w:rsid w:val="00544A4E"/>
    <w:rsid w:val="00553E33"/>
    <w:rsid w:val="00566B97"/>
    <w:rsid w:val="00583B01"/>
    <w:rsid w:val="0059724C"/>
    <w:rsid w:val="005C1496"/>
    <w:rsid w:val="005C3426"/>
    <w:rsid w:val="005C6AAE"/>
    <w:rsid w:val="005E2614"/>
    <w:rsid w:val="005E33CD"/>
    <w:rsid w:val="005E4108"/>
    <w:rsid w:val="006002E3"/>
    <w:rsid w:val="00607B0B"/>
    <w:rsid w:val="00617D74"/>
    <w:rsid w:val="00666A89"/>
    <w:rsid w:val="006803BA"/>
    <w:rsid w:val="00681966"/>
    <w:rsid w:val="006E49F0"/>
    <w:rsid w:val="006E688D"/>
    <w:rsid w:val="007028EC"/>
    <w:rsid w:val="0070703E"/>
    <w:rsid w:val="00713629"/>
    <w:rsid w:val="0071637F"/>
    <w:rsid w:val="0072768F"/>
    <w:rsid w:val="00732AA6"/>
    <w:rsid w:val="00732EB4"/>
    <w:rsid w:val="00733632"/>
    <w:rsid w:val="007360BF"/>
    <w:rsid w:val="0074173C"/>
    <w:rsid w:val="0074482B"/>
    <w:rsid w:val="007545C7"/>
    <w:rsid w:val="00754DA4"/>
    <w:rsid w:val="0076005C"/>
    <w:rsid w:val="007635C1"/>
    <w:rsid w:val="00766B42"/>
    <w:rsid w:val="0077366B"/>
    <w:rsid w:val="0078070C"/>
    <w:rsid w:val="00783F68"/>
    <w:rsid w:val="00784541"/>
    <w:rsid w:val="007968CC"/>
    <w:rsid w:val="00796FB7"/>
    <w:rsid w:val="007B04A9"/>
    <w:rsid w:val="007B16AC"/>
    <w:rsid w:val="007E000D"/>
    <w:rsid w:val="00804E6C"/>
    <w:rsid w:val="00812EC7"/>
    <w:rsid w:val="00823778"/>
    <w:rsid w:val="008264EB"/>
    <w:rsid w:val="00827924"/>
    <w:rsid w:val="00830756"/>
    <w:rsid w:val="008338E3"/>
    <w:rsid w:val="008813C4"/>
    <w:rsid w:val="00892046"/>
    <w:rsid w:val="008A58F9"/>
    <w:rsid w:val="008B60F2"/>
    <w:rsid w:val="008D49F9"/>
    <w:rsid w:val="008E5AFD"/>
    <w:rsid w:val="008E5D6A"/>
    <w:rsid w:val="0091137C"/>
    <w:rsid w:val="00935BD9"/>
    <w:rsid w:val="009402C5"/>
    <w:rsid w:val="009424A5"/>
    <w:rsid w:val="00947AB5"/>
    <w:rsid w:val="00951FB8"/>
    <w:rsid w:val="00964277"/>
    <w:rsid w:val="00971D5A"/>
    <w:rsid w:val="00977D26"/>
    <w:rsid w:val="00996B73"/>
    <w:rsid w:val="009979DE"/>
    <w:rsid w:val="009A263C"/>
    <w:rsid w:val="009B053D"/>
    <w:rsid w:val="009B0B72"/>
    <w:rsid w:val="009B64E3"/>
    <w:rsid w:val="009E1F38"/>
    <w:rsid w:val="009E6B78"/>
    <w:rsid w:val="009F5557"/>
    <w:rsid w:val="00A0554C"/>
    <w:rsid w:val="00A15082"/>
    <w:rsid w:val="00A20A43"/>
    <w:rsid w:val="00A33FC0"/>
    <w:rsid w:val="00A4199A"/>
    <w:rsid w:val="00A43141"/>
    <w:rsid w:val="00A4512D"/>
    <w:rsid w:val="00A705AF"/>
    <w:rsid w:val="00A75B58"/>
    <w:rsid w:val="00A92D41"/>
    <w:rsid w:val="00A931E2"/>
    <w:rsid w:val="00A93A18"/>
    <w:rsid w:val="00A964DB"/>
    <w:rsid w:val="00AA6DC2"/>
    <w:rsid w:val="00AA7B58"/>
    <w:rsid w:val="00AB40AB"/>
    <w:rsid w:val="00AB6ED9"/>
    <w:rsid w:val="00AD52A0"/>
    <w:rsid w:val="00AF6154"/>
    <w:rsid w:val="00B10293"/>
    <w:rsid w:val="00B24DF4"/>
    <w:rsid w:val="00B2665E"/>
    <w:rsid w:val="00B32DD1"/>
    <w:rsid w:val="00B3720C"/>
    <w:rsid w:val="00B41409"/>
    <w:rsid w:val="00B42851"/>
    <w:rsid w:val="00B47076"/>
    <w:rsid w:val="00B47267"/>
    <w:rsid w:val="00B56B37"/>
    <w:rsid w:val="00B8026C"/>
    <w:rsid w:val="00B95A67"/>
    <w:rsid w:val="00BC07E4"/>
    <w:rsid w:val="00BF7EB4"/>
    <w:rsid w:val="00C06314"/>
    <w:rsid w:val="00C1074C"/>
    <w:rsid w:val="00C145FA"/>
    <w:rsid w:val="00C436EE"/>
    <w:rsid w:val="00C44D92"/>
    <w:rsid w:val="00C51BE7"/>
    <w:rsid w:val="00C54993"/>
    <w:rsid w:val="00C60C0D"/>
    <w:rsid w:val="00C66AB2"/>
    <w:rsid w:val="00C67900"/>
    <w:rsid w:val="00C911AD"/>
    <w:rsid w:val="00C93700"/>
    <w:rsid w:val="00CA6113"/>
    <w:rsid w:val="00CB0684"/>
    <w:rsid w:val="00CB5B1A"/>
    <w:rsid w:val="00CB733F"/>
    <w:rsid w:val="00CC2C42"/>
    <w:rsid w:val="00CC2D2E"/>
    <w:rsid w:val="00CC3E9B"/>
    <w:rsid w:val="00CC697B"/>
    <w:rsid w:val="00D015DF"/>
    <w:rsid w:val="00D01B8A"/>
    <w:rsid w:val="00D20FB8"/>
    <w:rsid w:val="00D24922"/>
    <w:rsid w:val="00D40AE4"/>
    <w:rsid w:val="00D42B9A"/>
    <w:rsid w:val="00D469E4"/>
    <w:rsid w:val="00D643D9"/>
    <w:rsid w:val="00D73FE2"/>
    <w:rsid w:val="00D7465B"/>
    <w:rsid w:val="00D808BC"/>
    <w:rsid w:val="00D81DA7"/>
    <w:rsid w:val="00D96327"/>
    <w:rsid w:val="00DC0D24"/>
    <w:rsid w:val="00DC71BC"/>
    <w:rsid w:val="00DD083C"/>
    <w:rsid w:val="00E0390F"/>
    <w:rsid w:val="00E13C5C"/>
    <w:rsid w:val="00E22C7E"/>
    <w:rsid w:val="00E236C6"/>
    <w:rsid w:val="00E40F95"/>
    <w:rsid w:val="00E4312B"/>
    <w:rsid w:val="00E440E9"/>
    <w:rsid w:val="00E51FB5"/>
    <w:rsid w:val="00E536B0"/>
    <w:rsid w:val="00E60EE1"/>
    <w:rsid w:val="00E65FBE"/>
    <w:rsid w:val="00E67EEE"/>
    <w:rsid w:val="00E708F6"/>
    <w:rsid w:val="00E86B67"/>
    <w:rsid w:val="00EA5FD0"/>
    <w:rsid w:val="00EB10A8"/>
    <w:rsid w:val="00EB628B"/>
    <w:rsid w:val="00ED456B"/>
    <w:rsid w:val="00ED49FD"/>
    <w:rsid w:val="00EE356F"/>
    <w:rsid w:val="00EE397E"/>
    <w:rsid w:val="00EF1C95"/>
    <w:rsid w:val="00F078B7"/>
    <w:rsid w:val="00F1710A"/>
    <w:rsid w:val="00F229F2"/>
    <w:rsid w:val="00F238F2"/>
    <w:rsid w:val="00F332B3"/>
    <w:rsid w:val="00F34D63"/>
    <w:rsid w:val="00F41C35"/>
    <w:rsid w:val="00F4762A"/>
    <w:rsid w:val="00F5269A"/>
    <w:rsid w:val="00F53528"/>
    <w:rsid w:val="00F549D7"/>
    <w:rsid w:val="00F556DB"/>
    <w:rsid w:val="00F72AF6"/>
    <w:rsid w:val="00F73D95"/>
    <w:rsid w:val="00F77BAA"/>
    <w:rsid w:val="00F84D14"/>
    <w:rsid w:val="00F95769"/>
    <w:rsid w:val="00FB3300"/>
    <w:rsid w:val="00FD498A"/>
    <w:rsid w:val="00FE1CE1"/>
    <w:rsid w:val="00FE4B27"/>
    <w:rsid w:val="00FE5CA3"/>
    <w:rsid w:val="00FE74A8"/>
    <w:rsid w:val="00FF2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6929A"/>
  <w15:docId w15:val="{560B12C5-3F39-4374-A819-38887BEB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uiPriority="0"/>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semiHidden="1" w:uiPriority="0"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0"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1074C"/>
    <w:pPr>
      <w:spacing w:after="20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BalloonText">
    <w:name w:val="Balloon Text"/>
    <w:basedOn w:val="Normal"/>
    <w:link w:val="BalloonTextChar"/>
    <w:locked/>
    <w:rsid w:val="0003186E"/>
    <w:pPr>
      <w:spacing w:after="0"/>
    </w:pPr>
    <w:rPr>
      <w:rFonts w:ascii="Tahoma" w:hAnsi="Tahoma" w:cs="Tahoma"/>
      <w:sz w:val="16"/>
      <w:szCs w:val="16"/>
    </w:rPr>
  </w:style>
  <w:style w:type="character" w:customStyle="1" w:styleId="BalloonTextChar">
    <w:name w:val="Balloon Text Char"/>
    <w:basedOn w:val="DefaultParagraphFont"/>
    <w:link w:val="BalloonText"/>
    <w:rsid w:val="0003186E"/>
    <w:rPr>
      <w:rFonts w:ascii="Tahoma" w:hAnsi="Tahoma" w:cs="Tahoma"/>
      <w:sz w:val="16"/>
      <w:szCs w:val="16"/>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14"/>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qFormat/>
    <w:rsid w:val="005C1496"/>
    <w:pPr>
      <w:spacing w:before="120" w:after="120"/>
    </w:pPr>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qFormat/>
    <w:rsid w:val="009A263C"/>
    <w:pPr>
      <w:tabs>
        <w:tab w:val="right" w:pos="9016"/>
      </w:tabs>
      <w:spacing w:before="120" w:after="120"/>
      <w:ind w:left="221"/>
    </w:pPr>
    <w:rPr>
      <w:rFonts w:cstheme="minorHAnsi"/>
      <w:szCs w:val="20"/>
    </w:rPr>
  </w:style>
  <w:style w:type="paragraph" w:styleId="TOC3">
    <w:name w:val="toc 3"/>
    <w:basedOn w:val="Normal"/>
    <w:next w:val="Normal"/>
    <w:autoRedefine/>
    <w:qFormat/>
    <w:rsid w:val="009A263C"/>
    <w:pPr>
      <w:tabs>
        <w:tab w:val="left" w:pos="8902"/>
      </w:tabs>
      <w:spacing w:after="0"/>
      <w:ind w:left="442"/>
    </w:pPr>
    <w:rPr>
      <w:rFonts w:cstheme="minorHAnsi"/>
      <w:iCs/>
      <w:sz w:val="20"/>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uiPriority w:val="39"/>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styleId="PlaceholderText">
    <w:name w:val="Placeholder Text"/>
    <w:basedOn w:val="DefaultParagraphFont"/>
    <w:uiPriority w:val="98"/>
    <w:semiHidden/>
    <w:locked/>
    <w:rsid w:val="00C51BE7"/>
    <w:rPr>
      <w:color w:val="808080"/>
    </w:rPr>
  </w:style>
  <w:style w:type="character" w:styleId="Hyperlink">
    <w:name w:val="Hyperlink"/>
    <w:basedOn w:val="DefaultParagraphFont"/>
    <w:rsid w:val="00B47076"/>
    <w:rPr>
      <w:color w:val="0000FF" w:themeColor="hyperlink"/>
      <w:u w:val="single"/>
    </w:rPr>
  </w:style>
  <w:style w:type="paragraph" w:styleId="Footer">
    <w:name w:val="footer"/>
    <w:basedOn w:val="Normal"/>
    <w:link w:val="FooterChar"/>
    <w:uiPriority w:val="99"/>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uiPriority w:val="99"/>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4"/>
      </w:numPr>
    </w:pPr>
  </w:style>
  <w:style w:type="paragraph" w:customStyle="1" w:styleId="Numberedlists">
    <w:name w:val="Numbered lists"/>
    <w:basedOn w:val="Normal"/>
    <w:link w:val="NumberedlistsChar"/>
    <w:qFormat/>
    <w:rsid w:val="00A4199A"/>
    <w:pPr>
      <w:numPr>
        <w:numId w:val="12"/>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D20FB8"/>
    <w:pPr>
      <w:spacing w:before="240"/>
    </w:pPr>
    <w:rPr>
      <w:sz w:val="36"/>
      <w:szCs w:val="36"/>
    </w:rPr>
  </w:style>
  <w:style w:type="numbering" w:customStyle="1" w:styleId="Bullet">
    <w:name w:val="Bullet"/>
    <w:uiPriority w:val="99"/>
    <w:locked/>
    <w:rsid w:val="000D017D"/>
    <w:pPr>
      <w:numPr>
        <w:numId w:val="7"/>
      </w:numPr>
    </w:pPr>
  </w:style>
  <w:style w:type="numbering" w:customStyle="1" w:styleId="Bullets">
    <w:name w:val="Bullets"/>
    <w:uiPriority w:val="99"/>
    <w:locked/>
    <w:rsid w:val="000D017D"/>
    <w:pPr>
      <w:numPr>
        <w:numId w:val="8"/>
      </w:numPr>
    </w:pPr>
  </w:style>
  <w:style w:type="numbering" w:customStyle="1" w:styleId="BulletsLevel1">
    <w:name w:val="Bullets Level 1"/>
    <w:uiPriority w:val="99"/>
    <w:locked/>
    <w:rsid w:val="000D017D"/>
    <w:pPr>
      <w:numPr>
        <w:numId w:val="9"/>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styleId="Header">
    <w:name w:val="header"/>
    <w:basedOn w:val="Normal"/>
    <w:link w:val="HeaderChar"/>
    <w:locked/>
    <w:rsid w:val="00754DA4"/>
    <w:pPr>
      <w:tabs>
        <w:tab w:val="center" w:pos="4513"/>
        <w:tab w:val="right" w:pos="9026"/>
      </w:tabs>
      <w:spacing w:after="0"/>
    </w:pPr>
  </w:style>
  <w:style w:type="character" w:customStyle="1" w:styleId="HeaderChar">
    <w:name w:val="Header Char"/>
    <w:basedOn w:val="DefaultParagraphFont"/>
    <w:link w:val="Header"/>
    <w:rsid w:val="00754DA4"/>
  </w:style>
  <w:style w:type="paragraph" w:styleId="ListParagraph">
    <w:name w:val="List Paragraph"/>
    <w:aliases w:val="Bullet table,List Paragraph1,Recommendation,L,List Paragraph11,bullet point list,1 heading,Bullet point,Dot point 1.5 line spacing,List Paragraph - bullets,NFP GP Bulleted List,List Paragraph2,FooterText,Bullet List,numbered,列出段落,リスト段落,列"/>
    <w:basedOn w:val="Normal"/>
    <w:link w:val="ListParagraphChar"/>
    <w:uiPriority w:val="99"/>
    <w:qFormat/>
    <w:locked/>
    <w:rsid w:val="002417CB"/>
    <w:pPr>
      <w:spacing w:after="160" w:line="259" w:lineRule="auto"/>
      <w:ind w:left="720"/>
      <w:contextualSpacing/>
    </w:pPr>
    <w:rPr>
      <w:rFonts w:eastAsiaTheme="minorHAnsi" w:cstheme="minorBidi"/>
      <w:lang w:eastAsia="en-US"/>
    </w:rPr>
  </w:style>
  <w:style w:type="character" w:customStyle="1" w:styleId="ListParagraphChar">
    <w:name w:val="List Paragraph Char"/>
    <w:aliases w:val="Bullet table Char,List Paragraph1 Char,Recommendation Char,L Char,List Paragraph11 Char,bullet point list Char,1 heading Char,Bullet point Char,Dot point 1.5 line spacing Char,List Paragraph - bullets Char,NFP GP Bulleted List Char"/>
    <w:link w:val="ListParagraph"/>
    <w:uiPriority w:val="34"/>
    <w:qFormat/>
    <w:locked/>
    <w:rsid w:val="002417CB"/>
    <w:rPr>
      <w:rFonts w:eastAsiaTheme="minorHAnsi" w:cstheme="minorBidi"/>
      <w:lang w:eastAsia="en-US"/>
    </w:rPr>
  </w:style>
  <w:style w:type="paragraph" w:customStyle="1" w:styleId="Heading-2">
    <w:name w:val="Heading - 2"/>
    <w:basedOn w:val="Normal"/>
    <w:link w:val="Heading-2Char"/>
    <w:qFormat/>
    <w:rsid w:val="00783F68"/>
    <w:pPr>
      <w:spacing w:after="240"/>
    </w:pPr>
    <w:rPr>
      <w:rFonts w:ascii="Arial" w:hAnsi="Arial" w:cs="Arial"/>
      <w:b/>
      <w:color w:val="1178A2"/>
      <w:sz w:val="24"/>
      <w:szCs w:val="20"/>
    </w:rPr>
  </w:style>
  <w:style w:type="character" w:customStyle="1" w:styleId="Heading-2Char">
    <w:name w:val="Heading - 2 Char"/>
    <w:basedOn w:val="DefaultParagraphFont"/>
    <w:link w:val="Heading-2"/>
    <w:rsid w:val="00783F68"/>
    <w:rPr>
      <w:rFonts w:ascii="Arial" w:hAnsi="Arial" w:cs="Arial"/>
      <w:b/>
      <w:color w:val="1178A2"/>
      <w:sz w:val="24"/>
      <w:szCs w:val="20"/>
    </w:rPr>
  </w:style>
  <w:style w:type="character" w:customStyle="1" w:styleId="Roman">
    <w:name w:val="Roman"/>
    <w:uiPriority w:val="99"/>
    <w:rsid w:val="001B691B"/>
  </w:style>
  <w:style w:type="paragraph" w:customStyle="1" w:styleId="SandQwebaddress">
    <w:name w:val="S and Q web address"/>
    <w:basedOn w:val="Normal"/>
    <w:qFormat/>
    <w:rsid w:val="001B691B"/>
    <w:pPr>
      <w:spacing w:before="480" w:after="6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agnostic%20Imaging%20Standards%20%3cdiagnosticimaging@safetyandquality.gov.au%3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Users\COJACK\AppData\Roaming\Micro%20Focus\Offline%20Records\Offline%20Records%20(CP)\DIAS%20~%20HEALTH%20SAFETY%20QUALITY%20-%20Implementation\safetyandquality.gov.au\standards\diagnostic-imagin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afetyandquality.gov.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JACK\AppData\Roaming\Micro%20focus\content%20manager\TRIM\TEMP\HPTRIM.9448\D17-4816%20%20TEMPLATE%20no%20cover%20-%20for%20short%20documents.DOTX" TargetMode="External"/></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98263-CBD1-4225-8FBF-6A952366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D17-4816  TEMPLATE no cover - for short documents.DOTX</Template>
  <TotalTime>30</TotalTime>
  <Pages>6</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Coleman</dc:creator>
  <cp:lastModifiedBy>KEANE, Sally</cp:lastModifiedBy>
  <cp:revision>13</cp:revision>
  <cp:lastPrinted>2018-01-17T22:04:00Z</cp:lastPrinted>
  <dcterms:created xsi:type="dcterms:W3CDTF">2025-05-15T04:36:00Z</dcterms:created>
  <dcterms:modified xsi:type="dcterms:W3CDTF">2025-05-15T06:02:00Z</dcterms:modified>
</cp:coreProperties>
</file>